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lang w:bidi="ar"/>
        </w:rPr>
        <w:t>附件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lang w:val="en-US" w:eastAsia="zh-CN" w:bidi="ar"/>
        </w:rPr>
        <w:t>1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lang w:bidi="ar"/>
        </w:rPr>
        <w:t>：</w:t>
      </w:r>
    </w:p>
    <w:p>
      <w:pPr>
        <w:widowControl/>
        <w:jc w:val="left"/>
        <w:rPr>
          <w:rFonts w:ascii="宋体" w:hAnsi="宋体" w:eastAsia="宋体" w:cs="宋体"/>
          <w:b/>
          <w:bCs/>
          <w:color w:val="000000"/>
          <w:kern w:val="0"/>
          <w:sz w:val="2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lang w:bidi="ar"/>
        </w:rPr>
        <w:t>（一）项目清单报价明细表（临检项目一）</w:t>
      </w:r>
    </w:p>
    <w:tbl>
      <w:tblPr>
        <w:tblStyle w:val="11"/>
        <w:tblW w:w="1394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2929"/>
        <w:gridCol w:w="885"/>
        <w:gridCol w:w="1627"/>
        <w:gridCol w:w="1627"/>
        <w:gridCol w:w="1381"/>
        <w:gridCol w:w="1627"/>
        <w:gridCol w:w="1054"/>
        <w:gridCol w:w="1578"/>
        <w:gridCol w:w="6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green"/>
              </w:rPr>
            </w:pPr>
            <w:bookmarkStart w:id="0" w:name="OLE_LINK30" w:colFirst="0" w:colLast="9"/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bidi="ar"/>
              </w:rPr>
              <w:t>序号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gree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bidi="ar"/>
              </w:rPr>
              <w:t>项目名称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gree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bidi="ar"/>
              </w:rPr>
              <w:t>类型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green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highlight w:val="none"/>
              </w:rPr>
              <w:t>时限要求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gree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bidi="ar"/>
              </w:rPr>
              <w:t>实际完成时限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gree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bidi="ar"/>
              </w:rPr>
              <w:t>检测方法学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highlight w:val="green"/>
              </w:rPr>
            </w:pPr>
            <w:r>
              <w:rPr>
                <w:rFonts w:hint="eastAsia" w:ascii="宋体" w:hAnsi="宋体" w:eastAsia="宋体" w:cs="宋体"/>
                <w:b/>
                <w:bCs/>
                <w:highlight w:val="none"/>
              </w:rPr>
              <w:t>检验基准价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bidi="ar"/>
              </w:rPr>
              <w:t>（元）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gree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bidi="ar"/>
              </w:rPr>
              <w:t>折扣率（%）</w:t>
            </w: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gree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bidi="ar"/>
              </w:rPr>
              <w:t>实际检测价格（元）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gree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bidi="ar"/>
              </w:rPr>
              <w:t>备注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甲型肝炎病毒抗体二项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37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乙型肝炎DNA测定(定量)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1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29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乙型肝炎抗体2对半（HBeAg、Anti-HBe、HBsAg、Anti-HBs、Anti-HBc）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3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2.3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乙型肝炎Anti-HBcIgM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8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.1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丙型肝炎病毒(HCV-RNA)定量(荧光定量PCR )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1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39.5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丙型肝炎病毒基因分型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338.7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丙型肝炎抗体测定(Anti-HCV)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2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2.6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庚型肝炎IgG抗体测定(Anti-HGVIgG)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2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8.2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戊型肝炎抗体二项测定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111.4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单纯疱疹病毒(HSV-DNA)定性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6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4.5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单纯疱疹病毒Ⅰ型(HSVⅠ-DNA)定性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6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4.5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12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单纯疱疹病毒Ⅰ型IgG抗体(HSV-Ⅰ-IgG)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2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3.4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13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单纯疱疹病毒Ⅰ型IgM抗体(HSV-Ⅰ-IgM)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2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3.4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14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单纯疱疹病毒Ⅱ型(HSVⅡ-DNA)定性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6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4.5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15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单纯疱疹病毒Ⅱ型IgG抗体(HSV-Ⅱ-IgG)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2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3.4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单纯疱疹病毒Ⅱ型IgM抗体(HSV-Ⅱ-IgM)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2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3.4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17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2019-nCOV核酸检测（单样检测）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9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.5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18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(1-3)-β-D葡聚糖(丹娜G试验）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1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53.2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19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EB病毒 DNA(EB-DNA) 定量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1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29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20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EB病毒核心抗原 1IgG 抗体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4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8.4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21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EB病毒壳抗原IgA抗体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1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6.1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22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EB病毒壳抗原IgG抗体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48.4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23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EB病毒壳抗原IgM抗体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1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6.1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24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百日咳杆菌核酸检测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1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29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.0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25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肺炎衣原体抗体检测（IgM、IgG）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52.4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26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肺炎支原体血清学试验（IgM、IgG）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40.3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27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副流感病毒核酸检测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1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29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.0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28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呼吸道合胞病毒核酸检测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1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29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.0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29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呼吸道合胞病毒抗体二项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64.6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30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甲乙型流感病毒核酸检测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258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31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结核抗体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3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7.1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巨细胞病毒(CMV-DNA)定性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6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4.5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33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巨细胞病毒IgG抗体(CMV-IgG)测定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4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6.8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34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巨细胞病毒IgM抗体(CMV-IgM)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4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6.8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35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麻疹病毒抗体二项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80.6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36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水痘-带状疱疹病毒(VZV-DNA)定性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6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4.5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37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水痘-带状疱疹病毒抗体测定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3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3.6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38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外斐氏反应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3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2.3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39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腺病毒核酸检测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6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4.5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40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腺病毒抗体IgM(各种免疫学方法)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1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6.1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41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B群链球菌培养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112.8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42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肠道病毒 EV 核酸检测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1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29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43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肠道病毒71型RNA定性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1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29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44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肠道病毒通用型(EV-RNA)定性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1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29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45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柯萨奇病毒抗体二项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80.6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46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诺如病毒核酸定性检测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258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47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手足口病病原学RNA测定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2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58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48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微小病毒 (B19-DNA) 定性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129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49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人细小病毒B19抗体IgM测定（定性）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6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4.5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人细小病毒B19抗体IgG测定（定性）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6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4.5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51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风疹病毒（RV-RNA）定性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129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52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风疹病毒抗体IgG定量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48.4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53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风疹病毒抗体IgM定量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48.4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54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弓形虫抗体IgG测定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48.4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55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弓形虫抗体IgM测定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48.4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56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弓形虫(TOX-DNA)定性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6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4.5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57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钩端螺旋体IgG抗体血清试验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2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5.2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58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梅毒螺旋体特异抗体测定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48.4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59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人乳头瘤病毒(HPV-DNA)分型检测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2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78.2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60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阴道加德纳氏菌(GV-DNA)定性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6</w:t>
            </w: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4.5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呼吸道多种病原体靶向测序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619.2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62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呼吸道多种病原体核酸组合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451.5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63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上呼吸道71种病原体靶向测序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451.5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64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全套病原微生物宏基因检测（二代测序）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339"/>
              </w:tabs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4048.0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65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GM试验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153.2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66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汉坦病毒IgM、IgG（流行性出血热）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48.4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67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隐球菌荚膜抗原测定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25.2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68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肺炎链球菌抗原测定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80.6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69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军团菌抗原测定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80.6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70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HPV病毒载量检测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133.1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71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中枢系统多种病原学靶向测序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704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72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艰难梭菌检测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134.4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73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头孢他啶阿维巴坦药敏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病原学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56.4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</w:tbl>
    <w:p>
      <w:pPr>
        <w:widowControl/>
        <w:jc w:val="left"/>
        <w:rPr>
          <w:rFonts w:ascii="宋体" w:hAnsi="宋体" w:eastAsia="宋体" w:cs="宋体"/>
          <w:color w:val="000000"/>
          <w:kern w:val="0"/>
          <w:szCs w:val="21"/>
          <w:lang w:bidi="ar"/>
        </w:rPr>
      </w:pPr>
    </w:p>
    <w:p>
      <w:pPr>
        <w:widowControl/>
        <w:jc w:val="left"/>
        <w:rPr>
          <w:rFonts w:ascii="宋体" w:hAnsi="宋体" w:eastAsia="宋体" w:cs="宋体"/>
          <w:color w:val="000000"/>
          <w:kern w:val="0"/>
          <w:szCs w:val="21"/>
          <w:lang w:bidi="ar"/>
        </w:rPr>
      </w:pPr>
    </w:p>
    <w:p>
      <w:pPr>
        <w:widowControl/>
        <w:jc w:val="left"/>
        <w:rPr>
          <w:rFonts w:ascii="宋体" w:hAnsi="宋体" w:eastAsia="宋体" w:cs="宋体"/>
          <w:color w:val="000000"/>
          <w:kern w:val="0"/>
          <w:szCs w:val="21"/>
          <w:u w:val="single"/>
          <w:lang w:bidi="ar"/>
        </w:rPr>
      </w:pPr>
    </w:p>
    <w:p>
      <w:pPr>
        <w:widowControl/>
        <w:ind w:firstLine="422" w:firstLineChars="200"/>
        <w:jc w:val="left"/>
        <w:rPr>
          <w:rFonts w:ascii="宋体" w:hAnsi="宋体" w:eastAsia="宋体" w:cs="宋体"/>
          <w:b/>
          <w:bCs/>
          <w:color w:val="000000"/>
          <w:kern w:val="0"/>
          <w:szCs w:val="21"/>
          <w:lang w:bidi="ar"/>
        </w:rPr>
      </w:pPr>
    </w:p>
    <w:p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p>
      <w:pPr>
        <w:widowControl/>
        <w:jc w:val="left"/>
        <w:rPr>
          <w:rFonts w:ascii="宋体" w:hAnsi="宋体" w:eastAsia="宋体" w:cs="宋体"/>
          <w:color w:val="000000"/>
          <w:kern w:val="0"/>
          <w:szCs w:val="21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lang w:bidi="ar"/>
        </w:rPr>
        <w:t>（二）项目清单报价明细表（临检项目二）</w:t>
      </w:r>
    </w:p>
    <w:tbl>
      <w:tblPr>
        <w:tblStyle w:val="11"/>
        <w:tblW w:w="1393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"/>
        <w:gridCol w:w="3115"/>
        <w:gridCol w:w="1513"/>
        <w:gridCol w:w="1151"/>
        <w:gridCol w:w="1476"/>
        <w:gridCol w:w="1319"/>
        <w:gridCol w:w="1292"/>
        <w:gridCol w:w="1013"/>
        <w:gridCol w:w="1594"/>
        <w:gridCol w:w="87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bidi="ar"/>
              </w:rPr>
              <w:t>序号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bidi="ar"/>
              </w:rPr>
              <w:t>项目名称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bidi="ar"/>
              </w:rPr>
              <w:t>类型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highlight w:val="none"/>
              </w:rPr>
              <w:t>时限要求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bidi="ar"/>
              </w:rPr>
              <w:t>实际完成时限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bidi="ar"/>
              </w:rPr>
              <w:t>检测方法学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highlight w:val="none"/>
              </w:rPr>
              <w:t>检验基准价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bidi="ar"/>
              </w:rPr>
              <w:t>（元）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bidi="ar"/>
              </w:rPr>
              <w:t>折扣率（%）</w:t>
            </w: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bidi="ar"/>
              </w:rPr>
              <w:t>实际检测价格（元）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bidi="ar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抗DNA酶B抗体测定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风湿免疫肾病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33.6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抗核抗体测定(ANA)-定量法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风湿免疫肾病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48.4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抗核抗体测定(ANA)-定性法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风湿免疫肾病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27.5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抗核糖核蛋白抗体测定-免疫印迹法或高通量免疫荧光发光法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风湿免疫肾病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27.5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抗核提取物抗体测定(抗ENA抗体)-免疫印迹法或高通量免疫荧光发光法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风湿免疫肾病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72.6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抗环瓜氨酸肽抗体(抗CCP抗体)测定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风湿免疫肾病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72.6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抗角蛋白抗体(AKA)测定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风湿免疫肾病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64.5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抗双链DNA测定(抗dsDNA)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风湿免疫肾病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28.2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抗双链DNA(抗dsDNA)-定量检测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风湿免疫肾病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48.4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抗线粒体抗体测定(AMA)-免疫印迹法或高通量免疫荧光发光法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风湿免疫肾病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24.2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抗中性粒细胞胞浆抗体测定(ANCA)抗蛋白酶3抗体(Anti-PR3)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风湿免疫肾病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55.7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12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抗中性粒细胞胞浆抗体测定(ANCA)抗髓过氧化物酶抗体(Anti-MPO))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风湿免疫肾病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55.7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13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白细胞特异性和组织相关融性(HLA)抗体检测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风湿免疫肾病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265.6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14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人类白细胞抗原B27测定(HLA-B27)-基因检测法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风湿免疫肾病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92.7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15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免疫固定电泳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风湿免疫肾病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798.5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免疫球蛋白亚类(IgG4)定量测定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风湿免疫肾病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109.2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17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血清蛋白电泳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风湿免疫肾病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24.2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18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尿α1—微球蛋白测定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风湿免疫肾病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 xml:space="preserve">51.9 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19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β2微球蛋白测定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风湿免疫肾病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41.5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20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尿蛋白电泳分析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风湿免疫肾病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67.3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21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抗肾小球基底膜抗体测定-各种免疫学方法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风湿免疫肾病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40.3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22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抗磷脂酶A2受体抗体测定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风湿免疫肾病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112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23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狼疮抗凝物质检测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风湿免疫肾病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48.4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24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类风湿因子(RF)测定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风湿免疫肾病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18.5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25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超敏C反应蛋白测定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风湿免疫肾病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32.3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26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抗肝肾微粒体抗体(LKM)测定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风湿免疫肾病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40.3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27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抗肝细胞溶质抗原I型抗体测定(LC-1)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风湿免疫肾病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60.5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28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抗可溶性肝抗原/肝-胰抗原抗体(SLA/LP)测定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风湿免疫肾病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40.3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29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抗CCP抗体定量检测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风湿免疫肾病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72.6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30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血清游离轻链组合（包含κ、λ、κ/λ、dFLC、受累FLC/非受累FLC）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风湿免疫肾病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388.6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31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肾小管3项（尿NAG酶、尿视黄醇结合蛋白、尿β2微球蛋白）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风湿免疫肾病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36.3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血管炎抗体定量检测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风湿免疫肾病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64.5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33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肌炎抗体谱26项（辅助诊断急进性免疫性疾病引起的间质性肺病）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风湿免疫肾病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408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34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KL6（辅助诊断评估间质性肺病）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风湿免疫肾病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264.0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35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自身免疫性脑炎自身抗体检测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风湿免疫肾病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880.0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36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血小板抗体（PAIgA、PAIgG、PAIgM）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风湿免疫肾病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126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37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血清Ⅳ型胶原测定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23.4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38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血清层粘连蛋白测定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32.3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39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人Ⅲ型前胶原肽(PⅢP)测定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63.8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40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血清透明质酸酶测定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48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41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甘胆酸(CG)检测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16.1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42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胃蛋白酶原Ⅰ测定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60.6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43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胃蛋白酶原Ⅱ测定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60.6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44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幽门螺杆菌血清学检测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80.6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45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胃泌素测定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39.8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46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胃泌素释放肽前体(ProGRP)测定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49.9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47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全血铅测定(原子吸收法)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18.5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48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血清转铁蛋白测定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18.3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49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血清转铁蛋白测定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18.3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铜蓝蛋白测定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18.5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51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血清总铁结合力测定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9.7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52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全血元素七项 ( 铅、锰、锌、铜、镁、铁、钙 )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54.5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53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血红蛋白电泳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8.8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54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血红蛋白H包涵体检测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8.8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55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血浆凝血因子活性测定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193.6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56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浆细胞富集（免疫固定电泳）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798.5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57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血浆纤溶酶原活性测定(PLGA)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50.4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58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促红细胞生成素测定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73.5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59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葡萄糖6-磷酸脱氢酶活性检测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9.7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60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血细胞簇分化抗原（CD）系列检测（T淋巴细胞亚群、B细胞、NK细胞）-流式细胞仪法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338.8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ABO新生儿溶血病检查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37.1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62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Rh新生儿溶血病检查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92.7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63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血浆抗凝血酶Ⅲ活性测定(AT-ⅢA)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64.5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64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间接抗人球蛋白试验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9.7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65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直接抗人球蛋白试验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27.4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66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NK细胞比例及活化细胞比例检测(CD16,CD56,CD3,CD69)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193.6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67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CD19+CD5+B淋巴细胞检测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145.2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68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调节性T细胞检测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145.2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69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T细胞亚群及活化T细胞检测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193.6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70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外周血染色体核型分析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595.1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71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蛋白C活性测定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64.5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72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蛋白S活性测定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161.3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73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钙卫蛋白检测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312.4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74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萎缩性胃炎抗体两项（抗内因子（IF）抗体、抗胃壁细胞IgG抗体（PCA-IgG）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50.2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75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肝素结合蛋白检测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140.8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76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血清淀粉酶样蛋白A（SAA）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47.9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77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纤维蛋白原降解产物FDP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23.5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78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凝血因子活性VIII、IX、XI（血友病）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193.6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79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血液流变学检查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62.0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80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血小板聚集功能PAgT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67.2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81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PNH抗原（CD55、CD59）测定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96.8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82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淋巴细胞免疫功能分析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112.8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83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B、NK细胞免疫功能分析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112.8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84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抗体筛查试验（输血交叉配血）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消化肝病血液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49.8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85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血清反T3测定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内分泌代谢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27.5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86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甲状腺球蛋白（TG）测定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内分泌代谢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36.3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87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血清甲状腺结合球蛋白(TBG)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内分泌代谢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37.1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88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促甲状腺素受体抗体测定(TRAb)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内分泌代谢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39.8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89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降钙素测定(CT)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内分泌代谢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45.5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90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血清脱氢表雄酮及硫酸酯测定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内分泌代谢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45.5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91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17α羟孕酮测定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内分泌代谢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45.5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92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17α 羟基孕酮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内分泌代谢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45.5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93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雄烯二酮测定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内分泌代谢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37.1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94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促肾上腺皮质激素(ACTH)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内分泌代谢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46.3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95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醛固酮测定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内分泌代谢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45.5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96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血清皮质醇(COR)测定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内分泌代谢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44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97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尿17-羟皮质类固醇(17-OHCS)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内分泌代谢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63.8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98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尿17-酮皮质类固醇(17-KS)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内分泌代谢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63.8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99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尿香草苦杏仁酸(VMA)测定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内分泌代谢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63.8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100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血清生长激素测定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内分泌代谢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46.3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101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糖尿病自身抗体三项（GAD、 ICA 和 IAA）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内分泌代谢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119.8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102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血管紧张素Ⅱ测定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内分泌代谢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37.1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103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血管紧张素Ⅰ测定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内分泌代谢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74.2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104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苯丙氨酸测定(PKU:定量)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内分泌代谢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18.5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105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β－胶原降解产物测定（β－CTX）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内分泌代谢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70.7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106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总I型胶原氨基端延长肽（PINP）检测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内分泌代谢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93.2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107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25-羟基维生素D-色谱法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内分泌代谢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147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108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血游离脂肪酸测定（遗传代谢病检测）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内分泌代谢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187.92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109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血清各类氨基酸测定（遗传代谢病检测）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内分泌代谢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54.4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110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尿游离脂肪酸测定（尿液有机酸分析）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内分泌代谢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178.9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111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尿各类氨基酸测定（尿液有机酸分析）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内分泌代谢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54.4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112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血浆脂蛋白磷脂酶A2(Lp-PLA2)测定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内分泌代谢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167.6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113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血浆甲氧基肾上腺素类物质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内分泌代谢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323.8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114</w:t>
            </w:r>
          </w:p>
        </w:tc>
        <w:tc>
          <w:tcPr>
            <w:tcW w:w="3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IA2A、ZnT8(I型糖尿病抗体）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内分泌代谢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 w:bidi="ar"/>
              </w:rPr>
              <w:t>203.0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</w:tbl>
    <w:p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p>
      <w:pPr>
        <w:rPr>
          <w:rFonts w:ascii="宋体" w:hAnsi="宋体" w:eastAsia="宋体" w:cs="宋体"/>
          <w:b/>
          <w:bCs/>
          <w:color w:val="000000"/>
          <w:kern w:val="0"/>
          <w:sz w:val="2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lang w:bidi="ar"/>
        </w:rPr>
        <w:t>（三）项目清单报价明细表（临检项目三）</w:t>
      </w:r>
    </w:p>
    <w:tbl>
      <w:tblPr>
        <w:tblStyle w:val="11"/>
        <w:tblW w:w="1393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8"/>
        <w:gridCol w:w="2967"/>
        <w:gridCol w:w="1568"/>
        <w:gridCol w:w="1092"/>
        <w:gridCol w:w="1508"/>
        <w:gridCol w:w="1284"/>
        <w:gridCol w:w="1270"/>
        <w:gridCol w:w="877"/>
        <w:gridCol w:w="1779"/>
        <w:gridCol w:w="96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bidi="ar"/>
              </w:rPr>
              <w:t>序号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bidi="ar"/>
              </w:rPr>
              <w:t>项目名称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bidi="ar"/>
              </w:rPr>
              <w:t>类型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highlight w:val="none"/>
              </w:rPr>
              <w:t>时限要求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bidi="ar"/>
              </w:rPr>
              <w:t>实际完成时限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bidi="ar"/>
              </w:rPr>
              <w:t>检测方法学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highlight w:val="none"/>
              </w:rPr>
              <w:t>检验基准价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bidi="ar"/>
              </w:rPr>
              <w:t>（元）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bidi="ar"/>
              </w:rPr>
              <w:t>折扣率（%）</w:t>
            </w: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bidi="ar"/>
              </w:rPr>
              <w:t>实际检测价格（元）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bidi="ar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Y染色体微缺失（8个位点）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生殖医学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756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儿童或成人染色体微阵列检测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生殖医学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14个工作日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3344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精浆弹性蛋白酶定量(PMN)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生殖医学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84.7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精浆果糖定量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生殖医学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153.2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精浆酸性磷酸酶定量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生殖医学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126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精浆锌定量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生殖医学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64.5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精浆中性α-葡萄糖苷酶活性测定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生殖医学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141.1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抗HCG抗体IgG测定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生殖医学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56.4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9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抗HCG抗体IgM测定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生殖医学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56.4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抗精子抗体IgG测定-定量分析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生殖医学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25.8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11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抗精子抗体IgM测定-定量分析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生殖医学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25.8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12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抗卵巢抗体IgG测定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生殖医学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56.4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13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抗卵巢抗体IgM测定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生殖医学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56.4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14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抗卵细胞透明带抗体IgG测定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生殖医学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52.4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15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抗卵细胞透明带抗体IgM测定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生殖医学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52.4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16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抗人绒毛膜促性腺激素抗体IgG(AHCGAb)测定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生殖医学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56.4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17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抗人绒毛膜促性腺激素抗体IgM(AHCGAb)测定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生殖医学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56.4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18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抗心磷脂抗体(定量）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生殖医学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48.4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19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抗心磷脂抗体IgG测定(ACA)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生殖医学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18.5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20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抗心磷脂抗体IgM测定(ACA)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生殖医学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18.5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21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抗子宫内膜抗体IgG测定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生殖医学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37.1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抗子宫内膜抗体IgG测定(EMAb)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生殖医学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37.1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23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流产物染色体微阵列检测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生殖医学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14个工作日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2090.88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24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抑制素B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生殖医学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166.3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25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抗β2-糖蛋白1IgA抗体测定(快速定量检测)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生殖医学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80.6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26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抗β2-糖蛋白1IgG抗体测定(快速定量检测)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生殖医学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80.6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27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抗β2-糖蛋白1IgM抗体测定(快速定量检测)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生殖医学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80.6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28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抗心磷脂抗体IgA测定(ACA)-快速定量检测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生殖医学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48.4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29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抗心磷脂抗体IgG测定(ACA)-快速定量检测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生殖医学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48.4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30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抗心磷脂抗体IgM测定(ACA)-快速定量检测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生殖医学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48.4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31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过敏原(点青霉、分枝孢霉、烟曲霉、白色念珠菌、交链孢霉、长蠕孢)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24.2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32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过敏原(猫、马、奶牛、狗毛发皮屑)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24.2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33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过敏原(屋尘螨)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72.6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34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过敏原(户尘螨)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72.6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35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过敏原(粉尘螨)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72.6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36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过敏原(牛奶)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72.6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37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过敏原(小麦)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72.6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38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过敏原(花生)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72.6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39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过敏原(黄豆)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72.6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40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过敏原(蟹)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72.6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41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过敏原(虾)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72.6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42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过敏原(蟑螂)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72.6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43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过敏原(狗毛)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72.6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44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过敏原(鳕鱼)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72.6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45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过敏原(鸡蛋白）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72.6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46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过敏原（树花粉组合（栎树/榆树/梧桐/柳树/杨树)）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24.2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47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过敏原（混合草（肯塔基蓝草/草地羊茅/果园草/小糠草/黑麦草/梯牧草/黄花茅)）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24.2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48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过敏原(包含尘螨类，动物皮毛类，混合草花粉类，混合树木花粉类，霉菌类等)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24.2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49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真菌致敏哮喘/变应型支气管肺曲霉病(ABPA)过敏原组合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580.8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50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特应型皮炎/湿疹/荨麻疹过敏原组合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580.8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51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脱敏组合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56.4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52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食物特异性IgG检测(牛肉、鳕鱼、鸡蛋、牛奶、虾、大豆、小麦)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169.4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53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食物特异性IgG检测(龙虾、三文鱼、沙丁鱼、草鱼、带鱼、扇贝、蛤)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169.4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54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食物特异性IgG检测(西瓜、橄榄、蓝莓、菠萝、橘子、桃、苹果、榴莲、芒果、香蕉、哈密瓜、葡萄、柚子、草莓)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271.04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55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(矮豚草、艾蒿、屋尘螨/粉尘螨/屋尘、猫毛皮屑、狗毛皮屑、蟑螂、葎草、桑树、混合草（肯塔基蓝草/草地羊茅/果园草/小糠草/黑麦草/梯牧草/黄花茅)、(霉菌组合(点青霉/交链孢霉/烟曲霉/分枝孢霉)、树花粉组合（栎树/榆树/梧桐/柳树/杨树)、苋、鸡蛋白、牛奶、腰果、花生、黄豆、龙虾/扇贝、鲑鱼、虾、蟹、鳕鱼、贝、羊肉、牛肉、菠萝、芒果）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542.08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56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儿童皮肤过敏测试(3岁以下)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363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57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儿童皮肤过敏测试(3岁以上)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363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58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鼻炎/哮喘过敏原组合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580.8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59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嗜酸细胞阳离子蛋白(ECP)测定-各种免疫学方法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75.6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60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总IgE测定-化学发光法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56.4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61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特殊变应原(多价变应原)筛查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过敏原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24.2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62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氨茶碱(Theophlline)浓度测定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药物浓度测定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229.9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63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丙戊酸(Valproic Acid)浓度测定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药物浓度测定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103.8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64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卡马西平浓度测定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药物浓度测定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103.8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65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苯巴比妥(鲁米那)浓度测定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药物浓度测定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103.8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66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苯妥英钠(大仑丁)浓度测定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药物浓度测定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103.8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67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地高辛(Digoxin)浓度测定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药物浓度测定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229.9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68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他克莫司 药物浓度测定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药物浓度测定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229.9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69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环孢霉素A药物浓度测定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药物浓度测定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229.9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70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万古霉素(VAN)药物浓度测定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药物浓度测定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103.8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71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亚胺培南药物浓度测定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药物浓度测定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103.8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72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厄他培南药物浓度测定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药物浓度测定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103.8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73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氟康唑药物浓度测定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药物浓度测定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103.8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74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伏立康唑药物浓度测定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药物浓度测定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103.8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75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艾沙康唑药物浓度测定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药物浓度测定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103.8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76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多粘菌素药物浓度测定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药物浓度测定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103.8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77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白细胞介素Ⅵ测定(IL-6)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炎症因子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67.2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78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肿瘤坏死因子测定(TNF)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炎症因子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60.5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79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鳞癌细胞抗原SCC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肿瘤标记物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50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80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神经元特异性烯醇化酶测定(NSE)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肿瘤标记物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50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81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糖类抗原测定(CA72－4)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肿瘤标记物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50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82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细胞角蛋白19片段测定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肿瘤标记物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50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83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CD4细胞ATP释放试验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肿瘤标记物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1231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84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人附睾蛋白(HE4)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肿瘤标记物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84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85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异常凝血酶原（PIVKA-II）（用于肝癌患者的筛查）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肿瘤标记物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176.0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86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CA50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肿瘤标记物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111.3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87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CA24-2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肿瘤标记物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111.3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88</w:t>
            </w:r>
          </w:p>
        </w:tc>
        <w:tc>
          <w:tcPr>
            <w:tcW w:w="2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食物不耐受（鳕鱼、蛋清、蛋黄、牛奶、牛肉、虾、大豆、小麦、鸡肉、玉米、蟹、蘑菇、猪肉、大米、西红柿）</w:t>
            </w:r>
          </w:p>
        </w:tc>
        <w:tc>
          <w:tcPr>
            <w:tcW w:w="1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3个工作日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271.04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</w:tbl>
    <w:p>
      <w:pPr>
        <w:rPr>
          <w:rFonts w:ascii="宋体" w:hAnsi="宋体" w:eastAsia="宋体" w:cs="宋体"/>
          <w:color w:val="000000"/>
          <w:kern w:val="0"/>
          <w:szCs w:val="21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bidi="ar"/>
        </w:rPr>
        <w:br w:type="page"/>
      </w:r>
    </w:p>
    <w:p>
      <w:pPr>
        <w:rPr>
          <w:rFonts w:ascii="宋体" w:hAnsi="宋体" w:eastAsia="宋体" w:cs="宋体"/>
          <w:b/>
          <w:bCs/>
          <w:color w:val="000000"/>
          <w:kern w:val="0"/>
          <w:sz w:val="2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lang w:bidi="ar"/>
        </w:rPr>
        <w:t>（四）项目清单报价明细表（病理检查及基因诊断项目）</w:t>
      </w:r>
    </w:p>
    <w:tbl>
      <w:tblPr>
        <w:tblStyle w:val="11"/>
        <w:tblW w:w="1393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8"/>
        <w:gridCol w:w="3219"/>
        <w:gridCol w:w="1040"/>
        <w:gridCol w:w="1190"/>
        <w:gridCol w:w="1652"/>
        <w:gridCol w:w="1360"/>
        <w:gridCol w:w="1281"/>
        <w:gridCol w:w="1072"/>
        <w:gridCol w:w="1643"/>
        <w:gridCol w:w="8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highlight w:val="none"/>
              </w:rPr>
            </w:pPr>
            <w:bookmarkStart w:id="1" w:name="OLE_LINK31" w:colFirst="0" w:colLast="9"/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bidi="ar"/>
              </w:rPr>
              <w:t>序号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bidi="ar"/>
              </w:rPr>
              <w:t>项目名称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bidi="ar"/>
              </w:rPr>
              <w:t>类型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highlight w:val="none"/>
              </w:rPr>
              <w:t>时限要求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bidi="ar"/>
              </w:rPr>
              <w:t>实际完成时限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bidi="ar"/>
              </w:rPr>
              <w:t>检测方法学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highlight w:val="none"/>
              </w:rPr>
              <w:t>检验基准价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bidi="ar"/>
              </w:rPr>
              <w:t>（元）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bidi="ar"/>
              </w:rPr>
              <w:t>折扣率（%）</w:t>
            </w: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bidi="ar"/>
              </w:rPr>
              <w:t>实际检测价格（元）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highlight w:val="none"/>
                <w:lang w:bidi="ar"/>
              </w:rPr>
              <w:t>备注</w:t>
            </w:r>
          </w:p>
        </w:tc>
      </w:tr>
      <w:bookmarkEnd w:id="1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1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穿刺组织活检检查与诊断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病理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3个工作日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46.8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2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内镜组织活检检查与诊断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病理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3个工作日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86.1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3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局部切除组织活检检查与诊断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病理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3个工作日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86.1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4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骨髓组织活检检查与诊断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病理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3个工作日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86.1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5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手术标本检查与诊断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病理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3个工作日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112.3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6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普通透射电镜检查与诊断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病理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3个工作日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322.9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7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疑难病理会诊(Consultation)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病理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3个工作日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140.4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8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细针穿刺细胞学检查与诊断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病理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3个工作日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93.6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9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全自动免疫组织化学染色诊断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病理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3个工作日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281.8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10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常规肾脏病理（含特殊染色及酶组织化学染色诊断、免疫荧光染色诊断、普通透射电镜检查与诊断、穿刺组织活检检查与诊断）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病理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3个工作日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967.2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11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特殊染色及酶组织化学染色诊断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病理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3个工作日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46.8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12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免疫荧光染色诊断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病理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3个工作日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753.2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13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冰冻快速病理检查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病理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3个工作日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280.8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14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甲状腺穿刺细胞学检查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病理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3个工作日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93.6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15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骨髓涂片检查(细胞学检验+1项细胞化学染色+彩色图文报告)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病理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3个工作日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43.5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16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液基超薄细胞学检测-TCT、LCT（含妇科、非妇科检测）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病理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3个工作日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187.2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17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外周血NK、B细胞亚群绝对计数（细针穿刺细胞学检查与诊断）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病理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3个工作日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468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18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外周血T细胞亚群绝对计数（细针穿刺细胞学检查与诊断）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病理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3个工作日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468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19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肿瘤组织基因测序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病理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3个工作日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7048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20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B细胞克隆性评估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病理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3个工作日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1200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21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外周血涂片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病理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3个工作日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9.3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22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肺癌37基因个体化用药检测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基因测序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3个工作日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7048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23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结直肠癌42基因个体化用药检测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基因测序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3个工作日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7048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24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乳腺癌61基因个体化用药检测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基因测序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3个工作日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8149.25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25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胃癌/食道癌42基因个体化用药检测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基因测序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3个工作日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7488.5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26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EGFR基因突变(外显子18/19/20/21)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基因测序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3个工作日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1722.4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27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KRAS基因突变(外显子2/3)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基因测序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3个工作日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861.2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28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EML4-ALK基因融合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基因测序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3个工作日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1778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29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ROS1基因融合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基因测序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3个工作日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1778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30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BRAF V600E基因突变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基因测序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3个工作日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861.2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31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PIK3CA基因突变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基因测序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3个工作日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1291.8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32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NRAS基因突变(外显子2/3)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基因测序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3个工作日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861.2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33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PD-L1表达水平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基因测序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3个工作日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563.6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34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PD-1表达水平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基因测序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3个工作日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563.6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35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宫颈癌基因甲基化检测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基因测序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3个工作日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1056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36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HLA-B*5801基因检测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基因测序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3个工作日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421.0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37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氯吡格雷耐药性基因检测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基因测序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3个工作日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404.8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38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U-OncoCDx实体瘤基因检测(ctDNA版)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基因测序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3个工作日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14784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39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U-OncoCDx实体瘤基因检测(组织版)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基因测序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3个工作日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8976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bookmarkStart w:id="2" w:name="OLE_LINK24" w:colFirst="2" w:colLast="3"/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40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U-Onco Lite实体瘤基因检测(ctDNA版)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基因测序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3个工作日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3080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bookmarkEnd w:id="2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 w:bidi="ar"/>
              </w:rPr>
              <w:t>41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U-Onco Lite实体瘤基因检测(组织版)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基因测序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3个工作日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 w:bidi="ar"/>
              </w:rPr>
              <w:t>3080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</w:tbl>
    <w:p>
      <w:pPr>
        <w:rPr>
          <w:rFonts w:hint="eastAsia" w:ascii="宋体" w:hAnsi="宋体"/>
          <w:b/>
          <w:bCs/>
          <w:spacing w:val="10"/>
          <w:kern w:val="0"/>
          <w:sz w:val="24"/>
          <w:szCs w:val="24"/>
          <w:lang w:eastAsia="zh-CN"/>
        </w:rPr>
        <w:sectPr>
          <w:footerReference r:id="rId3" w:type="default"/>
          <w:footerReference r:id="rId4" w:type="even"/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/>
          <w:b/>
          <w:bCs/>
          <w:spacing w:val="10"/>
          <w:kern w:val="0"/>
          <w:sz w:val="24"/>
          <w:szCs w:val="24"/>
          <w:lang w:eastAsia="zh-CN"/>
        </w:rPr>
        <w:br w:type="page"/>
      </w:r>
    </w:p>
    <w:p>
      <w:pPr>
        <w:spacing w:line="300" w:lineRule="auto"/>
        <w:rPr>
          <w:rFonts w:hint="eastAsia" w:ascii="宋体" w:hAnsi="宋体"/>
          <w:b/>
          <w:bCs/>
          <w:spacing w:val="10"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pacing w:val="10"/>
          <w:kern w:val="0"/>
          <w:sz w:val="24"/>
          <w:szCs w:val="24"/>
          <w:lang w:eastAsia="zh-CN"/>
        </w:rPr>
        <w:t>附件</w:t>
      </w:r>
      <w:r>
        <w:rPr>
          <w:rFonts w:hint="eastAsia" w:ascii="宋体" w:hAnsi="宋体"/>
          <w:b/>
          <w:bCs/>
          <w:spacing w:val="10"/>
          <w:kern w:val="0"/>
          <w:sz w:val="24"/>
          <w:szCs w:val="24"/>
          <w:lang w:val="en-US" w:eastAsia="zh-CN"/>
        </w:rPr>
        <w:t>2：</w:t>
      </w:r>
    </w:p>
    <w:p>
      <w:pPr>
        <w:jc w:val="center"/>
        <w:rPr>
          <w:rFonts w:hint="eastAsia" w:ascii="宋体" w:hAnsi="宋体" w:eastAsia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汕头市政府采购供应商信用承诺函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致：（采购人、采购代理机构）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我单位参与</w:t>
      </w:r>
      <w:r>
        <w:rPr>
          <w:rFonts w:hint="eastAsia" w:ascii="宋体" w:hAnsi="宋体" w:eastAsia="宋体" w:cs="宋体"/>
          <w:sz w:val="30"/>
          <w:szCs w:val="30"/>
          <w:u w:val="single"/>
          <w:lang w:eastAsia="zh-CN"/>
        </w:rPr>
        <w:t>（项目名称）（项目编号：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30"/>
          <w:szCs w:val="30"/>
          <w:u w:val="single"/>
          <w:lang w:eastAsia="zh-CN"/>
        </w:rPr>
        <w:t>）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项目的政府采购活动，现承诺如下：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我单位具有符合《中华人民共和国政府采购法》《中华人民共和国政府采购法实施条例》及采购文件资格要求规定良好的商业信誉和健全的财务会计制度；依法缴纳税收和社会保障资金；参加政府采购活动前三年内，在经营活动中没有重大违法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若我单位以上承诺不实，自愿承担提供虚假材料谋取中标、成交的法律责任。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承诺供应商（全称并加盖公章）：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法定代表人或授权代表人：（签字或盖章）：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日期：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1200" w:firstLineChars="400"/>
        <w:textAlignment w:val="auto"/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说明：供应商可自行选择是否提供本承诺函，若不提供本承诺函，应按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《中华人民共和国政府采购法》《中华人民共和国政府采购法实施条例》及采购文件资格要求提供相应的证明材料。</w:t>
      </w:r>
    </w:p>
    <w:p>
      <w:pPr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  <w:lang w:eastAsia="zh-CN"/>
        </w:rPr>
        <w:br w:type="page"/>
      </w:r>
    </w:p>
    <w:p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  <w:r>
        <w:rPr>
          <w:rFonts w:hint="eastAsia" w:ascii="宋体" w:hAnsi="宋体"/>
          <w:b/>
          <w:bCs/>
          <w:spacing w:val="10"/>
          <w:kern w:val="0"/>
          <w:sz w:val="24"/>
          <w:szCs w:val="24"/>
          <w:lang w:eastAsia="zh-CN"/>
        </w:rPr>
        <w:t>附件</w:t>
      </w:r>
      <w:r>
        <w:rPr>
          <w:rFonts w:hint="eastAsia" w:ascii="宋体" w:hAnsi="宋体"/>
          <w:b/>
          <w:bCs/>
          <w:spacing w:val="10"/>
          <w:kern w:val="0"/>
          <w:sz w:val="24"/>
          <w:szCs w:val="24"/>
          <w:lang w:val="en-US" w:eastAsia="zh-CN"/>
        </w:rPr>
        <w:t>3：</w:t>
      </w:r>
      <w:r>
        <w:rPr>
          <w:rFonts w:hint="eastAsia" w:ascii="宋体" w:hAnsi="宋体"/>
          <w:b/>
          <w:bCs/>
          <w:spacing w:val="10"/>
          <w:kern w:val="0"/>
          <w:sz w:val="24"/>
          <w:szCs w:val="24"/>
        </w:rPr>
        <w:t>中标服务费标准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59"/>
        <w:textAlignment w:val="auto"/>
        <w:rPr>
          <w:rFonts w:hint="eastAsia" w:hAnsi="宋体" w:cs="Times New Roman"/>
          <w:sz w:val="24"/>
          <w:szCs w:val="24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59"/>
        <w:textAlignment w:val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  <w:lang w:val="en-US" w:eastAsia="zh-CN"/>
        </w:rPr>
        <w:t>1、</w:t>
      </w:r>
      <w:r>
        <w:rPr>
          <w:rFonts w:hint="eastAsia" w:hAnsi="宋体" w:cs="Times New Roman"/>
          <w:sz w:val="24"/>
          <w:szCs w:val="24"/>
        </w:rPr>
        <w:t xml:space="preserve"> 投标人应承担所有与准备和参加投标有关的费用。不论投标的结果如何，招标采购单位均无义务和责任承担这些费用。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59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 w:cs="Times New Roman"/>
          <w:sz w:val="24"/>
          <w:szCs w:val="24"/>
          <w:lang w:val="en-US" w:eastAsia="zh-CN"/>
        </w:rPr>
        <w:t>2、本次招标向中标人收取中标服务费，参照《国家发展改革委关于进一步放开建设项目专业服务价格的通知》（发改价格[2015]299号），以各包预算金额为计算基数，采用差额定率累进法下浮30%计算代理服务费。</w:t>
      </w:r>
      <w:r>
        <w:rPr>
          <w:rFonts w:hint="eastAsia" w:hAnsi="宋体"/>
          <w:sz w:val="24"/>
          <w:szCs w:val="24"/>
        </w:rPr>
        <w:t>中标金额的各部分费率如下表，本项目类型为</w:t>
      </w:r>
      <w:r>
        <w:rPr>
          <w:rFonts w:hint="eastAsia" w:hAnsi="宋体"/>
          <w:b/>
          <w:sz w:val="24"/>
          <w:szCs w:val="24"/>
          <w:u w:val="single"/>
          <w:lang w:eastAsia="zh-CN"/>
        </w:rPr>
        <w:t>服务</w:t>
      </w:r>
      <w:r>
        <w:rPr>
          <w:rFonts w:hint="eastAsia" w:hAnsi="宋体"/>
          <w:b/>
          <w:sz w:val="24"/>
          <w:szCs w:val="24"/>
          <w:u w:val="single"/>
        </w:rPr>
        <w:t>招标</w:t>
      </w:r>
      <w:r>
        <w:rPr>
          <w:rFonts w:hint="eastAsia" w:hAnsi="宋体"/>
          <w:sz w:val="24"/>
          <w:szCs w:val="24"/>
        </w:rPr>
        <w:t>：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1"/>
        <w:gridCol w:w="1980"/>
        <w:gridCol w:w="198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409" w:firstLineChars="585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19050</wp:posOffset>
                      </wp:positionV>
                      <wp:extent cx="1325245" cy="1231900"/>
                      <wp:effectExtent l="3175" t="3175" r="5080" b="22225"/>
                      <wp:wrapNone/>
                      <wp:docPr id="5" name="直接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325245" cy="1231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29.45pt;margin-top:1.5pt;height:97pt;width:104.35pt;z-index:251660288;mso-width-relative:page;mso-height-relative:page;" filled="f" stroked="t" coordsize="21600,21600" o:gfxdata="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5t9LnUAAAACAEAAA8AAAAAAAAAAQAgAAAAIgAAAGRycy9kb3ducmV2LnhtbFBL&#10;AQIUABQAAAAIAIdO4kCj+OQQ+gEAANIDAAAOAAAAAAAAAAEAIAAAACM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646" w:firstLineChars="683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类型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72" w:firstLineChars="196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</wp:posOffset>
                      </wp:positionV>
                      <wp:extent cx="1748790" cy="680085"/>
                      <wp:effectExtent l="1905" t="4445" r="1905" b="20320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48790" cy="680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-5.15pt;margin-top:12.4pt;height:53.55pt;width:137.7pt;z-index:251659264;mso-width-relative:page;mso-height-relative:page;" filled="f" stroked="t" coordsize="21600,21600" o:gfxdata="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F8Nsa1QAAAAoBAAAPAAAAAAAAAAEAIAAAACIAAABkcnMvZG93bnJldi54bWxQ&#10;SwECFAAUAAAACACHTuJAtPVts/oBAADRAwAADgAAAAAAAAABACAAAAAk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费率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中标金额（万元）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货物招标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服务招标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工程招标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100以下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100-500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1.1%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500-1000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0.45%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0.55%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1000-5000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0.35%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5000-10000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0.1%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10000-50000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50000-100000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100000-500000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500000-1000000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1000000以上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一次招标代理费最高限额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人民币350万元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人民币300万元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人民币450万元</w:t>
            </w:r>
          </w:p>
        </w:tc>
      </w:tr>
    </w:tbl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中标人向招标代理机构缴纳中标服务费，以电汇方式缴纳，交费账户为：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收款人：国义招标股份有限公司汕头分公司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开户银行：中国民生银行汕头分行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银行账号：1701014170030807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ascii="宋体" w:hAnsi="宋体"/>
          <w:b/>
          <w:bCs/>
          <w:spacing w:val="10"/>
          <w:kern w:val="0"/>
          <w:sz w:val="28"/>
          <w:szCs w:val="28"/>
        </w:rPr>
      </w:pPr>
      <w:r>
        <w:rPr>
          <w:rFonts w:hint="eastAsia" w:hAnsi="宋体"/>
          <w:sz w:val="24"/>
          <w:szCs w:val="24"/>
        </w:rPr>
        <w:t>用    途：“(项目编号)”中标费</w:t>
      </w:r>
      <w:r>
        <w:rPr>
          <w:sz w:val="24"/>
          <w:szCs w:val="24"/>
        </w:rPr>
        <w:br w:type="page"/>
      </w:r>
      <w:r>
        <w:rPr>
          <w:rFonts w:hint="eastAsia" w:hAnsi="宋体"/>
          <w:b/>
          <w:bCs/>
          <w:spacing w:val="10"/>
          <w:kern w:val="0"/>
          <w:sz w:val="28"/>
          <w:szCs w:val="28"/>
          <w:lang w:eastAsia="zh-CN"/>
        </w:rPr>
        <w:t>附件</w:t>
      </w:r>
      <w:r>
        <w:rPr>
          <w:rFonts w:hint="eastAsia" w:hAnsi="宋体"/>
          <w:b/>
          <w:bCs/>
          <w:spacing w:val="10"/>
          <w:kern w:val="0"/>
          <w:sz w:val="28"/>
          <w:szCs w:val="28"/>
          <w:lang w:val="en-US" w:eastAsia="zh-CN"/>
        </w:rPr>
        <w:t>4</w:t>
      </w:r>
      <w:bookmarkStart w:id="3" w:name="_GoBack"/>
      <w:bookmarkEnd w:id="3"/>
      <w:r>
        <w:rPr>
          <w:rFonts w:hint="eastAsia" w:hAnsi="宋体"/>
          <w:b/>
          <w:bCs/>
          <w:spacing w:val="10"/>
          <w:kern w:val="0"/>
          <w:sz w:val="28"/>
          <w:szCs w:val="28"/>
          <w:lang w:val="en-US" w:eastAsia="zh-CN"/>
        </w:rPr>
        <w:t>：</w:t>
      </w:r>
      <w:r>
        <w:rPr>
          <w:rFonts w:hint="eastAsia" w:ascii="宋体" w:hAnsi="宋体"/>
          <w:b/>
          <w:bCs/>
          <w:spacing w:val="10"/>
          <w:kern w:val="0"/>
          <w:sz w:val="28"/>
          <w:szCs w:val="28"/>
        </w:rPr>
        <w:t>中标服务费承诺书（格式）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szCs w:val="21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国义招标股份有限公司：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本 </w:t>
      </w:r>
      <w:r>
        <w:rPr>
          <w:rFonts w:hint="eastAsia" w:ascii="宋体" w:hAnsi="宋体"/>
          <w:szCs w:val="21"/>
          <w:u w:val="single"/>
        </w:rPr>
        <w:t xml:space="preserve">（投标人名称） </w:t>
      </w:r>
      <w:r>
        <w:rPr>
          <w:rFonts w:hint="eastAsia" w:ascii="宋体" w:hAnsi="宋体"/>
          <w:szCs w:val="21"/>
        </w:rPr>
        <w:t>公司在参加在贵司进行的</w:t>
      </w:r>
      <w:r>
        <w:rPr>
          <w:rFonts w:hint="eastAsia" w:ascii="宋体" w:hAnsi="宋体"/>
          <w:szCs w:val="21"/>
          <w:u w:val="single"/>
        </w:rPr>
        <w:t xml:space="preserve">   （项目名称）  </w:t>
      </w:r>
      <w:r>
        <w:rPr>
          <w:rFonts w:hint="eastAsia" w:ascii="宋体" w:hAnsi="宋体"/>
          <w:szCs w:val="21"/>
        </w:rPr>
        <w:t>(项目编号/包号：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)招标中如获中标，我司保证在领取“中标通知书”前，按本项目投标人须知相关规定向贵司缴纳 “中标服务费”。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如我方违约，愿凭贵方开出的违约通知，按上述承付金额的200%由采购人在支付我司的合同款中代为扣付。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特此承诺。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另关于我司缴纳中标服务费后开具中标服务费发票的事宜，我司声明如下：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A：</w:t>
      </w:r>
      <w:r>
        <w:rPr>
          <w:rFonts w:hint="eastAsia" w:ascii="宋体" w:hAnsi="宋体"/>
          <w:szCs w:val="21"/>
        </w:rPr>
        <w:t>如需开具</w:t>
      </w:r>
      <w:r>
        <w:rPr>
          <w:rFonts w:hint="eastAsia" w:ascii="宋体" w:hAnsi="宋体"/>
          <w:b/>
          <w:szCs w:val="21"/>
          <w:u w:val="single"/>
        </w:rPr>
        <w:t>增值税普通发票</w:t>
      </w:r>
      <w:r>
        <w:rPr>
          <w:rFonts w:hint="eastAsia" w:ascii="宋体" w:hAnsi="宋体"/>
          <w:szCs w:val="21"/>
        </w:rPr>
        <w:t>，请于下方（ ）打“√”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    ）请向我司开具中标费的“</w:t>
      </w:r>
      <w:r>
        <w:rPr>
          <w:rFonts w:hint="eastAsia" w:ascii="宋体" w:hAnsi="宋体"/>
          <w:b/>
          <w:szCs w:val="21"/>
          <w:u w:val="single"/>
        </w:rPr>
        <w:t>增值税普通发票</w:t>
      </w:r>
      <w:r>
        <w:rPr>
          <w:rFonts w:hint="eastAsia" w:ascii="宋体" w:hAnsi="宋体"/>
          <w:b/>
          <w:szCs w:val="21"/>
        </w:rPr>
        <w:t>”</w:t>
      </w:r>
      <w:r>
        <w:rPr>
          <w:rFonts w:hint="eastAsia" w:ascii="宋体" w:hAnsi="宋体"/>
          <w:szCs w:val="21"/>
        </w:rPr>
        <w:t>，开票信息如下：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1、</w:t>
      </w:r>
      <w:r>
        <w:rPr>
          <w:rFonts w:hint="eastAsia" w:ascii="宋体" w:hAnsi="宋体"/>
          <w:szCs w:val="21"/>
        </w:rPr>
        <w:t>我司工商注册名称为：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  <w:r>
        <w:rPr>
          <w:rFonts w:hint="eastAsia" w:ascii="宋体" w:hAnsi="宋体"/>
          <w:szCs w:val="21"/>
        </w:rPr>
        <w:t>；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2、纳税人识别号（国税）/或统一社会信用代码：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/>
          <w:b w:val="0"/>
          <w:bCs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szCs w:val="21"/>
          <w:lang w:val="en-US" w:eastAsia="zh-CN"/>
        </w:rPr>
        <w:t>3、查收电子发票邮箱：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B：</w:t>
      </w:r>
      <w:r>
        <w:rPr>
          <w:rFonts w:hint="eastAsia" w:ascii="宋体" w:hAnsi="宋体"/>
          <w:szCs w:val="21"/>
        </w:rPr>
        <w:t>如需开具增值税专用发票，请于下方（ ）打“√”,并提供相关资料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    ）请向我司开具中标费的“</w:t>
      </w:r>
      <w:r>
        <w:rPr>
          <w:rFonts w:hint="eastAsia" w:ascii="宋体" w:hAnsi="宋体"/>
          <w:b/>
          <w:szCs w:val="21"/>
          <w:u w:val="single"/>
        </w:rPr>
        <w:t>增值税专用发票</w:t>
      </w:r>
      <w:r>
        <w:rPr>
          <w:rFonts w:hint="eastAsia" w:ascii="宋体" w:hAnsi="宋体"/>
          <w:b/>
          <w:szCs w:val="21"/>
        </w:rPr>
        <w:t>”</w:t>
      </w:r>
      <w:r>
        <w:rPr>
          <w:rFonts w:hint="eastAsia" w:ascii="宋体" w:hAnsi="宋体"/>
          <w:szCs w:val="21"/>
        </w:rPr>
        <w:t>，开票信息为：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1、我司工商注册名称：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2、纳税人识别号（国税）/或统一社会信用代码：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3、注册地址：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4、办公电话（固话）：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5、开户银行及账号：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6、一般纳税人资格证书/或加盖了税务局“增值税一般纳税人”条章的国税登记证扫描件/或在所属国税局网站的查询结果截图</w:t>
      </w:r>
      <w:r>
        <w:rPr>
          <w:rFonts w:hint="eastAsia" w:ascii="宋体" w:hAnsi="宋体"/>
          <w:szCs w:val="21"/>
          <w:u w:val="single"/>
        </w:rPr>
        <w:t>（截图后附）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中标单位联系人：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， 手机</w:t>
      </w:r>
      <w:r>
        <w:rPr>
          <w:rFonts w:hint="eastAsia" w:ascii="宋体" w:hAnsi="宋体"/>
          <w:szCs w:val="21"/>
          <w:u w:val="single"/>
        </w:rPr>
        <w:t xml:space="preserve">号：            </w:t>
      </w:r>
      <w:r>
        <w:rPr>
          <w:rFonts w:hint="eastAsia" w:ascii="宋体" w:hAnsi="宋体"/>
          <w:szCs w:val="21"/>
          <w:u w:val="single"/>
          <w:lang w:eastAsia="zh-CN"/>
        </w:rPr>
        <w:t>；</w:t>
      </w:r>
      <w:r>
        <w:rPr>
          <w:rFonts w:hint="eastAsia" w:ascii="宋体" w:hAnsi="宋体"/>
          <w:szCs w:val="21"/>
        </w:rPr>
        <w:t xml:space="preserve"> </w:t>
      </w:r>
    </w:p>
    <w:p>
      <w:pPr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单位地址：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电话：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传真：</w:t>
      </w:r>
      <w:r>
        <w:rPr>
          <w:rFonts w:hint="eastAsia" w:ascii="宋体" w:hAnsi="宋体"/>
          <w:szCs w:val="21"/>
          <w:u w:val="single"/>
        </w:rPr>
        <w:t xml:space="preserve">        。</w:t>
      </w:r>
    </w:p>
    <w:p>
      <w:pPr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7、</w:t>
      </w:r>
      <w:r>
        <w:rPr>
          <w:rFonts w:hint="eastAsia" w:ascii="宋体" w:hAnsi="宋体"/>
          <w:b w:val="0"/>
          <w:bCs/>
          <w:szCs w:val="21"/>
          <w:lang w:val="en-US" w:eastAsia="zh-CN"/>
        </w:rPr>
        <w:t>查收电子发票邮箱：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特此声明。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投标人法定代表人（或法定代表人授权代表）签字：                   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szCs w:val="21"/>
        </w:rPr>
        <w:t xml:space="preserve">投标人名称（加盖公章）：                </w:t>
      </w:r>
      <w:r>
        <w:rPr>
          <w:rFonts w:hint="eastAsia" w:ascii="宋体" w:hAnsi="宋体"/>
        </w:rPr>
        <w:t xml:space="preserve">        </w:t>
      </w:r>
    </w:p>
    <w:p>
      <w:pPr>
        <w:pStyle w:val="17"/>
      </w:pPr>
      <w:r>
        <w:rPr>
          <w:rFonts w:hint="eastAsia" w:ascii="宋体" w:hAnsi="宋体"/>
          <w:bCs w:val="0"/>
          <w:spacing w:val="0"/>
          <w:kern w:val="2"/>
          <w:sz w:val="21"/>
          <w:szCs w:val="24"/>
        </w:rPr>
        <w:t>日期：          年      月     日</w:t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jc w:val="center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8</w:t>
    </w:r>
    <w:r>
      <w:fldChar w:fldCharType="end"/>
    </w:r>
  </w:p>
  <w:p>
    <w:pPr>
      <w:pStyle w:val="9"/>
    </w:pPr>
  </w:p>
  <w:p/>
  <w:p/>
  <w:p/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>
    <w:pPr>
      <w:pStyle w:val="9"/>
    </w:pPr>
  </w:p>
  <w:p/>
  <w:p/>
  <w:p/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71B"/>
    <w:rsid w:val="00022B3E"/>
    <w:rsid w:val="00064A5D"/>
    <w:rsid w:val="000E1CCC"/>
    <w:rsid w:val="001E0B2E"/>
    <w:rsid w:val="002A538F"/>
    <w:rsid w:val="00332A2A"/>
    <w:rsid w:val="003B32FA"/>
    <w:rsid w:val="003D6564"/>
    <w:rsid w:val="005D51E7"/>
    <w:rsid w:val="005F298E"/>
    <w:rsid w:val="0060038B"/>
    <w:rsid w:val="006C5828"/>
    <w:rsid w:val="007D24A7"/>
    <w:rsid w:val="0080671B"/>
    <w:rsid w:val="008F673B"/>
    <w:rsid w:val="00A40BF8"/>
    <w:rsid w:val="00B912A2"/>
    <w:rsid w:val="00C92B49"/>
    <w:rsid w:val="00C95C15"/>
    <w:rsid w:val="00E47C75"/>
    <w:rsid w:val="00E87A50"/>
    <w:rsid w:val="00EA1C53"/>
    <w:rsid w:val="00F550F8"/>
    <w:rsid w:val="02AB5303"/>
    <w:rsid w:val="03562036"/>
    <w:rsid w:val="0C034D4E"/>
    <w:rsid w:val="16D54683"/>
    <w:rsid w:val="18A15A26"/>
    <w:rsid w:val="1FD13FAD"/>
    <w:rsid w:val="1FD52693"/>
    <w:rsid w:val="21F744E1"/>
    <w:rsid w:val="22D7310D"/>
    <w:rsid w:val="2CC735F0"/>
    <w:rsid w:val="2E62727C"/>
    <w:rsid w:val="33266D7C"/>
    <w:rsid w:val="36B45BC1"/>
    <w:rsid w:val="3A5545A3"/>
    <w:rsid w:val="3AE97C8B"/>
    <w:rsid w:val="3BF13B26"/>
    <w:rsid w:val="3E752247"/>
    <w:rsid w:val="3F77450F"/>
    <w:rsid w:val="462C40F0"/>
    <w:rsid w:val="4C15312C"/>
    <w:rsid w:val="50852EF4"/>
    <w:rsid w:val="54B3609F"/>
    <w:rsid w:val="55D64EBB"/>
    <w:rsid w:val="566F34B5"/>
    <w:rsid w:val="598904FF"/>
    <w:rsid w:val="5CDE5995"/>
    <w:rsid w:val="62F81A42"/>
    <w:rsid w:val="62FB51C1"/>
    <w:rsid w:val="641016BA"/>
    <w:rsid w:val="6804615C"/>
    <w:rsid w:val="68573B38"/>
    <w:rsid w:val="69CF101D"/>
    <w:rsid w:val="6D335655"/>
    <w:rsid w:val="6E651BA5"/>
    <w:rsid w:val="6F22151C"/>
    <w:rsid w:val="72220964"/>
    <w:rsid w:val="741624E7"/>
    <w:rsid w:val="74850129"/>
    <w:rsid w:val="758332E9"/>
    <w:rsid w:val="75A520DF"/>
    <w:rsid w:val="787D22C7"/>
    <w:rsid w:val="7B0A596E"/>
    <w:rsid w:val="7C8119AC"/>
    <w:rsid w:val="7CFA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widowControl w:val="0"/>
      <w:ind w:left="200" w:firstLine="200" w:firstLineChars="200"/>
    </w:pPr>
    <w:rPr>
      <w:rFonts w:ascii="Times New Roman" w:hAnsi="Times New Roman" w:eastAsia="宋体"/>
      <w:kern w:val="2"/>
      <w:szCs w:val="20"/>
    </w:rPr>
  </w:style>
  <w:style w:type="paragraph" w:styleId="3">
    <w:name w:val="Body Text Indent"/>
    <w:basedOn w:val="1"/>
    <w:next w:val="4"/>
    <w:qFormat/>
    <w:uiPriority w:val="0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link w:val="16"/>
    <w:qFormat/>
    <w:uiPriority w:val="0"/>
    <w:pPr>
      <w:ind w:firstLine="420"/>
    </w:pPr>
    <w:rPr>
      <w:szCs w:val="24"/>
    </w:rPr>
  </w:style>
  <w:style w:type="paragraph" w:styleId="7">
    <w:name w:val="Body Text"/>
    <w:basedOn w:val="1"/>
    <w:next w:val="1"/>
    <w:qFormat/>
    <w:uiPriority w:val="0"/>
    <w:pPr>
      <w:spacing w:line="360" w:lineRule="auto"/>
    </w:pPr>
    <w:rPr>
      <w:szCs w:val="20"/>
    </w:rPr>
  </w:style>
  <w:style w:type="paragraph" w:styleId="8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9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3">
    <w:name w:val="page number"/>
    <w:qFormat/>
    <w:uiPriority w:val="0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14">
    <w:name w:val="页眉 Char"/>
    <w:link w:val="10"/>
    <w:qFormat/>
    <w:uiPriority w:val="99"/>
    <w:rPr>
      <w:kern w:val="2"/>
      <w:sz w:val="18"/>
      <w:szCs w:val="18"/>
    </w:rPr>
  </w:style>
  <w:style w:type="character" w:customStyle="1" w:styleId="15">
    <w:name w:val="页脚 Char"/>
    <w:link w:val="9"/>
    <w:qFormat/>
    <w:uiPriority w:val="99"/>
    <w:rPr>
      <w:kern w:val="2"/>
      <w:sz w:val="18"/>
      <w:szCs w:val="18"/>
    </w:rPr>
  </w:style>
  <w:style w:type="character" w:customStyle="1" w:styleId="16">
    <w:name w:val="正文缩进 Char"/>
    <w:link w:val="6"/>
    <w:qFormat/>
    <w:uiPriority w:val="0"/>
    <w:rPr>
      <w:kern w:val="2"/>
      <w:sz w:val="21"/>
      <w:szCs w:val="24"/>
    </w:rPr>
  </w:style>
  <w:style w:type="paragraph" w:customStyle="1" w:styleId="17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1216</Words>
  <Characters>6934</Characters>
  <Lines>57</Lines>
  <Paragraphs>16</Paragraphs>
  <TotalTime>1</TotalTime>
  <ScaleCrop>false</ScaleCrop>
  <LinksUpToDate>false</LinksUpToDate>
  <CharactersWithSpaces>8134</CharactersWithSpaces>
  <Application>WPS Office_11.8.6.11020_F1E327BC-269C-435d-A152-05C5408002CA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2020-10-21T09:44:00Z</dcterms:created>
  <dc:creator>批注</dc:creator>
  <cp:lastModifiedBy>dell</cp:lastModifiedBy>
  <dcterms:modified xsi:type="dcterms:W3CDTF">2025-07-30T09:34:27Z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A271AED695534593BBC9CE1F815D9430</vt:lpwstr>
  </property>
</Properties>
</file>