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4C5C0">
      <w:pPr>
        <w:tabs>
          <w:tab w:val="left" w:pos="420"/>
          <w:tab w:val="left" w:pos="6660"/>
        </w:tabs>
        <w:spacing w:line="1600" w:lineRule="atLeast"/>
        <w:rPr>
          <w:rFonts w:hint="eastAsia" w:ascii="宋体" w:hAnsi="宋体" w:eastAsia="宋体" w:cs="宋体"/>
          <w:highlight w:val="none"/>
        </w:rPr>
      </w:pPr>
      <w:r>
        <w:rPr>
          <w:rFonts w:hint="eastAsia" w:ascii="宋体" w:hAnsi="宋体" w:eastAsia="宋体" w:cs="宋体"/>
          <w:highlight w:val="none"/>
        </w:rPr>
        <w:drawing>
          <wp:anchor distT="0" distB="0" distL="114300" distR="114300" simplePos="0" relativeHeight="251661312" behindDoc="0" locked="0" layoutInCell="1" allowOverlap="1">
            <wp:simplePos x="0" y="0"/>
            <wp:positionH relativeFrom="page">
              <wp:posOffset>1468120</wp:posOffset>
            </wp:positionH>
            <wp:positionV relativeFrom="page">
              <wp:posOffset>1414145</wp:posOffset>
            </wp:positionV>
            <wp:extent cx="1762125" cy="684530"/>
            <wp:effectExtent l="0" t="0" r="0" b="127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rcRect r="35049" b="51643"/>
                    <a:stretch>
                      <a:fillRect/>
                    </a:stretch>
                  </pic:blipFill>
                  <pic:spPr>
                    <a:xfrm>
                      <a:off x="0" y="0"/>
                      <a:ext cx="1762125" cy="684530"/>
                    </a:xfrm>
                    <a:prstGeom prst="rect">
                      <a:avLst/>
                    </a:prstGeom>
                    <a:noFill/>
                    <a:ln>
                      <a:noFill/>
                    </a:ln>
                  </pic:spPr>
                </pic:pic>
              </a:graphicData>
            </a:graphic>
          </wp:anchor>
        </w:drawing>
      </w:r>
      <w:r>
        <w:rPr>
          <w:rFonts w:hint="eastAsia" w:ascii="宋体" w:hAnsi="宋体" w:eastAsia="宋体" w:cs="宋体"/>
          <w:highlight w:val="none"/>
        </w:rPr>
        <w:drawing>
          <wp:anchor distT="0" distB="0" distL="114300" distR="114300" simplePos="0" relativeHeight="251659264" behindDoc="0" locked="0" layoutInCell="1" allowOverlap="1">
            <wp:simplePos x="0" y="0"/>
            <wp:positionH relativeFrom="margin">
              <wp:posOffset>2469515</wp:posOffset>
            </wp:positionH>
            <wp:positionV relativeFrom="paragraph">
              <wp:posOffset>542925</wp:posOffset>
            </wp:positionV>
            <wp:extent cx="2707005" cy="578485"/>
            <wp:effectExtent l="0" t="0" r="0"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3"/>
                    <a:srcRect l="7419" t="36481" r="7057" b="32161"/>
                    <a:stretch>
                      <a:fillRect/>
                    </a:stretch>
                  </pic:blipFill>
                  <pic:spPr>
                    <a:xfrm>
                      <a:off x="0" y="0"/>
                      <a:ext cx="2707005" cy="578485"/>
                    </a:xfrm>
                    <a:prstGeom prst="rect">
                      <a:avLst/>
                    </a:prstGeom>
                    <a:noFill/>
                    <a:ln>
                      <a:noFill/>
                    </a:ln>
                  </pic:spPr>
                </pic:pic>
              </a:graphicData>
            </a:graphic>
          </wp:anchor>
        </w:drawing>
      </w:r>
    </w:p>
    <w:p w14:paraId="38EA9A3C">
      <w:pPr>
        <w:tabs>
          <w:tab w:val="left" w:pos="420"/>
          <w:tab w:val="left" w:pos="6660"/>
        </w:tabs>
        <w:spacing w:line="1600" w:lineRule="atLeast"/>
        <w:jc w:val="center"/>
        <w:rPr>
          <w:rFonts w:hint="eastAsia" w:ascii="宋体" w:hAnsi="宋体" w:eastAsia="宋体" w:cs="宋体"/>
          <w:b/>
          <w:sz w:val="84"/>
          <w:szCs w:val="84"/>
          <w:highlight w:val="none"/>
          <w:lang w:val="en-US" w:eastAsia="zh-CN"/>
        </w:rPr>
      </w:pPr>
    </w:p>
    <w:p w14:paraId="7B4B17B1">
      <w:pPr>
        <w:tabs>
          <w:tab w:val="left" w:pos="420"/>
          <w:tab w:val="left" w:pos="6660"/>
        </w:tabs>
        <w:spacing w:line="1600" w:lineRule="atLeast"/>
        <w:jc w:val="center"/>
        <w:rPr>
          <w:rFonts w:hint="eastAsia" w:ascii="宋体" w:hAnsi="宋体" w:eastAsia="宋体" w:cs="宋体"/>
          <w:b/>
          <w:sz w:val="84"/>
          <w:szCs w:val="84"/>
          <w:highlight w:val="none"/>
        </w:rPr>
      </w:pPr>
      <w:r>
        <w:rPr>
          <w:rFonts w:hint="eastAsia" w:ascii="宋体" w:hAnsi="宋体" w:eastAsia="宋体" w:cs="宋体"/>
          <w:b/>
          <w:sz w:val="84"/>
          <w:szCs w:val="84"/>
          <w:highlight w:val="none"/>
        </w:rPr>
        <w:t>公开招标文件</w:t>
      </w:r>
    </w:p>
    <w:p w14:paraId="465E7610">
      <w:pPr>
        <w:spacing w:line="500" w:lineRule="exact"/>
        <w:jc w:val="center"/>
        <w:rPr>
          <w:rFonts w:hint="eastAsia" w:ascii="宋体" w:hAnsi="宋体" w:eastAsia="宋体" w:cs="宋体"/>
          <w:bCs/>
          <w:sz w:val="28"/>
          <w:szCs w:val="28"/>
          <w:highlight w:val="none"/>
        </w:rPr>
      </w:pPr>
    </w:p>
    <w:p w14:paraId="456BB72D">
      <w:pPr>
        <w:spacing w:line="500" w:lineRule="exact"/>
        <w:jc w:val="center"/>
        <w:rPr>
          <w:rFonts w:hint="eastAsia" w:ascii="宋体" w:hAnsi="宋体" w:eastAsia="宋体" w:cs="宋体"/>
          <w:bCs/>
          <w:sz w:val="28"/>
          <w:szCs w:val="28"/>
          <w:highlight w:val="none"/>
        </w:rPr>
      </w:pPr>
    </w:p>
    <w:p w14:paraId="33013D4B">
      <w:pPr>
        <w:spacing w:line="500" w:lineRule="exact"/>
        <w:jc w:val="center"/>
        <w:rPr>
          <w:rFonts w:hint="eastAsia" w:ascii="宋体" w:hAnsi="宋体" w:eastAsia="宋体" w:cs="宋体"/>
          <w:b/>
          <w:bCs/>
          <w:sz w:val="32"/>
          <w:szCs w:val="32"/>
          <w:highlight w:val="none"/>
        </w:rPr>
      </w:pPr>
    </w:p>
    <w:p w14:paraId="1345200C">
      <w:pPr>
        <w:spacing w:line="500" w:lineRule="exact"/>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项目编号：</w:t>
      </w:r>
      <w:r>
        <w:rPr>
          <w:rFonts w:hint="eastAsia" w:ascii="宋体" w:hAnsi="宋体" w:cs="宋体"/>
          <w:b/>
          <w:bCs/>
          <w:sz w:val="32"/>
          <w:szCs w:val="32"/>
          <w:highlight w:val="none"/>
          <w:lang w:val="en-US" w:eastAsia="zh-CN"/>
        </w:rPr>
        <w:t>0724-2530SW904000</w:t>
      </w:r>
      <w:r>
        <w:rPr>
          <w:rFonts w:hint="eastAsia" w:ascii="宋体" w:hAnsi="宋体" w:eastAsia="宋体" w:cs="宋体"/>
          <w:b/>
          <w:bCs/>
          <w:sz w:val="32"/>
          <w:szCs w:val="32"/>
          <w:highlight w:val="none"/>
          <w:lang w:eastAsia="zh-CN"/>
        </w:rPr>
        <w:t xml:space="preserve"> </w:t>
      </w:r>
      <w:r>
        <w:rPr>
          <w:rFonts w:hint="eastAsia" w:ascii="宋体" w:hAnsi="宋体" w:eastAsia="宋体" w:cs="宋体"/>
          <w:b/>
          <w:bCs/>
          <w:sz w:val="32"/>
          <w:szCs w:val="32"/>
          <w:highlight w:val="none"/>
        </w:rPr>
        <w:fldChar w:fldCharType="begin"/>
      </w:r>
      <w:r>
        <w:rPr>
          <w:rFonts w:hint="eastAsia" w:ascii="宋体" w:hAnsi="宋体" w:eastAsia="宋体" w:cs="宋体"/>
          <w:b/>
          <w:bCs/>
          <w:sz w:val="32"/>
          <w:szCs w:val="32"/>
          <w:highlight w:val="none"/>
        </w:rPr>
        <w:instrText xml:space="preserve"> DOCVARIABLE  采购编号  \* MERGEFORMAT </w:instrText>
      </w:r>
      <w:r>
        <w:rPr>
          <w:rFonts w:hint="eastAsia" w:ascii="宋体" w:hAnsi="宋体" w:eastAsia="宋体" w:cs="宋体"/>
          <w:b/>
          <w:bCs/>
          <w:sz w:val="32"/>
          <w:szCs w:val="32"/>
          <w:highlight w:val="none"/>
        </w:rPr>
        <w:fldChar w:fldCharType="end"/>
      </w:r>
    </w:p>
    <w:p w14:paraId="330C4C7D">
      <w:pPr>
        <w:spacing w:line="500" w:lineRule="exact"/>
        <w:jc w:val="center"/>
        <w:rPr>
          <w:rFonts w:hint="eastAsia" w:ascii="宋体" w:hAnsi="宋体" w:eastAsia="宋体" w:cs="宋体"/>
          <w:b/>
          <w:bCs/>
          <w:sz w:val="32"/>
          <w:szCs w:val="32"/>
          <w:highlight w:val="none"/>
        </w:rPr>
      </w:pPr>
    </w:p>
    <w:p w14:paraId="7858BDBB">
      <w:pPr>
        <w:tabs>
          <w:tab w:val="left" w:pos="420"/>
          <w:tab w:val="left" w:pos="6660"/>
        </w:tabs>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采购项目名称：</w:t>
      </w:r>
      <w:r>
        <w:rPr>
          <w:rFonts w:hint="eastAsia" w:ascii="宋体" w:hAnsi="宋体" w:eastAsia="宋体" w:cs="宋体"/>
          <w:b/>
          <w:bCs/>
          <w:sz w:val="32"/>
          <w:szCs w:val="32"/>
          <w:highlight w:val="none"/>
          <w:lang w:val="en-US" w:eastAsia="zh-CN"/>
        </w:rPr>
        <w:t>中山大学孙逸仙纪念医院深汕中心医院食堂管理及餐饮服务项目</w:t>
      </w:r>
    </w:p>
    <w:p w14:paraId="089C57E9">
      <w:pPr>
        <w:tabs>
          <w:tab w:val="left" w:pos="420"/>
          <w:tab w:val="left" w:pos="6660"/>
        </w:tabs>
        <w:jc w:val="center"/>
        <w:rPr>
          <w:rFonts w:hint="eastAsia" w:ascii="宋体" w:hAnsi="宋体" w:eastAsia="宋体" w:cs="宋体"/>
          <w:b/>
          <w:bCs/>
          <w:sz w:val="32"/>
          <w:szCs w:val="32"/>
          <w:highlight w:val="none"/>
          <w:lang w:eastAsia="zh-CN"/>
        </w:rPr>
      </w:pPr>
    </w:p>
    <w:p w14:paraId="73353656">
      <w:pPr>
        <w:tabs>
          <w:tab w:val="left" w:pos="420"/>
          <w:tab w:val="left" w:pos="6660"/>
        </w:tabs>
        <w:jc w:val="both"/>
        <w:rPr>
          <w:rFonts w:hint="eastAsia" w:ascii="宋体" w:hAnsi="宋体" w:eastAsia="宋体" w:cs="宋体"/>
          <w:bCs/>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DOCVARIABLE  项目名称  \* MERGEFORMAT </w:instrText>
      </w:r>
      <w:r>
        <w:rPr>
          <w:rFonts w:hint="eastAsia" w:ascii="宋体" w:hAnsi="宋体" w:eastAsia="宋体" w:cs="宋体"/>
          <w:bCs/>
          <w:sz w:val="32"/>
          <w:szCs w:val="32"/>
          <w:highlight w:val="none"/>
        </w:rPr>
        <w:fldChar w:fldCharType="end"/>
      </w:r>
    </w:p>
    <w:p w14:paraId="2974BECD">
      <w:pPr>
        <w:spacing w:line="360" w:lineRule="auto"/>
        <w:jc w:val="center"/>
        <w:rPr>
          <w:rFonts w:hint="eastAsia" w:ascii="宋体" w:hAnsi="宋体" w:eastAsia="宋体" w:cs="宋体"/>
          <w:b/>
          <w:bCs/>
          <w:sz w:val="30"/>
          <w:szCs w:val="30"/>
          <w:highlight w:val="none"/>
        </w:rPr>
      </w:pPr>
    </w:p>
    <w:p w14:paraId="7861E534">
      <w:pPr>
        <w:pStyle w:val="17"/>
        <w:rPr>
          <w:rFonts w:hint="eastAsia" w:ascii="宋体" w:hAnsi="宋体" w:eastAsia="宋体" w:cs="宋体"/>
          <w:b/>
          <w:bCs/>
          <w:sz w:val="30"/>
          <w:szCs w:val="30"/>
          <w:highlight w:val="none"/>
        </w:rPr>
      </w:pPr>
    </w:p>
    <w:p w14:paraId="4E578009">
      <w:pPr>
        <w:spacing w:line="360" w:lineRule="auto"/>
        <w:jc w:val="left"/>
        <w:rPr>
          <w:rFonts w:hint="eastAsia" w:ascii="宋体" w:hAnsi="宋体" w:eastAsia="宋体" w:cs="宋体"/>
          <w:b/>
          <w:bCs/>
          <w:sz w:val="30"/>
          <w:szCs w:val="30"/>
          <w:highlight w:val="none"/>
        </w:rPr>
      </w:pPr>
    </w:p>
    <w:p w14:paraId="73680E62">
      <w:pPr>
        <w:spacing w:line="360" w:lineRule="auto"/>
        <w:jc w:val="left"/>
        <w:rPr>
          <w:rFonts w:hint="eastAsia" w:ascii="宋体" w:hAnsi="宋体" w:eastAsia="宋体" w:cs="宋体"/>
          <w:b/>
          <w:bCs/>
          <w:sz w:val="30"/>
          <w:szCs w:val="30"/>
          <w:highlight w:val="none"/>
        </w:rPr>
      </w:pPr>
    </w:p>
    <w:p w14:paraId="006CDD5E">
      <w:pPr>
        <w:widowControl/>
        <w:jc w:val="left"/>
        <w:rPr>
          <w:rFonts w:hint="eastAsia" w:ascii="宋体" w:hAnsi="宋体" w:eastAsia="宋体" w:cs="宋体"/>
          <w:b/>
          <w:bCs/>
          <w:sz w:val="28"/>
          <w:szCs w:val="28"/>
          <w:highlight w:val="none"/>
        </w:rPr>
      </w:pPr>
      <w:r>
        <w:rPr>
          <w:rFonts w:hint="eastAsia" w:ascii="宋体" w:hAnsi="宋体" w:eastAsia="宋体" w:cs="宋体"/>
          <w:highlight w:val="none"/>
        </w:rPr>
        <w:drawing>
          <wp:anchor distT="0" distB="0" distL="114935" distR="114935" simplePos="0" relativeHeight="251660288" behindDoc="0" locked="0" layoutInCell="1" allowOverlap="1">
            <wp:simplePos x="0" y="0"/>
            <wp:positionH relativeFrom="page">
              <wp:posOffset>2291715</wp:posOffset>
            </wp:positionH>
            <wp:positionV relativeFrom="paragraph">
              <wp:posOffset>53975</wp:posOffset>
            </wp:positionV>
            <wp:extent cx="676275" cy="676275"/>
            <wp:effectExtent l="0" t="0" r="9525" b="9525"/>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4"/>
                    <a:stretch>
                      <a:fillRect/>
                    </a:stretch>
                  </pic:blipFill>
                  <pic:spPr>
                    <a:xfrm>
                      <a:off x="0" y="0"/>
                      <a:ext cx="676275" cy="676275"/>
                    </a:xfrm>
                    <a:prstGeom prst="rect">
                      <a:avLst/>
                    </a:prstGeom>
                    <a:noFill/>
                    <a:ln>
                      <a:noFill/>
                    </a:ln>
                  </pic:spPr>
                </pic:pic>
              </a:graphicData>
            </a:graphic>
          </wp:anchor>
        </w:drawing>
      </w:r>
      <w:r>
        <w:rPr>
          <w:rFonts w:hint="eastAsia" w:ascii="宋体" w:hAnsi="宋体" w:eastAsia="宋体" w:cs="宋体"/>
          <w:b/>
          <w:bCs/>
          <w:sz w:val="28"/>
          <w:szCs w:val="28"/>
          <w:highlight w:val="none"/>
        </w:rPr>
        <w:t xml:space="preserve">                                         国义招标股份有限公司（签章）</w:t>
      </w:r>
    </w:p>
    <w:p w14:paraId="4C6ED5CE">
      <w:pPr>
        <w:widowControl/>
        <w:jc w:val="left"/>
        <w:rPr>
          <w:rFonts w:hint="eastAsia" w:ascii="宋体" w:hAnsi="宋体" w:eastAsia="宋体" w:cs="宋体"/>
          <w:b/>
          <w:bCs/>
          <w:szCs w:val="21"/>
          <w:highlight w:val="none"/>
        </w:rPr>
      </w:pPr>
      <w:r>
        <w:rPr>
          <w:rFonts w:hint="eastAsia" w:ascii="宋体" w:hAnsi="宋体" w:eastAsia="宋体" w:cs="宋体"/>
          <w:b/>
          <w:bCs/>
          <w:sz w:val="28"/>
          <w:szCs w:val="28"/>
          <w:highlight w:val="none"/>
        </w:rPr>
        <w:t xml:space="preserve">                                       发布日期：202</w:t>
      </w:r>
      <w:r>
        <w:rPr>
          <w:rFonts w:hint="eastAsia" w:ascii="宋体" w:hAnsi="宋体" w:eastAsia="宋体" w:cs="宋体"/>
          <w:b/>
          <w:bCs/>
          <w:sz w:val="28"/>
          <w:szCs w:val="28"/>
          <w:highlight w:val="none"/>
          <w:lang w:val="en-US" w:eastAsia="zh-CN"/>
        </w:rPr>
        <w:t>5</w:t>
      </w:r>
      <w:r>
        <w:rPr>
          <w:rFonts w:hint="eastAsia" w:ascii="宋体" w:hAnsi="宋体" w:eastAsia="宋体" w:cs="宋体"/>
          <w:b/>
          <w:bCs/>
          <w:sz w:val="28"/>
          <w:szCs w:val="28"/>
          <w:highlight w:val="none"/>
        </w:rPr>
        <w:t>年</w:t>
      </w:r>
      <w:r>
        <w:rPr>
          <w:rFonts w:hint="eastAsia" w:ascii="宋体" w:hAnsi="宋体" w:cs="宋体"/>
          <w:b/>
          <w:bCs/>
          <w:sz w:val="28"/>
          <w:szCs w:val="28"/>
          <w:highlight w:val="none"/>
          <w:lang w:val="en-US" w:eastAsia="zh-CN"/>
        </w:rPr>
        <w:t>7</w:t>
      </w:r>
      <w:r>
        <w:rPr>
          <w:rFonts w:hint="eastAsia" w:ascii="宋体" w:hAnsi="宋体" w:eastAsia="宋体" w:cs="宋体"/>
          <w:b/>
          <w:bCs/>
          <w:sz w:val="28"/>
          <w:szCs w:val="28"/>
          <w:highlight w:val="none"/>
        </w:rPr>
        <w:t>月</w:t>
      </w:r>
      <w:r>
        <w:rPr>
          <w:rFonts w:hint="eastAsia" w:ascii="宋体" w:hAnsi="宋体" w:cs="宋体"/>
          <w:b/>
          <w:bCs/>
          <w:sz w:val="28"/>
          <w:szCs w:val="28"/>
          <w:highlight w:val="none"/>
          <w:lang w:val="en-US" w:eastAsia="zh-CN"/>
        </w:rPr>
        <w:t>22</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日</w:t>
      </w:r>
    </w:p>
    <w:p w14:paraId="565C9018">
      <w:pPr>
        <w:spacing w:line="360" w:lineRule="auto"/>
        <w:jc w:val="both"/>
        <w:rPr>
          <w:rFonts w:hint="eastAsia" w:ascii="宋体" w:hAnsi="宋体" w:eastAsia="宋体" w:cs="宋体"/>
          <w:b/>
          <w:bCs/>
          <w:sz w:val="28"/>
          <w:szCs w:val="28"/>
          <w:highlight w:val="none"/>
        </w:rPr>
        <w:sectPr>
          <w:headerReference r:id="rId6" w:type="first"/>
          <w:headerReference r:id="rId5" w:type="default"/>
          <w:footerReference r:id="rId7" w:type="default"/>
          <w:footerReference r:id="rId8" w:type="even"/>
          <w:pgSz w:w="11906" w:h="16838"/>
          <w:pgMar w:top="1418" w:right="1418" w:bottom="1418" w:left="1418" w:header="851" w:footer="992" w:gutter="0"/>
          <w:cols w:space="720" w:num="1"/>
          <w:docGrid w:type="lines" w:linePitch="312" w:charSpace="0"/>
        </w:sectPr>
      </w:pPr>
    </w:p>
    <w:p w14:paraId="7F57EBBB">
      <w:pPr>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温馨提示</w:t>
      </w:r>
    </w:p>
    <w:p w14:paraId="218FB277">
      <w:pPr>
        <w:spacing w:line="360" w:lineRule="auto"/>
        <w:rPr>
          <w:rFonts w:hint="eastAsia" w:ascii="宋体" w:hAnsi="宋体" w:eastAsia="宋体" w:cs="宋体"/>
          <w:szCs w:val="21"/>
          <w:highlight w:val="none"/>
        </w:rPr>
      </w:pPr>
    </w:p>
    <w:p w14:paraId="598FDF15">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如无另行说明，纸质投标文件递交时间为</w:t>
      </w:r>
      <w:r>
        <w:rPr>
          <w:rFonts w:hint="eastAsia" w:ascii="宋体" w:hAnsi="宋体" w:eastAsia="宋体" w:cs="宋体"/>
          <w:b/>
          <w:szCs w:val="21"/>
          <w:highlight w:val="none"/>
          <w:u w:val="single"/>
        </w:rPr>
        <w:t>投标截止时间之前30分钟</w:t>
      </w:r>
      <w:r>
        <w:rPr>
          <w:rFonts w:hint="eastAsia" w:ascii="宋体" w:hAnsi="宋体" w:eastAsia="宋体" w:cs="宋体"/>
          <w:szCs w:val="21"/>
          <w:highlight w:val="none"/>
        </w:rPr>
        <w:t>内。投标文件的电子文件应在《投标邀请函》规定的投标截止时间前上传至国e平台（投标人须在投标截止时间前完全上传所有投标文件并点击“递交投标文件”选项）。考虑到国内网络实际情况，以及投标文件实际大小，请投标人至少在投标截止时间前三天执行上传投标文件操作，至少在投标截止时间前一天确保投标文件上传成功。</w:t>
      </w:r>
    </w:p>
    <w:p w14:paraId="280C0CD6">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5DFE0BA3">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投标保证金必须于投标截止时间前到达招标文件指定的</w:t>
      </w:r>
      <w:r>
        <w:rPr>
          <w:rFonts w:hint="eastAsia" w:ascii="宋体" w:hAnsi="宋体" w:eastAsia="宋体" w:cs="宋体"/>
          <w:b/>
          <w:szCs w:val="21"/>
          <w:highlight w:val="none"/>
          <w:u w:val="single"/>
        </w:rPr>
        <w:t>投标保证金缴纳账户</w:t>
      </w:r>
      <w:r>
        <w:rPr>
          <w:rFonts w:hint="eastAsia" w:ascii="宋体" w:hAnsi="宋体" w:eastAsia="宋体" w:cs="宋体"/>
          <w:szCs w:val="21"/>
          <w:highlight w:val="none"/>
        </w:rPr>
        <w:t>（开户行及账号见《投标人须知》）。由于转账当天不一定能够达账，为避免因投标保证金未到账而导致投标被拒绝，建议</w:t>
      </w:r>
      <w:r>
        <w:rPr>
          <w:rFonts w:hint="eastAsia" w:ascii="宋体" w:hAnsi="宋体" w:eastAsia="宋体" w:cs="宋体"/>
          <w:b/>
          <w:szCs w:val="21"/>
          <w:highlight w:val="none"/>
          <w:u w:val="single"/>
        </w:rPr>
        <w:t>合理安排办理时间</w:t>
      </w:r>
      <w:r>
        <w:rPr>
          <w:rFonts w:hint="eastAsia" w:ascii="宋体" w:hAnsi="宋体" w:eastAsia="宋体" w:cs="宋体"/>
          <w:szCs w:val="21"/>
          <w:highlight w:val="none"/>
        </w:rPr>
        <w:t>。中标人应在签订采购合同后两个工作日内将合同送交采购代理机构，以便退还保证金。</w:t>
      </w:r>
    </w:p>
    <w:p w14:paraId="2866ECA4">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投标文件应按顺序</w:t>
      </w:r>
      <w:r>
        <w:rPr>
          <w:rFonts w:hint="eastAsia" w:ascii="宋体" w:hAnsi="宋体" w:eastAsia="宋体" w:cs="宋体"/>
          <w:b/>
          <w:szCs w:val="21"/>
          <w:highlight w:val="none"/>
          <w:u w:val="single"/>
        </w:rPr>
        <w:t>编制页码</w:t>
      </w:r>
      <w:r>
        <w:rPr>
          <w:rFonts w:hint="eastAsia" w:ascii="宋体" w:hAnsi="宋体" w:eastAsia="宋体" w:cs="宋体"/>
          <w:szCs w:val="21"/>
          <w:highlight w:val="none"/>
        </w:rPr>
        <w:t>。</w:t>
      </w:r>
    </w:p>
    <w:p w14:paraId="4F582FB6">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请仔细检查投标文件是否已按招标文件要求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12FF90DB">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请正确填写《开标一览表》，并与《投标保证金缴纳凭证》一同封装在单独的唱标信封当中。</w:t>
      </w:r>
    </w:p>
    <w:p w14:paraId="47813F51">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招标项目内或本项目内有多项设备或报价内容的，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04B29F7">
      <w:pPr>
        <w:numPr>
          <w:ilvl w:val="0"/>
          <w:numId w:val="3"/>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75C26690">
      <w:pPr>
        <w:numPr>
          <w:ilvl w:val="0"/>
          <w:numId w:val="3"/>
        </w:numPr>
        <w:tabs>
          <w:tab w:val="left" w:pos="851"/>
        </w:tabs>
        <w:spacing w:line="360" w:lineRule="auto"/>
        <w:rPr>
          <w:rFonts w:hint="eastAsia" w:ascii="宋体" w:hAnsi="宋体" w:eastAsia="宋体" w:cs="宋体"/>
          <w:szCs w:val="21"/>
          <w:highlight w:val="none"/>
        </w:rPr>
      </w:pPr>
      <w:r>
        <w:rPr>
          <w:rFonts w:hint="eastAsia" w:ascii="宋体" w:hAnsi="宋体" w:eastAsia="宋体" w:cs="宋体"/>
          <w:szCs w:val="21"/>
          <w:highlight w:val="none"/>
        </w:rPr>
        <w:t>领购了招标文件的公司，请在投标截止时间3日前在国e平台确认是否参加投标。</w:t>
      </w:r>
    </w:p>
    <w:p w14:paraId="40C044BE">
      <w:pPr>
        <w:tabs>
          <w:tab w:val="left" w:pos="851"/>
        </w:tabs>
        <w:spacing w:line="360" w:lineRule="auto"/>
        <w:ind w:left="850" w:hanging="850" w:hangingChars="405"/>
        <w:rPr>
          <w:rFonts w:hint="eastAsia" w:ascii="宋体" w:hAnsi="宋体" w:eastAsia="宋体" w:cs="宋体"/>
          <w:szCs w:val="21"/>
          <w:highlight w:val="none"/>
        </w:rPr>
      </w:pPr>
    </w:p>
    <w:p w14:paraId="4A51BA7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（以上提示内容仅作一般事项提醒，如与实际招标项目要求有不一致，以招标文件为准）</w:t>
      </w:r>
    </w:p>
    <w:p w14:paraId="5BADC4D1">
      <w:pPr>
        <w:pStyle w:val="149"/>
        <w:rPr>
          <w:rFonts w:hint="eastAsia" w:ascii="宋体" w:hAnsi="宋体" w:eastAsia="宋体" w:cs="宋体"/>
          <w:szCs w:val="21"/>
          <w:highlight w:val="none"/>
        </w:rPr>
      </w:pPr>
    </w:p>
    <w:p w14:paraId="774EFC39">
      <w:pPr>
        <w:tabs>
          <w:tab w:val="left" w:pos="851"/>
        </w:tabs>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注意：投标人须对投标文件进行电子签章，在进行电子签章时，须点击“多页签章”，并一次性输入投标文件的所有页码。</w:t>
      </w:r>
    </w:p>
    <w:p w14:paraId="04D4C105">
      <w:pPr>
        <w:pStyle w:val="149"/>
        <w:rPr>
          <w:rFonts w:hint="eastAsia" w:ascii="宋体" w:hAnsi="宋体" w:eastAsia="宋体" w:cs="宋体"/>
          <w:szCs w:val="21"/>
          <w:highlight w:val="none"/>
        </w:rPr>
      </w:pPr>
    </w:p>
    <w:p w14:paraId="4FE8C22D">
      <w:pPr>
        <w:contextualSpacing/>
        <w:jc w:val="center"/>
        <w:rPr>
          <w:rFonts w:hint="eastAsia" w:ascii="宋体" w:hAnsi="宋体" w:eastAsia="宋体" w:cs="宋体"/>
          <w:b/>
          <w:bCs/>
          <w:sz w:val="24"/>
          <w:highlight w:val="none"/>
        </w:rPr>
      </w:pPr>
      <w:r>
        <w:rPr>
          <w:rFonts w:hint="eastAsia" w:ascii="宋体" w:hAnsi="宋体" w:eastAsia="宋体" w:cs="宋体"/>
          <w:szCs w:val="21"/>
          <w:highlight w:val="none"/>
        </w:rPr>
        <w:br w:type="page"/>
      </w:r>
      <w:r>
        <w:rPr>
          <w:rFonts w:hint="eastAsia" w:ascii="宋体" w:hAnsi="宋体" w:eastAsia="宋体" w:cs="宋体"/>
          <w:b/>
          <w:bCs/>
          <w:sz w:val="28"/>
          <w:szCs w:val="28"/>
          <w:highlight w:val="none"/>
        </w:rPr>
        <w:t>国e平台使用须知</w:t>
      </w:r>
    </w:p>
    <w:p w14:paraId="6064CA00">
      <w:pPr>
        <w:contextualSpacing/>
        <w:rPr>
          <w:rFonts w:hint="eastAsia" w:ascii="宋体" w:hAnsi="宋体" w:eastAsia="宋体" w:cs="宋体"/>
          <w:b/>
          <w:bCs/>
          <w:sz w:val="24"/>
          <w:highlight w:val="none"/>
        </w:rPr>
      </w:pPr>
      <w:r>
        <w:rPr>
          <w:rFonts w:hint="eastAsia" w:ascii="宋体" w:hAnsi="宋体" w:eastAsia="宋体" w:cs="宋体"/>
          <w:b/>
          <w:bCs/>
          <w:sz w:val="24"/>
          <w:highlight w:val="none"/>
        </w:rPr>
        <w:t>各投标人：</w:t>
      </w:r>
    </w:p>
    <w:p w14:paraId="120293BB">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本次项目招投标将在国e平台中完成注册、递交资料、售标、投标、开标、澄清、评标等流程，与传统的线下投递纸质标书不同。因此，当您成功领购并将阅读招标文件前，请务必仔细阅读平台使用须知，否则会极大影响您后续投标工作。</w:t>
      </w:r>
    </w:p>
    <w:p w14:paraId="419D281B">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1、对电脑环境要求</w:t>
      </w:r>
    </w:p>
    <w:p w14:paraId="7660128F">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为保证您的电脑环境满足平台操作需要，请确认您的电脑环境（操作系统【win7或以上】、浏览器【建议使用傲游、搜狗、QQ浏览器；</w:t>
      </w:r>
      <w:r>
        <w:rPr>
          <w:rFonts w:hint="eastAsia" w:ascii="宋体" w:hAnsi="宋体" w:eastAsia="宋体" w:cs="宋体"/>
          <w:b/>
          <w:bCs/>
          <w:sz w:val="24"/>
          <w:highlight w:val="none"/>
        </w:rPr>
        <w:t>请在浏览器官网下载</w:t>
      </w:r>
      <w:r>
        <w:rPr>
          <w:rFonts w:hint="eastAsia" w:ascii="宋体" w:hAnsi="宋体" w:eastAsia="宋体" w:cs="宋体"/>
          <w:sz w:val="24"/>
          <w:highlight w:val="none"/>
        </w:rPr>
        <w:t>，</w:t>
      </w:r>
      <w:r>
        <w:rPr>
          <w:rFonts w:hint="eastAsia" w:ascii="宋体" w:hAnsi="宋体" w:eastAsia="宋体" w:cs="宋体"/>
          <w:b/>
          <w:bCs/>
          <w:sz w:val="24"/>
          <w:highlight w:val="none"/>
        </w:rPr>
        <w:t>或在国e平台用户指南（http://www.ebidding.com/yhzn/index.jhtml）下载</w:t>
      </w:r>
      <w:r>
        <w:rPr>
          <w:rFonts w:hint="eastAsia" w:ascii="宋体" w:hAnsi="宋体" w:eastAsia="宋体" w:cs="宋体"/>
          <w:sz w:val="24"/>
          <w:highlight w:val="none"/>
        </w:rPr>
        <w:t>】、办公软件【Office2007以上、PDF】等）符合要求，否则会极大的影响您的后续工作。</w:t>
      </w:r>
    </w:p>
    <w:p w14:paraId="0205672F">
      <w:pPr>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2、注册及登录</w:t>
      </w:r>
    </w:p>
    <w:p w14:paraId="07F6937D">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2.1本项目通过国e平台进行全流程电子招投标工作，投标人须访问平台网址（new.ebidding.com）完成注册、申请材料递交、购买招标文件、下载文件、递交投标文件、开标、澄清等有关操作。</w:t>
      </w:r>
    </w:p>
    <w:p w14:paraId="01E4E4EE">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2.2未在平台注册过的新用户请点击平台登录页面右侧“立即注册”按钮完成注册流程。注册流程分为四步：</w:t>
      </w:r>
    </w:p>
    <w:p w14:paraId="2140B54A">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a.账号注册：投标人按页面各项要求填写手机号、密码及其他信息（请认真记下密码以便后续登录平台，登录账号为手机号码），确认填写无误后点击“立即注册”，跳转到下一步“类型选择”；</w:t>
      </w:r>
    </w:p>
    <w:p w14:paraId="38000941">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b.类型选择：按页面所示，选择“我是供应商，”根据实际情况选择单位类型。</w:t>
      </w:r>
    </w:p>
    <w:p w14:paraId="334D4654">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c.基本信息：根据实际情况填写相关信息并上传相应附件，确认填写无误后跳转到下一步“证件信息”。</w:t>
      </w:r>
    </w:p>
    <w:p w14:paraId="758A0203">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d.证件信息：上传相应附件后提交审批；请耐心等待平台运维人员审核。只有审核通过的供应商才能参与平台相关业务（审核时间为一个工作日内完成）。</w:t>
      </w:r>
    </w:p>
    <w:p w14:paraId="7E5F6D1F">
      <w:pPr>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3、CA证书办理及驱动下载（CA证书可在购买招标文件后办理，不影响申请材料递交及购买招标文件）</w:t>
      </w:r>
    </w:p>
    <w:p w14:paraId="467C2B31">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CA证书用于确保招标投标过程文件合法性及投标文件保密性。国e平台数字证书有U盘实体CA（上海CA）、手机扫码软CA（CFCA）两种，请投标人选择其中一种进行办理即可。没有办理CA数字证书，无法加解密投标文件，也无法参加网上开标。</w:t>
      </w:r>
    </w:p>
    <w:p w14:paraId="33CC36DF">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CA证书需要预留2-3个工作日的办理时间，建议未办理CA证书的用户尽快办理，以免耽误您的后续工作。CA证书办理流程及驱动下载：投标人用账号密码登录国e平台后，在首页的下方“下载工具”功能项中下载名为《CA驱动》的文件，</w:t>
      </w:r>
      <w:r>
        <w:rPr>
          <w:rFonts w:hint="eastAsia" w:ascii="宋体" w:hAnsi="宋体" w:eastAsia="宋体" w:cs="宋体"/>
          <w:b/>
          <w:sz w:val="24"/>
          <w:highlight w:val="none"/>
        </w:rPr>
        <w:t>下载及安装前请退出360安全卫士等防病毒软件。</w:t>
      </w:r>
    </w:p>
    <w:p w14:paraId="24FE1326">
      <w:pPr>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CA办理及硬件出现的有关问题，请联系国e平台客服人员。</w:t>
      </w:r>
    </w:p>
    <w:p w14:paraId="0FC77388">
      <w:pPr>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提醒：已经办理过CA证书的投标人请确保CA证书在项目投标期间保持有效（U盘实体CA可在电脑上插入CA证书，登陆CA驱动“协卡助手”→证书管理自查有效期；软CA可在“中招互连”APP上“单位证书”处查看）。U盘实体CA（上海CA）如有以下情况的CA证书都不能在线更新续费：①.2018年2月24号之前办理的CA证书；②.2018年2月24号之前续过费的CA证书；③.过期超过三个月的CA证书，都必须重新办理。</w:t>
      </w:r>
    </w:p>
    <w:p w14:paraId="34A81FC3">
      <w:pPr>
        <w:ind w:firstLine="482" w:firstLineChars="200"/>
        <w:contextualSpacing/>
        <w:rPr>
          <w:rFonts w:hint="eastAsia" w:ascii="宋体" w:hAnsi="宋体" w:eastAsia="宋体" w:cs="宋体"/>
          <w:b/>
          <w:sz w:val="24"/>
          <w:highlight w:val="none"/>
        </w:rPr>
      </w:pPr>
      <w:r>
        <w:rPr>
          <w:rFonts w:hint="eastAsia" w:ascii="宋体" w:hAnsi="宋体" w:eastAsia="宋体" w:cs="宋体"/>
          <w:b/>
          <w:sz w:val="24"/>
          <w:highlight w:val="none"/>
        </w:rPr>
        <w:t>4、申请材料递交（仅适用于设置申请材料递交环节的项目）</w:t>
      </w:r>
    </w:p>
    <w:p w14:paraId="1676239B">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递交申请资料时，须详细填写信息，并阅读注意事项，点击提交审批后。请耐心等待业务员审核，投标人可登录平台自行查看申请资料审核结果（操作菜单：项目管理--&gt;我的项目）。提交材料后待审批时，项目的操作状态为“申请材料递交查看”。如需撤回修改，点击“申请材料递交查看”-“撤回”即可重新修改提交。如果申请材料被驳回，按钮将会变为“申请材料递交（已驳回）”。</w:t>
      </w:r>
    </w:p>
    <w:p w14:paraId="62046D8A">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申请资料审核通过后方可购买招标文件。</w:t>
      </w:r>
    </w:p>
    <w:p w14:paraId="5AAF7BFA">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5、领购、下载招标文件</w:t>
      </w:r>
    </w:p>
    <w:p w14:paraId="29BDEAEA">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5.1招标文件购买</w:t>
      </w:r>
    </w:p>
    <w:p w14:paraId="6E38666A">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投标人在招标文件发售期间可在平台上购买招标文件，用账号密码登录国e平台后点击“项目管理”-“我的项目”，在列表中选择相应的项目，点击“购买文件”；如项目免标书费，直接点击“文件下载”即可。</w:t>
      </w:r>
    </w:p>
    <w:p w14:paraId="1467727F">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如购买多个子包项目的招标文件，则每个子包均需点击购买并生成订单，每个子包均需完成一次付款手续。</w:t>
      </w:r>
    </w:p>
    <w:p w14:paraId="4F837324">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1 \* GB3</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①</w:t>
      </w:r>
      <w:r>
        <w:rPr>
          <w:rFonts w:hint="eastAsia" w:ascii="宋体" w:hAnsi="宋体" w:eastAsia="宋体" w:cs="宋体"/>
          <w:sz w:val="24"/>
          <w:highlight w:val="none"/>
        </w:rPr>
        <w:fldChar w:fldCharType="end"/>
      </w:r>
      <w:r>
        <w:rPr>
          <w:rFonts w:hint="eastAsia" w:ascii="宋体" w:hAnsi="宋体" w:eastAsia="宋体" w:cs="宋体"/>
          <w:sz w:val="24"/>
          <w:highlight w:val="none"/>
        </w:rPr>
        <w:t>如招标文件售卖方式是按一份文件包含多个子包售卖的，购买文件时只需完成一次付款，订单会将所有子包合并支付。</w:t>
      </w:r>
    </w:p>
    <w:p w14:paraId="13B5731E">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2 \* GB3</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②</w:t>
      </w:r>
      <w:r>
        <w:rPr>
          <w:rFonts w:hint="eastAsia" w:ascii="宋体" w:hAnsi="宋体" w:eastAsia="宋体" w:cs="宋体"/>
          <w:sz w:val="24"/>
          <w:highlight w:val="none"/>
        </w:rPr>
        <w:fldChar w:fldCharType="end"/>
      </w:r>
      <w:r>
        <w:rPr>
          <w:rFonts w:hint="eastAsia" w:ascii="宋体" w:hAnsi="宋体" w:eastAsia="宋体" w:cs="宋体"/>
          <w:sz w:val="24"/>
          <w:highlight w:val="none"/>
        </w:rPr>
        <w:t>如招标文件售卖方式是每个子包单独售卖的，则每个子包均需完成一次付款和扣款手续。</w:t>
      </w:r>
    </w:p>
    <w:p w14:paraId="09579EBE">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没有完成上述下单付款步骤的子包，投标人不能参与该子包的投标。请投标人付款前确认所下单的子包编号是否正确，文件售后概不退换。</w:t>
      </w:r>
    </w:p>
    <w:p w14:paraId="6E1F9C70">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招标文件支付方式可选择网上支付(个人网银)或者微信支付。在支付前请核实您的网上支付单笔限额不少于招标文件售价。</w:t>
      </w:r>
    </w:p>
    <w:p w14:paraId="7499F483">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支付完成后，投标人可在“项目管理→我的订单”，具体项目订单详情页下载电子发票。电子发票一般是订单支付完成后48小时内开具，开具格式为不可修改的PDF格式。电子发票的法律效力、基本用途及使用规定同纸质发票，如需纸质票投标人可自行下载打印。</w:t>
      </w:r>
    </w:p>
    <w:p w14:paraId="5C954552">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提醒：无论招标文件是否收费，投标人请务必在招标文件发售截止时间前登录国e平台，进行招标文件购买及下载操作；否则将无法正常投标。</w:t>
      </w:r>
    </w:p>
    <w:p w14:paraId="7D44BAA4">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5.2招标文件下载</w:t>
      </w:r>
    </w:p>
    <w:p w14:paraId="4D4B7ED3">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招标文件费用支付成功后即跳转到招标文件下载页面，请点击右侧“文件下载”按钮后，保存到本地即可。如无跳转，请点击功能菜单“项目管理--&gt;我的项目--&gt;文件下载”。</w:t>
      </w:r>
    </w:p>
    <w:p w14:paraId="72FA0590">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6、编制投标文件：</w:t>
      </w:r>
    </w:p>
    <w:p w14:paraId="0AFBC756">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在线递交电子版投标文件前，投标人应当使用国义投标文件编制客户端及单位CA证书为投标文件进行编制和加密，</w:t>
      </w:r>
      <w:r>
        <w:rPr>
          <w:rFonts w:hint="eastAsia" w:ascii="宋体" w:hAnsi="宋体" w:eastAsia="宋体" w:cs="宋体"/>
          <w:b/>
          <w:bCs/>
          <w:sz w:val="24"/>
          <w:highlight w:val="none"/>
        </w:rPr>
        <w:t>同一个项目所有投标文件均只能使用同一把CA证书进行加密和解密，</w:t>
      </w:r>
      <w:r>
        <w:rPr>
          <w:rFonts w:hint="eastAsia" w:ascii="宋体" w:hAnsi="宋体" w:eastAsia="宋体" w:cs="宋体"/>
          <w:sz w:val="24"/>
          <w:highlight w:val="none"/>
        </w:rPr>
        <w:t>否则引起的解密失败的责任由投标人自行承担。</w:t>
      </w:r>
    </w:p>
    <w:p w14:paraId="145BB33A">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6.1投标人需将从第5点下载的招标文件压缩包进行解压缩</w:t>
      </w:r>
      <w:r>
        <w:rPr>
          <w:rFonts w:hint="eastAsia" w:ascii="宋体" w:hAnsi="宋体" w:eastAsia="宋体" w:cs="宋体"/>
          <w:b/>
          <w:bCs/>
          <w:sz w:val="24"/>
          <w:highlight w:val="none"/>
        </w:rPr>
        <w:t>（请务必解压缩）</w:t>
      </w:r>
      <w:r>
        <w:rPr>
          <w:rFonts w:hint="eastAsia" w:ascii="宋体" w:hAnsi="宋体" w:eastAsia="宋体" w:cs="宋体"/>
          <w:sz w:val="24"/>
          <w:highlight w:val="none"/>
        </w:rPr>
        <w:t>，将ebid数据包格式的文件导入“国义投标文件客户端”进行投标文件编制。在客户端右上角选择“切换CA”选择准备编制文件对应的CA。</w:t>
      </w:r>
    </w:p>
    <w:p w14:paraId="68BBBFA3">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6.2导入招标文件ebid数据包后，根据页面显示编制整本投标文件或分别编制商务、技术和价格三部分投标文件，先上传pdf版的主文件（整本投标文件大小建议不要超过300MB，如分册编制，每部分文件建议不超过100MB），如有投标附件则可上传至附件（附件无法进行签章，请按招标文件要求谨慎上传）。</w:t>
      </w:r>
    </w:p>
    <w:p w14:paraId="7E27B90E">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6.3对投标文件进行签章、评标条款关联（如有）、生成投标文件(.etnd格式)及解密备用密码，签章和加密的过程需要使用CA证书。编制完成以后，请使用投标文件编制客户端进行解密测试，确保电子版投标文件未在加密过程中损坏，以免开标时无法解密。</w:t>
      </w:r>
    </w:p>
    <w:p w14:paraId="7561EFEA">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6.4生在客户端生成的投标文件数据包只是保存在本地电脑上，下一步还需在平台网页上递交。平台只接收由客户端加密生成的.etnd的投标文件，未按规定加密的投标文件、WORD、PDF等格式的投标文件是无法直接在网页上上传或递交。电子邮件、传真形式的投标文件概不接受。</w:t>
      </w:r>
    </w:p>
    <w:p w14:paraId="74CAAB2F">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7、递交投标文件：</w:t>
      </w:r>
    </w:p>
    <w:p w14:paraId="532072A7">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投标文件（.etnd格式）编制成功后，用账号和密码登录国e平台，在网页上传，上传完成后需点击“递交投标文件”按钮，直至可以下载回执，递交投标文件的流程才完成。</w:t>
      </w:r>
    </w:p>
    <w:p w14:paraId="3C4912DE">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投标文件请在递交截止时间前尽早上传，由于上传时受网速的限制，可能需要花费一定的时间，请尽量预留足够的时间上传，以免出现到达截止时间仍未上传或者递交的情况。</w:t>
      </w:r>
    </w:p>
    <w:p w14:paraId="7305B1A1">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特别提醒：国e平台将记录投标人上传电子投标文件时的IP地址及网卡MAC地址，若不同投标人的电子投标文件上传记录存在IP地址或网卡MAC地址相同的情况，且无法提供合理解释的，有可能被认定为不同投标人委托同一单位或者个人办理投标事宜，或不同投标人的投标文件由同一电子设备编制、打印加密或者上传，评标委员会有权按照招标文件相关规定否决其投标。</w:t>
      </w:r>
    </w:p>
    <w:p w14:paraId="41F25BBB">
      <w:pPr>
        <w:ind w:firstLine="480"/>
        <w:rPr>
          <w:rFonts w:hint="eastAsia" w:ascii="宋体" w:hAnsi="宋体" w:eastAsia="宋体" w:cs="宋体"/>
          <w:sz w:val="24"/>
          <w:highlight w:val="none"/>
        </w:rPr>
      </w:pPr>
      <w:r>
        <w:rPr>
          <w:rFonts w:hint="eastAsia" w:ascii="宋体" w:hAnsi="宋体" w:eastAsia="宋体" w:cs="宋体"/>
          <w:sz w:val="24"/>
          <w:highlight w:val="none"/>
        </w:rPr>
        <w:t>8、投标文件的修改与撤回</w:t>
      </w:r>
    </w:p>
    <w:p w14:paraId="494388A5">
      <w:pPr>
        <w:ind w:firstLine="480"/>
        <w:rPr>
          <w:rFonts w:hint="eastAsia" w:ascii="宋体" w:hAnsi="宋体" w:eastAsia="宋体" w:cs="宋体"/>
          <w:sz w:val="24"/>
          <w:highlight w:val="none"/>
        </w:rPr>
      </w:pPr>
      <w:r>
        <w:rPr>
          <w:rFonts w:hint="eastAsia" w:ascii="宋体" w:hAnsi="宋体" w:eastAsia="宋体" w:cs="宋体"/>
          <w:sz w:val="24"/>
          <w:highlight w:val="none"/>
        </w:rPr>
        <w:t>8.1投标人在投标文件递交以后，在规定的投标截止时间之前，需要补充或修改投标文件时，可登陆国e平台撤回投标文件。在投标文件编制客户端重新上传补充或修改后的pdf文件，签章、加密后重新生成投标文件，并在国e平台网页上重新上传并递交。在投标截止时间以后，不能更改或撤回投标文件。</w:t>
      </w:r>
    </w:p>
    <w:p w14:paraId="4DC4EE9E">
      <w:pPr>
        <w:ind w:firstLine="480"/>
        <w:rPr>
          <w:rFonts w:hint="eastAsia" w:ascii="宋体" w:hAnsi="宋体" w:eastAsia="宋体" w:cs="宋体"/>
          <w:sz w:val="24"/>
          <w:highlight w:val="none"/>
        </w:rPr>
      </w:pPr>
      <w:r>
        <w:rPr>
          <w:rFonts w:hint="eastAsia" w:ascii="宋体" w:hAnsi="宋体" w:eastAsia="宋体" w:cs="宋体"/>
          <w:sz w:val="24"/>
          <w:highlight w:val="none"/>
        </w:rPr>
        <w:t>8.2投标人的修改或撤回文件仍应按招标文件的规定编制和CA校验、加密、签名。</w:t>
      </w:r>
    </w:p>
    <w:p w14:paraId="1153AC4E">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9、开标：</w:t>
      </w:r>
    </w:p>
    <w:p w14:paraId="5042C387">
      <w:pPr>
        <w:ind w:firstLine="480"/>
        <w:rPr>
          <w:rFonts w:hint="eastAsia" w:ascii="宋体" w:hAnsi="宋体" w:eastAsia="宋体" w:cs="宋体"/>
          <w:sz w:val="24"/>
          <w:highlight w:val="none"/>
        </w:rPr>
      </w:pPr>
      <w:r>
        <w:rPr>
          <w:rFonts w:hint="eastAsia" w:ascii="宋体" w:hAnsi="宋体" w:eastAsia="宋体" w:cs="宋体"/>
          <w:sz w:val="24"/>
          <w:highlight w:val="none"/>
        </w:rPr>
        <w:t>9.1请投标人确认上述工作全部完成后，于投标截止时间前登陆国e平台进入开标大厅参加开标（开标大厅仅在开标当天开放），按照页面上的指令完成解密、签名等流程。</w:t>
      </w:r>
    </w:p>
    <w:p w14:paraId="75145A8C">
      <w:pPr>
        <w:ind w:firstLine="480"/>
        <w:rPr>
          <w:rFonts w:hint="eastAsia" w:ascii="宋体" w:hAnsi="宋体" w:eastAsia="宋体" w:cs="宋体"/>
          <w:sz w:val="24"/>
          <w:highlight w:val="none"/>
        </w:rPr>
      </w:pPr>
      <w:r>
        <w:rPr>
          <w:rFonts w:hint="eastAsia" w:ascii="宋体" w:hAnsi="宋体" w:eastAsia="宋体" w:cs="宋体"/>
          <w:sz w:val="24"/>
          <w:highlight w:val="none"/>
        </w:rPr>
        <w:t>9.2开标会由招标代理机构在线主持，经监标人同意后，由招标代理机构在线开标，各投标人在线解密各自投标文件。开标过程记录在案，以存档备查。</w:t>
      </w:r>
    </w:p>
    <w:p w14:paraId="346A09E3">
      <w:pPr>
        <w:ind w:firstLine="480"/>
        <w:rPr>
          <w:rFonts w:hint="eastAsia" w:ascii="宋体" w:hAnsi="宋体" w:eastAsia="宋体" w:cs="宋体"/>
          <w:sz w:val="24"/>
          <w:highlight w:val="none"/>
        </w:rPr>
      </w:pPr>
      <w:r>
        <w:rPr>
          <w:rFonts w:hint="eastAsia" w:ascii="宋体" w:hAnsi="宋体" w:eastAsia="宋体" w:cs="宋体"/>
          <w:sz w:val="24"/>
          <w:highlight w:val="none"/>
        </w:rPr>
        <w:t>开标解密时间规定为30分钟。开标期间不要随意离开你的电脑，不要在电脑进行下载、安装等工作，认真耐心等待指令并及时操作。</w:t>
      </w:r>
    </w:p>
    <w:p w14:paraId="714C4EE8">
      <w:pPr>
        <w:ind w:firstLine="480"/>
        <w:rPr>
          <w:rFonts w:hint="eastAsia" w:ascii="宋体" w:hAnsi="宋体" w:eastAsia="宋体" w:cs="宋体"/>
          <w:sz w:val="24"/>
          <w:highlight w:val="none"/>
        </w:rPr>
      </w:pPr>
      <w:r>
        <w:rPr>
          <w:rFonts w:hint="eastAsia" w:ascii="宋体" w:hAnsi="宋体" w:eastAsia="宋体" w:cs="宋体"/>
          <w:sz w:val="24"/>
          <w:highlight w:val="none"/>
        </w:rPr>
        <w:t>9.3如在我司开标室参与开标的，可使用我司提供的电脑和网络环境；远程开标的投标人参加开标的电脑和网络环境应当按照招标文件要求自行准备，因投标人电脑配置或网络环境不符合招标文件要求而导致开标解密失败的，产生的后果由投标人自行承担。</w:t>
      </w:r>
    </w:p>
    <w:p w14:paraId="5E0E0688">
      <w:pPr>
        <w:ind w:firstLine="480"/>
        <w:rPr>
          <w:rFonts w:hint="eastAsia" w:ascii="宋体" w:hAnsi="宋体" w:eastAsia="宋体" w:cs="宋体"/>
          <w:sz w:val="24"/>
          <w:highlight w:val="none"/>
        </w:rPr>
      </w:pPr>
      <w:r>
        <w:rPr>
          <w:rFonts w:hint="eastAsia" w:ascii="宋体" w:hAnsi="宋体" w:eastAsia="宋体" w:cs="宋体"/>
          <w:sz w:val="24"/>
          <w:highlight w:val="none"/>
        </w:rPr>
        <w:t>9.4宣布开标后在规定时间内因投标人原因造成投标文件未解密的，视为投标人撤销其投标文件，招标机构保留扣除投标保证金的权力。</w:t>
      </w:r>
    </w:p>
    <w:p w14:paraId="6BFB25D0">
      <w:pPr>
        <w:ind w:firstLine="480"/>
        <w:rPr>
          <w:rFonts w:hint="eastAsia" w:ascii="宋体" w:hAnsi="宋体" w:eastAsia="宋体" w:cs="宋体"/>
          <w:sz w:val="24"/>
          <w:highlight w:val="none"/>
        </w:rPr>
      </w:pPr>
      <w:r>
        <w:rPr>
          <w:rFonts w:hint="eastAsia" w:ascii="宋体" w:hAnsi="宋体" w:eastAsia="宋体" w:cs="宋体"/>
          <w:sz w:val="24"/>
          <w:highlight w:val="none"/>
        </w:rPr>
        <w:t>9.5如果因投标人之外的原因，导致所有投标人均未解密的，由招标代理机构排除故障后另行通知开标时间，所有参与方免责。</w:t>
      </w:r>
    </w:p>
    <w:p w14:paraId="18CB8CD9">
      <w:pPr>
        <w:ind w:firstLine="480" w:firstLineChars="200"/>
        <w:rPr>
          <w:rFonts w:hint="eastAsia" w:ascii="宋体" w:hAnsi="宋体" w:eastAsia="宋体" w:cs="宋体"/>
          <w:szCs w:val="21"/>
          <w:highlight w:val="none"/>
        </w:rPr>
      </w:pPr>
      <w:r>
        <w:rPr>
          <w:rFonts w:hint="eastAsia" w:ascii="宋体" w:hAnsi="宋体" w:eastAsia="宋体" w:cs="宋体"/>
          <w:sz w:val="24"/>
          <w:highlight w:val="none"/>
        </w:rPr>
        <w:t>9.6开标时，公开展示开标一览表中载明的投标人的投标信息。</w:t>
      </w:r>
    </w:p>
    <w:p w14:paraId="2C93F412">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10、澄清：</w:t>
      </w:r>
    </w:p>
    <w:p w14:paraId="2B477F94">
      <w:pPr>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招标文件、评标期间的澄清文件均通过国e平台发布，请及时接收并答复。</w:t>
      </w:r>
    </w:p>
    <w:p w14:paraId="6E29E6A4">
      <w:pPr>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11、客户服务：</w:t>
      </w:r>
    </w:p>
    <w:p w14:paraId="3FC365E8">
      <w:pPr>
        <w:ind w:firstLine="480" w:firstLineChars="200"/>
        <w:contextualSpacing/>
        <w:rPr>
          <w:rFonts w:hint="eastAsia" w:ascii="宋体" w:hAnsi="宋体" w:eastAsia="宋体" w:cs="宋体"/>
          <w:szCs w:val="21"/>
          <w:highlight w:val="none"/>
        </w:rPr>
      </w:pPr>
      <w:r>
        <w:rPr>
          <w:rFonts w:hint="eastAsia" w:ascii="宋体" w:hAnsi="宋体" w:eastAsia="宋体" w:cs="宋体"/>
          <w:sz w:val="24"/>
          <w:highlight w:val="none"/>
        </w:rPr>
        <w:t>为了方便客户使用国e平台，我们设立了客户服务中心，专人为您答疑解惑。当参考了平台上提供的操作手册、温馨提示、教程等仍无法解决问题时，您可以致电客服中心020-37860671（叶小姐）、020-37860669（叶小姐）、020-37870665（李小姐）。</w:t>
      </w:r>
    </w:p>
    <w:p w14:paraId="7B814A7C">
      <w:pPr>
        <w:rPr>
          <w:rFonts w:hint="eastAsia" w:ascii="宋体" w:hAnsi="宋体" w:eastAsia="宋体" w:cs="宋体"/>
          <w:szCs w:val="21"/>
          <w:highlight w:val="none"/>
        </w:rPr>
      </w:pPr>
    </w:p>
    <w:p w14:paraId="3364655A">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目      录</w:t>
      </w:r>
    </w:p>
    <w:p w14:paraId="5D27AF7F">
      <w:pPr>
        <w:jc w:val="center"/>
        <w:rPr>
          <w:rFonts w:hint="eastAsia" w:ascii="宋体" w:hAnsi="宋体" w:eastAsia="宋体" w:cs="宋体"/>
          <w:b/>
          <w:sz w:val="28"/>
          <w:szCs w:val="28"/>
          <w:highlight w:val="none"/>
        </w:rPr>
      </w:pPr>
    </w:p>
    <w:p w14:paraId="348ABED2">
      <w:pPr>
        <w:spacing w:line="480" w:lineRule="auto"/>
        <w:rPr>
          <w:rFonts w:hint="eastAsia" w:ascii="宋体" w:hAnsi="宋体" w:eastAsia="宋体" w:cs="宋体"/>
          <w:sz w:val="24"/>
          <w:highlight w:val="none"/>
        </w:rPr>
      </w:pPr>
      <w:r>
        <w:rPr>
          <w:rFonts w:hint="eastAsia" w:ascii="宋体" w:hAnsi="宋体" w:eastAsia="宋体" w:cs="宋体"/>
          <w:sz w:val="24"/>
          <w:highlight w:val="none"/>
        </w:rPr>
        <w:t>第一部分  投标邀请函</w:t>
      </w:r>
    </w:p>
    <w:p w14:paraId="5B3874A0">
      <w:pPr>
        <w:spacing w:line="480" w:lineRule="auto"/>
        <w:rPr>
          <w:rFonts w:hint="eastAsia" w:ascii="宋体" w:hAnsi="宋体" w:eastAsia="宋体" w:cs="宋体"/>
          <w:sz w:val="24"/>
          <w:highlight w:val="none"/>
        </w:rPr>
      </w:pPr>
      <w:r>
        <w:rPr>
          <w:rFonts w:hint="eastAsia" w:ascii="宋体" w:hAnsi="宋体" w:eastAsia="宋体" w:cs="宋体"/>
          <w:sz w:val="24"/>
          <w:highlight w:val="none"/>
        </w:rPr>
        <w:t>第二部分  招标项目内容</w:t>
      </w:r>
    </w:p>
    <w:p w14:paraId="262E6A22">
      <w:pPr>
        <w:spacing w:line="480" w:lineRule="auto"/>
        <w:rPr>
          <w:rFonts w:hint="eastAsia" w:ascii="宋体" w:hAnsi="宋体" w:eastAsia="宋体" w:cs="宋体"/>
          <w:sz w:val="24"/>
          <w:highlight w:val="none"/>
        </w:rPr>
      </w:pPr>
      <w:r>
        <w:rPr>
          <w:rFonts w:hint="eastAsia" w:ascii="宋体" w:hAnsi="宋体" w:eastAsia="宋体" w:cs="宋体"/>
          <w:sz w:val="24"/>
          <w:highlight w:val="none"/>
        </w:rPr>
        <w:t>第三部分  投标人须知</w:t>
      </w:r>
    </w:p>
    <w:p w14:paraId="5B49BB14">
      <w:pPr>
        <w:spacing w:line="480" w:lineRule="auto"/>
        <w:rPr>
          <w:rFonts w:hint="eastAsia" w:ascii="宋体" w:hAnsi="宋体" w:eastAsia="宋体" w:cs="宋体"/>
          <w:sz w:val="24"/>
          <w:highlight w:val="none"/>
        </w:rPr>
      </w:pPr>
      <w:r>
        <w:rPr>
          <w:rFonts w:hint="eastAsia" w:ascii="宋体" w:hAnsi="宋体" w:eastAsia="宋体" w:cs="宋体"/>
          <w:sz w:val="24"/>
          <w:highlight w:val="none"/>
        </w:rPr>
        <w:t>第四部分  合同格式</w:t>
      </w:r>
    </w:p>
    <w:p w14:paraId="58D7C6E3">
      <w:pPr>
        <w:spacing w:line="480" w:lineRule="auto"/>
        <w:rPr>
          <w:rFonts w:hint="eastAsia" w:ascii="宋体" w:hAnsi="宋体" w:eastAsia="宋体" w:cs="宋体"/>
          <w:sz w:val="24"/>
          <w:highlight w:val="none"/>
        </w:rPr>
      </w:pPr>
      <w:r>
        <w:rPr>
          <w:rFonts w:hint="eastAsia" w:ascii="宋体" w:hAnsi="宋体" w:eastAsia="宋体" w:cs="宋体"/>
          <w:sz w:val="24"/>
          <w:highlight w:val="none"/>
        </w:rPr>
        <w:t>第五部分  投标文件格式</w:t>
      </w:r>
    </w:p>
    <w:p w14:paraId="57AD546F">
      <w:pPr>
        <w:spacing w:line="360" w:lineRule="auto"/>
        <w:ind w:firstLine="359" w:firstLineChars="171"/>
        <w:jc w:val="center"/>
        <w:rPr>
          <w:rFonts w:hint="eastAsia" w:ascii="宋体" w:hAnsi="宋体" w:eastAsia="宋体" w:cs="宋体"/>
          <w:szCs w:val="21"/>
          <w:highlight w:val="none"/>
        </w:rPr>
      </w:pPr>
    </w:p>
    <w:p w14:paraId="272E1DC8">
      <w:pPr>
        <w:jc w:val="center"/>
        <w:rPr>
          <w:rFonts w:hint="eastAsia" w:ascii="宋体" w:hAnsi="宋体" w:eastAsia="宋体" w:cs="宋体"/>
          <w:b/>
          <w:kern w:val="0"/>
          <w:sz w:val="28"/>
          <w:szCs w:val="28"/>
          <w:highlight w:val="none"/>
        </w:rPr>
      </w:pPr>
      <w:r>
        <w:rPr>
          <w:rFonts w:hint="eastAsia" w:ascii="宋体" w:hAnsi="宋体" w:eastAsia="宋体" w:cs="宋体"/>
          <w:szCs w:val="21"/>
          <w:highlight w:val="none"/>
        </w:rPr>
        <w:br w:type="page"/>
      </w:r>
      <w:r>
        <w:rPr>
          <w:rFonts w:hint="eastAsia" w:ascii="宋体" w:hAnsi="宋体" w:eastAsia="宋体" w:cs="宋体"/>
          <w:b/>
          <w:kern w:val="0"/>
          <w:sz w:val="28"/>
          <w:szCs w:val="28"/>
          <w:highlight w:val="none"/>
        </w:rPr>
        <w:t>第一部分 投标邀请函</w:t>
      </w:r>
    </w:p>
    <w:p w14:paraId="63740151">
      <w:pPr>
        <w:ind w:firstLine="359" w:firstLineChars="171"/>
        <w:rPr>
          <w:rFonts w:hint="eastAsia" w:ascii="宋体" w:hAnsi="宋体" w:eastAsia="宋体" w:cs="宋体"/>
          <w:kern w:val="0"/>
          <w:szCs w:val="21"/>
          <w:highlight w:val="none"/>
        </w:rPr>
      </w:pPr>
      <w:r>
        <w:rPr>
          <w:rFonts w:hint="eastAsia" w:ascii="宋体" w:hAnsi="宋体" w:eastAsia="宋体" w:cs="宋体"/>
          <w:kern w:val="0"/>
          <w:szCs w:val="21"/>
          <w:highlight w:val="none"/>
        </w:rPr>
        <w:t>各（潜在）投标人:</w:t>
      </w:r>
    </w:p>
    <w:p w14:paraId="560A76A8">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国义招标股份有限公司</w:t>
      </w:r>
      <w:r>
        <w:rPr>
          <w:rFonts w:hint="eastAsia" w:ascii="宋体" w:hAnsi="宋体" w:eastAsia="宋体" w:cs="宋体"/>
          <w:szCs w:val="21"/>
          <w:highlight w:val="none"/>
        </w:rPr>
        <w:t>受</w:t>
      </w:r>
      <w:r>
        <w:rPr>
          <w:rFonts w:hint="eastAsia" w:ascii="宋体" w:hAnsi="宋体" w:eastAsia="宋体" w:cs="宋体"/>
          <w:szCs w:val="21"/>
          <w:highlight w:val="none"/>
          <w:u w:val="single"/>
        </w:rPr>
        <w:t>中山大学孙逸仙纪念医院</w:t>
      </w:r>
      <w:r>
        <w:rPr>
          <w:rFonts w:hint="eastAsia" w:ascii="宋体" w:hAnsi="宋体" w:eastAsia="宋体" w:cs="宋体"/>
          <w:highlight w:val="none"/>
          <w:u w:val="single"/>
        </w:rPr>
        <w:t>深汕中心医院</w:t>
      </w:r>
      <w:r>
        <w:rPr>
          <w:rFonts w:hint="eastAsia" w:ascii="宋体" w:hAnsi="宋体" w:eastAsia="宋体" w:cs="宋体"/>
          <w:szCs w:val="21"/>
          <w:highlight w:val="none"/>
        </w:rPr>
        <w:t>的委托，对</w:t>
      </w:r>
      <w:r>
        <w:rPr>
          <w:rFonts w:hint="eastAsia" w:ascii="宋体" w:hAnsi="宋体" w:cs="宋体"/>
          <w:snapToGrid w:val="0"/>
          <w:kern w:val="0"/>
          <w:szCs w:val="21"/>
          <w:highlight w:val="none"/>
          <w:u w:val="single"/>
          <w:lang w:eastAsia="zh-CN"/>
        </w:rPr>
        <w:t>中山大学孙逸仙纪念医院深汕中心医院食堂管理及餐饮服务项目</w:t>
      </w:r>
      <w:r>
        <w:rPr>
          <w:rFonts w:hint="eastAsia" w:ascii="宋体" w:hAnsi="宋体" w:eastAsia="宋体" w:cs="宋体"/>
          <w:szCs w:val="21"/>
          <w:highlight w:val="none"/>
        </w:rPr>
        <w:t>进行公开招标，</w:t>
      </w:r>
      <w:r>
        <w:rPr>
          <w:rFonts w:hint="eastAsia" w:ascii="宋体" w:hAnsi="宋体" w:eastAsia="宋体" w:cs="宋体"/>
          <w:szCs w:val="21"/>
          <w:highlight w:val="none"/>
          <w:lang w:val="zh-CN"/>
        </w:rPr>
        <w:t>欢迎符合资格条件</w:t>
      </w:r>
      <w:r>
        <w:rPr>
          <w:rFonts w:hint="eastAsia" w:ascii="宋体" w:hAnsi="宋体" w:eastAsia="宋体" w:cs="宋体"/>
          <w:szCs w:val="21"/>
          <w:highlight w:val="none"/>
        </w:rPr>
        <w:t>的投标人投标。项目招标内容如下：</w:t>
      </w:r>
    </w:p>
    <w:p w14:paraId="05CE7FD9">
      <w:pPr>
        <w:numPr>
          <w:ilvl w:val="0"/>
          <w:numId w:val="0"/>
        </w:numPr>
        <w:autoSpaceDE w:val="0"/>
        <w:autoSpaceDN w:val="0"/>
        <w:ind w:firstLine="420" w:firstLineChars="200"/>
        <w:rPr>
          <w:rFonts w:hint="eastAsia" w:ascii="宋体" w:hAnsi="宋体" w:eastAsia="宋体" w:cs="宋体"/>
          <w:snapToGrid w:val="0"/>
          <w:kern w:val="0"/>
          <w:szCs w:val="21"/>
          <w:highlight w:val="none"/>
          <w:u w:val="single"/>
          <w:lang w:eastAsia="zh-CN"/>
        </w:rPr>
      </w:pPr>
      <w:r>
        <w:rPr>
          <w:rFonts w:hint="eastAsia" w:ascii="宋体" w:hAnsi="宋体" w:eastAsia="宋体" w:cs="宋体"/>
          <w:snapToGrid w:val="0"/>
          <w:kern w:val="0"/>
          <w:sz w:val="21"/>
          <w:szCs w:val="21"/>
          <w:highlight w:val="none"/>
          <w:lang w:val="en-US" w:eastAsia="zh-CN" w:bidi="ar-SA"/>
        </w:rPr>
        <w:t>一、</w:t>
      </w:r>
      <w:r>
        <w:rPr>
          <w:rFonts w:hint="eastAsia" w:ascii="宋体" w:hAnsi="宋体" w:eastAsia="宋体" w:cs="宋体"/>
          <w:szCs w:val="21"/>
          <w:highlight w:val="none"/>
          <w:lang w:val="zh-CN"/>
        </w:rPr>
        <w:t>项目名称/招标编号：</w:t>
      </w:r>
      <w:r>
        <w:rPr>
          <w:rFonts w:hint="eastAsia" w:ascii="宋体" w:hAnsi="宋体" w:cs="宋体"/>
          <w:snapToGrid w:val="0"/>
          <w:kern w:val="0"/>
          <w:szCs w:val="21"/>
          <w:highlight w:val="none"/>
          <w:u w:val="single"/>
          <w:lang w:eastAsia="zh-CN"/>
        </w:rPr>
        <w:t>中山大学孙逸仙纪念医院深汕中心医院食堂管理及餐饮服务项目</w:t>
      </w:r>
      <w:r>
        <w:rPr>
          <w:rFonts w:hint="eastAsia" w:ascii="宋体" w:hAnsi="宋体" w:eastAsia="宋体" w:cs="宋体"/>
          <w:szCs w:val="21"/>
          <w:highlight w:val="none"/>
          <w:u w:val="single"/>
          <w:lang w:val="zh-CN"/>
        </w:rPr>
        <w:t>/</w:t>
      </w:r>
      <w:r>
        <w:rPr>
          <w:rFonts w:hint="eastAsia" w:ascii="宋体" w:hAnsi="宋体" w:cs="宋体"/>
          <w:snapToGrid w:val="0"/>
          <w:kern w:val="0"/>
          <w:szCs w:val="21"/>
          <w:highlight w:val="none"/>
          <w:u w:val="single"/>
          <w:lang w:eastAsia="zh-CN"/>
        </w:rPr>
        <w:t>0724-2530SW904000</w:t>
      </w:r>
      <w:r>
        <w:rPr>
          <w:rFonts w:hint="eastAsia" w:ascii="宋体" w:hAnsi="宋体" w:eastAsia="宋体" w:cs="宋体"/>
          <w:snapToGrid w:val="0"/>
          <w:kern w:val="0"/>
          <w:szCs w:val="21"/>
          <w:highlight w:val="none"/>
          <w:u w:val="single"/>
          <w:lang w:eastAsia="zh-CN"/>
        </w:rPr>
        <w:t xml:space="preserve"> </w:t>
      </w:r>
    </w:p>
    <w:p w14:paraId="5DC48F62">
      <w:pPr>
        <w:numPr>
          <w:ilvl w:val="0"/>
          <w:numId w:val="0"/>
        </w:numPr>
        <w:autoSpaceDE w:val="0"/>
        <w:autoSpaceDN w:val="0"/>
        <w:ind w:left="0" w:leftChars="0" w:firstLine="420" w:firstLineChars="200"/>
        <w:rPr>
          <w:rFonts w:hint="eastAsia" w:ascii="宋体" w:hAnsi="宋体" w:eastAsia="宋体" w:cs="宋体"/>
          <w:szCs w:val="21"/>
          <w:highlight w:val="none"/>
          <w:lang w:val="zh-CN"/>
        </w:rPr>
      </w:pPr>
      <w:r>
        <w:rPr>
          <w:rFonts w:hint="eastAsia" w:ascii="宋体" w:hAnsi="宋体" w:cs="宋体"/>
          <w:kern w:val="2"/>
          <w:sz w:val="21"/>
          <w:szCs w:val="21"/>
          <w:highlight w:val="none"/>
          <w:lang w:val="en-US" w:eastAsia="zh-CN" w:bidi="ar-SA"/>
        </w:rPr>
        <w:t>二</w:t>
      </w:r>
      <w:r>
        <w:rPr>
          <w:rFonts w:hint="eastAsia" w:ascii="宋体" w:hAnsi="宋体" w:eastAsia="宋体" w:cs="宋体"/>
          <w:kern w:val="2"/>
          <w:sz w:val="21"/>
          <w:szCs w:val="21"/>
          <w:highlight w:val="none"/>
          <w:lang w:val="zh-CN" w:eastAsia="zh-CN" w:bidi="ar-SA"/>
        </w:rPr>
        <w:t>、</w:t>
      </w:r>
      <w:r>
        <w:rPr>
          <w:rFonts w:hint="eastAsia" w:ascii="宋体" w:hAnsi="宋体" w:eastAsia="宋体" w:cs="宋体"/>
          <w:szCs w:val="21"/>
          <w:highlight w:val="none"/>
          <w:lang w:val="zh-CN"/>
        </w:rPr>
        <w:t>项目标的及交货时间、地点</w:t>
      </w:r>
    </w:p>
    <w:p w14:paraId="4518A998">
      <w:pPr>
        <w:pStyle w:val="17"/>
        <w:numPr>
          <w:ilvl w:val="0"/>
          <w:numId w:val="0"/>
        </w:numPr>
        <w:ind w:left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zh-CN" w:eastAsia="zh-CN" w:bidi="ar-SA"/>
        </w:rPr>
        <w:t>（</w:t>
      </w:r>
      <w:r>
        <w:rPr>
          <w:rFonts w:hint="eastAsia" w:ascii="宋体" w:hAnsi="宋体" w:eastAsia="宋体" w:cs="宋体"/>
          <w:kern w:val="2"/>
          <w:sz w:val="21"/>
          <w:szCs w:val="21"/>
          <w:highlight w:val="none"/>
          <w:lang w:val="en-US" w:eastAsia="zh-CN" w:bidi="ar-SA"/>
        </w:rPr>
        <w:t>一</w:t>
      </w:r>
      <w:r>
        <w:rPr>
          <w:rFonts w:hint="eastAsia" w:ascii="宋体" w:hAnsi="宋体" w:eastAsia="宋体" w:cs="宋体"/>
          <w:kern w:val="2"/>
          <w:sz w:val="21"/>
          <w:szCs w:val="21"/>
          <w:highlight w:val="none"/>
          <w:lang w:val="zh-CN" w:eastAsia="zh-CN" w:bidi="ar-SA"/>
        </w:rPr>
        <w:t>）项目标的</w:t>
      </w:r>
      <w:r>
        <w:rPr>
          <w:rFonts w:hint="eastAsia" w:ascii="宋体" w:hAnsi="宋体" w:cs="宋体"/>
          <w:kern w:val="2"/>
          <w:sz w:val="21"/>
          <w:szCs w:val="21"/>
          <w:highlight w:val="none"/>
          <w:lang w:val="zh-CN" w:eastAsia="zh-CN" w:bidi="ar-SA"/>
        </w:rPr>
        <w:t>：食堂管理及餐饮服务</w:t>
      </w:r>
    </w:p>
    <w:p w14:paraId="4D35390E">
      <w:pPr>
        <w:autoSpaceDE w:val="0"/>
        <w:autoSpaceDN w:val="0"/>
        <w:ind w:firstLine="420" w:firstLineChars="200"/>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val="zh-CN"/>
        </w:rPr>
        <w:t>）服务期：</w:t>
      </w:r>
      <w:r>
        <w:rPr>
          <w:rFonts w:hint="eastAsia" w:ascii="宋体" w:hAnsi="宋体" w:cs="宋体"/>
          <w:szCs w:val="21"/>
          <w:highlight w:val="none"/>
          <w:lang w:val="en-US" w:eastAsia="zh-CN"/>
        </w:rPr>
        <w:t>3</w:t>
      </w:r>
      <w:r>
        <w:rPr>
          <w:rFonts w:hint="eastAsia" w:ascii="宋体" w:hAnsi="宋体" w:eastAsia="宋体" w:cs="宋体"/>
          <w:szCs w:val="21"/>
          <w:highlight w:val="none"/>
          <w:lang w:val="zh-CN" w:eastAsia="zh-CN"/>
        </w:rPr>
        <w:t>年</w:t>
      </w:r>
    </w:p>
    <w:p w14:paraId="31BE4725">
      <w:pPr>
        <w:autoSpaceDE w:val="0"/>
        <w:autoSpaceDN w:val="0"/>
        <w:ind w:firstLine="420" w:firstLineChars="200"/>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服务</w:t>
      </w:r>
      <w:r>
        <w:rPr>
          <w:rFonts w:hint="eastAsia" w:ascii="宋体" w:hAnsi="宋体" w:eastAsia="宋体" w:cs="宋体"/>
          <w:szCs w:val="21"/>
          <w:highlight w:val="none"/>
          <w:lang w:val="zh-CN"/>
        </w:rPr>
        <w:t>地点：招标人指定地点。</w:t>
      </w:r>
    </w:p>
    <w:p w14:paraId="6017A3A9">
      <w:pPr>
        <w:autoSpaceDE w:val="0"/>
        <w:autoSpaceDN w:val="0"/>
        <w:ind w:firstLine="420" w:firstLineChars="200"/>
        <w:rPr>
          <w:rFonts w:hint="eastAsia" w:ascii="宋体" w:hAnsi="宋体" w:eastAsia="宋体" w:cs="宋体"/>
          <w:szCs w:val="21"/>
          <w:highlight w:val="none"/>
        </w:rPr>
      </w:pPr>
      <w:r>
        <w:rPr>
          <w:rFonts w:hint="eastAsia" w:ascii="宋体" w:hAnsi="宋体" w:cs="宋体"/>
          <w:szCs w:val="21"/>
          <w:highlight w:val="none"/>
          <w:lang w:val="en-US" w:eastAsia="zh-CN"/>
        </w:rPr>
        <w:t>三</w:t>
      </w:r>
      <w:r>
        <w:rPr>
          <w:rFonts w:hint="eastAsia" w:ascii="宋体" w:hAnsi="宋体" w:eastAsia="宋体" w:cs="宋体"/>
          <w:szCs w:val="21"/>
          <w:highlight w:val="none"/>
          <w:lang w:val="zh-CN"/>
        </w:rPr>
        <w:t>、投标人资格：</w:t>
      </w:r>
    </w:p>
    <w:p w14:paraId="4223AAD5">
      <w:pPr>
        <w:autoSpaceDE w:val="0"/>
        <w:autoSpaceDN w:val="0"/>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（一）</w:t>
      </w:r>
      <w:r>
        <w:rPr>
          <w:rFonts w:hint="eastAsia" w:ascii="宋体" w:hAnsi="宋体" w:eastAsia="宋体" w:cs="宋体"/>
          <w:szCs w:val="21"/>
          <w:highlight w:val="none"/>
          <w:lang w:val="zh-CN"/>
        </w:rPr>
        <w:t>投标人必须是来自中华人民共和国（以下简称“合格来源国”）的法人或其他组织。</w:t>
      </w:r>
    </w:p>
    <w:p w14:paraId="7EC74FB5">
      <w:pPr>
        <w:autoSpaceDE w:val="0"/>
        <w:autoSpaceDN w:val="0"/>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val="zh-CN"/>
        </w:rPr>
        <w:t>投标人只允许为独立法人或其他组织，不接受联合体投标。</w:t>
      </w:r>
    </w:p>
    <w:p w14:paraId="49CA4AA5">
      <w:pPr>
        <w:autoSpaceDE w:val="0"/>
        <w:autoSpaceDN w:val="0"/>
        <w:ind w:firstLine="315" w:firstLineChars="150"/>
        <w:rPr>
          <w:rFonts w:hint="eastAsia" w:ascii="宋体" w:hAnsi="宋体" w:eastAsia="宋体" w:cs="宋体"/>
          <w:szCs w:val="21"/>
          <w:highlight w:val="none"/>
          <w:lang w:val="zh-CN" w:eastAsia="zh-CN"/>
        </w:rPr>
      </w:pPr>
      <w:r>
        <w:rPr>
          <w:rFonts w:hint="eastAsia" w:ascii="宋体" w:hAnsi="宋体" w:eastAsia="宋体" w:cs="宋体"/>
          <w:szCs w:val="21"/>
          <w:highlight w:val="none"/>
          <w:lang w:val="en-US" w:eastAsia="zh-CN"/>
        </w:rPr>
        <w:t>（三）</w:t>
      </w:r>
      <w:r>
        <w:rPr>
          <w:rFonts w:hint="eastAsia" w:ascii="宋体" w:hAnsi="宋体" w:eastAsia="宋体" w:cs="宋体"/>
          <w:szCs w:val="21"/>
          <w:highlight w:val="none"/>
          <w:lang w:val="zh-CN"/>
        </w:rPr>
        <w:t>投标人须具有有效的《食品经营许可证》或者经市场监督管理部门批准的食品经营许可文件。</w:t>
      </w:r>
    </w:p>
    <w:p w14:paraId="4B1664DD">
      <w:pPr>
        <w:autoSpaceDE w:val="0"/>
        <w:autoSpaceDN w:val="0"/>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（四）</w:t>
      </w:r>
      <w:r>
        <w:rPr>
          <w:rFonts w:hint="eastAsia" w:ascii="宋体" w:hAnsi="宋体" w:eastAsia="宋体" w:cs="宋体"/>
          <w:szCs w:val="21"/>
          <w:highlight w:val="none"/>
          <w:lang w:val="zh-CN"/>
        </w:rPr>
        <w:t>单位负责人为同一人或者存在控股、管理关系的不同单位，不得参加同一招标项目包投标。(投标人出具声明函)。</w:t>
      </w:r>
    </w:p>
    <w:p w14:paraId="5D3B99E9">
      <w:pPr>
        <w:autoSpaceDE w:val="0"/>
        <w:autoSpaceDN w:val="0"/>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（五）</w:t>
      </w:r>
      <w:r>
        <w:rPr>
          <w:rFonts w:hint="eastAsia" w:ascii="宋体" w:hAnsi="宋体" w:eastAsia="宋体" w:cs="宋体"/>
          <w:szCs w:val="21"/>
          <w:highlight w:val="none"/>
          <w:lang w:val="zh-CN"/>
        </w:rPr>
        <w:t>为</w:t>
      </w:r>
      <w:r>
        <w:rPr>
          <w:rFonts w:hint="eastAsia" w:ascii="宋体" w:hAnsi="宋体" w:eastAsia="宋体" w:cs="宋体"/>
          <w:szCs w:val="21"/>
          <w:highlight w:val="none"/>
          <w:lang w:val="en-US" w:eastAsia="zh-CN"/>
        </w:rPr>
        <w:t>本</w:t>
      </w:r>
      <w:r>
        <w:rPr>
          <w:rFonts w:hint="eastAsia" w:ascii="宋体" w:hAnsi="宋体" w:eastAsia="宋体" w:cs="宋体"/>
          <w:szCs w:val="21"/>
          <w:highlight w:val="none"/>
          <w:lang w:val="zh-CN"/>
        </w:rPr>
        <w:t>项目提供整体设计、规范编制或者项目管理、监理、检测等服务的投标人，不得再参加</w:t>
      </w:r>
      <w:r>
        <w:rPr>
          <w:rFonts w:hint="eastAsia" w:ascii="宋体" w:hAnsi="宋体" w:eastAsia="宋体" w:cs="宋体"/>
          <w:szCs w:val="21"/>
          <w:highlight w:val="none"/>
          <w:lang w:val="en-US" w:eastAsia="zh-CN"/>
        </w:rPr>
        <w:t>本</w:t>
      </w:r>
      <w:r>
        <w:rPr>
          <w:rFonts w:hint="eastAsia" w:ascii="宋体" w:hAnsi="宋体" w:eastAsia="宋体" w:cs="宋体"/>
          <w:szCs w:val="21"/>
          <w:highlight w:val="none"/>
          <w:lang w:val="zh-CN"/>
        </w:rPr>
        <w:t>项目的其他采购活动(投标人出具声明函)。</w:t>
      </w:r>
    </w:p>
    <w:p w14:paraId="32CC2212">
      <w:pPr>
        <w:autoSpaceDE w:val="0"/>
        <w:autoSpaceDN w:val="0"/>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（六）</w:t>
      </w:r>
      <w:r>
        <w:rPr>
          <w:rFonts w:hint="eastAsia" w:ascii="宋体" w:hAnsi="宋体" w:eastAsia="宋体" w:cs="宋体"/>
          <w:szCs w:val="21"/>
          <w:highlight w:val="none"/>
          <w:lang w:val="zh-CN"/>
        </w:rPr>
        <w:t>投标人没有被列入失信被执行</w:t>
      </w:r>
      <w:bookmarkStart w:id="42" w:name="_GoBack"/>
      <w:bookmarkEnd w:id="42"/>
      <w:r>
        <w:rPr>
          <w:rFonts w:hint="eastAsia" w:ascii="宋体" w:hAnsi="宋体" w:eastAsia="宋体" w:cs="宋体"/>
          <w:szCs w:val="21"/>
          <w:highlight w:val="none"/>
          <w:lang w:val="zh-CN"/>
        </w:rPr>
        <w:t>人、重大税收违法案件当事人名单（即税收违法黑名单）、政府采购严重违法失信行为记录名单及其他不符合规定条件的投标人。[根据信用中国网站（www.creditchina.gov.cn）、中国政府采购网（www.ccgp.gov.cn）主体信用记录信息进行查询]。</w:t>
      </w:r>
    </w:p>
    <w:p w14:paraId="73F4AC1E">
      <w:pPr>
        <w:autoSpaceDE w:val="0"/>
        <w:autoSpaceDN w:val="0"/>
        <w:ind w:firstLine="315" w:firstLineChars="150"/>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eastAsia="zh-CN"/>
        </w:rPr>
        <w:t>（七）本项目不允许转包。如合同有约定，可以对本项目的部分非主体、非关键性工作进行分包,投标人应当就分包项目向招标人负责。</w:t>
      </w:r>
    </w:p>
    <w:p w14:paraId="28844600">
      <w:pPr>
        <w:autoSpaceDE w:val="0"/>
        <w:autoSpaceDN w:val="0"/>
        <w:ind w:firstLine="315" w:firstLineChars="150"/>
        <w:rPr>
          <w:rFonts w:hint="eastAsia" w:ascii="宋体" w:hAnsi="宋体" w:eastAsia="宋体" w:cs="宋体"/>
          <w:szCs w:val="21"/>
          <w:highlight w:val="none"/>
        </w:rPr>
      </w:pPr>
      <w:r>
        <w:rPr>
          <w:rFonts w:hint="eastAsia" w:ascii="宋体" w:hAnsi="宋体" w:eastAsia="宋体" w:cs="宋体"/>
          <w:szCs w:val="21"/>
          <w:highlight w:val="none"/>
          <w:lang w:val="en-US" w:eastAsia="zh-CN"/>
        </w:rPr>
        <w:t>（八）</w:t>
      </w:r>
      <w:r>
        <w:rPr>
          <w:rFonts w:hint="eastAsia" w:ascii="宋体" w:hAnsi="宋体" w:eastAsia="宋体" w:cs="宋体"/>
          <w:szCs w:val="21"/>
          <w:highlight w:val="none"/>
          <w:lang w:val="zh-CN"/>
        </w:rPr>
        <w:t xml:space="preserve">已领购本次招标文件。 </w:t>
      </w:r>
    </w:p>
    <w:p w14:paraId="28A2621B">
      <w:pPr>
        <w:autoSpaceDE w:val="0"/>
        <w:autoSpaceDN w:val="0"/>
        <w:ind w:firstLine="315" w:firstLineChars="150"/>
        <w:rPr>
          <w:rFonts w:hint="eastAsia" w:ascii="宋体" w:hAnsi="宋体" w:eastAsia="宋体" w:cs="宋体"/>
          <w:szCs w:val="21"/>
          <w:highlight w:val="none"/>
        </w:rPr>
      </w:pPr>
      <w:r>
        <w:rPr>
          <w:rFonts w:hint="eastAsia" w:ascii="宋体" w:hAnsi="宋体" w:cs="宋体"/>
          <w:szCs w:val="21"/>
          <w:highlight w:val="none"/>
          <w:lang w:val="en-US" w:eastAsia="zh-CN"/>
        </w:rPr>
        <w:t>四</w:t>
      </w:r>
      <w:r>
        <w:rPr>
          <w:rFonts w:hint="eastAsia" w:ascii="宋体" w:hAnsi="宋体" w:eastAsia="宋体" w:cs="宋体"/>
          <w:szCs w:val="21"/>
          <w:highlight w:val="none"/>
        </w:rPr>
        <w:t>、符合资格的投标人应当202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7</w:t>
      </w:r>
      <w:r>
        <w:rPr>
          <w:rFonts w:hint="eastAsia" w:ascii="宋体" w:hAnsi="宋体" w:eastAsia="宋体" w:cs="宋体"/>
          <w:szCs w:val="21"/>
          <w:highlight w:val="none"/>
        </w:rPr>
        <w:t>月</w:t>
      </w:r>
      <w:r>
        <w:rPr>
          <w:rFonts w:hint="eastAsia" w:ascii="宋体" w:hAnsi="宋体" w:cs="宋体"/>
          <w:szCs w:val="21"/>
          <w:highlight w:val="none"/>
          <w:lang w:val="en-US" w:eastAsia="zh-CN"/>
        </w:rPr>
        <w:t>22</w:t>
      </w:r>
      <w:r>
        <w:rPr>
          <w:rFonts w:hint="eastAsia" w:ascii="宋体" w:hAnsi="宋体" w:eastAsia="宋体" w:cs="宋体"/>
          <w:szCs w:val="21"/>
          <w:highlight w:val="none"/>
        </w:rPr>
        <w:t>日至202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8</w:t>
      </w:r>
      <w:r>
        <w:rPr>
          <w:rFonts w:hint="eastAsia" w:ascii="宋体" w:hAnsi="宋体" w:eastAsia="宋体" w:cs="宋体"/>
          <w:szCs w:val="21"/>
          <w:highlight w:val="none"/>
        </w:rPr>
        <w:t>月</w:t>
      </w:r>
      <w:r>
        <w:rPr>
          <w:rFonts w:hint="eastAsia" w:ascii="宋体" w:hAnsi="宋体" w:cs="宋体"/>
          <w:szCs w:val="21"/>
          <w:highlight w:val="none"/>
          <w:lang w:val="en-US" w:eastAsia="zh-CN"/>
        </w:rPr>
        <w:t xml:space="preserve"> 15</w:t>
      </w:r>
      <w:r>
        <w:rPr>
          <w:rFonts w:hint="eastAsia" w:ascii="宋体" w:hAnsi="宋体" w:eastAsia="宋体" w:cs="宋体"/>
          <w:szCs w:val="21"/>
          <w:highlight w:val="none"/>
        </w:rPr>
        <w:t>日每天0:00至</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59</w:t>
      </w:r>
      <w:r>
        <w:rPr>
          <w:rFonts w:hint="eastAsia" w:ascii="宋体" w:hAnsi="宋体" w:eastAsia="宋体" w:cs="宋体"/>
          <w:b/>
          <w:szCs w:val="21"/>
          <w:highlight w:val="none"/>
        </w:rPr>
        <w:t>(北京时间)</w:t>
      </w:r>
      <w:r>
        <w:rPr>
          <w:rFonts w:hint="eastAsia" w:ascii="宋体" w:hAnsi="宋体" w:eastAsia="宋体" w:cs="宋体"/>
          <w:szCs w:val="21"/>
          <w:highlight w:val="none"/>
        </w:rPr>
        <w:t>领购招标文件，本招标文件每套售价为人民币</w:t>
      </w:r>
      <w:r>
        <w:rPr>
          <w:rFonts w:hint="eastAsia" w:ascii="宋体" w:hAnsi="宋体" w:eastAsia="宋体" w:cs="宋体"/>
          <w:szCs w:val="21"/>
          <w:highlight w:val="none"/>
          <w:lang w:val="en-US" w:eastAsia="zh-CN"/>
        </w:rPr>
        <w:t>300</w:t>
      </w:r>
      <w:r>
        <w:rPr>
          <w:rFonts w:hint="eastAsia" w:ascii="宋体" w:hAnsi="宋体" w:eastAsia="宋体" w:cs="宋体"/>
          <w:szCs w:val="21"/>
          <w:highlight w:val="none"/>
        </w:rPr>
        <w:t>元，售后不退。</w:t>
      </w:r>
    </w:p>
    <w:p w14:paraId="4E04A7C0">
      <w:pPr>
        <w:autoSpaceDE w:val="0"/>
        <w:autoSpaceDN w:val="0"/>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领购招标文件方式：</w:t>
      </w:r>
    </w:p>
    <w:p w14:paraId="6C27EB89">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一</w:t>
      </w:r>
      <w:r>
        <w:rPr>
          <w:rFonts w:hint="eastAsia" w:ascii="宋体" w:hAnsi="宋体" w:eastAsia="宋体" w:cs="宋体"/>
          <w:szCs w:val="21"/>
          <w:highlight w:val="none"/>
          <w:lang w:eastAsia="zh-CN"/>
        </w:rPr>
        <w:t>）</w:t>
      </w:r>
      <w:r>
        <w:rPr>
          <w:rFonts w:hint="eastAsia" w:ascii="宋体" w:hAnsi="宋体" w:eastAsia="宋体" w:cs="宋体"/>
          <w:szCs w:val="21"/>
          <w:highlight w:val="none"/>
        </w:rPr>
        <w:t>国e平台的域名及登陆方法</w:t>
      </w:r>
    </w:p>
    <w:p w14:paraId="5800C36D">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在国义招标采购平台（以下简称“国e平台”，网址：new.ebidding.com）进行全流程电子招投标（建议使用“遨游（www.maxthon.cn）”、“QQ（http://browser.qq.com/）、搜狗（https://ie.sogou.com/）”浏览器，也可在国e平台用户指南（http://www.ebidding.com/yhzn/index.jhtml）下载安装包。且在浏览器设置中需要允许flash运行）</w:t>
      </w:r>
    </w:p>
    <w:p w14:paraId="1CC66D75">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rPr>
        <w:t>新投标人的注册方法</w:t>
      </w:r>
    </w:p>
    <w:p w14:paraId="10188088">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参加投标的单位须在领购招标文件前前往国e平台网页进行注册（注册时须在平台上传原件扫描件，或加盖单位公章的营业执照以及银行基本账户开户许可证或基本存款账户信息扫描件），操作步骤详见国e平台用户指南中《用户注册手册》。</w:t>
      </w:r>
    </w:p>
    <w:p w14:paraId="6A2375EE">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三</w:t>
      </w:r>
      <w:r>
        <w:rPr>
          <w:rFonts w:hint="eastAsia" w:ascii="宋体" w:hAnsi="宋体" w:eastAsia="宋体" w:cs="宋体"/>
          <w:szCs w:val="21"/>
          <w:highlight w:val="none"/>
          <w:lang w:eastAsia="zh-CN"/>
        </w:rPr>
        <w:t>）</w:t>
      </w:r>
      <w:r>
        <w:rPr>
          <w:rFonts w:hint="eastAsia" w:ascii="宋体" w:hAnsi="宋体" w:eastAsia="宋体" w:cs="宋体"/>
          <w:szCs w:val="21"/>
          <w:highlight w:val="none"/>
        </w:rPr>
        <w:t>CA证书的办理方法</w:t>
      </w:r>
    </w:p>
    <w:p w14:paraId="0A6A64D4">
      <w:pPr>
        <w:ind w:firstLine="420" w:firstLineChars="200"/>
        <w:rPr>
          <w:rFonts w:hint="eastAsia" w:ascii="宋体" w:hAnsi="宋体" w:eastAsia="宋体" w:cs="宋体"/>
          <w:highlight w:val="none"/>
        </w:rPr>
      </w:pPr>
      <w:r>
        <w:rPr>
          <w:rFonts w:hint="eastAsia" w:ascii="宋体" w:hAnsi="宋体" w:eastAsia="宋体" w:cs="宋体"/>
          <w:highlight w:val="none"/>
        </w:rPr>
        <w:t>办理CA证书须知：</w:t>
      </w:r>
    </w:p>
    <w:p w14:paraId="129FF067">
      <w:pPr>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在办理CA证书前，请办理单位先按照国e平台用户指南完成平台注册手续。</w:t>
      </w:r>
    </w:p>
    <w:p w14:paraId="58B94766">
      <w:pPr>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办理CA证书后，办理单位可对本项目的制作及递交投标文件、对投标文件的加解密、开标等环节进行操作。</w:t>
      </w:r>
    </w:p>
    <w:p w14:paraId="14D2EB96">
      <w:pPr>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国e平台兼容U盘实体CA（上海CA）和手机扫码软CA（CFCA）两种CA证书，选择其中一个进行办理即可。</w:t>
      </w:r>
    </w:p>
    <w:p w14:paraId="0BD217AD">
      <w:pPr>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 xml:space="preserve">  投标人须充分考虑CA证书的申请资料递交、资料核查审批及获取实物等环节所需时间，以免在投标截止时间前无法取得CA进行投标文件的加密生成及上传操作。</w:t>
      </w:r>
    </w:p>
    <w:p w14:paraId="10E050D0">
      <w:pPr>
        <w:rPr>
          <w:rFonts w:hint="eastAsia" w:ascii="宋体" w:hAnsi="宋体" w:eastAsia="宋体" w:cs="宋体"/>
          <w:highlight w:val="none"/>
        </w:rPr>
      </w:pPr>
      <w:r>
        <w:rPr>
          <w:rFonts w:hint="eastAsia" w:ascii="宋体" w:hAnsi="宋体" w:eastAsia="宋体" w:cs="宋体"/>
          <w:highlight w:val="none"/>
        </w:rPr>
        <w:t>办理CA证书手续（以下CA证书选择其中一个进行办理即可）</w:t>
      </w:r>
    </w:p>
    <w:p w14:paraId="7154AD90">
      <w:pPr>
        <w:rPr>
          <w:rFonts w:hint="eastAsia" w:ascii="宋体" w:hAnsi="宋体" w:eastAsia="宋体" w:cs="宋体"/>
          <w:highlight w:val="none"/>
        </w:rPr>
      </w:pPr>
      <w:r>
        <w:rPr>
          <w:rFonts w:hint="eastAsia" w:ascii="宋体" w:hAnsi="宋体" w:eastAsia="宋体" w:cs="宋体"/>
          <w:highlight w:val="none"/>
        </w:rPr>
        <w:t>选择（1）、U盘实体CA（上海CA）：</w:t>
      </w:r>
    </w:p>
    <w:p w14:paraId="6159A8ED">
      <w:pPr>
        <w:rPr>
          <w:rFonts w:hint="eastAsia" w:ascii="宋体" w:hAnsi="宋体" w:eastAsia="宋体" w:cs="宋体"/>
          <w:highlight w:val="none"/>
        </w:rPr>
      </w:pPr>
      <w:r>
        <w:rPr>
          <w:rFonts w:hint="eastAsia" w:ascii="宋体" w:hAnsi="宋体" w:eastAsia="宋体" w:cs="宋体"/>
          <w:highlight w:val="none"/>
        </w:rPr>
        <w:t>须彩色扫描以下文件递交到国e平台（系统管理-证书管理-CA申请-在线申请）审核后办理CA证书：</w:t>
      </w:r>
    </w:p>
    <w:p w14:paraId="37DC6051">
      <w:pPr>
        <w:rPr>
          <w:rFonts w:hint="eastAsia" w:ascii="宋体" w:hAnsi="宋体" w:eastAsia="宋体" w:cs="宋体"/>
          <w:highlight w:val="none"/>
        </w:rPr>
      </w:pPr>
      <w:r>
        <w:rPr>
          <w:rFonts w:hint="eastAsia" w:ascii="宋体" w:hAnsi="宋体" w:eastAsia="宋体" w:cs="宋体"/>
          <w:highlight w:val="none"/>
        </w:rPr>
        <w:t>&lt;1&gt;办理单位向上海市数字证书认证中心有限公司缴纳办理费用的银行汇款底单。</w:t>
      </w:r>
    </w:p>
    <w:p w14:paraId="5A66179A">
      <w:pPr>
        <w:rPr>
          <w:rFonts w:hint="eastAsia" w:ascii="宋体" w:hAnsi="宋体" w:eastAsia="宋体" w:cs="宋体"/>
          <w:highlight w:val="none"/>
        </w:rPr>
      </w:pPr>
      <w:r>
        <w:rPr>
          <w:rFonts w:hint="eastAsia" w:ascii="宋体" w:hAnsi="宋体" w:eastAsia="宋体" w:cs="宋体"/>
          <w:highlight w:val="none"/>
        </w:rPr>
        <w:t>&lt;2&gt;办理单位登录国e平台，在（系统管理-证书管理-CA申请-在线申请）功能处点击下载《投标人CA证书申请资料》，解压文件后按《附件1-1、办理资料，需要提交》要求填写并盖章，并彩色扫描所有资料（电子印章申请表申请单位公章务必</w:t>
      </w:r>
      <w:r>
        <w:rPr>
          <w:rFonts w:hint="eastAsia" w:ascii="宋体" w:hAnsi="宋体" w:eastAsia="宋体" w:cs="宋体"/>
          <w:b/>
          <w:highlight w:val="none"/>
          <w:u w:val="single"/>
        </w:rPr>
        <w:t>清晰鲜明</w:t>
      </w:r>
      <w:r>
        <w:rPr>
          <w:rFonts w:hint="eastAsia" w:ascii="宋体" w:hAnsi="宋体" w:eastAsia="宋体" w:cs="宋体"/>
          <w:highlight w:val="none"/>
        </w:rPr>
        <w:t>）上传至国e平台（系统管理-证书管理-CA申请-在线申请）。</w:t>
      </w:r>
    </w:p>
    <w:p w14:paraId="4EEA332E">
      <w:pPr>
        <w:rPr>
          <w:rFonts w:hint="eastAsia" w:ascii="宋体" w:hAnsi="宋体" w:eastAsia="宋体" w:cs="宋体"/>
          <w:highlight w:val="none"/>
        </w:rPr>
      </w:pPr>
      <w:r>
        <w:rPr>
          <w:rFonts w:hint="eastAsia" w:ascii="宋体" w:hAnsi="宋体" w:eastAsia="宋体" w:cs="宋体"/>
          <w:highlight w:val="none"/>
        </w:rPr>
        <w:t>&lt;3&gt;，上述纸质文件需按照要求递送或者邮寄至我司。</w:t>
      </w:r>
    </w:p>
    <w:p w14:paraId="1D192B15">
      <w:pPr>
        <w:rPr>
          <w:rFonts w:hint="eastAsia" w:ascii="宋体" w:hAnsi="宋体" w:eastAsia="宋体" w:cs="宋体"/>
          <w:highlight w:val="none"/>
        </w:rPr>
      </w:pPr>
      <w:r>
        <w:rPr>
          <w:rFonts w:hint="eastAsia" w:ascii="宋体" w:hAnsi="宋体" w:eastAsia="宋体" w:cs="宋体"/>
          <w:highlight w:val="none"/>
        </w:rPr>
        <w:t>&lt;4&gt;</w:t>
      </w:r>
      <w:r>
        <w:rPr>
          <w:rFonts w:hint="eastAsia" w:ascii="宋体" w:hAnsi="宋体" w:eastAsia="宋体" w:cs="宋体"/>
          <w:highlight w:val="none"/>
        </w:rPr>
        <w:tab/>
      </w:r>
      <w:r>
        <w:rPr>
          <w:rFonts w:hint="eastAsia" w:ascii="宋体" w:hAnsi="宋体" w:eastAsia="宋体" w:cs="宋体"/>
          <w:highlight w:val="none"/>
        </w:rPr>
        <w:t>CA证书办理时间：北京时间周一至周五（节假日除外），每天上午9:00-11:30，下午14:00-16:00。</w:t>
      </w:r>
      <w:r>
        <w:rPr>
          <w:rFonts w:hint="eastAsia" w:ascii="宋体" w:hAnsi="宋体" w:eastAsia="宋体" w:cs="宋体"/>
          <w:b/>
          <w:bCs/>
          <w:highlight w:val="none"/>
        </w:rPr>
        <w:t>（在投标截止时间前，请预留至少72小时用于CA证书办理）</w:t>
      </w:r>
    </w:p>
    <w:p w14:paraId="427D7172">
      <w:pPr>
        <w:rPr>
          <w:rFonts w:hint="eastAsia" w:ascii="宋体" w:hAnsi="宋体" w:eastAsia="宋体" w:cs="宋体"/>
          <w:highlight w:val="none"/>
        </w:rPr>
      </w:pPr>
      <w:r>
        <w:rPr>
          <w:rFonts w:hint="eastAsia" w:ascii="宋体" w:hAnsi="宋体" w:eastAsia="宋体" w:cs="宋体"/>
          <w:highlight w:val="none"/>
        </w:rPr>
        <w:t>&lt;5&gt;</w:t>
      </w:r>
      <w:r>
        <w:rPr>
          <w:rFonts w:hint="eastAsia" w:ascii="宋体" w:hAnsi="宋体" w:eastAsia="宋体" w:cs="宋体"/>
          <w:highlight w:val="none"/>
        </w:rPr>
        <w:tab/>
      </w:r>
      <w:r>
        <w:rPr>
          <w:rFonts w:hint="eastAsia" w:ascii="宋体" w:hAnsi="宋体" w:eastAsia="宋体" w:cs="宋体"/>
          <w:highlight w:val="none"/>
        </w:rPr>
        <w:t>CA证书领取地点：国义招标股份有限公司20楼。</w:t>
      </w:r>
    </w:p>
    <w:p w14:paraId="6C090378">
      <w:pPr>
        <w:rPr>
          <w:rFonts w:hint="eastAsia" w:ascii="宋体" w:hAnsi="宋体" w:eastAsia="宋体" w:cs="宋体"/>
          <w:highlight w:val="none"/>
        </w:rPr>
      </w:pPr>
      <w:r>
        <w:rPr>
          <w:rFonts w:hint="eastAsia" w:ascii="宋体" w:hAnsi="宋体" w:eastAsia="宋体" w:cs="宋体"/>
          <w:highlight w:val="none"/>
        </w:rPr>
        <w:t>&lt;6&gt;</w:t>
      </w:r>
      <w:r>
        <w:rPr>
          <w:rFonts w:hint="eastAsia" w:ascii="宋体" w:hAnsi="宋体" w:eastAsia="宋体" w:cs="宋体"/>
          <w:highlight w:val="none"/>
        </w:rPr>
        <w:tab/>
      </w:r>
      <w:r>
        <w:rPr>
          <w:rFonts w:hint="eastAsia" w:ascii="宋体" w:hAnsi="宋体" w:eastAsia="宋体" w:cs="宋体"/>
          <w:highlight w:val="none"/>
        </w:rPr>
        <w:t>CA证书领取方式：投标人可以到代理机构现场领取或者采用邮寄方式，邮寄方式邮费</w:t>
      </w:r>
      <w:r>
        <w:rPr>
          <w:rFonts w:hint="eastAsia" w:ascii="宋体" w:hAnsi="宋体" w:eastAsia="宋体" w:cs="宋体"/>
          <w:b/>
          <w:highlight w:val="none"/>
          <w:u w:val="single"/>
        </w:rPr>
        <w:t>默认到付</w:t>
      </w:r>
      <w:r>
        <w:rPr>
          <w:rFonts w:hint="eastAsia" w:ascii="宋体" w:hAnsi="宋体" w:eastAsia="宋体" w:cs="宋体"/>
          <w:highlight w:val="none"/>
        </w:rPr>
        <w:t>，</w:t>
      </w:r>
      <w:r>
        <w:rPr>
          <w:rFonts w:hint="eastAsia" w:ascii="宋体" w:hAnsi="宋体" w:eastAsia="宋体" w:cs="宋体"/>
          <w:b/>
          <w:highlight w:val="none"/>
          <w:u w:val="single"/>
        </w:rPr>
        <w:t>且代理机构不提供邮寄费用发票</w:t>
      </w:r>
      <w:r>
        <w:rPr>
          <w:rFonts w:hint="eastAsia" w:ascii="宋体" w:hAnsi="宋体" w:eastAsia="宋体" w:cs="宋体"/>
          <w:highlight w:val="none"/>
        </w:rPr>
        <w:t>。</w:t>
      </w:r>
    </w:p>
    <w:p w14:paraId="7BAE4C32">
      <w:pPr>
        <w:rPr>
          <w:rFonts w:hint="eastAsia" w:ascii="宋体" w:hAnsi="宋体" w:eastAsia="宋体" w:cs="宋体"/>
          <w:highlight w:val="none"/>
        </w:rPr>
      </w:pPr>
      <w:r>
        <w:rPr>
          <w:rFonts w:hint="eastAsia" w:ascii="宋体" w:hAnsi="宋体" w:eastAsia="宋体" w:cs="宋体"/>
          <w:highlight w:val="none"/>
        </w:rPr>
        <w:t>选择（2）、手机扫码软CA（CFCA）：</w:t>
      </w:r>
    </w:p>
    <w:p w14:paraId="4AE85109">
      <w:pPr>
        <w:rPr>
          <w:rFonts w:hint="eastAsia" w:ascii="宋体" w:hAnsi="宋体" w:eastAsia="宋体" w:cs="宋体"/>
          <w:highlight w:val="none"/>
        </w:rPr>
      </w:pPr>
      <w:r>
        <w:rPr>
          <w:rFonts w:hint="eastAsia" w:ascii="宋体" w:hAnsi="宋体" w:eastAsia="宋体" w:cs="宋体"/>
          <w:highlight w:val="none"/>
        </w:rPr>
        <w:t>&lt;1&gt;办理单位经办人需下载并安装“中招互连”手机APP，苹果手机直接在应用市场搜索，安卓版在腾讯应用宝搜索。</w:t>
      </w:r>
    </w:p>
    <w:p w14:paraId="3741A23A">
      <w:pPr>
        <w:rPr>
          <w:rFonts w:hint="eastAsia" w:ascii="宋体" w:hAnsi="宋体" w:eastAsia="宋体" w:cs="宋体"/>
          <w:szCs w:val="21"/>
          <w:highlight w:val="none"/>
        </w:rPr>
      </w:pPr>
      <w:r>
        <w:rPr>
          <w:rFonts w:hint="eastAsia" w:ascii="宋体" w:hAnsi="宋体" w:eastAsia="宋体" w:cs="宋体"/>
          <w:highlight w:val="none"/>
        </w:rPr>
        <w:t>&lt;2&gt;按APP提示实名认证个人信息→注册单位信息→申请单位ca证书→申请印章授权，详细办理流程可登录国e平台后在“操作手册”功能处点击下载《手机扫码CA证书申请、使用手册及软件下载》</w:t>
      </w:r>
      <w:r>
        <w:rPr>
          <w:rFonts w:hint="eastAsia" w:ascii="宋体" w:hAnsi="宋体" w:eastAsia="宋体" w:cs="宋体"/>
          <w:szCs w:val="21"/>
          <w:highlight w:val="none"/>
        </w:rPr>
        <w:t>。</w:t>
      </w:r>
    </w:p>
    <w:p w14:paraId="4BE4F865">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lang w:eastAsia="zh-CN"/>
        </w:rPr>
        <w:t>）</w:t>
      </w:r>
      <w:r>
        <w:rPr>
          <w:rFonts w:hint="eastAsia" w:ascii="宋体" w:hAnsi="宋体" w:eastAsia="宋体" w:cs="宋体"/>
          <w:szCs w:val="21"/>
          <w:highlight w:val="none"/>
        </w:rPr>
        <w:t>电子招标文件的领购方法</w:t>
      </w:r>
    </w:p>
    <w:p w14:paraId="2E58073C">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招标文件由招标代理机构发售，请投标人代表领购招标文件。</w:t>
      </w:r>
    </w:p>
    <w:p w14:paraId="3D50BF73">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有兴趣参加本项目的单位：</w:t>
      </w:r>
    </w:p>
    <w:p w14:paraId="34CE6C0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（1）首先在国e平台完成注册以及注册审批手续；</w:t>
      </w:r>
    </w:p>
    <w:p w14:paraId="02F9D513">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（2）在上一步操作完成后，按照第（4）点所述方式领购招标文件； </w:t>
      </w:r>
    </w:p>
    <w:p w14:paraId="62A0F79F">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（3）招标文件售价：每套为</w:t>
      </w:r>
      <w:r>
        <w:rPr>
          <w:rFonts w:hint="eastAsia" w:ascii="宋体" w:hAnsi="宋体" w:eastAsia="宋体" w:cs="宋体"/>
          <w:szCs w:val="21"/>
          <w:highlight w:val="none"/>
          <w:lang w:val="en-US" w:eastAsia="zh-CN"/>
        </w:rPr>
        <w:t>300</w:t>
      </w:r>
      <w:r>
        <w:rPr>
          <w:rFonts w:hint="eastAsia" w:ascii="宋体" w:hAnsi="宋体" w:eastAsia="宋体" w:cs="宋体"/>
          <w:szCs w:val="21"/>
          <w:highlight w:val="none"/>
        </w:rPr>
        <w:t>元人民币，售后不退；</w:t>
      </w:r>
    </w:p>
    <w:p w14:paraId="5A13909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（4）招标文件领购方式：</w:t>
      </w:r>
    </w:p>
    <w:p w14:paraId="45D35E2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网上支付方式</w:t>
      </w:r>
    </w:p>
    <w:p w14:paraId="16D68D3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投标人可在国e平台注册审批通过后登陆系统，通过网上支付方式领购本项目招标文件，具体步骤：</w:t>
      </w:r>
    </w:p>
    <w:p w14:paraId="188223BD">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（a）登陆后选择“项目管理”-“我要参与”，选择对应项目的对应子包生成订单</w:t>
      </w:r>
    </w:p>
    <w:p w14:paraId="1F6DC5B7">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（b）根据实际情况，填写具体信息，通过聚合支付（微信、支付宝、银联）的方式完成购买手续，文件售后概不退换。</w:t>
      </w:r>
    </w:p>
    <w:p w14:paraId="3FB8BAE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（c）购标订单完成后，投标人可登录国e平台，在“项目管理→我的订单”，具体项目订单详情页下载电子发票。电子发票一般是订单支付完成后48小时内开具，格式为不可修改的PDF格式。</w:t>
      </w:r>
    </w:p>
    <w:p w14:paraId="1AE1FE85">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lang w:eastAsia="zh-CN"/>
        </w:rPr>
        <w:t>）</w:t>
      </w:r>
      <w:r>
        <w:rPr>
          <w:rFonts w:hint="eastAsia" w:ascii="宋体" w:hAnsi="宋体" w:eastAsia="宋体" w:cs="宋体"/>
          <w:szCs w:val="21"/>
          <w:highlight w:val="none"/>
          <w:lang w:val="zh-CN"/>
        </w:rPr>
        <w:t>国e平台操作咨询联系人：叶小姐37860671，李先生37860665，叶小姐37860669。</w:t>
      </w:r>
    </w:p>
    <w:p w14:paraId="312A1199">
      <w:pPr>
        <w:ind w:firstLine="441" w:firstLineChars="210"/>
        <w:rPr>
          <w:rFonts w:hint="eastAsia" w:ascii="宋体" w:hAnsi="宋体" w:eastAsia="宋体" w:cs="宋体"/>
          <w:szCs w:val="21"/>
          <w:highlight w:val="none"/>
        </w:rPr>
      </w:pPr>
      <w:r>
        <w:rPr>
          <w:rFonts w:hint="eastAsia" w:ascii="宋体" w:hAnsi="宋体" w:eastAsia="宋体" w:cs="宋体"/>
          <w:szCs w:val="21"/>
          <w:highlight w:val="none"/>
        </w:rPr>
        <w:t>六、投标截止时间（北京时间</w:t>
      </w:r>
      <w:r>
        <w:rPr>
          <w:rFonts w:hint="eastAsia" w:ascii="宋体" w:hAnsi="宋体" w:eastAsia="宋体" w:cs="宋体"/>
          <w:b w:val="0"/>
          <w:bCs w:val="0"/>
          <w:szCs w:val="21"/>
          <w:highlight w:val="none"/>
        </w:rPr>
        <w:t>）：</w:t>
      </w:r>
      <w:r>
        <w:rPr>
          <w:rFonts w:hint="eastAsia" w:ascii="宋体" w:hAnsi="宋体" w:eastAsia="宋体" w:cs="宋体"/>
          <w:b w:val="0"/>
          <w:bCs w:val="0"/>
          <w:szCs w:val="21"/>
          <w:highlight w:val="none"/>
          <w:u w:val="single"/>
        </w:rPr>
        <w:t>202</w:t>
      </w:r>
      <w:r>
        <w:rPr>
          <w:rFonts w:hint="eastAsia" w:ascii="宋体" w:hAnsi="宋体" w:eastAsia="宋体" w:cs="宋体"/>
          <w:b w:val="0"/>
          <w:bCs w:val="0"/>
          <w:szCs w:val="21"/>
          <w:highlight w:val="none"/>
          <w:u w:val="single"/>
          <w:lang w:val="en-US" w:eastAsia="zh-CN"/>
        </w:rPr>
        <w:t>5</w:t>
      </w:r>
      <w:r>
        <w:rPr>
          <w:rFonts w:hint="eastAsia" w:ascii="宋体" w:hAnsi="宋体" w:eastAsia="宋体" w:cs="宋体"/>
          <w:b w:val="0"/>
          <w:bCs w:val="0"/>
          <w:szCs w:val="21"/>
          <w:highlight w:val="none"/>
          <w:u w:val="single"/>
        </w:rPr>
        <w:t>年</w:t>
      </w:r>
      <w:r>
        <w:rPr>
          <w:rFonts w:hint="eastAsia" w:ascii="宋体" w:hAnsi="宋体" w:eastAsia="宋体" w:cs="宋体"/>
          <w:b w:val="0"/>
          <w:bCs w:val="0"/>
          <w:szCs w:val="21"/>
          <w:highlight w:val="none"/>
          <w:u w:val="single"/>
          <w:lang w:val="en-US" w:eastAsia="zh-CN"/>
        </w:rPr>
        <w:t xml:space="preserve"> </w:t>
      </w:r>
      <w:r>
        <w:rPr>
          <w:rFonts w:hint="eastAsia" w:ascii="宋体" w:hAnsi="宋体" w:cs="宋体"/>
          <w:b w:val="0"/>
          <w:bCs w:val="0"/>
          <w:szCs w:val="21"/>
          <w:highlight w:val="none"/>
          <w:u w:val="single"/>
          <w:lang w:val="en-US" w:eastAsia="zh-CN"/>
        </w:rPr>
        <w:t>8</w:t>
      </w:r>
      <w:r>
        <w:rPr>
          <w:rFonts w:hint="eastAsia" w:ascii="宋体" w:hAnsi="宋体" w:eastAsia="宋体" w:cs="宋体"/>
          <w:b w:val="0"/>
          <w:bCs w:val="0"/>
          <w:szCs w:val="21"/>
          <w:highlight w:val="none"/>
          <w:u w:val="single"/>
        </w:rPr>
        <w:t>月</w:t>
      </w:r>
      <w:r>
        <w:rPr>
          <w:rFonts w:hint="eastAsia" w:ascii="宋体" w:hAnsi="宋体" w:cs="宋体"/>
          <w:b w:val="0"/>
          <w:bCs w:val="0"/>
          <w:szCs w:val="21"/>
          <w:highlight w:val="none"/>
          <w:u w:val="single"/>
          <w:lang w:val="en-US" w:eastAsia="zh-CN"/>
        </w:rPr>
        <w:t>26</w:t>
      </w:r>
      <w:r>
        <w:rPr>
          <w:rFonts w:hint="eastAsia" w:ascii="宋体" w:hAnsi="宋体" w:eastAsia="宋体" w:cs="宋体"/>
          <w:b w:val="0"/>
          <w:bCs w:val="0"/>
          <w:szCs w:val="21"/>
          <w:highlight w:val="none"/>
          <w:u w:val="single"/>
        </w:rPr>
        <w:t>日</w:t>
      </w:r>
      <w:r>
        <w:rPr>
          <w:rFonts w:hint="eastAsia" w:ascii="宋体" w:hAnsi="宋体" w:cs="宋体"/>
          <w:b w:val="0"/>
          <w:bCs w:val="0"/>
          <w:szCs w:val="21"/>
          <w:highlight w:val="none"/>
          <w:u w:val="single"/>
          <w:lang w:val="en-US" w:eastAsia="zh-CN"/>
        </w:rPr>
        <w:t>14</w:t>
      </w:r>
      <w:r>
        <w:rPr>
          <w:rFonts w:hint="eastAsia" w:ascii="宋体" w:hAnsi="宋体" w:eastAsia="宋体" w:cs="宋体"/>
          <w:b w:val="0"/>
          <w:bCs w:val="0"/>
          <w:szCs w:val="21"/>
          <w:highlight w:val="none"/>
          <w:u w:val="single"/>
          <w:lang w:val="en-US" w:eastAsia="zh-CN"/>
        </w:rPr>
        <w:t>时</w:t>
      </w:r>
      <w:r>
        <w:rPr>
          <w:rFonts w:hint="eastAsia" w:ascii="宋体" w:hAnsi="宋体" w:cs="宋体"/>
          <w:b w:val="0"/>
          <w:bCs w:val="0"/>
          <w:szCs w:val="21"/>
          <w:highlight w:val="none"/>
          <w:u w:val="single"/>
          <w:lang w:val="en-US" w:eastAsia="zh-CN"/>
        </w:rPr>
        <w:t>3</w:t>
      </w:r>
      <w:r>
        <w:rPr>
          <w:rFonts w:hint="eastAsia" w:ascii="宋体" w:hAnsi="宋体" w:eastAsia="宋体" w:cs="宋体"/>
          <w:b w:val="0"/>
          <w:bCs w:val="0"/>
          <w:szCs w:val="21"/>
          <w:highlight w:val="none"/>
          <w:u w:val="single"/>
          <w:lang w:val="en-US" w:eastAsia="zh-CN"/>
        </w:rPr>
        <w:t>0分</w:t>
      </w:r>
      <w:r>
        <w:rPr>
          <w:rFonts w:hint="eastAsia" w:ascii="宋体" w:hAnsi="宋体" w:eastAsia="宋体" w:cs="宋体"/>
          <w:b w:val="0"/>
          <w:bCs w:val="0"/>
          <w:szCs w:val="21"/>
          <w:highlight w:val="none"/>
          <w:u w:val="single"/>
        </w:rPr>
        <w:t>00秒</w:t>
      </w:r>
      <w:r>
        <w:rPr>
          <w:rFonts w:hint="eastAsia" w:ascii="宋体" w:hAnsi="宋体" w:eastAsia="宋体" w:cs="宋体"/>
          <w:b w:val="0"/>
          <w:bCs w:val="0"/>
          <w:szCs w:val="21"/>
          <w:highlight w:val="none"/>
        </w:rPr>
        <w:t>(注</w:t>
      </w:r>
      <w:r>
        <w:rPr>
          <w:rFonts w:hint="eastAsia" w:ascii="宋体" w:hAnsi="宋体" w:eastAsia="宋体" w:cs="宋体"/>
          <w:b w:val="0"/>
          <w:bCs w:val="0"/>
          <w:szCs w:val="21"/>
          <w:highlight w:val="none"/>
          <w:lang w:val="en-US" w:eastAsia="zh-CN"/>
        </w:rPr>
        <w:t>14时</w:t>
      </w:r>
      <w:r>
        <w:rPr>
          <w:rFonts w:hint="eastAsia" w:ascii="宋体" w:hAnsi="宋体" w:eastAsia="宋体" w:cs="宋体"/>
          <w:szCs w:val="21"/>
          <w:highlight w:val="none"/>
        </w:rPr>
        <w:t>开始受理纸质投标文件)</w:t>
      </w:r>
    </w:p>
    <w:p w14:paraId="08822DB5">
      <w:pPr>
        <w:ind w:firstLine="441" w:firstLineChars="210"/>
        <w:rPr>
          <w:rFonts w:hint="eastAsia" w:ascii="宋体" w:hAnsi="宋体" w:eastAsia="宋体" w:cs="宋体"/>
          <w:szCs w:val="21"/>
          <w:highlight w:val="none"/>
          <w:u w:val="single"/>
        </w:rPr>
      </w:pPr>
      <w:r>
        <w:rPr>
          <w:rFonts w:hint="eastAsia" w:ascii="宋体" w:hAnsi="宋体" w:eastAsia="宋体" w:cs="宋体"/>
          <w:szCs w:val="21"/>
          <w:highlight w:val="none"/>
        </w:rPr>
        <w:t>七、投标文件送达地点：</w:t>
      </w:r>
      <w:r>
        <w:rPr>
          <w:rFonts w:hint="eastAsia" w:ascii="宋体" w:hAnsi="宋体" w:eastAsia="宋体" w:cs="宋体"/>
          <w:szCs w:val="21"/>
          <w:highlight w:val="none"/>
          <w:u w:val="single"/>
        </w:rPr>
        <w:t>国义招标股份有限公司</w:t>
      </w:r>
      <w:r>
        <w:rPr>
          <w:rFonts w:hint="eastAsia" w:ascii="宋体" w:hAnsi="宋体" w:eastAsia="宋体" w:cs="宋体"/>
          <w:szCs w:val="21"/>
          <w:highlight w:val="none"/>
          <w:u w:val="single"/>
          <w:lang w:val="en-US" w:eastAsia="zh-CN"/>
        </w:rPr>
        <w:t>汕尾分公司3</w:t>
      </w:r>
      <w:r>
        <w:rPr>
          <w:rFonts w:hint="eastAsia" w:ascii="宋体" w:hAnsi="宋体" w:eastAsia="宋体" w:cs="宋体"/>
          <w:szCs w:val="21"/>
          <w:highlight w:val="none"/>
          <w:u w:val="single"/>
        </w:rPr>
        <w:t>楼</w:t>
      </w:r>
      <w:r>
        <w:rPr>
          <w:rFonts w:hint="eastAsia" w:ascii="宋体" w:hAnsi="宋体" w:eastAsia="宋体" w:cs="宋体"/>
          <w:szCs w:val="21"/>
          <w:highlight w:val="none"/>
          <w:u w:val="single"/>
          <w:lang w:val="en-US" w:eastAsia="zh-CN"/>
        </w:rPr>
        <w:t>302</w:t>
      </w:r>
      <w:r>
        <w:rPr>
          <w:rFonts w:hint="eastAsia" w:ascii="宋体" w:hAnsi="宋体" w:eastAsia="宋体" w:cs="宋体"/>
          <w:szCs w:val="21"/>
          <w:highlight w:val="none"/>
          <w:u w:val="single"/>
        </w:rPr>
        <w:t>号会议室（</w:t>
      </w:r>
      <w:r>
        <w:rPr>
          <w:rFonts w:hint="eastAsia" w:ascii="宋体" w:hAnsi="宋体" w:eastAsia="宋体" w:cs="宋体"/>
          <w:szCs w:val="21"/>
          <w:highlight w:val="none"/>
          <w:u w:val="single"/>
          <w:lang w:val="en-US" w:eastAsia="zh-CN"/>
        </w:rPr>
        <w:t>汕尾市城区和顺路摩方空间</w:t>
      </w:r>
      <w:r>
        <w:rPr>
          <w:rFonts w:hint="eastAsia" w:ascii="宋体" w:hAnsi="宋体" w:eastAsia="宋体" w:cs="宋体"/>
          <w:szCs w:val="21"/>
          <w:highlight w:val="none"/>
          <w:u w:val="single"/>
        </w:rPr>
        <w:t>）（纸质投标文件应由投标人</w:t>
      </w:r>
      <w:r>
        <w:rPr>
          <w:rFonts w:hint="eastAsia" w:ascii="宋体" w:hAnsi="宋体" w:eastAsia="宋体" w:cs="宋体"/>
          <w:szCs w:val="21"/>
          <w:highlight w:val="none"/>
          <w:u w:val="single"/>
          <w:lang w:val="en-US" w:eastAsia="zh-CN"/>
        </w:rPr>
        <w:t>快递邮寄至</w:t>
      </w:r>
      <w:r>
        <w:rPr>
          <w:rFonts w:hint="eastAsia" w:ascii="宋体" w:hAnsi="宋体" w:eastAsia="宋体" w:cs="宋体"/>
          <w:szCs w:val="21"/>
          <w:highlight w:val="none"/>
          <w:u w:val="single"/>
        </w:rPr>
        <w:t xml:space="preserve">投标地址） </w:t>
      </w:r>
    </w:p>
    <w:p w14:paraId="11A7D3C5">
      <w:pPr>
        <w:ind w:firstLine="441" w:firstLineChars="210"/>
        <w:rPr>
          <w:rFonts w:hint="eastAsia" w:ascii="宋体" w:hAnsi="宋体" w:eastAsia="宋体" w:cs="宋体"/>
          <w:szCs w:val="21"/>
          <w:highlight w:val="none"/>
        </w:rPr>
      </w:pPr>
      <w:r>
        <w:rPr>
          <w:rFonts w:hint="eastAsia" w:ascii="宋体" w:hAnsi="宋体" w:eastAsia="宋体" w:cs="宋体"/>
          <w:szCs w:val="21"/>
          <w:highlight w:val="none"/>
        </w:rPr>
        <w:t>八、开标时间（北京时间）：</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w:t>
      </w:r>
      <w:r>
        <w:rPr>
          <w:rFonts w:hint="eastAsia" w:ascii="宋体" w:hAnsi="宋体" w:cs="宋体"/>
          <w:szCs w:val="21"/>
          <w:highlight w:val="none"/>
          <w:u w:val="single"/>
          <w:lang w:val="en-US" w:eastAsia="zh-CN"/>
        </w:rPr>
        <w:t>8</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月</w:t>
      </w:r>
      <w:r>
        <w:rPr>
          <w:rFonts w:hint="eastAsia" w:ascii="宋体" w:hAnsi="宋体" w:cs="宋体"/>
          <w:szCs w:val="21"/>
          <w:highlight w:val="none"/>
          <w:u w:val="single"/>
          <w:lang w:val="en-US" w:eastAsia="zh-CN"/>
        </w:rPr>
        <w:t>26</w:t>
      </w:r>
      <w:r>
        <w:rPr>
          <w:rFonts w:hint="eastAsia" w:ascii="宋体" w:hAnsi="宋体" w:eastAsia="宋体" w:cs="宋体"/>
          <w:szCs w:val="21"/>
          <w:highlight w:val="none"/>
          <w:u w:val="single"/>
        </w:rPr>
        <w:t>日</w:t>
      </w:r>
      <w:r>
        <w:rPr>
          <w:rFonts w:hint="eastAsia" w:ascii="宋体" w:hAnsi="宋体" w:cs="宋体"/>
          <w:szCs w:val="21"/>
          <w:highlight w:val="none"/>
          <w:u w:val="single"/>
          <w:lang w:val="en-US" w:eastAsia="zh-CN"/>
        </w:rPr>
        <w:t>14</w:t>
      </w:r>
      <w:r>
        <w:rPr>
          <w:rFonts w:hint="eastAsia" w:ascii="宋体" w:hAnsi="宋体" w:eastAsia="宋体" w:cs="宋体"/>
          <w:szCs w:val="21"/>
          <w:highlight w:val="none"/>
          <w:u w:val="single"/>
          <w:lang w:val="en-US" w:eastAsia="zh-CN"/>
        </w:rPr>
        <w:t>时</w:t>
      </w:r>
      <w:r>
        <w:rPr>
          <w:rFonts w:hint="eastAsia" w:ascii="宋体" w:hAnsi="宋体" w:cs="宋体"/>
          <w:szCs w:val="21"/>
          <w:highlight w:val="none"/>
          <w:u w:val="single"/>
          <w:lang w:val="en-US" w:eastAsia="zh-CN"/>
        </w:rPr>
        <w:t>3</w:t>
      </w:r>
      <w:r>
        <w:rPr>
          <w:rFonts w:hint="eastAsia" w:ascii="宋体" w:hAnsi="宋体" w:eastAsia="宋体" w:cs="宋体"/>
          <w:szCs w:val="21"/>
          <w:highlight w:val="none"/>
          <w:u w:val="single"/>
          <w:lang w:val="en-US" w:eastAsia="zh-CN"/>
        </w:rPr>
        <w:t>0分</w:t>
      </w:r>
      <w:r>
        <w:rPr>
          <w:rFonts w:hint="eastAsia" w:ascii="宋体" w:hAnsi="宋体" w:eastAsia="宋体" w:cs="宋体"/>
          <w:szCs w:val="21"/>
          <w:highlight w:val="none"/>
          <w:u w:val="single"/>
        </w:rPr>
        <w:t>00秒</w:t>
      </w:r>
    </w:p>
    <w:p w14:paraId="05B47A26">
      <w:pPr>
        <w:ind w:firstLine="441" w:firstLineChars="210"/>
        <w:rPr>
          <w:rFonts w:hint="eastAsia" w:ascii="宋体" w:hAnsi="宋体" w:eastAsia="宋体" w:cs="宋体"/>
          <w:szCs w:val="21"/>
          <w:highlight w:val="none"/>
          <w:u w:val="single"/>
          <w:lang w:val="zh-CN"/>
        </w:rPr>
      </w:pPr>
      <w:r>
        <w:rPr>
          <w:rFonts w:hint="eastAsia" w:ascii="宋体" w:hAnsi="宋体" w:eastAsia="宋体" w:cs="宋体"/>
          <w:szCs w:val="21"/>
          <w:highlight w:val="none"/>
        </w:rPr>
        <w:t>九、开标地点：</w:t>
      </w:r>
      <w:r>
        <w:rPr>
          <w:rFonts w:hint="eastAsia" w:ascii="宋体" w:hAnsi="宋体" w:eastAsia="宋体" w:cs="宋体"/>
          <w:szCs w:val="21"/>
          <w:highlight w:val="none"/>
          <w:u w:val="single"/>
        </w:rPr>
        <w:t>国义招标股份有限公司</w:t>
      </w:r>
      <w:r>
        <w:rPr>
          <w:rFonts w:hint="eastAsia" w:ascii="宋体" w:hAnsi="宋体" w:eastAsia="宋体" w:cs="宋体"/>
          <w:szCs w:val="21"/>
          <w:highlight w:val="none"/>
          <w:u w:val="single"/>
          <w:lang w:val="en-US" w:eastAsia="zh-CN"/>
        </w:rPr>
        <w:t>汕尾分公司3</w:t>
      </w:r>
      <w:r>
        <w:rPr>
          <w:rFonts w:hint="eastAsia" w:ascii="宋体" w:hAnsi="宋体" w:eastAsia="宋体" w:cs="宋体"/>
          <w:szCs w:val="21"/>
          <w:highlight w:val="none"/>
          <w:u w:val="single"/>
        </w:rPr>
        <w:t>楼</w:t>
      </w:r>
      <w:r>
        <w:rPr>
          <w:rFonts w:hint="eastAsia" w:ascii="宋体" w:hAnsi="宋体" w:eastAsia="宋体" w:cs="宋体"/>
          <w:szCs w:val="21"/>
          <w:highlight w:val="none"/>
          <w:u w:val="single"/>
          <w:lang w:val="en-US" w:eastAsia="zh-CN"/>
        </w:rPr>
        <w:t>302</w:t>
      </w:r>
      <w:r>
        <w:rPr>
          <w:rFonts w:hint="eastAsia" w:ascii="宋体" w:hAnsi="宋体" w:eastAsia="宋体" w:cs="宋体"/>
          <w:szCs w:val="21"/>
          <w:highlight w:val="none"/>
          <w:u w:val="single"/>
        </w:rPr>
        <w:t>号会议室（</w:t>
      </w:r>
      <w:r>
        <w:rPr>
          <w:rFonts w:hint="eastAsia" w:ascii="宋体" w:hAnsi="宋体" w:eastAsia="宋体" w:cs="宋体"/>
          <w:szCs w:val="21"/>
          <w:highlight w:val="none"/>
          <w:u w:val="single"/>
          <w:lang w:val="en-US" w:eastAsia="zh-CN"/>
        </w:rPr>
        <w:t>汕尾市城区和顺路摩方空间</w:t>
      </w:r>
      <w:r>
        <w:rPr>
          <w:rFonts w:hint="eastAsia" w:ascii="宋体" w:hAnsi="宋体" w:eastAsia="宋体" w:cs="宋体"/>
          <w:szCs w:val="21"/>
          <w:highlight w:val="none"/>
          <w:u w:val="single"/>
        </w:rPr>
        <w:t>）</w:t>
      </w:r>
    </w:p>
    <w:p w14:paraId="73176E27">
      <w:pPr>
        <w:rPr>
          <w:rFonts w:hint="eastAsia" w:ascii="宋体" w:hAnsi="宋体" w:eastAsia="宋体" w:cs="宋体"/>
          <w:szCs w:val="21"/>
          <w:highlight w:val="none"/>
          <w:u w:val="single"/>
        </w:rPr>
      </w:pPr>
      <w:r>
        <w:rPr>
          <w:rFonts w:hint="eastAsia" w:ascii="宋体" w:hAnsi="宋体" w:eastAsia="宋体" w:cs="宋体"/>
          <w:szCs w:val="21"/>
          <w:highlight w:val="none"/>
          <w:u w:val="single"/>
        </w:rPr>
        <w:t>（纸质投标文件应由投标人</w:t>
      </w:r>
      <w:r>
        <w:rPr>
          <w:rFonts w:hint="eastAsia" w:ascii="宋体" w:hAnsi="宋体" w:eastAsia="宋体" w:cs="宋体"/>
          <w:szCs w:val="21"/>
          <w:highlight w:val="none"/>
          <w:u w:val="single"/>
          <w:lang w:val="en-US" w:eastAsia="zh-CN"/>
        </w:rPr>
        <w:t>快递邮寄至</w:t>
      </w:r>
      <w:r>
        <w:rPr>
          <w:rFonts w:hint="eastAsia" w:ascii="宋体" w:hAnsi="宋体" w:eastAsia="宋体" w:cs="宋体"/>
          <w:szCs w:val="21"/>
          <w:highlight w:val="none"/>
          <w:u w:val="single"/>
        </w:rPr>
        <w:t xml:space="preserve">投标地址） </w:t>
      </w:r>
    </w:p>
    <w:p w14:paraId="7BA8E404">
      <w:pPr>
        <w:ind w:firstLine="441" w:firstLineChars="210"/>
        <w:rPr>
          <w:rFonts w:hint="eastAsia" w:ascii="宋体" w:hAnsi="宋体" w:eastAsia="宋体" w:cs="宋体"/>
          <w:szCs w:val="21"/>
          <w:highlight w:val="none"/>
        </w:rPr>
      </w:pPr>
    </w:p>
    <w:p w14:paraId="0F4E153C">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06BE00A3">
      <w:pPr>
        <w:ind w:firstLine="441" w:firstLineChars="210"/>
        <w:rPr>
          <w:rFonts w:hint="eastAsia" w:ascii="宋体" w:hAnsi="宋体" w:eastAsia="宋体" w:cs="宋体"/>
          <w:szCs w:val="21"/>
          <w:highlight w:val="none"/>
        </w:rPr>
      </w:pPr>
      <w:r>
        <w:rPr>
          <w:rFonts w:hint="eastAsia" w:ascii="宋体" w:hAnsi="宋体" w:eastAsia="宋体" w:cs="宋体"/>
          <w:szCs w:val="21"/>
          <w:highlight w:val="none"/>
        </w:rPr>
        <w:t>十、招标人及招标代理机构的联系方式：</w:t>
      </w:r>
    </w:p>
    <w:p w14:paraId="21EA1CC7">
      <w:pPr>
        <w:ind w:firstLine="480"/>
        <w:rPr>
          <w:rFonts w:hint="default" w:ascii="宋体" w:hAnsi="宋体" w:eastAsia="宋体" w:cs="宋体"/>
          <w:szCs w:val="21"/>
          <w:highlight w:val="none"/>
          <w:lang w:val="en-US" w:eastAsia="zh-CN"/>
        </w:rPr>
      </w:pPr>
      <w:r>
        <w:rPr>
          <w:rFonts w:hint="eastAsia" w:ascii="宋体" w:hAnsi="宋体" w:eastAsia="宋体" w:cs="宋体"/>
          <w:szCs w:val="21"/>
          <w:highlight w:val="none"/>
          <w:lang w:val="zh-CN"/>
        </w:rPr>
        <w:t>招标代理机构联系人：</w:t>
      </w:r>
      <w:r>
        <w:rPr>
          <w:rFonts w:hint="eastAsia" w:ascii="宋体" w:hAnsi="宋体" w:cs="宋体"/>
          <w:szCs w:val="21"/>
          <w:highlight w:val="none"/>
          <w:lang w:val="en-US" w:eastAsia="zh-CN"/>
        </w:rPr>
        <w:t>刘冠华</w:t>
      </w: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杨旭华、</w:t>
      </w:r>
      <w:r>
        <w:rPr>
          <w:rFonts w:hint="eastAsia" w:ascii="宋体" w:hAnsi="宋体" w:cs="宋体"/>
          <w:szCs w:val="21"/>
          <w:highlight w:val="none"/>
          <w:lang w:val="en-US" w:eastAsia="zh-CN"/>
        </w:rPr>
        <w:t>余嘉安</w:t>
      </w:r>
      <w:r>
        <w:rPr>
          <w:rFonts w:hint="eastAsia" w:ascii="宋体" w:hAnsi="宋体" w:eastAsia="宋体" w:cs="宋体"/>
          <w:szCs w:val="21"/>
          <w:highlight w:val="none"/>
          <w:lang w:val="zh-CN"/>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lang w:val="zh-CN" w:eastAsia="zh-CN"/>
        </w:rPr>
        <w:t>招标人联系人：</w:t>
      </w:r>
      <w:r>
        <w:rPr>
          <w:rFonts w:hint="eastAsia" w:ascii="宋体" w:hAnsi="宋体" w:eastAsia="宋体" w:cs="宋体"/>
          <w:szCs w:val="21"/>
          <w:highlight w:val="none"/>
          <w:lang w:val="en-US" w:eastAsia="zh-CN"/>
        </w:rPr>
        <w:t>朱老师  林老师</w:t>
      </w:r>
    </w:p>
    <w:p w14:paraId="340C1D7F">
      <w:pPr>
        <w:ind w:firstLine="480"/>
        <w:rPr>
          <w:rFonts w:hint="default" w:ascii="宋体" w:hAnsi="宋体" w:eastAsia="宋体" w:cs="宋体"/>
          <w:szCs w:val="21"/>
          <w:highlight w:val="none"/>
          <w:lang w:val="en-US" w:eastAsia="zh-CN"/>
        </w:rPr>
      </w:pPr>
      <w:r>
        <w:rPr>
          <w:rFonts w:hint="eastAsia" w:ascii="宋体" w:hAnsi="宋体" w:eastAsia="宋体" w:cs="宋体"/>
          <w:szCs w:val="21"/>
          <w:highlight w:val="none"/>
          <w:lang w:val="zh-CN" w:eastAsia="zh-CN"/>
        </w:rPr>
        <w:t>电话：</w:t>
      </w:r>
      <w:r>
        <w:rPr>
          <w:rFonts w:hint="eastAsia" w:ascii="宋体" w:hAnsi="宋体" w:eastAsia="宋体" w:cs="宋体"/>
          <w:szCs w:val="21"/>
          <w:highlight w:val="none"/>
          <w:lang w:val="en-US" w:eastAsia="zh-CN"/>
        </w:rPr>
        <w:t>0660</w:t>
      </w:r>
      <w:r>
        <w:rPr>
          <w:rFonts w:hint="eastAsia" w:ascii="宋体" w:hAnsi="宋体" w:eastAsia="宋体" w:cs="宋体"/>
          <w:szCs w:val="21"/>
          <w:highlight w:val="none"/>
          <w:lang w:val="zh-CN" w:eastAsia="zh-CN"/>
        </w:rPr>
        <w:t>-3390199、020-3786</w:t>
      </w:r>
      <w:r>
        <w:rPr>
          <w:rFonts w:hint="eastAsia" w:ascii="宋体" w:hAnsi="宋体" w:eastAsia="宋体" w:cs="宋体"/>
          <w:szCs w:val="21"/>
          <w:highlight w:val="none"/>
          <w:lang w:val="en-US" w:eastAsia="zh-CN"/>
        </w:rPr>
        <w:t>1057</w:t>
      </w:r>
      <w:r>
        <w:rPr>
          <w:rFonts w:hint="eastAsia" w:ascii="宋体" w:hAnsi="宋体" w:eastAsia="宋体" w:cs="宋体"/>
          <w:szCs w:val="21"/>
          <w:highlight w:val="none"/>
          <w:lang w:val="zh-CN" w:eastAsia="zh-CN"/>
        </w:rPr>
        <w:t xml:space="preserve"> 、020-3786052</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val="zh-CN" w:eastAsia="zh-CN"/>
        </w:rPr>
        <w:t xml:space="preserve">         电话：0660-38635</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lang w:val="zh-CN" w:eastAsia="zh-CN"/>
        </w:rPr>
        <w:t>0660-38635</w:t>
      </w:r>
      <w:r>
        <w:rPr>
          <w:rFonts w:hint="eastAsia" w:ascii="宋体" w:hAnsi="宋体" w:eastAsia="宋体" w:cs="宋体"/>
          <w:szCs w:val="21"/>
          <w:highlight w:val="none"/>
          <w:lang w:val="en-US" w:eastAsia="zh-CN"/>
        </w:rPr>
        <w:t>52</w:t>
      </w:r>
    </w:p>
    <w:p w14:paraId="32ED2242">
      <w:pPr>
        <w:ind w:firstLine="480"/>
        <w:rPr>
          <w:rFonts w:hint="eastAsia" w:ascii="宋体" w:hAnsi="宋体" w:eastAsia="宋体" w:cs="宋体"/>
          <w:szCs w:val="21"/>
          <w:highlight w:val="none"/>
        </w:rPr>
      </w:pPr>
      <w:r>
        <w:rPr>
          <w:rFonts w:hint="eastAsia" w:ascii="宋体" w:hAnsi="宋体" w:eastAsia="宋体" w:cs="宋体"/>
          <w:szCs w:val="21"/>
          <w:highlight w:val="none"/>
          <w:lang w:val="zh-CN"/>
        </w:rPr>
        <w:t>联系地址：</w:t>
      </w:r>
      <w:r>
        <w:rPr>
          <w:rFonts w:hint="eastAsia" w:ascii="宋体" w:hAnsi="宋体" w:eastAsia="宋体" w:cs="宋体"/>
          <w:szCs w:val="21"/>
          <w:highlight w:val="none"/>
          <w:u w:val="none"/>
          <w:lang w:val="en-US" w:eastAsia="zh-CN"/>
        </w:rPr>
        <w:t>广州市越秀区东风东路726号</w:t>
      </w:r>
      <w:r>
        <w:rPr>
          <w:rFonts w:hint="eastAsia" w:ascii="宋体" w:hAnsi="宋体" w:eastAsia="宋体" w:cs="宋体"/>
          <w:szCs w:val="21"/>
          <w:highlight w:val="none"/>
          <w:u w:val="none"/>
          <w:lang w:val="zh-CN"/>
        </w:rPr>
        <w:t xml:space="preserve">  </w:t>
      </w:r>
      <w:r>
        <w:rPr>
          <w:rFonts w:hint="eastAsia" w:ascii="宋体" w:hAnsi="宋体" w:eastAsia="宋体" w:cs="宋体"/>
          <w:szCs w:val="21"/>
          <w:highlight w:val="none"/>
          <w:lang w:val="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zh-CN"/>
        </w:rPr>
        <w:t>联系地址：广东省汕尾市城区东涌镇站横</w:t>
      </w:r>
    </w:p>
    <w:p w14:paraId="36C28E58">
      <w:pPr>
        <w:ind w:firstLine="480"/>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                                                        二路1号</w:t>
      </w:r>
    </w:p>
    <w:p w14:paraId="75B97D55">
      <w:pPr>
        <w:ind w:firstLine="480"/>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                         </w:t>
      </w:r>
    </w:p>
    <w:p w14:paraId="3F6343A2">
      <w:pPr>
        <w:ind w:firstLine="480"/>
        <w:rPr>
          <w:rFonts w:hint="eastAsia" w:ascii="宋体" w:hAnsi="宋体" w:eastAsia="宋体" w:cs="宋体"/>
          <w:szCs w:val="21"/>
          <w:highlight w:val="none"/>
          <w:lang w:val="zh-CN"/>
        </w:rPr>
      </w:pPr>
    </w:p>
    <w:p w14:paraId="405A0606">
      <w:pPr>
        <w:ind w:firstLine="3255" w:firstLineChars="1550"/>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1D746368">
      <w:pPr>
        <w:ind w:firstLine="3255" w:firstLineChars="1550"/>
        <w:jc w:val="right"/>
        <w:rPr>
          <w:rFonts w:hint="eastAsia" w:ascii="宋体" w:hAnsi="宋体" w:eastAsia="宋体" w:cs="宋体"/>
          <w:szCs w:val="21"/>
          <w:highlight w:val="none"/>
        </w:rPr>
      </w:pPr>
      <w:r>
        <w:rPr>
          <w:rFonts w:hint="eastAsia" w:ascii="宋体" w:hAnsi="宋体" w:eastAsia="宋体" w:cs="宋体"/>
          <w:szCs w:val="21"/>
          <w:highlight w:val="none"/>
        </w:rPr>
        <w:t xml:space="preserve">  国义招标股份有限公司</w:t>
      </w:r>
    </w:p>
    <w:p w14:paraId="2D457996">
      <w:pPr>
        <w:ind w:firstLine="2940" w:firstLineChars="1400"/>
        <w:jc w:val="right"/>
        <w:rPr>
          <w:rFonts w:hint="eastAsia" w:ascii="宋体" w:hAnsi="宋体" w:eastAsia="宋体" w:cs="宋体"/>
          <w:szCs w:val="21"/>
          <w:highlight w:val="none"/>
        </w:rPr>
      </w:pPr>
      <w:r>
        <w:rPr>
          <w:rFonts w:hint="eastAsia" w:ascii="宋体" w:hAnsi="宋体" w:eastAsia="宋体" w:cs="宋体"/>
          <w:szCs w:val="21"/>
          <w:highlight w:val="none"/>
        </w:rPr>
        <w:t xml:space="preserve">                        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 xml:space="preserve"> 7</w:t>
      </w:r>
      <w:r>
        <w:rPr>
          <w:rFonts w:hint="eastAsia" w:ascii="宋体" w:hAnsi="宋体" w:eastAsia="宋体" w:cs="宋体"/>
          <w:szCs w:val="21"/>
          <w:highlight w:val="none"/>
        </w:rPr>
        <w:t>月</w:t>
      </w:r>
      <w:r>
        <w:rPr>
          <w:rFonts w:hint="eastAsia" w:ascii="宋体" w:hAnsi="宋体" w:cs="宋体"/>
          <w:szCs w:val="21"/>
          <w:highlight w:val="none"/>
          <w:lang w:val="en-US" w:eastAsia="zh-CN"/>
        </w:rPr>
        <w:t xml:space="preserve"> 22</w:t>
      </w:r>
      <w:r>
        <w:rPr>
          <w:rFonts w:hint="eastAsia" w:ascii="宋体" w:hAnsi="宋体" w:eastAsia="宋体" w:cs="宋体"/>
          <w:szCs w:val="21"/>
          <w:highlight w:val="none"/>
        </w:rPr>
        <w:t>日</w:t>
      </w:r>
    </w:p>
    <w:p w14:paraId="735E9A76">
      <w:pPr>
        <w:ind w:left="2800"/>
        <w:jc w:val="left"/>
        <w:rPr>
          <w:rFonts w:hint="eastAsia" w:ascii="宋体" w:hAnsi="宋体" w:eastAsia="宋体" w:cs="宋体"/>
          <w:b/>
          <w:sz w:val="28"/>
          <w:szCs w:val="28"/>
          <w:highlight w:val="none"/>
        </w:rPr>
      </w:pPr>
      <w:r>
        <w:rPr>
          <w:rFonts w:hint="eastAsia" w:ascii="宋体" w:hAnsi="宋体" w:eastAsia="宋体" w:cs="宋体"/>
          <w:b/>
          <w:szCs w:val="21"/>
          <w:highlight w:val="none"/>
        </w:rPr>
        <w:br w:type="page"/>
      </w:r>
      <w:r>
        <w:rPr>
          <w:rFonts w:hint="eastAsia" w:ascii="宋体" w:hAnsi="宋体" w:eastAsia="宋体" w:cs="宋体"/>
          <w:b/>
          <w:sz w:val="28"/>
          <w:szCs w:val="28"/>
          <w:highlight w:val="none"/>
        </w:rPr>
        <w:t>第二部分　招标项目内容</w:t>
      </w:r>
    </w:p>
    <w:p w14:paraId="5512F3BB">
      <w:pPr>
        <w:autoSpaceDE w:val="0"/>
        <w:autoSpaceDN w:val="0"/>
        <w:rPr>
          <w:rFonts w:hint="eastAsia" w:ascii="宋体" w:hAnsi="宋体" w:eastAsia="宋体" w:cs="宋体"/>
          <w:b/>
          <w:bCs/>
          <w:szCs w:val="21"/>
          <w:highlight w:val="none"/>
          <w:lang w:val="zh-CN"/>
        </w:rPr>
      </w:pP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一</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投标人资格：</w:t>
      </w:r>
    </w:p>
    <w:p w14:paraId="357D9FDC">
      <w:pPr>
        <w:autoSpaceDE w:val="0"/>
        <w:autoSpaceDN w:val="0"/>
        <w:ind w:firstLine="315" w:firstLineChars="150"/>
        <w:rPr>
          <w:rFonts w:hint="eastAsia" w:ascii="宋体" w:hAnsi="宋体" w:eastAsia="宋体" w:cs="宋体"/>
          <w:szCs w:val="21"/>
          <w:highlight w:val="none"/>
          <w:lang w:val="zh-CN"/>
        </w:rPr>
      </w:pPr>
      <w:r>
        <w:rPr>
          <w:rFonts w:hint="eastAsia" w:ascii="宋体" w:hAnsi="宋体" w:cs="宋体"/>
          <w:szCs w:val="21"/>
          <w:highlight w:val="none"/>
          <w:lang w:val="en-US" w:eastAsia="zh-CN"/>
        </w:rPr>
        <w:t>1、</w:t>
      </w:r>
      <w:r>
        <w:rPr>
          <w:rFonts w:hint="eastAsia" w:ascii="宋体" w:hAnsi="宋体" w:eastAsia="宋体" w:cs="宋体"/>
          <w:szCs w:val="21"/>
          <w:highlight w:val="none"/>
          <w:lang w:val="zh-CN"/>
        </w:rPr>
        <w:t>投标人必须是来自中华人民共和国（以下简称“合格来源国”）的法人或其他组织。</w:t>
      </w:r>
    </w:p>
    <w:p w14:paraId="479E94FE">
      <w:pPr>
        <w:autoSpaceDE w:val="0"/>
        <w:autoSpaceDN w:val="0"/>
        <w:ind w:firstLine="315" w:firstLineChars="150"/>
        <w:rPr>
          <w:rFonts w:hint="eastAsia" w:ascii="宋体" w:hAnsi="宋体" w:eastAsia="宋体" w:cs="宋体"/>
          <w:szCs w:val="21"/>
          <w:highlight w:val="none"/>
          <w:lang w:val="zh-CN"/>
        </w:rPr>
      </w:pPr>
      <w:r>
        <w:rPr>
          <w:rFonts w:hint="eastAsia" w:ascii="宋体" w:hAnsi="宋体" w:cs="宋体"/>
          <w:szCs w:val="21"/>
          <w:highlight w:val="none"/>
          <w:lang w:val="en-US" w:eastAsia="zh-CN"/>
        </w:rPr>
        <w:t>2、</w:t>
      </w:r>
      <w:r>
        <w:rPr>
          <w:rFonts w:hint="eastAsia" w:ascii="宋体" w:hAnsi="宋体" w:eastAsia="宋体" w:cs="宋体"/>
          <w:szCs w:val="21"/>
          <w:highlight w:val="none"/>
          <w:lang w:val="zh-CN"/>
        </w:rPr>
        <w:t>投标人只允许为独立法人或其他组织，不接受联合体投标。</w:t>
      </w:r>
    </w:p>
    <w:p w14:paraId="29506DE0">
      <w:pPr>
        <w:autoSpaceDE w:val="0"/>
        <w:autoSpaceDN w:val="0"/>
        <w:ind w:firstLine="315" w:firstLineChars="150"/>
        <w:rPr>
          <w:rFonts w:hint="eastAsia" w:ascii="宋体" w:hAnsi="宋体" w:eastAsia="宋体" w:cs="宋体"/>
          <w:szCs w:val="21"/>
          <w:highlight w:val="none"/>
          <w:lang w:val="zh-CN" w:eastAsia="zh-CN"/>
        </w:rPr>
      </w:pPr>
      <w:r>
        <w:rPr>
          <w:rFonts w:hint="eastAsia" w:ascii="宋体" w:hAnsi="宋体" w:cs="宋体"/>
          <w:szCs w:val="21"/>
          <w:highlight w:val="none"/>
          <w:lang w:val="en-US" w:eastAsia="zh-CN"/>
        </w:rPr>
        <w:t>3、</w:t>
      </w:r>
      <w:r>
        <w:rPr>
          <w:rFonts w:hint="eastAsia" w:ascii="宋体" w:hAnsi="宋体" w:eastAsia="宋体" w:cs="宋体"/>
          <w:szCs w:val="21"/>
          <w:highlight w:val="none"/>
          <w:lang w:val="zh-CN"/>
        </w:rPr>
        <w:t>投标人须具有有效的《食品经营许可证》或者经市场监督管理部门批准的食品经营许可文件。</w:t>
      </w:r>
    </w:p>
    <w:p w14:paraId="3FDF96A5">
      <w:pPr>
        <w:autoSpaceDE w:val="0"/>
        <w:autoSpaceDN w:val="0"/>
        <w:ind w:firstLine="315" w:firstLineChars="150"/>
        <w:rPr>
          <w:rFonts w:hint="eastAsia" w:ascii="宋体" w:hAnsi="宋体" w:eastAsia="宋体" w:cs="宋体"/>
          <w:szCs w:val="21"/>
          <w:highlight w:val="none"/>
          <w:lang w:val="zh-CN"/>
        </w:rPr>
      </w:pPr>
      <w:r>
        <w:rPr>
          <w:rFonts w:hint="eastAsia" w:ascii="宋体" w:hAnsi="宋体" w:cs="宋体"/>
          <w:szCs w:val="21"/>
          <w:highlight w:val="none"/>
          <w:lang w:val="en-US" w:eastAsia="zh-CN"/>
        </w:rPr>
        <w:t>4、</w:t>
      </w:r>
      <w:r>
        <w:rPr>
          <w:rFonts w:hint="eastAsia" w:ascii="宋体" w:hAnsi="宋体" w:eastAsia="宋体" w:cs="宋体"/>
          <w:szCs w:val="21"/>
          <w:highlight w:val="none"/>
          <w:lang w:val="zh-CN"/>
        </w:rPr>
        <w:t>单位负责人为同一人或者存在控股、管理关系的不同单位，不得参加同一招标项目包投标。(投标人出具声明函)。</w:t>
      </w:r>
    </w:p>
    <w:p w14:paraId="6AF74DE1">
      <w:pPr>
        <w:autoSpaceDE w:val="0"/>
        <w:autoSpaceDN w:val="0"/>
        <w:ind w:firstLine="315" w:firstLineChars="150"/>
        <w:rPr>
          <w:rFonts w:hint="eastAsia" w:ascii="宋体" w:hAnsi="宋体" w:eastAsia="宋体" w:cs="宋体"/>
          <w:szCs w:val="21"/>
          <w:highlight w:val="none"/>
          <w:lang w:val="zh-CN"/>
        </w:rPr>
      </w:pPr>
      <w:r>
        <w:rPr>
          <w:rFonts w:hint="eastAsia" w:ascii="宋体" w:hAnsi="宋体" w:cs="宋体"/>
          <w:szCs w:val="21"/>
          <w:highlight w:val="none"/>
          <w:lang w:val="en-US" w:eastAsia="zh-CN"/>
        </w:rPr>
        <w:t>5、</w:t>
      </w:r>
      <w:r>
        <w:rPr>
          <w:rFonts w:hint="eastAsia" w:ascii="宋体" w:hAnsi="宋体" w:eastAsia="宋体" w:cs="宋体"/>
          <w:szCs w:val="21"/>
          <w:highlight w:val="none"/>
          <w:lang w:val="zh-CN"/>
        </w:rPr>
        <w:t>为</w:t>
      </w:r>
      <w:r>
        <w:rPr>
          <w:rFonts w:hint="eastAsia" w:ascii="宋体" w:hAnsi="宋体" w:eastAsia="宋体" w:cs="宋体"/>
          <w:szCs w:val="21"/>
          <w:highlight w:val="none"/>
          <w:lang w:val="en-US" w:eastAsia="zh-CN"/>
        </w:rPr>
        <w:t>本</w:t>
      </w:r>
      <w:r>
        <w:rPr>
          <w:rFonts w:hint="eastAsia" w:ascii="宋体" w:hAnsi="宋体" w:eastAsia="宋体" w:cs="宋体"/>
          <w:szCs w:val="21"/>
          <w:highlight w:val="none"/>
          <w:lang w:val="zh-CN"/>
        </w:rPr>
        <w:t>项目提供整体设计、规范编制或者项目管理、监理、检测等服务的投标人，不得再参加</w:t>
      </w:r>
      <w:r>
        <w:rPr>
          <w:rFonts w:hint="eastAsia" w:ascii="宋体" w:hAnsi="宋体" w:eastAsia="宋体" w:cs="宋体"/>
          <w:szCs w:val="21"/>
          <w:highlight w:val="none"/>
          <w:lang w:val="en-US" w:eastAsia="zh-CN"/>
        </w:rPr>
        <w:t>本</w:t>
      </w:r>
      <w:r>
        <w:rPr>
          <w:rFonts w:hint="eastAsia" w:ascii="宋体" w:hAnsi="宋体" w:eastAsia="宋体" w:cs="宋体"/>
          <w:szCs w:val="21"/>
          <w:highlight w:val="none"/>
          <w:lang w:val="zh-CN"/>
        </w:rPr>
        <w:t>项目的其他采购活动(投标人出具声明函)。</w:t>
      </w:r>
    </w:p>
    <w:p w14:paraId="6B10E507">
      <w:pPr>
        <w:autoSpaceDE w:val="0"/>
        <w:autoSpaceDN w:val="0"/>
        <w:ind w:firstLine="315" w:firstLineChars="150"/>
        <w:rPr>
          <w:rFonts w:hint="eastAsia" w:ascii="宋体" w:hAnsi="宋体" w:eastAsia="宋体" w:cs="宋体"/>
          <w:szCs w:val="21"/>
          <w:highlight w:val="none"/>
          <w:lang w:val="zh-CN"/>
        </w:rPr>
      </w:pPr>
      <w:r>
        <w:rPr>
          <w:rFonts w:hint="eastAsia" w:ascii="宋体" w:hAnsi="宋体" w:cs="宋体"/>
          <w:szCs w:val="21"/>
          <w:highlight w:val="none"/>
          <w:lang w:val="en-US" w:eastAsia="zh-CN"/>
        </w:rPr>
        <w:t>6、</w:t>
      </w:r>
      <w:r>
        <w:rPr>
          <w:rFonts w:hint="eastAsia" w:ascii="宋体" w:hAnsi="宋体" w:eastAsia="宋体" w:cs="宋体"/>
          <w:szCs w:val="21"/>
          <w:highlight w:val="none"/>
          <w:lang w:val="zh-CN"/>
        </w:rPr>
        <w:t>投标人没有被列入失信被执行人、重大税收违法案件当事人名单（即税收违法黑名单）、政府采购严重违法失信行为记录名单及其他不符合规定条件的投标人。[根据信用中国网站（www.creditchina.gov.cn）、中国政府采购网（www.ccgp.gov.cn）主体信用记录信息进行查询]。</w:t>
      </w:r>
    </w:p>
    <w:p w14:paraId="2E3D3F76">
      <w:pPr>
        <w:autoSpaceDE w:val="0"/>
        <w:autoSpaceDN w:val="0"/>
        <w:ind w:firstLine="315" w:firstLineChars="150"/>
        <w:rPr>
          <w:rFonts w:hint="eastAsia" w:ascii="宋体" w:hAnsi="宋体" w:eastAsia="宋体" w:cs="宋体"/>
          <w:szCs w:val="21"/>
          <w:highlight w:val="none"/>
          <w:lang w:val="zh-CN" w:eastAsia="zh-CN"/>
        </w:rPr>
      </w:pPr>
      <w:r>
        <w:rPr>
          <w:rFonts w:hint="eastAsia" w:ascii="宋体" w:hAnsi="宋体" w:cs="宋体"/>
          <w:szCs w:val="21"/>
          <w:highlight w:val="none"/>
          <w:lang w:val="en-US" w:eastAsia="zh-CN"/>
        </w:rPr>
        <w:t>7、</w:t>
      </w:r>
      <w:r>
        <w:rPr>
          <w:rFonts w:hint="eastAsia" w:ascii="宋体" w:hAnsi="宋体" w:eastAsia="宋体" w:cs="宋体"/>
          <w:szCs w:val="21"/>
          <w:highlight w:val="none"/>
          <w:lang w:val="zh-CN" w:eastAsia="zh-CN"/>
        </w:rPr>
        <w:t>本项目不允许转包。如合同有约定，可以对本项目的部分非主体、非关键性工作进行分包,投标人应当就分包项目向招标人负责。</w:t>
      </w:r>
    </w:p>
    <w:p w14:paraId="7128B5D6">
      <w:pPr>
        <w:autoSpaceDE w:val="0"/>
        <w:autoSpaceDN w:val="0"/>
        <w:ind w:firstLine="315" w:firstLineChars="150"/>
        <w:rPr>
          <w:rFonts w:hint="eastAsia" w:ascii="宋体" w:hAnsi="宋体" w:eastAsia="宋体" w:cs="宋体"/>
          <w:szCs w:val="21"/>
          <w:highlight w:val="none"/>
        </w:rPr>
      </w:pPr>
      <w:r>
        <w:rPr>
          <w:rFonts w:hint="eastAsia" w:ascii="宋体" w:hAnsi="宋体" w:cs="宋体"/>
          <w:szCs w:val="21"/>
          <w:highlight w:val="none"/>
          <w:lang w:val="en-US" w:eastAsia="zh-CN"/>
        </w:rPr>
        <w:t>8、</w:t>
      </w:r>
      <w:r>
        <w:rPr>
          <w:rFonts w:hint="eastAsia" w:ascii="宋体" w:hAnsi="宋体" w:eastAsia="宋体" w:cs="宋体"/>
          <w:szCs w:val="21"/>
          <w:highlight w:val="none"/>
          <w:lang w:val="zh-CN"/>
        </w:rPr>
        <w:t xml:space="preserve">已领购本次招标文件。 </w:t>
      </w:r>
    </w:p>
    <w:p w14:paraId="0072FC94">
      <w:pPr>
        <w:pStyle w:val="21"/>
        <w:adjustRightInd w:val="0"/>
        <w:snapToGrid w:val="0"/>
        <w:rPr>
          <w:rFonts w:hint="eastAsia" w:ascii="宋体" w:hAnsi="宋体" w:eastAsia="宋体" w:cs="宋体"/>
          <w:b/>
          <w:kern w:val="2"/>
          <w:sz w:val="21"/>
          <w:highlight w:val="none"/>
        </w:rPr>
      </w:pPr>
    </w:p>
    <w:p w14:paraId="1B0762B2">
      <w:pPr>
        <w:pStyle w:val="21"/>
        <w:adjustRightInd w:val="0"/>
        <w:snapToGrid w:val="0"/>
        <w:rPr>
          <w:rFonts w:hint="eastAsia" w:ascii="宋体" w:hAnsi="宋体" w:eastAsia="宋体" w:cs="宋体"/>
          <w:b/>
          <w:kern w:val="2"/>
          <w:sz w:val="21"/>
          <w:highlight w:val="none"/>
        </w:rPr>
      </w:pPr>
      <w:r>
        <w:rPr>
          <w:rFonts w:hint="eastAsia" w:ascii="宋体" w:hAnsi="宋体" w:eastAsia="宋体" w:cs="宋体"/>
          <w:b/>
          <w:kern w:val="2"/>
          <w:sz w:val="21"/>
          <w:highlight w:val="none"/>
          <w:lang w:val="en-US" w:eastAsia="zh-CN"/>
        </w:rPr>
        <w:t>1、</w:t>
      </w:r>
      <w:r>
        <w:rPr>
          <w:rFonts w:hint="eastAsia" w:ascii="宋体" w:hAnsi="宋体" w:eastAsia="宋体" w:cs="宋体"/>
          <w:b/>
          <w:kern w:val="2"/>
          <w:sz w:val="21"/>
          <w:highlight w:val="none"/>
        </w:rPr>
        <w:t>用户需求书：</w:t>
      </w:r>
    </w:p>
    <w:p w14:paraId="42F40231">
      <w:pPr>
        <w:tabs>
          <w:tab w:val="left" w:pos="284"/>
          <w:tab w:val="left" w:pos="567"/>
          <w:tab w:val="left" w:pos="709"/>
        </w:tabs>
        <w:spacing w:line="240" w:lineRule="auto"/>
        <w:ind w:left="0" w:leftChars="0" w:firstLine="0" w:firstLineChars="0"/>
        <w:rPr>
          <w:rFonts w:hint="eastAsia" w:ascii="宋体" w:hAnsi="宋体" w:eastAsia="宋体" w:cs="宋体"/>
          <w:b/>
          <w:highlight w:val="none"/>
        </w:rPr>
      </w:pPr>
      <w:r>
        <w:rPr>
          <w:rFonts w:hint="eastAsia" w:ascii="宋体" w:hAnsi="宋体" w:eastAsia="宋体" w:cs="宋体"/>
          <w:b/>
          <w:highlight w:val="none"/>
        </w:rPr>
        <w:t>“</w:t>
      </w:r>
      <w:r>
        <w:rPr>
          <w:rFonts w:hint="eastAsia" w:ascii="宋体" w:hAnsi="宋体" w:eastAsia="宋体" w:cs="宋体"/>
          <w:highlight w:val="none"/>
        </w:rPr>
        <w:t>★</w:t>
      </w:r>
      <w:r>
        <w:rPr>
          <w:rFonts w:hint="eastAsia" w:ascii="宋体" w:hAnsi="宋体" w:eastAsia="宋体" w:cs="宋体"/>
          <w:b/>
          <w:highlight w:val="none"/>
        </w:rPr>
        <w:t>”号条款是关键技术参数，一项不符合即导致该投标人投标无效。带</w:t>
      </w:r>
      <w:r>
        <w:rPr>
          <w:rFonts w:hint="eastAsia" w:ascii="宋体" w:hAnsi="宋体" w:eastAsia="宋体" w:cs="宋体"/>
          <w:b/>
          <w:szCs w:val="21"/>
          <w:highlight w:val="none"/>
        </w:rPr>
        <w:t>“▲”号</w:t>
      </w:r>
      <w:r>
        <w:rPr>
          <w:rFonts w:hint="eastAsia" w:ascii="宋体" w:hAnsi="宋体" w:eastAsia="宋体" w:cs="宋体"/>
          <w:b/>
          <w:highlight w:val="none"/>
        </w:rPr>
        <w:t>条款为评审时的重要技术参数，不作为投标无效条款。</w:t>
      </w:r>
    </w:p>
    <w:p w14:paraId="32C1BA4D">
      <w:pPr>
        <w:pageBreakBefore w:val="0"/>
        <w:numPr>
          <w:ilvl w:val="-1"/>
          <w:numId w:val="0"/>
        </w:numPr>
        <w:kinsoku/>
        <w:overflowPunct/>
        <w:topLinePunct w:val="0"/>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b/>
          <w:bCs/>
          <w:color w:val="auto"/>
          <w:sz w:val="21"/>
          <w:szCs w:val="21"/>
          <w:highlight w:val="none"/>
          <w:u w:val="none"/>
          <w:lang w:val="en-US" w:eastAsia="zh-CN"/>
        </w:rPr>
      </w:pPr>
      <w:r>
        <w:rPr>
          <w:rFonts w:hint="eastAsia" w:asciiTheme="majorEastAsia" w:hAnsiTheme="majorEastAsia" w:eastAsiaTheme="majorEastAsia" w:cstheme="majorEastAsia"/>
          <w:b/>
          <w:bCs/>
          <w:color w:val="auto"/>
          <w:sz w:val="21"/>
          <w:szCs w:val="21"/>
          <w:highlight w:val="none"/>
          <w:u w:val="none"/>
          <w:lang w:val="en-US" w:eastAsia="zh-CN"/>
        </w:rPr>
        <w:t>项目概况</w:t>
      </w:r>
    </w:p>
    <w:p w14:paraId="02ACD23A">
      <w:pPr>
        <w:pageBreakBefore w:val="0"/>
        <w:kinsoku/>
        <w:overflowPunct/>
        <w:topLinePunct w:val="0"/>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rPr>
      </w:pPr>
      <w:r>
        <w:rPr>
          <w:rFonts w:hint="eastAsia" w:asciiTheme="majorEastAsia" w:hAnsiTheme="majorEastAsia" w:eastAsiaTheme="majorEastAsia" w:cstheme="majorEastAsia"/>
          <w:color w:val="auto"/>
          <w:sz w:val="20"/>
          <w:szCs w:val="20"/>
          <w:highlight w:val="none"/>
          <w:lang w:val="en-US" w:eastAsia="zh-CN"/>
        </w:rPr>
        <w:t>中山大学孙逸仙纪念医院深汕中心</w:t>
      </w:r>
      <w:r>
        <w:rPr>
          <w:rFonts w:hint="eastAsia" w:asciiTheme="majorEastAsia" w:hAnsiTheme="majorEastAsia" w:eastAsiaTheme="majorEastAsia" w:cstheme="majorEastAsia"/>
          <w:color w:val="auto"/>
          <w:sz w:val="20"/>
          <w:szCs w:val="20"/>
          <w:highlight w:val="none"/>
        </w:rPr>
        <w:t>医院是一家综合性</w:t>
      </w:r>
      <w:r>
        <w:rPr>
          <w:rFonts w:hint="eastAsia" w:asciiTheme="majorEastAsia" w:hAnsiTheme="majorEastAsia" w:eastAsiaTheme="majorEastAsia" w:cstheme="majorEastAsia"/>
          <w:color w:val="auto"/>
          <w:sz w:val="20"/>
          <w:szCs w:val="20"/>
          <w:highlight w:val="none"/>
          <w:lang w:val="en-US" w:eastAsia="zh-CN"/>
        </w:rPr>
        <w:t>国家区域医疗中心的大型医院</w:t>
      </w:r>
      <w:r>
        <w:rPr>
          <w:rFonts w:hint="eastAsia" w:asciiTheme="majorEastAsia" w:hAnsiTheme="majorEastAsia" w:eastAsiaTheme="majorEastAsia" w:cstheme="majorEastAsia"/>
          <w:color w:val="auto"/>
          <w:sz w:val="20"/>
          <w:szCs w:val="20"/>
          <w:highlight w:val="none"/>
        </w:rPr>
        <w:t>，现有职工</w:t>
      </w:r>
      <w:r>
        <w:rPr>
          <w:rFonts w:hint="eastAsia" w:asciiTheme="majorEastAsia" w:hAnsiTheme="majorEastAsia" w:eastAsiaTheme="majorEastAsia" w:cstheme="majorEastAsia"/>
          <w:color w:val="auto"/>
          <w:sz w:val="20"/>
          <w:szCs w:val="20"/>
          <w:highlight w:val="none"/>
          <w:lang w:val="en-US" w:eastAsia="zh-CN"/>
        </w:rPr>
        <w:t>2500</w:t>
      </w:r>
      <w:r>
        <w:rPr>
          <w:rFonts w:hint="eastAsia" w:asciiTheme="majorEastAsia" w:hAnsiTheme="majorEastAsia" w:eastAsiaTheme="majorEastAsia" w:cstheme="majorEastAsia"/>
          <w:color w:val="auto"/>
          <w:sz w:val="20"/>
          <w:szCs w:val="20"/>
          <w:highlight w:val="none"/>
        </w:rPr>
        <w:t>人，日均住院患者</w:t>
      </w:r>
      <w:r>
        <w:rPr>
          <w:rFonts w:hint="eastAsia" w:asciiTheme="majorEastAsia" w:hAnsiTheme="majorEastAsia" w:eastAsiaTheme="majorEastAsia" w:cstheme="majorEastAsia"/>
          <w:color w:val="auto"/>
          <w:sz w:val="20"/>
          <w:szCs w:val="20"/>
          <w:highlight w:val="none"/>
          <w:lang w:val="en-US" w:eastAsia="zh-CN"/>
        </w:rPr>
        <w:t>800</w:t>
      </w:r>
      <w:r>
        <w:rPr>
          <w:rFonts w:hint="eastAsia" w:asciiTheme="majorEastAsia" w:hAnsiTheme="majorEastAsia" w:eastAsiaTheme="majorEastAsia" w:cstheme="majorEastAsia"/>
          <w:color w:val="auto"/>
          <w:sz w:val="20"/>
          <w:szCs w:val="20"/>
          <w:highlight w:val="none"/>
        </w:rPr>
        <w:t>人，日均门诊量</w:t>
      </w:r>
      <w:r>
        <w:rPr>
          <w:rFonts w:hint="eastAsia" w:asciiTheme="majorEastAsia" w:hAnsiTheme="majorEastAsia" w:eastAsiaTheme="majorEastAsia" w:cstheme="majorEastAsia"/>
          <w:color w:val="auto"/>
          <w:sz w:val="20"/>
          <w:szCs w:val="20"/>
          <w:highlight w:val="none"/>
          <w:lang w:val="en-US" w:eastAsia="zh-CN"/>
        </w:rPr>
        <w:t>3500</w:t>
      </w:r>
      <w:r>
        <w:rPr>
          <w:rFonts w:hint="eastAsia" w:asciiTheme="majorEastAsia" w:hAnsiTheme="majorEastAsia" w:eastAsiaTheme="majorEastAsia" w:cstheme="majorEastAsia"/>
          <w:color w:val="auto"/>
          <w:sz w:val="20"/>
          <w:szCs w:val="20"/>
          <w:highlight w:val="none"/>
        </w:rPr>
        <w:t>人次。为提升医院后勤服务质量，满足职工、患者及家属的餐饮需求，现面向社会公开招标食堂运营管理服务商。</w:t>
      </w:r>
    </w:p>
    <w:p w14:paraId="325F35CB">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bCs/>
          <w:color w:val="auto"/>
          <w:kern w:val="0"/>
          <w:sz w:val="20"/>
          <w:szCs w:val="20"/>
          <w:highlight w:val="none"/>
          <w:lang w:val="en-US" w:eastAsia="zh-CN" w:bidi="ar-SA"/>
        </w:rPr>
      </w:pPr>
      <w:r>
        <w:rPr>
          <w:rFonts w:hint="eastAsia" w:asciiTheme="majorEastAsia" w:hAnsiTheme="majorEastAsia" w:eastAsiaTheme="majorEastAsia" w:cstheme="majorEastAsia"/>
          <w:b/>
          <w:bCs/>
          <w:color w:val="auto"/>
          <w:kern w:val="0"/>
          <w:sz w:val="20"/>
          <w:szCs w:val="20"/>
          <w:highlight w:val="none"/>
          <w:lang w:val="en-US" w:eastAsia="zh-CN" w:bidi="ar-SA"/>
        </w:rPr>
        <w:t>（一）服务地点：</w:t>
      </w:r>
    </w:p>
    <w:p w14:paraId="12ABB169">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00" w:lineRule="exact"/>
        <w:ind w:left="0" w:leftChars="0" w:firstLine="0"/>
        <w:jc w:val="left"/>
        <w:textAlignment w:val="auto"/>
        <w:rPr>
          <w:rFonts w:hint="eastAsia" w:asciiTheme="majorEastAsia" w:hAnsiTheme="majorEastAsia" w:eastAsiaTheme="majorEastAsia" w:cstheme="majorEastAsia"/>
          <w:b w:val="0"/>
          <w:bCs w:val="0"/>
          <w:color w:val="auto"/>
          <w:kern w:val="0"/>
          <w:sz w:val="20"/>
          <w:szCs w:val="20"/>
          <w:highlight w:val="none"/>
          <w:lang w:val="en-US" w:eastAsia="zh-CN" w:bidi="ar-SA"/>
        </w:rPr>
      </w:pPr>
      <w:r>
        <w:rPr>
          <w:rFonts w:hint="eastAsia" w:asciiTheme="majorEastAsia" w:hAnsiTheme="majorEastAsia" w:eastAsiaTheme="majorEastAsia" w:cstheme="majorEastAsia"/>
          <w:b w:val="0"/>
          <w:bCs w:val="0"/>
          <w:color w:val="auto"/>
          <w:kern w:val="0"/>
          <w:sz w:val="20"/>
          <w:szCs w:val="20"/>
          <w:highlight w:val="none"/>
          <w:lang w:val="en-US" w:eastAsia="zh-CN" w:bidi="ar-SA"/>
        </w:rPr>
        <w:t>汕尾市城区东涌镇站前横二路1号中山大学孙逸仙纪念医院深汕中心医院</w:t>
      </w:r>
    </w:p>
    <w:p w14:paraId="1F7F43D0">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color w:val="auto"/>
          <w:kern w:val="2"/>
          <w:sz w:val="20"/>
          <w:szCs w:val="20"/>
          <w:highlight w:val="none"/>
          <w:lang w:val="en-US" w:eastAsia="zh-CN" w:bidi="ar-SA"/>
        </w:rPr>
        <w:t>（二）</w:t>
      </w:r>
      <w:r>
        <w:rPr>
          <w:rFonts w:hint="eastAsia" w:asciiTheme="majorEastAsia" w:hAnsiTheme="majorEastAsia" w:eastAsiaTheme="majorEastAsia" w:cstheme="majorEastAsia"/>
          <w:b/>
          <w:bCs/>
          <w:color w:val="auto"/>
          <w:kern w:val="2"/>
          <w:sz w:val="20"/>
          <w:szCs w:val="20"/>
          <w:highlight w:val="none"/>
          <w:lang w:val="en-US" w:eastAsia="zh-CN" w:bidi="ar-SA"/>
        </w:rPr>
        <w:t>各院区用餐人数（仅供参考）：</w:t>
      </w:r>
    </w:p>
    <w:p w14:paraId="2C273FF9">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00" w:lineRule="exact"/>
        <w:ind w:left="0" w:leftChars="0" w:firstLine="0"/>
        <w:jc w:val="left"/>
        <w:textAlignment w:val="auto"/>
        <w:rPr>
          <w:rFonts w:hint="eastAsia" w:asciiTheme="majorEastAsia" w:hAnsiTheme="majorEastAsia" w:eastAsiaTheme="majorEastAsia" w:cstheme="majorEastAsia"/>
          <w:b w:val="0"/>
          <w:bCs w:val="0"/>
          <w:color w:val="auto"/>
          <w:kern w:val="0"/>
          <w:sz w:val="20"/>
          <w:szCs w:val="20"/>
          <w:highlight w:val="none"/>
          <w:lang w:val="en-US" w:eastAsia="zh-CN" w:bidi="ar-SA"/>
        </w:rPr>
      </w:pPr>
      <w:r>
        <w:rPr>
          <w:rFonts w:hint="eastAsia" w:asciiTheme="majorEastAsia" w:hAnsiTheme="majorEastAsia" w:eastAsiaTheme="majorEastAsia" w:cstheme="majorEastAsia"/>
          <w:b w:val="0"/>
          <w:bCs w:val="0"/>
          <w:color w:val="auto"/>
          <w:kern w:val="0"/>
          <w:sz w:val="20"/>
          <w:szCs w:val="20"/>
          <w:highlight w:val="none"/>
          <w:lang w:val="en-US" w:eastAsia="zh-CN" w:bidi="ar-SA"/>
        </w:rPr>
        <w:t>深汕中心医院：在职职工约2500人，床位数800张。</w:t>
      </w:r>
    </w:p>
    <w:p w14:paraId="1E667CFB">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color w:val="auto"/>
          <w:kern w:val="2"/>
          <w:sz w:val="20"/>
          <w:szCs w:val="20"/>
          <w:highlight w:val="none"/>
          <w:lang w:val="en-US" w:eastAsia="zh-CN" w:bidi="ar-SA"/>
        </w:rPr>
        <w:t>（三）</w:t>
      </w:r>
      <w:r>
        <w:rPr>
          <w:rFonts w:hint="eastAsia" w:asciiTheme="majorEastAsia" w:hAnsiTheme="majorEastAsia" w:eastAsiaTheme="majorEastAsia" w:cstheme="majorEastAsia"/>
          <w:b/>
          <w:bCs/>
          <w:color w:val="auto"/>
          <w:kern w:val="0"/>
          <w:sz w:val="20"/>
          <w:szCs w:val="20"/>
          <w:highlight w:val="none"/>
          <w:lang w:val="en-US" w:eastAsia="zh-CN" w:bidi="ar-SA"/>
        </w:rPr>
        <w:t>服务内容：</w:t>
      </w:r>
    </w:p>
    <w:p w14:paraId="2E3F51C8">
      <w:pPr>
        <w:pageBreakBefore w:val="0"/>
        <w:widowControl w:val="0"/>
        <w:kinsoku/>
        <w:wordWrap w:val="0"/>
        <w:overflowPunct/>
        <w:topLinePunct w:val="0"/>
        <w:bidi w:val="0"/>
        <w:adjustRightInd/>
        <w:snapToGrid/>
        <w:spacing w:after="0" w:afterLines="0" w:line="300" w:lineRule="exact"/>
        <w:ind w:left="0" w:leftChars="0" w:firstLine="402" w:firstLineChars="200"/>
        <w:jc w:val="both"/>
        <w:textAlignment w:val="auto"/>
        <w:outlineLvl w:val="2"/>
        <w:rPr>
          <w:rFonts w:hint="eastAsia" w:asciiTheme="majorEastAsia" w:hAnsiTheme="majorEastAsia" w:eastAsiaTheme="majorEastAsia" w:cstheme="majorEastAsia"/>
          <w:b/>
          <w:color w:val="auto"/>
          <w:kern w:val="0"/>
          <w:sz w:val="20"/>
          <w:szCs w:val="20"/>
          <w:highlight w:val="none"/>
          <w:lang w:val="en-US" w:eastAsia="zh-CN" w:bidi="ar"/>
        </w:rPr>
      </w:pPr>
      <w:bookmarkStart w:id="0" w:name="_Toc14262"/>
      <w:r>
        <w:rPr>
          <w:rFonts w:hint="eastAsia" w:asciiTheme="majorEastAsia" w:hAnsiTheme="majorEastAsia" w:eastAsiaTheme="majorEastAsia" w:cstheme="majorEastAsia"/>
          <w:b/>
          <w:bCs/>
          <w:color w:val="auto"/>
          <w:kern w:val="2"/>
          <w:sz w:val="20"/>
          <w:szCs w:val="20"/>
          <w:highlight w:val="none"/>
          <w:lang w:val="en-US" w:eastAsia="zh-CN" w:bidi="ar-SA"/>
        </w:rPr>
        <w:t>1.</w:t>
      </w:r>
      <w:bookmarkStart w:id="1" w:name="_Toc270"/>
      <w:r>
        <w:rPr>
          <w:rFonts w:hint="eastAsia" w:asciiTheme="majorEastAsia" w:hAnsiTheme="majorEastAsia" w:eastAsiaTheme="majorEastAsia" w:cstheme="majorEastAsia"/>
          <w:b/>
          <w:bCs/>
          <w:color w:val="auto"/>
          <w:kern w:val="2"/>
          <w:sz w:val="20"/>
          <w:szCs w:val="20"/>
          <w:highlight w:val="none"/>
          <w:lang w:val="en-US" w:eastAsia="zh-CN" w:bidi="ar-SA"/>
        </w:rPr>
        <w:t>餐饮驻场服务</w:t>
      </w:r>
      <w:bookmarkEnd w:id="1"/>
    </w:p>
    <w:p w14:paraId="2C95859D">
      <w:pPr>
        <w:pageBreakBefore w:val="0"/>
        <w:widowControl w:val="0"/>
        <w:kinsoku/>
        <w:wordWrap w:val="0"/>
        <w:overflowPunct/>
        <w:topLinePunct w:val="0"/>
        <w:bidi w:val="0"/>
        <w:adjustRightInd/>
        <w:snapToGrid/>
        <w:spacing w:after="0" w:afterLines="0" w:line="300" w:lineRule="exact"/>
        <w:ind w:left="0" w:leftChars="0" w:firstLine="400" w:firstLineChars="200"/>
        <w:jc w:val="both"/>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为招标人提供医院职工餐、住院病人医嘱治疗餐，在院内制作，由医院监督管理，投标人提供劳务人员服务和现场管理。</w:t>
      </w:r>
    </w:p>
    <w:bookmarkEnd w:id="0"/>
    <w:p w14:paraId="1F032EF4">
      <w:pPr>
        <w:pageBreakBefore w:val="0"/>
        <w:widowControl w:val="0"/>
        <w:tabs>
          <w:tab w:val="left" w:pos="2340"/>
        </w:tabs>
        <w:kinsoku/>
        <w:wordWrap w:val="0"/>
        <w:overflowPunct/>
        <w:topLinePunct w:val="0"/>
        <w:bidi w:val="0"/>
        <w:adjustRightInd/>
        <w:snapToGrid/>
        <w:spacing w:line="300" w:lineRule="exact"/>
        <w:ind w:left="0" w:leftChars="0" w:firstLine="402" w:firstLineChars="200"/>
        <w:jc w:val="both"/>
        <w:textAlignment w:val="auto"/>
        <w:outlineLvl w:val="4"/>
        <w:rPr>
          <w:rFonts w:hint="eastAsia" w:asciiTheme="majorEastAsia" w:hAnsiTheme="majorEastAsia" w:eastAsiaTheme="majorEastAsia" w:cstheme="majorEastAsia"/>
          <w:b/>
          <w:bCs/>
          <w:color w:val="auto"/>
          <w:kern w:val="2"/>
          <w:sz w:val="20"/>
          <w:szCs w:val="20"/>
          <w:highlight w:val="none"/>
          <w:lang w:val="en-US" w:eastAsia="zh-CN" w:bidi="ar-SA"/>
        </w:rPr>
      </w:pPr>
      <w:r>
        <w:rPr>
          <w:rFonts w:hint="eastAsia" w:asciiTheme="majorEastAsia" w:hAnsiTheme="majorEastAsia" w:eastAsiaTheme="majorEastAsia" w:cstheme="majorEastAsia"/>
          <w:b/>
          <w:bCs/>
          <w:color w:val="auto"/>
          <w:kern w:val="2"/>
          <w:sz w:val="20"/>
          <w:szCs w:val="20"/>
          <w:highlight w:val="none"/>
          <w:lang w:val="en-US" w:eastAsia="zh-CN" w:bidi="ar-SA"/>
        </w:rPr>
        <w:t>1.1职工餐</w:t>
      </w:r>
    </w:p>
    <w:p w14:paraId="3E7A4633">
      <w:pPr>
        <w:pageBreakBefore w:val="0"/>
        <w:widowControl w:val="0"/>
        <w:tabs>
          <w:tab w:val="left" w:pos="2340"/>
        </w:tabs>
        <w:kinsoku/>
        <w:wordWrap w:val="0"/>
        <w:overflowPunct/>
        <w:topLinePunct w:val="0"/>
        <w:bidi w:val="0"/>
        <w:adjustRightInd/>
        <w:snapToGrid/>
        <w:spacing w:line="300" w:lineRule="exact"/>
        <w:ind w:left="0" w:leftChars="0" w:firstLine="402" w:firstLineChars="200"/>
        <w:jc w:val="both"/>
        <w:textAlignment w:val="auto"/>
        <w:outlineLvl w:val="4"/>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b/>
          <w:bCs/>
          <w:color w:val="auto"/>
          <w:kern w:val="2"/>
          <w:sz w:val="20"/>
          <w:szCs w:val="20"/>
          <w:highlight w:val="none"/>
          <w:lang w:val="en-US" w:eastAsia="zh-CN" w:bidi="ar-SA"/>
        </w:rPr>
        <w:t>1）供餐时间（全年无休）</w:t>
      </w:r>
    </w:p>
    <w:p w14:paraId="579133F1">
      <w:pPr>
        <w:pageBreakBefore w:val="0"/>
        <w:widowControl w:val="0"/>
        <w:kinsoku/>
        <w:wordWrap w:val="0"/>
        <w:overflowPunct/>
        <w:topLinePunct w:val="0"/>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① 堂食：早餐：6:30-8:00，午餐：11:00-13:00（汤粉面：11：30-13:00），晚餐：16:00-18:30；夜宵：19:00-22:00</w:t>
      </w:r>
    </w:p>
    <w:p w14:paraId="6C1B7D62">
      <w:pPr>
        <w:pageBreakBefore w:val="0"/>
        <w:widowControl w:val="0"/>
        <w:kinsoku/>
        <w:wordWrap w:val="0"/>
        <w:overflowPunct/>
        <w:topLinePunct w:val="0"/>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② 网络订餐送餐：早餐：7:00-8:00；午餐：11:00-12:30；晚餐：16:00-18:00；</w:t>
      </w:r>
    </w:p>
    <w:p w14:paraId="3FD4E7B5">
      <w:pPr>
        <w:pageBreakBefore w:val="0"/>
        <w:widowControl w:val="0"/>
        <w:kinsoku/>
        <w:wordWrap w:val="0"/>
        <w:overflowPunct/>
        <w:topLinePunct w:val="0"/>
        <w:bidi w:val="0"/>
        <w:adjustRightInd/>
        <w:snapToGrid/>
        <w:spacing w:line="300" w:lineRule="exact"/>
        <w:ind w:left="0" w:leftChars="0" w:firstLine="402" w:firstLineChars="200"/>
        <w:jc w:val="left"/>
        <w:textAlignment w:val="auto"/>
        <w:outlineLvl w:val="4"/>
        <w:rPr>
          <w:rFonts w:hint="eastAsia" w:asciiTheme="majorEastAsia" w:hAnsiTheme="majorEastAsia" w:eastAsiaTheme="majorEastAsia" w:cstheme="majorEastAsia"/>
          <w:b/>
          <w:bCs/>
          <w:color w:val="auto"/>
          <w:kern w:val="2"/>
          <w:sz w:val="20"/>
          <w:szCs w:val="20"/>
          <w:highlight w:val="none"/>
          <w:lang w:val="en-US" w:eastAsia="zh-CN" w:bidi="ar-SA"/>
        </w:rPr>
      </w:pPr>
      <w:r>
        <w:rPr>
          <w:rFonts w:hint="eastAsia" w:asciiTheme="majorEastAsia" w:hAnsiTheme="majorEastAsia" w:eastAsiaTheme="majorEastAsia" w:cstheme="majorEastAsia"/>
          <w:b/>
          <w:bCs/>
          <w:color w:val="auto"/>
          <w:kern w:val="2"/>
          <w:sz w:val="20"/>
          <w:szCs w:val="20"/>
          <w:highlight w:val="none"/>
          <w:lang w:val="en-US" w:eastAsia="zh-CN" w:bidi="ar-SA"/>
        </w:rPr>
        <w:t>2）供餐内容</w:t>
      </w:r>
    </w:p>
    <w:p w14:paraId="186C8F66">
      <w:pPr>
        <w:pageBreakBefore w:val="0"/>
        <w:widowControl w:val="0"/>
        <w:tabs>
          <w:tab w:val="left" w:pos="0"/>
          <w:tab w:val="left" w:pos="284"/>
          <w:tab w:val="left" w:pos="426"/>
        </w:tabs>
        <w:kinsoku/>
        <w:wordWrap w:val="0"/>
        <w:overflowPunct/>
        <w:topLinePunct w:val="0"/>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① 各式焖炒蒸炸类菜肴的制作（主要是当地菜、粤菜、湘菜、川菜等）；</w:t>
      </w:r>
    </w:p>
    <w:p w14:paraId="345AD053">
      <w:pPr>
        <w:pageBreakBefore w:val="0"/>
        <w:widowControl w:val="0"/>
        <w:tabs>
          <w:tab w:val="left" w:pos="0"/>
          <w:tab w:val="left" w:pos="284"/>
          <w:tab w:val="left" w:pos="426"/>
        </w:tabs>
        <w:kinsoku/>
        <w:wordWrap w:val="0"/>
        <w:overflowPunct/>
        <w:topLinePunct w:val="0"/>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② 各式中西式点心的制作；</w:t>
      </w:r>
    </w:p>
    <w:p w14:paraId="6024ADA5">
      <w:pPr>
        <w:pageBreakBefore w:val="0"/>
        <w:widowControl w:val="0"/>
        <w:tabs>
          <w:tab w:val="left" w:pos="0"/>
          <w:tab w:val="left" w:pos="284"/>
          <w:tab w:val="left" w:pos="426"/>
        </w:tabs>
        <w:kinsoku/>
        <w:wordWrap w:val="0"/>
        <w:overflowPunct/>
        <w:topLinePunct w:val="0"/>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③ 各式汤类、糖水、粥粉面、饺子、云吞、凉茶、清凉饮品等的制作；</w:t>
      </w:r>
    </w:p>
    <w:p w14:paraId="5A8146D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④ 各式接待餐的制作。</w:t>
      </w:r>
    </w:p>
    <w:p w14:paraId="079DDAD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3）职工小卖部</w:t>
      </w:r>
    </w:p>
    <w:p w14:paraId="0FA3E2B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供应时间：</w:t>
      </w:r>
    </w:p>
    <w:p w14:paraId="540A125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周一至周五：早8：00-晚18:30</w:t>
      </w:r>
    </w:p>
    <w:p w14:paraId="7603339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Cs/>
          <w:color w:val="auto"/>
          <w:kern w:val="2"/>
          <w:sz w:val="20"/>
          <w:szCs w:val="20"/>
          <w:highlight w:val="none"/>
          <w:lang w:val="en-US" w:eastAsia="zh-CN" w:bidi="ar-SA"/>
        </w:rPr>
      </w:pPr>
      <w:r>
        <w:rPr>
          <w:rFonts w:hint="eastAsia" w:asciiTheme="majorEastAsia" w:hAnsiTheme="majorEastAsia" w:eastAsiaTheme="majorEastAsia" w:cstheme="majorEastAsia"/>
          <w:bCs/>
          <w:color w:val="auto"/>
          <w:kern w:val="2"/>
          <w:sz w:val="20"/>
          <w:szCs w:val="20"/>
          <w:highlight w:val="none"/>
          <w:lang w:val="en-US" w:eastAsia="zh-CN" w:bidi="ar-SA"/>
        </w:rPr>
        <w:t>周六至周日：9时00分-13时00分，15时30分-18时30分</w:t>
      </w:r>
    </w:p>
    <w:p w14:paraId="4D009EB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color w:val="auto"/>
          <w:kern w:val="2"/>
          <w:sz w:val="20"/>
          <w:szCs w:val="20"/>
          <w:highlight w:val="none"/>
          <w:lang w:val="en-US" w:eastAsia="zh-CN" w:bidi="ar-SA"/>
        </w:rPr>
        <w:t>1.2</w:t>
      </w:r>
      <w:r>
        <w:rPr>
          <w:rFonts w:hint="eastAsia" w:asciiTheme="majorEastAsia" w:hAnsiTheme="majorEastAsia" w:eastAsiaTheme="majorEastAsia" w:cstheme="majorEastAsia"/>
          <w:b/>
          <w:bCs/>
          <w:color w:val="auto"/>
          <w:kern w:val="2"/>
          <w:sz w:val="20"/>
          <w:szCs w:val="20"/>
          <w:highlight w:val="none"/>
          <w:lang w:val="en-US" w:eastAsia="zh-CN" w:bidi="ar-SA"/>
        </w:rPr>
        <w:t>住院病人医嘱治疗餐</w:t>
      </w:r>
    </w:p>
    <w:p w14:paraId="6550CB33">
      <w:pPr>
        <w:pageBreakBefore w:val="0"/>
        <w:widowControl w:val="0"/>
        <w:numPr>
          <w:ilvl w:val="0"/>
          <w:numId w:val="0"/>
        </w:numPr>
        <w:tabs>
          <w:tab w:val="left" w:pos="2340"/>
        </w:tabs>
        <w:kinsoku/>
        <w:wordWrap w:val="0"/>
        <w:overflowPunct/>
        <w:topLinePunct w:val="0"/>
        <w:bidi w:val="0"/>
        <w:adjustRightInd/>
        <w:snapToGrid/>
        <w:spacing w:line="300" w:lineRule="exact"/>
        <w:ind w:left="0" w:leftChars="0" w:firstLine="402" w:firstLineChars="200"/>
        <w:jc w:val="left"/>
        <w:textAlignment w:val="auto"/>
        <w:outlineLvl w:val="4"/>
        <w:rPr>
          <w:rFonts w:hint="eastAsia" w:asciiTheme="majorEastAsia" w:hAnsiTheme="majorEastAsia" w:eastAsiaTheme="majorEastAsia" w:cstheme="majorEastAsia"/>
          <w:b/>
          <w:bCs/>
          <w:color w:val="auto"/>
          <w:kern w:val="2"/>
          <w:sz w:val="20"/>
          <w:szCs w:val="20"/>
          <w:highlight w:val="none"/>
          <w:lang w:val="en-US" w:eastAsia="zh-CN" w:bidi="ar-SA"/>
        </w:rPr>
      </w:pPr>
      <w:r>
        <w:rPr>
          <w:rFonts w:hint="eastAsia" w:asciiTheme="majorEastAsia" w:hAnsiTheme="majorEastAsia" w:eastAsiaTheme="majorEastAsia" w:cstheme="majorEastAsia"/>
          <w:b/>
          <w:bCs/>
          <w:color w:val="auto"/>
          <w:kern w:val="2"/>
          <w:sz w:val="20"/>
          <w:szCs w:val="20"/>
          <w:highlight w:val="none"/>
          <w:lang w:val="en-US" w:eastAsia="zh-CN" w:bidi="ar-SA"/>
        </w:rPr>
        <w:t>1）供餐时间（全年无休）</w:t>
      </w:r>
    </w:p>
    <w:p w14:paraId="14436A58">
      <w:pPr>
        <w:pageBreakBefore w:val="0"/>
        <w:widowControl w:val="0"/>
        <w:kinsoku/>
        <w:wordWrap w:val="0"/>
        <w:overflowPunct/>
        <w:topLinePunct w:val="0"/>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① 早餐：7:00-8:30；午餐：11:00-13:00；晚餐：16:30-18:00；</w:t>
      </w:r>
    </w:p>
    <w:p w14:paraId="7876A5F7">
      <w:pPr>
        <w:pageBreakBefore w:val="0"/>
        <w:widowControl w:val="0"/>
        <w:kinsoku/>
        <w:wordWrap w:val="0"/>
        <w:overflowPunct/>
        <w:topLinePunct w:val="0"/>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② 特殊情况根据医嘱要求增加供餐时间及次数。</w:t>
      </w:r>
    </w:p>
    <w:p w14:paraId="65DFC83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bCs/>
          <w:color w:val="auto"/>
          <w:kern w:val="2"/>
          <w:sz w:val="20"/>
          <w:szCs w:val="20"/>
          <w:highlight w:val="none"/>
          <w:lang w:val="en-US" w:eastAsia="zh-CN" w:bidi="ar-SA"/>
        </w:rPr>
        <w:t>2）供餐内容</w:t>
      </w:r>
      <w:r>
        <w:rPr>
          <w:rFonts w:hint="eastAsia" w:asciiTheme="majorEastAsia" w:hAnsiTheme="majorEastAsia" w:eastAsiaTheme="majorEastAsia" w:cstheme="majorEastAsia"/>
          <w:color w:val="auto"/>
          <w:kern w:val="2"/>
          <w:sz w:val="20"/>
          <w:szCs w:val="20"/>
          <w:highlight w:val="none"/>
          <w:lang w:val="en-US" w:eastAsia="zh-CN" w:bidi="ar-SA"/>
        </w:rPr>
        <w:t>：根据医嘱</w:t>
      </w:r>
      <w:r>
        <w:rPr>
          <w:rFonts w:hint="eastAsia" w:asciiTheme="majorEastAsia" w:hAnsiTheme="majorEastAsia" w:eastAsiaTheme="majorEastAsia" w:cstheme="majorEastAsia"/>
          <w:bCs/>
          <w:color w:val="auto"/>
          <w:kern w:val="2"/>
          <w:sz w:val="20"/>
          <w:szCs w:val="20"/>
          <w:highlight w:val="none"/>
          <w:lang w:val="en-US" w:eastAsia="zh-CN" w:bidi="ar-SA"/>
        </w:rPr>
        <w:t>治疗膳食</w:t>
      </w:r>
      <w:r>
        <w:rPr>
          <w:rFonts w:hint="eastAsia" w:asciiTheme="majorEastAsia" w:hAnsiTheme="majorEastAsia" w:eastAsiaTheme="majorEastAsia" w:cstheme="majorEastAsia"/>
          <w:color w:val="auto"/>
          <w:kern w:val="2"/>
          <w:sz w:val="20"/>
          <w:szCs w:val="20"/>
          <w:highlight w:val="none"/>
          <w:lang w:val="en-US" w:eastAsia="zh-CN" w:bidi="ar-SA"/>
        </w:rPr>
        <w:t>要求或</w:t>
      </w:r>
      <w:r>
        <w:rPr>
          <w:rFonts w:hint="eastAsia" w:asciiTheme="majorEastAsia" w:hAnsiTheme="majorEastAsia" w:eastAsiaTheme="majorEastAsia" w:cstheme="majorEastAsia"/>
          <w:bCs/>
          <w:color w:val="auto"/>
          <w:kern w:val="2"/>
          <w:sz w:val="20"/>
          <w:szCs w:val="20"/>
          <w:highlight w:val="none"/>
          <w:lang w:val="en-US" w:eastAsia="zh-CN" w:bidi="ar-SA"/>
        </w:rPr>
        <w:t>营养师开具的营养餐单进行制作、登记与配送。</w:t>
      </w:r>
    </w:p>
    <w:p w14:paraId="47FAB6E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color w:val="auto"/>
          <w:kern w:val="2"/>
          <w:sz w:val="20"/>
          <w:szCs w:val="20"/>
          <w:highlight w:val="none"/>
          <w:lang w:val="en-US" w:eastAsia="zh-CN" w:bidi="ar-SA"/>
        </w:rPr>
        <w:t>3）订餐截止时间：</w:t>
      </w:r>
    </w:p>
    <w:p w14:paraId="733957D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①日常订餐时间：</w:t>
      </w:r>
    </w:p>
    <w:p w14:paraId="2367B01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早餐：用餐前一天；</w:t>
      </w:r>
    </w:p>
    <w:p w14:paraId="19B53AE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午餐：用餐当天9:00前；</w:t>
      </w:r>
    </w:p>
    <w:p w14:paraId="00DC7E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晚餐：用餐当天16:00前。</w:t>
      </w:r>
    </w:p>
    <w:p w14:paraId="68059FB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②超时餐订餐时间：</w:t>
      </w:r>
    </w:p>
    <w:p w14:paraId="2B111CF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午餐：11:00-12:00；</w:t>
      </w:r>
    </w:p>
    <w:p w14:paraId="01611D2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晚餐：16:00-17:30。</w:t>
      </w:r>
    </w:p>
    <w:p w14:paraId="256101A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color w:val="auto"/>
          <w:kern w:val="2"/>
          <w:sz w:val="20"/>
          <w:szCs w:val="20"/>
          <w:highlight w:val="none"/>
          <w:lang w:val="en-US" w:eastAsia="zh-CN" w:bidi="ar-SA"/>
        </w:rPr>
        <w:t>4）订餐服务：</w:t>
      </w:r>
    </w:p>
    <w:p w14:paraId="264DEE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①需采用招标人营养食堂电子化订餐系统，要求实现可通过微信扫码订餐，操作应方便、高效；</w:t>
      </w:r>
    </w:p>
    <w:p w14:paraId="584B50C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②保留电话订餐和现场订餐形式，以适应部分特殊群体（如不会使用手机订餐的老年人等）。</w:t>
      </w:r>
    </w:p>
    <w:p w14:paraId="4DB226B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color w:val="auto"/>
          <w:kern w:val="2"/>
          <w:sz w:val="20"/>
          <w:szCs w:val="20"/>
          <w:highlight w:val="none"/>
          <w:lang w:val="en-US" w:eastAsia="zh-CN" w:bidi="ar-SA"/>
        </w:rPr>
      </w:pPr>
      <w:r>
        <w:rPr>
          <w:rFonts w:hint="eastAsia" w:asciiTheme="majorEastAsia" w:hAnsiTheme="majorEastAsia" w:eastAsiaTheme="majorEastAsia" w:cstheme="majorEastAsia"/>
          <w:b w:val="0"/>
          <w:bCs/>
          <w:color w:val="auto"/>
          <w:kern w:val="2"/>
          <w:sz w:val="20"/>
          <w:szCs w:val="20"/>
          <w:highlight w:val="none"/>
          <w:lang w:val="en-US" w:eastAsia="zh-CN" w:bidi="ar-SA"/>
        </w:rPr>
        <w:t>特别说明：在患者入院的时候，由护士或者护工简要介绍招标人订餐操作，并登记部分特殊群体（如老年人）的订餐方式，并告知中标人驻场项目经理，以便配餐员到现场接受订餐。</w:t>
      </w:r>
    </w:p>
    <w:p w14:paraId="0F4C1C7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color w:val="auto"/>
          <w:kern w:val="2"/>
          <w:sz w:val="20"/>
          <w:szCs w:val="20"/>
          <w:highlight w:val="none"/>
          <w:lang w:val="en-US" w:eastAsia="zh-CN" w:bidi="ar-SA"/>
        </w:rPr>
      </w:pPr>
      <w:r>
        <w:rPr>
          <w:rFonts w:hint="eastAsia" w:asciiTheme="majorEastAsia" w:hAnsiTheme="majorEastAsia" w:eastAsiaTheme="majorEastAsia" w:cstheme="majorEastAsia"/>
          <w:b/>
          <w:color w:val="auto"/>
          <w:kern w:val="2"/>
          <w:sz w:val="20"/>
          <w:szCs w:val="20"/>
          <w:highlight w:val="none"/>
          <w:lang w:val="en-US" w:eastAsia="zh-CN" w:bidi="ar-SA"/>
        </w:rPr>
        <w:t>5）新生儿膳食：</w:t>
      </w:r>
      <w:r>
        <w:rPr>
          <w:rFonts w:hint="eastAsia" w:asciiTheme="majorEastAsia" w:hAnsiTheme="majorEastAsia" w:eastAsiaTheme="majorEastAsia" w:cstheme="majorEastAsia"/>
          <w:b w:val="0"/>
          <w:bCs/>
          <w:color w:val="auto"/>
          <w:kern w:val="2"/>
          <w:sz w:val="20"/>
          <w:szCs w:val="20"/>
          <w:highlight w:val="none"/>
          <w:lang w:val="en-US" w:eastAsia="zh-CN" w:bidi="ar-SA"/>
        </w:rPr>
        <w:t>婴幼儿配方乳粉。（主要包括蛋白配方奶粉、免乳糖奶粉或无乳糖奶粉、水解奶粉或氨基酸奶粉等等）</w:t>
      </w:r>
    </w:p>
    <w:p w14:paraId="4B57288D">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3"/>
        <w:rPr>
          <w:rFonts w:hint="eastAsia" w:asciiTheme="majorEastAsia" w:hAnsiTheme="majorEastAsia" w:eastAsiaTheme="majorEastAsia" w:cstheme="majorEastAsia"/>
          <w:b/>
          <w:bCs w:val="0"/>
          <w:color w:val="auto"/>
          <w:sz w:val="20"/>
          <w:szCs w:val="20"/>
          <w:highlight w:val="none"/>
        </w:rPr>
      </w:pPr>
      <w:r>
        <w:rPr>
          <w:rFonts w:hint="eastAsia" w:asciiTheme="majorEastAsia" w:hAnsiTheme="majorEastAsia" w:eastAsiaTheme="majorEastAsia" w:cstheme="majorEastAsia"/>
          <w:b/>
          <w:bCs w:val="0"/>
          <w:color w:val="auto"/>
          <w:sz w:val="20"/>
          <w:szCs w:val="20"/>
          <w:highlight w:val="none"/>
          <w:lang w:val="en-US" w:eastAsia="zh-CN"/>
        </w:rPr>
        <w:t>1.3</w:t>
      </w:r>
      <w:r>
        <w:rPr>
          <w:rFonts w:hint="eastAsia" w:asciiTheme="majorEastAsia" w:hAnsiTheme="majorEastAsia" w:eastAsiaTheme="majorEastAsia" w:cstheme="majorEastAsia"/>
          <w:b/>
          <w:bCs w:val="0"/>
          <w:color w:val="auto"/>
          <w:sz w:val="20"/>
          <w:szCs w:val="20"/>
          <w:highlight w:val="none"/>
        </w:rPr>
        <w:t>供餐要求</w:t>
      </w:r>
    </w:p>
    <w:p w14:paraId="5B8CED8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①精心搭配各式主、副食菜谱，每月更换1套菜单，且每月推出6款以上新菜品。逢每月第一个自然日上新菜单，原则上要求菜式应每2周不重样（除热门主菜外），周一至周日供应品种不能完全重复，任意两天菜式品种差异率不低于30%，午餐和晚餐的菜式应不相同。热门主菜经招标人审核确认后，每周最多可出2次。下月菜单需在本月结束10个日历日前交招标人职能部门审核，新菜式应先进行试做、试尝，待招标人审核后方可执行。每月创新及推出新菜6款以上。</w:t>
      </w:r>
    </w:p>
    <w:p w14:paraId="2FE31A2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②点心餐、接待餐供餐等要求：精心搭配，出品色香味全。</w:t>
      </w:r>
    </w:p>
    <w:p w14:paraId="5E80930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③病人餐供餐要求：病人餐每餐均需提供流质、半流质、糖尿病饮食（低糖/无糖）、无盐餐、无碘盐餐、高蛋白质餐等特殊餐饮需求服务（特殊餐饮服务根据招标人临床患者的需求变动而变动）</w:t>
      </w:r>
    </w:p>
    <w:p w14:paraId="1A9BA70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④需配合院区营养科开展特医食品、肠内营养配置室用餐的相关要求，如打单收费等等。</w:t>
      </w:r>
    </w:p>
    <w:p w14:paraId="1DBF3BFD">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3"/>
        <w:rPr>
          <w:rFonts w:hint="eastAsia" w:asciiTheme="majorEastAsia" w:hAnsiTheme="majorEastAsia" w:eastAsiaTheme="majorEastAsia" w:cstheme="majorEastAsia"/>
          <w:b/>
          <w:bCs w:val="0"/>
          <w:color w:val="auto"/>
          <w:sz w:val="20"/>
          <w:szCs w:val="20"/>
          <w:highlight w:val="none"/>
          <w:lang w:val="en-US" w:eastAsia="zh-CN"/>
        </w:rPr>
      </w:pPr>
      <w:r>
        <w:rPr>
          <w:rFonts w:hint="eastAsia" w:asciiTheme="majorEastAsia" w:hAnsiTheme="majorEastAsia" w:eastAsiaTheme="majorEastAsia" w:cstheme="majorEastAsia"/>
          <w:b/>
          <w:bCs w:val="0"/>
          <w:color w:val="auto"/>
          <w:sz w:val="20"/>
          <w:szCs w:val="20"/>
          <w:highlight w:val="none"/>
          <w:lang w:val="en-US" w:eastAsia="zh-CN"/>
        </w:rPr>
        <w:t>1.4菜</w:t>
      </w:r>
      <w:r>
        <w:rPr>
          <w:rFonts w:hint="eastAsia" w:asciiTheme="majorEastAsia" w:hAnsiTheme="majorEastAsia" w:eastAsiaTheme="majorEastAsia" w:cstheme="majorEastAsia"/>
          <w:b/>
          <w:bCs w:val="0"/>
          <w:color w:val="auto"/>
          <w:sz w:val="20"/>
          <w:szCs w:val="20"/>
          <w:highlight w:val="none"/>
        </w:rPr>
        <w:t>式</w:t>
      </w:r>
      <w:r>
        <w:rPr>
          <w:rFonts w:hint="eastAsia" w:asciiTheme="majorEastAsia" w:hAnsiTheme="majorEastAsia" w:eastAsiaTheme="majorEastAsia" w:cstheme="majorEastAsia"/>
          <w:b/>
          <w:bCs w:val="0"/>
          <w:color w:val="auto"/>
          <w:sz w:val="20"/>
          <w:szCs w:val="20"/>
          <w:highlight w:val="none"/>
          <w:lang w:val="en-US" w:eastAsia="zh-CN"/>
        </w:rPr>
        <w:t>和规格要求</w:t>
      </w:r>
    </w:p>
    <w:p w14:paraId="1C5ACDD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①净荤不少于5个品种，每份净荤重量不少于50克；</w:t>
      </w:r>
    </w:p>
    <w:p w14:paraId="1301ECD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②净蔬菜/素菜不少于5个品种，每份净蔬菜不少于100克；</w:t>
      </w:r>
    </w:p>
    <w:p w14:paraId="238ECD9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③荤素混炒不少于10个品种，每份份量不少于100克，荤素重量比例按不少于1:2（荤1素2）；</w:t>
      </w:r>
    </w:p>
    <w:p w14:paraId="754F5B2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④每份米饭100克至150克，可免费加饭。</w:t>
      </w:r>
    </w:p>
    <w:p w14:paraId="3CF7631E">
      <w:pPr>
        <w:pageBreakBefore w:val="0"/>
        <w:kinsoku/>
        <w:wordWrap w:val="0"/>
        <w:overflowPunct/>
        <w:topLinePunct w:val="0"/>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val="0"/>
          <w:color w:val="auto"/>
          <w:sz w:val="20"/>
          <w:szCs w:val="20"/>
          <w:highlight w:val="none"/>
          <w:lang w:val="en-US" w:eastAsia="zh-CN"/>
        </w:rPr>
      </w:pPr>
      <w:r>
        <w:rPr>
          <w:rFonts w:hint="eastAsia" w:asciiTheme="majorEastAsia" w:hAnsiTheme="majorEastAsia" w:eastAsiaTheme="majorEastAsia" w:cstheme="majorEastAsia"/>
          <w:b/>
          <w:bCs w:val="0"/>
          <w:color w:val="auto"/>
          <w:sz w:val="20"/>
          <w:szCs w:val="20"/>
          <w:highlight w:val="none"/>
          <w:lang w:val="en-US" w:eastAsia="zh-CN"/>
        </w:rPr>
        <w:t>1.4.1供餐标准</w:t>
      </w:r>
    </w:p>
    <w:p w14:paraId="5826F9C4">
      <w:pPr>
        <w:pageBreakBefore w:val="0"/>
        <w:kinsoku/>
        <w:wordWrap w:val="0"/>
        <w:overflowPunct/>
        <w:topLinePunct w:val="0"/>
        <w:bidi w:val="0"/>
        <w:adjustRightInd/>
        <w:snapToGrid/>
        <w:spacing w:line="300" w:lineRule="exact"/>
        <w:ind w:left="0" w:leftChars="0" w:firstLine="400" w:firstLineChars="200"/>
        <w:jc w:val="both"/>
        <w:textAlignment w:val="auto"/>
        <w:outlineLvl w:val="1"/>
        <w:rPr>
          <w:rFonts w:hint="eastAsia" w:asciiTheme="majorEastAsia" w:hAnsiTheme="majorEastAsia" w:eastAsiaTheme="majorEastAsia" w:cstheme="majorEastAsia"/>
          <w:color w:val="auto"/>
          <w:sz w:val="20"/>
          <w:szCs w:val="20"/>
          <w:highlight w:val="none"/>
        </w:rPr>
      </w:pPr>
      <w:r>
        <w:rPr>
          <w:rFonts w:hint="eastAsia" w:asciiTheme="majorEastAsia" w:hAnsiTheme="majorEastAsia" w:eastAsiaTheme="majorEastAsia" w:cstheme="majorEastAsia"/>
          <w:bCs/>
          <w:color w:val="auto"/>
          <w:kern w:val="0"/>
          <w:sz w:val="20"/>
          <w:szCs w:val="20"/>
          <w:highlight w:val="none"/>
        </w:rPr>
        <w:t>① 菜式明码标价，</w:t>
      </w:r>
      <w:r>
        <w:rPr>
          <w:rFonts w:hint="eastAsia" w:asciiTheme="majorEastAsia" w:hAnsiTheme="majorEastAsia" w:eastAsiaTheme="majorEastAsia" w:cstheme="majorEastAsia"/>
          <w:color w:val="auto"/>
          <w:sz w:val="20"/>
          <w:szCs w:val="20"/>
          <w:highlight w:val="none"/>
        </w:rPr>
        <w:t>建议餐标：早餐套餐</w:t>
      </w:r>
      <w:r>
        <w:rPr>
          <w:rFonts w:hint="eastAsia" w:asciiTheme="majorEastAsia" w:hAnsiTheme="majorEastAsia" w:eastAsiaTheme="majorEastAsia" w:cstheme="majorEastAsia"/>
          <w:color w:val="auto"/>
          <w:sz w:val="20"/>
          <w:szCs w:val="20"/>
          <w:highlight w:val="none"/>
          <w:lang w:val="en-US" w:eastAsia="zh-CN"/>
        </w:rPr>
        <w:t>不高于15</w:t>
      </w:r>
      <w:r>
        <w:rPr>
          <w:rFonts w:hint="eastAsia" w:asciiTheme="majorEastAsia" w:hAnsiTheme="majorEastAsia" w:eastAsiaTheme="majorEastAsia" w:cstheme="majorEastAsia"/>
          <w:color w:val="auto"/>
          <w:sz w:val="20"/>
          <w:szCs w:val="20"/>
          <w:highlight w:val="none"/>
        </w:rPr>
        <w:t>元，午</w:t>
      </w:r>
      <w:r>
        <w:rPr>
          <w:rFonts w:hint="eastAsia" w:asciiTheme="majorEastAsia" w:hAnsiTheme="majorEastAsia" w:eastAsiaTheme="majorEastAsia" w:cstheme="majorEastAsia"/>
          <w:color w:val="auto"/>
          <w:sz w:val="20"/>
          <w:szCs w:val="20"/>
          <w:highlight w:val="none"/>
          <w:lang w:val="en-US" w:eastAsia="zh-CN"/>
        </w:rPr>
        <w:t>餐</w:t>
      </w:r>
      <w:r>
        <w:rPr>
          <w:rFonts w:hint="eastAsia" w:asciiTheme="majorEastAsia" w:hAnsiTheme="majorEastAsia" w:eastAsiaTheme="majorEastAsia" w:cstheme="majorEastAsia"/>
          <w:color w:val="auto"/>
          <w:sz w:val="20"/>
          <w:szCs w:val="20"/>
          <w:highlight w:val="none"/>
        </w:rPr>
        <w:t>、晚餐套餐</w:t>
      </w:r>
      <w:r>
        <w:rPr>
          <w:rFonts w:hint="eastAsia" w:asciiTheme="majorEastAsia" w:hAnsiTheme="majorEastAsia" w:eastAsiaTheme="majorEastAsia" w:cstheme="majorEastAsia"/>
          <w:color w:val="auto"/>
          <w:sz w:val="20"/>
          <w:szCs w:val="20"/>
          <w:highlight w:val="none"/>
          <w:lang w:val="en-US" w:eastAsia="zh-CN"/>
        </w:rPr>
        <w:t>不高于25</w:t>
      </w:r>
      <w:r>
        <w:rPr>
          <w:rFonts w:hint="eastAsia" w:asciiTheme="majorEastAsia" w:hAnsiTheme="majorEastAsia" w:eastAsiaTheme="majorEastAsia" w:cstheme="majorEastAsia"/>
          <w:color w:val="auto"/>
          <w:sz w:val="20"/>
          <w:szCs w:val="20"/>
          <w:highlight w:val="none"/>
        </w:rPr>
        <w:t>元</w:t>
      </w:r>
      <w:r>
        <w:rPr>
          <w:rFonts w:hint="eastAsia" w:asciiTheme="majorEastAsia" w:hAnsiTheme="majorEastAsia" w:eastAsiaTheme="majorEastAsia" w:cstheme="majorEastAsia"/>
          <w:color w:val="auto"/>
          <w:sz w:val="20"/>
          <w:szCs w:val="20"/>
          <w:highlight w:val="none"/>
          <w:lang w:val="en-US" w:eastAsia="zh-CN"/>
        </w:rPr>
        <w:t>(包含1荤+2素+1汤+1米饭）</w:t>
      </w:r>
      <w:r>
        <w:rPr>
          <w:rFonts w:hint="eastAsia" w:asciiTheme="majorEastAsia" w:hAnsiTheme="majorEastAsia" w:eastAsiaTheme="majorEastAsia" w:cstheme="majorEastAsia"/>
          <w:color w:val="auto"/>
          <w:sz w:val="20"/>
          <w:szCs w:val="20"/>
          <w:highlight w:val="none"/>
        </w:rPr>
        <w:t>，高标餐套餐</w:t>
      </w:r>
      <w:r>
        <w:rPr>
          <w:rFonts w:hint="eastAsia" w:asciiTheme="majorEastAsia" w:hAnsiTheme="majorEastAsia" w:eastAsiaTheme="majorEastAsia" w:cstheme="majorEastAsia"/>
          <w:color w:val="auto"/>
          <w:sz w:val="20"/>
          <w:szCs w:val="20"/>
          <w:highlight w:val="none"/>
          <w:lang w:val="en-US" w:eastAsia="zh-CN"/>
        </w:rPr>
        <w:t>不高于30-40</w:t>
      </w:r>
      <w:r>
        <w:rPr>
          <w:rFonts w:hint="eastAsia" w:asciiTheme="majorEastAsia" w:hAnsiTheme="majorEastAsia" w:eastAsiaTheme="majorEastAsia" w:cstheme="majorEastAsia"/>
          <w:color w:val="auto"/>
          <w:sz w:val="20"/>
          <w:szCs w:val="20"/>
          <w:highlight w:val="none"/>
        </w:rPr>
        <w:t>元</w:t>
      </w:r>
      <w:r>
        <w:rPr>
          <w:rFonts w:hint="eastAsia" w:asciiTheme="majorEastAsia" w:hAnsiTheme="majorEastAsia" w:eastAsiaTheme="majorEastAsia" w:cstheme="majorEastAsia"/>
          <w:color w:val="auto"/>
          <w:sz w:val="20"/>
          <w:szCs w:val="20"/>
          <w:highlight w:val="none"/>
          <w:lang w:val="en-US" w:eastAsia="zh-CN"/>
        </w:rPr>
        <w:t>(包含2荤+2素+1汤+1米饭）</w:t>
      </w:r>
      <w:r>
        <w:rPr>
          <w:rFonts w:hint="eastAsia" w:asciiTheme="majorEastAsia" w:hAnsiTheme="majorEastAsia" w:eastAsiaTheme="majorEastAsia" w:cstheme="majorEastAsia"/>
          <w:color w:val="auto"/>
          <w:sz w:val="20"/>
          <w:szCs w:val="20"/>
          <w:highlight w:val="none"/>
        </w:rPr>
        <w:t>、肉末（片）粥</w:t>
      </w:r>
      <w:r>
        <w:rPr>
          <w:rFonts w:hint="eastAsia" w:asciiTheme="majorEastAsia" w:hAnsiTheme="majorEastAsia" w:eastAsiaTheme="majorEastAsia" w:cstheme="majorEastAsia"/>
          <w:color w:val="auto"/>
          <w:sz w:val="20"/>
          <w:szCs w:val="20"/>
          <w:highlight w:val="none"/>
          <w:lang w:val="en-US" w:eastAsia="zh-CN"/>
        </w:rPr>
        <w:t>不高于8</w:t>
      </w:r>
      <w:r>
        <w:rPr>
          <w:rFonts w:hint="eastAsia" w:asciiTheme="majorEastAsia" w:hAnsiTheme="majorEastAsia" w:eastAsiaTheme="majorEastAsia" w:cstheme="majorEastAsia"/>
          <w:color w:val="auto"/>
          <w:sz w:val="20"/>
          <w:szCs w:val="20"/>
          <w:highlight w:val="none"/>
        </w:rPr>
        <w:t>元、白粥</w:t>
      </w:r>
      <w:r>
        <w:rPr>
          <w:rFonts w:hint="eastAsia" w:asciiTheme="majorEastAsia" w:hAnsiTheme="majorEastAsia" w:eastAsiaTheme="majorEastAsia" w:cstheme="majorEastAsia"/>
          <w:color w:val="auto"/>
          <w:sz w:val="20"/>
          <w:szCs w:val="20"/>
          <w:highlight w:val="none"/>
          <w:lang w:val="en-US" w:eastAsia="zh-CN"/>
        </w:rPr>
        <w:t>不高于3</w:t>
      </w:r>
      <w:r>
        <w:rPr>
          <w:rFonts w:hint="eastAsia" w:asciiTheme="majorEastAsia" w:hAnsiTheme="majorEastAsia" w:eastAsiaTheme="majorEastAsia" w:cstheme="majorEastAsia"/>
          <w:color w:val="auto"/>
          <w:sz w:val="20"/>
          <w:szCs w:val="20"/>
          <w:highlight w:val="none"/>
        </w:rPr>
        <w:t>元、粉面类</w:t>
      </w:r>
      <w:r>
        <w:rPr>
          <w:rFonts w:hint="eastAsia" w:asciiTheme="majorEastAsia" w:hAnsiTheme="majorEastAsia" w:eastAsiaTheme="majorEastAsia" w:cstheme="majorEastAsia"/>
          <w:color w:val="auto"/>
          <w:sz w:val="20"/>
          <w:szCs w:val="20"/>
          <w:highlight w:val="none"/>
          <w:lang w:val="en-US" w:eastAsia="zh-CN"/>
        </w:rPr>
        <w:t>不高于20</w:t>
      </w:r>
      <w:r>
        <w:rPr>
          <w:rFonts w:hint="eastAsia" w:asciiTheme="majorEastAsia" w:hAnsiTheme="majorEastAsia" w:eastAsiaTheme="majorEastAsia" w:cstheme="majorEastAsia"/>
          <w:color w:val="auto"/>
          <w:sz w:val="20"/>
          <w:szCs w:val="20"/>
          <w:highlight w:val="none"/>
        </w:rPr>
        <w:t>元，以保证食品安全和供餐营养均衡及</w:t>
      </w:r>
      <w:r>
        <w:rPr>
          <w:rFonts w:hint="eastAsia" w:asciiTheme="majorEastAsia" w:hAnsiTheme="majorEastAsia" w:eastAsiaTheme="majorEastAsia" w:cstheme="majorEastAsia"/>
          <w:color w:val="auto"/>
          <w:sz w:val="20"/>
          <w:szCs w:val="20"/>
          <w:highlight w:val="none"/>
          <w:lang w:val="en-US" w:eastAsia="zh-CN"/>
        </w:rPr>
        <w:t>就餐人</w:t>
      </w:r>
      <w:r>
        <w:rPr>
          <w:rFonts w:hint="eastAsia" w:asciiTheme="majorEastAsia" w:hAnsiTheme="majorEastAsia" w:eastAsiaTheme="majorEastAsia" w:cstheme="majorEastAsia"/>
          <w:color w:val="auto"/>
          <w:sz w:val="20"/>
          <w:szCs w:val="20"/>
          <w:highlight w:val="none"/>
        </w:rPr>
        <w:t>就餐满意为基础，可参考周边环境供餐价格和实际配餐食材价格及</w:t>
      </w:r>
      <w:r>
        <w:rPr>
          <w:rFonts w:hint="eastAsia" w:asciiTheme="majorEastAsia" w:hAnsiTheme="majorEastAsia" w:eastAsiaTheme="majorEastAsia" w:cstheme="majorEastAsia"/>
          <w:color w:val="auto"/>
          <w:sz w:val="20"/>
          <w:szCs w:val="20"/>
          <w:highlight w:val="none"/>
          <w:lang w:val="en-US" w:eastAsia="zh-CN"/>
        </w:rPr>
        <w:t>就餐人</w:t>
      </w:r>
      <w:r>
        <w:rPr>
          <w:rFonts w:hint="eastAsia" w:asciiTheme="majorEastAsia" w:hAnsiTheme="majorEastAsia" w:eastAsiaTheme="majorEastAsia" w:cstheme="majorEastAsia"/>
          <w:color w:val="auto"/>
          <w:sz w:val="20"/>
          <w:szCs w:val="20"/>
          <w:highlight w:val="none"/>
        </w:rPr>
        <w:t>需求来变换供餐模式和供餐定价。</w:t>
      </w:r>
    </w:p>
    <w:p w14:paraId="7275E148">
      <w:pPr>
        <w:pageBreakBefore w:val="0"/>
        <w:widowControl w:val="0"/>
        <w:kinsoku/>
        <w:overflowPunct/>
        <w:topLinePunct w:val="0"/>
        <w:bidi w:val="0"/>
        <w:adjustRightInd/>
        <w:snapToGrid/>
        <w:spacing w:after="0" w:afterLines="0" w:line="300" w:lineRule="exact"/>
        <w:ind w:left="0" w:leftChars="0" w:firstLine="400" w:firstLineChars="200"/>
        <w:jc w:val="both"/>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② 每天的早餐备有包点、粉、面、粥、豆浆牛奶等20种以上，注重营养的搭配；每天午、晚餐备有15-20个以上菜式（主食不少于2种，素菜不少于4-8种，荤菜（含半荤）不少于9-12种）及多种营养汤或炖品供就餐人员选用。</w:t>
      </w:r>
    </w:p>
    <w:p w14:paraId="6DE80A90">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3"/>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sz w:val="20"/>
          <w:szCs w:val="20"/>
          <w:highlight w:val="none"/>
        </w:rPr>
        <w:t>1.</w:t>
      </w:r>
      <w:r>
        <w:rPr>
          <w:rFonts w:hint="eastAsia" w:asciiTheme="majorEastAsia" w:hAnsiTheme="majorEastAsia" w:eastAsiaTheme="majorEastAsia" w:cstheme="majorEastAsia"/>
          <w:b/>
          <w:bCs/>
          <w:color w:val="auto"/>
          <w:sz w:val="20"/>
          <w:szCs w:val="20"/>
          <w:highlight w:val="none"/>
          <w:lang w:val="en-US" w:eastAsia="zh-CN"/>
        </w:rPr>
        <w:t>5</w:t>
      </w:r>
      <w:r>
        <w:rPr>
          <w:rFonts w:hint="eastAsia" w:asciiTheme="majorEastAsia" w:hAnsiTheme="majorEastAsia" w:eastAsiaTheme="majorEastAsia" w:cstheme="majorEastAsia"/>
          <w:b/>
          <w:bCs/>
          <w:color w:val="auto"/>
          <w:sz w:val="20"/>
          <w:szCs w:val="20"/>
          <w:highlight w:val="none"/>
        </w:rPr>
        <w:t>膳食要求</w:t>
      </w:r>
    </w:p>
    <w:p w14:paraId="151D520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①汤粉、面点、粥、煲仔饭、套餐、单个菜、老火汤/生滚汤、特色风味等,粥、粉、面、糕点、包类供应时间为早、午、晚餐，其他饭类、汤类供应时间为中、晚餐。</w:t>
      </w:r>
    </w:p>
    <w:p w14:paraId="5590BE7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②早、中、晚餐供应品种必须包括中西式面点、粥粉面类、粗粮等，营养搭配均衡，品种多样。</w:t>
      </w:r>
    </w:p>
    <w:p w14:paraId="6EEE920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③饭菜兼顾南北方特色口味（粤菜为主，川菜、湘菜等多种口味），品种要齐全，需提供重口味、淡口味、蒸菜、蒸蛋、辣菜、炒菜等供选择，保证正餐有新鲜鱼、肉、禽、蛋、蔬菜等菜品供应。</w:t>
      </w:r>
    </w:p>
    <w:p w14:paraId="4AB9019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④菜式营养健康、花色品种多；大米符合标准，要求使用新米、晚稻、丝苗米；油用非转基因食用油。</w:t>
      </w:r>
    </w:p>
    <w:p w14:paraId="26918DC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⑤熟食类食品不准外购，投标人须承诺所提供的熟食类食品均为自制食品；必须对餐食有加热保温措施，保证售出餐食是温热的。不得直接使用预制菜，如确需使用须经招标人审批同意。</w:t>
      </w:r>
    </w:p>
    <w:p w14:paraId="5189F9F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⑥提供具有相关资质的第三方机构检测合格的报告，抽检不同餐次的共5个菜品，进行微生物检测。在本项目进场后半个月内提供一次以上检测报告，之后每三个月提供一次检测报告，费用由中标人承担。</w:t>
      </w:r>
    </w:p>
    <w:p w14:paraId="4E7E3BD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⑦积极响应和满足招标人提出的其他膳食要求，满足招标人的饮食服务需求。</w:t>
      </w:r>
    </w:p>
    <w:p w14:paraId="5A42C70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outlineLvl w:val="3"/>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1.6工作餐（含手术餐、过时餐）餐标标准按医院要求，供餐形式为配送至科室。</w:t>
      </w:r>
    </w:p>
    <w:p w14:paraId="36D1F9C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outlineLvl w:val="3"/>
        <w:rPr>
          <w:rFonts w:hint="eastAsia" w:asciiTheme="majorEastAsia" w:hAnsiTheme="majorEastAsia" w:eastAsiaTheme="majorEastAsia" w:cstheme="majorEastAsia"/>
          <w:b/>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1.7</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lang w:val="en-US" w:eastAsia="zh-CN"/>
        </w:rPr>
        <w:t>服务范围内应有清晰的就餐标识和指引，方便职工就餐。设置便民措施，就餐区域配备洗手液、一次性纸巾、开水等；若汕尾市气温连续5天达到38℃或以上，</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lang w:val="en-US" w:eastAsia="zh-CN"/>
        </w:rPr>
        <w:t>应免费赠送清凉饮料给当天饭堂就餐的职工。（以汕尾正午天气预报为准）</w:t>
      </w:r>
    </w:p>
    <w:p w14:paraId="5F3E861A">
      <w:pPr>
        <w:pageBreakBefore w:val="0"/>
        <w:widowControl w:val="0"/>
        <w:kinsoku/>
        <w:overflowPunct/>
        <w:topLinePunct w:val="0"/>
        <w:bidi w:val="0"/>
        <w:adjustRightInd/>
        <w:snapToGrid/>
        <w:spacing w:line="400" w:lineRule="exact"/>
        <w:ind w:left="0" w:leftChars="0" w:firstLine="402" w:firstLineChars="200"/>
        <w:jc w:val="both"/>
        <w:rPr>
          <w:rFonts w:hint="eastAsia" w:asciiTheme="majorEastAsia" w:hAnsiTheme="majorEastAsia" w:eastAsiaTheme="majorEastAsia" w:cstheme="majorEastAsia"/>
          <w:b/>
          <w:bCs/>
          <w:color w:val="auto"/>
          <w:kern w:val="0"/>
          <w:sz w:val="20"/>
          <w:szCs w:val="20"/>
          <w:highlight w:val="none"/>
          <w:lang w:val="en-US" w:eastAsia="zh-CN" w:bidi="ar-SA"/>
        </w:rPr>
      </w:pPr>
      <w:r>
        <w:rPr>
          <w:rFonts w:hint="eastAsia" w:asciiTheme="majorEastAsia" w:hAnsiTheme="majorEastAsia" w:eastAsiaTheme="majorEastAsia" w:cstheme="majorEastAsia"/>
          <w:b/>
          <w:bCs/>
          <w:color w:val="auto"/>
          <w:kern w:val="0"/>
          <w:sz w:val="20"/>
          <w:szCs w:val="20"/>
          <w:highlight w:val="none"/>
          <w:lang w:val="en-US" w:eastAsia="zh-CN" w:bidi="ar-SA"/>
        </w:rPr>
        <w:t>2.</w:t>
      </w:r>
      <w:r>
        <w:rPr>
          <w:rFonts w:hint="eastAsia" w:asciiTheme="majorEastAsia" w:hAnsiTheme="majorEastAsia" w:eastAsiaTheme="majorEastAsia" w:cstheme="majorEastAsia"/>
          <w:b/>
          <w:bCs/>
          <w:color w:val="auto"/>
          <w:kern w:val="2"/>
          <w:sz w:val="20"/>
          <w:szCs w:val="20"/>
          <w:highlight w:val="none"/>
          <w:lang w:val="en-US" w:eastAsia="zh-CN" w:bidi="ar-SA"/>
        </w:rPr>
        <w:t>餐饮驻场服务人员要求：</w:t>
      </w:r>
    </w:p>
    <w:tbl>
      <w:tblPr>
        <w:tblStyle w:val="43"/>
        <w:tblW w:w="4843" w:type="pct"/>
        <w:jc w:val="center"/>
        <w:tblLayout w:type="fixed"/>
        <w:tblCellMar>
          <w:top w:w="0" w:type="dxa"/>
          <w:left w:w="108" w:type="dxa"/>
          <w:bottom w:w="0" w:type="dxa"/>
          <w:right w:w="108" w:type="dxa"/>
        </w:tblCellMar>
      </w:tblPr>
      <w:tblGrid>
        <w:gridCol w:w="1103"/>
        <w:gridCol w:w="699"/>
        <w:gridCol w:w="1558"/>
        <w:gridCol w:w="2683"/>
        <w:gridCol w:w="3637"/>
      </w:tblGrid>
      <w:tr w14:paraId="206838A6">
        <w:tblPrEx>
          <w:tblCellMar>
            <w:top w:w="0" w:type="dxa"/>
            <w:left w:w="108" w:type="dxa"/>
            <w:bottom w:w="0" w:type="dxa"/>
            <w:right w:w="108" w:type="dxa"/>
          </w:tblCellMar>
        </w:tblPrEx>
        <w:trPr>
          <w:trHeight w:val="375" w:hRule="atLeast"/>
          <w:jc w:val="center"/>
        </w:trPr>
        <w:tc>
          <w:tcPr>
            <w:tcW w:w="569"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4E125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项目</w:t>
            </w:r>
          </w:p>
        </w:tc>
        <w:tc>
          <w:tcPr>
            <w:tcW w:w="361"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331C8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序号</w:t>
            </w:r>
          </w:p>
        </w:tc>
        <w:tc>
          <w:tcPr>
            <w:tcW w:w="804"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63643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岗位</w:t>
            </w:r>
          </w:p>
        </w:tc>
        <w:tc>
          <w:tcPr>
            <w:tcW w:w="1385" w:type="pct"/>
            <w:tcBorders>
              <w:top w:val="single" w:color="auto" w:sz="4" w:space="0"/>
              <w:left w:val="nil"/>
              <w:bottom w:val="single" w:color="auto" w:sz="4" w:space="0"/>
              <w:right w:val="nil"/>
            </w:tcBorders>
            <w:shd w:val="clear" w:color="000000" w:fill="FFFFFF"/>
            <w:noWrap/>
            <w:vAlign w:val="center"/>
          </w:tcPr>
          <w:p w14:paraId="6C86C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eastAsia="zh-CN"/>
              </w:rPr>
            </w:pPr>
            <w:r>
              <w:rPr>
                <w:rFonts w:hint="eastAsia" w:asciiTheme="majorEastAsia" w:hAnsiTheme="majorEastAsia" w:eastAsiaTheme="majorEastAsia" w:cstheme="majorEastAsia"/>
                <w:color w:val="auto"/>
                <w:kern w:val="0"/>
                <w:sz w:val="20"/>
                <w:szCs w:val="20"/>
                <w:highlight w:val="none"/>
                <w:lang w:val="en-US" w:eastAsia="zh-CN"/>
              </w:rPr>
              <w:t>深汕院区</w:t>
            </w:r>
          </w:p>
        </w:tc>
        <w:tc>
          <w:tcPr>
            <w:tcW w:w="1878"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45B8D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岗位职责</w:t>
            </w:r>
          </w:p>
        </w:tc>
      </w:tr>
      <w:tr w14:paraId="6C27B674">
        <w:tblPrEx>
          <w:tblCellMar>
            <w:top w:w="0" w:type="dxa"/>
            <w:left w:w="108" w:type="dxa"/>
            <w:bottom w:w="0" w:type="dxa"/>
            <w:right w:w="108" w:type="dxa"/>
          </w:tblCellMar>
        </w:tblPrEx>
        <w:trPr>
          <w:trHeight w:val="398" w:hRule="atLeast"/>
          <w:jc w:val="center"/>
        </w:trPr>
        <w:tc>
          <w:tcPr>
            <w:tcW w:w="569" w:type="pct"/>
            <w:vMerge w:val="continue"/>
            <w:tcBorders>
              <w:top w:val="single" w:color="auto" w:sz="4" w:space="0"/>
              <w:left w:val="single" w:color="auto" w:sz="4" w:space="0"/>
              <w:bottom w:val="single" w:color="auto" w:sz="4" w:space="0"/>
              <w:right w:val="single" w:color="auto" w:sz="4" w:space="0"/>
            </w:tcBorders>
            <w:vAlign w:val="center"/>
          </w:tcPr>
          <w:p w14:paraId="48B49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vMerge w:val="continue"/>
            <w:tcBorders>
              <w:top w:val="single" w:color="auto" w:sz="4" w:space="0"/>
              <w:left w:val="single" w:color="auto" w:sz="4" w:space="0"/>
              <w:bottom w:val="single" w:color="000000" w:sz="4" w:space="0"/>
              <w:right w:val="single" w:color="auto" w:sz="4" w:space="0"/>
            </w:tcBorders>
            <w:vAlign w:val="center"/>
          </w:tcPr>
          <w:p w14:paraId="318F6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804" w:type="pct"/>
            <w:vMerge w:val="continue"/>
            <w:tcBorders>
              <w:top w:val="single" w:color="auto" w:sz="4" w:space="0"/>
              <w:left w:val="single" w:color="auto" w:sz="4" w:space="0"/>
              <w:bottom w:val="single" w:color="auto" w:sz="4" w:space="0"/>
              <w:right w:val="single" w:color="auto" w:sz="4" w:space="0"/>
            </w:tcBorders>
            <w:vAlign w:val="center"/>
          </w:tcPr>
          <w:p w14:paraId="32453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1385" w:type="pct"/>
            <w:tcBorders>
              <w:top w:val="nil"/>
              <w:left w:val="nil"/>
              <w:bottom w:val="single" w:color="auto" w:sz="4" w:space="0"/>
              <w:right w:val="single" w:color="auto" w:sz="4" w:space="0"/>
            </w:tcBorders>
            <w:shd w:val="clear" w:color="000000" w:fill="FFFFFF"/>
            <w:vAlign w:val="center"/>
          </w:tcPr>
          <w:p w14:paraId="59E8B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拟配置岗位数(人)</w:t>
            </w:r>
          </w:p>
        </w:tc>
        <w:tc>
          <w:tcPr>
            <w:tcW w:w="1878" w:type="pct"/>
            <w:vMerge w:val="continue"/>
            <w:tcBorders>
              <w:top w:val="single" w:color="auto" w:sz="4" w:space="0"/>
              <w:left w:val="single" w:color="auto" w:sz="4" w:space="0"/>
              <w:bottom w:val="single" w:color="000000" w:sz="4" w:space="0"/>
              <w:right w:val="single" w:color="auto" w:sz="4" w:space="0"/>
            </w:tcBorders>
            <w:vAlign w:val="center"/>
          </w:tcPr>
          <w:p w14:paraId="1325D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r>
      <w:tr w14:paraId="222A1352">
        <w:tblPrEx>
          <w:tblCellMar>
            <w:top w:w="0" w:type="dxa"/>
            <w:left w:w="108" w:type="dxa"/>
            <w:bottom w:w="0" w:type="dxa"/>
            <w:right w:w="108" w:type="dxa"/>
          </w:tblCellMar>
        </w:tblPrEx>
        <w:trPr>
          <w:trHeight w:val="1717" w:hRule="atLeast"/>
          <w:jc w:val="center"/>
        </w:trPr>
        <w:tc>
          <w:tcPr>
            <w:tcW w:w="569" w:type="pct"/>
            <w:vMerge w:val="restart"/>
            <w:tcBorders>
              <w:top w:val="nil"/>
              <w:left w:val="single" w:color="auto" w:sz="4" w:space="0"/>
              <w:bottom w:val="single" w:color="auto" w:sz="4" w:space="0"/>
              <w:right w:val="single" w:color="auto" w:sz="4" w:space="0"/>
            </w:tcBorders>
            <w:shd w:val="clear" w:color="000000" w:fill="FFFFFF"/>
            <w:vAlign w:val="center"/>
          </w:tcPr>
          <w:p w14:paraId="4944C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餐饮管理服务项目</w:t>
            </w:r>
          </w:p>
        </w:tc>
        <w:tc>
          <w:tcPr>
            <w:tcW w:w="361" w:type="pct"/>
            <w:tcBorders>
              <w:top w:val="nil"/>
              <w:left w:val="nil"/>
              <w:bottom w:val="single" w:color="auto" w:sz="4" w:space="0"/>
              <w:right w:val="single" w:color="auto" w:sz="4" w:space="0"/>
            </w:tcBorders>
            <w:shd w:val="clear" w:color="000000" w:fill="FFFFFF"/>
            <w:vAlign w:val="center"/>
          </w:tcPr>
          <w:p w14:paraId="46CBC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804" w:type="pct"/>
            <w:tcBorders>
              <w:top w:val="nil"/>
              <w:left w:val="nil"/>
              <w:bottom w:val="single" w:color="auto" w:sz="4" w:space="0"/>
              <w:right w:val="single" w:color="auto" w:sz="4" w:space="0"/>
            </w:tcBorders>
            <w:shd w:val="clear" w:color="000000" w:fill="FFFFFF"/>
            <w:noWrap/>
            <w:vAlign w:val="center"/>
          </w:tcPr>
          <w:p w14:paraId="7A6DC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项目经理（</w:t>
            </w:r>
            <w:r>
              <w:rPr>
                <w:rFonts w:hint="eastAsia" w:asciiTheme="majorEastAsia" w:hAnsiTheme="majorEastAsia" w:eastAsiaTheme="majorEastAsia" w:cstheme="majorEastAsia"/>
                <w:color w:val="auto"/>
                <w:kern w:val="0"/>
                <w:sz w:val="20"/>
                <w:szCs w:val="20"/>
                <w:highlight w:val="none"/>
                <w:lang w:val="en-US" w:eastAsia="zh-CN"/>
              </w:rPr>
              <w:t>接受</w:t>
            </w:r>
            <w:r>
              <w:rPr>
                <w:rFonts w:hint="eastAsia" w:asciiTheme="majorEastAsia" w:hAnsiTheme="majorEastAsia" w:eastAsiaTheme="majorEastAsia" w:cstheme="majorEastAsia"/>
                <w:color w:val="auto"/>
                <w:kern w:val="0"/>
                <w:sz w:val="20"/>
                <w:szCs w:val="20"/>
                <w:highlight w:val="none"/>
              </w:rPr>
              <w:t>院方管理）</w:t>
            </w:r>
          </w:p>
        </w:tc>
        <w:tc>
          <w:tcPr>
            <w:tcW w:w="1385" w:type="pct"/>
            <w:tcBorders>
              <w:top w:val="nil"/>
              <w:left w:val="nil"/>
              <w:bottom w:val="single" w:color="auto" w:sz="4" w:space="0"/>
              <w:right w:val="single" w:color="auto" w:sz="4" w:space="0"/>
            </w:tcBorders>
            <w:shd w:val="clear" w:color="000000" w:fill="FFFFFF"/>
            <w:noWrap/>
            <w:vAlign w:val="center"/>
          </w:tcPr>
          <w:p w14:paraId="36DA8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vAlign w:val="center"/>
          </w:tcPr>
          <w:p w14:paraId="04A460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lang w:eastAsia="zh-CN"/>
              </w:rPr>
            </w:pPr>
            <w:r>
              <w:rPr>
                <w:rFonts w:hint="eastAsia" w:asciiTheme="majorEastAsia" w:hAnsiTheme="majorEastAsia" w:eastAsiaTheme="majorEastAsia" w:cstheme="majorEastAsia"/>
                <w:color w:val="auto"/>
                <w:kern w:val="0"/>
                <w:sz w:val="20"/>
                <w:szCs w:val="20"/>
                <w:highlight w:val="none"/>
                <w:lang w:val="en-US" w:eastAsia="zh-CN" w:bidi="ar-SA"/>
              </w:rPr>
              <w:t>1、</w:t>
            </w:r>
            <w:r>
              <w:rPr>
                <w:rFonts w:hint="eastAsia" w:asciiTheme="majorEastAsia" w:hAnsiTheme="majorEastAsia" w:eastAsiaTheme="majorEastAsia" w:cstheme="majorEastAsia"/>
                <w:color w:val="auto"/>
                <w:kern w:val="0"/>
                <w:sz w:val="20"/>
                <w:szCs w:val="20"/>
                <w:highlight w:val="none"/>
              </w:rPr>
              <w:t>负责医院和公司双方工作协调对接；完成医院交办的工作任务；</w:t>
            </w:r>
            <w:r>
              <w:rPr>
                <w:rFonts w:hint="eastAsia" w:asciiTheme="majorEastAsia" w:hAnsiTheme="majorEastAsia" w:eastAsiaTheme="majorEastAsia" w:cstheme="majorEastAsia"/>
                <w:color w:val="auto"/>
                <w:kern w:val="0"/>
                <w:sz w:val="20"/>
                <w:szCs w:val="20"/>
                <w:highlight w:val="none"/>
              </w:rPr>
              <w:br w:type="textWrapping"/>
            </w:r>
            <w:r>
              <w:rPr>
                <w:rFonts w:hint="eastAsia" w:asciiTheme="majorEastAsia" w:hAnsiTheme="majorEastAsia" w:eastAsiaTheme="majorEastAsia" w:cstheme="majorEastAsia"/>
                <w:color w:val="auto"/>
                <w:kern w:val="0"/>
                <w:sz w:val="20"/>
                <w:szCs w:val="20"/>
                <w:highlight w:val="none"/>
              </w:rPr>
              <w:t>2、负责院区工作统筹，主管、主厨的培训管理，人员招聘、工资福利等</w:t>
            </w:r>
            <w:r>
              <w:rPr>
                <w:rFonts w:hint="eastAsia" w:asciiTheme="majorEastAsia" w:hAnsiTheme="majorEastAsia" w:eastAsiaTheme="majorEastAsia" w:cstheme="majorEastAsia"/>
                <w:color w:val="auto"/>
                <w:kern w:val="0"/>
                <w:sz w:val="20"/>
                <w:szCs w:val="20"/>
                <w:highlight w:val="none"/>
                <w:lang w:eastAsia="zh-CN"/>
              </w:rPr>
              <w:t>；</w:t>
            </w:r>
          </w:p>
          <w:p w14:paraId="4F69EB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3、配合医院三甲管理工作，大型会议等用餐协调。</w:t>
            </w:r>
          </w:p>
        </w:tc>
      </w:tr>
      <w:tr w14:paraId="20D54944">
        <w:tblPrEx>
          <w:tblCellMar>
            <w:top w:w="0" w:type="dxa"/>
            <w:left w:w="108" w:type="dxa"/>
            <w:bottom w:w="0" w:type="dxa"/>
            <w:right w:w="108" w:type="dxa"/>
          </w:tblCellMar>
        </w:tblPrEx>
        <w:trPr>
          <w:trHeight w:val="90"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7BBF7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1EA11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2</w:t>
            </w:r>
          </w:p>
        </w:tc>
        <w:tc>
          <w:tcPr>
            <w:tcW w:w="804" w:type="pct"/>
            <w:tcBorders>
              <w:top w:val="nil"/>
              <w:left w:val="nil"/>
              <w:bottom w:val="single" w:color="auto" w:sz="4" w:space="0"/>
              <w:right w:val="single" w:color="auto" w:sz="4" w:space="0"/>
            </w:tcBorders>
            <w:shd w:val="clear" w:color="000000" w:fill="FFFFFF"/>
            <w:noWrap/>
            <w:vAlign w:val="center"/>
          </w:tcPr>
          <w:p w14:paraId="1222D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营养室班长（院方直接管理）</w:t>
            </w:r>
          </w:p>
        </w:tc>
        <w:tc>
          <w:tcPr>
            <w:tcW w:w="1385" w:type="pct"/>
            <w:tcBorders>
              <w:top w:val="nil"/>
              <w:left w:val="nil"/>
              <w:bottom w:val="single" w:color="auto" w:sz="4" w:space="0"/>
              <w:right w:val="single" w:color="auto" w:sz="4" w:space="0"/>
            </w:tcBorders>
            <w:shd w:val="clear" w:color="000000" w:fill="FFFFFF"/>
            <w:noWrap/>
            <w:vAlign w:val="center"/>
          </w:tcPr>
          <w:p w14:paraId="4BD50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vAlign w:val="center"/>
          </w:tcPr>
          <w:p w14:paraId="15484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1.负责院区营养</w:t>
            </w:r>
            <w:r>
              <w:rPr>
                <w:rFonts w:hint="eastAsia" w:asciiTheme="majorEastAsia" w:hAnsiTheme="majorEastAsia" w:eastAsiaTheme="majorEastAsia" w:cstheme="majorEastAsia"/>
                <w:color w:val="auto"/>
                <w:kern w:val="0"/>
                <w:sz w:val="20"/>
                <w:szCs w:val="20"/>
                <w:highlight w:val="none"/>
                <w:lang w:val="en-US" w:eastAsia="zh-CN"/>
              </w:rPr>
              <w:t>膳食</w:t>
            </w:r>
            <w:r>
              <w:rPr>
                <w:rFonts w:hint="eastAsia" w:asciiTheme="majorEastAsia" w:hAnsiTheme="majorEastAsia" w:eastAsiaTheme="majorEastAsia" w:cstheme="majorEastAsia"/>
                <w:color w:val="auto"/>
                <w:kern w:val="0"/>
                <w:sz w:val="20"/>
                <w:szCs w:val="20"/>
                <w:highlight w:val="none"/>
              </w:rPr>
              <w:t>全面管理工作</w:t>
            </w:r>
            <w:r>
              <w:rPr>
                <w:rFonts w:hint="eastAsia" w:asciiTheme="majorEastAsia" w:hAnsiTheme="majorEastAsia" w:eastAsiaTheme="majorEastAsia" w:cstheme="majorEastAsia"/>
                <w:color w:val="auto"/>
                <w:kern w:val="0"/>
                <w:sz w:val="20"/>
                <w:szCs w:val="20"/>
                <w:highlight w:val="none"/>
                <w:lang w:eastAsia="zh-CN"/>
              </w:rPr>
              <w:t>，</w:t>
            </w:r>
            <w:r>
              <w:rPr>
                <w:rFonts w:hint="eastAsia" w:asciiTheme="majorEastAsia" w:hAnsiTheme="majorEastAsia" w:eastAsiaTheme="majorEastAsia" w:cstheme="majorEastAsia"/>
                <w:color w:val="auto"/>
                <w:kern w:val="0"/>
                <w:sz w:val="20"/>
                <w:szCs w:val="20"/>
                <w:highlight w:val="none"/>
                <w:lang w:val="en-US" w:eastAsia="zh-CN"/>
              </w:rPr>
              <w:t>配合肠内营养配剂室的相关工作。</w:t>
            </w:r>
          </w:p>
        </w:tc>
      </w:tr>
      <w:tr w14:paraId="3895990A">
        <w:tblPrEx>
          <w:tblCellMar>
            <w:top w:w="0" w:type="dxa"/>
            <w:left w:w="108" w:type="dxa"/>
            <w:bottom w:w="0" w:type="dxa"/>
            <w:right w:w="108" w:type="dxa"/>
          </w:tblCellMar>
        </w:tblPrEx>
        <w:trPr>
          <w:trHeight w:val="90"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2CEB9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19BA1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3</w:t>
            </w:r>
          </w:p>
        </w:tc>
        <w:tc>
          <w:tcPr>
            <w:tcW w:w="804" w:type="pct"/>
            <w:tcBorders>
              <w:top w:val="nil"/>
              <w:left w:val="nil"/>
              <w:bottom w:val="single" w:color="auto" w:sz="4" w:space="0"/>
              <w:right w:val="single" w:color="auto" w:sz="4" w:space="0"/>
            </w:tcBorders>
            <w:shd w:val="clear" w:color="000000" w:fill="FFFFFF"/>
            <w:noWrap/>
            <w:vAlign w:val="center"/>
          </w:tcPr>
          <w:p w14:paraId="78E36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主管</w:t>
            </w:r>
          </w:p>
        </w:tc>
        <w:tc>
          <w:tcPr>
            <w:tcW w:w="1385" w:type="pct"/>
            <w:tcBorders>
              <w:top w:val="nil"/>
              <w:left w:val="nil"/>
              <w:bottom w:val="single" w:color="auto" w:sz="4" w:space="0"/>
              <w:right w:val="single" w:color="auto" w:sz="4" w:space="0"/>
            </w:tcBorders>
            <w:shd w:val="clear" w:color="000000" w:fill="FFFFFF"/>
            <w:noWrap/>
            <w:vAlign w:val="center"/>
          </w:tcPr>
          <w:p w14:paraId="043BA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eastAsia="zh-CN"/>
              </w:rPr>
            </w:pPr>
            <w:r>
              <w:rPr>
                <w:rFonts w:hint="eastAsia" w:asciiTheme="majorEastAsia" w:hAnsiTheme="majorEastAsia" w:eastAsiaTheme="majorEastAsia" w:cstheme="majorEastAsia"/>
                <w:color w:val="auto"/>
                <w:kern w:val="0"/>
                <w:sz w:val="20"/>
                <w:szCs w:val="20"/>
                <w:highlight w:val="none"/>
              </w:rPr>
              <w:t>≥</w:t>
            </w:r>
            <w:r>
              <w:rPr>
                <w:rFonts w:hint="eastAsia" w:asciiTheme="majorEastAsia" w:hAnsiTheme="majorEastAsia" w:eastAsiaTheme="majorEastAsia" w:cstheme="majorEastAsia"/>
                <w:color w:val="auto"/>
                <w:kern w:val="0"/>
                <w:sz w:val="20"/>
                <w:szCs w:val="20"/>
                <w:highlight w:val="none"/>
                <w:lang w:val="en-US" w:eastAsia="zh-CN"/>
              </w:rPr>
              <w:t>2</w:t>
            </w:r>
          </w:p>
        </w:tc>
        <w:tc>
          <w:tcPr>
            <w:tcW w:w="1878" w:type="pct"/>
            <w:tcBorders>
              <w:top w:val="nil"/>
              <w:left w:val="nil"/>
              <w:bottom w:val="single" w:color="auto" w:sz="4" w:space="0"/>
              <w:right w:val="single" w:color="auto" w:sz="4" w:space="0"/>
            </w:tcBorders>
            <w:shd w:val="clear" w:color="000000" w:fill="FFFFFF"/>
            <w:vAlign w:val="center"/>
          </w:tcPr>
          <w:p w14:paraId="0E3F858E">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负责院区现场工作统筹安排、执行及员工的管理和培训；完成所在院区交办的各项工作任务；                                                  2、负责员工考勤和结算、 人员调配，完成应急任务，做好生产安全和服务满意度。</w:t>
            </w:r>
          </w:p>
          <w:p w14:paraId="08BA50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lang w:val="en-US" w:eastAsia="zh-CN"/>
              </w:rPr>
              <w:t>3、患者食堂1名、职工食堂1名。</w:t>
            </w:r>
          </w:p>
        </w:tc>
      </w:tr>
      <w:tr w14:paraId="4726AE09">
        <w:tblPrEx>
          <w:tblCellMar>
            <w:top w:w="0" w:type="dxa"/>
            <w:left w:w="108" w:type="dxa"/>
            <w:bottom w:w="0" w:type="dxa"/>
            <w:right w:w="108" w:type="dxa"/>
          </w:tblCellMar>
        </w:tblPrEx>
        <w:trPr>
          <w:trHeight w:val="1828"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3929D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04EBE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4</w:t>
            </w:r>
          </w:p>
        </w:tc>
        <w:tc>
          <w:tcPr>
            <w:tcW w:w="804" w:type="pct"/>
            <w:tcBorders>
              <w:top w:val="nil"/>
              <w:left w:val="nil"/>
              <w:bottom w:val="single" w:color="auto" w:sz="4" w:space="0"/>
              <w:right w:val="single" w:color="auto" w:sz="4" w:space="0"/>
            </w:tcBorders>
            <w:shd w:val="clear" w:color="000000" w:fill="FFFFFF"/>
            <w:noWrap/>
            <w:vAlign w:val="center"/>
          </w:tcPr>
          <w:p w14:paraId="19710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主厨</w:t>
            </w:r>
            <w:r>
              <w:rPr>
                <w:rFonts w:hint="eastAsia" w:asciiTheme="majorEastAsia" w:hAnsiTheme="majorEastAsia" w:eastAsiaTheme="majorEastAsia" w:cstheme="majorEastAsia"/>
                <w:b w:val="0"/>
                <w:bCs w:val="0"/>
                <w:color w:val="auto"/>
                <w:kern w:val="0"/>
                <w:sz w:val="20"/>
                <w:szCs w:val="20"/>
                <w:highlight w:val="none"/>
              </w:rPr>
              <w:t>（厨师长）</w:t>
            </w:r>
          </w:p>
        </w:tc>
        <w:tc>
          <w:tcPr>
            <w:tcW w:w="1385" w:type="pct"/>
            <w:tcBorders>
              <w:top w:val="nil"/>
              <w:left w:val="nil"/>
              <w:bottom w:val="single" w:color="auto" w:sz="4" w:space="0"/>
              <w:right w:val="single" w:color="auto" w:sz="4" w:space="0"/>
            </w:tcBorders>
            <w:shd w:val="clear" w:color="000000" w:fill="FFFFFF"/>
            <w:noWrap/>
            <w:vAlign w:val="center"/>
          </w:tcPr>
          <w:p w14:paraId="19123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eastAsia="zh-CN"/>
              </w:rPr>
            </w:pPr>
            <w:r>
              <w:rPr>
                <w:rFonts w:hint="eastAsia" w:asciiTheme="majorEastAsia" w:hAnsiTheme="majorEastAsia" w:eastAsiaTheme="majorEastAsia" w:cstheme="majorEastAsia"/>
                <w:color w:val="auto"/>
                <w:kern w:val="0"/>
                <w:sz w:val="20"/>
                <w:szCs w:val="20"/>
                <w:highlight w:val="none"/>
              </w:rPr>
              <w:t>≥</w:t>
            </w:r>
            <w:r>
              <w:rPr>
                <w:rFonts w:hint="eastAsia" w:asciiTheme="majorEastAsia" w:hAnsiTheme="majorEastAsia" w:eastAsiaTheme="majorEastAsia" w:cstheme="majorEastAsia"/>
                <w:color w:val="auto"/>
                <w:kern w:val="0"/>
                <w:sz w:val="20"/>
                <w:szCs w:val="20"/>
                <w:highlight w:val="none"/>
                <w:lang w:val="en-US" w:eastAsia="zh-CN"/>
              </w:rPr>
              <w:t>2</w:t>
            </w:r>
          </w:p>
        </w:tc>
        <w:tc>
          <w:tcPr>
            <w:tcW w:w="1878" w:type="pct"/>
            <w:tcBorders>
              <w:top w:val="nil"/>
              <w:left w:val="nil"/>
              <w:bottom w:val="single" w:color="auto" w:sz="4" w:space="0"/>
              <w:right w:val="single" w:color="auto" w:sz="4" w:space="0"/>
            </w:tcBorders>
            <w:shd w:val="clear" w:color="000000" w:fill="FFFFFF"/>
            <w:vAlign w:val="top"/>
          </w:tcPr>
          <w:p w14:paraId="19F40203">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负责所在院区营养室厨房工作统筹、厨师的工作调配；                                 2、负责菜品出品质量、菜单制作、成本管控、技术培训、执行厨部工作标准等的培训；</w:t>
            </w:r>
          </w:p>
          <w:p w14:paraId="6B90EE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lang w:val="en-US" w:eastAsia="zh-CN"/>
              </w:rPr>
              <w:t>3、患者食堂1名、职工食堂1名。</w:t>
            </w:r>
          </w:p>
        </w:tc>
      </w:tr>
      <w:tr w14:paraId="3FBB8A17">
        <w:tblPrEx>
          <w:tblCellMar>
            <w:top w:w="0" w:type="dxa"/>
            <w:left w:w="108" w:type="dxa"/>
            <w:bottom w:w="0" w:type="dxa"/>
            <w:right w:w="108" w:type="dxa"/>
          </w:tblCellMar>
        </w:tblPrEx>
        <w:trPr>
          <w:trHeight w:val="988"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6CF622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0C4A7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5</w:t>
            </w:r>
          </w:p>
        </w:tc>
        <w:tc>
          <w:tcPr>
            <w:tcW w:w="804" w:type="pct"/>
            <w:tcBorders>
              <w:top w:val="nil"/>
              <w:left w:val="nil"/>
              <w:bottom w:val="single" w:color="auto" w:sz="4" w:space="0"/>
              <w:right w:val="single" w:color="auto" w:sz="4" w:space="0"/>
            </w:tcBorders>
            <w:shd w:val="clear" w:color="000000" w:fill="FFFFFF"/>
            <w:noWrap/>
            <w:vAlign w:val="center"/>
          </w:tcPr>
          <w:p w14:paraId="13E57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班长（楼面）</w:t>
            </w:r>
          </w:p>
        </w:tc>
        <w:tc>
          <w:tcPr>
            <w:tcW w:w="1385" w:type="pct"/>
            <w:tcBorders>
              <w:top w:val="nil"/>
              <w:left w:val="nil"/>
              <w:bottom w:val="single" w:color="auto" w:sz="4" w:space="0"/>
              <w:right w:val="single" w:color="auto" w:sz="4" w:space="0"/>
            </w:tcBorders>
            <w:shd w:val="clear" w:color="000000" w:fill="FFFFFF"/>
            <w:noWrap/>
            <w:vAlign w:val="center"/>
          </w:tcPr>
          <w:p w14:paraId="740F4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eastAsia="zh-CN"/>
              </w:rPr>
            </w:pPr>
            <w:r>
              <w:rPr>
                <w:rFonts w:hint="eastAsia" w:asciiTheme="majorEastAsia" w:hAnsiTheme="majorEastAsia" w:eastAsiaTheme="majorEastAsia" w:cstheme="majorEastAsia"/>
                <w:color w:val="auto"/>
                <w:kern w:val="0"/>
                <w:sz w:val="20"/>
                <w:szCs w:val="20"/>
                <w:highlight w:val="none"/>
              </w:rPr>
              <w:t>≥</w:t>
            </w:r>
            <w:r>
              <w:rPr>
                <w:rFonts w:hint="eastAsia" w:asciiTheme="majorEastAsia" w:hAnsiTheme="majorEastAsia" w:eastAsiaTheme="majorEastAsia" w:cstheme="majorEastAsia"/>
                <w:color w:val="auto"/>
                <w:kern w:val="0"/>
                <w:sz w:val="20"/>
                <w:szCs w:val="20"/>
                <w:highlight w:val="none"/>
                <w:lang w:val="en-US" w:eastAsia="zh-CN"/>
              </w:rPr>
              <w:t>2</w:t>
            </w:r>
          </w:p>
        </w:tc>
        <w:tc>
          <w:tcPr>
            <w:tcW w:w="1878" w:type="pct"/>
            <w:tcBorders>
              <w:top w:val="nil"/>
              <w:left w:val="nil"/>
              <w:bottom w:val="single" w:color="auto" w:sz="4" w:space="0"/>
              <w:right w:val="single" w:color="auto" w:sz="4" w:space="0"/>
            </w:tcBorders>
            <w:shd w:val="clear" w:color="000000" w:fill="FFFFFF"/>
            <w:vAlign w:val="center"/>
          </w:tcPr>
          <w:p w14:paraId="79B7C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1.配合完成主管交办的各项工作任务；                                2.负责人员调配，做好服务满意度等工作。</w:t>
            </w:r>
          </w:p>
        </w:tc>
      </w:tr>
      <w:tr w14:paraId="5F10702C">
        <w:tblPrEx>
          <w:tblCellMar>
            <w:top w:w="0" w:type="dxa"/>
            <w:left w:w="108" w:type="dxa"/>
            <w:bottom w:w="0" w:type="dxa"/>
            <w:right w:w="108" w:type="dxa"/>
          </w:tblCellMar>
        </w:tblPrEx>
        <w:trPr>
          <w:trHeight w:val="90"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41EF5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7BE5B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6</w:t>
            </w:r>
          </w:p>
        </w:tc>
        <w:tc>
          <w:tcPr>
            <w:tcW w:w="804" w:type="pct"/>
            <w:tcBorders>
              <w:top w:val="nil"/>
              <w:left w:val="nil"/>
              <w:bottom w:val="single" w:color="auto" w:sz="4" w:space="0"/>
              <w:right w:val="single" w:color="auto" w:sz="4" w:space="0"/>
            </w:tcBorders>
            <w:shd w:val="clear" w:color="000000" w:fill="FFFFFF"/>
            <w:noWrap/>
            <w:vAlign w:val="center"/>
          </w:tcPr>
          <w:p w14:paraId="6186B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食安员(兼</w:t>
            </w:r>
            <w:r>
              <w:rPr>
                <w:rFonts w:hint="eastAsia" w:asciiTheme="majorEastAsia" w:hAnsiTheme="majorEastAsia" w:eastAsiaTheme="majorEastAsia" w:cstheme="majorEastAsia"/>
                <w:color w:val="auto"/>
                <w:kern w:val="0"/>
                <w:sz w:val="20"/>
                <w:szCs w:val="20"/>
                <w:highlight w:val="none"/>
                <w:lang w:val="en-US" w:eastAsia="zh-CN"/>
              </w:rPr>
              <w:t>留样冰箱管理员</w:t>
            </w:r>
            <w:r>
              <w:rPr>
                <w:rFonts w:hint="eastAsia" w:asciiTheme="majorEastAsia" w:hAnsiTheme="majorEastAsia" w:eastAsiaTheme="majorEastAsia" w:cstheme="majorEastAsia"/>
                <w:color w:val="auto"/>
                <w:kern w:val="0"/>
                <w:sz w:val="20"/>
                <w:szCs w:val="20"/>
                <w:highlight w:val="none"/>
              </w:rPr>
              <w:t>）</w:t>
            </w:r>
          </w:p>
        </w:tc>
        <w:tc>
          <w:tcPr>
            <w:tcW w:w="1385" w:type="pct"/>
            <w:tcBorders>
              <w:top w:val="nil"/>
              <w:left w:val="nil"/>
              <w:bottom w:val="single" w:color="auto" w:sz="4" w:space="0"/>
              <w:right w:val="single" w:color="auto" w:sz="4" w:space="0"/>
            </w:tcBorders>
            <w:shd w:val="clear" w:color="000000" w:fill="FFFFFF"/>
            <w:noWrap/>
            <w:vAlign w:val="center"/>
          </w:tcPr>
          <w:p w14:paraId="10D32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vAlign w:val="center"/>
          </w:tcPr>
          <w:p w14:paraId="57D04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1、负责本院区食品安全工作监督管理，安全台帐完善及监督管理；</w:t>
            </w:r>
            <w:r>
              <w:rPr>
                <w:rFonts w:hint="eastAsia" w:asciiTheme="majorEastAsia" w:hAnsiTheme="majorEastAsia" w:eastAsiaTheme="majorEastAsia" w:cstheme="majorEastAsia"/>
                <w:color w:val="auto"/>
                <w:kern w:val="0"/>
                <w:sz w:val="20"/>
                <w:szCs w:val="20"/>
                <w:highlight w:val="none"/>
              </w:rPr>
              <w:br w:type="textWrapping"/>
            </w:r>
            <w:r>
              <w:rPr>
                <w:rFonts w:hint="eastAsia" w:asciiTheme="majorEastAsia" w:hAnsiTheme="majorEastAsia" w:eastAsiaTheme="majorEastAsia" w:cstheme="majorEastAsia"/>
                <w:color w:val="auto"/>
                <w:kern w:val="0"/>
                <w:sz w:val="20"/>
                <w:szCs w:val="20"/>
                <w:highlight w:val="none"/>
              </w:rPr>
              <w:t>2、营养室各操作版块流程的监督管理，及员工操作过程中的规范培训。</w:t>
            </w:r>
          </w:p>
        </w:tc>
      </w:tr>
      <w:tr w14:paraId="29577FFF">
        <w:tblPrEx>
          <w:tblCellMar>
            <w:top w:w="0" w:type="dxa"/>
            <w:left w:w="108" w:type="dxa"/>
            <w:bottom w:w="0" w:type="dxa"/>
            <w:right w:w="108" w:type="dxa"/>
          </w:tblCellMar>
        </w:tblPrEx>
        <w:trPr>
          <w:trHeight w:val="727"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05BBE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0B5C1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7</w:t>
            </w:r>
          </w:p>
        </w:tc>
        <w:tc>
          <w:tcPr>
            <w:tcW w:w="804" w:type="pct"/>
            <w:tcBorders>
              <w:top w:val="nil"/>
              <w:left w:val="nil"/>
              <w:bottom w:val="single" w:color="auto" w:sz="4" w:space="0"/>
              <w:right w:val="single" w:color="auto" w:sz="4" w:space="0"/>
            </w:tcBorders>
            <w:shd w:val="clear" w:color="000000" w:fill="FFFFFF"/>
            <w:noWrap/>
            <w:vAlign w:val="center"/>
          </w:tcPr>
          <w:p w14:paraId="6ACFF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仓管(院方直接管理）</w:t>
            </w:r>
          </w:p>
        </w:tc>
        <w:tc>
          <w:tcPr>
            <w:tcW w:w="1385" w:type="pct"/>
            <w:tcBorders>
              <w:top w:val="nil"/>
              <w:left w:val="nil"/>
              <w:bottom w:val="single" w:color="auto" w:sz="4" w:space="0"/>
              <w:right w:val="single" w:color="auto" w:sz="4" w:space="0"/>
            </w:tcBorders>
            <w:shd w:val="clear" w:color="000000" w:fill="FFFFFF"/>
            <w:noWrap/>
            <w:vAlign w:val="center"/>
          </w:tcPr>
          <w:p w14:paraId="43D02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vAlign w:val="center"/>
          </w:tcPr>
          <w:p w14:paraId="0601B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负责营养室仓库管理，食材验收入库、出库登记、台帐记录，做到三帐统一。</w:t>
            </w:r>
          </w:p>
        </w:tc>
      </w:tr>
      <w:tr w14:paraId="0FD47FC7">
        <w:tblPrEx>
          <w:tblCellMar>
            <w:top w:w="0" w:type="dxa"/>
            <w:left w:w="108" w:type="dxa"/>
            <w:bottom w:w="0" w:type="dxa"/>
            <w:right w:w="108" w:type="dxa"/>
          </w:tblCellMar>
        </w:tblPrEx>
        <w:trPr>
          <w:trHeight w:val="681"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51FBF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5CB41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8</w:t>
            </w:r>
          </w:p>
        </w:tc>
        <w:tc>
          <w:tcPr>
            <w:tcW w:w="804" w:type="pct"/>
            <w:tcBorders>
              <w:top w:val="nil"/>
              <w:left w:val="nil"/>
              <w:bottom w:val="single" w:color="auto" w:sz="4" w:space="0"/>
              <w:right w:val="single" w:color="auto" w:sz="4" w:space="0"/>
            </w:tcBorders>
            <w:shd w:val="clear" w:color="000000" w:fill="FFFFFF"/>
            <w:noWrap/>
            <w:vAlign w:val="center"/>
          </w:tcPr>
          <w:p w14:paraId="09277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财务人员</w:t>
            </w:r>
          </w:p>
        </w:tc>
        <w:tc>
          <w:tcPr>
            <w:tcW w:w="1385" w:type="pct"/>
            <w:tcBorders>
              <w:top w:val="nil"/>
              <w:left w:val="nil"/>
              <w:bottom w:val="single" w:color="auto" w:sz="4" w:space="0"/>
              <w:right w:val="single" w:color="auto" w:sz="4" w:space="0"/>
            </w:tcBorders>
            <w:shd w:val="clear" w:color="000000" w:fill="FFFFFF"/>
            <w:noWrap/>
            <w:vAlign w:val="center"/>
          </w:tcPr>
          <w:p w14:paraId="67F973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noWrap/>
            <w:vAlign w:val="center"/>
          </w:tcPr>
          <w:p w14:paraId="34C40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负责医院营养室相关财务工作、就餐卡充值、资金结算工作等。</w:t>
            </w:r>
          </w:p>
        </w:tc>
      </w:tr>
      <w:tr w14:paraId="648711AD">
        <w:tblPrEx>
          <w:tblCellMar>
            <w:top w:w="0" w:type="dxa"/>
            <w:left w:w="108" w:type="dxa"/>
            <w:bottom w:w="0" w:type="dxa"/>
            <w:right w:w="108" w:type="dxa"/>
          </w:tblCellMar>
        </w:tblPrEx>
        <w:trPr>
          <w:trHeight w:val="792"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40353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293F8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9</w:t>
            </w:r>
          </w:p>
        </w:tc>
        <w:tc>
          <w:tcPr>
            <w:tcW w:w="804" w:type="pct"/>
            <w:tcBorders>
              <w:top w:val="nil"/>
              <w:left w:val="nil"/>
              <w:bottom w:val="single" w:color="auto" w:sz="4" w:space="0"/>
              <w:right w:val="single" w:color="auto" w:sz="4" w:space="0"/>
            </w:tcBorders>
            <w:shd w:val="clear" w:color="000000" w:fill="FFFFFF"/>
            <w:noWrap/>
            <w:vAlign w:val="center"/>
          </w:tcPr>
          <w:p w14:paraId="04704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厨师</w:t>
            </w:r>
          </w:p>
        </w:tc>
        <w:tc>
          <w:tcPr>
            <w:tcW w:w="1385" w:type="pct"/>
            <w:tcBorders>
              <w:top w:val="nil"/>
              <w:left w:val="nil"/>
              <w:bottom w:val="single" w:color="auto" w:sz="4" w:space="0"/>
              <w:right w:val="single" w:color="auto" w:sz="4" w:space="0"/>
            </w:tcBorders>
            <w:shd w:val="clear" w:color="000000" w:fill="FFFFFF"/>
            <w:noWrap/>
            <w:vAlign w:val="center"/>
          </w:tcPr>
          <w:p w14:paraId="118FE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≥9</w:t>
            </w:r>
          </w:p>
        </w:tc>
        <w:tc>
          <w:tcPr>
            <w:tcW w:w="1878" w:type="pct"/>
            <w:tcBorders>
              <w:top w:val="nil"/>
              <w:left w:val="nil"/>
              <w:bottom w:val="single" w:color="auto" w:sz="4" w:space="0"/>
              <w:right w:val="single" w:color="auto" w:sz="4" w:space="0"/>
            </w:tcBorders>
            <w:shd w:val="clear" w:color="000000" w:fill="FFFFFF"/>
            <w:vAlign w:val="center"/>
          </w:tcPr>
          <w:p w14:paraId="2E527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负责餐品烹饪、本区域工作卫生清洁及执行厨部工作标准；</w:t>
            </w:r>
          </w:p>
        </w:tc>
      </w:tr>
      <w:tr w14:paraId="40C48821">
        <w:tblPrEx>
          <w:tblCellMar>
            <w:top w:w="0" w:type="dxa"/>
            <w:left w:w="108" w:type="dxa"/>
            <w:bottom w:w="0" w:type="dxa"/>
            <w:right w:w="108" w:type="dxa"/>
          </w:tblCellMar>
        </w:tblPrEx>
        <w:trPr>
          <w:trHeight w:val="1181"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179B2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50566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10</w:t>
            </w:r>
          </w:p>
        </w:tc>
        <w:tc>
          <w:tcPr>
            <w:tcW w:w="804" w:type="pct"/>
            <w:tcBorders>
              <w:top w:val="nil"/>
              <w:left w:val="nil"/>
              <w:bottom w:val="single" w:color="auto" w:sz="4" w:space="0"/>
              <w:right w:val="single" w:color="auto" w:sz="4" w:space="0"/>
            </w:tcBorders>
            <w:shd w:val="clear" w:color="000000" w:fill="FFFFFF"/>
            <w:noWrap/>
            <w:vAlign w:val="center"/>
          </w:tcPr>
          <w:p w14:paraId="39D16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点心主管</w:t>
            </w:r>
          </w:p>
        </w:tc>
        <w:tc>
          <w:tcPr>
            <w:tcW w:w="1385" w:type="pct"/>
            <w:tcBorders>
              <w:top w:val="nil"/>
              <w:left w:val="nil"/>
              <w:bottom w:val="single" w:color="auto" w:sz="4" w:space="0"/>
              <w:right w:val="single" w:color="auto" w:sz="4" w:space="0"/>
            </w:tcBorders>
            <w:shd w:val="clear" w:color="000000" w:fill="FFFFFF"/>
            <w:noWrap/>
            <w:vAlign w:val="center"/>
          </w:tcPr>
          <w:p w14:paraId="3851D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vAlign w:val="center"/>
          </w:tcPr>
          <w:p w14:paraId="4549D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1、负责点心部工作的统筹安排，负责点心师的培训；</w:t>
            </w:r>
            <w:r>
              <w:rPr>
                <w:rFonts w:hint="eastAsia" w:asciiTheme="majorEastAsia" w:hAnsiTheme="majorEastAsia" w:eastAsiaTheme="majorEastAsia" w:cstheme="majorEastAsia"/>
                <w:color w:val="auto"/>
                <w:kern w:val="0"/>
                <w:sz w:val="20"/>
                <w:szCs w:val="20"/>
                <w:highlight w:val="none"/>
              </w:rPr>
              <w:br w:type="textWrapping"/>
            </w:r>
            <w:r>
              <w:rPr>
                <w:rFonts w:hint="eastAsia" w:asciiTheme="majorEastAsia" w:hAnsiTheme="majorEastAsia" w:eastAsiaTheme="majorEastAsia" w:cstheme="majorEastAsia"/>
                <w:color w:val="auto"/>
                <w:kern w:val="0"/>
                <w:sz w:val="20"/>
                <w:szCs w:val="20"/>
                <w:highlight w:val="none"/>
              </w:rPr>
              <w:t>2、点心部菜单制作及成本管控，技术培训、执行点心部工作标准；</w:t>
            </w:r>
          </w:p>
        </w:tc>
      </w:tr>
      <w:tr w14:paraId="3F02993B">
        <w:tblPrEx>
          <w:tblCellMar>
            <w:top w:w="0" w:type="dxa"/>
            <w:left w:w="108" w:type="dxa"/>
            <w:bottom w:w="0" w:type="dxa"/>
            <w:right w:w="108" w:type="dxa"/>
          </w:tblCellMar>
        </w:tblPrEx>
        <w:trPr>
          <w:trHeight w:val="687"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1D517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488B7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11</w:t>
            </w:r>
          </w:p>
        </w:tc>
        <w:tc>
          <w:tcPr>
            <w:tcW w:w="804" w:type="pct"/>
            <w:tcBorders>
              <w:top w:val="nil"/>
              <w:left w:val="nil"/>
              <w:bottom w:val="single" w:color="auto" w:sz="4" w:space="0"/>
              <w:right w:val="single" w:color="auto" w:sz="4" w:space="0"/>
            </w:tcBorders>
            <w:shd w:val="clear" w:color="000000" w:fill="FFFFFF"/>
            <w:noWrap/>
            <w:vAlign w:val="center"/>
          </w:tcPr>
          <w:p w14:paraId="1796C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点心师</w:t>
            </w:r>
          </w:p>
        </w:tc>
        <w:tc>
          <w:tcPr>
            <w:tcW w:w="1385" w:type="pct"/>
            <w:tcBorders>
              <w:top w:val="nil"/>
              <w:left w:val="nil"/>
              <w:bottom w:val="single" w:color="auto" w:sz="4" w:space="0"/>
              <w:right w:val="single" w:color="auto" w:sz="4" w:space="0"/>
            </w:tcBorders>
            <w:shd w:val="clear" w:color="000000" w:fill="FFFFFF"/>
            <w:noWrap/>
            <w:vAlign w:val="center"/>
          </w:tcPr>
          <w:p w14:paraId="6FAA1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≥6</w:t>
            </w:r>
          </w:p>
        </w:tc>
        <w:tc>
          <w:tcPr>
            <w:tcW w:w="1878" w:type="pct"/>
            <w:tcBorders>
              <w:top w:val="nil"/>
              <w:left w:val="nil"/>
              <w:bottom w:val="single" w:color="auto" w:sz="4" w:space="0"/>
              <w:right w:val="single" w:color="auto" w:sz="4" w:space="0"/>
            </w:tcBorders>
            <w:shd w:val="clear" w:color="000000" w:fill="FFFFFF"/>
            <w:vAlign w:val="center"/>
          </w:tcPr>
          <w:p w14:paraId="44887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负责点心部产品的制作、本区域工作卫生清洁，执行点心部工作标准；</w:t>
            </w:r>
          </w:p>
        </w:tc>
      </w:tr>
      <w:tr w14:paraId="51FC580A">
        <w:tblPrEx>
          <w:tblCellMar>
            <w:top w:w="0" w:type="dxa"/>
            <w:left w:w="108" w:type="dxa"/>
            <w:bottom w:w="0" w:type="dxa"/>
            <w:right w:w="108" w:type="dxa"/>
          </w:tblCellMar>
        </w:tblPrEx>
        <w:trPr>
          <w:trHeight w:val="1231"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4DE97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18A87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12</w:t>
            </w:r>
          </w:p>
        </w:tc>
        <w:tc>
          <w:tcPr>
            <w:tcW w:w="804" w:type="pct"/>
            <w:tcBorders>
              <w:top w:val="nil"/>
              <w:left w:val="nil"/>
              <w:bottom w:val="single" w:color="auto" w:sz="4" w:space="0"/>
              <w:right w:val="single" w:color="auto" w:sz="4" w:space="0"/>
            </w:tcBorders>
            <w:shd w:val="clear" w:color="000000" w:fill="FFFFFF"/>
            <w:noWrap/>
            <w:vAlign w:val="center"/>
          </w:tcPr>
          <w:p w14:paraId="00F52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厨工班长</w:t>
            </w:r>
          </w:p>
        </w:tc>
        <w:tc>
          <w:tcPr>
            <w:tcW w:w="1385" w:type="pct"/>
            <w:tcBorders>
              <w:top w:val="nil"/>
              <w:left w:val="nil"/>
              <w:bottom w:val="single" w:color="auto" w:sz="4" w:space="0"/>
              <w:right w:val="single" w:color="auto" w:sz="4" w:space="0"/>
            </w:tcBorders>
            <w:shd w:val="clear" w:color="000000" w:fill="FFFFFF"/>
            <w:noWrap/>
            <w:vAlign w:val="center"/>
          </w:tcPr>
          <w:p w14:paraId="48D84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≥2</w:t>
            </w:r>
          </w:p>
        </w:tc>
        <w:tc>
          <w:tcPr>
            <w:tcW w:w="1878" w:type="pct"/>
            <w:tcBorders>
              <w:top w:val="nil"/>
              <w:left w:val="nil"/>
              <w:bottom w:val="single" w:color="auto" w:sz="4" w:space="0"/>
              <w:right w:val="single" w:color="auto" w:sz="4" w:space="0"/>
            </w:tcBorders>
            <w:shd w:val="clear" w:color="000000" w:fill="FFFFFF"/>
            <w:vAlign w:val="top"/>
          </w:tcPr>
          <w:p w14:paraId="40AFD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1、负责统筹厨工组工作安排、人员调配、厨工培训；                                     2、完成对食材的清洗、切配，执行切配工作标准。</w:t>
            </w:r>
          </w:p>
        </w:tc>
      </w:tr>
      <w:tr w14:paraId="6798291F">
        <w:tblPrEx>
          <w:tblCellMar>
            <w:top w:w="0" w:type="dxa"/>
            <w:left w:w="108" w:type="dxa"/>
            <w:bottom w:w="0" w:type="dxa"/>
            <w:right w:w="108" w:type="dxa"/>
          </w:tblCellMar>
        </w:tblPrEx>
        <w:trPr>
          <w:trHeight w:val="90"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520EF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4C471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13</w:t>
            </w:r>
          </w:p>
        </w:tc>
        <w:tc>
          <w:tcPr>
            <w:tcW w:w="804" w:type="pct"/>
            <w:tcBorders>
              <w:top w:val="nil"/>
              <w:left w:val="nil"/>
              <w:bottom w:val="single" w:color="auto" w:sz="4" w:space="0"/>
              <w:right w:val="single" w:color="auto" w:sz="4" w:space="0"/>
            </w:tcBorders>
            <w:shd w:val="clear" w:color="000000" w:fill="FFFFFF"/>
            <w:noWrap/>
            <w:vAlign w:val="center"/>
          </w:tcPr>
          <w:p w14:paraId="0F215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厨工</w:t>
            </w:r>
          </w:p>
        </w:tc>
        <w:tc>
          <w:tcPr>
            <w:tcW w:w="1385" w:type="pct"/>
            <w:tcBorders>
              <w:top w:val="nil"/>
              <w:left w:val="nil"/>
              <w:bottom w:val="single" w:color="auto" w:sz="4" w:space="0"/>
              <w:right w:val="single" w:color="auto" w:sz="4" w:space="0"/>
            </w:tcBorders>
            <w:shd w:val="clear" w:color="000000" w:fill="FFFFFF"/>
            <w:vAlign w:val="center"/>
          </w:tcPr>
          <w:p w14:paraId="2E4C29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rPr>
              <w:t>≥</w:t>
            </w:r>
            <w:r>
              <w:rPr>
                <w:rFonts w:hint="eastAsia" w:asciiTheme="majorEastAsia" w:hAnsiTheme="majorEastAsia" w:eastAsiaTheme="majorEastAsia" w:cstheme="majorEastAsia"/>
                <w:color w:val="auto"/>
                <w:kern w:val="0"/>
                <w:sz w:val="20"/>
                <w:szCs w:val="20"/>
                <w:highlight w:val="none"/>
                <w:lang w:val="en-US" w:eastAsia="zh-CN"/>
              </w:rPr>
              <w:t>11</w:t>
            </w:r>
          </w:p>
        </w:tc>
        <w:tc>
          <w:tcPr>
            <w:tcW w:w="1878" w:type="pct"/>
            <w:tcBorders>
              <w:top w:val="nil"/>
              <w:left w:val="nil"/>
              <w:bottom w:val="single" w:color="auto" w:sz="4" w:space="0"/>
              <w:right w:val="single" w:color="auto" w:sz="4" w:space="0"/>
            </w:tcBorders>
            <w:shd w:val="clear" w:color="000000" w:fill="FFFFFF"/>
            <w:vAlign w:val="center"/>
          </w:tcPr>
          <w:p w14:paraId="1426B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1、负责对食材的清洗、切配，执行切配工作标准；                                        2、完成窗口售餐、配送餐、清洁、洗消的工作。</w:t>
            </w:r>
          </w:p>
        </w:tc>
      </w:tr>
      <w:tr w14:paraId="4609CD73">
        <w:tblPrEx>
          <w:tblCellMar>
            <w:top w:w="0" w:type="dxa"/>
            <w:left w:w="108" w:type="dxa"/>
            <w:bottom w:w="0" w:type="dxa"/>
            <w:right w:w="108" w:type="dxa"/>
          </w:tblCellMar>
        </w:tblPrEx>
        <w:trPr>
          <w:trHeight w:val="939"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463D1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23747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14</w:t>
            </w:r>
          </w:p>
        </w:tc>
        <w:tc>
          <w:tcPr>
            <w:tcW w:w="804" w:type="pct"/>
            <w:tcBorders>
              <w:top w:val="nil"/>
              <w:left w:val="nil"/>
              <w:bottom w:val="single" w:color="auto" w:sz="4" w:space="0"/>
              <w:right w:val="single" w:color="auto" w:sz="4" w:space="0"/>
            </w:tcBorders>
            <w:shd w:val="clear" w:color="000000" w:fill="FFFFFF"/>
            <w:noWrap/>
            <w:vAlign w:val="center"/>
          </w:tcPr>
          <w:p w14:paraId="3E561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配餐班长</w:t>
            </w:r>
          </w:p>
        </w:tc>
        <w:tc>
          <w:tcPr>
            <w:tcW w:w="1385" w:type="pct"/>
            <w:tcBorders>
              <w:top w:val="nil"/>
              <w:left w:val="nil"/>
              <w:bottom w:val="single" w:color="auto" w:sz="4" w:space="0"/>
              <w:right w:val="single" w:color="auto" w:sz="4" w:space="0"/>
            </w:tcBorders>
            <w:shd w:val="clear" w:color="000000" w:fill="FFFFFF"/>
            <w:noWrap/>
            <w:vAlign w:val="center"/>
          </w:tcPr>
          <w:p w14:paraId="05287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≥2</w:t>
            </w:r>
          </w:p>
        </w:tc>
        <w:tc>
          <w:tcPr>
            <w:tcW w:w="1878" w:type="pct"/>
            <w:tcBorders>
              <w:top w:val="nil"/>
              <w:left w:val="nil"/>
              <w:bottom w:val="single" w:color="auto" w:sz="4" w:space="0"/>
              <w:right w:val="single" w:color="auto" w:sz="4" w:space="0"/>
            </w:tcBorders>
            <w:shd w:val="clear" w:color="000000" w:fill="FFFFFF"/>
            <w:vAlign w:val="center"/>
          </w:tcPr>
          <w:p w14:paraId="6AE49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1、负责职工送餐组工作安排、排班、送餐员技能培训；                                        2、完成送配餐问题协调、处理及反馈。</w:t>
            </w:r>
          </w:p>
        </w:tc>
      </w:tr>
      <w:tr w14:paraId="73DC3213">
        <w:tblPrEx>
          <w:tblCellMar>
            <w:top w:w="0" w:type="dxa"/>
            <w:left w:w="108" w:type="dxa"/>
            <w:bottom w:w="0" w:type="dxa"/>
            <w:right w:w="108" w:type="dxa"/>
          </w:tblCellMar>
        </w:tblPrEx>
        <w:trPr>
          <w:trHeight w:val="776"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09999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3AFBB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15</w:t>
            </w:r>
          </w:p>
        </w:tc>
        <w:tc>
          <w:tcPr>
            <w:tcW w:w="804" w:type="pct"/>
            <w:tcBorders>
              <w:top w:val="nil"/>
              <w:left w:val="nil"/>
              <w:bottom w:val="single" w:color="auto" w:sz="4" w:space="0"/>
              <w:right w:val="single" w:color="auto" w:sz="4" w:space="0"/>
            </w:tcBorders>
            <w:shd w:val="clear" w:color="000000" w:fill="FFFFFF"/>
            <w:noWrap/>
            <w:vAlign w:val="center"/>
          </w:tcPr>
          <w:p w14:paraId="7C016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配餐员</w:t>
            </w:r>
          </w:p>
        </w:tc>
        <w:tc>
          <w:tcPr>
            <w:tcW w:w="1385" w:type="pct"/>
            <w:tcBorders>
              <w:top w:val="nil"/>
              <w:left w:val="nil"/>
              <w:bottom w:val="single" w:color="auto" w:sz="4" w:space="0"/>
              <w:right w:val="single" w:color="auto" w:sz="4" w:space="0"/>
            </w:tcBorders>
            <w:shd w:val="clear" w:color="000000" w:fill="FFFFFF"/>
            <w:noWrap/>
            <w:vAlign w:val="center"/>
          </w:tcPr>
          <w:p w14:paraId="61CDB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≥6</w:t>
            </w:r>
          </w:p>
        </w:tc>
        <w:tc>
          <w:tcPr>
            <w:tcW w:w="1878" w:type="pct"/>
            <w:tcBorders>
              <w:top w:val="nil"/>
              <w:left w:val="nil"/>
              <w:bottom w:val="single" w:color="auto" w:sz="4" w:space="0"/>
              <w:right w:val="single" w:color="auto" w:sz="4" w:space="0"/>
            </w:tcBorders>
            <w:shd w:val="clear" w:color="000000" w:fill="FFFFFF"/>
            <w:noWrap/>
            <w:vAlign w:val="center"/>
          </w:tcPr>
          <w:p w14:paraId="644B2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负责病人餐和职工餐配送工作，收集订餐信息，协调订餐问题。</w:t>
            </w:r>
          </w:p>
        </w:tc>
      </w:tr>
      <w:tr w14:paraId="4D725269">
        <w:tblPrEx>
          <w:tblCellMar>
            <w:top w:w="0" w:type="dxa"/>
            <w:left w:w="108" w:type="dxa"/>
            <w:bottom w:w="0" w:type="dxa"/>
            <w:right w:w="108" w:type="dxa"/>
          </w:tblCellMar>
        </w:tblPrEx>
        <w:trPr>
          <w:trHeight w:val="1257"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75AEC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6266D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r>
              <w:rPr>
                <w:rFonts w:hint="eastAsia" w:asciiTheme="majorEastAsia" w:hAnsiTheme="majorEastAsia" w:eastAsiaTheme="majorEastAsia" w:cstheme="majorEastAsia"/>
                <w:color w:val="auto"/>
                <w:kern w:val="0"/>
                <w:sz w:val="20"/>
                <w:szCs w:val="20"/>
                <w:highlight w:val="none"/>
                <w:lang w:eastAsia="zh-CN"/>
              </w:rPr>
              <w:t>6</w:t>
            </w:r>
          </w:p>
        </w:tc>
        <w:tc>
          <w:tcPr>
            <w:tcW w:w="804" w:type="pct"/>
            <w:tcBorders>
              <w:top w:val="nil"/>
              <w:left w:val="nil"/>
              <w:bottom w:val="single" w:color="auto" w:sz="4" w:space="0"/>
              <w:right w:val="single" w:color="auto" w:sz="4" w:space="0"/>
            </w:tcBorders>
            <w:shd w:val="clear" w:color="000000" w:fill="FFFFFF"/>
            <w:noWrap/>
            <w:vAlign w:val="center"/>
          </w:tcPr>
          <w:p w14:paraId="798B0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小餐厅接待餐厨师</w:t>
            </w:r>
          </w:p>
        </w:tc>
        <w:tc>
          <w:tcPr>
            <w:tcW w:w="1385" w:type="pct"/>
            <w:tcBorders>
              <w:top w:val="nil"/>
              <w:left w:val="nil"/>
              <w:bottom w:val="single" w:color="auto" w:sz="4" w:space="0"/>
              <w:right w:val="single" w:color="auto" w:sz="4" w:space="0"/>
            </w:tcBorders>
            <w:shd w:val="clear" w:color="000000" w:fill="FFFFFF"/>
            <w:noWrap/>
            <w:vAlign w:val="center"/>
          </w:tcPr>
          <w:p w14:paraId="6D8DB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≥3</w:t>
            </w:r>
          </w:p>
        </w:tc>
        <w:tc>
          <w:tcPr>
            <w:tcW w:w="1878" w:type="pct"/>
            <w:tcBorders>
              <w:top w:val="nil"/>
              <w:left w:val="nil"/>
              <w:bottom w:val="single" w:color="auto" w:sz="4" w:space="0"/>
              <w:right w:val="single" w:color="auto" w:sz="4" w:space="0"/>
            </w:tcBorders>
            <w:shd w:val="clear" w:color="000000" w:fill="FFFFFF"/>
            <w:vAlign w:val="center"/>
          </w:tcPr>
          <w:p w14:paraId="3476A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1、接待餐及工作餐的制作，执行本岗位工作标准；</w:t>
            </w:r>
            <w:r>
              <w:rPr>
                <w:rFonts w:hint="eastAsia" w:asciiTheme="majorEastAsia" w:hAnsiTheme="majorEastAsia" w:eastAsiaTheme="majorEastAsia" w:cstheme="majorEastAsia"/>
                <w:color w:val="auto"/>
                <w:kern w:val="0"/>
                <w:sz w:val="20"/>
                <w:szCs w:val="20"/>
                <w:highlight w:val="none"/>
              </w:rPr>
              <w:br w:type="textWrapping"/>
            </w:r>
            <w:r>
              <w:rPr>
                <w:rFonts w:hint="eastAsia" w:asciiTheme="majorEastAsia" w:hAnsiTheme="majorEastAsia" w:eastAsiaTheme="majorEastAsia" w:cstheme="majorEastAsia"/>
                <w:color w:val="auto"/>
                <w:kern w:val="0"/>
                <w:sz w:val="20"/>
                <w:szCs w:val="20"/>
                <w:highlight w:val="none"/>
              </w:rPr>
              <w:t>2、无接待餐任务时，负责中厨餐品的制作及中厨的其它工作。</w:t>
            </w:r>
          </w:p>
        </w:tc>
      </w:tr>
      <w:tr w14:paraId="34AEDE8E">
        <w:tblPrEx>
          <w:tblCellMar>
            <w:top w:w="0" w:type="dxa"/>
            <w:left w:w="108" w:type="dxa"/>
            <w:bottom w:w="0" w:type="dxa"/>
            <w:right w:w="108" w:type="dxa"/>
          </w:tblCellMar>
        </w:tblPrEx>
        <w:trPr>
          <w:trHeight w:val="649"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7A051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2A653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r>
              <w:rPr>
                <w:rFonts w:hint="eastAsia" w:asciiTheme="majorEastAsia" w:hAnsiTheme="majorEastAsia" w:eastAsiaTheme="majorEastAsia" w:cstheme="majorEastAsia"/>
                <w:color w:val="auto"/>
                <w:kern w:val="0"/>
                <w:sz w:val="20"/>
                <w:szCs w:val="20"/>
                <w:highlight w:val="none"/>
                <w:lang w:eastAsia="zh-CN"/>
              </w:rPr>
              <w:t>7</w:t>
            </w:r>
          </w:p>
        </w:tc>
        <w:tc>
          <w:tcPr>
            <w:tcW w:w="804" w:type="pct"/>
            <w:tcBorders>
              <w:top w:val="nil"/>
              <w:left w:val="nil"/>
              <w:bottom w:val="single" w:color="auto" w:sz="4" w:space="0"/>
              <w:right w:val="single" w:color="auto" w:sz="4" w:space="0"/>
            </w:tcBorders>
            <w:shd w:val="clear" w:color="000000" w:fill="FFFFFF"/>
            <w:noWrap/>
            <w:vAlign w:val="center"/>
          </w:tcPr>
          <w:p w14:paraId="7E926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制单员</w:t>
            </w:r>
          </w:p>
        </w:tc>
        <w:tc>
          <w:tcPr>
            <w:tcW w:w="1385" w:type="pct"/>
            <w:tcBorders>
              <w:top w:val="nil"/>
              <w:left w:val="nil"/>
              <w:bottom w:val="single" w:color="auto" w:sz="4" w:space="0"/>
              <w:right w:val="single" w:color="auto" w:sz="4" w:space="0"/>
            </w:tcBorders>
            <w:shd w:val="clear" w:color="000000" w:fill="FFFFFF"/>
            <w:noWrap/>
            <w:vAlign w:val="center"/>
          </w:tcPr>
          <w:p w14:paraId="32C4F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≥1</w:t>
            </w:r>
          </w:p>
        </w:tc>
        <w:tc>
          <w:tcPr>
            <w:tcW w:w="1878" w:type="pct"/>
            <w:tcBorders>
              <w:top w:val="nil"/>
              <w:left w:val="nil"/>
              <w:bottom w:val="single" w:color="auto" w:sz="4" w:space="0"/>
              <w:right w:val="single" w:color="auto" w:sz="4" w:space="0"/>
            </w:tcBorders>
            <w:shd w:val="clear" w:color="000000" w:fill="FFFFFF"/>
            <w:vAlign w:val="center"/>
          </w:tcPr>
          <w:p w14:paraId="4759D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负责本院区营养室的订餐收集、打单、制单工作。</w:t>
            </w:r>
          </w:p>
        </w:tc>
      </w:tr>
      <w:tr w14:paraId="38693563">
        <w:tblPrEx>
          <w:tblCellMar>
            <w:top w:w="0" w:type="dxa"/>
            <w:left w:w="108" w:type="dxa"/>
            <w:bottom w:w="0" w:type="dxa"/>
            <w:right w:w="108" w:type="dxa"/>
          </w:tblCellMar>
        </w:tblPrEx>
        <w:trPr>
          <w:trHeight w:val="1234"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0E0A4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2559B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18</w:t>
            </w:r>
          </w:p>
        </w:tc>
        <w:tc>
          <w:tcPr>
            <w:tcW w:w="804" w:type="pct"/>
            <w:tcBorders>
              <w:top w:val="nil"/>
              <w:left w:val="nil"/>
              <w:bottom w:val="single" w:color="auto" w:sz="4" w:space="0"/>
              <w:right w:val="single" w:color="auto" w:sz="4" w:space="0"/>
            </w:tcBorders>
            <w:shd w:val="clear" w:color="000000" w:fill="FFFFFF"/>
            <w:noWrap/>
            <w:vAlign w:val="center"/>
          </w:tcPr>
          <w:p w14:paraId="38786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文员</w:t>
            </w:r>
          </w:p>
        </w:tc>
        <w:tc>
          <w:tcPr>
            <w:tcW w:w="1385" w:type="pct"/>
            <w:tcBorders>
              <w:top w:val="nil"/>
              <w:left w:val="nil"/>
              <w:bottom w:val="single" w:color="auto" w:sz="4" w:space="0"/>
              <w:right w:val="single" w:color="auto" w:sz="4" w:space="0"/>
            </w:tcBorders>
            <w:shd w:val="clear" w:color="000000" w:fill="FFFFFF"/>
            <w:noWrap/>
            <w:vAlign w:val="center"/>
          </w:tcPr>
          <w:p w14:paraId="769D8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1</w:t>
            </w:r>
          </w:p>
        </w:tc>
        <w:tc>
          <w:tcPr>
            <w:tcW w:w="1878" w:type="pct"/>
            <w:tcBorders>
              <w:top w:val="nil"/>
              <w:left w:val="nil"/>
              <w:bottom w:val="single" w:color="auto" w:sz="4" w:space="0"/>
              <w:right w:val="single" w:color="auto" w:sz="4" w:space="0"/>
            </w:tcBorders>
            <w:shd w:val="clear" w:color="000000" w:fill="FFFFFF"/>
            <w:noWrap/>
            <w:vAlign w:val="center"/>
          </w:tcPr>
          <w:p w14:paraId="243641A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lang w:val="en-US" w:eastAsia="zh-CN"/>
              </w:rPr>
              <w:t>1</w:t>
            </w:r>
            <w:r>
              <w:rPr>
                <w:rFonts w:hint="eastAsia" w:asciiTheme="majorEastAsia" w:hAnsiTheme="majorEastAsia" w:eastAsiaTheme="majorEastAsia" w:cstheme="majorEastAsia"/>
                <w:color w:val="auto"/>
                <w:kern w:val="0"/>
                <w:sz w:val="20"/>
                <w:szCs w:val="20"/>
                <w:highlight w:val="none"/>
                <w:lang w:eastAsia="zh-CN"/>
              </w:rPr>
              <w:t>、</w:t>
            </w:r>
            <w:r>
              <w:rPr>
                <w:rFonts w:hint="eastAsia" w:asciiTheme="majorEastAsia" w:hAnsiTheme="majorEastAsia" w:eastAsiaTheme="majorEastAsia" w:cstheme="majorEastAsia"/>
                <w:color w:val="auto"/>
                <w:kern w:val="0"/>
                <w:sz w:val="20"/>
                <w:szCs w:val="20"/>
                <w:highlight w:val="none"/>
              </w:rPr>
              <w:t>日常行政事务</w:t>
            </w:r>
          </w:p>
          <w:p w14:paraId="6D6AD30D">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Lines="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2、数据统计与报表</w:t>
            </w:r>
          </w:p>
          <w:p w14:paraId="7B50225F">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Lines="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3、医院投诉服务处理</w:t>
            </w:r>
          </w:p>
          <w:p w14:paraId="1520F53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Lines="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2"/>
                <w:sz w:val="20"/>
                <w:szCs w:val="20"/>
                <w:highlight w:val="none"/>
                <w:lang w:val="en-US" w:eastAsia="zh-CN" w:bidi="ar-SA"/>
              </w:rPr>
            </w:pPr>
            <w:r>
              <w:rPr>
                <w:rFonts w:hint="eastAsia" w:asciiTheme="majorEastAsia" w:hAnsiTheme="majorEastAsia" w:eastAsiaTheme="majorEastAsia" w:cstheme="majorEastAsia"/>
                <w:color w:val="auto"/>
                <w:kern w:val="2"/>
                <w:sz w:val="20"/>
                <w:szCs w:val="20"/>
                <w:highlight w:val="none"/>
                <w:lang w:val="en-US" w:eastAsia="zh-CN" w:bidi="ar-SA"/>
              </w:rPr>
              <w:t>4、三甲相关工作配合</w:t>
            </w:r>
          </w:p>
        </w:tc>
      </w:tr>
      <w:tr w14:paraId="505C0FBE">
        <w:tblPrEx>
          <w:tblCellMar>
            <w:top w:w="0" w:type="dxa"/>
            <w:left w:w="108" w:type="dxa"/>
            <w:bottom w:w="0" w:type="dxa"/>
            <w:right w:w="108" w:type="dxa"/>
          </w:tblCellMar>
        </w:tblPrEx>
        <w:trPr>
          <w:trHeight w:val="319"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54B3F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71A9F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19</w:t>
            </w:r>
          </w:p>
        </w:tc>
        <w:tc>
          <w:tcPr>
            <w:tcW w:w="804" w:type="pct"/>
            <w:tcBorders>
              <w:top w:val="nil"/>
              <w:left w:val="nil"/>
              <w:bottom w:val="single" w:color="auto" w:sz="4" w:space="0"/>
              <w:right w:val="single" w:color="auto" w:sz="4" w:space="0"/>
            </w:tcBorders>
            <w:shd w:val="clear" w:color="000000" w:fill="FFFFFF"/>
            <w:noWrap/>
            <w:vAlign w:val="center"/>
          </w:tcPr>
          <w:p w14:paraId="61757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营养膳食厨师</w:t>
            </w:r>
          </w:p>
        </w:tc>
        <w:tc>
          <w:tcPr>
            <w:tcW w:w="1385" w:type="pct"/>
            <w:tcBorders>
              <w:top w:val="nil"/>
              <w:left w:val="nil"/>
              <w:bottom w:val="single" w:color="auto" w:sz="4" w:space="0"/>
              <w:right w:val="single" w:color="auto" w:sz="4" w:space="0"/>
            </w:tcBorders>
            <w:shd w:val="clear" w:color="000000" w:fill="FFFFFF"/>
            <w:noWrap/>
            <w:vAlign w:val="center"/>
          </w:tcPr>
          <w:p w14:paraId="526AB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eastAsia="zh-CN"/>
              </w:rPr>
            </w:pPr>
            <w:r>
              <w:rPr>
                <w:rFonts w:hint="eastAsia" w:asciiTheme="majorEastAsia" w:hAnsiTheme="majorEastAsia" w:eastAsiaTheme="majorEastAsia" w:cstheme="majorEastAsia"/>
                <w:color w:val="auto"/>
                <w:kern w:val="0"/>
                <w:sz w:val="20"/>
                <w:szCs w:val="20"/>
                <w:highlight w:val="none"/>
                <w:lang w:val="en-US" w:eastAsia="zh-CN"/>
              </w:rPr>
              <w:t>4</w:t>
            </w:r>
          </w:p>
        </w:tc>
        <w:tc>
          <w:tcPr>
            <w:tcW w:w="1878" w:type="pct"/>
            <w:tcBorders>
              <w:top w:val="nil"/>
              <w:left w:val="nil"/>
              <w:bottom w:val="single" w:color="auto" w:sz="4" w:space="0"/>
              <w:right w:val="single" w:color="auto" w:sz="4" w:space="0"/>
            </w:tcBorders>
            <w:shd w:val="clear" w:color="000000" w:fill="FFFFFF"/>
            <w:noWrap/>
            <w:vAlign w:val="center"/>
          </w:tcPr>
          <w:p w14:paraId="7F9D3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负责营养治疗膳食的制作</w:t>
            </w:r>
          </w:p>
        </w:tc>
      </w:tr>
      <w:tr w14:paraId="55D3F7D7">
        <w:tblPrEx>
          <w:tblCellMar>
            <w:top w:w="0" w:type="dxa"/>
            <w:left w:w="108" w:type="dxa"/>
            <w:bottom w:w="0" w:type="dxa"/>
            <w:right w:w="108" w:type="dxa"/>
          </w:tblCellMar>
        </w:tblPrEx>
        <w:trPr>
          <w:trHeight w:val="318"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7AA9C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361" w:type="pct"/>
            <w:tcBorders>
              <w:top w:val="nil"/>
              <w:left w:val="nil"/>
              <w:bottom w:val="single" w:color="auto" w:sz="4" w:space="0"/>
              <w:right w:val="single" w:color="auto" w:sz="4" w:space="0"/>
            </w:tcBorders>
            <w:shd w:val="clear" w:color="000000" w:fill="FFFFFF"/>
            <w:vAlign w:val="center"/>
          </w:tcPr>
          <w:p w14:paraId="5BC73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20</w:t>
            </w:r>
          </w:p>
        </w:tc>
        <w:tc>
          <w:tcPr>
            <w:tcW w:w="804" w:type="pct"/>
            <w:tcBorders>
              <w:top w:val="nil"/>
              <w:left w:val="nil"/>
              <w:bottom w:val="single" w:color="auto" w:sz="4" w:space="0"/>
              <w:right w:val="single" w:color="auto" w:sz="4" w:space="0"/>
            </w:tcBorders>
            <w:shd w:val="clear" w:color="000000" w:fill="FFFFFF"/>
            <w:noWrap/>
            <w:vAlign w:val="center"/>
          </w:tcPr>
          <w:p w14:paraId="4D3AF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机动帮厨</w:t>
            </w:r>
          </w:p>
        </w:tc>
        <w:tc>
          <w:tcPr>
            <w:tcW w:w="1385" w:type="pct"/>
            <w:tcBorders>
              <w:top w:val="nil"/>
              <w:left w:val="nil"/>
              <w:bottom w:val="single" w:color="auto" w:sz="4" w:space="0"/>
              <w:right w:val="single" w:color="auto" w:sz="4" w:space="0"/>
            </w:tcBorders>
            <w:shd w:val="clear" w:color="000000" w:fill="FFFFFF"/>
            <w:noWrap/>
            <w:vAlign w:val="center"/>
          </w:tcPr>
          <w:p w14:paraId="27689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lang w:val="en-US" w:eastAsia="zh-CN"/>
              </w:rPr>
              <w:t>3</w:t>
            </w:r>
          </w:p>
        </w:tc>
        <w:tc>
          <w:tcPr>
            <w:tcW w:w="1878" w:type="pct"/>
            <w:tcBorders>
              <w:top w:val="nil"/>
              <w:left w:val="nil"/>
              <w:bottom w:val="single" w:color="auto" w:sz="4" w:space="0"/>
              <w:right w:val="single" w:color="auto" w:sz="4" w:space="0"/>
            </w:tcBorders>
            <w:shd w:val="clear" w:color="000000" w:fill="FFFFFF"/>
            <w:noWrap/>
            <w:vAlign w:val="center"/>
          </w:tcPr>
          <w:p w14:paraId="6D3B3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p>
        </w:tc>
      </w:tr>
      <w:tr w14:paraId="6AB4BFD5">
        <w:tblPrEx>
          <w:tblCellMar>
            <w:top w:w="0" w:type="dxa"/>
            <w:left w:w="108" w:type="dxa"/>
            <w:bottom w:w="0" w:type="dxa"/>
            <w:right w:w="108" w:type="dxa"/>
          </w:tblCellMar>
        </w:tblPrEx>
        <w:trPr>
          <w:trHeight w:val="341" w:hRule="atLeast"/>
          <w:jc w:val="center"/>
        </w:trPr>
        <w:tc>
          <w:tcPr>
            <w:tcW w:w="569" w:type="pct"/>
            <w:vMerge w:val="continue"/>
            <w:tcBorders>
              <w:top w:val="nil"/>
              <w:left w:val="single" w:color="auto" w:sz="4" w:space="0"/>
              <w:bottom w:val="single" w:color="auto" w:sz="4" w:space="0"/>
              <w:right w:val="single" w:color="auto" w:sz="4" w:space="0"/>
            </w:tcBorders>
            <w:vAlign w:val="center"/>
          </w:tcPr>
          <w:p w14:paraId="7298F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p>
        </w:tc>
        <w:tc>
          <w:tcPr>
            <w:tcW w:w="1165" w:type="pct"/>
            <w:gridSpan w:val="2"/>
            <w:tcBorders>
              <w:top w:val="single" w:color="auto" w:sz="4" w:space="0"/>
              <w:left w:val="nil"/>
              <w:bottom w:val="single" w:color="auto" w:sz="4" w:space="0"/>
              <w:right w:val="single" w:color="000000" w:sz="4" w:space="0"/>
            </w:tcBorders>
            <w:shd w:val="clear" w:color="000000" w:fill="FFFFFF"/>
            <w:noWrap/>
            <w:vAlign w:val="center"/>
          </w:tcPr>
          <w:p w14:paraId="131EB2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rPr>
            </w:pPr>
            <w:r>
              <w:rPr>
                <w:rFonts w:hint="eastAsia" w:asciiTheme="majorEastAsia" w:hAnsiTheme="majorEastAsia" w:eastAsiaTheme="majorEastAsia" w:cstheme="majorEastAsia"/>
                <w:color w:val="auto"/>
                <w:kern w:val="0"/>
                <w:sz w:val="20"/>
                <w:szCs w:val="20"/>
                <w:highlight w:val="none"/>
              </w:rPr>
              <w:t>小计（人）</w:t>
            </w:r>
          </w:p>
        </w:tc>
        <w:tc>
          <w:tcPr>
            <w:tcW w:w="1385" w:type="pct"/>
            <w:tcBorders>
              <w:top w:val="nil"/>
              <w:left w:val="nil"/>
              <w:bottom w:val="single" w:color="auto" w:sz="4" w:space="0"/>
              <w:right w:val="single" w:color="auto" w:sz="4" w:space="0"/>
            </w:tcBorders>
            <w:shd w:val="clear" w:color="000000" w:fill="FFFFFF"/>
            <w:noWrap/>
            <w:vAlign w:val="center"/>
          </w:tcPr>
          <w:p w14:paraId="75323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kern w:val="0"/>
                <w:sz w:val="20"/>
                <w:szCs w:val="20"/>
                <w:highlight w:val="none"/>
                <w:lang w:val="en-US" w:eastAsia="zh-CN"/>
              </w:rPr>
            </w:pPr>
            <w:r>
              <w:rPr>
                <w:rFonts w:hint="eastAsia" w:asciiTheme="majorEastAsia" w:hAnsiTheme="majorEastAsia" w:eastAsiaTheme="majorEastAsia" w:cstheme="majorEastAsia"/>
                <w:color w:val="auto"/>
                <w:kern w:val="0"/>
                <w:sz w:val="20"/>
                <w:szCs w:val="20"/>
                <w:highlight w:val="none"/>
              </w:rPr>
              <w:t>≥</w:t>
            </w:r>
            <w:r>
              <w:rPr>
                <w:rFonts w:hint="eastAsia" w:asciiTheme="majorEastAsia" w:hAnsiTheme="majorEastAsia" w:eastAsiaTheme="majorEastAsia" w:cstheme="majorEastAsia"/>
                <w:color w:val="auto"/>
                <w:kern w:val="0"/>
                <w:sz w:val="20"/>
                <w:szCs w:val="20"/>
                <w:highlight w:val="none"/>
                <w:lang w:val="en-US" w:eastAsia="zh-CN"/>
              </w:rPr>
              <w:t>60</w:t>
            </w:r>
          </w:p>
        </w:tc>
        <w:tc>
          <w:tcPr>
            <w:tcW w:w="1878" w:type="pct"/>
            <w:tcBorders>
              <w:top w:val="nil"/>
              <w:left w:val="nil"/>
              <w:bottom w:val="single" w:color="auto" w:sz="4" w:space="0"/>
              <w:right w:val="single" w:color="auto" w:sz="4" w:space="0"/>
            </w:tcBorders>
            <w:shd w:val="clear" w:color="000000" w:fill="FFFFFF"/>
            <w:noWrap/>
            <w:vAlign w:val="center"/>
          </w:tcPr>
          <w:p w14:paraId="4C83A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b/>
                <w:bCs/>
                <w:color w:val="auto"/>
                <w:kern w:val="0"/>
                <w:sz w:val="20"/>
                <w:szCs w:val="20"/>
                <w:highlight w:val="none"/>
              </w:rPr>
            </w:pPr>
          </w:p>
        </w:tc>
      </w:tr>
    </w:tbl>
    <w:p w14:paraId="373AE2A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CN"/>
        </w:rPr>
        <w:t>3、</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lang w:val="en-US" w:eastAsia="zh-CN"/>
        </w:rPr>
        <w:t>须在合同签订时向招标人提交</w:t>
      </w:r>
      <w:r>
        <w:rPr>
          <w:rFonts w:hint="eastAsia" w:asciiTheme="majorEastAsia" w:hAnsiTheme="majorEastAsia" w:eastAsiaTheme="majorEastAsia" w:cstheme="majorEastAsia"/>
          <w:b w:val="0"/>
          <w:bCs w:val="0"/>
          <w:color w:val="auto"/>
          <w:sz w:val="20"/>
          <w:szCs w:val="20"/>
          <w:highlight w:val="none"/>
        </w:rPr>
        <w:t>驻场服务人员（项目经理、</w:t>
      </w:r>
      <w:r>
        <w:rPr>
          <w:rFonts w:hint="eastAsia" w:asciiTheme="majorEastAsia" w:hAnsiTheme="majorEastAsia" w:eastAsiaTheme="majorEastAsia" w:cstheme="majorEastAsia"/>
          <w:b w:val="0"/>
          <w:bCs w:val="0"/>
          <w:color w:val="auto"/>
          <w:sz w:val="20"/>
          <w:szCs w:val="20"/>
          <w:highlight w:val="none"/>
          <w:lang w:val="en-US" w:eastAsia="zh-CN"/>
        </w:rPr>
        <w:t>厨师长</w:t>
      </w:r>
      <w:r>
        <w:rPr>
          <w:rFonts w:hint="eastAsia" w:asciiTheme="majorEastAsia" w:hAnsiTheme="majorEastAsia" w:eastAsiaTheme="majorEastAsia" w:cstheme="majorEastAsia"/>
          <w:b w:val="0"/>
          <w:bCs w:val="0"/>
          <w:color w:val="auto"/>
          <w:sz w:val="20"/>
          <w:szCs w:val="20"/>
          <w:highlight w:val="none"/>
        </w:rPr>
        <w:t>、面点厨师</w:t>
      </w:r>
      <w:r>
        <w:rPr>
          <w:rFonts w:hint="eastAsia" w:asciiTheme="majorEastAsia" w:hAnsiTheme="majorEastAsia" w:eastAsiaTheme="majorEastAsia" w:cstheme="majorEastAsia"/>
          <w:b w:val="0"/>
          <w:bCs w:val="0"/>
          <w:color w:val="auto"/>
          <w:sz w:val="20"/>
          <w:szCs w:val="20"/>
          <w:highlight w:val="none"/>
          <w:lang w:val="en-US" w:eastAsia="zh-CN"/>
        </w:rPr>
        <w:t>除外</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的资料备案，资料包括但不限于无犯罪证明、</w:t>
      </w:r>
      <w:r>
        <w:rPr>
          <w:rFonts w:hint="eastAsia" w:asciiTheme="majorEastAsia" w:hAnsiTheme="majorEastAsia" w:eastAsiaTheme="majorEastAsia" w:cstheme="majorEastAsia"/>
          <w:b w:val="0"/>
          <w:bCs w:val="0"/>
          <w:color w:val="auto"/>
          <w:sz w:val="20"/>
          <w:szCs w:val="20"/>
          <w:highlight w:val="none"/>
        </w:rPr>
        <w:t>有效的餐饮人员健康证</w:t>
      </w:r>
      <w:r>
        <w:rPr>
          <w:rFonts w:hint="eastAsia" w:asciiTheme="majorEastAsia" w:hAnsiTheme="majorEastAsia" w:eastAsiaTheme="majorEastAsia" w:cstheme="majorEastAsia"/>
          <w:b w:val="0"/>
          <w:bCs w:val="0"/>
          <w:color w:val="auto"/>
          <w:sz w:val="20"/>
          <w:szCs w:val="20"/>
          <w:highlight w:val="none"/>
          <w:lang w:val="en-US" w:eastAsia="zh-CN"/>
        </w:rPr>
        <w:t>、</w:t>
      </w:r>
      <w:r>
        <w:rPr>
          <w:rFonts w:hint="eastAsia" w:asciiTheme="majorEastAsia" w:hAnsiTheme="majorEastAsia" w:eastAsiaTheme="majorEastAsia" w:cstheme="majorEastAsia"/>
          <w:b w:val="0"/>
          <w:bCs w:val="0"/>
          <w:color w:val="auto"/>
          <w:sz w:val="20"/>
          <w:szCs w:val="20"/>
          <w:highlight w:val="none"/>
        </w:rPr>
        <w:t>有效的</w:t>
      </w:r>
      <w:r>
        <w:rPr>
          <w:rFonts w:hint="eastAsia" w:asciiTheme="majorEastAsia" w:hAnsiTheme="majorEastAsia" w:eastAsiaTheme="majorEastAsia" w:cstheme="majorEastAsia"/>
          <w:b w:val="0"/>
          <w:bCs w:val="0"/>
          <w:color w:val="auto"/>
          <w:sz w:val="20"/>
          <w:szCs w:val="20"/>
          <w:highlight w:val="none"/>
          <w:lang w:val="en-US" w:eastAsia="zh-CN"/>
        </w:rPr>
        <w:t>身份证复印件、厨师证复印件等。</w:t>
      </w:r>
    </w:p>
    <w:p w14:paraId="7FF3FED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的所有驻场服务人员应全职驻点服务，不得同时兼任本项目外的</w:t>
      </w:r>
      <w:r>
        <w:rPr>
          <w:rFonts w:hint="eastAsia" w:asciiTheme="majorEastAsia" w:hAnsiTheme="majorEastAsia" w:eastAsiaTheme="majorEastAsia" w:cstheme="majorEastAsia"/>
          <w:b w:val="0"/>
          <w:bCs w:val="0"/>
          <w:color w:val="auto"/>
          <w:sz w:val="20"/>
          <w:szCs w:val="20"/>
          <w:highlight w:val="none"/>
          <w:lang w:val="en-US" w:eastAsia="zh-CN"/>
        </w:rPr>
        <w:t>工作</w:t>
      </w:r>
      <w:r>
        <w:rPr>
          <w:rFonts w:hint="eastAsia" w:asciiTheme="majorEastAsia" w:hAnsiTheme="majorEastAsia" w:eastAsiaTheme="majorEastAsia" w:cstheme="majorEastAsia"/>
          <w:b w:val="0"/>
          <w:bCs w:val="0"/>
          <w:color w:val="auto"/>
          <w:sz w:val="20"/>
          <w:szCs w:val="20"/>
          <w:highlight w:val="none"/>
        </w:rPr>
        <w:t>。</w:t>
      </w:r>
    </w:p>
    <w:p w14:paraId="54B4791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、上述管理团队（项目经理、</w:t>
      </w:r>
      <w:r>
        <w:rPr>
          <w:rFonts w:hint="eastAsia" w:asciiTheme="majorEastAsia" w:hAnsiTheme="majorEastAsia" w:eastAsiaTheme="majorEastAsia" w:cstheme="majorEastAsia"/>
          <w:b w:val="0"/>
          <w:bCs w:val="0"/>
          <w:color w:val="auto"/>
          <w:sz w:val="20"/>
          <w:szCs w:val="20"/>
          <w:highlight w:val="none"/>
          <w:lang w:val="en-US" w:eastAsia="zh-CN"/>
        </w:rPr>
        <w:t>厨师长</w:t>
      </w:r>
      <w:r>
        <w:rPr>
          <w:rFonts w:hint="eastAsia" w:asciiTheme="majorEastAsia" w:hAnsiTheme="majorEastAsia" w:eastAsiaTheme="majorEastAsia" w:cstheme="majorEastAsia"/>
          <w:b w:val="0"/>
          <w:bCs w:val="0"/>
          <w:color w:val="auto"/>
          <w:sz w:val="20"/>
          <w:szCs w:val="20"/>
          <w:highlight w:val="none"/>
        </w:rPr>
        <w:t>、面点厨师）需通过</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职能部门面试后方能录用。如</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需调整驻场管理</w:t>
      </w:r>
      <w:r>
        <w:rPr>
          <w:rFonts w:hint="eastAsia" w:asciiTheme="majorEastAsia" w:hAnsiTheme="majorEastAsia" w:eastAsiaTheme="majorEastAsia" w:cstheme="majorEastAsia"/>
          <w:b w:val="0"/>
          <w:bCs w:val="0"/>
          <w:color w:val="auto"/>
          <w:sz w:val="20"/>
          <w:szCs w:val="20"/>
          <w:highlight w:val="none"/>
          <w:lang w:val="en-US" w:eastAsia="zh-CN"/>
        </w:rPr>
        <w:t>团队</w:t>
      </w:r>
      <w:r>
        <w:rPr>
          <w:rFonts w:hint="eastAsia" w:asciiTheme="majorEastAsia" w:hAnsiTheme="majorEastAsia" w:eastAsiaTheme="majorEastAsia" w:cstheme="majorEastAsia"/>
          <w:b w:val="0"/>
          <w:bCs w:val="0"/>
          <w:color w:val="auto"/>
          <w:sz w:val="20"/>
          <w:szCs w:val="20"/>
          <w:highlight w:val="none"/>
        </w:rPr>
        <w:t>，需提前2个月书面通知</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同意后方可更换。</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有权对不满意的管理</w:t>
      </w:r>
      <w:r>
        <w:rPr>
          <w:rFonts w:hint="eastAsia" w:asciiTheme="majorEastAsia" w:hAnsiTheme="majorEastAsia" w:eastAsiaTheme="majorEastAsia" w:cstheme="majorEastAsia"/>
          <w:b w:val="0"/>
          <w:bCs w:val="0"/>
          <w:color w:val="auto"/>
          <w:sz w:val="20"/>
          <w:szCs w:val="20"/>
          <w:highlight w:val="none"/>
          <w:lang w:val="en-US" w:eastAsia="zh-CN"/>
        </w:rPr>
        <w:t>团队</w:t>
      </w:r>
      <w:r>
        <w:rPr>
          <w:rFonts w:hint="eastAsia" w:asciiTheme="majorEastAsia" w:hAnsiTheme="majorEastAsia" w:eastAsiaTheme="majorEastAsia" w:cstheme="majorEastAsia"/>
          <w:b w:val="0"/>
          <w:bCs w:val="0"/>
          <w:color w:val="auto"/>
          <w:sz w:val="20"/>
          <w:szCs w:val="20"/>
          <w:highlight w:val="none"/>
        </w:rPr>
        <w:t>提出人员调配或更换</w:t>
      </w:r>
      <w:r>
        <w:rPr>
          <w:rFonts w:hint="eastAsia" w:asciiTheme="majorEastAsia" w:hAnsiTheme="majorEastAsia" w:eastAsiaTheme="majorEastAsia" w:cstheme="majorEastAsia"/>
          <w:b w:val="0"/>
          <w:bCs w:val="0"/>
          <w:color w:val="auto"/>
          <w:sz w:val="20"/>
          <w:szCs w:val="20"/>
          <w:highlight w:val="none"/>
          <w:lang w:val="en-US" w:eastAsia="zh-CN"/>
        </w:rPr>
        <w:t>或补充</w:t>
      </w:r>
      <w:r>
        <w:rPr>
          <w:rFonts w:hint="eastAsia" w:asciiTheme="majorEastAsia" w:hAnsiTheme="majorEastAsia" w:eastAsiaTheme="majorEastAsia" w:cstheme="majorEastAsia"/>
          <w:b w:val="0"/>
          <w:bCs w:val="0"/>
          <w:color w:val="auto"/>
          <w:sz w:val="20"/>
          <w:szCs w:val="20"/>
          <w:highlight w:val="none"/>
        </w:rPr>
        <w:t>要求，</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在收到书面通知2个月内调配或更换或补充人员。</w:t>
      </w:r>
    </w:p>
    <w:p w14:paraId="67EBFA2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的所有驻场服务人员不得违规使用年龄不满18岁的童工。</w:t>
      </w:r>
    </w:p>
    <w:p w14:paraId="0DB9F5B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7</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中标人对</w:t>
      </w:r>
      <w:r>
        <w:rPr>
          <w:rFonts w:hint="eastAsia" w:asciiTheme="majorEastAsia" w:hAnsiTheme="majorEastAsia" w:eastAsiaTheme="majorEastAsia" w:cstheme="majorEastAsia"/>
          <w:b w:val="0"/>
          <w:bCs w:val="0"/>
          <w:color w:val="auto"/>
          <w:sz w:val="20"/>
          <w:szCs w:val="20"/>
          <w:highlight w:val="none"/>
        </w:rPr>
        <w:t>所有驻场服务人员需配备统一的服饰。</w:t>
      </w:r>
    </w:p>
    <w:p w14:paraId="2CC6BCF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8</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的所有驻场服务人员应按相关食品加工操作要求，在需要时戴清洁帽、口罩、手套、穿防滑水鞋/胶鞋上岗并保持干净整洁，食品加工人员不得佩戴任何首饰。员工</w:t>
      </w:r>
      <w:r>
        <w:rPr>
          <w:rFonts w:hint="eastAsia" w:asciiTheme="majorEastAsia" w:hAnsiTheme="majorEastAsia" w:eastAsiaTheme="majorEastAsia" w:cstheme="majorEastAsia"/>
          <w:b w:val="0"/>
          <w:bCs w:val="0"/>
          <w:color w:val="auto"/>
          <w:sz w:val="20"/>
          <w:szCs w:val="20"/>
          <w:highlight w:val="none"/>
          <w:lang w:val="en-US" w:eastAsia="zh-CN"/>
        </w:rPr>
        <w:t>在</w:t>
      </w:r>
      <w:r>
        <w:rPr>
          <w:rFonts w:hint="eastAsia" w:asciiTheme="majorEastAsia" w:hAnsiTheme="majorEastAsia" w:eastAsiaTheme="majorEastAsia" w:cstheme="majorEastAsia"/>
          <w:b w:val="0"/>
          <w:bCs w:val="0"/>
          <w:color w:val="auto"/>
          <w:sz w:val="20"/>
          <w:szCs w:val="20"/>
          <w:highlight w:val="none"/>
        </w:rPr>
        <w:t>熟食间、备餐间</w:t>
      </w:r>
      <w:r>
        <w:rPr>
          <w:rFonts w:hint="eastAsia" w:asciiTheme="majorEastAsia" w:hAnsiTheme="majorEastAsia" w:eastAsiaTheme="majorEastAsia" w:cstheme="majorEastAsia"/>
          <w:b w:val="0"/>
          <w:bCs w:val="0"/>
          <w:color w:val="auto"/>
          <w:sz w:val="20"/>
          <w:szCs w:val="20"/>
          <w:highlight w:val="none"/>
          <w:lang w:val="en-US" w:eastAsia="zh-CN"/>
        </w:rPr>
        <w:t>任何时候均</w:t>
      </w:r>
      <w:r>
        <w:rPr>
          <w:rFonts w:hint="eastAsia" w:asciiTheme="majorEastAsia" w:hAnsiTheme="majorEastAsia" w:eastAsiaTheme="majorEastAsia" w:cstheme="majorEastAsia"/>
          <w:b w:val="0"/>
          <w:bCs w:val="0"/>
          <w:color w:val="auto"/>
          <w:sz w:val="20"/>
          <w:szCs w:val="20"/>
          <w:highlight w:val="none"/>
        </w:rPr>
        <w:t>须佩戴手套、口罩。</w:t>
      </w:r>
    </w:p>
    <w:p w14:paraId="282D0B1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9</w:t>
      </w:r>
      <w:r>
        <w:rPr>
          <w:rFonts w:hint="eastAsia" w:asciiTheme="majorEastAsia" w:hAnsiTheme="majorEastAsia" w:eastAsiaTheme="majorEastAsia" w:cstheme="majorEastAsia"/>
          <w:b w:val="0"/>
          <w:bCs w:val="0"/>
          <w:color w:val="auto"/>
          <w:sz w:val="20"/>
          <w:szCs w:val="20"/>
          <w:highlight w:val="none"/>
        </w:rPr>
        <w:t>、餐品配送人员应熟知</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各楼层各科室的分布。病人配餐员要求形象好、能熟练运用服务用语，能听懂</w:t>
      </w:r>
      <w:r>
        <w:rPr>
          <w:rFonts w:hint="eastAsia" w:asciiTheme="majorEastAsia" w:hAnsiTheme="majorEastAsia" w:eastAsiaTheme="majorEastAsia" w:cstheme="majorEastAsia"/>
          <w:b w:val="0"/>
          <w:bCs w:val="0"/>
          <w:color w:val="auto"/>
          <w:sz w:val="20"/>
          <w:szCs w:val="20"/>
          <w:highlight w:val="none"/>
          <w:lang w:val="en-US" w:eastAsia="zh-CN"/>
        </w:rPr>
        <w:t>当地方言</w:t>
      </w:r>
      <w:r>
        <w:rPr>
          <w:rFonts w:hint="eastAsia" w:asciiTheme="majorEastAsia" w:hAnsiTheme="majorEastAsia" w:eastAsiaTheme="majorEastAsia" w:cstheme="majorEastAsia"/>
          <w:b w:val="0"/>
          <w:bCs w:val="0"/>
          <w:color w:val="auto"/>
          <w:sz w:val="20"/>
          <w:szCs w:val="20"/>
          <w:highlight w:val="none"/>
        </w:rPr>
        <w:t>。</w:t>
      </w:r>
    </w:p>
    <w:p w14:paraId="1BFE6B3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0</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有权对不履行合同或多次违反</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管理规定的</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人员提出警告和拒绝使用，</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必须按</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的要求更换有关人员。</w:t>
      </w:r>
    </w:p>
    <w:p w14:paraId="028108B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所有驻场服务人员</w:t>
      </w:r>
      <w:r>
        <w:rPr>
          <w:rFonts w:hint="eastAsia" w:asciiTheme="majorEastAsia" w:hAnsiTheme="majorEastAsia" w:eastAsiaTheme="majorEastAsia" w:cstheme="majorEastAsia"/>
          <w:b w:val="0"/>
          <w:bCs w:val="0"/>
          <w:color w:val="auto"/>
          <w:sz w:val="20"/>
          <w:szCs w:val="20"/>
          <w:highlight w:val="none"/>
          <w:lang w:val="en-US" w:eastAsia="zh-CN"/>
        </w:rPr>
        <w:t>的食宿薪酬等由中标人自行承担费用，招标人无需支付。中标人必须按照劳动部门的相关规定规范用工，中标人应与</w:t>
      </w:r>
      <w:r>
        <w:rPr>
          <w:rFonts w:hint="eastAsia" w:asciiTheme="majorEastAsia" w:hAnsiTheme="majorEastAsia" w:eastAsiaTheme="majorEastAsia" w:cstheme="majorEastAsia"/>
          <w:b w:val="0"/>
          <w:bCs w:val="0"/>
          <w:color w:val="auto"/>
          <w:sz w:val="20"/>
          <w:szCs w:val="20"/>
          <w:highlight w:val="none"/>
        </w:rPr>
        <w:t>所有驻场服务人员</w:t>
      </w:r>
      <w:r>
        <w:rPr>
          <w:rFonts w:hint="eastAsia" w:asciiTheme="majorEastAsia" w:hAnsiTheme="majorEastAsia" w:eastAsiaTheme="majorEastAsia" w:cstheme="majorEastAsia"/>
          <w:b w:val="0"/>
          <w:bCs w:val="0"/>
          <w:color w:val="auto"/>
          <w:sz w:val="20"/>
          <w:szCs w:val="20"/>
          <w:highlight w:val="none"/>
          <w:lang w:val="en-US" w:eastAsia="zh-CN"/>
        </w:rPr>
        <w:t>订立劳动合同关系，按国家规定要求办理各类社会保险并承担用工责任。</w:t>
      </w:r>
      <w:r>
        <w:rPr>
          <w:rFonts w:hint="eastAsia" w:asciiTheme="majorEastAsia" w:hAnsiTheme="majorEastAsia" w:eastAsiaTheme="majorEastAsia" w:cstheme="majorEastAsia"/>
          <w:b w:val="0"/>
          <w:bCs w:val="0"/>
          <w:color w:val="auto"/>
          <w:sz w:val="20"/>
          <w:szCs w:val="20"/>
          <w:highlight w:val="none"/>
        </w:rPr>
        <w:t>在服务期内，</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须承担所有驻场服务人员的意外</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工伤</w:t>
      </w:r>
      <w:r>
        <w:rPr>
          <w:rFonts w:hint="eastAsia" w:asciiTheme="majorEastAsia" w:hAnsiTheme="majorEastAsia" w:eastAsiaTheme="majorEastAsia" w:cstheme="majorEastAsia"/>
          <w:b w:val="0"/>
          <w:bCs w:val="0"/>
          <w:color w:val="auto"/>
          <w:sz w:val="20"/>
          <w:szCs w:val="20"/>
          <w:highlight w:val="none"/>
          <w:lang w:val="en-US" w:eastAsia="zh-CN"/>
        </w:rPr>
        <w:t>等</w:t>
      </w:r>
      <w:r>
        <w:rPr>
          <w:rFonts w:hint="eastAsia" w:asciiTheme="majorEastAsia" w:hAnsiTheme="majorEastAsia" w:eastAsiaTheme="majorEastAsia" w:cstheme="majorEastAsia"/>
          <w:b w:val="0"/>
          <w:bCs w:val="0"/>
          <w:color w:val="auto"/>
          <w:sz w:val="20"/>
          <w:szCs w:val="20"/>
          <w:highlight w:val="none"/>
        </w:rPr>
        <w:t>所有服务风险</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应给所有驻场服务人员购买职业保险</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若发生劳动争议或其他法律或经济纠纷的，由中标人负全责，与招标人无关。</w:t>
      </w:r>
    </w:p>
    <w:p w14:paraId="0287D71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必须要求所有驻场</w:t>
      </w:r>
      <w:r>
        <w:rPr>
          <w:rFonts w:hint="eastAsia" w:asciiTheme="majorEastAsia" w:hAnsiTheme="majorEastAsia" w:eastAsiaTheme="majorEastAsia" w:cstheme="majorEastAsia"/>
          <w:b w:val="0"/>
          <w:bCs w:val="0"/>
          <w:color w:val="auto"/>
          <w:sz w:val="20"/>
          <w:szCs w:val="20"/>
          <w:highlight w:val="none"/>
          <w:lang w:val="en-US" w:eastAsia="zh-CN"/>
        </w:rPr>
        <w:t>服务</w:t>
      </w:r>
      <w:r>
        <w:rPr>
          <w:rFonts w:hint="eastAsia" w:asciiTheme="majorEastAsia" w:hAnsiTheme="majorEastAsia" w:eastAsiaTheme="majorEastAsia" w:cstheme="majorEastAsia"/>
          <w:b w:val="0"/>
          <w:bCs w:val="0"/>
          <w:color w:val="auto"/>
          <w:sz w:val="20"/>
          <w:szCs w:val="20"/>
          <w:highlight w:val="none"/>
        </w:rPr>
        <w:t>人员服从</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的管理，严格执行</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的规章制度及工作内容，并无条件接受并配合</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对服务工作的监督和检查。</w:t>
      </w:r>
    </w:p>
    <w:p w14:paraId="7C47D24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13、中标人所有驻场服务人员必须每年进行一次与从业相关的体检，确保身体状况符合服务岗位要求，并且每年至少接受一次卫生知识培训，以提升服务过程中的卫生标准执行能力。体检报告及书面培训资料及培训记录必须及时提交给招标人备案，以证明服务团队的健康状况和专业素养。</w:t>
      </w:r>
      <w:r>
        <w:rPr>
          <w:rFonts w:hint="eastAsia" w:asciiTheme="majorEastAsia" w:hAnsiTheme="majorEastAsia" w:eastAsiaTheme="majorEastAsia" w:cstheme="majorEastAsia"/>
          <w:b w:val="0"/>
          <w:bCs w:val="0"/>
          <w:color w:val="auto"/>
          <w:sz w:val="20"/>
          <w:szCs w:val="20"/>
          <w:highlight w:val="none"/>
        </w:rPr>
        <w:t>由于</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员工健康问题而造成疾病的感染和传播，</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应负由此产生的经济和法律责任。</w:t>
      </w:r>
    </w:p>
    <w:p w14:paraId="2D33E8C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b/>
          <w:bCs/>
          <w:color w:val="auto"/>
          <w:kern w:val="2"/>
          <w:sz w:val="20"/>
          <w:szCs w:val="20"/>
          <w:highlight w:val="none"/>
          <w:lang w:val="en-US" w:eastAsia="zh-Hans" w:bidi="ar-SA"/>
        </w:rPr>
      </w:pPr>
      <w:r>
        <w:rPr>
          <w:rFonts w:hint="eastAsia" w:asciiTheme="majorEastAsia" w:hAnsiTheme="majorEastAsia" w:eastAsiaTheme="majorEastAsia" w:cstheme="majorEastAsia"/>
          <w:b/>
          <w:bCs/>
          <w:color w:val="auto"/>
          <w:kern w:val="2"/>
          <w:sz w:val="20"/>
          <w:szCs w:val="20"/>
          <w:highlight w:val="none"/>
          <w:lang w:val="en-US" w:eastAsia="zh-Hans" w:bidi="ar-SA"/>
        </w:rPr>
        <w:t>（</w:t>
      </w:r>
      <w:r>
        <w:rPr>
          <w:rFonts w:hint="eastAsia" w:asciiTheme="majorEastAsia" w:hAnsiTheme="majorEastAsia" w:eastAsiaTheme="majorEastAsia" w:cstheme="majorEastAsia"/>
          <w:b/>
          <w:bCs/>
          <w:color w:val="auto"/>
          <w:kern w:val="2"/>
          <w:sz w:val="20"/>
          <w:szCs w:val="20"/>
          <w:highlight w:val="none"/>
          <w:lang w:val="en-US" w:eastAsia="zh-CN" w:bidi="ar-SA"/>
        </w:rPr>
        <w:t>四</w:t>
      </w:r>
      <w:r>
        <w:rPr>
          <w:rFonts w:hint="eastAsia" w:asciiTheme="majorEastAsia" w:hAnsiTheme="majorEastAsia" w:eastAsiaTheme="majorEastAsia" w:cstheme="majorEastAsia"/>
          <w:b/>
          <w:bCs/>
          <w:color w:val="auto"/>
          <w:kern w:val="2"/>
          <w:sz w:val="20"/>
          <w:szCs w:val="20"/>
          <w:highlight w:val="none"/>
          <w:lang w:val="en-US" w:eastAsia="zh-Hans" w:bidi="ar-SA"/>
        </w:rPr>
        <w:t>）食堂管理服务工作内容以及标准</w:t>
      </w:r>
    </w:p>
    <w:p w14:paraId="387640D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中标人负责食堂的日常事务管理，保证</w:t>
      </w:r>
      <w:r>
        <w:rPr>
          <w:rFonts w:hint="eastAsia" w:asciiTheme="majorEastAsia" w:hAnsiTheme="majorEastAsia" w:eastAsiaTheme="majorEastAsia" w:cstheme="majorEastAsia"/>
          <w:b w:val="0"/>
          <w:bCs w:val="0"/>
          <w:color w:val="auto"/>
          <w:kern w:val="2"/>
          <w:sz w:val="20"/>
          <w:szCs w:val="20"/>
          <w:highlight w:val="none"/>
          <w:lang w:val="en-US" w:eastAsia="zh-CN" w:bidi="ar-SA"/>
        </w:rPr>
        <w:t>招标人</w:t>
      </w:r>
      <w:r>
        <w:rPr>
          <w:rFonts w:hint="eastAsia" w:asciiTheme="majorEastAsia" w:hAnsiTheme="majorEastAsia" w:eastAsiaTheme="majorEastAsia" w:cstheme="majorEastAsia"/>
          <w:b w:val="0"/>
          <w:bCs w:val="0"/>
          <w:color w:val="auto"/>
          <w:kern w:val="2"/>
          <w:sz w:val="20"/>
          <w:szCs w:val="20"/>
          <w:highlight w:val="none"/>
          <w:lang w:val="en-US" w:eastAsia="zh-Hans" w:bidi="ar-SA"/>
        </w:rPr>
        <w:t>工作日及节假日正常就餐服务。</w:t>
      </w:r>
      <w:r>
        <w:rPr>
          <w:rFonts w:hint="eastAsia" w:asciiTheme="majorEastAsia" w:hAnsiTheme="majorEastAsia" w:eastAsiaTheme="majorEastAsia" w:cstheme="majorEastAsia"/>
          <w:b w:val="0"/>
          <w:bCs w:val="0"/>
          <w:color w:val="auto"/>
          <w:kern w:val="2"/>
          <w:sz w:val="20"/>
          <w:szCs w:val="20"/>
          <w:highlight w:val="none"/>
          <w:lang w:val="en-US" w:eastAsia="zh-CN" w:bidi="ar-SA"/>
        </w:rPr>
        <w:t>招标人</w:t>
      </w:r>
      <w:r>
        <w:rPr>
          <w:rFonts w:hint="eastAsia" w:asciiTheme="majorEastAsia" w:hAnsiTheme="majorEastAsia" w:eastAsiaTheme="majorEastAsia" w:cstheme="majorEastAsia"/>
          <w:b w:val="0"/>
          <w:bCs w:val="0"/>
          <w:color w:val="auto"/>
          <w:kern w:val="2"/>
          <w:sz w:val="20"/>
          <w:szCs w:val="20"/>
          <w:highlight w:val="none"/>
          <w:lang w:val="en-US" w:eastAsia="zh-Hans" w:bidi="ar-SA"/>
        </w:rPr>
        <w:t>提供食堂场地和</w:t>
      </w:r>
      <w:r>
        <w:rPr>
          <w:rFonts w:hint="eastAsia" w:asciiTheme="majorEastAsia" w:hAnsiTheme="majorEastAsia" w:eastAsiaTheme="majorEastAsia" w:cstheme="majorEastAsia"/>
          <w:b w:val="0"/>
          <w:bCs w:val="0"/>
          <w:color w:val="auto"/>
          <w:kern w:val="2"/>
          <w:sz w:val="20"/>
          <w:szCs w:val="20"/>
          <w:highlight w:val="none"/>
          <w:lang w:val="en-US" w:eastAsia="zh-CN" w:bidi="ar-SA"/>
        </w:rPr>
        <w:t>部分</w:t>
      </w:r>
      <w:r>
        <w:rPr>
          <w:rFonts w:hint="eastAsia" w:asciiTheme="majorEastAsia" w:hAnsiTheme="majorEastAsia" w:eastAsiaTheme="majorEastAsia" w:cstheme="majorEastAsia"/>
          <w:b w:val="0"/>
          <w:bCs w:val="0"/>
          <w:color w:val="auto"/>
          <w:kern w:val="2"/>
          <w:sz w:val="20"/>
          <w:szCs w:val="20"/>
          <w:highlight w:val="none"/>
          <w:lang w:val="en-US" w:eastAsia="zh-Hans" w:bidi="ar-SA"/>
        </w:rPr>
        <w:t>餐厨设备等硬件设施，</w:t>
      </w:r>
      <w:r>
        <w:rPr>
          <w:rFonts w:hint="eastAsia" w:asciiTheme="majorEastAsia" w:hAnsiTheme="majorEastAsia" w:eastAsiaTheme="majorEastAsia" w:cstheme="majorEastAsia"/>
          <w:b w:val="0"/>
          <w:bCs w:val="0"/>
          <w:color w:val="auto"/>
          <w:kern w:val="2"/>
          <w:sz w:val="20"/>
          <w:szCs w:val="20"/>
          <w:highlight w:val="none"/>
          <w:lang w:val="en-US" w:eastAsia="zh-CN" w:bidi="ar-SA"/>
        </w:rPr>
        <w:t>但不</w:t>
      </w:r>
      <w:r>
        <w:rPr>
          <w:rFonts w:hint="eastAsia" w:asciiTheme="majorEastAsia" w:hAnsiTheme="majorEastAsia" w:eastAsiaTheme="majorEastAsia" w:cstheme="majorEastAsia"/>
          <w:b w:val="0"/>
          <w:bCs w:val="0"/>
          <w:color w:val="auto"/>
          <w:kern w:val="2"/>
          <w:sz w:val="20"/>
          <w:szCs w:val="20"/>
          <w:highlight w:val="none"/>
          <w:lang w:val="en-US" w:eastAsia="zh-Hans" w:bidi="ar-SA"/>
        </w:rPr>
        <w:t>承担硬件设施维修费用。</w:t>
      </w:r>
      <w:r>
        <w:rPr>
          <w:rFonts w:hint="eastAsia" w:asciiTheme="majorEastAsia" w:hAnsiTheme="majorEastAsia" w:eastAsiaTheme="majorEastAsia" w:cstheme="majorEastAsia"/>
          <w:b w:val="0"/>
          <w:bCs w:val="0"/>
          <w:color w:val="auto"/>
          <w:kern w:val="2"/>
          <w:sz w:val="20"/>
          <w:szCs w:val="20"/>
          <w:highlight w:val="none"/>
          <w:lang w:val="en-US" w:eastAsia="zh-CN" w:bidi="ar-SA"/>
        </w:rPr>
        <w:t>（如中央空调、食堂厨具等等）</w:t>
      </w:r>
      <w:r>
        <w:rPr>
          <w:rFonts w:hint="eastAsia" w:asciiTheme="majorEastAsia" w:hAnsiTheme="majorEastAsia" w:eastAsiaTheme="majorEastAsia" w:cstheme="majorEastAsia"/>
          <w:b w:val="0"/>
          <w:bCs w:val="0"/>
          <w:color w:val="auto"/>
          <w:kern w:val="2"/>
          <w:sz w:val="20"/>
          <w:szCs w:val="20"/>
          <w:highlight w:val="none"/>
          <w:lang w:val="en-US" w:eastAsia="zh-Hans" w:bidi="ar-SA"/>
        </w:rPr>
        <w:t>食堂管理服务工作标准详见《日常工作操作标准表》。</w:t>
      </w:r>
    </w:p>
    <w:tbl>
      <w:tblPr>
        <w:tblStyle w:val="43"/>
        <w:tblW w:w="10596"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4"/>
        <w:gridCol w:w="1550"/>
        <w:gridCol w:w="1729"/>
        <w:gridCol w:w="6513"/>
      </w:tblGrid>
      <w:tr w14:paraId="6A0607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596"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44C2CA">
            <w:pPr>
              <w:keepNext w:val="0"/>
              <w:keepLines w:val="0"/>
              <w:pageBreakBefore w:val="0"/>
              <w:suppressLineNumbers w:val="0"/>
              <w:kinsoku/>
              <w:overflowPunct/>
              <w:topLinePunct w:val="0"/>
              <w:bidi w:val="0"/>
              <w:adjustRightInd/>
              <w:snapToGrid/>
              <w:spacing w:before="0" w:beforeAutospacing="0" w:after="0" w:afterAutospacing="0" w:line="400" w:lineRule="exact"/>
              <w:ind w:left="0" w:leftChars="0" w:right="0" w:firstLine="0" w:firstLineChars="0"/>
              <w:jc w:val="center"/>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日常工作操作标准表</w:t>
            </w:r>
          </w:p>
        </w:tc>
      </w:tr>
      <w:tr w14:paraId="370304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64C35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序号</w:t>
            </w:r>
          </w:p>
        </w:tc>
        <w:tc>
          <w:tcPr>
            <w:tcW w:w="155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4FE8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类别</w:t>
            </w:r>
          </w:p>
        </w:tc>
        <w:tc>
          <w:tcPr>
            <w:tcW w:w="17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B09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项目</w:t>
            </w:r>
          </w:p>
        </w:tc>
        <w:tc>
          <w:tcPr>
            <w:tcW w:w="651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53DD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工作标准内容</w:t>
            </w:r>
          </w:p>
        </w:tc>
      </w:tr>
      <w:tr w14:paraId="33DB50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456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5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C4E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物品管理</w:t>
            </w: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EF50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物品清理</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0741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各功能间无多余物品</w:t>
            </w:r>
          </w:p>
        </w:tc>
      </w:tr>
      <w:tr w14:paraId="74256F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62C8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550" w:type="dxa"/>
            <w:vMerge w:val="continue"/>
            <w:tcBorders>
              <w:top w:val="nil"/>
              <w:left w:val="single" w:color="000000" w:sz="4" w:space="0"/>
              <w:bottom w:val="single" w:color="000000" w:sz="4" w:space="0"/>
              <w:right w:val="single" w:color="000000" w:sz="4" w:space="0"/>
            </w:tcBorders>
            <w:vAlign w:val="top"/>
          </w:tcPr>
          <w:p w14:paraId="2C97B9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7C814F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FA95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破损设施、器具及时维修、清理</w:t>
            </w:r>
          </w:p>
        </w:tc>
      </w:tr>
      <w:tr w14:paraId="30470D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D779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550" w:type="dxa"/>
            <w:vMerge w:val="continue"/>
            <w:tcBorders>
              <w:top w:val="nil"/>
              <w:left w:val="single" w:color="000000" w:sz="4" w:space="0"/>
              <w:bottom w:val="single" w:color="000000" w:sz="4" w:space="0"/>
              <w:right w:val="single" w:color="000000" w:sz="4" w:space="0"/>
            </w:tcBorders>
            <w:vAlign w:val="top"/>
          </w:tcPr>
          <w:p w14:paraId="45AB4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1DF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个人物品</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67EE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个人物品集中摆放</w:t>
            </w:r>
          </w:p>
        </w:tc>
      </w:tr>
      <w:tr w14:paraId="398483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34D1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550" w:type="dxa"/>
            <w:vMerge w:val="continue"/>
            <w:tcBorders>
              <w:top w:val="nil"/>
              <w:left w:val="single" w:color="000000" w:sz="4" w:space="0"/>
              <w:bottom w:val="single" w:color="000000" w:sz="4" w:space="0"/>
              <w:right w:val="single" w:color="000000" w:sz="4" w:space="0"/>
            </w:tcBorders>
            <w:vAlign w:val="top"/>
          </w:tcPr>
          <w:p w14:paraId="39BF0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69D9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C0A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个人水杯、毛巾统一存放于指定位置</w:t>
            </w:r>
          </w:p>
        </w:tc>
      </w:tr>
      <w:tr w14:paraId="1B876D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7F8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550" w:type="dxa"/>
            <w:vMerge w:val="continue"/>
            <w:tcBorders>
              <w:top w:val="nil"/>
              <w:left w:val="single" w:color="000000" w:sz="4" w:space="0"/>
              <w:bottom w:val="single" w:color="000000" w:sz="4" w:space="0"/>
              <w:right w:val="single" w:color="000000" w:sz="4" w:space="0"/>
            </w:tcBorders>
            <w:vAlign w:val="top"/>
          </w:tcPr>
          <w:p w14:paraId="4D1BDB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D90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物品分层存放</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7A1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各功能区内物品按使用频率分低中高用量合理放置</w:t>
            </w:r>
          </w:p>
        </w:tc>
      </w:tr>
      <w:tr w14:paraId="0F2DE0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408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550" w:type="dxa"/>
            <w:vMerge w:val="continue"/>
            <w:tcBorders>
              <w:top w:val="nil"/>
              <w:left w:val="single" w:color="000000" w:sz="4" w:space="0"/>
              <w:bottom w:val="single" w:color="000000" w:sz="4" w:space="0"/>
              <w:right w:val="single" w:color="000000" w:sz="4" w:space="0"/>
            </w:tcBorders>
            <w:vAlign w:val="top"/>
          </w:tcPr>
          <w:p w14:paraId="20836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2C1F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物品标识标签</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56B6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待加工食品与直接入口食品的加工工具和容器有明显区分标识</w:t>
            </w:r>
          </w:p>
        </w:tc>
      </w:tr>
      <w:tr w14:paraId="29F5BE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C84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550" w:type="dxa"/>
            <w:vMerge w:val="continue"/>
            <w:tcBorders>
              <w:top w:val="nil"/>
              <w:left w:val="single" w:color="000000" w:sz="4" w:space="0"/>
              <w:bottom w:val="single" w:color="000000" w:sz="4" w:space="0"/>
              <w:right w:val="single" w:color="000000" w:sz="4" w:space="0"/>
            </w:tcBorders>
            <w:vAlign w:val="top"/>
          </w:tcPr>
          <w:p w14:paraId="1E4BE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425E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45E0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所有食品/化学物品需有标识或标签，其规格和样式统一、齐整、无模糊现象</w:t>
            </w:r>
          </w:p>
        </w:tc>
      </w:tr>
      <w:tr w14:paraId="61DB6F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B69E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550" w:type="dxa"/>
            <w:vMerge w:val="continue"/>
            <w:tcBorders>
              <w:top w:val="nil"/>
              <w:left w:val="single" w:color="000000" w:sz="4" w:space="0"/>
              <w:bottom w:val="single" w:color="000000" w:sz="4" w:space="0"/>
              <w:right w:val="single" w:color="000000" w:sz="4" w:space="0"/>
            </w:tcBorders>
            <w:vAlign w:val="top"/>
          </w:tcPr>
          <w:p w14:paraId="72DD1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9F28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物品摆放</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4C1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无使用有颜色胶袋盛装食品</w:t>
            </w:r>
          </w:p>
        </w:tc>
      </w:tr>
      <w:tr w14:paraId="287A80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E0C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550" w:type="dxa"/>
            <w:vMerge w:val="continue"/>
            <w:tcBorders>
              <w:top w:val="nil"/>
              <w:left w:val="single" w:color="000000" w:sz="4" w:space="0"/>
              <w:bottom w:val="single" w:color="000000" w:sz="4" w:space="0"/>
              <w:right w:val="single" w:color="000000" w:sz="4" w:space="0"/>
            </w:tcBorders>
            <w:vAlign w:val="top"/>
          </w:tcPr>
          <w:p w14:paraId="243F8A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293B7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6D09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纸箱、纸皮、鸡蛋纸托不能进入食品加工区及仓库</w:t>
            </w:r>
          </w:p>
        </w:tc>
      </w:tr>
      <w:tr w14:paraId="6E5B14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B9A5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550" w:type="dxa"/>
            <w:vMerge w:val="continue"/>
            <w:tcBorders>
              <w:top w:val="nil"/>
              <w:left w:val="single" w:color="000000" w:sz="4" w:space="0"/>
              <w:bottom w:val="single" w:color="000000" w:sz="4" w:space="0"/>
              <w:right w:val="single" w:color="000000" w:sz="4" w:space="0"/>
            </w:tcBorders>
            <w:vAlign w:val="top"/>
          </w:tcPr>
          <w:p w14:paraId="329C93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5773D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205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食品与非食品，分区隔离存放</w:t>
            </w:r>
          </w:p>
        </w:tc>
      </w:tr>
      <w:tr w14:paraId="043D39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E761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550" w:type="dxa"/>
            <w:vMerge w:val="continue"/>
            <w:tcBorders>
              <w:top w:val="nil"/>
              <w:left w:val="single" w:color="000000" w:sz="4" w:space="0"/>
              <w:bottom w:val="single" w:color="000000" w:sz="4" w:space="0"/>
              <w:right w:val="single" w:color="000000" w:sz="4" w:space="0"/>
            </w:tcBorders>
            <w:vAlign w:val="top"/>
          </w:tcPr>
          <w:p w14:paraId="34D28D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52B6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ABDE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各功能间内物品按标签、划线规定摆放</w:t>
            </w:r>
          </w:p>
        </w:tc>
      </w:tr>
      <w:tr w14:paraId="44E220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06C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550" w:type="dxa"/>
            <w:vMerge w:val="continue"/>
            <w:tcBorders>
              <w:top w:val="nil"/>
              <w:left w:val="single" w:color="000000" w:sz="4" w:space="0"/>
              <w:bottom w:val="single" w:color="000000" w:sz="4" w:space="0"/>
              <w:right w:val="single" w:color="000000" w:sz="4" w:space="0"/>
            </w:tcBorders>
            <w:vAlign w:val="top"/>
          </w:tcPr>
          <w:p w14:paraId="6B25F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69052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07C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操作区域内的散装食品放入统一规格的容器</w:t>
            </w:r>
          </w:p>
        </w:tc>
      </w:tr>
      <w:tr w14:paraId="121B3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73DA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550" w:type="dxa"/>
            <w:vMerge w:val="continue"/>
            <w:tcBorders>
              <w:top w:val="nil"/>
              <w:left w:val="single" w:color="000000" w:sz="4" w:space="0"/>
              <w:bottom w:val="single" w:color="000000" w:sz="4" w:space="0"/>
              <w:right w:val="single" w:color="000000" w:sz="4" w:space="0"/>
            </w:tcBorders>
            <w:vAlign w:val="top"/>
          </w:tcPr>
          <w:p w14:paraId="53BB04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54EF0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3CAE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用于清扫清洗和消毒的设备、用具，用毕放置在专用的场所或区域</w:t>
            </w:r>
          </w:p>
        </w:tc>
      </w:tr>
      <w:tr w14:paraId="00D91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DCC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5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F344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食品加工管理</w:t>
            </w: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B8FD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作业规程</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3C00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食品加工过程中不能用水冲地或台面</w:t>
            </w:r>
          </w:p>
        </w:tc>
      </w:tr>
      <w:tr w14:paraId="2807F9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8EA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550" w:type="dxa"/>
            <w:vMerge w:val="continue"/>
            <w:tcBorders>
              <w:top w:val="nil"/>
              <w:left w:val="single" w:color="000000" w:sz="4" w:space="0"/>
              <w:bottom w:val="single" w:color="000000" w:sz="4" w:space="0"/>
              <w:right w:val="single" w:color="000000" w:sz="4" w:space="0"/>
            </w:tcBorders>
            <w:vAlign w:val="top"/>
          </w:tcPr>
          <w:p w14:paraId="6C643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0A279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D0B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厨师不能直接用菜勺试味，应采用专用的碗筷试味</w:t>
            </w:r>
          </w:p>
        </w:tc>
      </w:tr>
      <w:tr w14:paraId="0B1CB4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D7EC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1550" w:type="dxa"/>
            <w:vMerge w:val="continue"/>
            <w:tcBorders>
              <w:top w:val="nil"/>
              <w:left w:val="single" w:color="000000" w:sz="4" w:space="0"/>
              <w:bottom w:val="single" w:color="000000" w:sz="4" w:space="0"/>
              <w:right w:val="single" w:color="000000" w:sz="4" w:space="0"/>
            </w:tcBorders>
            <w:vAlign w:val="top"/>
          </w:tcPr>
          <w:p w14:paraId="01D95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0073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4BD5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盛装食品的容器不直接置于地上，以防止食品污染</w:t>
            </w:r>
          </w:p>
        </w:tc>
      </w:tr>
      <w:tr w14:paraId="00FB52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7A0C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17</w:t>
            </w:r>
          </w:p>
        </w:tc>
        <w:tc>
          <w:tcPr>
            <w:tcW w:w="1550" w:type="dxa"/>
            <w:vMerge w:val="continue"/>
            <w:tcBorders>
              <w:top w:val="nil"/>
              <w:left w:val="single" w:color="000000" w:sz="4" w:space="0"/>
              <w:bottom w:val="single" w:color="000000" w:sz="4" w:space="0"/>
              <w:right w:val="single" w:color="000000" w:sz="4" w:space="0"/>
            </w:tcBorders>
            <w:vAlign w:val="top"/>
          </w:tcPr>
          <w:p w14:paraId="77ED6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5C516F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EA3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待加工食品与直接入口食品的加工工具和容器按标示规定的用途使用</w:t>
            </w:r>
          </w:p>
        </w:tc>
      </w:tr>
      <w:tr w14:paraId="36CF22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6EA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18</w:t>
            </w:r>
          </w:p>
        </w:tc>
        <w:tc>
          <w:tcPr>
            <w:tcW w:w="1550" w:type="dxa"/>
            <w:vMerge w:val="continue"/>
            <w:tcBorders>
              <w:top w:val="nil"/>
              <w:left w:val="single" w:color="000000" w:sz="4" w:space="0"/>
              <w:bottom w:val="single" w:color="000000" w:sz="4" w:space="0"/>
              <w:right w:val="single" w:color="000000" w:sz="4" w:space="0"/>
            </w:tcBorders>
            <w:vAlign w:val="top"/>
          </w:tcPr>
          <w:p w14:paraId="62D0E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8E49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A0D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清洗肉类、蔬菜、水产，按照清洗水池标示功能清洗</w:t>
            </w:r>
          </w:p>
        </w:tc>
      </w:tr>
      <w:tr w14:paraId="3B638C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7F0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19</w:t>
            </w:r>
          </w:p>
        </w:tc>
        <w:tc>
          <w:tcPr>
            <w:tcW w:w="1550" w:type="dxa"/>
            <w:vMerge w:val="continue"/>
            <w:tcBorders>
              <w:top w:val="nil"/>
              <w:left w:val="single" w:color="000000" w:sz="4" w:space="0"/>
              <w:bottom w:val="single" w:color="000000" w:sz="4" w:space="0"/>
              <w:right w:val="single" w:color="000000" w:sz="4" w:space="0"/>
            </w:tcBorders>
            <w:vAlign w:val="top"/>
          </w:tcPr>
          <w:p w14:paraId="59A30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433CED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2F81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直接入口食品则全部存放在熟食间，熟食间内保证没有非直接入口食品</w:t>
            </w:r>
          </w:p>
        </w:tc>
      </w:tr>
      <w:tr w14:paraId="05F6D6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2A1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20</w:t>
            </w:r>
          </w:p>
        </w:tc>
        <w:tc>
          <w:tcPr>
            <w:tcW w:w="1550" w:type="dxa"/>
            <w:vMerge w:val="continue"/>
            <w:tcBorders>
              <w:top w:val="nil"/>
              <w:left w:val="single" w:color="000000" w:sz="4" w:space="0"/>
              <w:bottom w:val="single" w:color="000000" w:sz="4" w:space="0"/>
              <w:right w:val="single" w:color="000000" w:sz="4" w:space="0"/>
            </w:tcBorders>
            <w:vAlign w:val="top"/>
          </w:tcPr>
          <w:p w14:paraId="578B11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5E0E2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055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用于食品加工操作的设备及工具不得用于食品加工无关的用途</w:t>
            </w:r>
          </w:p>
        </w:tc>
      </w:tr>
      <w:tr w14:paraId="36AD19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91F5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21</w:t>
            </w:r>
          </w:p>
        </w:tc>
        <w:tc>
          <w:tcPr>
            <w:tcW w:w="15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CA6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环境卫生管理</w:t>
            </w:r>
          </w:p>
          <w:p w14:paraId="724E5A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5CA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烹调间与食品处理区域清洁要求</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845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制定清洁值日表</w:t>
            </w:r>
          </w:p>
        </w:tc>
      </w:tr>
      <w:tr w14:paraId="561110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3BC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22</w:t>
            </w:r>
          </w:p>
        </w:tc>
        <w:tc>
          <w:tcPr>
            <w:tcW w:w="1550" w:type="dxa"/>
            <w:vMerge w:val="continue"/>
            <w:tcBorders>
              <w:top w:val="nil"/>
              <w:left w:val="single" w:color="000000" w:sz="4" w:space="0"/>
              <w:bottom w:val="single" w:color="000000" w:sz="4" w:space="0"/>
              <w:right w:val="single" w:color="000000" w:sz="4" w:space="0"/>
            </w:tcBorders>
            <w:vAlign w:val="top"/>
          </w:tcPr>
          <w:p w14:paraId="06B14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3D82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172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各区域有明确清洁责任人</w:t>
            </w:r>
          </w:p>
        </w:tc>
      </w:tr>
      <w:tr w14:paraId="174C5C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EF9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23</w:t>
            </w:r>
          </w:p>
        </w:tc>
        <w:tc>
          <w:tcPr>
            <w:tcW w:w="1550" w:type="dxa"/>
            <w:vMerge w:val="continue"/>
            <w:tcBorders>
              <w:top w:val="nil"/>
              <w:left w:val="single" w:color="000000" w:sz="4" w:space="0"/>
              <w:bottom w:val="single" w:color="000000" w:sz="4" w:space="0"/>
              <w:right w:val="single" w:color="000000" w:sz="4" w:space="0"/>
            </w:tcBorders>
            <w:vAlign w:val="top"/>
          </w:tcPr>
          <w:p w14:paraId="05F47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0AE5D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A61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墙面、屋顶、墙角无积尘，无蜘蛛网</w:t>
            </w:r>
          </w:p>
        </w:tc>
      </w:tr>
      <w:tr w14:paraId="4F1F82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BF9B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24</w:t>
            </w:r>
          </w:p>
        </w:tc>
        <w:tc>
          <w:tcPr>
            <w:tcW w:w="1550" w:type="dxa"/>
            <w:vMerge w:val="continue"/>
            <w:tcBorders>
              <w:top w:val="nil"/>
              <w:left w:val="single" w:color="000000" w:sz="4" w:space="0"/>
              <w:bottom w:val="single" w:color="000000" w:sz="4" w:space="0"/>
              <w:right w:val="single" w:color="000000" w:sz="4" w:space="0"/>
            </w:tcBorders>
            <w:vAlign w:val="top"/>
          </w:tcPr>
          <w:p w14:paraId="56E8EB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049451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341D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墙面、屋顶、门窗等无破损，无发霉、发黑现象</w:t>
            </w:r>
          </w:p>
        </w:tc>
      </w:tr>
      <w:tr w14:paraId="484DE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FD6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25</w:t>
            </w:r>
          </w:p>
        </w:tc>
        <w:tc>
          <w:tcPr>
            <w:tcW w:w="1550" w:type="dxa"/>
            <w:vMerge w:val="continue"/>
            <w:tcBorders>
              <w:top w:val="nil"/>
              <w:left w:val="single" w:color="000000" w:sz="4" w:space="0"/>
              <w:bottom w:val="single" w:color="000000" w:sz="4" w:space="0"/>
              <w:right w:val="single" w:color="000000" w:sz="4" w:space="0"/>
            </w:tcBorders>
            <w:vAlign w:val="top"/>
          </w:tcPr>
          <w:p w14:paraId="0B9A09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4CF06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DB5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工作台面、物品架（柜）、仓库物品摆放整齐清洁</w:t>
            </w:r>
          </w:p>
        </w:tc>
      </w:tr>
      <w:tr w14:paraId="2CCFAA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05B6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26</w:t>
            </w:r>
          </w:p>
        </w:tc>
        <w:tc>
          <w:tcPr>
            <w:tcW w:w="1550" w:type="dxa"/>
            <w:vMerge w:val="continue"/>
            <w:tcBorders>
              <w:top w:val="nil"/>
              <w:left w:val="single" w:color="000000" w:sz="4" w:space="0"/>
              <w:bottom w:val="single" w:color="000000" w:sz="4" w:space="0"/>
              <w:right w:val="single" w:color="000000" w:sz="4" w:space="0"/>
            </w:tcBorders>
            <w:vAlign w:val="top"/>
          </w:tcPr>
          <w:p w14:paraId="191790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601FD9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C2C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除粗加工、餐具洗消间外，地面应无水渍，保持干燥</w:t>
            </w:r>
          </w:p>
        </w:tc>
      </w:tr>
      <w:tr w14:paraId="4A21E7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09C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27</w:t>
            </w:r>
          </w:p>
        </w:tc>
        <w:tc>
          <w:tcPr>
            <w:tcW w:w="1550" w:type="dxa"/>
            <w:vMerge w:val="continue"/>
            <w:tcBorders>
              <w:top w:val="nil"/>
              <w:left w:val="single" w:color="000000" w:sz="4" w:space="0"/>
              <w:bottom w:val="single" w:color="000000" w:sz="4" w:space="0"/>
              <w:right w:val="single" w:color="000000" w:sz="4" w:space="0"/>
            </w:tcBorders>
            <w:vAlign w:val="top"/>
          </w:tcPr>
          <w:p w14:paraId="27C8C0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49991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2EC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墙面、地面无油腻，走路不沾脚</w:t>
            </w:r>
          </w:p>
        </w:tc>
      </w:tr>
      <w:tr w14:paraId="7643E7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34A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w:t>
            </w:r>
          </w:p>
        </w:tc>
        <w:tc>
          <w:tcPr>
            <w:tcW w:w="1550" w:type="dxa"/>
            <w:vMerge w:val="continue"/>
            <w:tcBorders>
              <w:top w:val="nil"/>
              <w:left w:val="single" w:color="000000" w:sz="4" w:space="0"/>
              <w:bottom w:val="single" w:color="000000" w:sz="4" w:space="0"/>
              <w:right w:val="single" w:color="000000" w:sz="4" w:space="0"/>
            </w:tcBorders>
            <w:vAlign w:val="top"/>
          </w:tcPr>
          <w:p w14:paraId="7E889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0A8DA0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426C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固体废弃物分类整理、当日清运</w:t>
            </w:r>
          </w:p>
        </w:tc>
      </w:tr>
      <w:tr w14:paraId="60E5A5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08A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29</w:t>
            </w:r>
          </w:p>
        </w:tc>
        <w:tc>
          <w:tcPr>
            <w:tcW w:w="1550" w:type="dxa"/>
            <w:vMerge w:val="continue"/>
            <w:tcBorders>
              <w:top w:val="nil"/>
              <w:left w:val="single" w:color="000000" w:sz="4" w:space="0"/>
              <w:bottom w:val="single" w:color="000000" w:sz="4" w:space="0"/>
              <w:right w:val="single" w:color="000000" w:sz="4" w:space="0"/>
            </w:tcBorders>
            <w:vAlign w:val="top"/>
          </w:tcPr>
          <w:p w14:paraId="51DB4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2D48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8B5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工作现场垃圾桶加盖、表面清洁</w:t>
            </w:r>
          </w:p>
        </w:tc>
      </w:tr>
      <w:tr w14:paraId="753FB0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3A6D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30</w:t>
            </w:r>
          </w:p>
        </w:tc>
        <w:tc>
          <w:tcPr>
            <w:tcW w:w="1550" w:type="dxa"/>
            <w:vMerge w:val="continue"/>
            <w:tcBorders>
              <w:top w:val="nil"/>
              <w:left w:val="single" w:color="000000" w:sz="4" w:space="0"/>
              <w:bottom w:val="single" w:color="000000" w:sz="4" w:space="0"/>
              <w:right w:val="single" w:color="000000" w:sz="4" w:space="0"/>
            </w:tcBorders>
            <w:vAlign w:val="top"/>
          </w:tcPr>
          <w:p w14:paraId="4BB4E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D6B8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粗加工和切配区域</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D47D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水池内外壁清洁，无残留物、无污垢</w:t>
            </w:r>
          </w:p>
        </w:tc>
      </w:tr>
      <w:tr w14:paraId="05DA5C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6A72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31</w:t>
            </w:r>
          </w:p>
        </w:tc>
        <w:tc>
          <w:tcPr>
            <w:tcW w:w="1550" w:type="dxa"/>
            <w:vMerge w:val="continue"/>
            <w:tcBorders>
              <w:top w:val="nil"/>
              <w:left w:val="single" w:color="000000" w:sz="4" w:space="0"/>
              <w:bottom w:val="single" w:color="000000" w:sz="4" w:space="0"/>
              <w:right w:val="single" w:color="000000" w:sz="4" w:space="0"/>
            </w:tcBorders>
            <w:vAlign w:val="top"/>
          </w:tcPr>
          <w:p w14:paraId="621F11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6F21D8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5A0E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切配工具、墩头及时清洗、归位、侧立存放</w:t>
            </w:r>
          </w:p>
        </w:tc>
      </w:tr>
      <w:tr w14:paraId="367121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603E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32</w:t>
            </w:r>
          </w:p>
        </w:tc>
        <w:tc>
          <w:tcPr>
            <w:tcW w:w="1550" w:type="dxa"/>
            <w:vMerge w:val="continue"/>
            <w:tcBorders>
              <w:top w:val="nil"/>
              <w:left w:val="single" w:color="000000" w:sz="4" w:space="0"/>
              <w:bottom w:val="single" w:color="000000" w:sz="4" w:space="0"/>
              <w:right w:val="single" w:color="000000" w:sz="4" w:space="0"/>
            </w:tcBorders>
            <w:vAlign w:val="top"/>
          </w:tcPr>
          <w:p w14:paraId="3E218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7D8A91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D803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废弃物及时清理，废弃物容器及时加盖</w:t>
            </w:r>
          </w:p>
        </w:tc>
      </w:tr>
      <w:tr w14:paraId="092F80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92D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33</w:t>
            </w:r>
          </w:p>
        </w:tc>
        <w:tc>
          <w:tcPr>
            <w:tcW w:w="1550" w:type="dxa"/>
            <w:vMerge w:val="continue"/>
            <w:tcBorders>
              <w:top w:val="nil"/>
              <w:left w:val="single" w:color="000000" w:sz="4" w:space="0"/>
              <w:bottom w:val="single" w:color="000000" w:sz="4" w:space="0"/>
              <w:right w:val="single" w:color="000000" w:sz="4" w:space="0"/>
            </w:tcBorders>
            <w:vAlign w:val="top"/>
          </w:tcPr>
          <w:p w14:paraId="3DBCE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289F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42A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盛放已经清洗净菜的箩筐不着地堆放</w:t>
            </w:r>
          </w:p>
        </w:tc>
      </w:tr>
      <w:tr w14:paraId="2F4E5B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053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34</w:t>
            </w:r>
          </w:p>
        </w:tc>
        <w:tc>
          <w:tcPr>
            <w:tcW w:w="1550" w:type="dxa"/>
            <w:vMerge w:val="continue"/>
            <w:tcBorders>
              <w:top w:val="nil"/>
              <w:left w:val="single" w:color="000000" w:sz="4" w:space="0"/>
              <w:bottom w:val="single" w:color="000000" w:sz="4" w:space="0"/>
              <w:right w:val="single" w:color="000000" w:sz="4" w:space="0"/>
            </w:tcBorders>
            <w:vAlign w:val="top"/>
          </w:tcPr>
          <w:p w14:paraId="01B83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5C7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烹调间</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E95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油烟罩、排烟管表面光亮、无油污</w:t>
            </w:r>
          </w:p>
        </w:tc>
      </w:tr>
      <w:tr w14:paraId="017240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BCA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35</w:t>
            </w:r>
          </w:p>
        </w:tc>
        <w:tc>
          <w:tcPr>
            <w:tcW w:w="1550" w:type="dxa"/>
            <w:vMerge w:val="continue"/>
            <w:tcBorders>
              <w:top w:val="nil"/>
              <w:left w:val="single" w:color="000000" w:sz="4" w:space="0"/>
              <w:bottom w:val="single" w:color="000000" w:sz="4" w:space="0"/>
              <w:right w:val="single" w:color="000000" w:sz="4" w:space="0"/>
            </w:tcBorders>
            <w:vAlign w:val="top"/>
          </w:tcPr>
          <w:p w14:paraId="53E6A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015B7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5D46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调味品排列整齐有序、容器表面清洁</w:t>
            </w:r>
          </w:p>
        </w:tc>
      </w:tr>
      <w:tr w14:paraId="482C5B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F64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36</w:t>
            </w:r>
          </w:p>
        </w:tc>
        <w:tc>
          <w:tcPr>
            <w:tcW w:w="1550" w:type="dxa"/>
            <w:vMerge w:val="continue"/>
            <w:tcBorders>
              <w:top w:val="nil"/>
              <w:left w:val="single" w:color="000000" w:sz="4" w:space="0"/>
              <w:bottom w:val="single" w:color="000000" w:sz="4" w:space="0"/>
              <w:right w:val="single" w:color="000000" w:sz="4" w:space="0"/>
            </w:tcBorders>
            <w:vAlign w:val="top"/>
          </w:tcPr>
          <w:p w14:paraId="20BD74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5891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2FE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生熟需分开、不存在交叉污染</w:t>
            </w:r>
          </w:p>
        </w:tc>
      </w:tr>
      <w:tr w14:paraId="6DA7B8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9C24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w:t>
            </w:r>
          </w:p>
        </w:tc>
        <w:tc>
          <w:tcPr>
            <w:tcW w:w="1550" w:type="dxa"/>
            <w:vMerge w:val="continue"/>
            <w:tcBorders>
              <w:top w:val="nil"/>
              <w:left w:val="single" w:color="000000" w:sz="4" w:space="0"/>
              <w:bottom w:val="single" w:color="000000" w:sz="4" w:space="0"/>
              <w:right w:val="single" w:color="000000" w:sz="4" w:space="0"/>
            </w:tcBorders>
            <w:vAlign w:val="top"/>
          </w:tcPr>
          <w:p w14:paraId="634748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08FA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3DEC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无使用配菜盘直接盛放烹饪后的成品菜</w:t>
            </w:r>
          </w:p>
        </w:tc>
      </w:tr>
      <w:tr w14:paraId="65D634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9FF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38</w:t>
            </w:r>
          </w:p>
        </w:tc>
        <w:tc>
          <w:tcPr>
            <w:tcW w:w="1550" w:type="dxa"/>
            <w:vMerge w:val="continue"/>
            <w:tcBorders>
              <w:top w:val="nil"/>
              <w:left w:val="single" w:color="000000" w:sz="4" w:space="0"/>
              <w:bottom w:val="single" w:color="000000" w:sz="4" w:space="0"/>
              <w:right w:val="single" w:color="000000" w:sz="4" w:space="0"/>
            </w:tcBorders>
            <w:vAlign w:val="top"/>
          </w:tcPr>
          <w:p w14:paraId="5D206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5A8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餐具</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26EA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餐具清洗后表面无残渣</w:t>
            </w:r>
          </w:p>
        </w:tc>
      </w:tr>
      <w:tr w14:paraId="6314A1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154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39</w:t>
            </w:r>
          </w:p>
        </w:tc>
        <w:tc>
          <w:tcPr>
            <w:tcW w:w="1550" w:type="dxa"/>
            <w:vMerge w:val="continue"/>
            <w:tcBorders>
              <w:top w:val="nil"/>
              <w:left w:val="single" w:color="000000" w:sz="4" w:space="0"/>
              <w:bottom w:val="single" w:color="000000" w:sz="4" w:space="0"/>
              <w:right w:val="single" w:color="000000" w:sz="4" w:space="0"/>
            </w:tcBorders>
            <w:vAlign w:val="top"/>
          </w:tcPr>
          <w:p w14:paraId="06B48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9F44E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AA7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餐具表面无油腻、热力消毒后餐具表面无水渍</w:t>
            </w:r>
          </w:p>
        </w:tc>
      </w:tr>
      <w:tr w14:paraId="78530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A41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40</w:t>
            </w:r>
          </w:p>
        </w:tc>
        <w:tc>
          <w:tcPr>
            <w:tcW w:w="1550" w:type="dxa"/>
            <w:vMerge w:val="continue"/>
            <w:tcBorders>
              <w:top w:val="nil"/>
              <w:left w:val="single" w:color="000000" w:sz="4" w:space="0"/>
              <w:bottom w:val="single" w:color="000000" w:sz="4" w:space="0"/>
              <w:right w:val="single" w:color="000000" w:sz="4" w:space="0"/>
            </w:tcBorders>
            <w:vAlign w:val="top"/>
          </w:tcPr>
          <w:p w14:paraId="4264AF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4D30D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B3C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消毒餐具及时放置保洁柜，内部整洁，与标识相符</w:t>
            </w:r>
          </w:p>
        </w:tc>
      </w:tr>
      <w:tr w14:paraId="0ADCFB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F340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41</w:t>
            </w:r>
          </w:p>
        </w:tc>
        <w:tc>
          <w:tcPr>
            <w:tcW w:w="1550" w:type="dxa"/>
            <w:vMerge w:val="continue"/>
            <w:tcBorders>
              <w:top w:val="nil"/>
              <w:left w:val="single" w:color="000000" w:sz="4" w:space="0"/>
              <w:bottom w:val="single" w:color="000000" w:sz="4" w:space="0"/>
              <w:right w:val="single" w:color="000000" w:sz="4" w:space="0"/>
            </w:tcBorders>
            <w:vAlign w:val="top"/>
          </w:tcPr>
          <w:p w14:paraId="766821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4EF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熟食和配餐间</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CDE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空气新鲜、台面无残渣</w:t>
            </w:r>
          </w:p>
        </w:tc>
      </w:tr>
      <w:tr w14:paraId="7D9294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202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42</w:t>
            </w:r>
          </w:p>
        </w:tc>
        <w:tc>
          <w:tcPr>
            <w:tcW w:w="1550" w:type="dxa"/>
            <w:vMerge w:val="continue"/>
            <w:tcBorders>
              <w:top w:val="nil"/>
              <w:left w:val="single" w:color="000000" w:sz="4" w:space="0"/>
              <w:bottom w:val="single" w:color="000000" w:sz="4" w:space="0"/>
              <w:right w:val="single" w:color="000000" w:sz="4" w:space="0"/>
            </w:tcBorders>
            <w:vAlign w:val="top"/>
          </w:tcPr>
          <w:p w14:paraId="6E23B7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B51F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717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消毒灯有定期开与关</w:t>
            </w:r>
          </w:p>
        </w:tc>
      </w:tr>
      <w:tr w14:paraId="2E0AA8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4DBB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43</w:t>
            </w:r>
          </w:p>
        </w:tc>
        <w:tc>
          <w:tcPr>
            <w:tcW w:w="1550" w:type="dxa"/>
            <w:vMerge w:val="continue"/>
            <w:tcBorders>
              <w:top w:val="nil"/>
              <w:left w:val="single" w:color="000000" w:sz="4" w:space="0"/>
              <w:bottom w:val="single" w:color="000000" w:sz="4" w:space="0"/>
              <w:right w:val="single" w:color="000000" w:sz="4" w:space="0"/>
            </w:tcBorders>
            <w:vAlign w:val="top"/>
          </w:tcPr>
          <w:p w14:paraId="5BCF4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814A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F03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每天清洁空调，运转正常、温度显示25°C以下</w:t>
            </w:r>
          </w:p>
        </w:tc>
      </w:tr>
      <w:tr w14:paraId="50623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BCF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44</w:t>
            </w:r>
          </w:p>
        </w:tc>
        <w:tc>
          <w:tcPr>
            <w:tcW w:w="1550" w:type="dxa"/>
            <w:vMerge w:val="continue"/>
            <w:tcBorders>
              <w:top w:val="nil"/>
              <w:left w:val="single" w:color="000000" w:sz="4" w:space="0"/>
              <w:bottom w:val="single" w:color="000000" w:sz="4" w:space="0"/>
              <w:right w:val="single" w:color="000000" w:sz="4" w:space="0"/>
            </w:tcBorders>
            <w:vAlign w:val="top"/>
          </w:tcPr>
          <w:p w14:paraId="38E23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05C67D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693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履行洗手及消毒制度</w:t>
            </w:r>
          </w:p>
        </w:tc>
      </w:tr>
      <w:tr w14:paraId="2190E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7BC6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45</w:t>
            </w:r>
          </w:p>
        </w:tc>
        <w:tc>
          <w:tcPr>
            <w:tcW w:w="1550" w:type="dxa"/>
            <w:vMerge w:val="continue"/>
            <w:tcBorders>
              <w:top w:val="nil"/>
              <w:left w:val="single" w:color="000000" w:sz="4" w:space="0"/>
              <w:bottom w:val="single" w:color="000000" w:sz="4" w:space="0"/>
              <w:right w:val="single" w:color="000000" w:sz="4" w:space="0"/>
            </w:tcBorders>
            <w:vAlign w:val="top"/>
          </w:tcPr>
          <w:p w14:paraId="0FF4E1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8111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洗手消毒</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63B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合理配置洗手消毒液，消毒液浓度为50PPM</w:t>
            </w:r>
          </w:p>
        </w:tc>
      </w:tr>
      <w:tr w14:paraId="326575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6A7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46</w:t>
            </w:r>
          </w:p>
        </w:tc>
        <w:tc>
          <w:tcPr>
            <w:tcW w:w="1550" w:type="dxa"/>
            <w:vMerge w:val="continue"/>
            <w:tcBorders>
              <w:top w:val="nil"/>
              <w:left w:val="single" w:color="000000" w:sz="4" w:space="0"/>
              <w:bottom w:val="single" w:color="000000" w:sz="4" w:space="0"/>
              <w:right w:val="single" w:color="000000" w:sz="4" w:space="0"/>
            </w:tcBorders>
            <w:vAlign w:val="top"/>
          </w:tcPr>
          <w:p w14:paraId="7B22E2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9BED0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E0C3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有洗手标准图解</w:t>
            </w:r>
          </w:p>
        </w:tc>
      </w:tr>
      <w:tr w14:paraId="593D1D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26B2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47</w:t>
            </w:r>
          </w:p>
        </w:tc>
        <w:tc>
          <w:tcPr>
            <w:tcW w:w="1550" w:type="dxa"/>
            <w:vMerge w:val="continue"/>
            <w:tcBorders>
              <w:top w:val="nil"/>
              <w:left w:val="single" w:color="000000" w:sz="4" w:space="0"/>
              <w:bottom w:val="single" w:color="000000" w:sz="4" w:space="0"/>
              <w:right w:val="single" w:color="000000" w:sz="4" w:space="0"/>
            </w:tcBorders>
            <w:vAlign w:val="top"/>
          </w:tcPr>
          <w:p w14:paraId="7D1A9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C3C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食堂楼面</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02D1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桌椅整洁、定位放置、桌椅表面无灰尘</w:t>
            </w:r>
          </w:p>
        </w:tc>
      </w:tr>
      <w:tr w14:paraId="0B24CA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5A2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48</w:t>
            </w:r>
          </w:p>
        </w:tc>
        <w:tc>
          <w:tcPr>
            <w:tcW w:w="1550" w:type="dxa"/>
            <w:vMerge w:val="continue"/>
            <w:tcBorders>
              <w:top w:val="nil"/>
              <w:left w:val="single" w:color="000000" w:sz="4" w:space="0"/>
              <w:bottom w:val="single" w:color="000000" w:sz="4" w:space="0"/>
              <w:right w:val="single" w:color="000000" w:sz="4" w:space="0"/>
            </w:tcBorders>
            <w:vAlign w:val="top"/>
          </w:tcPr>
          <w:p w14:paraId="2796B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4D67A2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5016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室内绿化定期更换</w:t>
            </w:r>
          </w:p>
        </w:tc>
      </w:tr>
      <w:tr w14:paraId="035C07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EC40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49</w:t>
            </w:r>
          </w:p>
        </w:tc>
        <w:tc>
          <w:tcPr>
            <w:tcW w:w="1550" w:type="dxa"/>
            <w:vMerge w:val="continue"/>
            <w:tcBorders>
              <w:top w:val="nil"/>
              <w:left w:val="single" w:color="000000" w:sz="4" w:space="0"/>
              <w:bottom w:val="single" w:color="000000" w:sz="4" w:space="0"/>
              <w:right w:val="single" w:color="000000" w:sz="4" w:space="0"/>
            </w:tcBorders>
            <w:vAlign w:val="top"/>
          </w:tcPr>
          <w:p w14:paraId="0A4C7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66DF7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90E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制定清洁操作要求，保持窗帘、地毯整洁，无污渍、无异味</w:t>
            </w:r>
          </w:p>
        </w:tc>
      </w:tr>
      <w:tr w14:paraId="57C73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40A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50</w:t>
            </w:r>
          </w:p>
        </w:tc>
        <w:tc>
          <w:tcPr>
            <w:tcW w:w="1550" w:type="dxa"/>
            <w:vMerge w:val="continue"/>
            <w:tcBorders>
              <w:top w:val="nil"/>
              <w:left w:val="single" w:color="000000" w:sz="4" w:space="0"/>
              <w:bottom w:val="single" w:color="000000" w:sz="4" w:space="0"/>
              <w:right w:val="single" w:color="000000" w:sz="4" w:space="0"/>
            </w:tcBorders>
            <w:vAlign w:val="top"/>
          </w:tcPr>
          <w:p w14:paraId="4713B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AF66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冰箱冷库</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3FA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水产品类、畜禽肉类、果蔬类需独立分开存放</w:t>
            </w:r>
          </w:p>
        </w:tc>
      </w:tr>
      <w:tr w14:paraId="38EACC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B65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51</w:t>
            </w:r>
          </w:p>
        </w:tc>
        <w:tc>
          <w:tcPr>
            <w:tcW w:w="1550" w:type="dxa"/>
            <w:vMerge w:val="continue"/>
            <w:tcBorders>
              <w:top w:val="nil"/>
              <w:left w:val="single" w:color="000000" w:sz="4" w:space="0"/>
              <w:bottom w:val="single" w:color="000000" w:sz="4" w:space="0"/>
              <w:right w:val="single" w:color="000000" w:sz="4" w:space="0"/>
            </w:tcBorders>
            <w:vAlign w:val="top"/>
          </w:tcPr>
          <w:p w14:paraId="3D6B62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D7CD6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0A13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所有食品需上盖或上保鲜膜进行防护</w:t>
            </w:r>
          </w:p>
        </w:tc>
      </w:tr>
      <w:tr w14:paraId="53FC0A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503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52</w:t>
            </w:r>
          </w:p>
        </w:tc>
        <w:tc>
          <w:tcPr>
            <w:tcW w:w="1550" w:type="dxa"/>
            <w:vMerge w:val="continue"/>
            <w:tcBorders>
              <w:top w:val="nil"/>
              <w:left w:val="single" w:color="000000" w:sz="4" w:space="0"/>
              <w:bottom w:val="single" w:color="000000" w:sz="4" w:space="0"/>
              <w:right w:val="single" w:color="000000" w:sz="4" w:space="0"/>
            </w:tcBorders>
            <w:vAlign w:val="top"/>
          </w:tcPr>
          <w:p w14:paraId="621B58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4E37A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3BF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生熟需分开存放（原料、半成品、熟制品需分开）</w:t>
            </w:r>
          </w:p>
        </w:tc>
      </w:tr>
      <w:tr w14:paraId="35549E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F34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53</w:t>
            </w:r>
          </w:p>
        </w:tc>
        <w:tc>
          <w:tcPr>
            <w:tcW w:w="1550" w:type="dxa"/>
            <w:vMerge w:val="continue"/>
            <w:tcBorders>
              <w:top w:val="nil"/>
              <w:left w:val="single" w:color="000000" w:sz="4" w:space="0"/>
              <w:bottom w:val="single" w:color="000000" w:sz="4" w:space="0"/>
              <w:right w:val="single" w:color="000000" w:sz="4" w:space="0"/>
            </w:tcBorders>
            <w:vAlign w:val="top"/>
          </w:tcPr>
          <w:p w14:paraId="4621C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0BA9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34F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门的胶圈无水渍、无污渍</w:t>
            </w:r>
          </w:p>
        </w:tc>
      </w:tr>
      <w:tr w14:paraId="255906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4395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54</w:t>
            </w:r>
          </w:p>
        </w:tc>
        <w:tc>
          <w:tcPr>
            <w:tcW w:w="1550" w:type="dxa"/>
            <w:vMerge w:val="continue"/>
            <w:tcBorders>
              <w:top w:val="nil"/>
              <w:left w:val="single" w:color="000000" w:sz="4" w:space="0"/>
              <w:bottom w:val="single" w:color="000000" w:sz="4" w:space="0"/>
              <w:right w:val="single" w:color="000000" w:sz="4" w:space="0"/>
            </w:tcBorders>
            <w:vAlign w:val="top"/>
          </w:tcPr>
          <w:p w14:paraId="281B20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53872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95A4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冷藏（保鲜）温度0-10</w:t>
            </w:r>
            <w:r>
              <w:rPr>
                <w:rFonts w:hint="eastAsia" w:ascii="仿宋" w:hAnsi="仿宋" w:eastAsia="仿宋" w:cs="仿宋"/>
                <w:color w:val="auto"/>
                <w:sz w:val="21"/>
                <w:szCs w:val="21"/>
                <w:highlight w:val="none"/>
                <w:lang w:val="en-US" w:eastAsia="zh-Hans"/>
              </w:rPr>
              <w:t>°C</w:t>
            </w:r>
            <w:r>
              <w:rPr>
                <w:rFonts w:hint="eastAsia" w:asciiTheme="majorEastAsia" w:hAnsiTheme="majorEastAsia" w:eastAsiaTheme="majorEastAsia" w:cstheme="majorEastAsia"/>
                <w:color w:val="auto"/>
                <w:sz w:val="20"/>
                <w:szCs w:val="20"/>
                <w:highlight w:val="none"/>
                <w:lang w:val="en-US" w:eastAsia="zh-Hans"/>
              </w:rPr>
              <w:t>；冷冻（急冻）温度为-18</w:t>
            </w:r>
            <w:r>
              <w:rPr>
                <w:rFonts w:hint="eastAsia" w:ascii="仿宋" w:hAnsi="仿宋" w:eastAsia="仿宋" w:cs="仿宋"/>
                <w:color w:val="auto"/>
                <w:sz w:val="21"/>
                <w:szCs w:val="21"/>
                <w:highlight w:val="none"/>
                <w:lang w:val="en-US" w:eastAsia="zh-Hans"/>
              </w:rPr>
              <w:t>°C</w:t>
            </w:r>
            <w:r>
              <w:rPr>
                <w:rFonts w:hint="eastAsia" w:asciiTheme="majorEastAsia" w:hAnsiTheme="majorEastAsia" w:eastAsiaTheme="majorEastAsia" w:cstheme="majorEastAsia"/>
                <w:color w:val="auto"/>
                <w:sz w:val="20"/>
                <w:szCs w:val="20"/>
                <w:highlight w:val="none"/>
                <w:lang w:val="en-US" w:eastAsia="zh-Hans"/>
              </w:rPr>
              <w:t>以下</w:t>
            </w:r>
          </w:p>
        </w:tc>
      </w:tr>
      <w:tr w14:paraId="585BC1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9071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55</w:t>
            </w:r>
          </w:p>
        </w:tc>
        <w:tc>
          <w:tcPr>
            <w:tcW w:w="1550" w:type="dxa"/>
            <w:vMerge w:val="continue"/>
            <w:tcBorders>
              <w:top w:val="nil"/>
              <w:left w:val="single" w:color="000000" w:sz="4" w:space="0"/>
              <w:bottom w:val="single" w:color="000000" w:sz="4" w:space="0"/>
              <w:right w:val="single" w:color="000000" w:sz="4" w:space="0"/>
            </w:tcBorders>
            <w:vAlign w:val="top"/>
          </w:tcPr>
          <w:p w14:paraId="30D57B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45F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下水道</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D86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下水道每日清理，无沉积污水、污物</w:t>
            </w:r>
          </w:p>
        </w:tc>
      </w:tr>
      <w:tr w14:paraId="4F5662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CF7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56</w:t>
            </w:r>
          </w:p>
        </w:tc>
        <w:tc>
          <w:tcPr>
            <w:tcW w:w="1550" w:type="dxa"/>
            <w:vMerge w:val="continue"/>
            <w:tcBorders>
              <w:top w:val="nil"/>
              <w:left w:val="single" w:color="000000" w:sz="4" w:space="0"/>
              <w:bottom w:val="single" w:color="000000" w:sz="4" w:space="0"/>
              <w:right w:val="single" w:color="000000" w:sz="4" w:space="0"/>
            </w:tcBorders>
            <w:vAlign w:val="top"/>
          </w:tcPr>
          <w:p w14:paraId="67660D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0583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除“四害”</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862A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各功能区域内及时消除“四害”</w:t>
            </w:r>
          </w:p>
        </w:tc>
      </w:tr>
      <w:tr w14:paraId="6E02FA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737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57</w:t>
            </w:r>
          </w:p>
        </w:tc>
        <w:tc>
          <w:tcPr>
            <w:tcW w:w="15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CEF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VI管理</w:t>
            </w: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6185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公告栏宣传</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D078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有“五常”管理宣传版面</w:t>
            </w:r>
          </w:p>
        </w:tc>
      </w:tr>
      <w:tr w14:paraId="7A5AEC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EAB2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58</w:t>
            </w:r>
          </w:p>
        </w:tc>
        <w:tc>
          <w:tcPr>
            <w:tcW w:w="1550" w:type="dxa"/>
            <w:vMerge w:val="continue"/>
            <w:tcBorders>
              <w:top w:val="nil"/>
              <w:left w:val="single" w:color="000000" w:sz="4" w:space="0"/>
              <w:bottom w:val="single" w:color="000000" w:sz="4" w:space="0"/>
              <w:right w:val="single" w:color="000000" w:sz="4" w:space="0"/>
            </w:tcBorders>
            <w:vAlign w:val="top"/>
          </w:tcPr>
          <w:p w14:paraId="575CF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5F69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F0E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内容定期更换，保持版面清洁</w:t>
            </w:r>
          </w:p>
        </w:tc>
      </w:tr>
      <w:tr w14:paraId="086ACE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3D6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59</w:t>
            </w:r>
          </w:p>
        </w:tc>
        <w:tc>
          <w:tcPr>
            <w:tcW w:w="15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BBAA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食品安全管理</w:t>
            </w:r>
          </w:p>
        </w:tc>
        <w:tc>
          <w:tcPr>
            <w:tcW w:w="172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7154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索证以及资料</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43011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食品台账资料完整（有管理组织文件、人员名单、管理制度、管理表格、索证、人员健康证资料、</w:t>
            </w:r>
            <w:r>
              <w:rPr>
                <w:rFonts w:hint="eastAsia" w:asciiTheme="majorEastAsia" w:hAnsiTheme="majorEastAsia" w:eastAsiaTheme="majorEastAsia" w:cstheme="majorEastAsia"/>
                <w:color w:val="auto"/>
                <w:sz w:val="20"/>
                <w:szCs w:val="20"/>
                <w:highlight w:val="none"/>
                <w:lang w:val="en-US" w:eastAsia="zh-CN"/>
              </w:rPr>
              <w:t>中标人</w:t>
            </w:r>
            <w:r>
              <w:rPr>
                <w:rFonts w:hint="eastAsia" w:asciiTheme="majorEastAsia" w:hAnsiTheme="majorEastAsia" w:eastAsiaTheme="majorEastAsia" w:cstheme="majorEastAsia"/>
                <w:color w:val="auto"/>
                <w:sz w:val="20"/>
                <w:szCs w:val="20"/>
                <w:highlight w:val="none"/>
                <w:lang w:val="en-US" w:eastAsia="zh-Hans"/>
              </w:rPr>
              <w:t>资质、餐具消毒/食品留样等）</w:t>
            </w:r>
          </w:p>
        </w:tc>
      </w:tr>
      <w:tr w14:paraId="385016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4969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60</w:t>
            </w:r>
          </w:p>
        </w:tc>
        <w:tc>
          <w:tcPr>
            <w:tcW w:w="1550" w:type="dxa"/>
            <w:vMerge w:val="continue"/>
            <w:tcBorders>
              <w:top w:val="nil"/>
              <w:left w:val="single" w:color="000000" w:sz="4" w:space="0"/>
              <w:bottom w:val="single" w:color="000000" w:sz="4" w:space="0"/>
              <w:right w:val="single" w:color="000000" w:sz="4" w:space="0"/>
            </w:tcBorders>
            <w:vAlign w:val="top"/>
          </w:tcPr>
          <w:p w14:paraId="28C81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B66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安全生产操作</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2A19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电路电线无外露，开关、电控箱保持良好</w:t>
            </w:r>
          </w:p>
        </w:tc>
      </w:tr>
      <w:tr w14:paraId="6CBC44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40C6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61</w:t>
            </w:r>
          </w:p>
        </w:tc>
        <w:tc>
          <w:tcPr>
            <w:tcW w:w="1550" w:type="dxa"/>
            <w:vMerge w:val="continue"/>
            <w:tcBorders>
              <w:top w:val="nil"/>
              <w:left w:val="single" w:color="000000" w:sz="4" w:space="0"/>
              <w:bottom w:val="single" w:color="000000" w:sz="4" w:space="0"/>
              <w:right w:val="single" w:color="000000" w:sz="4" w:space="0"/>
            </w:tcBorders>
            <w:vAlign w:val="top"/>
          </w:tcPr>
          <w:p w14:paraId="4012B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C6A4A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DD4F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消防设施维护良好，无损坏现象</w:t>
            </w:r>
          </w:p>
        </w:tc>
      </w:tr>
      <w:tr w14:paraId="4E03EA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078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62</w:t>
            </w:r>
          </w:p>
        </w:tc>
        <w:tc>
          <w:tcPr>
            <w:tcW w:w="1550" w:type="dxa"/>
            <w:vMerge w:val="continue"/>
            <w:tcBorders>
              <w:top w:val="nil"/>
              <w:left w:val="single" w:color="000000" w:sz="4" w:space="0"/>
              <w:bottom w:val="single" w:color="000000" w:sz="4" w:space="0"/>
              <w:right w:val="single" w:color="000000" w:sz="4" w:space="0"/>
            </w:tcBorders>
            <w:vAlign w:val="top"/>
          </w:tcPr>
          <w:p w14:paraId="3B343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E92B5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49D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设备清洁时应关闭电源再清洁</w:t>
            </w:r>
          </w:p>
        </w:tc>
      </w:tr>
      <w:tr w14:paraId="41800B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1FA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63</w:t>
            </w:r>
          </w:p>
        </w:tc>
        <w:tc>
          <w:tcPr>
            <w:tcW w:w="1550" w:type="dxa"/>
            <w:vMerge w:val="continue"/>
            <w:tcBorders>
              <w:top w:val="nil"/>
              <w:left w:val="single" w:color="000000" w:sz="4" w:space="0"/>
              <w:bottom w:val="single" w:color="000000" w:sz="4" w:space="0"/>
              <w:right w:val="single" w:color="000000" w:sz="4" w:space="0"/>
            </w:tcBorders>
            <w:vAlign w:val="top"/>
          </w:tcPr>
          <w:p w14:paraId="51FE6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2B08D7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908F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设备操作人员需经过培训，应提供培训记录</w:t>
            </w:r>
          </w:p>
        </w:tc>
      </w:tr>
      <w:tr w14:paraId="646375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A21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64</w:t>
            </w:r>
          </w:p>
        </w:tc>
        <w:tc>
          <w:tcPr>
            <w:tcW w:w="1550" w:type="dxa"/>
            <w:vMerge w:val="continue"/>
            <w:tcBorders>
              <w:top w:val="nil"/>
              <w:left w:val="single" w:color="000000" w:sz="4" w:space="0"/>
              <w:bottom w:val="single" w:color="000000" w:sz="4" w:space="0"/>
              <w:right w:val="single" w:color="000000" w:sz="4" w:space="0"/>
            </w:tcBorders>
            <w:vAlign w:val="top"/>
          </w:tcPr>
          <w:p w14:paraId="1E03CB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6ABD0C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229F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不使用违禁食品、违禁食品添加剂和违禁化学品</w:t>
            </w:r>
          </w:p>
        </w:tc>
      </w:tr>
      <w:tr w14:paraId="0887E7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A6D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65</w:t>
            </w:r>
          </w:p>
        </w:tc>
        <w:tc>
          <w:tcPr>
            <w:tcW w:w="15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352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个人卫生管理</w:t>
            </w: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019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仪容仪表</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03BE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制订各部门员工的制服标准及仪表仪容标准</w:t>
            </w:r>
          </w:p>
        </w:tc>
      </w:tr>
      <w:tr w14:paraId="233E33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A56CA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66</w:t>
            </w:r>
          </w:p>
        </w:tc>
        <w:tc>
          <w:tcPr>
            <w:tcW w:w="1550" w:type="dxa"/>
            <w:vMerge w:val="continue"/>
            <w:tcBorders>
              <w:top w:val="nil"/>
              <w:left w:val="single" w:color="000000" w:sz="4" w:space="0"/>
              <w:bottom w:val="single" w:color="000000" w:sz="4" w:space="0"/>
              <w:right w:val="single" w:color="000000" w:sz="4" w:space="0"/>
            </w:tcBorders>
            <w:vAlign w:val="top"/>
          </w:tcPr>
          <w:p w14:paraId="6DE6D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3A9DC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61A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在更衣室设有标准仪容仪表图示，有穿衣镜</w:t>
            </w:r>
          </w:p>
        </w:tc>
      </w:tr>
      <w:tr w14:paraId="0207FC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EE9C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67</w:t>
            </w:r>
          </w:p>
        </w:tc>
        <w:tc>
          <w:tcPr>
            <w:tcW w:w="1550" w:type="dxa"/>
            <w:vMerge w:val="continue"/>
            <w:tcBorders>
              <w:top w:val="nil"/>
              <w:left w:val="single" w:color="000000" w:sz="4" w:space="0"/>
              <w:bottom w:val="single" w:color="000000" w:sz="4" w:space="0"/>
              <w:right w:val="single" w:color="000000" w:sz="4" w:space="0"/>
            </w:tcBorders>
            <w:vAlign w:val="top"/>
          </w:tcPr>
          <w:p w14:paraId="615C56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8F47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员工</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A13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人员健康证持证率100%</w:t>
            </w:r>
          </w:p>
        </w:tc>
      </w:tr>
      <w:tr w14:paraId="37E2FC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922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68</w:t>
            </w:r>
          </w:p>
        </w:tc>
        <w:tc>
          <w:tcPr>
            <w:tcW w:w="1550" w:type="dxa"/>
            <w:vMerge w:val="continue"/>
            <w:tcBorders>
              <w:top w:val="nil"/>
              <w:left w:val="single" w:color="000000" w:sz="4" w:space="0"/>
              <w:bottom w:val="single" w:color="000000" w:sz="4" w:space="0"/>
              <w:right w:val="single" w:color="000000" w:sz="4" w:space="0"/>
            </w:tcBorders>
            <w:vAlign w:val="top"/>
          </w:tcPr>
          <w:p w14:paraId="33E30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9FD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个人卫生</w:t>
            </w: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2A7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人员上岗时穿戴工作衣帽、工作鞋，着装符合要求</w:t>
            </w:r>
          </w:p>
        </w:tc>
      </w:tr>
      <w:tr w14:paraId="46EA5B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581D1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69</w:t>
            </w:r>
          </w:p>
        </w:tc>
        <w:tc>
          <w:tcPr>
            <w:tcW w:w="1550" w:type="dxa"/>
            <w:vMerge w:val="continue"/>
            <w:tcBorders>
              <w:top w:val="nil"/>
              <w:left w:val="single" w:color="000000" w:sz="4" w:space="0"/>
              <w:bottom w:val="single" w:color="000000" w:sz="4" w:space="0"/>
              <w:right w:val="single" w:color="000000" w:sz="4" w:space="0"/>
            </w:tcBorders>
            <w:vAlign w:val="top"/>
          </w:tcPr>
          <w:p w14:paraId="0BE69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6F0D89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2DF6E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人员上洗手间后需洗手消毒</w:t>
            </w:r>
          </w:p>
        </w:tc>
      </w:tr>
      <w:tr w14:paraId="4DEC96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31D1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70</w:t>
            </w:r>
          </w:p>
        </w:tc>
        <w:tc>
          <w:tcPr>
            <w:tcW w:w="1550" w:type="dxa"/>
            <w:vMerge w:val="continue"/>
            <w:tcBorders>
              <w:top w:val="nil"/>
              <w:left w:val="single" w:color="000000" w:sz="4" w:space="0"/>
              <w:bottom w:val="single" w:color="000000" w:sz="4" w:space="0"/>
              <w:right w:val="single" w:color="000000" w:sz="4" w:space="0"/>
            </w:tcBorders>
            <w:vAlign w:val="top"/>
          </w:tcPr>
          <w:p w14:paraId="4CAB5E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0E6A0D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0F0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人员无留长指甲，指甲无污垢，无戴首饰</w:t>
            </w:r>
          </w:p>
        </w:tc>
      </w:tr>
      <w:tr w14:paraId="405AAF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04"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806B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71</w:t>
            </w:r>
          </w:p>
        </w:tc>
        <w:tc>
          <w:tcPr>
            <w:tcW w:w="1550" w:type="dxa"/>
            <w:vMerge w:val="continue"/>
            <w:tcBorders>
              <w:top w:val="nil"/>
              <w:left w:val="single" w:color="000000" w:sz="4" w:space="0"/>
              <w:bottom w:val="single" w:color="000000" w:sz="4" w:space="0"/>
              <w:right w:val="single" w:color="000000" w:sz="4" w:space="0"/>
            </w:tcBorders>
            <w:vAlign w:val="top"/>
          </w:tcPr>
          <w:p w14:paraId="1F8B8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729" w:type="dxa"/>
            <w:vMerge w:val="continue"/>
            <w:tcBorders>
              <w:top w:val="nil"/>
              <w:left w:val="single" w:color="000000" w:sz="4" w:space="0"/>
              <w:bottom w:val="single" w:color="000000" w:sz="4" w:space="0"/>
              <w:right w:val="single" w:color="000000" w:sz="4" w:space="0"/>
            </w:tcBorders>
            <w:vAlign w:val="top"/>
          </w:tcPr>
          <w:p w14:paraId="106BF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651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9E5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人员进入专间需戴一次性口罩、一次性手套</w:t>
            </w:r>
          </w:p>
        </w:tc>
      </w:tr>
    </w:tbl>
    <w:p w14:paraId="306700A4">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bCs/>
          <w:color w:val="auto"/>
          <w:kern w:val="2"/>
          <w:sz w:val="20"/>
          <w:szCs w:val="20"/>
          <w:highlight w:val="none"/>
          <w:lang w:val="en-US" w:eastAsia="zh-Hans" w:bidi="ar-SA"/>
        </w:rPr>
      </w:pPr>
      <w:r>
        <w:rPr>
          <w:rFonts w:hint="eastAsia" w:asciiTheme="majorEastAsia" w:hAnsiTheme="majorEastAsia" w:eastAsiaTheme="majorEastAsia" w:cstheme="majorEastAsia"/>
          <w:b/>
          <w:bCs/>
          <w:color w:val="auto"/>
          <w:kern w:val="2"/>
          <w:sz w:val="20"/>
          <w:szCs w:val="20"/>
          <w:highlight w:val="none"/>
          <w:lang w:val="en-US" w:eastAsia="zh-Hans" w:bidi="ar-SA"/>
        </w:rPr>
        <w:t>（</w:t>
      </w:r>
      <w:r>
        <w:rPr>
          <w:rFonts w:hint="eastAsia" w:asciiTheme="majorEastAsia" w:hAnsiTheme="majorEastAsia" w:eastAsiaTheme="majorEastAsia" w:cstheme="majorEastAsia"/>
          <w:b/>
          <w:bCs/>
          <w:color w:val="auto"/>
          <w:kern w:val="2"/>
          <w:sz w:val="20"/>
          <w:szCs w:val="20"/>
          <w:highlight w:val="none"/>
          <w:lang w:val="en-US" w:eastAsia="zh-CN" w:bidi="ar-SA"/>
        </w:rPr>
        <w:t>五</w:t>
      </w:r>
      <w:r>
        <w:rPr>
          <w:rFonts w:hint="eastAsia" w:asciiTheme="majorEastAsia" w:hAnsiTheme="majorEastAsia" w:eastAsiaTheme="majorEastAsia" w:cstheme="majorEastAsia"/>
          <w:b/>
          <w:bCs/>
          <w:color w:val="auto"/>
          <w:kern w:val="2"/>
          <w:sz w:val="20"/>
          <w:szCs w:val="20"/>
          <w:highlight w:val="none"/>
          <w:lang w:val="en-US" w:eastAsia="zh-Hans" w:bidi="ar-SA"/>
        </w:rPr>
        <w:t>）环境卫生管理</w:t>
      </w:r>
    </w:p>
    <w:p w14:paraId="37F8B2A7">
      <w:pPr>
        <w:keepNext w:val="0"/>
        <w:keepLines w:val="0"/>
        <w:pageBreakBefore w:val="0"/>
        <w:widowControl w:val="0"/>
        <w:kinsoku/>
        <w:wordWrap/>
        <w:overflowPunct/>
        <w:topLinePunct w:val="0"/>
        <w:autoSpaceDE/>
        <w:autoSpaceDN/>
        <w:bidi w:val="0"/>
        <w:adjustRightInd/>
        <w:snapToGrid/>
        <w:spacing w:line="300" w:lineRule="exact"/>
        <w:ind w:left="0" w:leftChars="0" w:firstLine="500" w:firstLineChars="25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中标人须制定严格的餐饮卫生管理制度和食品安全突发事故应急预案，严格执行国家《中华人民共和国食品安全法》及《餐饮服务食品安全操作规范》，规范服务，卫生防疫、就餐环境须达到省级职能部门制定的标准。</w:t>
      </w:r>
    </w:p>
    <w:p w14:paraId="66736D7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（1）就餐环境要求良好，应保证食堂通风、干净卫生、地面无积水，有剩饭剩菜等垃圾处理设施，室内温度超过26℃应开电风扇或空调等。</w:t>
      </w:r>
    </w:p>
    <w:p w14:paraId="3282D9A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（2）中标人按照国家有关餐具卫生管理要求，做好公共餐具清洗和消毒工作。</w:t>
      </w:r>
    </w:p>
    <w:p w14:paraId="22E4822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（3）中标人负责打扫食堂区域的卫生，并实行门前三包。</w:t>
      </w:r>
    </w:p>
    <w:p w14:paraId="741072B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（4）食堂的馊水、食材废料、纸皮等由中标人负责及时处理，以保障厨房、食堂整体环境卫生。餐厨垃圾的处理应符合</w:t>
      </w:r>
      <w:r>
        <w:rPr>
          <w:rFonts w:hint="eastAsia" w:asciiTheme="majorEastAsia" w:hAnsiTheme="majorEastAsia" w:eastAsiaTheme="majorEastAsia" w:cstheme="majorEastAsia"/>
          <w:b w:val="0"/>
          <w:bCs w:val="0"/>
          <w:color w:val="auto"/>
          <w:kern w:val="2"/>
          <w:sz w:val="20"/>
          <w:szCs w:val="20"/>
          <w:highlight w:val="none"/>
          <w:lang w:val="en-US" w:eastAsia="zh-CN" w:bidi="ar-SA"/>
        </w:rPr>
        <w:t>汕尾</w:t>
      </w:r>
      <w:r>
        <w:rPr>
          <w:rFonts w:hint="eastAsia" w:asciiTheme="majorEastAsia" w:hAnsiTheme="majorEastAsia" w:eastAsiaTheme="majorEastAsia" w:cstheme="majorEastAsia"/>
          <w:b w:val="0"/>
          <w:bCs w:val="0"/>
          <w:color w:val="auto"/>
          <w:kern w:val="2"/>
          <w:sz w:val="20"/>
          <w:szCs w:val="20"/>
          <w:highlight w:val="none"/>
          <w:lang w:val="en-US" w:eastAsia="zh-Hans" w:bidi="ar-SA"/>
        </w:rPr>
        <w:t>市的有关规定。</w:t>
      </w:r>
    </w:p>
    <w:p w14:paraId="40C3B0E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（5）中标人须做好安全用水、用火、用电、煤气等工作，须服从</w:t>
      </w:r>
      <w:r>
        <w:rPr>
          <w:rFonts w:hint="eastAsia" w:asciiTheme="majorEastAsia" w:hAnsiTheme="majorEastAsia" w:eastAsiaTheme="majorEastAsia" w:cstheme="majorEastAsia"/>
          <w:b w:val="0"/>
          <w:bCs w:val="0"/>
          <w:color w:val="auto"/>
          <w:kern w:val="2"/>
          <w:sz w:val="20"/>
          <w:szCs w:val="20"/>
          <w:highlight w:val="none"/>
          <w:lang w:val="en-US" w:eastAsia="zh-CN" w:bidi="ar-SA"/>
        </w:rPr>
        <w:t>招标人</w:t>
      </w:r>
      <w:r>
        <w:rPr>
          <w:rFonts w:hint="eastAsia" w:asciiTheme="majorEastAsia" w:hAnsiTheme="majorEastAsia" w:eastAsiaTheme="majorEastAsia" w:cstheme="majorEastAsia"/>
          <w:b w:val="0"/>
          <w:bCs w:val="0"/>
          <w:color w:val="auto"/>
          <w:kern w:val="2"/>
          <w:sz w:val="20"/>
          <w:szCs w:val="20"/>
          <w:highlight w:val="none"/>
          <w:lang w:val="en-US" w:eastAsia="zh-Hans" w:bidi="ar-SA"/>
        </w:rPr>
        <w:t>的监督和检查。因中标人原因造成火灾及工伤等事故所造成的一切经济损失由中标人负责。</w:t>
      </w:r>
    </w:p>
    <w:p w14:paraId="2EB402F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b w:val="0"/>
          <w:bCs w:val="0"/>
          <w:color w:val="auto"/>
          <w:kern w:val="2"/>
          <w:sz w:val="20"/>
          <w:szCs w:val="20"/>
          <w:highlight w:val="none"/>
          <w:lang w:val="en-US" w:eastAsia="zh-Hans" w:bidi="ar-SA"/>
        </w:rPr>
        <w:t>（6）中标人为食品卫生安全直接责任人，须严格把好食品卫生安全关。中标人须做好食品留样等常规安全手续并做好存档资料工作。服务期间，因食堂食品安全造成的且经市场监督管理部门检查认定或卫生行政部门检验鉴定确认是中标人的责任所引起的食品安全事故，由中标人承担相关责任和支付全部罚金及一切费用，且</w:t>
      </w:r>
      <w:r>
        <w:rPr>
          <w:rFonts w:hint="eastAsia" w:asciiTheme="majorEastAsia" w:hAnsiTheme="majorEastAsia" w:eastAsiaTheme="majorEastAsia" w:cstheme="majorEastAsia"/>
          <w:b w:val="0"/>
          <w:bCs w:val="0"/>
          <w:color w:val="auto"/>
          <w:kern w:val="2"/>
          <w:sz w:val="20"/>
          <w:szCs w:val="20"/>
          <w:highlight w:val="none"/>
          <w:lang w:val="en-US" w:eastAsia="zh-CN" w:bidi="ar-SA"/>
        </w:rPr>
        <w:t>招标人</w:t>
      </w:r>
      <w:r>
        <w:rPr>
          <w:rFonts w:hint="eastAsia" w:asciiTheme="majorEastAsia" w:hAnsiTheme="majorEastAsia" w:eastAsiaTheme="majorEastAsia" w:cstheme="majorEastAsia"/>
          <w:b w:val="0"/>
          <w:bCs w:val="0"/>
          <w:color w:val="auto"/>
          <w:kern w:val="2"/>
          <w:sz w:val="20"/>
          <w:szCs w:val="20"/>
          <w:highlight w:val="none"/>
          <w:lang w:val="en-US" w:eastAsia="zh-Hans" w:bidi="ar-SA"/>
        </w:rPr>
        <w:t>有权立即取消中标人的服务资格。</w:t>
      </w:r>
    </w:p>
    <w:p w14:paraId="63E51B93">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sz w:val="20"/>
          <w:szCs w:val="20"/>
          <w:highlight w:val="none"/>
          <w:lang w:val="en-US" w:eastAsia="zh-CN"/>
        </w:rPr>
        <w:t>（六）</w:t>
      </w:r>
      <w:r>
        <w:rPr>
          <w:rFonts w:hint="eastAsia" w:asciiTheme="majorEastAsia" w:hAnsiTheme="majorEastAsia" w:eastAsiaTheme="majorEastAsia" w:cstheme="majorEastAsia"/>
          <w:b/>
          <w:bCs/>
          <w:color w:val="auto"/>
          <w:sz w:val="20"/>
          <w:szCs w:val="20"/>
          <w:highlight w:val="none"/>
        </w:rPr>
        <w:t>食品安全与质量管理要求</w:t>
      </w:r>
    </w:p>
    <w:p w14:paraId="2975F84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GB"/>
        </w:rPr>
        <w:t>★</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rPr>
        <w:t>食品原料要求：</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所采购粮油、肉蛋类、禽类、鱼类、蔬菜类、副食品类、调味类、食品添加剂等原料和物品必须符合《中华人民共和国食品安全法》《中华人民共和国动物防疫法》《食品安全国家标准餐饮服务通用卫生规范（GB31654-2021）》《餐饮服务食品安全操作规范》等相关规定，符合卫生标准和营养要求。（提供承诺函，格式自拟）</w:t>
      </w:r>
    </w:p>
    <w:p w14:paraId="7F24966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GB"/>
        </w:rPr>
        <w:t>★</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不得使用腐烂、变质、过期、有异物食品，食品原料索证索票齐全，符合食品卫生安全。应尽量采用新鲜食材，并尽量缩短食材存放期。当发现饭菜质量有变质或异常情况，要求5分钟内响应，处理或更换时间在15分钟内。（提供承诺函，格式自拟）</w:t>
      </w:r>
    </w:p>
    <w:p w14:paraId="3A9AF33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rPr>
        <w:t>食品供应渠道的溯源</w:t>
      </w:r>
    </w:p>
    <w:p w14:paraId="6A634F9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所有的食品、副食品及配料等必须由正规渠道购进，确保食材安全、无农药、无添加、确保最佳产地、确保非转基因。</w:t>
      </w:r>
    </w:p>
    <w:p w14:paraId="07AFB20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rPr>
        <w:t>★</w:t>
      </w:r>
      <w:r>
        <w:rPr>
          <w:rFonts w:hint="eastAsia" w:asciiTheme="majorEastAsia" w:hAnsiTheme="majorEastAsia" w:eastAsiaTheme="majorEastAsia" w:cstheme="majorEastAsia"/>
          <w:b w:val="0"/>
          <w:bCs w:val="0"/>
          <w:color w:val="auto"/>
          <w:sz w:val="20"/>
          <w:szCs w:val="20"/>
          <w:highlight w:val="none"/>
          <w:lang w:val="en-US" w:eastAsia="zh-CN"/>
        </w:rPr>
        <w:t>（2）中标人提供的食材中，应当包含向国家“832”平台注册企业采购的农产品，投标文件提供承诺函（加盖投标人公章）。</w:t>
      </w:r>
    </w:p>
    <w:p w14:paraId="4942EFC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lang w:val="en-US" w:eastAsia="zh-CN"/>
        </w:rPr>
        <w:t>应</w:t>
      </w:r>
      <w:r>
        <w:rPr>
          <w:rFonts w:hint="eastAsia" w:asciiTheme="majorEastAsia" w:hAnsiTheme="majorEastAsia" w:eastAsiaTheme="majorEastAsia" w:cstheme="majorEastAsia"/>
          <w:b w:val="0"/>
          <w:bCs w:val="0"/>
          <w:color w:val="auto"/>
          <w:sz w:val="20"/>
          <w:szCs w:val="20"/>
          <w:highlight w:val="none"/>
        </w:rPr>
        <w:t>设有专职采购员</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每次采购，严格做好进货验收和索票索证工作，建立采购台账（必须专人规范填写）、索证验收台账、</w:t>
      </w:r>
      <w:r>
        <w:rPr>
          <w:rFonts w:hint="eastAsia" w:asciiTheme="majorEastAsia" w:hAnsiTheme="majorEastAsia" w:eastAsiaTheme="majorEastAsia" w:cstheme="majorEastAsia"/>
          <w:b w:val="0"/>
          <w:bCs w:val="0"/>
          <w:color w:val="auto"/>
          <w:sz w:val="20"/>
          <w:szCs w:val="20"/>
          <w:highlight w:val="none"/>
          <w:lang w:val="en-US" w:eastAsia="zh-CN"/>
        </w:rPr>
        <w:t>食品</w:t>
      </w:r>
      <w:r>
        <w:rPr>
          <w:rFonts w:hint="eastAsia" w:asciiTheme="majorEastAsia" w:hAnsiTheme="majorEastAsia" w:eastAsiaTheme="majorEastAsia" w:cstheme="majorEastAsia"/>
          <w:b w:val="0"/>
          <w:bCs w:val="0"/>
          <w:color w:val="auto"/>
          <w:sz w:val="20"/>
          <w:szCs w:val="20"/>
          <w:highlight w:val="none"/>
          <w:lang w:eastAsia="zh-CN"/>
        </w:rPr>
        <w:t>供应商</w:t>
      </w:r>
      <w:r>
        <w:rPr>
          <w:rFonts w:hint="eastAsia" w:asciiTheme="majorEastAsia" w:hAnsiTheme="majorEastAsia" w:eastAsiaTheme="majorEastAsia" w:cstheme="majorEastAsia"/>
          <w:b w:val="0"/>
          <w:bCs w:val="0"/>
          <w:color w:val="auto"/>
          <w:sz w:val="20"/>
          <w:szCs w:val="20"/>
          <w:highlight w:val="none"/>
        </w:rPr>
        <w:t>资质证明台账等，索取</w:t>
      </w:r>
      <w:r>
        <w:rPr>
          <w:rFonts w:hint="eastAsia" w:asciiTheme="majorEastAsia" w:hAnsiTheme="majorEastAsia" w:eastAsiaTheme="majorEastAsia" w:cstheme="majorEastAsia"/>
          <w:b w:val="0"/>
          <w:bCs w:val="0"/>
          <w:color w:val="auto"/>
          <w:sz w:val="20"/>
          <w:szCs w:val="20"/>
          <w:highlight w:val="none"/>
          <w:lang w:val="en-US" w:eastAsia="zh-CN"/>
        </w:rPr>
        <w:t>食品</w:t>
      </w:r>
      <w:r>
        <w:rPr>
          <w:rFonts w:hint="eastAsia" w:asciiTheme="majorEastAsia" w:hAnsiTheme="majorEastAsia" w:eastAsiaTheme="majorEastAsia" w:cstheme="majorEastAsia"/>
          <w:b w:val="0"/>
          <w:bCs w:val="0"/>
          <w:color w:val="auto"/>
          <w:sz w:val="20"/>
          <w:szCs w:val="20"/>
          <w:highlight w:val="none"/>
          <w:lang w:eastAsia="zh-CN"/>
        </w:rPr>
        <w:t>供应商</w:t>
      </w:r>
      <w:r>
        <w:rPr>
          <w:rFonts w:hint="eastAsia" w:asciiTheme="majorEastAsia" w:hAnsiTheme="majorEastAsia" w:eastAsiaTheme="majorEastAsia" w:cstheme="majorEastAsia"/>
          <w:b w:val="0"/>
          <w:bCs w:val="0"/>
          <w:color w:val="auto"/>
          <w:sz w:val="20"/>
          <w:szCs w:val="20"/>
          <w:highlight w:val="none"/>
        </w:rPr>
        <w:t>有效的资质、检验检测合格证明等文件，包括但不仅限于《营业执照》《食品经营许可证》《产品质量检验报告》《出厂检验报告》《动物检疫合格证明》《肉品品质检验合格证》《送货清单》《购货凭据》；酒类、罐头、饮料、乳制品、调味品等食品，每批次的检验合格证或检验单；蔬菜等散装农副食品及鱼类等鲜活产品检验合格证明；一次性餐具检验合格证；清洁剂检验合格证明等。随时接受</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及上级部门的检查。</w:t>
      </w:r>
    </w:p>
    <w:p w14:paraId="752817E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rPr>
        <w:t>从食品原材料入手，建立食品安全追溯体系。所有肉类、蔬菜类、粮油类等</w:t>
      </w:r>
      <w:r>
        <w:rPr>
          <w:rFonts w:hint="eastAsia" w:asciiTheme="majorEastAsia" w:hAnsiTheme="majorEastAsia" w:eastAsiaTheme="majorEastAsia" w:cstheme="majorEastAsia"/>
          <w:b w:val="0"/>
          <w:bCs w:val="0"/>
          <w:color w:val="auto"/>
          <w:sz w:val="20"/>
          <w:szCs w:val="20"/>
          <w:highlight w:val="none"/>
          <w:lang w:val="en-US" w:eastAsia="zh-CN"/>
        </w:rPr>
        <w:t>应为</w:t>
      </w:r>
      <w:r>
        <w:rPr>
          <w:rFonts w:hint="eastAsia" w:asciiTheme="majorEastAsia" w:hAnsiTheme="majorEastAsia" w:eastAsiaTheme="majorEastAsia" w:cstheme="majorEastAsia"/>
          <w:b w:val="0"/>
          <w:bCs w:val="0"/>
          <w:color w:val="auto"/>
          <w:sz w:val="20"/>
          <w:szCs w:val="20"/>
          <w:highlight w:val="none"/>
        </w:rPr>
        <w:t>由具备供应资格、信誉良好的</w:t>
      </w:r>
      <w:r>
        <w:rPr>
          <w:rFonts w:hint="eastAsia" w:asciiTheme="majorEastAsia" w:hAnsiTheme="majorEastAsia" w:eastAsiaTheme="majorEastAsia" w:cstheme="majorEastAsia"/>
          <w:b w:val="0"/>
          <w:bCs w:val="0"/>
          <w:color w:val="auto"/>
          <w:sz w:val="20"/>
          <w:szCs w:val="20"/>
          <w:highlight w:val="none"/>
          <w:lang w:val="en-US" w:eastAsia="zh-CN"/>
        </w:rPr>
        <w:t>食品</w:t>
      </w:r>
      <w:r>
        <w:rPr>
          <w:rFonts w:hint="eastAsia" w:asciiTheme="majorEastAsia" w:hAnsiTheme="majorEastAsia" w:eastAsiaTheme="majorEastAsia" w:cstheme="majorEastAsia"/>
          <w:b w:val="0"/>
          <w:bCs w:val="0"/>
          <w:color w:val="auto"/>
          <w:sz w:val="20"/>
          <w:szCs w:val="20"/>
          <w:highlight w:val="none"/>
          <w:lang w:eastAsia="zh-CN"/>
        </w:rPr>
        <w:t>供应商</w:t>
      </w:r>
      <w:r>
        <w:rPr>
          <w:rFonts w:hint="eastAsia" w:asciiTheme="majorEastAsia" w:hAnsiTheme="majorEastAsia" w:eastAsiaTheme="majorEastAsia" w:cstheme="majorEastAsia"/>
          <w:b w:val="0"/>
          <w:bCs w:val="0"/>
          <w:color w:val="auto"/>
          <w:sz w:val="20"/>
          <w:szCs w:val="20"/>
          <w:highlight w:val="none"/>
        </w:rPr>
        <w:t>提供</w:t>
      </w:r>
      <w:r>
        <w:rPr>
          <w:rFonts w:hint="eastAsia" w:asciiTheme="majorEastAsia" w:hAnsiTheme="majorEastAsia" w:eastAsiaTheme="majorEastAsia" w:cstheme="majorEastAsia"/>
          <w:b w:val="0"/>
          <w:bCs w:val="0"/>
          <w:color w:val="auto"/>
          <w:sz w:val="20"/>
          <w:szCs w:val="20"/>
          <w:highlight w:val="none"/>
          <w:lang w:val="en-US" w:eastAsia="zh-CN"/>
        </w:rPr>
        <w:t>的</w:t>
      </w:r>
      <w:r>
        <w:rPr>
          <w:rFonts w:hint="eastAsia" w:asciiTheme="majorEastAsia" w:hAnsiTheme="majorEastAsia" w:eastAsiaTheme="majorEastAsia" w:cstheme="majorEastAsia"/>
          <w:b w:val="0"/>
          <w:bCs w:val="0"/>
          <w:color w:val="auto"/>
          <w:sz w:val="20"/>
          <w:szCs w:val="20"/>
          <w:highlight w:val="none"/>
        </w:rPr>
        <w:t>可追溯食品，不能采用散装原料，实行集中统一采购或分大类集中采购，采用无公害食品。</w:t>
      </w:r>
    </w:p>
    <w:p w14:paraId="5A246E9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从食品原料开始，到食品加工、物流、销售，每个环节严格把关，全程透明化、数据化、可追溯；做到每一批原材料和产品都有检验报告，都经过严格的风险管控，要有严格的质量保证措施。有稳定的原材料采购、供应途径。</w:t>
      </w:r>
    </w:p>
    <w:p w14:paraId="3DAA4AF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设置食品安全信息公示栏，</w:t>
      </w:r>
      <w:r>
        <w:rPr>
          <w:rFonts w:hint="eastAsia" w:asciiTheme="majorEastAsia" w:hAnsiTheme="majorEastAsia" w:eastAsiaTheme="majorEastAsia" w:cstheme="majorEastAsia"/>
          <w:b w:val="0"/>
          <w:bCs w:val="0"/>
          <w:color w:val="auto"/>
          <w:sz w:val="20"/>
          <w:szCs w:val="20"/>
          <w:highlight w:val="none"/>
          <w:lang w:val="en-US" w:eastAsia="zh-CN"/>
        </w:rPr>
        <w:t>须</w:t>
      </w:r>
      <w:r>
        <w:rPr>
          <w:rFonts w:hint="eastAsia" w:asciiTheme="majorEastAsia" w:hAnsiTheme="majorEastAsia" w:eastAsiaTheme="majorEastAsia" w:cstheme="majorEastAsia"/>
          <w:b w:val="0"/>
          <w:bCs w:val="0"/>
          <w:color w:val="auto"/>
          <w:sz w:val="20"/>
          <w:szCs w:val="20"/>
          <w:highlight w:val="none"/>
        </w:rPr>
        <w:t>公示</w:t>
      </w:r>
      <w:r>
        <w:rPr>
          <w:rFonts w:hint="eastAsia" w:asciiTheme="majorEastAsia" w:hAnsiTheme="majorEastAsia" w:eastAsiaTheme="majorEastAsia" w:cstheme="majorEastAsia"/>
          <w:b w:val="0"/>
          <w:bCs w:val="0"/>
          <w:color w:val="auto"/>
          <w:sz w:val="20"/>
          <w:szCs w:val="20"/>
          <w:highlight w:val="none"/>
          <w:lang w:val="en-US" w:eastAsia="zh-CN"/>
        </w:rPr>
        <w:t>每天</w:t>
      </w:r>
      <w:r>
        <w:rPr>
          <w:rFonts w:hint="eastAsia" w:asciiTheme="majorEastAsia" w:hAnsiTheme="majorEastAsia" w:eastAsiaTheme="majorEastAsia" w:cstheme="majorEastAsia"/>
          <w:b w:val="0"/>
          <w:bCs w:val="0"/>
          <w:color w:val="auto"/>
          <w:sz w:val="20"/>
          <w:szCs w:val="20"/>
          <w:highlight w:val="none"/>
        </w:rPr>
        <w:t>主要肉菜进货来源（按饭堂当天食用菜品采购批次）</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食品安全信息</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员工健康信息、经营主体责任人、监管部门责任人及电话、微信服务满意度调查或意见箱等，接受员工监督。</w:t>
      </w:r>
    </w:p>
    <w:p w14:paraId="34FBFCB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（7）</w:t>
      </w:r>
      <w:r>
        <w:rPr>
          <w:rFonts w:hint="eastAsia" w:asciiTheme="majorEastAsia" w:hAnsiTheme="majorEastAsia" w:eastAsiaTheme="majorEastAsia" w:cstheme="majorEastAsia"/>
          <w:b w:val="0"/>
          <w:bCs w:val="0"/>
          <w:color w:val="auto"/>
          <w:sz w:val="20"/>
          <w:szCs w:val="20"/>
          <w:highlight w:val="none"/>
        </w:rPr>
        <w:t>为保障本项目能保质保量完成，</w:t>
      </w:r>
      <w:r>
        <w:rPr>
          <w:rFonts w:hint="eastAsia" w:asciiTheme="majorEastAsia" w:hAnsiTheme="majorEastAsia" w:eastAsiaTheme="majorEastAsia" w:cstheme="majorEastAsia"/>
          <w:b w:val="0"/>
          <w:bCs w:val="0"/>
          <w:color w:val="auto"/>
          <w:sz w:val="20"/>
          <w:szCs w:val="20"/>
          <w:highlight w:val="none"/>
          <w:lang w:eastAsia="zh-CN"/>
        </w:rPr>
        <w:t>投标人</w:t>
      </w:r>
      <w:r>
        <w:rPr>
          <w:rFonts w:hint="eastAsia" w:asciiTheme="majorEastAsia" w:hAnsiTheme="majorEastAsia" w:eastAsiaTheme="majorEastAsia" w:cstheme="majorEastAsia"/>
          <w:b w:val="0"/>
          <w:bCs w:val="0"/>
          <w:color w:val="auto"/>
          <w:sz w:val="20"/>
          <w:szCs w:val="20"/>
          <w:highlight w:val="none"/>
        </w:rPr>
        <w:t>要充分考虑成本、收益以及可能出现的重大市场风险，须在</w:t>
      </w:r>
      <w:r>
        <w:rPr>
          <w:rFonts w:hint="eastAsia" w:asciiTheme="majorEastAsia" w:hAnsiTheme="majorEastAsia" w:eastAsiaTheme="majorEastAsia" w:cstheme="majorEastAsia"/>
          <w:b w:val="0"/>
          <w:bCs w:val="0"/>
          <w:color w:val="auto"/>
          <w:sz w:val="20"/>
          <w:szCs w:val="20"/>
          <w:highlight w:val="none"/>
          <w:lang w:val="en-US" w:eastAsia="zh-CN"/>
        </w:rPr>
        <w:t>投标</w:t>
      </w:r>
      <w:r>
        <w:rPr>
          <w:rFonts w:hint="eastAsia" w:asciiTheme="majorEastAsia" w:hAnsiTheme="majorEastAsia" w:eastAsiaTheme="majorEastAsia" w:cstheme="majorEastAsia"/>
          <w:b w:val="0"/>
          <w:bCs w:val="0"/>
          <w:color w:val="auto"/>
          <w:sz w:val="20"/>
          <w:szCs w:val="20"/>
          <w:highlight w:val="none"/>
        </w:rPr>
        <w:t>文件中列明本项目食材成本占比比例并承诺</w:t>
      </w:r>
      <w:r>
        <w:rPr>
          <w:rFonts w:hint="eastAsia" w:asciiTheme="majorEastAsia" w:hAnsiTheme="majorEastAsia" w:eastAsiaTheme="majorEastAsia" w:cstheme="majorEastAsia"/>
          <w:b w:val="0"/>
          <w:bCs w:val="0"/>
          <w:color w:val="auto"/>
          <w:sz w:val="20"/>
          <w:szCs w:val="20"/>
          <w:highlight w:val="none"/>
          <w:lang w:val="en-US" w:eastAsia="zh-CN"/>
        </w:rPr>
        <w:t>中选</w:t>
      </w:r>
      <w:r>
        <w:rPr>
          <w:rFonts w:hint="eastAsia" w:asciiTheme="majorEastAsia" w:hAnsiTheme="majorEastAsia" w:eastAsiaTheme="majorEastAsia" w:cstheme="majorEastAsia"/>
          <w:b w:val="0"/>
          <w:bCs w:val="0"/>
          <w:color w:val="auto"/>
          <w:sz w:val="20"/>
          <w:szCs w:val="20"/>
          <w:highlight w:val="none"/>
        </w:rPr>
        <w:t>后服务期内照此执行（提供承诺函</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格式自拟</w:t>
      </w:r>
      <w:r>
        <w:rPr>
          <w:rFonts w:hint="eastAsia" w:asciiTheme="majorEastAsia" w:hAnsiTheme="majorEastAsia" w:eastAsiaTheme="majorEastAsia" w:cstheme="majorEastAsia"/>
          <w:b w:val="0"/>
          <w:bCs w:val="0"/>
          <w:color w:val="auto"/>
          <w:sz w:val="20"/>
          <w:szCs w:val="20"/>
          <w:highlight w:val="none"/>
        </w:rPr>
        <w:t>）。</w:t>
      </w:r>
    </w:p>
    <w:p w14:paraId="7852244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rPr>
        <w:t>保证每天每餐的饮食质量、份量、菜式，做到食材新鲜、饭熟菜香，营养搭配科学合理，调配比例均匀，味道可口，保证营养。原则上当天所有餐次的出品应是当次制作，保证新鲜，保证口感。</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38FE2E1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设专门人员负责留样，每餐每个供应食品种类应按相关规定的份量、时间、保存条件、操作规范等做好留样工作。至少保存48小时，留样份量每样至少1</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5克，在5℃以下冷藏专柜专放并按要求做好食品留样管理工作等，具体根据相关规定实施。</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6549D99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所有食品</w:t>
      </w:r>
      <w:r>
        <w:rPr>
          <w:rFonts w:hint="eastAsia" w:asciiTheme="majorEastAsia" w:hAnsiTheme="majorEastAsia" w:eastAsiaTheme="majorEastAsia" w:cstheme="majorEastAsia"/>
          <w:b w:val="0"/>
          <w:bCs w:val="0"/>
          <w:color w:val="auto"/>
          <w:sz w:val="20"/>
          <w:szCs w:val="20"/>
          <w:highlight w:val="none"/>
          <w:lang w:eastAsia="zh-CN"/>
        </w:rPr>
        <w:t>供应商</w:t>
      </w:r>
      <w:r>
        <w:rPr>
          <w:rFonts w:hint="eastAsia" w:asciiTheme="majorEastAsia" w:hAnsiTheme="majorEastAsia" w:eastAsiaTheme="majorEastAsia" w:cstheme="majorEastAsia"/>
          <w:b w:val="0"/>
          <w:bCs w:val="0"/>
          <w:color w:val="auto"/>
          <w:sz w:val="20"/>
          <w:szCs w:val="20"/>
          <w:highlight w:val="none"/>
        </w:rPr>
        <w:t>须接受</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监管，对服务、供货质量等不能达到</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要求的</w:t>
      </w:r>
      <w:r>
        <w:rPr>
          <w:rFonts w:hint="eastAsia" w:asciiTheme="majorEastAsia" w:hAnsiTheme="majorEastAsia" w:eastAsiaTheme="majorEastAsia" w:cstheme="majorEastAsia"/>
          <w:b w:val="0"/>
          <w:bCs w:val="0"/>
          <w:color w:val="auto"/>
          <w:sz w:val="20"/>
          <w:szCs w:val="20"/>
          <w:highlight w:val="none"/>
          <w:lang w:val="en-US" w:eastAsia="zh-CN"/>
        </w:rPr>
        <w:t>食品</w:t>
      </w:r>
      <w:r>
        <w:rPr>
          <w:rFonts w:hint="eastAsia" w:asciiTheme="majorEastAsia" w:hAnsiTheme="majorEastAsia" w:eastAsiaTheme="majorEastAsia" w:cstheme="majorEastAsia"/>
          <w:b w:val="0"/>
          <w:bCs w:val="0"/>
          <w:color w:val="auto"/>
          <w:sz w:val="20"/>
          <w:szCs w:val="20"/>
          <w:highlight w:val="none"/>
          <w:lang w:eastAsia="zh-CN"/>
        </w:rPr>
        <w:t>供应商</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有权提出更换，</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必须配合执行。</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3077113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7.</w:t>
      </w:r>
      <w:r>
        <w:rPr>
          <w:rFonts w:hint="eastAsia" w:asciiTheme="majorEastAsia" w:hAnsiTheme="majorEastAsia" w:eastAsiaTheme="majorEastAsia" w:cstheme="majorEastAsia"/>
          <w:b w:val="0"/>
          <w:bCs w:val="0"/>
          <w:color w:val="auto"/>
          <w:sz w:val="20"/>
          <w:szCs w:val="20"/>
          <w:highlight w:val="none"/>
        </w:rPr>
        <w:t>部分重点食品采购要求如下：</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0C43D23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大米、面粉质量标准：</w:t>
      </w:r>
    </w:p>
    <w:p w14:paraId="4296A03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①大米：大米必须选用一级以上大米，禁止采购有“QS”标志的大米，而须采购具有现行食品生产许可证编号的产品。包装上须标明加工厂名称、品名、生产日期、保质期或保存期（供货时的剩余保质期不少于三分之二）质量等级、产品标准号、产品合格证，质量符合大米国家标准与国家粮食卫生标准。</w:t>
      </w:r>
    </w:p>
    <w:p w14:paraId="5BB6804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②面粉：具有固有色泽和香味，无污染、无虫害，色泽、气味、口味正常，无异味或霉味（霉变），无虫蛀结块挂丝或杂质异物等。面粉类要新鲜、色泽呈现乳白色或微黄色、手感细腻、颗粒均匀，自然浓厚的麦香味，手抓后自然流出，松开手不成团，用它制成的成品和馒头有麦香味、香甜入口不粘牙，符合国家食品卫生标准。</w:t>
      </w:r>
    </w:p>
    <w:p w14:paraId="64C7D90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食用油、酱油：</w:t>
      </w:r>
    </w:p>
    <w:p w14:paraId="46B2C7C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①禁止采购有“QS”标志的产品，须采购具有现行食品许可证编号的产品。外包装完好，标明品名、厂名、重量、生产日期、保质期或保存期、执行标准等，剩余保质期不少于三分之二，具有产品合格证。须采购符合国家标准的品牌产品，食用油必须采用知名品牌的大豆油、菜籽油、花生油，禁止使用棕榈油。不得混有其他食用油或非食用油，禁止采购调和油、特殊气味油类。</w:t>
      </w:r>
    </w:p>
    <w:p w14:paraId="44284CA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②调味料：调味料必须采用知名品牌瓶装调味料，鸡精、鸡粉等建议不用或尽量少用，须采购符合国家标准的品牌产品。禁止使用糖精等。</w:t>
      </w:r>
    </w:p>
    <w:p w14:paraId="5E203D3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食盐：符合食品安全卫生标准及营养要求。</w:t>
      </w:r>
    </w:p>
    <w:p w14:paraId="2CA4557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肉类：生鲜肉类经过屠宰卫生检疫，符合国家相关标准，肉类保证来源于正规肉联厂，供货时提交肉联厂的验收单及当批次有效的动物检疫合格证复印件（原件备查）和分割肉凭证，鲜肉确保每日新鲜、无异味、变质。肉色根据种类的不同而呈现其特有的颜色，如猪肉鲜红色、牛羊肉深红色、鸡肉淡红色、鸭肉深红色等，且都有光泽、富有弹性，闻起来没有异味者。肉制品包装完整，有完整标识，标明品名、内容物名称，重量或数量、食品添加物、制造厂商名称、地址、保存期限</w:t>
      </w:r>
      <w:r>
        <w:rPr>
          <w:rFonts w:hint="eastAsia" w:asciiTheme="majorEastAsia" w:hAnsiTheme="majorEastAsia" w:eastAsiaTheme="majorEastAsia" w:cstheme="majorEastAsia"/>
          <w:b w:val="0"/>
          <w:bCs w:val="0"/>
          <w:color w:val="auto"/>
          <w:sz w:val="20"/>
          <w:szCs w:val="20"/>
          <w:highlight w:val="none"/>
          <w:lang w:val="en-US" w:eastAsia="zh-CN"/>
        </w:rPr>
        <w:t>及</w:t>
      </w:r>
      <w:r>
        <w:rPr>
          <w:rFonts w:hint="eastAsia" w:asciiTheme="majorEastAsia" w:hAnsiTheme="majorEastAsia" w:eastAsiaTheme="majorEastAsia" w:cstheme="majorEastAsia"/>
          <w:b w:val="0"/>
          <w:bCs w:val="0"/>
          <w:color w:val="auto"/>
          <w:sz w:val="20"/>
          <w:szCs w:val="20"/>
          <w:highlight w:val="none"/>
        </w:rPr>
        <w:t>保存条件</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进品的还应加注进品商名称、地址等信息。保证鱼肉类每天新鲜购入及配送。</w:t>
      </w:r>
    </w:p>
    <w:p w14:paraId="789B006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添加剂：</w:t>
      </w:r>
      <w:r>
        <w:rPr>
          <w:rFonts w:hint="eastAsia" w:asciiTheme="majorEastAsia" w:hAnsiTheme="majorEastAsia" w:eastAsiaTheme="majorEastAsia" w:cstheme="majorEastAsia"/>
          <w:b w:val="0"/>
          <w:bCs w:val="0"/>
          <w:color w:val="auto"/>
          <w:sz w:val="20"/>
          <w:szCs w:val="20"/>
          <w:highlight w:val="none"/>
          <w:lang w:val="en-US" w:eastAsia="zh-CN"/>
        </w:rPr>
        <w:t>添加剂的种类选择</w:t>
      </w:r>
      <w:r>
        <w:rPr>
          <w:rFonts w:hint="eastAsia" w:asciiTheme="majorEastAsia" w:hAnsiTheme="majorEastAsia" w:eastAsiaTheme="majorEastAsia" w:cstheme="majorEastAsia"/>
          <w:b w:val="0"/>
          <w:bCs w:val="0"/>
          <w:color w:val="auto"/>
          <w:sz w:val="20"/>
          <w:szCs w:val="20"/>
          <w:highlight w:val="none"/>
        </w:rPr>
        <w:t>必须符合GB2760的要求，添加剂的使用量</w:t>
      </w:r>
      <w:r>
        <w:rPr>
          <w:rFonts w:hint="eastAsia" w:asciiTheme="majorEastAsia" w:hAnsiTheme="majorEastAsia" w:eastAsiaTheme="majorEastAsia" w:cstheme="majorEastAsia"/>
          <w:b w:val="0"/>
          <w:bCs w:val="0"/>
          <w:color w:val="auto"/>
          <w:sz w:val="20"/>
          <w:szCs w:val="20"/>
          <w:highlight w:val="none"/>
          <w:lang w:val="en-US" w:eastAsia="zh-CN"/>
        </w:rPr>
        <w:t>也</w:t>
      </w:r>
      <w:r>
        <w:rPr>
          <w:rFonts w:hint="eastAsia" w:asciiTheme="majorEastAsia" w:hAnsiTheme="majorEastAsia" w:eastAsiaTheme="majorEastAsia" w:cstheme="majorEastAsia"/>
          <w:b w:val="0"/>
          <w:bCs w:val="0"/>
          <w:color w:val="auto"/>
          <w:sz w:val="20"/>
          <w:szCs w:val="20"/>
          <w:highlight w:val="none"/>
        </w:rPr>
        <w:t>必须符合GB2760要求，不得随意使用非食品添加剂。</w:t>
      </w:r>
    </w:p>
    <w:p w14:paraId="6D77EF3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蔬菜：蔬菜形态饱满、色泽新鲜</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无腐烂变质、无泥沙、无老梗、无老叶及无农药超标等情况。所用的蔬菜、瓜果、肉类等，必须在具有检测条件的生产基地或市场购买。</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每天早上要安排专人对采购回来的瓜果蔬菜进行残余农药快速检验，所有检验结果须妥善存档，以备</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随时核查。</w:t>
      </w:r>
    </w:p>
    <w:p w14:paraId="2832E77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（7）</w:t>
      </w:r>
      <w:r>
        <w:rPr>
          <w:rFonts w:hint="eastAsia" w:asciiTheme="majorEastAsia" w:hAnsiTheme="majorEastAsia" w:eastAsiaTheme="majorEastAsia" w:cstheme="majorEastAsia"/>
          <w:b w:val="0"/>
          <w:bCs w:val="0"/>
          <w:color w:val="auto"/>
          <w:sz w:val="20"/>
          <w:szCs w:val="20"/>
          <w:highlight w:val="none"/>
        </w:rPr>
        <w:t>干货：保持其固有的鲜美味道，有干货的本味。干货</w:t>
      </w:r>
      <w:r>
        <w:rPr>
          <w:rFonts w:hint="eastAsia" w:asciiTheme="majorEastAsia" w:hAnsiTheme="majorEastAsia" w:eastAsiaTheme="majorEastAsia" w:cstheme="majorEastAsia"/>
          <w:b w:val="0"/>
          <w:bCs w:val="0"/>
          <w:color w:val="auto"/>
          <w:sz w:val="20"/>
          <w:szCs w:val="20"/>
          <w:highlight w:val="none"/>
          <w:lang w:val="en-US" w:eastAsia="zh-CN"/>
        </w:rPr>
        <w:t>包括</w:t>
      </w:r>
      <w:r>
        <w:rPr>
          <w:rFonts w:hint="eastAsia" w:asciiTheme="majorEastAsia" w:hAnsiTheme="majorEastAsia" w:eastAsiaTheme="majorEastAsia" w:cstheme="majorEastAsia"/>
          <w:b w:val="0"/>
          <w:bCs w:val="0"/>
          <w:color w:val="auto"/>
          <w:sz w:val="20"/>
          <w:szCs w:val="20"/>
          <w:highlight w:val="none"/>
        </w:rPr>
        <w:t>动物类、植物类、菌类、藻类，能从味觉上分辨新鲜及优品；干爽没有霉迹；色泽鲜明，没有虫蛀与杂质。</w:t>
      </w:r>
    </w:p>
    <w:p w14:paraId="19EB6EE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（8）</w:t>
      </w:r>
      <w:r>
        <w:rPr>
          <w:rFonts w:hint="eastAsia" w:asciiTheme="majorEastAsia" w:hAnsiTheme="majorEastAsia" w:eastAsiaTheme="majorEastAsia" w:cstheme="majorEastAsia"/>
          <w:b w:val="0"/>
          <w:bCs w:val="0"/>
          <w:color w:val="auto"/>
          <w:sz w:val="20"/>
          <w:szCs w:val="20"/>
          <w:highlight w:val="none"/>
        </w:rPr>
        <w:t>限制采用</w:t>
      </w:r>
      <w:r>
        <w:rPr>
          <w:rFonts w:hint="eastAsia" w:asciiTheme="majorEastAsia" w:hAnsiTheme="majorEastAsia" w:eastAsiaTheme="majorEastAsia" w:cstheme="majorEastAsia"/>
          <w:b w:val="0"/>
          <w:bCs w:val="0"/>
          <w:color w:val="auto"/>
          <w:sz w:val="20"/>
          <w:szCs w:val="20"/>
          <w:highlight w:val="none"/>
          <w:lang w:val="en-US" w:eastAsia="zh-CN"/>
        </w:rPr>
        <w:t>预包装</w:t>
      </w:r>
      <w:r>
        <w:rPr>
          <w:rFonts w:hint="eastAsia" w:asciiTheme="majorEastAsia" w:hAnsiTheme="majorEastAsia" w:eastAsiaTheme="majorEastAsia" w:cstheme="majorEastAsia"/>
          <w:b w:val="0"/>
          <w:bCs w:val="0"/>
          <w:color w:val="auto"/>
          <w:sz w:val="20"/>
          <w:szCs w:val="20"/>
          <w:highlight w:val="none"/>
        </w:rPr>
        <w:t>熟食、火腿肠、腊味、咸鱼等不利健康的深加工食品。</w:t>
      </w:r>
    </w:p>
    <w:p w14:paraId="704ADA6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（9）</w:t>
      </w:r>
      <w:r>
        <w:rPr>
          <w:rFonts w:hint="eastAsia" w:asciiTheme="majorEastAsia" w:hAnsiTheme="majorEastAsia" w:eastAsiaTheme="majorEastAsia" w:cstheme="majorEastAsia"/>
          <w:b w:val="0"/>
          <w:bCs w:val="0"/>
          <w:color w:val="auto"/>
          <w:sz w:val="20"/>
          <w:szCs w:val="20"/>
          <w:highlight w:val="none"/>
        </w:rPr>
        <w:t>所有熟食产品（包括烧味熟食）须自行调制，不得从其他</w:t>
      </w:r>
      <w:r>
        <w:rPr>
          <w:rFonts w:hint="eastAsia" w:asciiTheme="majorEastAsia" w:hAnsiTheme="majorEastAsia" w:eastAsiaTheme="majorEastAsia" w:cstheme="majorEastAsia"/>
          <w:b w:val="0"/>
          <w:bCs w:val="0"/>
          <w:color w:val="auto"/>
          <w:sz w:val="20"/>
          <w:szCs w:val="20"/>
          <w:highlight w:val="none"/>
          <w:lang w:eastAsia="zh-CN"/>
        </w:rPr>
        <w:t>供应商</w:t>
      </w:r>
      <w:r>
        <w:rPr>
          <w:rFonts w:hint="eastAsia" w:asciiTheme="majorEastAsia" w:hAnsiTheme="majorEastAsia" w:eastAsiaTheme="majorEastAsia" w:cstheme="majorEastAsia"/>
          <w:b w:val="0"/>
          <w:bCs w:val="0"/>
          <w:color w:val="auto"/>
          <w:sz w:val="20"/>
          <w:szCs w:val="20"/>
          <w:highlight w:val="none"/>
        </w:rPr>
        <w:t>处购买。</w:t>
      </w:r>
    </w:p>
    <w:p w14:paraId="3EF76A6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10</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蔬菜类检测标准</w:t>
      </w:r>
    </w:p>
    <w:tbl>
      <w:tblPr>
        <w:tblStyle w:val="4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38"/>
        <w:gridCol w:w="4357"/>
      </w:tblGrid>
      <w:tr w14:paraId="67BEDE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single" w:color="000000" w:sz="4" w:space="0"/>
              <w:left w:val="single" w:color="000000" w:sz="4" w:space="0"/>
              <w:bottom w:val="single" w:color="000000" w:sz="4" w:space="0"/>
              <w:right w:val="single" w:color="000000" w:sz="4" w:space="0"/>
            </w:tcBorders>
            <w:noWrap w:val="0"/>
            <w:vAlign w:val="top"/>
          </w:tcPr>
          <w:p w14:paraId="053B4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检测</w:t>
            </w:r>
            <w:r>
              <w:rPr>
                <w:rFonts w:hint="eastAsia" w:asciiTheme="majorEastAsia" w:hAnsiTheme="majorEastAsia" w:eastAsiaTheme="majorEastAsia" w:cstheme="majorEastAsia"/>
                <w:b w:val="0"/>
                <w:bCs w:val="0"/>
                <w:color w:val="auto"/>
                <w:sz w:val="20"/>
                <w:szCs w:val="20"/>
                <w:highlight w:val="none"/>
              </w:rPr>
              <w:t>项目</w:t>
            </w:r>
          </w:p>
        </w:tc>
        <w:tc>
          <w:tcPr>
            <w:tcW w:w="4472" w:type="dxa"/>
            <w:tcBorders>
              <w:top w:val="single" w:color="000000" w:sz="4" w:space="0"/>
              <w:left w:val="nil"/>
              <w:bottom w:val="single" w:color="000000" w:sz="4" w:space="0"/>
              <w:right w:val="single" w:color="000000" w:sz="4" w:space="0"/>
            </w:tcBorders>
            <w:noWrap w:val="0"/>
            <w:vAlign w:val="top"/>
          </w:tcPr>
          <w:p w14:paraId="2707CC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合格</w:t>
            </w:r>
            <w:r>
              <w:rPr>
                <w:rFonts w:hint="eastAsia" w:asciiTheme="majorEastAsia" w:hAnsiTheme="majorEastAsia" w:eastAsiaTheme="majorEastAsia" w:cstheme="majorEastAsia"/>
                <w:b w:val="0"/>
                <w:bCs w:val="0"/>
                <w:color w:val="auto"/>
                <w:sz w:val="20"/>
                <w:szCs w:val="20"/>
                <w:highlight w:val="none"/>
              </w:rPr>
              <w:t>指标</w:t>
            </w:r>
          </w:p>
        </w:tc>
      </w:tr>
      <w:tr w14:paraId="7C8FB3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01147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甲胺磷</w:t>
            </w:r>
          </w:p>
        </w:tc>
        <w:tc>
          <w:tcPr>
            <w:tcW w:w="4472" w:type="dxa"/>
            <w:tcBorders>
              <w:top w:val="nil"/>
              <w:left w:val="nil"/>
              <w:bottom w:val="single" w:color="000000" w:sz="4" w:space="0"/>
              <w:right w:val="single" w:color="000000" w:sz="4" w:space="0"/>
            </w:tcBorders>
            <w:noWrap w:val="0"/>
            <w:vAlign w:val="top"/>
          </w:tcPr>
          <w:p w14:paraId="755E5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不得检出</w:t>
            </w:r>
          </w:p>
        </w:tc>
      </w:tr>
      <w:tr w14:paraId="1A9285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3F1DE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甲拌磷</w:t>
            </w:r>
          </w:p>
        </w:tc>
        <w:tc>
          <w:tcPr>
            <w:tcW w:w="4472" w:type="dxa"/>
            <w:tcBorders>
              <w:top w:val="nil"/>
              <w:left w:val="nil"/>
              <w:bottom w:val="single" w:color="000000" w:sz="4" w:space="0"/>
              <w:right w:val="single" w:color="000000" w:sz="4" w:space="0"/>
            </w:tcBorders>
            <w:noWrap w:val="0"/>
            <w:vAlign w:val="top"/>
          </w:tcPr>
          <w:p w14:paraId="240326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不得检出</w:t>
            </w:r>
          </w:p>
        </w:tc>
      </w:tr>
      <w:tr w14:paraId="6C016D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11F10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氧化乐果</w:t>
            </w:r>
          </w:p>
        </w:tc>
        <w:tc>
          <w:tcPr>
            <w:tcW w:w="4472" w:type="dxa"/>
            <w:tcBorders>
              <w:top w:val="nil"/>
              <w:left w:val="nil"/>
              <w:bottom w:val="single" w:color="000000" w:sz="4" w:space="0"/>
              <w:right w:val="single" w:color="000000" w:sz="4" w:space="0"/>
            </w:tcBorders>
            <w:noWrap w:val="0"/>
            <w:vAlign w:val="top"/>
          </w:tcPr>
          <w:p w14:paraId="3FCB51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不得检出</w:t>
            </w:r>
          </w:p>
        </w:tc>
      </w:tr>
      <w:tr w14:paraId="3F0518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5E40B0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甲基对硫磷</w:t>
            </w:r>
          </w:p>
        </w:tc>
        <w:tc>
          <w:tcPr>
            <w:tcW w:w="4472" w:type="dxa"/>
            <w:tcBorders>
              <w:top w:val="nil"/>
              <w:left w:val="nil"/>
              <w:bottom w:val="single" w:color="000000" w:sz="4" w:space="0"/>
              <w:right w:val="single" w:color="000000" w:sz="4" w:space="0"/>
            </w:tcBorders>
            <w:noWrap w:val="0"/>
            <w:vAlign w:val="top"/>
          </w:tcPr>
          <w:p w14:paraId="1E0868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不得检出</w:t>
            </w:r>
          </w:p>
        </w:tc>
      </w:tr>
      <w:tr w14:paraId="5D2C4A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47D84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呋喃丹</w:t>
            </w:r>
          </w:p>
        </w:tc>
        <w:tc>
          <w:tcPr>
            <w:tcW w:w="4472" w:type="dxa"/>
            <w:tcBorders>
              <w:top w:val="nil"/>
              <w:left w:val="nil"/>
              <w:bottom w:val="single" w:color="000000" w:sz="4" w:space="0"/>
              <w:right w:val="single" w:color="000000" w:sz="4" w:space="0"/>
            </w:tcBorders>
            <w:noWrap w:val="0"/>
            <w:vAlign w:val="top"/>
          </w:tcPr>
          <w:p w14:paraId="6D401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不得检出</w:t>
            </w:r>
          </w:p>
        </w:tc>
      </w:tr>
      <w:tr w14:paraId="4C71C6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63A1A2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百菌清</w:t>
            </w:r>
          </w:p>
        </w:tc>
        <w:tc>
          <w:tcPr>
            <w:tcW w:w="4472" w:type="dxa"/>
            <w:tcBorders>
              <w:top w:val="nil"/>
              <w:left w:val="nil"/>
              <w:bottom w:val="single" w:color="000000" w:sz="4" w:space="0"/>
              <w:right w:val="single" w:color="000000" w:sz="4" w:space="0"/>
            </w:tcBorders>
            <w:noWrap w:val="0"/>
            <w:vAlign w:val="top"/>
          </w:tcPr>
          <w:p w14:paraId="06F72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≤1.0</w:t>
            </w:r>
          </w:p>
        </w:tc>
      </w:tr>
      <w:tr w14:paraId="169D40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7B799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多菌灵</w:t>
            </w:r>
          </w:p>
        </w:tc>
        <w:tc>
          <w:tcPr>
            <w:tcW w:w="4472" w:type="dxa"/>
            <w:tcBorders>
              <w:top w:val="nil"/>
              <w:left w:val="nil"/>
              <w:bottom w:val="single" w:color="000000" w:sz="4" w:space="0"/>
              <w:right w:val="single" w:color="000000" w:sz="4" w:space="0"/>
            </w:tcBorders>
            <w:noWrap w:val="0"/>
            <w:vAlign w:val="top"/>
          </w:tcPr>
          <w:p w14:paraId="56947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≤0.5</w:t>
            </w:r>
          </w:p>
        </w:tc>
      </w:tr>
      <w:tr w14:paraId="3752E7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3C003F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汞（以Hg计）</w:t>
            </w:r>
          </w:p>
        </w:tc>
        <w:tc>
          <w:tcPr>
            <w:tcW w:w="4472" w:type="dxa"/>
            <w:tcBorders>
              <w:top w:val="nil"/>
              <w:left w:val="nil"/>
              <w:bottom w:val="single" w:color="000000" w:sz="4" w:space="0"/>
              <w:right w:val="single" w:color="000000" w:sz="4" w:space="0"/>
            </w:tcBorders>
            <w:noWrap w:val="0"/>
            <w:vAlign w:val="top"/>
          </w:tcPr>
          <w:p w14:paraId="53958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≤0.01</w:t>
            </w:r>
          </w:p>
        </w:tc>
      </w:tr>
      <w:tr w14:paraId="588016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34CBA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铅（以Bb计）</w:t>
            </w:r>
          </w:p>
        </w:tc>
        <w:tc>
          <w:tcPr>
            <w:tcW w:w="4472" w:type="dxa"/>
            <w:tcBorders>
              <w:top w:val="nil"/>
              <w:left w:val="nil"/>
              <w:bottom w:val="single" w:color="000000" w:sz="4" w:space="0"/>
              <w:right w:val="single" w:color="000000" w:sz="4" w:space="0"/>
            </w:tcBorders>
            <w:noWrap w:val="0"/>
            <w:vAlign w:val="top"/>
          </w:tcPr>
          <w:p w14:paraId="18355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≤0.2</w:t>
            </w:r>
          </w:p>
        </w:tc>
      </w:tr>
      <w:tr w14:paraId="7DFAAA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3348D4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砷（以As计）</w:t>
            </w:r>
          </w:p>
        </w:tc>
        <w:tc>
          <w:tcPr>
            <w:tcW w:w="4472" w:type="dxa"/>
            <w:tcBorders>
              <w:top w:val="nil"/>
              <w:left w:val="nil"/>
              <w:bottom w:val="single" w:color="000000" w:sz="4" w:space="0"/>
              <w:right w:val="single" w:color="000000" w:sz="4" w:space="0"/>
            </w:tcBorders>
            <w:noWrap w:val="0"/>
            <w:vAlign w:val="top"/>
          </w:tcPr>
          <w:p w14:paraId="791AEE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≤0.5</w:t>
            </w:r>
          </w:p>
        </w:tc>
      </w:tr>
      <w:tr w14:paraId="7BA3F5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4C8B64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氟（以F计）</w:t>
            </w:r>
          </w:p>
        </w:tc>
        <w:tc>
          <w:tcPr>
            <w:tcW w:w="4472" w:type="dxa"/>
            <w:tcBorders>
              <w:top w:val="nil"/>
              <w:left w:val="nil"/>
              <w:bottom w:val="single" w:color="000000" w:sz="4" w:space="0"/>
              <w:right w:val="single" w:color="000000" w:sz="4" w:space="0"/>
            </w:tcBorders>
            <w:noWrap w:val="0"/>
            <w:vAlign w:val="top"/>
          </w:tcPr>
          <w:p w14:paraId="06436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≤0.5</w:t>
            </w:r>
          </w:p>
        </w:tc>
      </w:tr>
      <w:tr w14:paraId="1339ED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15A808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硝酸盐（以NaNO</w:t>
            </w:r>
            <w:r>
              <w:rPr>
                <w:rFonts w:hint="eastAsia" w:asciiTheme="majorEastAsia" w:hAnsiTheme="majorEastAsia" w:eastAsiaTheme="majorEastAsia" w:cstheme="majorEastAsia"/>
                <w:b w:val="0"/>
                <w:bCs w:val="0"/>
                <w:color w:val="auto"/>
                <w:sz w:val="20"/>
                <w:szCs w:val="20"/>
                <w:highlight w:val="none"/>
                <w:vertAlign w:val="subscript"/>
              </w:rPr>
              <w:t>2</w:t>
            </w:r>
            <w:r>
              <w:rPr>
                <w:rFonts w:hint="eastAsia" w:asciiTheme="majorEastAsia" w:hAnsiTheme="majorEastAsia" w:eastAsiaTheme="majorEastAsia" w:cstheme="majorEastAsia"/>
                <w:b w:val="0"/>
                <w:bCs w:val="0"/>
                <w:color w:val="auto"/>
                <w:sz w:val="20"/>
                <w:szCs w:val="20"/>
                <w:highlight w:val="none"/>
              </w:rPr>
              <w:t>计）</w:t>
            </w:r>
          </w:p>
        </w:tc>
        <w:tc>
          <w:tcPr>
            <w:tcW w:w="4472" w:type="dxa"/>
            <w:tcBorders>
              <w:top w:val="nil"/>
              <w:left w:val="nil"/>
              <w:bottom w:val="single" w:color="000000" w:sz="4" w:space="0"/>
              <w:right w:val="single" w:color="000000" w:sz="4" w:space="0"/>
            </w:tcBorders>
            <w:noWrap w:val="0"/>
            <w:vAlign w:val="top"/>
          </w:tcPr>
          <w:p w14:paraId="76AC29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瓜果类≤600，叶菜根茎类≤1200</w:t>
            </w:r>
          </w:p>
        </w:tc>
      </w:tr>
      <w:tr w14:paraId="5F3D7D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796" w:type="dxa"/>
            <w:tcBorders>
              <w:top w:val="nil"/>
              <w:left w:val="single" w:color="000000" w:sz="4" w:space="0"/>
              <w:bottom w:val="single" w:color="000000" w:sz="4" w:space="0"/>
              <w:right w:val="single" w:color="000000" w:sz="4" w:space="0"/>
            </w:tcBorders>
            <w:noWrap w:val="0"/>
            <w:vAlign w:val="top"/>
          </w:tcPr>
          <w:p w14:paraId="742D9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亚硝酸盐（以NaNO</w:t>
            </w:r>
            <w:r>
              <w:rPr>
                <w:rFonts w:hint="eastAsia" w:asciiTheme="majorEastAsia" w:hAnsiTheme="majorEastAsia" w:eastAsiaTheme="majorEastAsia" w:cstheme="majorEastAsia"/>
                <w:b w:val="0"/>
                <w:bCs w:val="0"/>
                <w:color w:val="auto"/>
                <w:sz w:val="20"/>
                <w:szCs w:val="20"/>
                <w:highlight w:val="none"/>
                <w:vertAlign w:val="subscript"/>
              </w:rPr>
              <w:t>2</w:t>
            </w:r>
            <w:r>
              <w:rPr>
                <w:rFonts w:hint="eastAsia" w:asciiTheme="majorEastAsia" w:hAnsiTheme="majorEastAsia" w:eastAsiaTheme="majorEastAsia" w:cstheme="majorEastAsia"/>
                <w:b w:val="0"/>
                <w:bCs w:val="0"/>
                <w:color w:val="auto"/>
                <w:sz w:val="20"/>
                <w:szCs w:val="20"/>
                <w:highlight w:val="none"/>
              </w:rPr>
              <w:t>计）</w:t>
            </w:r>
          </w:p>
        </w:tc>
        <w:tc>
          <w:tcPr>
            <w:tcW w:w="4472" w:type="dxa"/>
            <w:tcBorders>
              <w:top w:val="nil"/>
              <w:left w:val="nil"/>
              <w:bottom w:val="single" w:color="000000" w:sz="4" w:space="0"/>
              <w:right w:val="single" w:color="000000" w:sz="4" w:space="0"/>
            </w:tcBorders>
            <w:noWrap w:val="0"/>
            <w:vAlign w:val="top"/>
          </w:tcPr>
          <w:p w14:paraId="0306C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≤4</w:t>
            </w:r>
          </w:p>
        </w:tc>
      </w:tr>
      <w:tr w14:paraId="516362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268" w:type="dxa"/>
            <w:gridSpan w:val="2"/>
            <w:tcBorders>
              <w:top w:val="nil"/>
              <w:left w:val="single" w:color="000000" w:sz="4" w:space="0"/>
              <w:bottom w:val="single" w:color="000000" w:sz="4" w:space="0"/>
              <w:right w:val="single" w:color="000000" w:sz="4" w:space="0"/>
            </w:tcBorders>
            <w:noWrap w:val="0"/>
            <w:vAlign w:val="top"/>
          </w:tcPr>
          <w:p w14:paraId="6C0F4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国家规定其他必检项目必须符合国家标准</w:t>
            </w:r>
          </w:p>
        </w:tc>
      </w:tr>
    </w:tbl>
    <w:p w14:paraId="4548DE0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8.检测要求：</w:t>
      </w:r>
    </w:p>
    <w:p w14:paraId="0F08FFA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投标人承诺中选后，每年提供一次以下品类食品原材料（大米、食用油、果蔬类、肉类、禽类、水产品类、调味品类、奶制品类共八大类）应具备CMA或CNAS认证的第三方机构出具的检验合格报告。</w:t>
      </w:r>
    </w:p>
    <w:p w14:paraId="03AD0B5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9.</w:t>
      </w:r>
      <w:r>
        <w:rPr>
          <w:rFonts w:hint="eastAsia" w:asciiTheme="majorEastAsia" w:hAnsiTheme="majorEastAsia" w:eastAsiaTheme="majorEastAsia" w:cstheme="majorEastAsia"/>
          <w:b w:val="0"/>
          <w:bCs w:val="0"/>
          <w:color w:val="auto"/>
          <w:sz w:val="20"/>
          <w:szCs w:val="20"/>
          <w:highlight w:val="none"/>
        </w:rPr>
        <w:t>食品加工要求：</w:t>
      </w:r>
    </w:p>
    <w:p w14:paraId="2BC0E46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洗：按各类食品的清洗要求进行清洗，保证干净卫生，无异物和杂质。</w:t>
      </w:r>
    </w:p>
    <w:p w14:paraId="0A40C85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切：根据原料性质、菜品要求将原料切出规则的形状并且要均匀一致。</w:t>
      </w:r>
    </w:p>
    <w:p w14:paraId="138735E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配：根据菜品的要求及各种原料的性质在形状、颜色、营养、口感方面做好原料的搭配。</w:t>
      </w:r>
    </w:p>
    <w:p w14:paraId="32599F4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烹饪：食品既要煮熟煮透，又要体现出食品原料的本身颜色，以自然色和接近自然色为主。严禁使用色素及任何</w:t>
      </w:r>
      <w:r>
        <w:rPr>
          <w:rFonts w:hint="eastAsia" w:asciiTheme="majorEastAsia" w:hAnsiTheme="majorEastAsia" w:eastAsiaTheme="majorEastAsia" w:cstheme="majorEastAsia"/>
          <w:b w:val="0"/>
          <w:bCs w:val="0"/>
          <w:color w:val="auto"/>
          <w:sz w:val="20"/>
          <w:szCs w:val="20"/>
          <w:highlight w:val="none"/>
          <w:lang w:val="en-US" w:eastAsia="zh-CN"/>
        </w:rPr>
        <w:t>不合规的</w:t>
      </w:r>
      <w:r>
        <w:rPr>
          <w:rFonts w:hint="eastAsia" w:asciiTheme="majorEastAsia" w:hAnsiTheme="majorEastAsia" w:eastAsiaTheme="majorEastAsia" w:cstheme="majorEastAsia"/>
          <w:b w:val="0"/>
          <w:bCs w:val="0"/>
          <w:color w:val="auto"/>
          <w:sz w:val="20"/>
          <w:szCs w:val="20"/>
          <w:highlight w:val="none"/>
        </w:rPr>
        <w:t>食品添加剂等。</w:t>
      </w:r>
    </w:p>
    <w:p w14:paraId="27840A5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①菜品应不糊、不夹生，软硬适当。色香味俱全，原料新鲜，无过生过熟、无异物，要求菜品体现原汁原味。尤其是海鲜菜肴，口味避免过重（如过咸、过辣、过酸、过甜、过苦更不允许有异味如腥、膻、臭味等），不能用调料、大料的味道压住食材本身的味道。</w:t>
      </w:r>
    </w:p>
    <w:p w14:paraId="0F29FFB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②清炒菜必须保证即熟亦脆，色要青绿、口感脆爽，不能炒过，八成煎即可，靠少量复合油（葱姜油、花椒油、麻油）来体现味道，芡汁要薄要少要均匀、要包住、要有亮度，杜绝青菜出水现象发生。白灼菜口味鲜咸，白灼汁不能太多，浇油要热要少，菜品要整齐美观。上汤菜口味要清鲜、汤汁乳白，原料要2/3浸入汤中，不能出现浮油现象。</w:t>
      </w:r>
    </w:p>
    <w:p w14:paraId="0D16054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③肉类的菜口味要香而不腻，口感要富有弹性。严禁使用亚硝酸钠等化学原料。严格控制松肉粉、食粉的用量。</w:t>
      </w:r>
    </w:p>
    <w:p w14:paraId="7EB0407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④炸类的菜品要酥，要金黄色，油不能大，不能腻。个别外焦里嫩的菜要保持好原料的水分和鲜嫩度。已使用过的炸油不能再次用于油炸食物，油炸不能使用隔夜油。</w:t>
      </w:r>
    </w:p>
    <w:p w14:paraId="5AE27F2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⑤海鲜类必须新鲜，口味清淡，料味不能浓，保持原汁原味，不能老、咬不动，不能腥。</w:t>
      </w:r>
    </w:p>
    <w:p w14:paraId="09071AB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⑥汤菜的要求：汤菜盛入盛器中不能太满，以8分满或8分半满为宜；汤菜原料和汤的比例，根据菜的性质不同，比例也不同，但是原料的比例不能超过汤的比例；汤菜品：以鲜为主，入口首先体现鲜味而后要体现咸味或其他口味，必须体现原汁原味，不能过油，要靠汤汁熬出的鲜香味和相关辅料来体现。</w:t>
      </w:r>
    </w:p>
    <w:p w14:paraId="7CFEEC2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打包/装盘要求：确保食品不外露，打包餐具外没油渍汤渍，干净卫生。盘饰点缀要精致，简单、新鲜、要配合好菜肴的特点，点缀原料要丰富。</w:t>
      </w:r>
    </w:p>
    <w:p w14:paraId="6FE200AC">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bCs/>
          <w:color w:val="auto"/>
          <w:kern w:val="2"/>
          <w:sz w:val="20"/>
          <w:szCs w:val="20"/>
          <w:highlight w:val="none"/>
          <w:lang w:val="en-US" w:eastAsia="zh-Hans" w:bidi="ar-SA"/>
        </w:rPr>
      </w:pPr>
      <w:r>
        <w:rPr>
          <w:rFonts w:hint="eastAsia" w:asciiTheme="majorEastAsia" w:hAnsiTheme="majorEastAsia" w:eastAsiaTheme="majorEastAsia" w:cstheme="majorEastAsia"/>
          <w:b/>
          <w:bCs/>
          <w:color w:val="auto"/>
          <w:kern w:val="2"/>
          <w:sz w:val="20"/>
          <w:szCs w:val="20"/>
          <w:highlight w:val="none"/>
          <w:lang w:val="en-US" w:eastAsia="zh-CN" w:bidi="ar-SA"/>
        </w:rPr>
        <w:t>（七）</w:t>
      </w:r>
      <w:r>
        <w:rPr>
          <w:rFonts w:hint="eastAsia" w:asciiTheme="majorEastAsia" w:hAnsiTheme="majorEastAsia" w:eastAsiaTheme="majorEastAsia" w:cstheme="majorEastAsia"/>
          <w:b/>
          <w:bCs/>
          <w:color w:val="auto"/>
          <w:kern w:val="2"/>
          <w:sz w:val="20"/>
          <w:szCs w:val="20"/>
          <w:highlight w:val="none"/>
          <w:lang w:val="en-US" w:eastAsia="zh-Hans" w:bidi="ar-SA"/>
        </w:rPr>
        <w:t>食材供应服务</w:t>
      </w:r>
    </w:p>
    <w:p w14:paraId="4AB81D1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CN" w:bidi="ar-SA"/>
        </w:rPr>
        <w:t>一、</w:t>
      </w:r>
      <w:r>
        <w:rPr>
          <w:rFonts w:hint="eastAsia" w:asciiTheme="majorEastAsia" w:hAnsiTheme="majorEastAsia" w:eastAsiaTheme="majorEastAsia" w:cstheme="majorEastAsia"/>
          <w:b w:val="0"/>
          <w:bCs w:val="0"/>
          <w:color w:val="auto"/>
          <w:kern w:val="2"/>
          <w:sz w:val="20"/>
          <w:szCs w:val="20"/>
          <w:highlight w:val="none"/>
          <w:lang w:val="en-US" w:eastAsia="zh-Hans" w:bidi="ar-SA"/>
        </w:rPr>
        <w:t>基本要求</w:t>
      </w:r>
      <w:r>
        <w:rPr>
          <w:rFonts w:hint="eastAsia" w:asciiTheme="majorEastAsia" w:hAnsiTheme="majorEastAsia" w:eastAsiaTheme="majorEastAsia" w:cstheme="majorEastAsia"/>
          <w:b w:val="0"/>
          <w:bCs w:val="0"/>
          <w:color w:val="auto"/>
          <w:kern w:val="2"/>
          <w:sz w:val="20"/>
          <w:szCs w:val="20"/>
          <w:highlight w:val="none"/>
          <w:lang w:val="en-US" w:eastAsia="zh-CN" w:bidi="ar-SA"/>
        </w:rPr>
        <w:t>：</w:t>
      </w:r>
      <w:r>
        <w:rPr>
          <w:rFonts w:hint="eastAsia" w:asciiTheme="majorEastAsia" w:hAnsiTheme="majorEastAsia" w:eastAsiaTheme="majorEastAsia" w:cstheme="majorEastAsia"/>
          <w:b w:val="0"/>
          <w:bCs w:val="0"/>
          <w:color w:val="auto"/>
          <w:kern w:val="2"/>
          <w:sz w:val="20"/>
          <w:szCs w:val="20"/>
          <w:highlight w:val="none"/>
          <w:lang w:val="en-US" w:eastAsia="zh-Hans" w:bidi="ar-SA"/>
        </w:rPr>
        <w:t>中标人供应的食材必须向有合法资质的</w:t>
      </w:r>
      <w:r>
        <w:rPr>
          <w:rFonts w:hint="eastAsia" w:asciiTheme="majorEastAsia" w:hAnsiTheme="majorEastAsia" w:eastAsiaTheme="majorEastAsia" w:cstheme="majorEastAsia"/>
          <w:b w:val="0"/>
          <w:bCs w:val="0"/>
          <w:color w:val="auto"/>
          <w:kern w:val="2"/>
          <w:sz w:val="20"/>
          <w:szCs w:val="20"/>
          <w:highlight w:val="none"/>
          <w:lang w:val="en-US" w:eastAsia="zh-CN" w:bidi="ar-SA"/>
        </w:rPr>
        <w:t>供应商</w:t>
      </w:r>
      <w:r>
        <w:rPr>
          <w:rFonts w:hint="eastAsia" w:asciiTheme="majorEastAsia" w:hAnsiTheme="majorEastAsia" w:eastAsiaTheme="majorEastAsia" w:cstheme="majorEastAsia"/>
          <w:b w:val="0"/>
          <w:bCs w:val="0"/>
          <w:color w:val="auto"/>
          <w:kern w:val="2"/>
          <w:sz w:val="20"/>
          <w:szCs w:val="20"/>
          <w:highlight w:val="none"/>
          <w:lang w:val="en-US" w:eastAsia="zh-Hans" w:bidi="ar-SA"/>
        </w:rPr>
        <w:t>采购。</w:t>
      </w:r>
    </w:p>
    <w:p w14:paraId="4083D8E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val="0"/>
          <w:bCs w:val="0"/>
          <w:color w:val="auto"/>
          <w:sz w:val="20"/>
          <w:szCs w:val="20"/>
          <w:highlight w:val="none"/>
          <w:lang w:val="en-US" w:eastAsia="zh-Hans"/>
        </w:rPr>
      </w:pPr>
      <w:r>
        <w:rPr>
          <w:rFonts w:hint="eastAsia" w:asciiTheme="majorEastAsia" w:hAnsiTheme="majorEastAsia" w:eastAsiaTheme="majorEastAsia" w:cstheme="majorEastAsia"/>
          <w:b w:val="0"/>
          <w:bCs w:val="0"/>
          <w:color w:val="auto"/>
          <w:sz w:val="20"/>
          <w:szCs w:val="20"/>
          <w:highlight w:val="none"/>
          <w:lang w:val="en-US" w:eastAsia="zh-CN"/>
        </w:rPr>
        <w:t>二、</w:t>
      </w:r>
      <w:r>
        <w:rPr>
          <w:rFonts w:hint="eastAsia" w:asciiTheme="majorEastAsia" w:hAnsiTheme="majorEastAsia" w:eastAsiaTheme="majorEastAsia" w:cstheme="majorEastAsia"/>
          <w:b w:val="0"/>
          <w:bCs w:val="0"/>
          <w:color w:val="auto"/>
          <w:sz w:val="20"/>
          <w:szCs w:val="20"/>
          <w:highlight w:val="none"/>
          <w:lang w:val="en-US" w:eastAsia="zh-Hans"/>
        </w:rPr>
        <w:t>食材标准</w:t>
      </w:r>
    </w:p>
    <w:p w14:paraId="3E7B9FD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val="0"/>
          <w:bCs w:val="0"/>
          <w:color w:val="auto"/>
          <w:sz w:val="20"/>
          <w:szCs w:val="20"/>
          <w:highlight w:val="none"/>
          <w:lang w:val="en-US" w:eastAsia="zh-Hans"/>
        </w:rPr>
      </w:pPr>
      <w:r>
        <w:rPr>
          <w:rFonts w:hint="eastAsia" w:asciiTheme="majorEastAsia" w:hAnsiTheme="majorEastAsia" w:eastAsiaTheme="majorEastAsia" w:cstheme="majorEastAsia"/>
          <w:b w:val="0"/>
          <w:bCs w:val="0"/>
          <w:color w:val="auto"/>
          <w:sz w:val="20"/>
          <w:szCs w:val="20"/>
          <w:highlight w:val="none"/>
          <w:lang w:val="en-US" w:eastAsia="zh-Hans"/>
        </w:rPr>
        <w:t>1.常用食材列表</w:t>
      </w:r>
    </w:p>
    <w:p w14:paraId="623BDDC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val="0"/>
          <w:bCs w:val="0"/>
          <w:color w:val="auto"/>
          <w:sz w:val="20"/>
          <w:szCs w:val="20"/>
          <w:highlight w:val="none"/>
          <w:lang w:val="en-US" w:eastAsia="zh-Hans"/>
        </w:rPr>
      </w:pPr>
      <w:r>
        <w:rPr>
          <w:rFonts w:hint="eastAsia" w:asciiTheme="majorEastAsia" w:hAnsiTheme="majorEastAsia" w:eastAsiaTheme="majorEastAsia" w:cstheme="majorEastAsia"/>
          <w:b w:val="0"/>
          <w:bCs w:val="0"/>
          <w:color w:val="auto"/>
          <w:sz w:val="20"/>
          <w:szCs w:val="20"/>
          <w:highlight w:val="none"/>
          <w:lang w:val="en-US" w:eastAsia="zh-Hans"/>
        </w:rPr>
        <w:t>a．鲜猪肉</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8"/>
        <w:gridCol w:w="1627"/>
        <w:gridCol w:w="1027"/>
        <w:gridCol w:w="1798"/>
        <w:gridCol w:w="940"/>
        <w:gridCol w:w="1713"/>
      </w:tblGrid>
      <w:tr w14:paraId="09EC46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89C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203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10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EDD9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94F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2C52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6A5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13E41D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F44B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B54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带皮上肉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309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E7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带皮花肉</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36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9A9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去皮上肉</w:t>
            </w:r>
          </w:p>
        </w:tc>
      </w:tr>
      <w:tr w14:paraId="522E86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5B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19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去皮花肉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2F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E38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带皮猪踭</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42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C4D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去皮猪踭</w:t>
            </w:r>
          </w:p>
        </w:tc>
      </w:tr>
      <w:tr w14:paraId="112552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552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E09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赤肉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BB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FEC1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枚肉</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A01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93C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枚柳</w:t>
            </w:r>
          </w:p>
        </w:tc>
      </w:tr>
      <w:tr w14:paraId="78D674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DA7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1A7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一字枚</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647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F54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肉眼</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4C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83D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猪展</w:t>
            </w:r>
          </w:p>
        </w:tc>
      </w:tr>
      <w:tr w14:paraId="0F1414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676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D3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鲜排骨</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634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1A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肋排</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25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E50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肉排</w:t>
            </w:r>
          </w:p>
        </w:tc>
      </w:tr>
      <w:tr w14:paraId="51D39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36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901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猪手、脚</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7FD0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17.</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A8E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龙骨</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813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18.</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EC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筒骨</w:t>
            </w:r>
          </w:p>
        </w:tc>
      </w:tr>
      <w:tr w14:paraId="7FC5D5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94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19.</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7EB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尾脊骨</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17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20.</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24E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猪头骨</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84FE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21.</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B0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扇骨</w:t>
            </w:r>
          </w:p>
        </w:tc>
      </w:tr>
      <w:tr w14:paraId="3BA736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3F5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22.</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8A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肥肉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7D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23.</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46C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猪颈肉</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6FC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24.</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008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圆蹄</w:t>
            </w:r>
          </w:p>
        </w:tc>
      </w:tr>
      <w:tr w14:paraId="6BC925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45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25.</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B945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蹄筋</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09A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26.</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69A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猪肝</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97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27.</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ED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猪心</w:t>
            </w:r>
          </w:p>
        </w:tc>
      </w:tr>
      <w:tr w14:paraId="0498A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E944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1DF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猪肚</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75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29.</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820E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猪腰</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CD9F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30.</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934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猪脷</w:t>
            </w:r>
          </w:p>
        </w:tc>
      </w:tr>
      <w:tr w14:paraId="0E394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7BC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31.</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E158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猪尾</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E08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32.</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BE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小肚</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FB6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33.</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85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大肠</w:t>
            </w:r>
          </w:p>
        </w:tc>
      </w:tr>
      <w:tr w14:paraId="2C3F2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0E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34.</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19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大肠头</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53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35.</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A10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粉肠</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F1E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36.</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05C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猪皮</w:t>
            </w:r>
          </w:p>
        </w:tc>
      </w:tr>
      <w:tr w14:paraId="26CA1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DD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06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猪肺</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DA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38.</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811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生肠</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16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39.</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B64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猪红</w:t>
            </w:r>
          </w:p>
        </w:tc>
      </w:tr>
      <w:tr w14:paraId="6BE535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07B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40.</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0C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大油</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7D4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41.</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B95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猪肉滑</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6F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42.</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79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r>
    </w:tbl>
    <w:p w14:paraId="5129B3B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b．牛肉</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7"/>
        <w:gridCol w:w="1626"/>
        <w:gridCol w:w="942"/>
        <w:gridCol w:w="1883"/>
        <w:gridCol w:w="942"/>
        <w:gridCol w:w="1712"/>
      </w:tblGrid>
      <w:tr w14:paraId="21C51B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61D7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A5B4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BE5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9278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BB1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CA67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509E6E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E37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D3C4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牛肉</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9830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F25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牛霖</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4D74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DBC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牛百叶</w:t>
            </w:r>
          </w:p>
        </w:tc>
      </w:tr>
      <w:tr w14:paraId="3B242D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86E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472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牛展</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094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10D8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牛柳</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72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257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牛坑腩</w:t>
            </w:r>
          </w:p>
        </w:tc>
      </w:tr>
      <w:tr w14:paraId="7AFBC6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45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5DE7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牛碎腩</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B32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C41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牛肉滑</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22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35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腌牛肉片</w:t>
            </w:r>
          </w:p>
        </w:tc>
      </w:tr>
      <w:tr w14:paraId="304327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B0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3F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牛心</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96C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45A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牛骨头</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32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B2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r>
    </w:tbl>
    <w:p w14:paraId="5CB51EC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c．禽鸟</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5"/>
        <w:gridCol w:w="1730"/>
        <w:gridCol w:w="950"/>
        <w:gridCol w:w="1904"/>
        <w:gridCol w:w="864"/>
        <w:gridCol w:w="1730"/>
      </w:tblGrid>
      <w:tr w14:paraId="530742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44AB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42C3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800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9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AB4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8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371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867C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0DEA7D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FC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76E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光鸡</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ABC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3285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清远麻鸡</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E18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92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江西鸡</w:t>
            </w:r>
          </w:p>
        </w:tc>
      </w:tr>
      <w:tr w14:paraId="0E899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00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650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老鸡</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52B7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D8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竹丝鸡</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52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C6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正宗走地鸡</w:t>
            </w:r>
          </w:p>
        </w:tc>
      </w:tr>
      <w:tr w14:paraId="1BE862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055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430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水鸭</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7C4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34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番鸭</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4B0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60B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光鸭</w:t>
            </w:r>
          </w:p>
        </w:tc>
      </w:tr>
      <w:tr w14:paraId="456179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A6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DE9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鹌鹑</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F8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3F8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乳鸽</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08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F2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光鹅</w:t>
            </w:r>
          </w:p>
        </w:tc>
      </w:tr>
      <w:tr w14:paraId="482303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232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AB56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狮头鹅</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20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E9A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0CC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44D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r>
    </w:tbl>
    <w:p w14:paraId="55435FF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d．鲜活鱼</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3"/>
        <w:gridCol w:w="1730"/>
        <w:gridCol w:w="950"/>
        <w:gridCol w:w="1818"/>
        <w:gridCol w:w="864"/>
        <w:gridCol w:w="1818"/>
      </w:tblGrid>
      <w:tr w14:paraId="2F3070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452F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2ED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9B8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E0B2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8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2AE6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E75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273882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33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55F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硬边鲩鱼</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697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3F7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生鱼／活</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7C4F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280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大鱼滑</w:t>
            </w:r>
          </w:p>
        </w:tc>
      </w:tr>
      <w:tr w14:paraId="2384E3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D69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A5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鲩鱼肉片腩</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2B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C08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金鲳鱼／活</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8AE7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70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大鱼骨</w:t>
            </w:r>
          </w:p>
        </w:tc>
      </w:tr>
      <w:tr w14:paraId="0D0EC3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61F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C4A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大头鱼／活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6B6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1CD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塘虱鱼／活</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80A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FDE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大鱼尾</w:t>
            </w:r>
          </w:p>
        </w:tc>
      </w:tr>
      <w:tr w14:paraId="506BE9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232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786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大福寿鱼／活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0E3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BA5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江鲶鱼</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86B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FD76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净大鱼头</w:t>
            </w:r>
          </w:p>
        </w:tc>
      </w:tr>
      <w:tr w14:paraId="5C2A31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0D0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BF5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大鱼头／带肉</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206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AAB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塘鲶鱼</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4E12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4F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原条鲩鱼</w:t>
            </w:r>
          </w:p>
        </w:tc>
      </w:tr>
      <w:tr w14:paraId="41184F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7A72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F05B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鲫鱼／活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84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17.</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B4F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鲮鱼滑</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D29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18.</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B9E8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原条大鱼</w:t>
            </w:r>
          </w:p>
        </w:tc>
      </w:tr>
      <w:tr w14:paraId="7A794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9A1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19.</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A9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鲈鱼／活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1FD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20.</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ED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鲮鱼肉</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DC3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21.</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E32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基围虾</w:t>
            </w:r>
          </w:p>
        </w:tc>
      </w:tr>
      <w:tr w14:paraId="01241E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5FD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22.</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F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九节虾</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2C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23.</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F28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罗氏虾</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B3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24.</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0D12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鲍鱼</w:t>
            </w:r>
          </w:p>
        </w:tc>
      </w:tr>
      <w:tr w14:paraId="4B177A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C9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25.</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3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花斑鱼</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A00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26.</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4788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白贝</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209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27.</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71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元贝</w:t>
            </w:r>
          </w:p>
        </w:tc>
      </w:tr>
      <w:tr w14:paraId="28878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64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0E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盲槽鱼</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9C3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29.</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378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甲鱼/水鱼</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83D7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30.</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E99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花蟹</w:t>
            </w:r>
          </w:p>
        </w:tc>
      </w:tr>
    </w:tbl>
    <w:p w14:paraId="11AD4D8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e．冻品</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7"/>
        <w:gridCol w:w="1626"/>
        <w:gridCol w:w="942"/>
        <w:gridCol w:w="1883"/>
        <w:gridCol w:w="703"/>
        <w:gridCol w:w="1950"/>
      </w:tblGrid>
      <w:tr w14:paraId="4BB004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106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63B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8FE1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0876E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7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DD68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AF73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553727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0A5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C89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冻鸡胸肉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E88B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88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冻牛黄喉</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085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6A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冻鱿鱼</w:t>
            </w:r>
          </w:p>
        </w:tc>
      </w:tr>
      <w:tr w14:paraId="4859EE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669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B9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鸡中翅</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C573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A12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冻黑毛肚</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281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258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冻南鲳鱼（中）</w:t>
            </w:r>
          </w:p>
        </w:tc>
      </w:tr>
      <w:tr w14:paraId="325AC9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C83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B9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冻鸡壳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F9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AF0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冻猪耳</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481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2FE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冻带鱼</w:t>
            </w:r>
          </w:p>
        </w:tc>
      </w:tr>
      <w:tr w14:paraId="69FE7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88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111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冻鸡肾</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DCF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592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黄金鱼蛋</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56C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E7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冻鱿鱼须</w:t>
            </w:r>
          </w:p>
        </w:tc>
      </w:tr>
      <w:tr w14:paraId="3C4752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F5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3B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冻肥牛片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C02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89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冻虾仁</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66B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38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冻红三鱼</w:t>
            </w:r>
          </w:p>
        </w:tc>
      </w:tr>
      <w:tr w14:paraId="152FB0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6D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A2F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冻鸡脚</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88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8E9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冻牛肉丸</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EFC3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18.</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5E8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冻鱿鱼亦</w:t>
            </w:r>
          </w:p>
        </w:tc>
      </w:tr>
      <w:tr w14:paraId="504BD6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7D7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19.</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2B4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小鸡腿</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2CC4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C0C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冰鲜赤划鱼</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715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21.</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80B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冰鲜秋刀鱼</w:t>
            </w:r>
          </w:p>
        </w:tc>
      </w:tr>
      <w:tr w14:paraId="0B1CB9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3F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22.</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32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大鸡腿</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8D8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23.</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C55D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冻青豆／粒</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194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24.</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17F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冻墨鱼丸</w:t>
            </w:r>
          </w:p>
        </w:tc>
      </w:tr>
      <w:tr w14:paraId="2BCBAC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B9DD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25.</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5283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冻猪舌</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70A1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26.</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F51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冻玉米／粒</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9072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27.</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DC0B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冻猪肉丸</w:t>
            </w:r>
          </w:p>
        </w:tc>
      </w:tr>
      <w:tr w14:paraId="0631B9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A484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1C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冻炸凤爪</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BED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29.</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4DD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冰鲜白划鱼</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67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30.</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2A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冰鲜马头鱼</w:t>
            </w:r>
          </w:p>
        </w:tc>
      </w:tr>
      <w:tr w14:paraId="6144B0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E3D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31.</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5A09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冰鲜马友鱼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1E0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22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冰鲜红珊鱼</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EF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33.</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A1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CN"/>
              </w:rPr>
              <w:t>冰</w:t>
            </w:r>
            <w:r>
              <w:rPr>
                <w:rFonts w:hint="eastAsia" w:asciiTheme="majorEastAsia" w:hAnsiTheme="majorEastAsia" w:eastAsiaTheme="majorEastAsia" w:cstheme="majorEastAsia"/>
                <w:color w:val="auto"/>
                <w:sz w:val="20"/>
                <w:szCs w:val="20"/>
                <w:highlight w:val="none"/>
                <w:lang w:val="en-US" w:eastAsia="zh-Hans"/>
              </w:rPr>
              <w:t>鲜乌头鱼</w:t>
            </w:r>
          </w:p>
        </w:tc>
      </w:tr>
      <w:tr w14:paraId="16BA76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ED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34.</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2A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冰鲜黄花鱼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3C2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BB0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冰鲜金鲳鱼（大）</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D4C5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36.</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C6D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冰鲜黄立鱼/黄脚立</w:t>
            </w:r>
          </w:p>
        </w:tc>
      </w:tr>
      <w:tr w14:paraId="0BCE06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45E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D6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冰鲜巴浪鱼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5EB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F7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灌汤水饺</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2D5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39.</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E7B1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汤圆</w:t>
            </w:r>
          </w:p>
        </w:tc>
      </w:tr>
      <w:tr w14:paraId="1DFD67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234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40.</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234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蛋挞皮</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83C1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F91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冻薯条</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5FE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42.</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92A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冰鲜金鼓鱼</w:t>
            </w:r>
          </w:p>
        </w:tc>
      </w:tr>
    </w:tbl>
    <w:p w14:paraId="3D22D28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f．干货调料类</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3"/>
        <w:gridCol w:w="1711"/>
        <w:gridCol w:w="942"/>
        <w:gridCol w:w="1883"/>
        <w:gridCol w:w="942"/>
        <w:gridCol w:w="1711"/>
      </w:tblGrid>
      <w:tr w14:paraId="17DBF4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F51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388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26D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D307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87E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560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54F873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101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A7E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大花生米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BD6C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E27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黑木耳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F7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8E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干辣椒粉</w:t>
            </w:r>
          </w:p>
        </w:tc>
      </w:tr>
      <w:tr w14:paraId="1BF953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2E29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47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黄豆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83C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C24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散装粉丝</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78C4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AC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茴香</w:t>
            </w:r>
          </w:p>
        </w:tc>
      </w:tr>
      <w:tr w14:paraId="20158B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418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03E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眉豆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0E89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FB1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CN"/>
              </w:rPr>
              <w:t>薏</w:t>
            </w:r>
            <w:r>
              <w:rPr>
                <w:rFonts w:hint="eastAsia" w:asciiTheme="majorEastAsia" w:hAnsiTheme="majorEastAsia" w:eastAsiaTheme="majorEastAsia" w:cstheme="majorEastAsia"/>
                <w:color w:val="auto"/>
                <w:sz w:val="20"/>
                <w:szCs w:val="20"/>
                <w:highlight w:val="none"/>
                <w:lang w:val="en-US" w:eastAsia="zh-Hans"/>
              </w:rPr>
              <w:t>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D4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BC1A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云耳</w:t>
            </w:r>
          </w:p>
        </w:tc>
      </w:tr>
      <w:tr w14:paraId="62CD47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A9C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45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扁豆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379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00B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干淮山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853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62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蜜枣</w:t>
            </w:r>
          </w:p>
        </w:tc>
      </w:tr>
      <w:tr w14:paraId="548218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23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B8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乌豆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01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2F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莲子</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4AC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921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白芝麻</w:t>
            </w:r>
          </w:p>
        </w:tc>
      </w:tr>
      <w:tr w14:paraId="290F1D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0E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291D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绿豆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AB6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87D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红豆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B33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20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椰蓉</w:t>
            </w:r>
          </w:p>
        </w:tc>
      </w:tr>
      <w:tr w14:paraId="3E4DD6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529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52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无沙紫菜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CAC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D67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霸王花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EECF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D739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干尖椒</w:t>
            </w:r>
          </w:p>
        </w:tc>
      </w:tr>
      <w:tr w14:paraId="22779C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400D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5CE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白木耳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6B3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23.</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979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金针菜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0E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65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马蹄粉</w:t>
            </w:r>
          </w:p>
        </w:tc>
      </w:tr>
      <w:tr w14:paraId="4FB9E7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A2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A12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胡椒粉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5A0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26.</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0E5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干海带</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218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0FA7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生地</w:t>
            </w:r>
          </w:p>
        </w:tc>
      </w:tr>
      <w:tr w14:paraId="43F2AB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4040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058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花椒</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1C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29.</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F2DC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当归片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110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792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熟地</w:t>
            </w:r>
          </w:p>
        </w:tc>
      </w:tr>
      <w:tr w14:paraId="6D6F14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56E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96D6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干香菇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E57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7586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红枣</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86B6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6EC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白冰糖</w:t>
            </w:r>
          </w:p>
        </w:tc>
      </w:tr>
      <w:tr w14:paraId="181B3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483A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6A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支竹</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41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37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党参</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1B9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6E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黄、红片糖</w:t>
            </w:r>
          </w:p>
        </w:tc>
      </w:tr>
      <w:tr w14:paraId="4E3AF7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7861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D8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白果肉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D8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D0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草果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9E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17A7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胡椒粒</w:t>
            </w:r>
          </w:p>
        </w:tc>
      </w:tr>
      <w:tr w14:paraId="1B5023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6C0D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BCA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虾米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FFAF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902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丁香</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92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50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桂皮</w:t>
            </w:r>
          </w:p>
        </w:tc>
      </w:tr>
      <w:tr w14:paraId="009906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472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BBA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陈皮</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085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0EF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枸杞子</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1492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97C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香叶</w:t>
            </w:r>
          </w:p>
        </w:tc>
      </w:tr>
      <w:tr w14:paraId="3FA113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79F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41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南北杏</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65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7C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干腐皮</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5AD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E8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国产食粉</w:t>
            </w:r>
          </w:p>
        </w:tc>
      </w:tr>
      <w:tr w14:paraId="444E0F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FC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01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干沙姜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7037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79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无花果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67DE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1B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食粉／盒</w:t>
            </w:r>
          </w:p>
        </w:tc>
      </w:tr>
      <w:tr w14:paraId="06313C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4BD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5C55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干瑶柱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B834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53.</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BEE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甘草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83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5F3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黄姜粉</w:t>
            </w:r>
          </w:p>
        </w:tc>
      </w:tr>
      <w:tr w14:paraId="4E6554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DE4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E1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沙参</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A7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56.</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AC4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豆蔻</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FFC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77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沙姜粉</w:t>
            </w:r>
          </w:p>
        </w:tc>
      </w:tr>
      <w:tr w14:paraId="33DA2E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5E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B3B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南姜粉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3026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59.</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71D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冬菜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0D6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916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豆沙／桶</w:t>
            </w:r>
          </w:p>
        </w:tc>
      </w:tr>
      <w:tr w14:paraId="790D1D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E4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05C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莲蓉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54C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E8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椰子酱／汁</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742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18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蛋糕油</w:t>
            </w:r>
          </w:p>
        </w:tc>
      </w:tr>
      <w:tr w14:paraId="2E6311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D2A4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E31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辣椒酱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45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241A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依仕</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AF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E3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香麻油</w:t>
            </w:r>
          </w:p>
        </w:tc>
      </w:tr>
      <w:tr w14:paraId="2BAE5E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68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A47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花椒油</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7E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60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橄榄菜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E64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802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白菜干</w:t>
            </w:r>
          </w:p>
        </w:tc>
      </w:tr>
      <w:tr w14:paraId="399A06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4AD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BB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罗汉果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AEFA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2E2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榄角</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0F98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62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八角</w:t>
            </w:r>
          </w:p>
        </w:tc>
      </w:tr>
      <w:tr w14:paraId="4CD3B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AB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C41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冬菇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5386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D8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鱿鱼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87AB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385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生抽</w:t>
            </w:r>
          </w:p>
        </w:tc>
      </w:tr>
      <w:tr w14:paraId="56B860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ED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373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老抽</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263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A9D0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白砂糖</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70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ED8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食用盐</w:t>
            </w:r>
          </w:p>
        </w:tc>
      </w:tr>
      <w:tr w14:paraId="0961A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EF6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ED9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蚝油</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D0A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633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172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0B7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陈醋</w:t>
            </w:r>
          </w:p>
        </w:tc>
      </w:tr>
    </w:tbl>
    <w:p w14:paraId="72F4243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g．腊味</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6"/>
        <w:gridCol w:w="1610"/>
        <w:gridCol w:w="1017"/>
        <w:gridCol w:w="1864"/>
        <w:gridCol w:w="932"/>
        <w:gridCol w:w="1694"/>
      </w:tblGrid>
      <w:tr w14:paraId="6A9862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4C3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E53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10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029D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A85A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8D44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1A0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7F1991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6AA8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6A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腊肠</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436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74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腊肉</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3C1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286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湖南烟肉</w:t>
            </w:r>
          </w:p>
        </w:tc>
      </w:tr>
    </w:tbl>
    <w:p w14:paraId="5839DEC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h．瓜果、蔬菜类</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2"/>
        <w:gridCol w:w="1384"/>
        <w:gridCol w:w="1384"/>
        <w:gridCol w:w="1384"/>
        <w:gridCol w:w="1384"/>
        <w:gridCol w:w="1385"/>
      </w:tblGrid>
      <w:tr w14:paraId="6B197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773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D17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A769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4EA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949C6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3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2F3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2EA9FF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65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119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潺菜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03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320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红尖椒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D45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C0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雪里红</w:t>
            </w:r>
          </w:p>
        </w:tc>
      </w:tr>
      <w:tr w14:paraId="196BFF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E1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9B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苋菜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F3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EB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鲜淮山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899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1D15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榨菜丝</w:t>
            </w:r>
          </w:p>
        </w:tc>
      </w:tr>
      <w:tr w14:paraId="535869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203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A30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通心菜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1F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F2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土豆</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69D4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2F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什锦菜</w:t>
            </w:r>
          </w:p>
        </w:tc>
      </w:tr>
      <w:tr w14:paraId="7457AE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018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DB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春菜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602A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E7F1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莲藕</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731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6A10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无叶酸菜</w:t>
            </w:r>
          </w:p>
        </w:tc>
      </w:tr>
      <w:tr w14:paraId="63FEDA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F2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04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小白菜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8F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DA9C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西红柿</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07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A6E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酸笋片</w:t>
            </w:r>
          </w:p>
        </w:tc>
      </w:tr>
      <w:tr w14:paraId="0A012E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635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2E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小塘菜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9EAA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F77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白萝卜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2A69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8E5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鲜木耳</w:t>
            </w:r>
          </w:p>
        </w:tc>
      </w:tr>
      <w:tr w14:paraId="64D9C4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AC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CE4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菜心</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C44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BFA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红萝卜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0D0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21.</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0C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绿色海带丝</w:t>
            </w:r>
          </w:p>
        </w:tc>
      </w:tr>
      <w:tr w14:paraId="2E224B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1F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79CE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奶白菜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BC7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7812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青萝卜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F9D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24.</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55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带皮玉米棒</w:t>
            </w:r>
          </w:p>
        </w:tc>
      </w:tr>
      <w:tr w14:paraId="01D5BD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36C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AE4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菠菜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58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B0E8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冬瓜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CB2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27.</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71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去皮玉米棒</w:t>
            </w:r>
          </w:p>
        </w:tc>
      </w:tr>
      <w:tr w14:paraId="214DEA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F518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645C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芥菜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86F3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2D38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苦瓜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4908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30.</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18C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荷兰豆</w:t>
            </w:r>
          </w:p>
        </w:tc>
      </w:tr>
      <w:tr w14:paraId="7DF5D4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E3D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53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芥兰菜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058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46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6818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83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甜豆</w:t>
            </w:r>
          </w:p>
        </w:tc>
      </w:tr>
      <w:tr w14:paraId="520991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1F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D50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西洋菜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DEDC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95F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青瓜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29B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178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玉豆</w:t>
            </w:r>
          </w:p>
        </w:tc>
      </w:tr>
      <w:tr w14:paraId="7AE918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17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573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490D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64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茄瓜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907B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F27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白豆角</w:t>
            </w:r>
          </w:p>
        </w:tc>
      </w:tr>
      <w:tr w14:paraId="6C7590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E6E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FF10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油麦菜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0F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47A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青木瓜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514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8E6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青豆角</w:t>
            </w:r>
          </w:p>
        </w:tc>
      </w:tr>
      <w:tr w14:paraId="763C73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250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884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枸杞叶</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D5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D3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半生熟木瓜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E4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299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番薯</w:t>
            </w:r>
          </w:p>
        </w:tc>
      </w:tr>
      <w:tr w14:paraId="60F8CB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6A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9B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椰菜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C06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190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节瓜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113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AE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蒜苔</w:t>
            </w:r>
          </w:p>
        </w:tc>
      </w:tr>
      <w:tr w14:paraId="74C210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C1DE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EBB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苦麦菜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A28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0B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水瓜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A40A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51.</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DE8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青蒜</w:t>
            </w:r>
          </w:p>
        </w:tc>
      </w:tr>
      <w:tr w14:paraId="16FE82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3B32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86F3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枸杞菜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0FC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78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丝瓜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8E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54.</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A27E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干葱头</w:t>
            </w:r>
          </w:p>
        </w:tc>
      </w:tr>
      <w:tr w14:paraId="16CA2A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DE8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4B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C1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5EF9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南瓜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04EA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57.</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DE6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马蹄肉</w:t>
            </w:r>
          </w:p>
        </w:tc>
      </w:tr>
      <w:tr w14:paraId="08CCC0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387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4F2B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潮州白菜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9B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641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云南小瓜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ED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60.</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6BE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鲜玉米粒</w:t>
            </w:r>
          </w:p>
        </w:tc>
      </w:tr>
      <w:tr w14:paraId="535343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C541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219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长白菜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CEE6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2653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浦瓜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E42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128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鲜笋</w:t>
            </w:r>
          </w:p>
        </w:tc>
      </w:tr>
      <w:tr w14:paraId="2A886D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68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66E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京包菜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9C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780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鲜草菇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2F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A13D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洋葱</w:t>
            </w:r>
          </w:p>
        </w:tc>
      </w:tr>
      <w:tr w14:paraId="4EE09A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7DB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FC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菜花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574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64F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鲜冬菇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A0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EC8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香芋</w:t>
            </w:r>
          </w:p>
        </w:tc>
      </w:tr>
      <w:tr w14:paraId="178DB0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843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558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西芹</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2E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F27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茶树菇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CD71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46DE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蒜头</w:t>
            </w:r>
          </w:p>
        </w:tc>
      </w:tr>
      <w:tr w14:paraId="4DD625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CE4B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79E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正宗香芹</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12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366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鸡腿菇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DC8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94D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蒜米</w:t>
            </w:r>
          </w:p>
        </w:tc>
      </w:tr>
      <w:tr w14:paraId="727A8E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64D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62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椰子／个</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A2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1A7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鲜平菇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DAC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3E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姜肉</w:t>
            </w:r>
          </w:p>
        </w:tc>
      </w:tr>
      <w:tr w14:paraId="17D4F9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95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C6BA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香菜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F9A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60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金针菇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3CA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81.</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043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生姜</w:t>
            </w:r>
          </w:p>
        </w:tc>
      </w:tr>
      <w:tr w14:paraId="57F3F7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941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7F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韭菜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B9A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2DA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百合／包</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E9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84.</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D6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鲜沙姜</w:t>
            </w:r>
          </w:p>
        </w:tc>
      </w:tr>
      <w:tr w14:paraId="79FDC3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42A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631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韭黄</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F62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1E4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酸豆角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65A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87.</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7FB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绿豆芽</w:t>
            </w:r>
          </w:p>
        </w:tc>
      </w:tr>
      <w:tr w14:paraId="5AFCF5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E4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BA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韭菜花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C31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E0D2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萝卜干</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81A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90.</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3E8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黄豆芽</w:t>
            </w:r>
          </w:p>
        </w:tc>
      </w:tr>
      <w:tr w14:paraId="6CB3DB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EB9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BC4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生葱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D055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9618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萝卜条</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E7FA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B063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本地新土豆</w:t>
            </w:r>
          </w:p>
        </w:tc>
      </w:tr>
      <w:tr w14:paraId="22933D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64A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42A4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北方京葱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C9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0CF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榨菜粒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604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FE4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无土番茄</w:t>
            </w:r>
          </w:p>
        </w:tc>
      </w:tr>
      <w:tr w14:paraId="1A3278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ABD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310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莴笋</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D865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78A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有叶酸菜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34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903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茅根／湿</w:t>
            </w:r>
          </w:p>
        </w:tc>
      </w:tr>
      <w:tr w14:paraId="2FA3C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C00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1C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西兰花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25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69E5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咸梅菜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10B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D9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竹蔗</w:t>
            </w:r>
          </w:p>
        </w:tc>
      </w:tr>
      <w:tr w14:paraId="14A9D6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7D7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4BE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圆椒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4B7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7C3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甜梅菜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02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ADB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沙葛</w:t>
            </w:r>
          </w:p>
        </w:tc>
      </w:tr>
      <w:tr w14:paraId="7791CA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FC64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2F4E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尖椒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9D0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ABE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榨菜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F16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0EB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粉葛</w:t>
            </w:r>
          </w:p>
        </w:tc>
      </w:tr>
    </w:tbl>
    <w:p w14:paraId="7636C82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i．豆制品</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3"/>
        <w:gridCol w:w="1713"/>
        <w:gridCol w:w="940"/>
        <w:gridCol w:w="1883"/>
        <w:gridCol w:w="856"/>
        <w:gridCol w:w="1798"/>
      </w:tblGrid>
      <w:tr w14:paraId="5CA49D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3C42F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26C88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F4E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D9B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8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690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04A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6AC572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67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AC3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豆腐／板</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F2D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A89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香干</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EB4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05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豆腐皮</w:t>
            </w:r>
          </w:p>
        </w:tc>
      </w:tr>
      <w:tr w14:paraId="6F182A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49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266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白豆干</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34B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E0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大豆卜</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2BE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85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客家豆腐</w:t>
            </w:r>
          </w:p>
        </w:tc>
      </w:tr>
      <w:tr w14:paraId="63295B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CD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1B1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黄豆干</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07E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E4B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小豆卜</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BB2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21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炸面筋</w:t>
            </w:r>
          </w:p>
        </w:tc>
      </w:tr>
      <w:tr w14:paraId="1FAE93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EB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3B2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千叶豆腐</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50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F13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日本豆腐</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6E6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6F4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r>
    </w:tbl>
    <w:p w14:paraId="076D929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j.乳制品</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6"/>
        <w:gridCol w:w="1694"/>
        <w:gridCol w:w="932"/>
        <w:gridCol w:w="1864"/>
        <w:gridCol w:w="932"/>
        <w:gridCol w:w="1694"/>
      </w:tblGrid>
      <w:tr w14:paraId="7A2A9F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A992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18BC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5354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A830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786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20E2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0EDFF8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70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2FD1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牛奶</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70A7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518C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酸奶</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D3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7BA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r>
    </w:tbl>
    <w:p w14:paraId="1E9D246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k．蛋类</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6"/>
        <w:gridCol w:w="1694"/>
        <w:gridCol w:w="932"/>
        <w:gridCol w:w="1864"/>
        <w:gridCol w:w="932"/>
        <w:gridCol w:w="1694"/>
      </w:tblGrid>
      <w:tr w14:paraId="588F09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1DE2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5A8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6FC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5CF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F2B8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9605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名称</w:t>
            </w:r>
          </w:p>
        </w:tc>
      </w:tr>
      <w:tr w14:paraId="3968AB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E5F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F8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咸蛋</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53AB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35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皮蛋</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6E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4D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鸡蛋</w:t>
            </w:r>
          </w:p>
        </w:tc>
      </w:tr>
    </w:tbl>
    <w:p w14:paraId="669F840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kern w:val="2"/>
          <w:sz w:val="20"/>
          <w:szCs w:val="20"/>
          <w:highlight w:val="none"/>
          <w:lang w:val="en-US" w:eastAsia="zh-CN" w:bidi="ar-SA"/>
        </w:rPr>
        <w:t>（八）</w:t>
      </w:r>
      <w:r>
        <w:rPr>
          <w:rFonts w:hint="eastAsia" w:asciiTheme="majorEastAsia" w:hAnsiTheme="majorEastAsia" w:eastAsiaTheme="majorEastAsia" w:cstheme="majorEastAsia"/>
          <w:b/>
          <w:bCs/>
          <w:color w:val="auto"/>
          <w:sz w:val="20"/>
          <w:szCs w:val="20"/>
          <w:highlight w:val="none"/>
        </w:rPr>
        <w:t>管理目标要求</w:t>
      </w:r>
    </w:p>
    <w:p w14:paraId="45DE82D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★1、每年配合</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完成</w:t>
      </w:r>
      <w:r>
        <w:rPr>
          <w:rFonts w:hint="eastAsia" w:asciiTheme="majorEastAsia" w:hAnsiTheme="majorEastAsia" w:eastAsiaTheme="majorEastAsia" w:cstheme="majorEastAsia"/>
          <w:color w:val="auto"/>
          <w:sz w:val="20"/>
          <w:szCs w:val="20"/>
          <w:highlight w:val="none"/>
        </w:rPr>
        <w:t>采购扶贫农副产品指标</w:t>
      </w:r>
      <w:r>
        <w:rPr>
          <w:rFonts w:hint="eastAsia" w:asciiTheme="majorEastAsia" w:hAnsiTheme="majorEastAsia" w:eastAsiaTheme="majorEastAsia" w:cstheme="majorEastAsia"/>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72357BE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①负责食堂的升级优化，包括食堂内部环境优化，设备设施、订餐系统等投入，投标人需制定详细的食堂升级优化方案；②优化期内保证招标人的正常的餐饮服务，投标人须针对食堂升级优化方案制定优化期间的供餐保障方案，须充分考虑保障供餐的重点难点，明确可能出现的因优化影响供餐的因素（例如设备设施更换、停水、停电、噪音）以及对应的解决措施。</w:t>
      </w:r>
    </w:p>
    <w:p w14:paraId="2608831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所安排到</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lang w:val="en-US" w:eastAsia="zh-CN"/>
        </w:rPr>
        <w:t>处提供</w:t>
      </w:r>
      <w:r>
        <w:rPr>
          <w:rFonts w:hint="eastAsia" w:asciiTheme="majorEastAsia" w:hAnsiTheme="majorEastAsia" w:eastAsiaTheme="majorEastAsia" w:cstheme="majorEastAsia"/>
          <w:b w:val="0"/>
          <w:bCs w:val="0"/>
          <w:color w:val="auto"/>
          <w:sz w:val="20"/>
          <w:szCs w:val="20"/>
          <w:highlight w:val="none"/>
        </w:rPr>
        <w:t>餐饮服务的员工必须与</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lang w:val="en-US" w:eastAsia="zh-CN"/>
        </w:rPr>
        <w:t>建立</w:t>
      </w:r>
      <w:r>
        <w:rPr>
          <w:rFonts w:hint="eastAsia" w:asciiTheme="majorEastAsia" w:hAnsiTheme="majorEastAsia" w:eastAsiaTheme="majorEastAsia" w:cstheme="majorEastAsia"/>
          <w:b w:val="0"/>
          <w:bCs w:val="0"/>
          <w:color w:val="auto"/>
          <w:sz w:val="20"/>
          <w:szCs w:val="20"/>
          <w:highlight w:val="none"/>
        </w:rPr>
        <w:t>劳动</w:t>
      </w:r>
      <w:r>
        <w:rPr>
          <w:rFonts w:hint="eastAsia" w:asciiTheme="majorEastAsia" w:hAnsiTheme="majorEastAsia" w:eastAsiaTheme="majorEastAsia" w:cstheme="majorEastAsia"/>
          <w:b w:val="0"/>
          <w:bCs w:val="0"/>
          <w:color w:val="auto"/>
          <w:sz w:val="20"/>
          <w:szCs w:val="20"/>
          <w:highlight w:val="none"/>
          <w:lang w:val="en-US" w:eastAsia="zh-CN"/>
        </w:rPr>
        <w:t>关系并签订合同</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的员工一切劳动</w:t>
      </w:r>
      <w:r>
        <w:rPr>
          <w:rFonts w:hint="eastAsia" w:asciiTheme="majorEastAsia" w:hAnsiTheme="majorEastAsia" w:eastAsiaTheme="majorEastAsia" w:cstheme="majorEastAsia"/>
          <w:b w:val="0"/>
          <w:bCs w:val="0"/>
          <w:color w:val="auto"/>
          <w:sz w:val="20"/>
          <w:szCs w:val="20"/>
          <w:highlight w:val="none"/>
          <w:lang w:val="en-US" w:eastAsia="zh-CN"/>
        </w:rPr>
        <w:t>购买</w:t>
      </w:r>
      <w:r>
        <w:rPr>
          <w:rFonts w:hint="eastAsia" w:asciiTheme="majorEastAsia" w:hAnsiTheme="majorEastAsia" w:eastAsiaTheme="majorEastAsia" w:cstheme="majorEastAsia"/>
          <w:b w:val="0"/>
          <w:bCs w:val="0"/>
          <w:color w:val="auto"/>
          <w:sz w:val="20"/>
          <w:szCs w:val="20"/>
          <w:highlight w:val="none"/>
        </w:rPr>
        <w:t>保险及其它福利待遇由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承担费用和自行办理。不得因与员工的劳动纠纷影响向</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提供正常服务，如造成食堂无法按时、足量供应餐食的，</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有权终止合同，并追究</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的违约责任。</w:t>
      </w:r>
    </w:p>
    <w:p w14:paraId="6C2705B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rPr>
        <w:t>、日常餐饮服务运作过程中产生的水费、电费、燃气费、垃圾费、网络费、通讯费等所有费用</w:t>
      </w:r>
      <w:r>
        <w:rPr>
          <w:rFonts w:hint="eastAsia" w:asciiTheme="majorEastAsia" w:hAnsiTheme="majorEastAsia" w:eastAsiaTheme="majorEastAsia" w:cstheme="majorEastAsia"/>
          <w:b w:val="0"/>
          <w:bCs w:val="0"/>
          <w:color w:val="auto"/>
          <w:sz w:val="20"/>
          <w:szCs w:val="20"/>
          <w:highlight w:val="none"/>
          <w:lang w:val="en-US" w:eastAsia="zh-CN"/>
        </w:rPr>
        <w:t>由中标人自行支付。（如</w:t>
      </w:r>
      <w:r>
        <w:rPr>
          <w:rFonts w:hint="eastAsia" w:asciiTheme="majorEastAsia" w:hAnsiTheme="majorEastAsia" w:eastAsiaTheme="majorEastAsia" w:cstheme="majorEastAsia"/>
          <w:color w:val="auto"/>
          <w:sz w:val="20"/>
          <w:szCs w:val="20"/>
          <w:highlight w:val="none"/>
        </w:rPr>
        <w:t>医院先垫付的电费水费应由食堂根据医院开具的清单补还给医院</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70528E9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投标人</w:t>
      </w:r>
      <w:r>
        <w:rPr>
          <w:rFonts w:hint="eastAsia" w:asciiTheme="majorEastAsia" w:hAnsiTheme="majorEastAsia" w:eastAsiaTheme="majorEastAsia" w:cstheme="majorEastAsia"/>
          <w:b w:val="0"/>
          <w:bCs w:val="0"/>
          <w:color w:val="auto"/>
          <w:sz w:val="20"/>
          <w:szCs w:val="20"/>
          <w:highlight w:val="none"/>
        </w:rPr>
        <w:t>必须按照《中华人民共和国食品安全法》《食品生产许可管理办法》《餐饮服务食品安全操作规范》《餐饮服务食品采购索证索票管理规定》《食品添加剂新品种管理办法》等相关法律、法规、制度及政策，通过规范的管理流程和严格的内部监察机制来确保高标准的食品卫生安全。</w:t>
      </w:r>
    </w:p>
    <w:p w14:paraId="7BE4671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必须通过有效的</w:t>
      </w:r>
      <w:r>
        <w:rPr>
          <w:rFonts w:hint="eastAsia" w:asciiTheme="majorEastAsia" w:hAnsiTheme="majorEastAsia" w:eastAsiaTheme="majorEastAsia" w:cstheme="majorEastAsia"/>
          <w:b w:val="0"/>
          <w:bCs w:val="0"/>
          <w:color w:val="auto"/>
          <w:sz w:val="20"/>
          <w:szCs w:val="20"/>
          <w:highlight w:val="none"/>
          <w:lang w:val="en-US" w:eastAsia="zh-CN"/>
        </w:rPr>
        <w:t>措施</w:t>
      </w:r>
      <w:r>
        <w:rPr>
          <w:rFonts w:hint="eastAsia" w:asciiTheme="majorEastAsia" w:hAnsiTheme="majorEastAsia" w:eastAsiaTheme="majorEastAsia" w:cstheme="majorEastAsia"/>
          <w:b w:val="0"/>
          <w:bCs w:val="0"/>
          <w:color w:val="auto"/>
          <w:sz w:val="20"/>
          <w:szCs w:val="20"/>
          <w:highlight w:val="none"/>
        </w:rPr>
        <w:t>提高</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餐饮的服务质量，达到并维持较高的满意度。应有具体的满意度跟进措施以及定期反馈与改进措施。</w:t>
      </w:r>
    </w:p>
    <w:p w14:paraId="1DB742F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7</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必须通过完善的管理体制和专业的人员，减少</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管理层在餐饮方面的精力投入。</w:t>
      </w:r>
    </w:p>
    <w:p w14:paraId="62B3B45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8</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必须知晓</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为医疗行业的特殊性，服从</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制定的管理规定。</w:t>
      </w:r>
    </w:p>
    <w:p w14:paraId="00C7CC3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9</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出品质量以及食材采购质量和验收标准</w:t>
      </w:r>
      <w:r>
        <w:rPr>
          <w:rFonts w:hint="eastAsia" w:asciiTheme="majorEastAsia" w:hAnsiTheme="majorEastAsia" w:eastAsiaTheme="majorEastAsia" w:cstheme="majorEastAsia"/>
          <w:b w:val="0"/>
          <w:bCs w:val="0"/>
          <w:color w:val="auto"/>
          <w:sz w:val="20"/>
          <w:szCs w:val="20"/>
          <w:highlight w:val="none"/>
          <w:lang w:val="en-US" w:eastAsia="zh-CN"/>
        </w:rPr>
        <w:t>应按照</w:t>
      </w:r>
      <w:r>
        <w:rPr>
          <w:rFonts w:hint="eastAsia" w:asciiTheme="majorEastAsia" w:hAnsiTheme="majorEastAsia" w:eastAsiaTheme="majorEastAsia" w:cstheme="majorEastAsia"/>
          <w:b w:val="0"/>
          <w:bCs w:val="0"/>
          <w:color w:val="auto"/>
          <w:sz w:val="20"/>
          <w:szCs w:val="20"/>
          <w:highlight w:val="none"/>
          <w:lang w:eastAsia="zh-CN"/>
        </w:rPr>
        <w:t>招标</w:t>
      </w:r>
      <w:r>
        <w:rPr>
          <w:rFonts w:hint="eastAsia" w:asciiTheme="majorEastAsia" w:hAnsiTheme="majorEastAsia" w:eastAsiaTheme="majorEastAsia" w:cstheme="majorEastAsia"/>
          <w:b w:val="0"/>
          <w:bCs w:val="0"/>
          <w:color w:val="auto"/>
          <w:sz w:val="20"/>
          <w:szCs w:val="20"/>
          <w:highlight w:val="none"/>
        </w:rPr>
        <w:t>文件中的具体要求。</w:t>
      </w:r>
    </w:p>
    <w:p w14:paraId="12EF60C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0</w:t>
      </w:r>
      <w:r>
        <w:rPr>
          <w:rFonts w:hint="eastAsia" w:asciiTheme="majorEastAsia" w:hAnsiTheme="majorEastAsia" w:eastAsiaTheme="majorEastAsia" w:cstheme="majorEastAsia"/>
          <w:b w:val="0"/>
          <w:bCs w:val="0"/>
          <w:color w:val="auto"/>
          <w:sz w:val="20"/>
          <w:szCs w:val="20"/>
          <w:highlight w:val="none"/>
        </w:rPr>
        <w:t>、原则上当天所有餐次的出品应是当次制作，保证新鲜，保证口感，因制作复杂所需的个别菜品经</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审批同意后可放宽至提前1天制作（未售完但保存完好并加热后能正常食用的个别菜品仅可再售卖1次）。除个别菜品的特殊需求外，应采用新鲜食材，并尽量减少使用冷冻品。</w:t>
      </w:r>
    </w:p>
    <w:p w14:paraId="45C1A5E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全部员工要按行业标准进行专业素质培训，以优质的服务进行规范化管理，做到形象良好、礼貌待客、微笑服务，并做好服务跟踪，为每一位职工和病患提供良好的就餐体验。</w:t>
      </w:r>
    </w:p>
    <w:p w14:paraId="14E5998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、确保</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每餐的正常膳食供应，并根据需要提供网络订餐及送餐服务，对</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提出的接待餐、会议供餐、过时餐等无条件服从，并按时、按质完成，保证饭热菜香。</w:t>
      </w:r>
    </w:p>
    <w:p w14:paraId="4C453EB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须严格执行国家食品安全法以及食品加工、销售、饮食卫生“五四制”和有关部门对餐饮业的有关规定，合理守法地开展服务。服务期间，确保无事故发生，</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因服务期间管理不当发生食物安全问题或中毒、因人为或其他因素引发的事故及所造成的人员伤亡、财产损失等，其经济责任、法律责任全部由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承担，视情况严重程度，</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有权终止合同，且对</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造成财产或声誉损害的，</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应承担赔偿责任。</w:t>
      </w:r>
    </w:p>
    <w:p w14:paraId="4282ED8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在清洁餐具时，必须保证餐具干净卫生，</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不定期监督检查。</w:t>
      </w:r>
    </w:p>
    <w:p w14:paraId="0C8DB77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要加强食品卫生</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食品质量的管理，确保食品质量，所有原材料与制成品必须符合食品卫生检疫标准。同时，必须接受市场监督管理局、消防部门等各级单位的卫生及消防监督检查，并按检查结果进行整改。</w:t>
      </w:r>
    </w:p>
    <w:p w14:paraId="1E75C4D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进场前需提供以下详细的资料：接场计划书、个人卫生标准、环境卫生标准、各岗位工作安排表、各岗位职责、各岗位作业指导书、关键岗位考核表、应急预案（包括食物中毒应急预案、紧急供餐应急预案等），具体要求为：</w:t>
      </w:r>
    </w:p>
    <w:p w14:paraId="3A296D6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eastAsia="zh-CN"/>
        </w:rPr>
        <w:t>投标人</w:t>
      </w:r>
      <w:r>
        <w:rPr>
          <w:rFonts w:hint="eastAsia" w:asciiTheme="majorEastAsia" w:hAnsiTheme="majorEastAsia" w:eastAsiaTheme="majorEastAsia" w:cstheme="majorEastAsia"/>
          <w:b w:val="0"/>
          <w:bCs w:val="0"/>
          <w:color w:val="auto"/>
          <w:sz w:val="20"/>
          <w:szCs w:val="20"/>
          <w:highlight w:val="none"/>
        </w:rPr>
        <w:t>需针对可能出现的食物中毒或其他食源性疾患事故，结合</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的实际情况提供详细可行的应对方案。</w:t>
      </w:r>
    </w:p>
    <w:p w14:paraId="680F748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eastAsia="zh-CN"/>
        </w:rPr>
      </w:pPr>
      <w:r>
        <w:rPr>
          <w:rFonts w:hint="eastAsia" w:asciiTheme="majorEastAsia" w:hAnsiTheme="majorEastAsia" w:eastAsiaTheme="majorEastAsia" w:cstheme="majorEastAsia"/>
          <w:b w:val="0"/>
          <w:bCs w:val="0"/>
          <w:color w:val="auto"/>
          <w:sz w:val="20"/>
          <w:szCs w:val="20"/>
          <w:highlight w:val="none"/>
        </w:rPr>
        <w:t>（2）应设立应急工作小组并明确人员的组织架构</w:t>
      </w:r>
      <w:r>
        <w:rPr>
          <w:rFonts w:hint="eastAsia" w:asciiTheme="majorEastAsia" w:hAnsiTheme="majorEastAsia" w:eastAsiaTheme="majorEastAsia" w:cstheme="majorEastAsia"/>
          <w:b w:val="0"/>
          <w:bCs w:val="0"/>
          <w:color w:val="auto"/>
          <w:sz w:val="20"/>
          <w:szCs w:val="20"/>
          <w:highlight w:val="none"/>
          <w:lang w:val="en-US" w:eastAsia="zh-CN"/>
        </w:rPr>
        <w:t>。</w:t>
      </w:r>
    </w:p>
    <w:p w14:paraId="447B71E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（3）对于临时退货、补货</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加工时停水（停电）应急处理等应急情况要有对应的应急措施保障食材的正常供应。</w:t>
      </w:r>
    </w:p>
    <w:p w14:paraId="63F2DAA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（4）</w:t>
      </w:r>
      <w:r>
        <w:rPr>
          <w:rFonts w:hint="eastAsia" w:asciiTheme="majorEastAsia" w:hAnsiTheme="majorEastAsia" w:eastAsiaTheme="majorEastAsia" w:cstheme="majorEastAsia"/>
          <w:b w:val="0"/>
          <w:bCs w:val="0"/>
          <w:color w:val="auto"/>
          <w:sz w:val="20"/>
          <w:szCs w:val="20"/>
          <w:highlight w:val="none"/>
          <w:lang w:val="en-US" w:eastAsia="zh-CN"/>
        </w:rPr>
        <w:t>对</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lang w:val="en-US" w:eastAsia="zh-CN"/>
        </w:rPr>
        <w:t>可能的</w:t>
      </w:r>
      <w:r>
        <w:rPr>
          <w:rFonts w:hint="eastAsia" w:asciiTheme="majorEastAsia" w:hAnsiTheme="majorEastAsia" w:eastAsiaTheme="majorEastAsia" w:cstheme="majorEastAsia"/>
          <w:b w:val="0"/>
          <w:bCs w:val="0"/>
          <w:color w:val="auto"/>
          <w:sz w:val="20"/>
          <w:szCs w:val="20"/>
          <w:highlight w:val="none"/>
        </w:rPr>
        <w:t>食材紧急配送的需求，</w:t>
      </w:r>
      <w:r>
        <w:rPr>
          <w:rFonts w:hint="eastAsia" w:asciiTheme="majorEastAsia" w:hAnsiTheme="majorEastAsia" w:eastAsiaTheme="majorEastAsia" w:cstheme="majorEastAsia"/>
          <w:b w:val="0"/>
          <w:bCs w:val="0"/>
          <w:color w:val="auto"/>
          <w:sz w:val="20"/>
          <w:szCs w:val="20"/>
          <w:highlight w:val="none"/>
          <w:lang w:eastAsia="zh-CN"/>
        </w:rPr>
        <w:t>投标人</w:t>
      </w:r>
      <w:r>
        <w:rPr>
          <w:rFonts w:hint="eastAsia" w:asciiTheme="majorEastAsia" w:hAnsiTheme="majorEastAsia" w:eastAsiaTheme="majorEastAsia" w:cstheme="majorEastAsia"/>
          <w:b w:val="0"/>
          <w:bCs w:val="0"/>
          <w:color w:val="auto"/>
          <w:sz w:val="20"/>
          <w:szCs w:val="20"/>
          <w:highlight w:val="none"/>
        </w:rPr>
        <w:t>需结合</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的实际情况制定可行性强的紧急配送方案，确保及时供货。</w:t>
      </w:r>
    </w:p>
    <w:p w14:paraId="0B57385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7</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负责对食堂进行环境布置，所产生的费用由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支出，包括用餐</w:t>
      </w:r>
      <w:r>
        <w:rPr>
          <w:rFonts w:hint="eastAsia" w:asciiTheme="majorEastAsia" w:hAnsiTheme="majorEastAsia" w:eastAsiaTheme="majorEastAsia" w:cstheme="majorEastAsia"/>
          <w:b w:val="0"/>
          <w:bCs w:val="0"/>
          <w:color w:val="auto"/>
          <w:sz w:val="20"/>
          <w:szCs w:val="20"/>
          <w:highlight w:val="none"/>
          <w:lang w:val="en-US" w:eastAsia="zh-CN"/>
        </w:rPr>
        <w:t>文明相关</w:t>
      </w:r>
      <w:r>
        <w:rPr>
          <w:rFonts w:hint="eastAsia" w:asciiTheme="majorEastAsia" w:hAnsiTheme="majorEastAsia" w:eastAsiaTheme="majorEastAsia" w:cstheme="majorEastAsia"/>
          <w:b w:val="0"/>
          <w:bCs w:val="0"/>
          <w:color w:val="auto"/>
          <w:sz w:val="20"/>
          <w:szCs w:val="20"/>
          <w:highlight w:val="none"/>
        </w:rPr>
        <w:t>宣传的布置、节日氛围的烘托布置</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活动场地布置</w:t>
      </w:r>
      <w:r>
        <w:rPr>
          <w:rFonts w:hint="eastAsia" w:asciiTheme="majorEastAsia" w:hAnsiTheme="majorEastAsia" w:eastAsiaTheme="majorEastAsia" w:cstheme="majorEastAsia"/>
          <w:b w:val="0"/>
          <w:bCs w:val="0"/>
          <w:color w:val="auto"/>
          <w:sz w:val="20"/>
          <w:szCs w:val="20"/>
          <w:highlight w:val="none"/>
        </w:rPr>
        <w:t>等。</w:t>
      </w:r>
    </w:p>
    <w:p w14:paraId="5FD4773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w:t>
      </w:r>
      <w:r>
        <w:rPr>
          <w:rFonts w:hint="eastAsia" w:asciiTheme="majorEastAsia" w:hAnsiTheme="majorEastAsia" w:eastAsiaTheme="majorEastAsia" w:cstheme="majorEastAsia"/>
          <w:b w:val="0"/>
          <w:bCs w:val="0"/>
          <w:color w:val="auto"/>
          <w:sz w:val="20"/>
          <w:szCs w:val="20"/>
          <w:highlight w:val="none"/>
          <w:lang w:val="en-US" w:eastAsia="zh-CN"/>
        </w:rPr>
        <w:t>8</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应保证采用符合《中华人民共和国食品安全法》及相关餐饮行业的相关规定的食材制作餐食，应尽量采用新鲜食材，少用冷冻品。</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有权不定期到厨房巡查，并有权查阅食材来源资料及相关进货凭证。</w:t>
      </w:r>
    </w:p>
    <w:p w14:paraId="2D3D597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19</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应保证出品质量，菜单</w:t>
      </w:r>
      <w:r>
        <w:rPr>
          <w:rFonts w:hint="eastAsia" w:asciiTheme="majorEastAsia" w:hAnsiTheme="majorEastAsia" w:eastAsiaTheme="majorEastAsia" w:cstheme="majorEastAsia"/>
          <w:b w:val="0"/>
          <w:bCs w:val="0"/>
          <w:color w:val="auto"/>
          <w:sz w:val="20"/>
          <w:szCs w:val="20"/>
          <w:highlight w:val="none"/>
          <w:lang w:val="en-US" w:eastAsia="zh-CN"/>
        </w:rPr>
        <w:t>及定价</w:t>
      </w:r>
      <w:r>
        <w:rPr>
          <w:rFonts w:hint="eastAsia" w:asciiTheme="majorEastAsia" w:hAnsiTheme="majorEastAsia" w:eastAsiaTheme="majorEastAsia" w:cstheme="majorEastAsia"/>
          <w:b w:val="0"/>
          <w:bCs w:val="0"/>
          <w:color w:val="auto"/>
          <w:sz w:val="20"/>
          <w:szCs w:val="20"/>
          <w:highlight w:val="none"/>
        </w:rPr>
        <w:t>每</w:t>
      </w:r>
      <w:r>
        <w:rPr>
          <w:rFonts w:hint="eastAsia" w:asciiTheme="majorEastAsia" w:hAnsiTheme="majorEastAsia" w:eastAsiaTheme="majorEastAsia" w:cstheme="majorEastAsia"/>
          <w:b w:val="0"/>
          <w:bCs w:val="0"/>
          <w:color w:val="auto"/>
          <w:sz w:val="20"/>
          <w:szCs w:val="20"/>
          <w:highlight w:val="none"/>
          <w:lang w:val="en-US" w:eastAsia="zh-CN"/>
        </w:rPr>
        <w:t>月</w:t>
      </w:r>
      <w:r>
        <w:rPr>
          <w:rFonts w:hint="eastAsia" w:asciiTheme="majorEastAsia" w:hAnsiTheme="majorEastAsia" w:eastAsiaTheme="majorEastAsia" w:cstheme="majorEastAsia"/>
          <w:b w:val="0"/>
          <w:bCs w:val="0"/>
          <w:color w:val="auto"/>
          <w:sz w:val="20"/>
          <w:szCs w:val="20"/>
          <w:highlight w:val="none"/>
        </w:rPr>
        <w:t>变动</w:t>
      </w:r>
      <w:r>
        <w:rPr>
          <w:rFonts w:hint="eastAsia" w:asciiTheme="majorEastAsia" w:hAnsiTheme="majorEastAsia" w:eastAsiaTheme="majorEastAsia" w:cstheme="majorEastAsia"/>
          <w:b w:val="0"/>
          <w:bCs w:val="0"/>
          <w:color w:val="auto"/>
          <w:sz w:val="20"/>
          <w:szCs w:val="20"/>
          <w:highlight w:val="none"/>
          <w:lang w:val="en-US" w:eastAsia="zh-CN"/>
        </w:rPr>
        <w:t>须</w:t>
      </w:r>
      <w:r>
        <w:rPr>
          <w:rFonts w:hint="eastAsia" w:asciiTheme="majorEastAsia" w:hAnsiTheme="majorEastAsia" w:eastAsiaTheme="majorEastAsia" w:cstheme="majorEastAsia"/>
          <w:b w:val="0"/>
          <w:bCs w:val="0"/>
          <w:color w:val="auto"/>
          <w:sz w:val="20"/>
          <w:szCs w:val="20"/>
          <w:highlight w:val="none"/>
        </w:rPr>
        <w:t>提前向</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沟通和报备</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并得到招标人同意</w:t>
      </w:r>
      <w:r>
        <w:rPr>
          <w:rFonts w:hint="eastAsia" w:asciiTheme="majorEastAsia" w:hAnsiTheme="majorEastAsia" w:eastAsiaTheme="majorEastAsia" w:cstheme="majorEastAsia"/>
          <w:b w:val="0"/>
          <w:bCs w:val="0"/>
          <w:color w:val="auto"/>
          <w:sz w:val="20"/>
          <w:szCs w:val="20"/>
          <w:highlight w:val="none"/>
        </w:rPr>
        <w:t>。</w:t>
      </w:r>
    </w:p>
    <w:p w14:paraId="6AF457F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w:t>
      </w:r>
      <w:r>
        <w:rPr>
          <w:rFonts w:hint="eastAsia" w:asciiTheme="majorEastAsia" w:hAnsiTheme="majorEastAsia" w:eastAsiaTheme="majorEastAsia" w:cstheme="majorEastAsia"/>
          <w:b w:val="0"/>
          <w:bCs w:val="0"/>
          <w:color w:val="auto"/>
          <w:sz w:val="20"/>
          <w:szCs w:val="20"/>
          <w:highlight w:val="none"/>
          <w:lang w:val="en-US" w:eastAsia="zh-CN"/>
        </w:rPr>
        <w:t>0</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应配备足够的资源以保证准时送餐，病人餐均需配送至病床前，职工餐需送到科室。</w:t>
      </w:r>
    </w:p>
    <w:p w14:paraId="5318617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应保证餐饮的配送规范应符合《中华人民共和国食品安全法》及相关餐饮行业的相关规定。应使用专用的保温设备运输，并保证送达时食品的表面温度不低于40℃。运输与配送期间应做足有效措施</w:t>
      </w:r>
      <w:r>
        <w:rPr>
          <w:rFonts w:hint="eastAsia" w:asciiTheme="majorEastAsia" w:hAnsiTheme="majorEastAsia" w:eastAsiaTheme="majorEastAsia" w:cstheme="majorEastAsia"/>
          <w:b w:val="0"/>
          <w:bCs w:val="0"/>
          <w:color w:val="auto"/>
          <w:sz w:val="20"/>
          <w:szCs w:val="20"/>
          <w:highlight w:val="none"/>
          <w:lang w:val="en-US" w:eastAsia="zh-CN"/>
        </w:rPr>
        <w:t>以</w:t>
      </w:r>
      <w:r>
        <w:rPr>
          <w:rFonts w:hint="eastAsia" w:asciiTheme="majorEastAsia" w:hAnsiTheme="majorEastAsia" w:eastAsiaTheme="majorEastAsia" w:cstheme="majorEastAsia"/>
          <w:b w:val="0"/>
          <w:bCs w:val="0"/>
          <w:color w:val="auto"/>
          <w:sz w:val="20"/>
          <w:szCs w:val="20"/>
          <w:highlight w:val="none"/>
        </w:rPr>
        <w:t>预防食物受污物或环境的污染。</w:t>
      </w:r>
    </w:p>
    <w:p w14:paraId="542276E7">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、如食用由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配送的</w:t>
      </w:r>
      <w:r>
        <w:rPr>
          <w:rFonts w:hint="eastAsia" w:asciiTheme="majorEastAsia" w:hAnsiTheme="majorEastAsia" w:eastAsiaTheme="majorEastAsia" w:cstheme="majorEastAsia"/>
          <w:b w:val="0"/>
          <w:bCs w:val="0"/>
          <w:color w:val="auto"/>
          <w:sz w:val="20"/>
          <w:szCs w:val="20"/>
          <w:highlight w:val="none"/>
          <w:lang w:val="en-US" w:eastAsia="zh-CN"/>
        </w:rPr>
        <w:t>餐食</w:t>
      </w:r>
      <w:r>
        <w:rPr>
          <w:rFonts w:hint="eastAsia" w:asciiTheme="majorEastAsia" w:hAnsiTheme="majorEastAsia" w:eastAsiaTheme="majorEastAsia" w:cstheme="majorEastAsia"/>
          <w:b w:val="0"/>
          <w:bCs w:val="0"/>
          <w:color w:val="auto"/>
          <w:sz w:val="20"/>
          <w:szCs w:val="20"/>
          <w:highlight w:val="none"/>
        </w:rPr>
        <w:t>造成腹泻、过敏、食物中毒等食品安全事故，所有的法律责任和经济损失由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全部负责。若由于饮食安全问题导致</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牵连受损，</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有权要求</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进行相应的赔偿。</w:t>
      </w:r>
    </w:p>
    <w:p w14:paraId="36C7ADB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w:t>
      </w: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在服务期内，由于原材料、烹调过程引发的食品安全、消防、人员伤亡等大小事故，应承担全部责任及费用</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需与</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签订《消防安全责任书》。</w:t>
      </w:r>
    </w:p>
    <w:p w14:paraId="43F60D9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需每月对员工进行至少1次的培训，并有书面培训资料及培训记录。</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每年对驻场管理团队（项目经理、</w:t>
      </w:r>
      <w:r>
        <w:rPr>
          <w:rFonts w:hint="eastAsia" w:asciiTheme="majorEastAsia" w:hAnsiTheme="majorEastAsia" w:eastAsiaTheme="majorEastAsia" w:cstheme="majorEastAsia"/>
          <w:b w:val="0"/>
          <w:bCs w:val="0"/>
          <w:color w:val="auto"/>
          <w:sz w:val="20"/>
          <w:szCs w:val="20"/>
          <w:highlight w:val="none"/>
          <w:lang w:val="en-US" w:eastAsia="zh-CN"/>
        </w:rPr>
        <w:t>厨师长、</w:t>
      </w:r>
      <w:r>
        <w:rPr>
          <w:rFonts w:hint="eastAsia" w:asciiTheme="majorEastAsia" w:hAnsiTheme="majorEastAsia" w:eastAsiaTheme="majorEastAsia" w:cstheme="majorEastAsia"/>
          <w:b w:val="0"/>
          <w:bCs w:val="0"/>
          <w:color w:val="auto"/>
          <w:sz w:val="20"/>
          <w:szCs w:val="20"/>
          <w:highlight w:val="none"/>
        </w:rPr>
        <w:t>面点厨师、食品安全员）进行4次以上岗位相关工作培训，并提交培训记录及</w:t>
      </w:r>
      <w:r>
        <w:rPr>
          <w:rFonts w:hint="eastAsia" w:asciiTheme="majorEastAsia" w:hAnsiTheme="majorEastAsia" w:eastAsiaTheme="majorEastAsia" w:cstheme="majorEastAsia"/>
          <w:b w:val="0"/>
          <w:bCs w:val="0"/>
          <w:color w:val="auto"/>
          <w:sz w:val="20"/>
          <w:szCs w:val="20"/>
          <w:highlight w:val="none"/>
          <w:lang w:val="en-US" w:eastAsia="zh-CN"/>
        </w:rPr>
        <w:t>主管科室</w:t>
      </w:r>
      <w:r>
        <w:rPr>
          <w:rFonts w:hint="eastAsia" w:asciiTheme="majorEastAsia" w:hAnsiTheme="majorEastAsia" w:eastAsiaTheme="majorEastAsia" w:cstheme="majorEastAsia"/>
          <w:b w:val="0"/>
          <w:bCs w:val="0"/>
          <w:color w:val="auto"/>
          <w:sz w:val="20"/>
          <w:szCs w:val="20"/>
          <w:highlight w:val="none"/>
        </w:rPr>
        <w:t>确认等相关资料。</w:t>
      </w:r>
    </w:p>
    <w:p w14:paraId="70528FF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w:t>
      </w: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应配合</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落实上级有关部门的要求，包括但不限于日常安全监督检查、现场检查、数据上报等工作。</w:t>
      </w:r>
    </w:p>
    <w:p w14:paraId="2FA7340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26、中标人为食品卫生安全直接责任人，必须严格把好食品卫生安全关。中标人必须做好食品留样等常规安全手续并做好资料存档工作。服务期间，因食堂食品安全造成的且经食品药品监督部门检查认定或卫生行政部门检验鉴定确认是中标人的责任所引起的食品安全事故，由中标人承担相关责任和支付全部罚金及一切费用，且招标人有权立即取消中标人的服务资格。（提供承诺函，格式自拟）</w:t>
      </w:r>
    </w:p>
    <w:p w14:paraId="6050031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27、中标人为职工食堂消防第一责任人，必须做好安全用水、用火、用电、用煤气等工作，必须服从招标人的监督和检查。因中标人原因造成火灾及工伤等事故所造成的一切经济损失由中标人负责。（提供承诺函，格式自拟）。</w:t>
      </w:r>
    </w:p>
    <w:p w14:paraId="06E3C09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28、投标人须建立完善的管理制度及应急预案。确保饮食卫生安全前提下，完成招标人餐饮保障服务。根据招标人提出的问题和要求，及时提出整改方案并实施整改。</w:t>
      </w:r>
    </w:p>
    <w:p w14:paraId="59A3C10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29、中标人须定期聘请天然气公司进行安全检测，范围包括燃气管道和燃气泄露装置等燃气设施设备。</w:t>
      </w:r>
    </w:p>
    <w:p w14:paraId="5CE51A1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30、中标人应按招标人需求提供职工餐、手术餐、病患餐、工作餐服务。满足职工、病患的订、配、送餐需求，积极响应招标人特需特定的就餐服务（职工的送餐需由招标人自备自动刷卡机）。需要特殊营养餐的，接受招标人营养师对营养、治疗膳食的配餐指导和监督，按营养师的要求制作。</w:t>
      </w:r>
    </w:p>
    <w:p w14:paraId="7A50CD7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31、投标人须制定食品安全应急预案，落实应急预案机制，保证食品安全及食品卫生，建立食品留样登记记录，发生食物中毒时，及时启动应急预案，妥善处理相关事宜。每年有不少于一次的食品中毒演练，并做好相关记录。</w:t>
      </w:r>
    </w:p>
    <w:p w14:paraId="7406693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32、中标人接受招标人对物价上调的监督和指导，同意按招标人要求反馈有关食品及副食品的进价、售价。售卖饭菜实行明码标价制度，中标人对售卖饭菜的价格及份量必须事前经招标人审定同意后，在食堂实行明码标价售卖。如遇物价等因素影响，需要调整餐费标准，需提前二周书面报招标人后勤部门审核确认后方可调价。中标人不得随意更改价格。</w:t>
      </w:r>
    </w:p>
    <w:p w14:paraId="6CEC922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33、应急情况下，中标人接到招标人通知补充食材，货物的送达时间应控制在1小时内。</w:t>
      </w:r>
    </w:p>
    <w:p w14:paraId="3EA9B27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34、中标人要加强节流管理，做到人离关水、关电、关气，杜绝长流水、长明灯、漏气等现象，爱护餐具、厨具、设备等，尽最大努力减少人为或自然损耗。中标人每月第一个工作日清点餐具、厨具并做好记录，招标人监督管理。</w:t>
      </w:r>
    </w:p>
    <w:p w14:paraId="43138D2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35、针对公务接待的用餐，如招标人职工提出需开具发票，中标人应提供发票。围餐、工作餐、公务接待餐须及时提供等额发票。</w:t>
      </w:r>
    </w:p>
    <w:p w14:paraId="1B4954E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36、按照招标人及上级食品卫生部门的要求搞好内外环境卫生，特别是厨房内的卫生，包括但不限于食堂周边及通道，必须保持整洁，禁止摆放杂物及废旧物品，生活垃圾应围蔽存放并及时清运，保持良好的就餐环境和食品加工环境。</w:t>
      </w:r>
    </w:p>
    <w:p w14:paraId="5327DD8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sz w:val="20"/>
          <w:szCs w:val="20"/>
          <w:highlight w:val="none"/>
          <w:lang w:val="en-US" w:eastAsia="zh-CN"/>
        </w:rPr>
        <w:t>（九）</w:t>
      </w:r>
      <w:r>
        <w:rPr>
          <w:rFonts w:hint="eastAsia" w:asciiTheme="majorEastAsia" w:hAnsiTheme="majorEastAsia" w:eastAsiaTheme="majorEastAsia" w:cstheme="majorEastAsia"/>
          <w:b/>
          <w:bCs/>
          <w:color w:val="auto"/>
          <w:sz w:val="20"/>
          <w:szCs w:val="20"/>
          <w:highlight w:val="none"/>
        </w:rPr>
        <w:t>履约监管</w:t>
      </w:r>
    </w:p>
    <w:p w14:paraId="416D0BE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rPr>
        <w:t>、违反</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管理规定发生影响</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声誉形象的现象，导致安全事件或其他不良事件发生，影响</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正常工作和声誉的，须</w:t>
      </w:r>
      <w:r>
        <w:rPr>
          <w:rFonts w:hint="eastAsia" w:asciiTheme="majorEastAsia" w:hAnsiTheme="majorEastAsia" w:eastAsiaTheme="majorEastAsia" w:cstheme="majorEastAsia"/>
          <w:b w:val="0"/>
          <w:bCs w:val="0"/>
          <w:color w:val="auto"/>
          <w:sz w:val="20"/>
          <w:szCs w:val="20"/>
          <w:highlight w:val="none"/>
          <w:lang w:val="en-US" w:eastAsia="zh-CN"/>
        </w:rPr>
        <w:t>扣除</w:t>
      </w:r>
      <w:r>
        <w:rPr>
          <w:rFonts w:hint="eastAsia" w:asciiTheme="majorEastAsia" w:hAnsiTheme="majorEastAsia" w:eastAsiaTheme="majorEastAsia" w:cstheme="majorEastAsia"/>
          <w:b w:val="0"/>
          <w:bCs w:val="0"/>
          <w:color w:val="auto"/>
          <w:sz w:val="20"/>
          <w:szCs w:val="20"/>
          <w:highlight w:val="none"/>
        </w:rPr>
        <w:t>当月</w:t>
      </w:r>
      <w:r>
        <w:rPr>
          <w:rFonts w:hint="eastAsia" w:asciiTheme="majorEastAsia" w:hAnsiTheme="majorEastAsia" w:eastAsiaTheme="majorEastAsia" w:cstheme="majorEastAsia"/>
          <w:b w:val="0"/>
          <w:bCs w:val="0"/>
          <w:color w:val="auto"/>
          <w:sz w:val="20"/>
          <w:szCs w:val="20"/>
          <w:highlight w:val="none"/>
          <w:lang w:val="en-US" w:eastAsia="zh-CN"/>
        </w:rPr>
        <w:t>营业额的1000元</w:t>
      </w:r>
      <w:r>
        <w:rPr>
          <w:rFonts w:hint="eastAsia" w:asciiTheme="majorEastAsia" w:hAnsiTheme="majorEastAsia" w:eastAsiaTheme="majorEastAsia" w:cstheme="majorEastAsia"/>
          <w:b w:val="0"/>
          <w:bCs w:val="0"/>
          <w:color w:val="auto"/>
          <w:sz w:val="20"/>
          <w:szCs w:val="20"/>
          <w:highlight w:val="none"/>
        </w:rPr>
        <w:t>作为违约金，严重事件要承担由此导致一切后果并移交公安机关处置。</w:t>
      </w:r>
    </w:p>
    <w:p w14:paraId="7341BE7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员工发生如下违反</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规定行为的每次</w:t>
      </w:r>
      <w:r>
        <w:rPr>
          <w:rFonts w:hint="eastAsia" w:asciiTheme="majorEastAsia" w:hAnsiTheme="majorEastAsia" w:eastAsiaTheme="majorEastAsia" w:cstheme="majorEastAsia"/>
          <w:b w:val="0"/>
          <w:bCs w:val="0"/>
          <w:color w:val="auto"/>
          <w:sz w:val="20"/>
          <w:szCs w:val="20"/>
          <w:highlight w:val="none"/>
          <w:lang w:val="en-US" w:eastAsia="zh-CN"/>
        </w:rPr>
        <w:t>须缴纳50</w:t>
      </w:r>
      <w:r>
        <w:rPr>
          <w:rFonts w:hint="eastAsia" w:asciiTheme="majorEastAsia" w:hAnsiTheme="majorEastAsia" w:eastAsiaTheme="majorEastAsia" w:cstheme="majorEastAsia"/>
          <w:b w:val="0"/>
          <w:bCs w:val="0"/>
          <w:color w:val="auto"/>
          <w:sz w:val="20"/>
          <w:szCs w:val="20"/>
          <w:highlight w:val="none"/>
        </w:rPr>
        <w:t>元</w:t>
      </w:r>
      <w:r>
        <w:rPr>
          <w:rFonts w:hint="eastAsia" w:asciiTheme="majorEastAsia" w:hAnsiTheme="majorEastAsia" w:eastAsiaTheme="majorEastAsia" w:cstheme="majorEastAsia"/>
          <w:b w:val="0"/>
          <w:bCs w:val="0"/>
          <w:color w:val="auto"/>
          <w:sz w:val="20"/>
          <w:szCs w:val="20"/>
          <w:highlight w:val="none"/>
          <w:lang w:val="en-US" w:eastAsia="zh-CN"/>
        </w:rPr>
        <w:t>作为违约金</w:t>
      </w:r>
      <w:r>
        <w:rPr>
          <w:rFonts w:hint="eastAsia" w:asciiTheme="majorEastAsia" w:hAnsiTheme="majorEastAsia" w:eastAsiaTheme="majorEastAsia" w:cstheme="majorEastAsia"/>
          <w:b w:val="0"/>
          <w:bCs w:val="0"/>
          <w:color w:val="auto"/>
          <w:sz w:val="20"/>
          <w:szCs w:val="20"/>
          <w:highlight w:val="none"/>
        </w:rPr>
        <w:t>：</w:t>
      </w:r>
    </w:p>
    <w:p w14:paraId="2E98701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（1）不按要求穿戴工衣帽鞋、手套等不符合仪容仪表要求。</w:t>
      </w:r>
    </w:p>
    <w:p w14:paraId="593D7BF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（2）不按要求进行各项操作。</w:t>
      </w:r>
    </w:p>
    <w:p w14:paraId="4CC285F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（3）一般服务态度投诉属实。</w:t>
      </w:r>
    </w:p>
    <w:p w14:paraId="4C684D3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（4）员工在院内吵架。</w:t>
      </w:r>
    </w:p>
    <w:p w14:paraId="7F19331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（5）电池车在院内充电，如因此发生安全事故，移交公安机关并追究法律责任。</w:t>
      </w:r>
    </w:p>
    <w:p w14:paraId="4CC14F4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（6）不按</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要求使用电梯。</w:t>
      </w:r>
    </w:p>
    <w:p w14:paraId="5BB588B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员工不服从</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管理人员工作安排，出现辱骂、恐吓、殴打</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管理人员、病人、家属等行为，按情节严重程度缴纳200—500元违约金，该员工调离该项目工作场所，</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并承担相应责任，涉及违法行为移交公安机关追究法律责任。</w:t>
      </w:r>
    </w:p>
    <w:p w14:paraId="1F053EB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4、以上违约金由招标人主管部门当场记录在案，随管理费一同按季度缴纳。</w:t>
      </w:r>
    </w:p>
    <w:p w14:paraId="625A2B8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outlineLvl w:val="1"/>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sz w:val="20"/>
          <w:szCs w:val="20"/>
          <w:highlight w:val="none"/>
          <w:lang w:val="en-US" w:eastAsia="zh-CN"/>
        </w:rPr>
        <w:t>（十）</w:t>
      </w:r>
      <w:r>
        <w:rPr>
          <w:rFonts w:hint="eastAsia" w:asciiTheme="majorEastAsia" w:hAnsiTheme="majorEastAsia" w:eastAsiaTheme="majorEastAsia" w:cstheme="majorEastAsia"/>
          <w:b/>
          <w:bCs/>
          <w:color w:val="auto"/>
          <w:sz w:val="20"/>
          <w:szCs w:val="20"/>
          <w:highlight w:val="none"/>
        </w:rPr>
        <w:t>服务质量考评（以下标准可根据管理实效适时调整）</w:t>
      </w:r>
    </w:p>
    <w:p w14:paraId="6BB29A9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（一）监督机制</w:t>
      </w:r>
    </w:p>
    <w:p w14:paraId="5CF117F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1.中标人的服务活动应接受</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、市场监督管理等部门的监督检查，监督检查贯穿在中标人服务的全过程，包括人员、产品、服务监督。</w:t>
      </w:r>
    </w:p>
    <w:p w14:paraId="2DBDCB9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2.人员监督：中标人雇请的食堂工作人员的身体健康情况监督，中标人雇请的食堂工作人员须经过体检合格，持有健康证、有关上岗证件。</w:t>
      </w:r>
    </w:p>
    <w:p w14:paraId="3C0C733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3.产品监督</w:t>
      </w:r>
    </w:p>
    <w:p w14:paraId="7A16922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(1)原材料质量及进货渠道监督，所有食材原料须符合《中华人民共和国食品安全法》要求，符合国家有关标准，保证无异味、无霉烂变质，能提供相应批次的合格检验证明。</w:t>
      </w:r>
    </w:p>
    <w:p w14:paraId="4724E5F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(2)菜式品种的数量监督，要求每顿供应的菜式须达到合同约定的数量；</w:t>
      </w:r>
    </w:p>
    <w:p w14:paraId="201ECB7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(3)产品的质量监督，中标人所制作的食品质量要求须符合国家的卫生、安全标准。根据</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就餐人数和经验积累，做到不留隔夜原料，不留隔餐制成品。</w:t>
      </w:r>
    </w:p>
    <w:p w14:paraId="1A0503C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color w:val="auto"/>
          <w:sz w:val="20"/>
          <w:szCs w:val="20"/>
          <w:highlight w:val="none"/>
          <w:lang w:val="en-US" w:eastAsia="zh-Hans"/>
        </w:rPr>
        <w:t>4.服务监督：中标人须按</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要求，提供优质服务，各顿膳食供应须遵守约定时间，按时供应。</w:t>
      </w:r>
    </w:p>
    <w:p w14:paraId="60085B2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bCs/>
          <w:color w:val="auto"/>
          <w:kern w:val="2"/>
          <w:sz w:val="20"/>
          <w:szCs w:val="20"/>
          <w:highlight w:val="none"/>
          <w:lang w:val="en-US" w:eastAsia="zh-Hans" w:bidi="ar-SA"/>
        </w:rPr>
      </w:pPr>
      <w:r>
        <w:rPr>
          <w:rFonts w:hint="eastAsia" w:asciiTheme="majorEastAsia" w:hAnsiTheme="majorEastAsia" w:eastAsiaTheme="majorEastAsia" w:cstheme="majorEastAsia"/>
          <w:b/>
          <w:bCs/>
          <w:color w:val="auto"/>
          <w:kern w:val="2"/>
          <w:sz w:val="20"/>
          <w:szCs w:val="20"/>
          <w:highlight w:val="none"/>
          <w:lang w:val="en-US" w:eastAsia="zh-Hans" w:bidi="ar-SA"/>
        </w:rPr>
        <w:t>（</w:t>
      </w:r>
      <w:r>
        <w:rPr>
          <w:rFonts w:hint="eastAsia" w:asciiTheme="majorEastAsia" w:hAnsiTheme="majorEastAsia" w:eastAsiaTheme="majorEastAsia" w:cstheme="majorEastAsia"/>
          <w:b/>
          <w:bCs/>
          <w:color w:val="auto"/>
          <w:kern w:val="2"/>
          <w:sz w:val="20"/>
          <w:szCs w:val="20"/>
          <w:highlight w:val="none"/>
          <w:lang w:val="en-US" w:eastAsia="zh-CN" w:bidi="ar-SA"/>
        </w:rPr>
        <w:t>十一</w:t>
      </w:r>
      <w:r>
        <w:rPr>
          <w:rFonts w:hint="eastAsia" w:asciiTheme="majorEastAsia" w:hAnsiTheme="majorEastAsia" w:eastAsiaTheme="majorEastAsia" w:cstheme="majorEastAsia"/>
          <w:b/>
          <w:bCs/>
          <w:color w:val="auto"/>
          <w:kern w:val="2"/>
          <w:sz w:val="20"/>
          <w:szCs w:val="20"/>
          <w:highlight w:val="none"/>
          <w:lang w:val="en-US" w:eastAsia="zh-Hans" w:bidi="ar-SA"/>
        </w:rPr>
        <w:t>）食堂运营管理考核机制</w:t>
      </w:r>
    </w:p>
    <w:p w14:paraId="4CEF2F59">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kern w:val="2"/>
          <w:sz w:val="20"/>
          <w:szCs w:val="20"/>
          <w:highlight w:val="none"/>
          <w:lang w:val="en-US" w:eastAsia="zh-Hans" w:bidi="ar-SA"/>
        </w:rPr>
      </w:pPr>
      <w:r>
        <w:rPr>
          <w:rFonts w:hint="eastAsia" w:asciiTheme="majorEastAsia" w:hAnsiTheme="majorEastAsia" w:eastAsiaTheme="majorEastAsia" w:cstheme="majorEastAsia"/>
          <w:b w:val="0"/>
          <w:bCs w:val="0"/>
          <w:color w:val="auto"/>
          <w:kern w:val="2"/>
          <w:sz w:val="20"/>
          <w:szCs w:val="20"/>
          <w:highlight w:val="none"/>
          <w:lang w:val="en-US" w:eastAsia="zh-CN" w:bidi="ar-SA"/>
        </w:rPr>
        <w:t>招标人</w:t>
      </w:r>
      <w:r>
        <w:rPr>
          <w:rFonts w:hint="eastAsia" w:asciiTheme="majorEastAsia" w:hAnsiTheme="majorEastAsia" w:eastAsiaTheme="majorEastAsia" w:cstheme="majorEastAsia"/>
          <w:b w:val="0"/>
          <w:bCs w:val="0"/>
          <w:color w:val="auto"/>
          <w:kern w:val="2"/>
          <w:sz w:val="20"/>
          <w:szCs w:val="20"/>
          <w:highlight w:val="none"/>
          <w:lang w:val="en-US" w:eastAsia="zh-Hans" w:bidi="ar-SA"/>
        </w:rPr>
        <w:t>每季度组织考核验收小组对中标人食堂运营管理服务保障工作质量进行考核，采取不计名评分，具体内容见《季度食堂运营管理服务考核评分表》。</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8"/>
        <w:gridCol w:w="1055"/>
        <w:gridCol w:w="2242"/>
        <w:gridCol w:w="3207"/>
        <w:gridCol w:w="947"/>
      </w:tblGrid>
      <w:tr w14:paraId="0D629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65" w:type="dxa"/>
            <w:gridSpan w:val="5"/>
            <w:tcBorders>
              <w:tl2br w:val="nil"/>
              <w:tr2bl w:val="nil"/>
            </w:tcBorders>
            <w:tcMar>
              <w:top w:w="0" w:type="dxa"/>
              <w:left w:w="105" w:type="dxa"/>
              <w:bottom w:w="0" w:type="dxa"/>
              <w:right w:w="105" w:type="dxa"/>
            </w:tcMar>
            <w:vAlign w:val="top"/>
          </w:tcPr>
          <w:p w14:paraId="1388AB3D">
            <w:pPr>
              <w:keepNext w:val="0"/>
              <w:keepLines w:val="0"/>
              <w:pageBreakBefore w:val="0"/>
              <w:suppressLineNumbers w:val="0"/>
              <w:kinsoku/>
              <w:overflowPunct/>
              <w:topLinePunct w:val="0"/>
              <w:bidi w:val="0"/>
              <w:adjustRightInd/>
              <w:snapToGrid/>
              <w:spacing w:before="0" w:beforeAutospacing="0" w:after="0" w:afterAutospacing="0" w:line="400" w:lineRule="exact"/>
              <w:ind w:left="0" w:leftChars="0" w:right="0" w:firstLine="0" w:firstLineChars="0"/>
              <w:jc w:val="center"/>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季度食堂运营管理服务考核评分表</w:t>
            </w:r>
          </w:p>
        </w:tc>
      </w:tr>
      <w:tr w14:paraId="4F2BE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3C6DA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项目</w:t>
            </w:r>
          </w:p>
        </w:tc>
        <w:tc>
          <w:tcPr>
            <w:tcW w:w="3357" w:type="dxa"/>
            <w:gridSpan w:val="2"/>
            <w:tcBorders>
              <w:tl2br w:val="nil"/>
              <w:tr2bl w:val="nil"/>
            </w:tcBorders>
            <w:tcMar>
              <w:top w:w="0" w:type="dxa"/>
              <w:left w:w="105" w:type="dxa"/>
              <w:bottom w:w="0" w:type="dxa"/>
              <w:right w:w="105" w:type="dxa"/>
            </w:tcMar>
            <w:vAlign w:val="top"/>
          </w:tcPr>
          <w:p w14:paraId="2A8EA2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内容与标准</w:t>
            </w:r>
          </w:p>
        </w:tc>
        <w:tc>
          <w:tcPr>
            <w:tcW w:w="3266" w:type="dxa"/>
            <w:tcBorders>
              <w:tl2br w:val="nil"/>
              <w:tr2bl w:val="nil"/>
            </w:tcBorders>
            <w:tcMar>
              <w:top w:w="0" w:type="dxa"/>
              <w:left w:w="105" w:type="dxa"/>
              <w:bottom w:w="0" w:type="dxa"/>
              <w:right w:w="105" w:type="dxa"/>
            </w:tcMar>
            <w:vAlign w:val="top"/>
          </w:tcPr>
          <w:p w14:paraId="3094A7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扣分方法</w:t>
            </w:r>
          </w:p>
        </w:tc>
        <w:tc>
          <w:tcPr>
            <w:tcW w:w="959" w:type="dxa"/>
            <w:tcBorders>
              <w:tl2br w:val="nil"/>
              <w:tr2bl w:val="nil"/>
            </w:tcBorders>
            <w:tcMar>
              <w:top w:w="0" w:type="dxa"/>
              <w:left w:w="105" w:type="dxa"/>
              <w:bottom w:w="0" w:type="dxa"/>
              <w:right w:w="105" w:type="dxa"/>
            </w:tcMar>
            <w:vAlign w:val="top"/>
          </w:tcPr>
          <w:p w14:paraId="1CE39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扣分值</w:t>
            </w:r>
          </w:p>
        </w:tc>
      </w:tr>
      <w:tr w14:paraId="11DA9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3D76B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制度</w:t>
            </w:r>
          </w:p>
          <w:p w14:paraId="155A4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健全</w:t>
            </w:r>
          </w:p>
        </w:tc>
        <w:tc>
          <w:tcPr>
            <w:tcW w:w="3357" w:type="dxa"/>
            <w:gridSpan w:val="2"/>
            <w:tcBorders>
              <w:tl2br w:val="nil"/>
              <w:tr2bl w:val="nil"/>
            </w:tcBorders>
            <w:tcMar>
              <w:top w:w="0" w:type="dxa"/>
              <w:left w:w="105" w:type="dxa"/>
              <w:bottom w:w="0" w:type="dxa"/>
              <w:right w:w="105" w:type="dxa"/>
            </w:tcMar>
            <w:vAlign w:val="top"/>
          </w:tcPr>
          <w:p w14:paraId="5D1E4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 食堂卫生管理制度。</w:t>
            </w:r>
          </w:p>
          <w:p w14:paraId="08BCF9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 各岗位职责。</w:t>
            </w:r>
          </w:p>
          <w:p w14:paraId="171C1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 仓储保管制度。</w:t>
            </w:r>
          </w:p>
          <w:p w14:paraId="447D5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 卫生责任划分制度。</w:t>
            </w:r>
          </w:p>
          <w:p w14:paraId="7E276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 粗加工管理制度。</w:t>
            </w:r>
          </w:p>
          <w:p w14:paraId="2316C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 清洁消毒制度。</w:t>
            </w:r>
          </w:p>
          <w:p w14:paraId="2E92C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 烹调加工管理制度。</w:t>
            </w:r>
          </w:p>
          <w:p w14:paraId="41370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 面点操作管理制度。</w:t>
            </w:r>
          </w:p>
          <w:p w14:paraId="5C63D8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 安全防范制度与措施。</w:t>
            </w:r>
          </w:p>
          <w:p w14:paraId="378BE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 食堂人员个人卫生制度。</w:t>
            </w:r>
          </w:p>
        </w:tc>
        <w:tc>
          <w:tcPr>
            <w:tcW w:w="3266" w:type="dxa"/>
            <w:tcBorders>
              <w:tl2br w:val="nil"/>
              <w:tr2bl w:val="nil"/>
            </w:tcBorders>
            <w:tcMar>
              <w:top w:w="0" w:type="dxa"/>
              <w:left w:w="105" w:type="dxa"/>
              <w:bottom w:w="0" w:type="dxa"/>
              <w:right w:w="105" w:type="dxa"/>
            </w:tcMar>
            <w:vAlign w:val="top"/>
          </w:tcPr>
          <w:p w14:paraId="35352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管理制度上墙公布，每缺少一项扣1分，未按制度执行扣1分∕项次。</w:t>
            </w:r>
          </w:p>
        </w:tc>
        <w:tc>
          <w:tcPr>
            <w:tcW w:w="959" w:type="dxa"/>
            <w:tcBorders>
              <w:tl2br w:val="nil"/>
              <w:tr2bl w:val="nil"/>
            </w:tcBorders>
            <w:tcMar>
              <w:top w:w="0" w:type="dxa"/>
              <w:left w:w="105" w:type="dxa"/>
              <w:bottom w:w="0" w:type="dxa"/>
              <w:right w:w="105" w:type="dxa"/>
            </w:tcMar>
            <w:vAlign w:val="top"/>
          </w:tcPr>
          <w:p w14:paraId="657D1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11673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44B8C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品质</w:t>
            </w:r>
          </w:p>
          <w:p w14:paraId="226695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保障</w:t>
            </w:r>
          </w:p>
        </w:tc>
        <w:tc>
          <w:tcPr>
            <w:tcW w:w="3357" w:type="dxa"/>
            <w:gridSpan w:val="2"/>
            <w:tcBorders>
              <w:tl2br w:val="nil"/>
              <w:tr2bl w:val="nil"/>
            </w:tcBorders>
            <w:tcMar>
              <w:top w:w="0" w:type="dxa"/>
              <w:left w:w="105" w:type="dxa"/>
              <w:bottom w:w="0" w:type="dxa"/>
              <w:right w:w="105" w:type="dxa"/>
            </w:tcMar>
            <w:vAlign w:val="top"/>
          </w:tcPr>
          <w:p w14:paraId="0A2265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kern w:val="2"/>
                <w:sz w:val="20"/>
                <w:szCs w:val="20"/>
                <w:highlight w:val="none"/>
                <w:lang w:val="en-US" w:eastAsia="zh-Hans" w:bidi="ar-SA"/>
              </w:rPr>
              <w:t>1.</w:t>
            </w:r>
            <w:r>
              <w:rPr>
                <w:rFonts w:hint="eastAsia" w:asciiTheme="majorEastAsia" w:hAnsiTheme="majorEastAsia" w:eastAsiaTheme="majorEastAsia" w:cstheme="majorEastAsia"/>
                <w:color w:val="auto"/>
                <w:sz w:val="20"/>
                <w:szCs w:val="20"/>
                <w:highlight w:val="none"/>
                <w:lang w:val="en-US" w:eastAsia="zh-Hans"/>
              </w:rPr>
              <w:t>不得有霉烂、变质、老化的蔬菜食品入库。</w:t>
            </w:r>
          </w:p>
          <w:p w14:paraId="4EA927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 拣菜人员必须将不合格的菜品分出来。</w:t>
            </w:r>
          </w:p>
          <w:p w14:paraId="36DC16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 成品、半成品、调料必须有厂商、生产日期、合格证。</w:t>
            </w:r>
          </w:p>
          <w:p w14:paraId="25F756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 烹饪加工品质控制有指定的专业责任人。</w:t>
            </w:r>
          </w:p>
        </w:tc>
        <w:tc>
          <w:tcPr>
            <w:tcW w:w="3266" w:type="dxa"/>
            <w:tcBorders>
              <w:tl2br w:val="nil"/>
              <w:tr2bl w:val="nil"/>
            </w:tcBorders>
            <w:tcMar>
              <w:top w:w="0" w:type="dxa"/>
              <w:left w:w="105" w:type="dxa"/>
              <w:bottom w:w="0" w:type="dxa"/>
              <w:right w:w="105" w:type="dxa"/>
            </w:tcMar>
            <w:vAlign w:val="top"/>
          </w:tcPr>
          <w:p w14:paraId="6B253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现场随机抽查，违反一项扣</w:t>
            </w:r>
            <w:r>
              <w:rPr>
                <w:rFonts w:hint="eastAsia" w:asciiTheme="majorEastAsia" w:hAnsiTheme="majorEastAsia" w:eastAsiaTheme="majorEastAsia" w:cstheme="majorEastAsia"/>
                <w:color w:val="auto"/>
                <w:sz w:val="20"/>
                <w:szCs w:val="20"/>
                <w:highlight w:val="none"/>
                <w:lang w:val="en-US" w:eastAsia="zh-CN"/>
              </w:rPr>
              <w:t>3</w:t>
            </w:r>
            <w:r>
              <w:rPr>
                <w:rFonts w:hint="eastAsia" w:asciiTheme="majorEastAsia" w:hAnsiTheme="majorEastAsia" w:eastAsiaTheme="majorEastAsia" w:cstheme="majorEastAsia"/>
                <w:color w:val="auto"/>
                <w:sz w:val="20"/>
                <w:szCs w:val="20"/>
                <w:highlight w:val="none"/>
                <w:lang w:val="en-US" w:eastAsia="zh-Hans"/>
              </w:rPr>
              <w:t>分。</w:t>
            </w:r>
          </w:p>
        </w:tc>
        <w:tc>
          <w:tcPr>
            <w:tcW w:w="959" w:type="dxa"/>
            <w:tcBorders>
              <w:tl2br w:val="nil"/>
              <w:tr2bl w:val="nil"/>
            </w:tcBorders>
            <w:tcMar>
              <w:top w:w="0" w:type="dxa"/>
              <w:left w:w="105" w:type="dxa"/>
              <w:bottom w:w="0" w:type="dxa"/>
              <w:right w:w="105" w:type="dxa"/>
            </w:tcMar>
            <w:vAlign w:val="top"/>
          </w:tcPr>
          <w:p w14:paraId="32004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585D4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02B157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品质</w:t>
            </w:r>
          </w:p>
          <w:p w14:paraId="30055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口味</w:t>
            </w:r>
          </w:p>
        </w:tc>
        <w:tc>
          <w:tcPr>
            <w:tcW w:w="3357" w:type="dxa"/>
            <w:gridSpan w:val="2"/>
            <w:tcBorders>
              <w:tl2br w:val="nil"/>
              <w:tr2bl w:val="nil"/>
            </w:tcBorders>
            <w:tcMar>
              <w:top w:w="0" w:type="dxa"/>
              <w:left w:w="105" w:type="dxa"/>
              <w:bottom w:w="0" w:type="dxa"/>
              <w:right w:w="105" w:type="dxa"/>
            </w:tcMar>
            <w:vAlign w:val="top"/>
          </w:tcPr>
          <w:p w14:paraId="61ADC2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 每周是否按菜谱按时按量进行供应。</w:t>
            </w:r>
          </w:p>
        </w:tc>
        <w:tc>
          <w:tcPr>
            <w:tcW w:w="3266" w:type="dxa"/>
            <w:tcBorders>
              <w:tl2br w:val="nil"/>
              <w:tr2bl w:val="nil"/>
            </w:tcBorders>
            <w:tcMar>
              <w:top w:w="0" w:type="dxa"/>
              <w:left w:w="105" w:type="dxa"/>
              <w:bottom w:w="0" w:type="dxa"/>
              <w:right w:w="105" w:type="dxa"/>
            </w:tcMar>
            <w:vAlign w:val="top"/>
          </w:tcPr>
          <w:p w14:paraId="57778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查看每餐记录，每违反一次扣0.5分。</w:t>
            </w:r>
          </w:p>
        </w:tc>
        <w:tc>
          <w:tcPr>
            <w:tcW w:w="959" w:type="dxa"/>
            <w:tcBorders>
              <w:tl2br w:val="nil"/>
              <w:tr2bl w:val="nil"/>
            </w:tcBorders>
            <w:tcMar>
              <w:top w:w="0" w:type="dxa"/>
              <w:left w:w="105" w:type="dxa"/>
              <w:bottom w:w="0" w:type="dxa"/>
              <w:right w:w="105" w:type="dxa"/>
            </w:tcMar>
            <w:vAlign w:val="top"/>
          </w:tcPr>
          <w:p w14:paraId="48422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71441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3A3FF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清洁</w:t>
            </w:r>
          </w:p>
          <w:p w14:paraId="3B83E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卫生</w:t>
            </w:r>
          </w:p>
        </w:tc>
        <w:tc>
          <w:tcPr>
            <w:tcW w:w="3357" w:type="dxa"/>
            <w:gridSpan w:val="2"/>
            <w:tcBorders>
              <w:tl2br w:val="nil"/>
              <w:tr2bl w:val="nil"/>
            </w:tcBorders>
            <w:tcMar>
              <w:top w:w="0" w:type="dxa"/>
              <w:left w:w="105" w:type="dxa"/>
              <w:bottom w:w="0" w:type="dxa"/>
              <w:right w:w="105" w:type="dxa"/>
            </w:tcMar>
            <w:vAlign w:val="top"/>
          </w:tcPr>
          <w:p w14:paraId="01F817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kern w:val="2"/>
                <w:sz w:val="20"/>
                <w:szCs w:val="20"/>
                <w:highlight w:val="none"/>
                <w:lang w:val="en-US" w:eastAsia="zh-Hans" w:bidi="ar-SA"/>
              </w:rPr>
              <w:t>1.</w:t>
            </w:r>
            <w:r>
              <w:rPr>
                <w:rFonts w:hint="eastAsia" w:asciiTheme="majorEastAsia" w:hAnsiTheme="majorEastAsia" w:eastAsiaTheme="majorEastAsia" w:cstheme="majorEastAsia"/>
                <w:color w:val="auto"/>
                <w:sz w:val="20"/>
                <w:szCs w:val="20"/>
                <w:highlight w:val="none"/>
                <w:lang w:val="en-US" w:eastAsia="zh-Hans"/>
              </w:rPr>
              <w:t>熟食品、面点、酱菜等有防蚊蝇措施。</w:t>
            </w:r>
          </w:p>
          <w:p w14:paraId="38049D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 操作间地板、墙壁无油污、水渍，厨具、设备清洁，定位整齐。</w:t>
            </w:r>
          </w:p>
          <w:p w14:paraId="5FF875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 就餐大厅地面、门窗清洁，无积尘、蛛网，铺设整齐。</w:t>
            </w:r>
          </w:p>
          <w:p w14:paraId="7C5CE7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 厨具、餐具按规定消毒，摆放于固定位置，无污物、无水渍。</w:t>
            </w:r>
          </w:p>
          <w:p w14:paraId="214BCB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 食堂人员个人服装整洁，正确穿戴工作衣帽，无长指甲，无不良卫生习惯，且每年提供健康证。</w:t>
            </w:r>
          </w:p>
          <w:p w14:paraId="11CC41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 生熟分开存放于固定位置、标识明确。</w:t>
            </w:r>
          </w:p>
          <w:p w14:paraId="05B858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 定期疏通排水沟和管网，确保畅通。</w:t>
            </w:r>
          </w:p>
          <w:p w14:paraId="30EC63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 无闲杂人员在烹饪间内。</w:t>
            </w:r>
          </w:p>
          <w:p w14:paraId="756BC9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 每餐用洗涤剂擦洗餐桌、椅。</w:t>
            </w:r>
          </w:p>
          <w:p w14:paraId="31164D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 每餐用洗涤剂擦洗大厅地面和地毯。</w:t>
            </w:r>
          </w:p>
          <w:p w14:paraId="3AABFC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CN"/>
              </w:rPr>
              <w:t>11.食品级一次性餐具，发生质量问题。（如发霉一次扣一分累计3次扣5分）</w:t>
            </w:r>
          </w:p>
        </w:tc>
        <w:tc>
          <w:tcPr>
            <w:tcW w:w="3266" w:type="dxa"/>
            <w:tcBorders>
              <w:tl2br w:val="nil"/>
              <w:tr2bl w:val="nil"/>
            </w:tcBorders>
            <w:tcMar>
              <w:top w:w="0" w:type="dxa"/>
              <w:left w:w="105" w:type="dxa"/>
              <w:bottom w:w="0" w:type="dxa"/>
              <w:right w:w="105" w:type="dxa"/>
            </w:tcMar>
            <w:vAlign w:val="top"/>
          </w:tcPr>
          <w:p w14:paraId="222FC3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现场抽查，违反一项扣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959" w:type="dxa"/>
            <w:tcBorders>
              <w:tl2br w:val="nil"/>
              <w:tr2bl w:val="nil"/>
            </w:tcBorders>
            <w:tcMar>
              <w:top w:w="0" w:type="dxa"/>
              <w:left w:w="105" w:type="dxa"/>
              <w:bottom w:w="0" w:type="dxa"/>
              <w:right w:w="105" w:type="dxa"/>
            </w:tcMar>
            <w:vAlign w:val="top"/>
          </w:tcPr>
          <w:p w14:paraId="294A6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1EAE6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00E0D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楼面</w:t>
            </w:r>
          </w:p>
          <w:p w14:paraId="4645C3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服务</w:t>
            </w:r>
          </w:p>
        </w:tc>
        <w:tc>
          <w:tcPr>
            <w:tcW w:w="3357" w:type="dxa"/>
            <w:gridSpan w:val="2"/>
            <w:tcBorders>
              <w:tl2br w:val="nil"/>
              <w:tr2bl w:val="nil"/>
            </w:tcBorders>
            <w:tcMar>
              <w:top w:w="0" w:type="dxa"/>
              <w:left w:w="105" w:type="dxa"/>
              <w:bottom w:w="0" w:type="dxa"/>
              <w:right w:w="105" w:type="dxa"/>
            </w:tcMar>
            <w:vAlign w:val="top"/>
          </w:tcPr>
          <w:p w14:paraId="3744AB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kern w:val="2"/>
                <w:sz w:val="20"/>
                <w:szCs w:val="20"/>
                <w:highlight w:val="none"/>
                <w:lang w:val="en-US" w:eastAsia="zh-Hans" w:bidi="ar-SA"/>
              </w:rPr>
              <w:t>1.</w:t>
            </w:r>
            <w:r>
              <w:rPr>
                <w:rFonts w:hint="eastAsia" w:asciiTheme="majorEastAsia" w:hAnsiTheme="majorEastAsia" w:eastAsiaTheme="majorEastAsia" w:cstheme="majorEastAsia"/>
                <w:color w:val="auto"/>
                <w:sz w:val="20"/>
                <w:szCs w:val="20"/>
                <w:highlight w:val="none"/>
                <w:lang w:val="en-US" w:eastAsia="zh-Hans"/>
              </w:rPr>
              <w:t>楼面服务态度是否热情，发生与员工争吵每次扣2分。</w:t>
            </w:r>
          </w:p>
          <w:p w14:paraId="305E63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 发生有效投诉每次扣2分。</w:t>
            </w:r>
          </w:p>
        </w:tc>
        <w:tc>
          <w:tcPr>
            <w:tcW w:w="3266" w:type="dxa"/>
            <w:tcBorders>
              <w:tl2br w:val="nil"/>
              <w:tr2bl w:val="nil"/>
            </w:tcBorders>
            <w:tcMar>
              <w:top w:w="0" w:type="dxa"/>
              <w:left w:w="105" w:type="dxa"/>
              <w:bottom w:w="0" w:type="dxa"/>
              <w:right w:w="105" w:type="dxa"/>
            </w:tcMar>
            <w:vAlign w:val="top"/>
          </w:tcPr>
          <w:p w14:paraId="19D8A2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现场抽查和员工投诉，违反每次扣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959" w:type="dxa"/>
            <w:tcBorders>
              <w:tl2br w:val="nil"/>
              <w:tr2bl w:val="nil"/>
            </w:tcBorders>
            <w:tcMar>
              <w:top w:w="0" w:type="dxa"/>
              <w:left w:w="105" w:type="dxa"/>
              <w:bottom w:w="0" w:type="dxa"/>
              <w:right w:w="105" w:type="dxa"/>
            </w:tcMar>
            <w:vAlign w:val="top"/>
          </w:tcPr>
          <w:p w14:paraId="14EE0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28CF8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23D65B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安全</w:t>
            </w:r>
          </w:p>
          <w:p w14:paraId="67E1BC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防范</w:t>
            </w:r>
          </w:p>
        </w:tc>
        <w:tc>
          <w:tcPr>
            <w:tcW w:w="3357" w:type="dxa"/>
            <w:gridSpan w:val="2"/>
            <w:tcBorders>
              <w:tl2br w:val="nil"/>
              <w:tr2bl w:val="nil"/>
            </w:tcBorders>
            <w:tcMar>
              <w:top w:w="0" w:type="dxa"/>
              <w:left w:w="105" w:type="dxa"/>
              <w:bottom w:w="0" w:type="dxa"/>
              <w:right w:w="105" w:type="dxa"/>
            </w:tcMar>
            <w:vAlign w:val="top"/>
          </w:tcPr>
          <w:p w14:paraId="39A31B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kern w:val="2"/>
                <w:sz w:val="20"/>
                <w:szCs w:val="20"/>
                <w:highlight w:val="none"/>
                <w:lang w:val="en-US" w:eastAsia="zh-Hans" w:bidi="ar-SA"/>
              </w:rPr>
              <w:t>1.</w:t>
            </w:r>
            <w:r>
              <w:rPr>
                <w:rFonts w:hint="eastAsia" w:asciiTheme="majorEastAsia" w:hAnsiTheme="majorEastAsia" w:eastAsiaTheme="majorEastAsia" w:cstheme="majorEastAsia"/>
                <w:color w:val="auto"/>
                <w:sz w:val="20"/>
                <w:szCs w:val="20"/>
                <w:highlight w:val="none"/>
                <w:lang w:val="en-US" w:eastAsia="zh-Hans"/>
              </w:rPr>
              <w:t>食品、储藏室专人管理、钥匙专管。</w:t>
            </w:r>
          </w:p>
          <w:p w14:paraId="087E3E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 餐具消毒清洗有流程、方法和责任人。</w:t>
            </w:r>
          </w:p>
          <w:p w14:paraId="3F53C8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 食堂人员会使用灭火器，有预防措施和安全责任人。</w:t>
            </w:r>
          </w:p>
          <w:p w14:paraId="189EFB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 餐样留存48小时，有食物中毒预案。</w:t>
            </w:r>
          </w:p>
        </w:tc>
        <w:tc>
          <w:tcPr>
            <w:tcW w:w="3266" w:type="dxa"/>
            <w:tcBorders>
              <w:tl2br w:val="nil"/>
              <w:tr2bl w:val="nil"/>
            </w:tcBorders>
            <w:tcMar>
              <w:top w:w="0" w:type="dxa"/>
              <w:left w:w="105" w:type="dxa"/>
              <w:bottom w:w="0" w:type="dxa"/>
              <w:right w:w="105" w:type="dxa"/>
            </w:tcMar>
            <w:vAlign w:val="top"/>
          </w:tcPr>
          <w:p w14:paraId="4C5B80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现场抽查，违反一项扣</w:t>
            </w:r>
            <w:r>
              <w:rPr>
                <w:rFonts w:hint="eastAsia" w:asciiTheme="majorEastAsia" w:hAnsiTheme="majorEastAsia" w:eastAsiaTheme="majorEastAsia" w:cstheme="majorEastAsia"/>
                <w:color w:val="auto"/>
                <w:sz w:val="20"/>
                <w:szCs w:val="20"/>
                <w:highlight w:val="none"/>
                <w:lang w:val="en-US" w:eastAsia="zh-CN"/>
              </w:rPr>
              <w:t>3</w:t>
            </w:r>
            <w:r>
              <w:rPr>
                <w:rFonts w:hint="eastAsia" w:asciiTheme="majorEastAsia" w:hAnsiTheme="majorEastAsia" w:eastAsiaTheme="majorEastAsia" w:cstheme="majorEastAsia"/>
                <w:color w:val="auto"/>
                <w:sz w:val="20"/>
                <w:szCs w:val="20"/>
                <w:highlight w:val="none"/>
                <w:lang w:val="en-US" w:eastAsia="zh-Hans"/>
              </w:rPr>
              <w:t>分。</w:t>
            </w:r>
          </w:p>
        </w:tc>
        <w:tc>
          <w:tcPr>
            <w:tcW w:w="959" w:type="dxa"/>
            <w:tcBorders>
              <w:tl2br w:val="nil"/>
              <w:tr2bl w:val="nil"/>
            </w:tcBorders>
            <w:tcMar>
              <w:top w:w="0" w:type="dxa"/>
              <w:left w:w="105" w:type="dxa"/>
              <w:bottom w:w="0" w:type="dxa"/>
              <w:right w:w="105" w:type="dxa"/>
            </w:tcMar>
            <w:vAlign w:val="top"/>
          </w:tcPr>
          <w:p w14:paraId="2FBAD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7438E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4FF45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反馈整改</w:t>
            </w:r>
          </w:p>
        </w:tc>
        <w:tc>
          <w:tcPr>
            <w:tcW w:w="3357" w:type="dxa"/>
            <w:gridSpan w:val="2"/>
            <w:tcBorders>
              <w:tl2br w:val="nil"/>
              <w:tr2bl w:val="nil"/>
            </w:tcBorders>
            <w:tcMar>
              <w:top w:w="0" w:type="dxa"/>
              <w:left w:w="105" w:type="dxa"/>
              <w:bottom w:w="0" w:type="dxa"/>
              <w:right w:w="105" w:type="dxa"/>
            </w:tcMar>
            <w:vAlign w:val="top"/>
          </w:tcPr>
          <w:p w14:paraId="2516D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在约定期限内未按</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要求整改或整改不到位的情形。</w:t>
            </w:r>
          </w:p>
        </w:tc>
        <w:tc>
          <w:tcPr>
            <w:tcW w:w="3266" w:type="dxa"/>
            <w:tcBorders>
              <w:tl2br w:val="nil"/>
              <w:tr2bl w:val="nil"/>
            </w:tcBorders>
            <w:tcMar>
              <w:top w:w="0" w:type="dxa"/>
              <w:left w:w="105" w:type="dxa"/>
              <w:bottom w:w="0" w:type="dxa"/>
              <w:right w:w="105" w:type="dxa"/>
            </w:tcMar>
            <w:vAlign w:val="top"/>
          </w:tcPr>
          <w:p w14:paraId="76E03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每次扣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959" w:type="dxa"/>
            <w:tcBorders>
              <w:tl2br w:val="nil"/>
              <w:tr2bl w:val="nil"/>
            </w:tcBorders>
            <w:tcMar>
              <w:top w:w="0" w:type="dxa"/>
              <w:left w:w="105" w:type="dxa"/>
              <w:bottom w:w="0" w:type="dxa"/>
              <w:right w:w="105" w:type="dxa"/>
            </w:tcMar>
            <w:vAlign w:val="top"/>
          </w:tcPr>
          <w:p w14:paraId="3563D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3495E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06" w:type="dxa"/>
            <w:gridSpan w:val="4"/>
            <w:tcBorders>
              <w:tl2br w:val="nil"/>
              <w:tr2bl w:val="nil"/>
            </w:tcBorders>
            <w:tcMar>
              <w:top w:w="0" w:type="dxa"/>
              <w:left w:w="105" w:type="dxa"/>
              <w:bottom w:w="0" w:type="dxa"/>
              <w:right w:w="105" w:type="dxa"/>
            </w:tcMar>
            <w:vAlign w:val="top"/>
          </w:tcPr>
          <w:p w14:paraId="088C0E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合计扣分：</w:t>
            </w:r>
          </w:p>
        </w:tc>
        <w:tc>
          <w:tcPr>
            <w:tcW w:w="959" w:type="dxa"/>
            <w:tcBorders>
              <w:tl2br w:val="nil"/>
              <w:tr2bl w:val="nil"/>
            </w:tcBorders>
            <w:tcMar>
              <w:top w:w="0" w:type="dxa"/>
              <w:left w:w="105" w:type="dxa"/>
              <w:bottom w:w="0" w:type="dxa"/>
              <w:right w:w="105" w:type="dxa"/>
            </w:tcMar>
            <w:vAlign w:val="top"/>
          </w:tcPr>
          <w:p w14:paraId="66297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53057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06" w:type="dxa"/>
            <w:gridSpan w:val="4"/>
            <w:tcBorders>
              <w:tl2br w:val="nil"/>
              <w:tr2bl w:val="nil"/>
            </w:tcBorders>
            <w:tcMar>
              <w:top w:w="0" w:type="dxa"/>
              <w:left w:w="105" w:type="dxa"/>
              <w:bottom w:w="0" w:type="dxa"/>
              <w:right w:w="105" w:type="dxa"/>
            </w:tcMar>
            <w:vAlign w:val="top"/>
          </w:tcPr>
          <w:p w14:paraId="57492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合计得分：</w:t>
            </w:r>
          </w:p>
        </w:tc>
        <w:tc>
          <w:tcPr>
            <w:tcW w:w="959" w:type="dxa"/>
            <w:tcBorders>
              <w:tl2br w:val="nil"/>
              <w:tr2bl w:val="nil"/>
            </w:tcBorders>
            <w:tcMar>
              <w:top w:w="0" w:type="dxa"/>
              <w:left w:w="105" w:type="dxa"/>
              <w:bottom w:w="0" w:type="dxa"/>
              <w:right w:w="105" w:type="dxa"/>
            </w:tcMar>
            <w:vAlign w:val="top"/>
          </w:tcPr>
          <w:p w14:paraId="4D7262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020B8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1" w:type="dxa"/>
            <w:gridSpan w:val="2"/>
            <w:tcBorders>
              <w:tl2br w:val="nil"/>
              <w:tr2bl w:val="nil"/>
            </w:tcBorders>
            <w:tcMar>
              <w:top w:w="0" w:type="dxa"/>
              <w:left w:w="105" w:type="dxa"/>
              <w:bottom w:w="0" w:type="dxa"/>
              <w:right w:w="105" w:type="dxa"/>
            </w:tcMar>
            <w:vAlign w:val="top"/>
          </w:tcPr>
          <w:p w14:paraId="55FE1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检查人：</w:t>
            </w:r>
          </w:p>
        </w:tc>
        <w:tc>
          <w:tcPr>
            <w:tcW w:w="2279" w:type="dxa"/>
            <w:tcBorders>
              <w:tl2br w:val="nil"/>
              <w:tr2bl w:val="nil"/>
            </w:tcBorders>
            <w:tcMar>
              <w:top w:w="0" w:type="dxa"/>
              <w:left w:w="105" w:type="dxa"/>
              <w:bottom w:w="0" w:type="dxa"/>
              <w:right w:w="105" w:type="dxa"/>
            </w:tcMar>
            <w:vAlign w:val="top"/>
          </w:tcPr>
          <w:p w14:paraId="018283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被检查人：</w:t>
            </w:r>
          </w:p>
        </w:tc>
        <w:tc>
          <w:tcPr>
            <w:tcW w:w="4225" w:type="dxa"/>
            <w:gridSpan w:val="2"/>
            <w:tcBorders>
              <w:tl2br w:val="nil"/>
              <w:tr2bl w:val="nil"/>
            </w:tcBorders>
            <w:tcMar>
              <w:top w:w="0" w:type="dxa"/>
              <w:left w:w="105" w:type="dxa"/>
              <w:bottom w:w="0" w:type="dxa"/>
              <w:right w:w="105" w:type="dxa"/>
            </w:tcMar>
            <w:vAlign w:val="top"/>
          </w:tcPr>
          <w:p w14:paraId="5B396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检查日期：</w:t>
            </w:r>
          </w:p>
        </w:tc>
      </w:tr>
      <w:tr w14:paraId="507E3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83" w:type="dxa"/>
            <w:tcBorders>
              <w:tl2br w:val="nil"/>
              <w:tr2bl w:val="nil"/>
            </w:tcBorders>
            <w:tcMar>
              <w:top w:w="0" w:type="dxa"/>
              <w:left w:w="105" w:type="dxa"/>
              <w:bottom w:w="0" w:type="dxa"/>
              <w:right w:w="105" w:type="dxa"/>
            </w:tcMar>
            <w:vAlign w:val="top"/>
          </w:tcPr>
          <w:p w14:paraId="6C2D5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整改意见</w:t>
            </w:r>
          </w:p>
        </w:tc>
        <w:tc>
          <w:tcPr>
            <w:tcW w:w="7582" w:type="dxa"/>
            <w:gridSpan w:val="4"/>
            <w:tcBorders>
              <w:tl2br w:val="nil"/>
              <w:tr2bl w:val="nil"/>
            </w:tcBorders>
            <w:tcMar>
              <w:top w:w="0" w:type="dxa"/>
              <w:left w:w="105" w:type="dxa"/>
              <w:bottom w:w="0" w:type="dxa"/>
              <w:right w:w="105" w:type="dxa"/>
            </w:tcMar>
            <w:vAlign w:val="top"/>
          </w:tcPr>
          <w:p w14:paraId="51CC9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bl>
    <w:p w14:paraId="0C81D13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注：1.考核评分采用百分制，扣罚标准如下：</w:t>
      </w:r>
    </w:p>
    <w:p w14:paraId="74C6511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（1）考核得分在9</w:t>
      </w:r>
      <w:r>
        <w:rPr>
          <w:rFonts w:hint="eastAsia" w:asciiTheme="majorEastAsia" w:hAnsiTheme="majorEastAsia" w:eastAsiaTheme="majorEastAsia" w:cstheme="majorEastAsia"/>
          <w:color w:val="auto"/>
          <w:sz w:val="20"/>
          <w:szCs w:val="20"/>
          <w:highlight w:val="none"/>
          <w:lang w:val="en-US" w:eastAsia="zh-CN"/>
        </w:rPr>
        <w:t>0</w:t>
      </w:r>
      <w:r>
        <w:rPr>
          <w:rFonts w:hint="eastAsia" w:asciiTheme="majorEastAsia" w:hAnsiTheme="majorEastAsia" w:eastAsiaTheme="majorEastAsia" w:cstheme="majorEastAsia"/>
          <w:color w:val="auto"/>
          <w:sz w:val="20"/>
          <w:szCs w:val="20"/>
          <w:highlight w:val="none"/>
          <w:lang w:val="en-US" w:eastAsia="zh-Hans"/>
        </w:rPr>
        <w:t>分(含)以上时，不扣减费用；</w:t>
      </w:r>
    </w:p>
    <w:p w14:paraId="4CF231A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（2）80分≤考核得分≤89分，扣减【(100-考核得分)×</w:t>
      </w:r>
      <w:r>
        <w:rPr>
          <w:rFonts w:hint="eastAsia" w:asciiTheme="majorEastAsia" w:hAnsiTheme="majorEastAsia" w:eastAsiaTheme="majorEastAsia" w:cstheme="majorEastAsia"/>
          <w:color w:val="auto"/>
          <w:sz w:val="20"/>
          <w:szCs w:val="20"/>
          <w:highlight w:val="none"/>
          <w:lang w:val="en-US" w:eastAsia="zh-CN"/>
        </w:rPr>
        <w:t>300</w:t>
      </w:r>
      <w:r>
        <w:rPr>
          <w:rFonts w:hint="eastAsia" w:asciiTheme="majorEastAsia" w:hAnsiTheme="majorEastAsia" w:eastAsiaTheme="majorEastAsia" w:cstheme="majorEastAsia"/>
          <w:color w:val="auto"/>
          <w:sz w:val="20"/>
          <w:szCs w:val="20"/>
          <w:highlight w:val="none"/>
          <w:lang w:val="en-US" w:eastAsia="zh-Hans"/>
        </w:rPr>
        <w:t>】元；</w:t>
      </w:r>
    </w:p>
    <w:p w14:paraId="6456256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（3）70分≤考核得分≤79分，扣减【(100-考核得分)×</w:t>
      </w:r>
      <w:r>
        <w:rPr>
          <w:rFonts w:hint="eastAsia" w:asciiTheme="majorEastAsia" w:hAnsiTheme="majorEastAsia" w:eastAsiaTheme="majorEastAsia" w:cstheme="majorEastAsia"/>
          <w:color w:val="auto"/>
          <w:sz w:val="20"/>
          <w:szCs w:val="20"/>
          <w:highlight w:val="none"/>
          <w:lang w:val="en-US" w:eastAsia="zh-CN"/>
        </w:rPr>
        <w:t>500</w:t>
      </w:r>
      <w:r>
        <w:rPr>
          <w:rFonts w:hint="eastAsia" w:asciiTheme="majorEastAsia" w:hAnsiTheme="majorEastAsia" w:eastAsiaTheme="majorEastAsia" w:cstheme="majorEastAsia"/>
          <w:color w:val="auto"/>
          <w:sz w:val="20"/>
          <w:szCs w:val="20"/>
          <w:highlight w:val="none"/>
          <w:lang w:val="en-US" w:eastAsia="zh-Hans"/>
        </w:rPr>
        <w:t>】元；</w:t>
      </w:r>
    </w:p>
    <w:p w14:paraId="5A29345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（4）60分≤考核得分≤69分，扣减【(100-考核得分)×</w:t>
      </w:r>
      <w:r>
        <w:rPr>
          <w:rFonts w:hint="eastAsia" w:asciiTheme="majorEastAsia" w:hAnsiTheme="majorEastAsia" w:eastAsiaTheme="majorEastAsia" w:cstheme="majorEastAsia"/>
          <w:color w:val="auto"/>
          <w:sz w:val="20"/>
          <w:szCs w:val="20"/>
          <w:highlight w:val="none"/>
          <w:lang w:val="en-US" w:eastAsia="zh-CN"/>
        </w:rPr>
        <w:t>1000</w:t>
      </w:r>
      <w:r>
        <w:rPr>
          <w:rFonts w:hint="eastAsia" w:asciiTheme="majorEastAsia" w:hAnsiTheme="majorEastAsia" w:eastAsiaTheme="majorEastAsia" w:cstheme="majorEastAsia"/>
          <w:color w:val="auto"/>
          <w:sz w:val="20"/>
          <w:szCs w:val="20"/>
          <w:highlight w:val="none"/>
          <w:lang w:val="en-US" w:eastAsia="zh-Hans"/>
        </w:rPr>
        <w:t>+</w:t>
      </w:r>
      <w:r>
        <w:rPr>
          <w:rFonts w:hint="eastAsia" w:asciiTheme="majorEastAsia" w:hAnsiTheme="majorEastAsia" w:eastAsiaTheme="majorEastAsia" w:cstheme="majorEastAsia"/>
          <w:color w:val="auto"/>
          <w:sz w:val="20"/>
          <w:szCs w:val="20"/>
          <w:highlight w:val="none"/>
          <w:lang w:val="en-US" w:eastAsia="zh-CN"/>
        </w:rPr>
        <w:t>2000</w:t>
      </w:r>
      <w:r>
        <w:rPr>
          <w:rFonts w:hint="eastAsia" w:asciiTheme="majorEastAsia" w:hAnsiTheme="majorEastAsia" w:eastAsiaTheme="majorEastAsia" w:cstheme="majorEastAsia"/>
          <w:color w:val="auto"/>
          <w:sz w:val="20"/>
          <w:szCs w:val="20"/>
          <w:highlight w:val="none"/>
          <w:lang w:val="en-US" w:eastAsia="zh-Hans"/>
        </w:rPr>
        <w:t>】元；</w:t>
      </w:r>
    </w:p>
    <w:p w14:paraId="07B54D6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（5）低于60分（不含）扣减当月货款的</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0%；</w:t>
      </w:r>
    </w:p>
    <w:p w14:paraId="51E312E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（6）合同期内累计三个季度低于60分（不含），</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有权终止合同。所发生的一切损失由中标人负责。</w:t>
      </w:r>
    </w:p>
    <w:p w14:paraId="46281CC3">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b w:val="0"/>
          <w:bCs w:val="0"/>
          <w:color w:val="auto"/>
          <w:sz w:val="20"/>
          <w:szCs w:val="20"/>
          <w:highlight w:val="none"/>
          <w:lang w:eastAsia="zh-CN"/>
        </w:rPr>
      </w:pPr>
      <w:r>
        <w:rPr>
          <w:rFonts w:hint="eastAsia" w:asciiTheme="majorEastAsia" w:hAnsiTheme="majorEastAsia" w:eastAsiaTheme="majorEastAsia" w:cstheme="majorEastAsia"/>
          <w:color w:val="auto"/>
          <w:sz w:val="20"/>
          <w:szCs w:val="20"/>
          <w:highlight w:val="none"/>
          <w:lang w:val="en-US" w:eastAsia="zh-Hans"/>
        </w:rPr>
        <w:t>2.季度食堂运营管理服务考核评分表的解释权归</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也可根据实际情况对季度食堂运营管理服务考核评分表的内容进行调整，但要与中标人进行协商</w:t>
      </w:r>
    </w:p>
    <w:p w14:paraId="1D1E9E0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食材供应服务考核机制</w:t>
      </w:r>
    </w:p>
    <w:p w14:paraId="00F8743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每月组织考核验收小组对中标人食材供应服务进行1次履约的考核、评估，评估采取市场调查、货品比较、现场考察服务质量等方式进行，具体内容见《月度食材供应服务考核评分表》。</w:t>
      </w:r>
    </w:p>
    <w:tbl>
      <w:tblPr>
        <w:tblStyle w:val="4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5"/>
        <w:gridCol w:w="1736"/>
        <w:gridCol w:w="3648"/>
        <w:gridCol w:w="1580"/>
        <w:gridCol w:w="1123"/>
        <w:gridCol w:w="1127"/>
      </w:tblGrid>
      <w:tr w14:paraId="7500B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224"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6E6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月度食材供应服务考核评分表</w:t>
            </w:r>
          </w:p>
        </w:tc>
      </w:tr>
      <w:tr w14:paraId="2DA6A6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A63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序号</w:t>
            </w:r>
          </w:p>
        </w:tc>
        <w:tc>
          <w:tcPr>
            <w:tcW w:w="7148"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691C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考核细则</w:t>
            </w:r>
          </w:p>
        </w:tc>
        <w:tc>
          <w:tcPr>
            <w:tcW w:w="11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BFA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扣分值</w:t>
            </w:r>
          </w:p>
        </w:tc>
        <w:tc>
          <w:tcPr>
            <w:tcW w:w="11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E4DE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备注</w:t>
            </w:r>
          </w:p>
        </w:tc>
      </w:tr>
      <w:tr w14:paraId="1A2430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A81B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D06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违反</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要求和合同的规定，擅自更改供应货物品牌、规格和质量的，每次扣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C8BC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91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7B66C9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4B5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C92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未按</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采购计划的品种、数量、时间供货的，每发生一次扣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7E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366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5317D8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32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F4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违反</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要求和合同的规定，擅自更改运送人员的，每次扣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793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698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4FF7A0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012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15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需要使用冷链车辆进行配送的产品，未按要求使用冷链车辆进行配送的，每发生一次扣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D40C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536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7C9D89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C592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D185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同一品种货物一次（含本数）以上发现质量不合格产品的，扣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FC0A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92B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1FC9FB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45E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FCDC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产品验收不合格，每拒收一批次扣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A7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CFB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6BDADF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D4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7</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D8A1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把</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验收不合格退货的货物重新配送给</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的，每发现一次扣5分；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9F5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189E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593F29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6C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8</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02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中标人在包装、运输、装卸等环节不符合食品卫生要求的，每发现一次扣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020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AC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095577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3ECA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9</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33B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滥用或过量使用食品添加剂、发现使用劣质原料、抗生素、激素等有害物质，每次扣</w:t>
            </w:r>
            <w:r>
              <w:rPr>
                <w:rFonts w:hint="eastAsia" w:asciiTheme="majorEastAsia" w:hAnsiTheme="majorEastAsia" w:eastAsiaTheme="majorEastAsia" w:cstheme="majorEastAsia"/>
                <w:color w:val="auto"/>
                <w:sz w:val="20"/>
                <w:szCs w:val="20"/>
                <w:highlight w:val="none"/>
                <w:lang w:val="en-US" w:eastAsia="zh-CN"/>
              </w:rPr>
              <w:t>3</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E16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76FB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5BD08B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E879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10</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726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商品由他人代送</w:t>
            </w:r>
            <w:r>
              <w:rPr>
                <w:rFonts w:hint="eastAsia" w:asciiTheme="majorEastAsia" w:hAnsiTheme="majorEastAsia" w:eastAsiaTheme="majorEastAsia" w:cstheme="majorEastAsia"/>
                <w:color w:val="auto"/>
                <w:sz w:val="20"/>
                <w:szCs w:val="20"/>
                <w:highlight w:val="none"/>
                <w:lang w:val="en-US" w:eastAsia="zh-CN"/>
              </w:rPr>
              <w:t>且质量出现问题</w:t>
            </w:r>
            <w:r>
              <w:rPr>
                <w:rFonts w:hint="eastAsia" w:asciiTheme="majorEastAsia" w:hAnsiTheme="majorEastAsia" w:eastAsiaTheme="majorEastAsia" w:cstheme="majorEastAsia"/>
                <w:color w:val="auto"/>
                <w:sz w:val="20"/>
                <w:szCs w:val="20"/>
                <w:highlight w:val="none"/>
                <w:lang w:val="en-US" w:eastAsia="zh-Hans"/>
              </w:rPr>
              <w:t>，每次扣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553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3A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41EE1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C45F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11</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964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没有建立健全安全生产规章制度、安全生产操作规程、应急预案，或违反制度操作的，每次扣</w:t>
            </w:r>
            <w:r>
              <w:rPr>
                <w:rFonts w:hint="eastAsia" w:asciiTheme="majorEastAsia" w:hAnsiTheme="majorEastAsia" w:eastAsiaTheme="majorEastAsia" w:cstheme="majorEastAsia"/>
                <w:color w:val="auto"/>
                <w:sz w:val="20"/>
                <w:szCs w:val="20"/>
                <w:highlight w:val="none"/>
                <w:lang w:val="en-US" w:eastAsia="zh-CN"/>
              </w:rPr>
              <w:t>3</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FC7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FD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1AE2C9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D8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12</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EA4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货物出现质量问题，中标人不积极配合查找原因，不及时反馈处理结果的，每次扣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395B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B2B9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6FE029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02B1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13</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AA9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对</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提出的合理建议未能在约定期限内整改落实的，每次扣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19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A6F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6932F3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B8D9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14</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770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中标人组织机构发生调整，或经营场所、联系人、联系方式变更，未及时通知</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，造成无法及时联系的，每次扣</w:t>
            </w:r>
            <w:r>
              <w:rPr>
                <w:rFonts w:hint="eastAsia" w:asciiTheme="majorEastAsia" w:hAnsiTheme="majorEastAsia" w:eastAsiaTheme="majorEastAsia" w:cstheme="majorEastAsia"/>
                <w:color w:val="auto"/>
                <w:sz w:val="20"/>
                <w:szCs w:val="20"/>
                <w:highlight w:val="none"/>
                <w:lang w:val="en-US" w:eastAsia="zh-CN"/>
              </w:rPr>
              <w:t>2</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99C3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243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7E93EE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16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15</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225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未按时发货或发生退换货情况，造成</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无法按时供餐的，每发生一次扣</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7C7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24E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75F1FB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BBB3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16</w:t>
            </w:r>
          </w:p>
        </w:tc>
        <w:tc>
          <w:tcPr>
            <w:tcW w:w="714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709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未及时按要求随货提供相关票证的，每次扣1分；</w:t>
            </w:r>
          </w:p>
        </w:tc>
        <w:tc>
          <w:tcPr>
            <w:tcW w:w="11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E8C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c>
          <w:tcPr>
            <w:tcW w:w="11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702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5AFE93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311"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50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扣分项合计</w:t>
            </w:r>
          </w:p>
        </w:tc>
        <w:tc>
          <w:tcPr>
            <w:tcW w:w="3913"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44AF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p>
        </w:tc>
      </w:tr>
      <w:tr w14:paraId="5EB64E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30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一票否决项</w:t>
            </w:r>
          </w:p>
        </w:tc>
        <w:tc>
          <w:tcPr>
            <w:tcW w:w="7657"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4E7B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若出现下述情况，</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有权不支付当月货款，所发生的一切损失由中标人负责：</w:t>
            </w:r>
          </w:p>
          <w:p w14:paraId="5D1E2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1、以贿赂或类似贿赂的形式讨好</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、货物验收人等利害关系人的行为。</w:t>
            </w:r>
          </w:p>
          <w:p w14:paraId="4EF77B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2、要求检测的商品未经检测，且未按要求限时整改。</w:t>
            </w:r>
          </w:p>
          <w:p w14:paraId="5AB2AC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3、食品原料质量问题而引起的食物中毒事件。</w:t>
            </w:r>
          </w:p>
          <w:p w14:paraId="47F2E4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4、提供虚假资料、如检测报告、发票、货物入库单。</w:t>
            </w:r>
          </w:p>
        </w:tc>
      </w:tr>
      <w:tr w14:paraId="6B5355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67"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486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考核人</w:t>
            </w:r>
          </w:p>
        </w:tc>
        <w:tc>
          <w:tcPr>
            <w:tcW w:w="7657"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340C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r>
    </w:tbl>
    <w:p w14:paraId="39A3776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注：1.考核评分采用百分制，扣罚标准如下：</w:t>
      </w:r>
    </w:p>
    <w:p w14:paraId="2F1B1F4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（1）考核得分在9</w:t>
      </w:r>
      <w:r>
        <w:rPr>
          <w:rFonts w:hint="eastAsia" w:asciiTheme="majorEastAsia" w:hAnsiTheme="majorEastAsia" w:eastAsiaTheme="majorEastAsia" w:cstheme="majorEastAsia"/>
          <w:color w:val="auto"/>
          <w:sz w:val="20"/>
          <w:szCs w:val="20"/>
          <w:highlight w:val="none"/>
          <w:lang w:val="en-US" w:eastAsia="zh-CN"/>
        </w:rPr>
        <w:t>0</w:t>
      </w:r>
      <w:r>
        <w:rPr>
          <w:rFonts w:hint="eastAsia" w:asciiTheme="majorEastAsia" w:hAnsiTheme="majorEastAsia" w:eastAsiaTheme="majorEastAsia" w:cstheme="majorEastAsia"/>
          <w:color w:val="auto"/>
          <w:sz w:val="20"/>
          <w:szCs w:val="20"/>
          <w:highlight w:val="none"/>
          <w:lang w:val="en-US" w:eastAsia="zh-Hans"/>
        </w:rPr>
        <w:t>分(含)以上时，不扣减费用；</w:t>
      </w:r>
    </w:p>
    <w:p w14:paraId="18C78EA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（2）80分≤考核得分≤89分，扣减【(100-考核得分)×</w:t>
      </w:r>
      <w:r>
        <w:rPr>
          <w:rFonts w:hint="eastAsia" w:asciiTheme="majorEastAsia" w:hAnsiTheme="majorEastAsia" w:eastAsiaTheme="majorEastAsia" w:cstheme="majorEastAsia"/>
          <w:color w:val="auto"/>
          <w:sz w:val="20"/>
          <w:szCs w:val="20"/>
          <w:highlight w:val="none"/>
          <w:lang w:val="en-US" w:eastAsia="zh-CN"/>
        </w:rPr>
        <w:t>300</w:t>
      </w:r>
      <w:r>
        <w:rPr>
          <w:rFonts w:hint="eastAsia" w:asciiTheme="majorEastAsia" w:hAnsiTheme="majorEastAsia" w:eastAsiaTheme="majorEastAsia" w:cstheme="majorEastAsia"/>
          <w:color w:val="auto"/>
          <w:sz w:val="20"/>
          <w:szCs w:val="20"/>
          <w:highlight w:val="none"/>
          <w:lang w:val="en-US" w:eastAsia="zh-Hans"/>
        </w:rPr>
        <w:t>】元；</w:t>
      </w:r>
    </w:p>
    <w:p w14:paraId="43AC94F4">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（3）70分≤考核得分≤79分，扣减【(100-考核得分)×</w:t>
      </w:r>
      <w:r>
        <w:rPr>
          <w:rFonts w:hint="eastAsia" w:asciiTheme="majorEastAsia" w:hAnsiTheme="majorEastAsia" w:eastAsiaTheme="majorEastAsia" w:cstheme="majorEastAsia"/>
          <w:color w:val="auto"/>
          <w:sz w:val="20"/>
          <w:szCs w:val="20"/>
          <w:highlight w:val="none"/>
          <w:lang w:val="en-US" w:eastAsia="zh-CN"/>
        </w:rPr>
        <w:t>500</w:t>
      </w:r>
      <w:r>
        <w:rPr>
          <w:rFonts w:hint="eastAsia" w:asciiTheme="majorEastAsia" w:hAnsiTheme="majorEastAsia" w:eastAsiaTheme="majorEastAsia" w:cstheme="majorEastAsia"/>
          <w:color w:val="auto"/>
          <w:sz w:val="20"/>
          <w:szCs w:val="20"/>
          <w:highlight w:val="none"/>
          <w:lang w:val="en-US" w:eastAsia="zh-Hans"/>
        </w:rPr>
        <w:t>】元；</w:t>
      </w:r>
    </w:p>
    <w:p w14:paraId="5CFAF600">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（4）60分≤考核得分≤69分，扣减【(100-考核得分)×</w:t>
      </w:r>
      <w:r>
        <w:rPr>
          <w:rFonts w:hint="eastAsia" w:asciiTheme="majorEastAsia" w:hAnsiTheme="majorEastAsia" w:eastAsiaTheme="majorEastAsia" w:cstheme="majorEastAsia"/>
          <w:color w:val="auto"/>
          <w:sz w:val="20"/>
          <w:szCs w:val="20"/>
          <w:highlight w:val="none"/>
          <w:lang w:val="en-US" w:eastAsia="zh-CN"/>
        </w:rPr>
        <w:t>1000</w:t>
      </w:r>
      <w:r>
        <w:rPr>
          <w:rFonts w:hint="eastAsia" w:asciiTheme="majorEastAsia" w:hAnsiTheme="majorEastAsia" w:eastAsiaTheme="majorEastAsia" w:cstheme="majorEastAsia"/>
          <w:color w:val="auto"/>
          <w:sz w:val="20"/>
          <w:szCs w:val="20"/>
          <w:highlight w:val="none"/>
          <w:lang w:val="en-US" w:eastAsia="zh-Hans"/>
        </w:rPr>
        <w:t>+</w:t>
      </w:r>
      <w:r>
        <w:rPr>
          <w:rFonts w:hint="eastAsia" w:asciiTheme="majorEastAsia" w:hAnsiTheme="majorEastAsia" w:eastAsiaTheme="majorEastAsia" w:cstheme="majorEastAsia"/>
          <w:color w:val="auto"/>
          <w:sz w:val="20"/>
          <w:szCs w:val="20"/>
          <w:highlight w:val="none"/>
          <w:lang w:val="en-US" w:eastAsia="zh-CN"/>
        </w:rPr>
        <w:t>2000</w:t>
      </w:r>
      <w:r>
        <w:rPr>
          <w:rFonts w:hint="eastAsia" w:asciiTheme="majorEastAsia" w:hAnsiTheme="majorEastAsia" w:eastAsiaTheme="majorEastAsia" w:cstheme="majorEastAsia"/>
          <w:color w:val="auto"/>
          <w:sz w:val="20"/>
          <w:szCs w:val="20"/>
          <w:highlight w:val="none"/>
          <w:lang w:val="en-US" w:eastAsia="zh-Hans"/>
        </w:rPr>
        <w:t>】元；</w:t>
      </w:r>
    </w:p>
    <w:p w14:paraId="2A4D761A">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（5）低于60分（不含）扣减当月货款的</w:t>
      </w:r>
      <w:r>
        <w:rPr>
          <w:rFonts w:hint="eastAsia" w:asciiTheme="majorEastAsia" w:hAnsiTheme="majorEastAsia" w:eastAsiaTheme="majorEastAsia" w:cstheme="majorEastAsia"/>
          <w:color w:val="auto"/>
          <w:sz w:val="20"/>
          <w:szCs w:val="20"/>
          <w:highlight w:val="none"/>
          <w:lang w:val="en-US" w:eastAsia="zh-CN"/>
        </w:rPr>
        <w:t>1</w:t>
      </w:r>
      <w:r>
        <w:rPr>
          <w:rFonts w:hint="eastAsia" w:asciiTheme="majorEastAsia" w:hAnsiTheme="majorEastAsia" w:eastAsiaTheme="majorEastAsia" w:cstheme="majorEastAsia"/>
          <w:color w:val="auto"/>
          <w:sz w:val="20"/>
          <w:szCs w:val="20"/>
          <w:highlight w:val="none"/>
          <w:lang w:val="en-US" w:eastAsia="zh-Hans"/>
        </w:rPr>
        <w:t>0%；</w:t>
      </w:r>
    </w:p>
    <w:p w14:paraId="4BF37112">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（6）合同期内累计三个季度低于60分（不含），</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有权终止合同。所发生的一切损失由中标人负责。</w:t>
      </w:r>
    </w:p>
    <w:p w14:paraId="3E10E08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2.各项指标分值说明见《食材供应考核分值说明》。</w:t>
      </w:r>
    </w:p>
    <w:p w14:paraId="4FEA731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3.月度食材供应服务考核评分表的解释权归</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w:t>
      </w:r>
      <w:r>
        <w:rPr>
          <w:rFonts w:hint="eastAsia" w:asciiTheme="majorEastAsia" w:hAnsiTheme="majorEastAsia" w:eastAsiaTheme="majorEastAsia" w:cstheme="majorEastAsia"/>
          <w:color w:val="auto"/>
          <w:sz w:val="20"/>
          <w:szCs w:val="20"/>
          <w:highlight w:val="none"/>
          <w:lang w:val="en-US" w:eastAsia="zh-CN"/>
        </w:rPr>
        <w:t>招标人</w:t>
      </w:r>
      <w:r>
        <w:rPr>
          <w:rFonts w:hint="eastAsia" w:asciiTheme="majorEastAsia" w:hAnsiTheme="majorEastAsia" w:eastAsiaTheme="majorEastAsia" w:cstheme="majorEastAsia"/>
          <w:color w:val="auto"/>
          <w:sz w:val="20"/>
          <w:szCs w:val="20"/>
          <w:highlight w:val="none"/>
          <w:lang w:val="en-US" w:eastAsia="zh-Hans"/>
        </w:rPr>
        <w:t>也可根据实际情况对月度食材供应服务考核评分表的内容进行调整，但要与中标人进行协商。</w:t>
      </w:r>
    </w:p>
    <w:p w14:paraId="0E79524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b/>
          <w:color w:val="auto"/>
          <w:sz w:val="20"/>
          <w:szCs w:val="20"/>
          <w:highlight w:val="none"/>
          <w:lang w:val="en-US" w:eastAsia="zh-Hans"/>
        </w:rPr>
        <w:t>食材供应考核分值说明</w:t>
      </w:r>
    </w:p>
    <w:p w14:paraId="4CEE9EB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考核日期：   年  月  日</w:t>
      </w:r>
    </w:p>
    <w:tbl>
      <w:tblPr>
        <w:tblStyle w:val="4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75"/>
        <w:gridCol w:w="2573"/>
        <w:gridCol w:w="1422"/>
        <w:gridCol w:w="1166"/>
        <w:gridCol w:w="1166"/>
      </w:tblGrid>
      <w:tr w14:paraId="72534A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558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CN"/>
              </w:rPr>
              <w:t>中标人</w:t>
            </w:r>
            <w:r>
              <w:rPr>
                <w:rFonts w:hint="eastAsia" w:asciiTheme="majorEastAsia" w:hAnsiTheme="majorEastAsia" w:eastAsiaTheme="majorEastAsia" w:cstheme="majorEastAsia"/>
                <w:color w:val="auto"/>
                <w:sz w:val="20"/>
                <w:szCs w:val="20"/>
                <w:highlight w:val="none"/>
                <w:lang w:val="en-US" w:eastAsia="zh-Hans"/>
              </w:rPr>
              <w:t>名称</w:t>
            </w:r>
          </w:p>
        </w:tc>
        <w:tc>
          <w:tcPr>
            <w:tcW w:w="25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B34CF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c>
          <w:tcPr>
            <w:tcW w:w="14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3A39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供应项目</w:t>
            </w:r>
          </w:p>
        </w:tc>
        <w:tc>
          <w:tcPr>
            <w:tcW w:w="2332"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BFD9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r w14:paraId="1911E0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56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考核评分表序号</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87C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扣分事由</w:t>
            </w: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28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扣分值</w:t>
            </w: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A0A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备注</w:t>
            </w:r>
          </w:p>
        </w:tc>
      </w:tr>
      <w:tr w14:paraId="1A1746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CB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1</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30A3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8B41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423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2907D5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82B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2</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10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D98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737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42A358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CA6B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3</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00C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412D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2C0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4B6F61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B9C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4</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30E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C86F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160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324D7A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B4D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5</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36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B5E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A4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56DC4B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4C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128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4E4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C5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Theme="majorEastAsia" w:hAnsiTheme="majorEastAsia" w:eastAsiaTheme="majorEastAsia" w:cstheme="majorEastAsia"/>
                <w:color w:val="auto"/>
                <w:sz w:val="20"/>
                <w:szCs w:val="20"/>
                <w:highlight w:val="none"/>
              </w:rPr>
            </w:pPr>
          </w:p>
        </w:tc>
      </w:tr>
      <w:tr w14:paraId="2898F5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97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4E1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auto"/>
              <w:rPr>
                <w:rFonts w:hint="eastAsia" w:asciiTheme="majorEastAsia" w:hAnsiTheme="majorEastAsia" w:eastAsiaTheme="majorEastAsia" w:cstheme="majorEastAsia"/>
                <w:color w:val="auto"/>
                <w:sz w:val="20"/>
                <w:szCs w:val="20"/>
                <w:highlight w:val="none"/>
                <w:lang w:val="en-US" w:eastAsia="zh-Hans"/>
              </w:rPr>
            </w:pPr>
            <w:r>
              <w:rPr>
                <w:rFonts w:hint="eastAsia" w:asciiTheme="majorEastAsia" w:hAnsiTheme="majorEastAsia" w:eastAsiaTheme="majorEastAsia" w:cstheme="majorEastAsia"/>
                <w:color w:val="auto"/>
                <w:sz w:val="20"/>
                <w:szCs w:val="20"/>
                <w:highlight w:val="none"/>
                <w:lang w:val="en-US" w:eastAsia="zh-Hans"/>
              </w:rPr>
              <w:t>考核得分</w:t>
            </w:r>
          </w:p>
        </w:tc>
        <w:tc>
          <w:tcPr>
            <w:tcW w:w="233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778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sz w:val="20"/>
                <w:szCs w:val="20"/>
                <w:highlight w:val="none"/>
                <w:lang w:val="en-US" w:eastAsia="zh-Hans"/>
              </w:rPr>
            </w:pPr>
          </w:p>
        </w:tc>
      </w:tr>
    </w:tbl>
    <w:p w14:paraId="356EC29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Hans"/>
        </w:rPr>
        <w:t>经办人：</w:t>
      </w:r>
    </w:p>
    <w:p w14:paraId="79A26C20">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sz w:val="20"/>
          <w:szCs w:val="20"/>
          <w:highlight w:val="none"/>
          <w:lang w:val="en-US" w:eastAsia="zh-CN"/>
        </w:rPr>
        <w:t>（十二）食品安全责任险</w:t>
      </w:r>
    </w:p>
    <w:p w14:paraId="11FE8C9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中标人在服务期内，由于原料加工、烹调过程引发的食品安全事故，由中标人承</w:t>
      </w:r>
      <w:r>
        <w:rPr>
          <w:rFonts w:hint="eastAsia" w:asciiTheme="majorEastAsia" w:hAnsiTheme="majorEastAsia" w:eastAsiaTheme="majorEastAsia" w:cstheme="majorEastAsia"/>
          <w:b w:val="0"/>
          <w:bCs w:val="0"/>
          <w:color w:val="auto"/>
          <w:sz w:val="20"/>
          <w:szCs w:val="20"/>
          <w:highlight w:val="none"/>
          <w:lang w:val="en-US" w:eastAsia="zh-CN"/>
        </w:rPr>
        <w:t>担</w:t>
      </w:r>
      <w:r>
        <w:rPr>
          <w:rFonts w:hint="eastAsia" w:asciiTheme="majorEastAsia" w:hAnsiTheme="majorEastAsia" w:eastAsiaTheme="majorEastAsia" w:cstheme="majorEastAsia"/>
          <w:b w:val="0"/>
          <w:bCs w:val="0"/>
          <w:color w:val="auto"/>
          <w:sz w:val="20"/>
          <w:szCs w:val="20"/>
          <w:highlight w:val="none"/>
          <w:lang w:eastAsia="zh-CN"/>
        </w:rPr>
        <w:t>全部责任及费用。中标人须在收到中选通知书后合同签订前购买食品安全责任险（</w:t>
      </w:r>
      <w:r>
        <w:rPr>
          <w:rFonts w:hint="eastAsia" w:asciiTheme="majorEastAsia" w:hAnsiTheme="majorEastAsia" w:eastAsiaTheme="majorEastAsia" w:cstheme="majorEastAsia"/>
          <w:b w:val="0"/>
          <w:bCs w:val="0"/>
          <w:color w:val="auto"/>
          <w:sz w:val="20"/>
          <w:szCs w:val="20"/>
          <w:highlight w:val="none"/>
          <w:lang w:val="en-US" w:eastAsia="zh-CN"/>
        </w:rPr>
        <w:t>保费不低于1000万</w:t>
      </w:r>
      <w:r>
        <w:rPr>
          <w:rFonts w:hint="eastAsia" w:asciiTheme="majorEastAsia" w:hAnsiTheme="majorEastAsia" w:eastAsiaTheme="majorEastAsia" w:cstheme="majorEastAsia"/>
          <w:b w:val="0"/>
          <w:bCs w:val="0"/>
          <w:color w:val="auto"/>
          <w:sz w:val="20"/>
          <w:szCs w:val="20"/>
          <w:highlight w:val="none"/>
          <w:lang w:eastAsia="zh-CN"/>
        </w:rPr>
        <w:t>），购买的保单复印件交由招标人存档，如未能按时购买，视为中标人自愿放弃成交资格、拒绝与招标人签订合同，一切经济损失由中标人承担。招标人可以重新开展采购活动，也可以按照评审报告推荐的中选候选人名单排序，确定序列的下一候选人为</w:t>
      </w:r>
      <w:r>
        <w:rPr>
          <w:rFonts w:hint="eastAsia" w:asciiTheme="majorEastAsia" w:hAnsiTheme="majorEastAsia" w:eastAsiaTheme="majorEastAsia" w:cstheme="majorEastAsia"/>
          <w:b w:val="0"/>
          <w:bCs w:val="0"/>
          <w:color w:val="auto"/>
          <w:sz w:val="20"/>
          <w:szCs w:val="20"/>
          <w:highlight w:val="none"/>
          <w:lang w:val="en-US" w:eastAsia="zh-CN"/>
        </w:rPr>
        <w:t>中</w:t>
      </w:r>
      <w:r>
        <w:rPr>
          <w:rFonts w:hint="eastAsia" w:asciiTheme="majorEastAsia" w:hAnsiTheme="majorEastAsia" w:eastAsiaTheme="majorEastAsia" w:cstheme="majorEastAsia"/>
          <w:b w:val="0"/>
          <w:bCs w:val="0"/>
          <w:color w:val="auto"/>
          <w:sz w:val="20"/>
          <w:szCs w:val="20"/>
          <w:highlight w:val="none"/>
          <w:lang w:eastAsia="zh-CN"/>
        </w:rPr>
        <w:t>标人。若遇特殊情况须延后购买的，中标人应提早向招标人书面申请并经招标人同意后方可延期。</w:t>
      </w:r>
    </w:p>
    <w:p w14:paraId="037056F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b/>
          <w:bCs/>
          <w:color w:val="auto"/>
          <w:kern w:val="2"/>
          <w:sz w:val="20"/>
          <w:szCs w:val="20"/>
          <w:highlight w:val="none"/>
          <w:lang w:val="en-US" w:eastAsia="zh-CN" w:bidi="ar-SA"/>
        </w:rPr>
        <w:t>（十三）</w:t>
      </w:r>
      <w:r>
        <w:rPr>
          <w:rFonts w:hint="eastAsia" w:asciiTheme="majorEastAsia" w:hAnsiTheme="majorEastAsia" w:eastAsiaTheme="majorEastAsia" w:cstheme="majorEastAsia"/>
          <w:b/>
          <w:bCs/>
          <w:color w:val="auto"/>
          <w:sz w:val="20"/>
          <w:szCs w:val="20"/>
          <w:highlight w:val="none"/>
          <w:lang w:val="en-US" w:eastAsia="zh-CN"/>
        </w:rPr>
        <w:t>履约保证金</w:t>
      </w:r>
    </w:p>
    <w:p w14:paraId="23F72A5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outlineLvl w:val="1"/>
        <w:rPr>
          <w:rFonts w:hint="eastAsia" w:asciiTheme="majorEastAsia" w:hAnsiTheme="majorEastAsia" w:eastAsiaTheme="majorEastAsia" w:cstheme="majorEastAsia"/>
          <w:b w:val="0"/>
          <w:bCs w:val="0"/>
          <w:color w:val="auto"/>
          <w:sz w:val="20"/>
          <w:szCs w:val="20"/>
          <w:highlight w:val="none"/>
          <w:lang w:eastAsia="zh-CN"/>
        </w:rPr>
      </w:pPr>
      <w:r>
        <w:rPr>
          <w:rFonts w:hint="eastAsia" w:asciiTheme="majorEastAsia" w:hAnsiTheme="majorEastAsia" w:eastAsiaTheme="majorEastAsia" w:cstheme="majorEastAsia"/>
          <w:b w:val="0"/>
          <w:bCs w:val="0"/>
          <w:color w:val="auto"/>
          <w:sz w:val="20"/>
          <w:szCs w:val="20"/>
          <w:highlight w:val="none"/>
          <w:lang w:val="en-US" w:eastAsia="zh-CN"/>
        </w:rPr>
        <w:t>中标人中标后需30个工作日内，交履约保证金10万元整，待合同结束后退回，如期间有问题按照合同进行扣罚。</w:t>
      </w:r>
    </w:p>
    <w:p w14:paraId="06BAB063">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lang w:eastAsia="zh-CN"/>
        </w:rPr>
      </w:pPr>
      <w:r>
        <w:rPr>
          <w:rFonts w:hint="eastAsia" w:asciiTheme="majorEastAsia" w:hAnsiTheme="majorEastAsia" w:eastAsiaTheme="majorEastAsia" w:cstheme="majorEastAsia"/>
          <w:b/>
          <w:bCs/>
          <w:color w:val="auto"/>
          <w:sz w:val="20"/>
          <w:szCs w:val="20"/>
          <w:highlight w:val="none"/>
          <w:lang w:eastAsia="zh-CN"/>
        </w:rPr>
        <w:t>（</w:t>
      </w:r>
      <w:r>
        <w:rPr>
          <w:rFonts w:hint="eastAsia" w:asciiTheme="majorEastAsia" w:hAnsiTheme="majorEastAsia" w:eastAsiaTheme="majorEastAsia" w:cstheme="majorEastAsia"/>
          <w:b/>
          <w:bCs/>
          <w:color w:val="auto"/>
          <w:sz w:val="20"/>
          <w:szCs w:val="20"/>
          <w:highlight w:val="none"/>
          <w:lang w:val="en-US" w:eastAsia="zh-CN"/>
        </w:rPr>
        <w:t>十四</w:t>
      </w:r>
      <w:r>
        <w:rPr>
          <w:rFonts w:hint="eastAsia" w:asciiTheme="majorEastAsia" w:hAnsiTheme="majorEastAsia" w:eastAsiaTheme="majorEastAsia" w:cstheme="majorEastAsia"/>
          <w:b/>
          <w:bCs/>
          <w:color w:val="auto"/>
          <w:sz w:val="20"/>
          <w:szCs w:val="20"/>
          <w:highlight w:val="none"/>
          <w:lang w:eastAsia="zh-CN"/>
        </w:rPr>
        <w:t>）监督管理</w:t>
      </w:r>
    </w:p>
    <w:p w14:paraId="4F32D71B">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outlineLvl w:val="1"/>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积极配合</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的监督管理工作，接受各有关部门和病患和家属组织的对原材料采购、生产流程、消毒保洁、饭菜价格及质量、服务规范等方面的全面监控，接受上级卫生部门的抽检要求和</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的送检要求（</w:t>
      </w:r>
      <w:r>
        <w:rPr>
          <w:rFonts w:hint="eastAsia" w:asciiTheme="majorEastAsia" w:hAnsiTheme="majorEastAsia" w:eastAsiaTheme="majorEastAsia" w:cstheme="majorEastAsia"/>
          <w:b w:val="0"/>
          <w:bCs w:val="0"/>
          <w:color w:val="auto"/>
          <w:sz w:val="20"/>
          <w:szCs w:val="20"/>
          <w:highlight w:val="none"/>
          <w:lang w:val="en-US" w:eastAsia="zh-CN"/>
        </w:rPr>
        <w:t>包括但不限于</w:t>
      </w:r>
      <w:r>
        <w:rPr>
          <w:rFonts w:hint="eastAsia" w:asciiTheme="majorEastAsia" w:hAnsiTheme="majorEastAsia" w:eastAsiaTheme="majorEastAsia" w:cstheme="majorEastAsia"/>
          <w:b w:val="0"/>
          <w:bCs w:val="0"/>
          <w:color w:val="auto"/>
          <w:sz w:val="20"/>
          <w:szCs w:val="20"/>
          <w:highlight w:val="none"/>
        </w:rPr>
        <w:t>餐具每年随机抽样</w:t>
      </w:r>
      <w:r>
        <w:rPr>
          <w:rFonts w:hint="eastAsia" w:asciiTheme="majorEastAsia" w:hAnsiTheme="majorEastAsia" w:eastAsiaTheme="majorEastAsia" w:cstheme="majorEastAsia"/>
          <w:b w:val="0"/>
          <w:bCs w:val="0"/>
          <w:color w:val="auto"/>
          <w:sz w:val="20"/>
          <w:szCs w:val="20"/>
          <w:highlight w:val="none"/>
          <w:lang w:val="en-US" w:eastAsia="zh-CN"/>
        </w:rPr>
        <w:t>送国家认可的有资质第三方检测，</w:t>
      </w:r>
      <w:r>
        <w:rPr>
          <w:rFonts w:hint="eastAsia" w:asciiTheme="majorEastAsia" w:hAnsiTheme="majorEastAsia" w:eastAsiaTheme="majorEastAsia" w:cstheme="majorEastAsia"/>
          <w:b w:val="0"/>
          <w:bCs w:val="0"/>
          <w:color w:val="auto"/>
          <w:sz w:val="20"/>
          <w:szCs w:val="20"/>
          <w:highlight w:val="none"/>
        </w:rPr>
        <w:t>送检两次，送检过程中发生的一切费用由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承担），</w:t>
      </w:r>
      <w:r>
        <w:rPr>
          <w:rFonts w:hint="eastAsia" w:asciiTheme="majorEastAsia" w:hAnsiTheme="majorEastAsia" w:eastAsiaTheme="majorEastAsia" w:cstheme="majorEastAsia"/>
          <w:b w:val="0"/>
          <w:bCs w:val="0"/>
          <w:color w:val="auto"/>
          <w:sz w:val="20"/>
          <w:szCs w:val="20"/>
          <w:highlight w:val="none"/>
          <w:lang w:val="en-US" w:eastAsia="zh-CN"/>
        </w:rPr>
        <w:t>中标人</w:t>
      </w:r>
      <w:r>
        <w:rPr>
          <w:rFonts w:hint="eastAsia" w:asciiTheme="majorEastAsia" w:hAnsiTheme="majorEastAsia" w:eastAsiaTheme="majorEastAsia" w:cstheme="majorEastAsia"/>
          <w:b w:val="0"/>
          <w:bCs w:val="0"/>
          <w:color w:val="auto"/>
          <w:sz w:val="20"/>
          <w:szCs w:val="20"/>
          <w:highlight w:val="none"/>
        </w:rPr>
        <w:t>对检验结果负责。</w:t>
      </w:r>
    </w:p>
    <w:p w14:paraId="1B7DD129">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b/>
          <w:bCs/>
          <w:color w:val="auto"/>
          <w:sz w:val="20"/>
          <w:szCs w:val="20"/>
          <w:highlight w:val="none"/>
          <w:lang w:val="en-US" w:eastAsia="zh-CN"/>
        </w:rPr>
        <w:t>（十五）名誉保障</w:t>
      </w:r>
    </w:p>
    <w:p w14:paraId="417E8BE6">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任何时候中标人均不得使用“中山大学孙逸仙纪念医院深汕中心医院”或招标人的任何部门的名义对外发生任何业务关系。中标人对其开展的一切业务独立承担相关法律责任，本项目服务期内中标人的所有商业纠纷、劳动纠纷等均与招标人无关。</w:t>
      </w:r>
    </w:p>
    <w:p w14:paraId="4E0EAA56">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rPr>
      </w:pPr>
      <w:r>
        <w:rPr>
          <w:rFonts w:hint="eastAsia" w:asciiTheme="majorEastAsia" w:hAnsiTheme="majorEastAsia" w:eastAsiaTheme="majorEastAsia" w:cstheme="majorEastAsia"/>
          <w:b/>
          <w:bCs/>
          <w:color w:val="auto"/>
          <w:sz w:val="20"/>
          <w:szCs w:val="20"/>
          <w:highlight w:val="none"/>
          <w:lang w:val="en-US" w:eastAsia="zh-CN"/>
        </w:rPr>
        <w:t>（十六）</w:t>
      </w:r>
      <w:r>
        <w:rPr>
          <w:rFonts w:hint="eastAsia" w:asciiTheme="majorEastAsia" w:hAnsiTheme="majorEastAsia" w:eastAsiaTheme="majorEastAsia" w:cstheme="majorEastAsia"/>
          <w:b/>
          <w:bCs/>
          <w:color w:val="auto"/>
          <w:sz w:val="20"/>
          <w:szCs w:val="20"/>
          <w:highlight w:val="none"/>
        </w:rPr>
        <w:t>以下费用由</w:t>
      </w:r>
      <w:r>
        <w:rPr>
          <w:rFonts w:hint="eastAsia" w:asciiTheme="majorEastAsia" w:hAnsiTheme="majorEastAsia" w:eastAsiaTheme="majorEastAsia" w:cstheme="majorEastAsia"/>
          <w:b/>
          <w:bCs/>
          <w:color w:val="auto"/>
          <w:sz w:val="20"/>
          <w:szCs w:val="20"/>
          <w:highlight w:val="none"/>
          <w:lang w:eastAsia="zh-CN"/>
        </w:rPr>
        <w:t>中标人</w:t>
      </w:r>
      <w:r>
        <w:rPr>
          <w:rFonts w:hint="eastAsia" w:asciiTheme="majorEastAsia" w:hAnsiTheme="majorEastAsia" w:eastAsiaTheme="majorEastAsia" w:cstheme="majorEastAsia"/>
          <w:b/>
          <w:bCs/>
          <w:color w:val="auto"/>
          <w:sz w:val="20"/>
          <w:szCs w:val="20"/>
          <w:highlight w:val="none"/>
        </w:rPr>
        <w:t>承担：</w:t>
      </w:r>
    </w:p>
    <w:p w14:paraId="3236ACD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1</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食材（如肉类、家禽、水产、粮油、调料、副食等烹饪所需食材）、一次性餐盒、餐具、机用清洗液、洗洁精、保鲜膜（袋）、纸杯、纸巾等。</w:t>
      </w:r>
    </w:p>
    <w:p w14:paraId="7D8859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聘请驻场职工的薪资、住宿费、培训费、健康证、工作服饰购置费、劳保用品及其他福利津贴待遇等费用。</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对食堂的经营管理、职工工资发放、社保福利、工伤保险等必须严格执行国家、省、市的劳动法规；保持安全团结，防止矛盾激发引起的投毒事故发生；确保职工的权益不受侵犯。在经营过程中与职工发生的一切纠纷均与</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无关。</w:t>
      </w:r>
    </w:p>
    <w:p w14:paraId="02BFE63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厨房所需的消耗品，如：文具、纸张、帽子、口罩、围裙、手套、水鞋、百洁布、垃圾袋、砧板、刀具、刀架、剪刀、笊篱、锅铲、滤油器、擀面棍、食物夹、量杯、裱花嘴、裱花袋、网纹胶管、清洁用具、洗菜装菜篮子、锅铲、蒸笼、蒸笼盖、蒸笼垫、刀架等相关厨房所需消耗品。</w:t>
      </w:r>
    </w:p>
    <w:p w14:paraId="0650966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4</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企业经营所需的相关设备、办公用品与耗材，如：电脑、路由器、打印机、墨盒、文具、纸张、宣传所需软硬设施、社保资料、入职资料等。</w:t>
      </w:r>
    </w:p>
    <w:p w14:paraId="54EB2F0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5</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举办饮食文化活动所需的额外人力资源、装饰与宣传的相关设计与物料购置。</w:t>
      </w:r>
    </w:p>
    <w:p w14:paraId="32E39EE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6</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提供给</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使用的设备（</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现场实际为准），维修保养费用由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承担。</w:t>
      </w:r>
    </w:p>
    <w:p w14:paraId="689B651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7</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中标人需配合医院完成医院订餐收费系统与医院统一门户对接和后勤信息化系统的建设</w:t>
      </w:r>
      <w:r>
        <w:rPr>
          <w:rFonts w:hint="eastAsia" w:asciiTheme="majorEastAsia" w:hAnsiTheme="majorEastAsia" w:eastAsiaTheme="majorEastAsia" w:cstheme="majorEastAsia"/>
          <w:b w:val="0"/>
          <w:bCs w:val="0"/>
          <w:color w:val="auto"/>
          <w:sz w:val="20"/>
          <w:szCs w:val="20"/>
          <w:highlight w:val="none"/>
        </w:rPr>
        <w:t>。</w:t>
      </w:r>
    </w:p>
    <w:p w14:paraId="2D9820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8</w:t>
      </w: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rPr>
        <w:t>所有食材的配送由</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自行解决，</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不支付任何费用。</w:t>
      </w:r>
    </w:p>
    <w:p w14:paraId="1F112B7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9）中标人根据二期厨房实际需要自行配置设备设施，投入费用由中标人承担。</w:t>
      </w:r>
    </w:p>
    <w:p w14:paraId="735D40F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sz w:val="20"/>
          <w:szCs w:val="20"/>
          <w:highlight w:val="none"/>
          <w:lang w:val="en-US" w:eastAsia="zh-CN"/>
        </w:rPr>
      </w:pPr>
      <w:r>
        <w:rPr>
          <w:rFonts w:hint="eastAsia" w:asciiTheme="majorEastAsia" w:hAnsiTheme="majorEastAsia" w:eastAsiaTheme="majorEastAsia" w:cstheme="majorEastAsia"/>
          <w:sz w:val="20"/>
          <w:szCs w:val="20"/>
          <w:highlight w:val="none"/>
          <w:lang w:eastAsia="zh-CN"/>
        </w:rPr>
        <w:t>★（</w:t>
      </w:r>
      <w:r>
        <w:rPr>
          <w:rFonts w:hint="eastAsia" w:asciiTheme="majorEastAsia" w:hAnsiTheme="majorEastAsia" w:eastAsiaTheme="majorEastAsia" w:cstheme="majorEastAsia"/>
          <w:sz w:val="20"/>
          <w:szCs w:val="20"/>
          <w:highlight w:val="none"/>
          <w:lang w:val="en-US" w:eastAsia="zh-CN"/>
        </w:rPr>
        <w:t>10</w:t>
      </w:r>
      <w:r>
        <w:rPr>
          <w:rFonts w:hint="eastAsia" w:asciiTheme="majorEastAsia" w:hAnsiTheme="majorEastAsia" w:eastAsiaTheme="majorEastAsia" w:cstheme="majorEastAsia"/>
          <w:sz w:val="20"/>
          <w:szCs w:val="20"/>
          <w:highlight w:val="none"/>
          <w:lang w:eastAsia="zh-CN"/>
        </w:rPr>
        <w:t>）</w:t>
      </w:r>
      <w:r>
        <w:rPr>
          <w:rFonts w:hint="eastAsia" w:asciiTheme="majorEastAsia" w:hAnsiTheme="majorEastAsia" w:eastAsiaTheme="majorEastAsia" w:cstheme="majorEastAsia"/>
          <w:sz w:val="20"/>
          <w:szCs w:val="20"/>
          <w:highlight w:val="none"/>
          <w:lang w:val="en-US" w:eastAsia="zh-CN"/>
        </w:rPr>
        <w:t>本项目二期后勤信息化建设（含软件系统开发、升级、维保以及硬件设备），由中标人负责提供，具体金额、数量、及参数要求需与招标人商议。上述软硬件系统费用已包含在合同中，招标人不再另行支付</w:t>
      </w:r>
      <w:r>
        <w:rPr>
          <w:rFonts w:hint="eastAsia" w:asciiTheme="majorEastAsia" w:hAnsiTheme="majorEastAsia" w:eastAsiaTheme="majorEastAsia" w:cstheme="majorEastAsia"/>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（提供承诺函，格式自拟）</w:t>
      </w:r>
    </w:p>
    <w:p w14:paraId="68DA5BA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600" w:firstLineChars="300"/>
        <w:jc w:val="both"/>
        <w:textAlignment w:val="auto"/>
        <w:rPr>
          <w:rFonts w:hint="eastAsia" w:asciiTheme="majorEastAsia" w:hAnsiTheme="majorEastAsia" w:eastAsiaTheme="majorEastAsia" w:cstheme="majorEastAsia"/>
          <w:sz w:val="20"/>
          <w:szCs w:val="20"/>
          <w:highlight w:val="none"/>
          <w:lang w:val="en-US" w:eastAsia="zh-CN"/>
        </w:rPr>
      </w:pPr>
      <w:r>
        <w:rPr>
          <w:rFonts w:hint="eastAsia" w:asciiTheme="majorEastAsia" w:hAnsiTheme="majorEastAsia" w:eastAsiaTheme="majorEastAsia" w:cstheme="majorEastAsia"/>
          <w:sz w:val="20"/>
          <w:szCs w:val="20"/>
          <w:highlight w:val="none"/>
          <w:lang w:val="en-US" w:eastAsia="zh-CN"/>
        </w:rPr>
        <w:t>（11）中标人负责经营所产生的二次装修费用及设备购置费用，包括但不限于新建、拆改、垃圾清运、验收等</w:t>
      </w:r>
    </w:p>
    <w:p w14:paraId="6EA44E9B">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b/>
          <w:bCs/>
          <w:color w:val="auto"/>
          <w:sz w:val="20"/>
          <w:szCs w:val="20"/>
          <w:highlight w:val="none"/>
          <w:lang w:val="en-US" w:eastAsia="zh-CN"/>
        </w:rPr>
        <w:t>（十七）管理费</w:t>
      </w:r>
    </w:p>
    <w:p w14:paraId="2DE1BAE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按实结算</w:t>
      </w:r>
    </w:p>
    <w:p w14:paraId="12D1813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1、本项目中标人需向招标人缴纳管理费。管理费金额是按照医院使用面积约2852平方米报价不低于15元/m²/月。使用面积根据医院实际情况增多或减少，投标人自行在报价中考虑其中所产生的费用及风险，投标人的投标报价若不满足限价要求，投标无效。</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403"/>
        <w:gridCol w:w="1687"/>
        <w:gridCol w:w="2744"/>
        <w:gridCol w:w="1725"/>
      </w:tblGrid>
      <w:tr w14:paraId="461A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17" w:type="dxa"/>
            <w:gridSpan w:val="5"/>
            <w:vAlign w:val="center"/>
          </w:tcPr>
          <w:p w14:paraId="335717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00" w:firstLineChars="200"/>
              <w:jc w:val="center"/>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食堂按面积收取管理费方案报价（元/月）</w:t>
            </w:r>
          </w:p>
        </w:tc>
      </w:tr>
      <w:tr w14:paraId="3A99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58" w:type="dxa"/>
            <w:vAlign w:val="center"/>
          </w:tcPr>
          <w:p w14:paraId="524EB3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序号</w:t>
            </w:r>
          </w:p>
        </w:tc>
        <w:tc>
          <w:tcPr>
            <w:tcW w:w="1403" w:type="dxa"/>
            <w:vAlign w:val="center"/>
          </w:tcPr>
          <w:p w14:paraId="6F4DE7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承包范围</w:t>
            </w:r>
          </w:p>
        </w:tc>
        <w:tc>
          <w:tcPr>
            <w:tcW w:w="1687" w:type="dxa"/>
            <w:vAlign w:val="center"/>
          </w:tcPr>
          <w:p w14:paraId="043133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使用面积(m²)</w:t>
            </w:r>
          </w:p>
        </w:tc>
        <w:tc>
          <w:tcPr>
            <w:tcW w:w="2744" w:type="dxa"/>
            <w:vAlign w:val="center"/>
          </w:tcPr>
          <w:p w14:paraId="54F9B0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投标人填写元/m²(≥15元)</w:t>
            </w:r>
          </w:p>
        </w:tc>
        <w:tc>
          <w:tcPr>
            <w:tcW w:w="1725" w:type="dxa"/>
            <w:vAlign w:val="center"/>
          </w:tcPr>
          <w:p w14:paraId="42F3AE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合计</w:t>
            </w:r>
          </w:p>
        </w:tc>
      </w:tr>
      <w:tr w14:paraId="6C8B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58" w:type="dxa"/>
            <w:vAlign w:val="center"/>
          </w:tcPr>
          <w:p w14:paraId="7F80B7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租赁范围</w:t>
            </w:r>
          </w:p>
        </w:tc>
        <w:tc>
          <w:tcPr>
            <w:tcW w:w="1403" w:type="dxa"/>
            <w:vAlign w:val="center"/>
          </w:tcPr>
          <w:p w14:paraId="7BF706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二期食堂+</w:t>
            </w:r>
          </w:p>
          <w:p w14:paraId="1674DF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一期1F食堂</w:t>
            </w:r>
          </w:p>
        </w:tc>
        <w:tc>
          <w:tcPr>
            <w:tcW w:w="1687" w:type="dxa"/>
            <w:vAlign w:val="center"/>
          </w:tcPr>
          <w:p w14:paraId="51911A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r>
              <w:rPr>
                <w:rFonts w:hint="eastAsia" w:asciiTheme="majorEastAsia" w:hAnsiTheme="majorEastAsia" w:eastAsiaTheme="majorEastAsia" w:cstheme="majorEastAsia"/>
                <w:b w:val="0"/>
                <w:bCs w:val="0"/>
                <w:color w:val="auto"/>
                <w:sz w:val="20"/>
                <w:szCs w:val="20"/>
                <w:highlight w:val="none"/>
                <w:vertAlign w:val="baseline"/>
                <w:lang w:val="en-US" w:eastAsia="zh-CN"/>
              </w:rPr>
              <w:t>2852</w:t>
            </w:r>
          </w:p>
        </w:tc>
        <w:tc>
          <w:tcPr>
            <w:tcW w:w="2744" w:type="dxa"/>
            <w:vAlign w:val="center"/>
          </w:tcPr>
          <w:p w14:paraId="595BB1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00" w:firstLineChars="200"/>
              <w:jc w:val="center"/>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p>
        </w:tc>
        <w:tc>
          <w:tcPr>
            <w:tcW w:w="1725" w:type="dxa"/>
            <w:vAlign w:val="center"/>
          </w:tcPr>
          <w:p w14:paraId="435FFF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00" w:firstLineChars="200"/>
              <w:jc w:val="center"/>
              <w:textAlignment w:val="auto"/>
              <w:rPr>
                <w:rFonts w:hint="eastAsia" w:asciiTheme="majorEastAsia" w:hAnsiTheme="majorEastAsia" w:eastAsiaTheme="majorEastAsia" w:cstheme="majorEastAsia"/>
                <w:b w:val="0"/>
                <w:bCs w:val="0"/>
                <w:color w:val="auto"/>
                <w:sz w:val="20"/>
                <w:szCs w:val="20"/>
                <w:highlight w:val="none"/>
                <w:vertAlign w:val="baseline"/>
                <w:lang w:val="en-US" w:eastAsia="zh-CN"/>
              </w:rPr>
            </w:pPr>
          </w:p>
        </w:tc>
      </w:tr>
    </w:tbl>
    <w:p w14:paraId="1703427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2、招标人按照中标人实际缴纳管理费开具发票。</w:t>
      </w:r>
    </w:p>
    <w:p w14:paraId="5A9C8651">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3、每月招标人根据中标人服务情况按评分表进行评分，每季度统计一次季度内月平均分，并按规则计算违约金金额（如有）。日常违约金（如有）与季度评分违约金（如有）与管理费一同缴纳。</w:t>
      </w:r>
    </w:p>
    <w:p w14:paraId="4DD1DCF4">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lang w:eastAsia="zh-CN"/>
        </w:rPr>
      </w:pPr>
      <w:r>
        <w:rPr>
          <w:rFonts w:hint="eastAsia" w:asciiTheme="majorEastAsia" w:hAnsiTheme="majorEastAsia" w:eastAsiaTheme="majorEastAsia" w:cstheme="majorEastAsia"/>
          <w:b/>
          <w:bCs/>
          <w:color w:val="auto"/>
          <w:sz w:val="20"/>
          <w:szCs w:val="20"/>
          <w:highlight w:val="none"/>
          <w:lang w:val="en-US" w:eastAsia="zh-CN"/>
        </w:rPr>
        <w:t>（十八）</w:t>
      </w:r>
      <w:r>
        <w:rPr>
          <w:rFonts w:hint="eastAsia" w:asciiTheme="majorEastAsia" w:hAnsiTheme="majorEastAsia" w:eastAsiaTheme="majorEastAsia" w:cstheme="majorEastAsia"/>
          <w:b/>
          <w:bCs/>
          <w:color w:val="auto"/>
          <w:sz w:val="20"/>
          <w:szCs w:val="20"/>
          <w:highlight w:val="none"/>
        </w:rPr>
        <w:t>餐费结算</w:t>
      </w:r>
    </w:p>
    <w:p w14:paraId="0A2B60D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1）中标人每月5日前报送上月职工就餐情况（包括使用招标人餐卡的招标人职工、第三方人员早中晚用餐及接待餐、加时餐、手术室餐、节日活动餐等），经招标人相关部门审核。中标人需与招标人各个科室签认后再与后勤科进行汇总签认。双方以最终签认的当月结算单据为结算依据。职工用餐金额收费标准不受职工支付方式（包括但不限于使用实体饭卡或虚拟卡支付）的影响。招标人与中标人双方每月根据职工IC卡消费金额及接待餐、过时餐、手术室餐、节日活动餐等的供应数量及已签认的当月结算单据，结合职工就餐满意度调查情况、饭堂服务月度考核结果、日常监督处罚情况进行结算。双方确认无误后，招标人自收到中标人开具的合法正确的发票并完成院内审核流程后的5个工作日内办理费用结算手续。</w:t>
      </w:r>
    </w:p>
    <w:p w14:paraId="266E2AE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（2）病人及其家属的餐费由中标人通过订餐系统直接收取。</w:t>
      </w:r>
    </w:p>
    <w:p w14:paraId="5E09A103">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outlineLvl w:val="1"/>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b/>
          <w:bCs/>
          <w:color w:val="auto"/>
          <w:sz w:val="20"/>
          <w:szCs w:val="20"/>
          <w:highlight w:val="none"/>
          <w:lang w:val="en-US" w:eastAsia="zh-CN"/>
        </w:rPr>
        <w:t>（十九）违约责任</w:t>
      </w:r>
    </w:p>
    <w:p w14:paraId="62487438">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在经营期内出现下列情况之一者，</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有权取消其经营资格，责令其限期退出，扣罚</w:t>
      </w:r>
      <w:r>
        <w:rPr>
          <w:rFonts w:hint="eastAsia" w:asciiTheme="majorEastAsia" w:hAnsiTheme="majorEastAsia" w:eastAsiaTheme="majorEastAsia" w:cstheme="majorEastAsia"/>
          <w:b w:val="0"/>
          <w:bCs w:val="0"/>
          <w:color w:val="auto"/>
          <w:sz w:val="20"/>
          <w:szCs w:val="20"/>
          <w:highlight w:val="none"/>
          <w:lang w:val="en-US" w:eastAsia="zh-CN"/>
        </w:rPr>
        <w:t>全部履约</w:t>
      </w:r>
      <w:r>
        <w:rPr>
          <w:rFonts w:hint="eastAsia" w:asciiTheme="majorEastAsia" w:hAnsiTheme="majorEastAsia" w:eastAsiaTheme="majorEastAsia" w:cstheme="majorEastAsia"/>
          <w:b w:val="0"/>
          <w:bCs w:val="0"/>
          <w:color w:val="auto"/>
          <w:sz w:val="20"/>
          <w:szCs w:val="20"/>
          <w:highlight w:val="none"/>
        </w:rPr>
        <w:t>保证金。</w:t>
      </w:r>
    </w:p>
    <w:p w14:paraId="4B90114F">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eastAsia="zh-CN"/>
        </w:rPr>
        <w:t>（1）</w:t>
      </w:r>
      <w:r>
        <w:rPr>
          <w:rFonts w:hint="eastAsia" w:asciiTheme="majorEastAsia" w:hAnsiTheme="majorEastAsia" w:eastAsiaTheme="majorEastAsia" w:cstheme="majorEastAsia"/>
          <w:b w:val="0"/>
          <w:bCs w:val="0"/>
          <w:color w:val="auto"/>
          <w:sz w:val="20"/>
          <w:szCs w:val="20"/>
          <w:highlight w:val="none"/>
          <w:lang w:val="en-US" w:eastAsia="zh-CN"/>
        </w:rPr>
        <w:t>出现</w:t>
      </w:r>
      <w:r>
        <w:rPr>
          <w:rFonts w:hint="eastAsia" w:asciiTheme="majorEastAsia" w:hAnsiTheme="majorEastAsia" w:eastAsiaTheme="majorEastAsia" w:cstheme="majorEastAsia"/>
          <w:b w:val="0"/>
          <w:bCs w:val="0"/>
          <w:color w:val="auto"/>
          <w:sz w:val="20"/>
          <w:szCs w:val="20"/>
          <w:highlight w:val="none"/>
          <w:lang w:eastAsia="zh-CN"/>
        </w:rPr>
        <w:t>落实食品安全主体责任不到位并多次发生食品安全事故（件）、发生重大食品安全事故等情形</w:t>
      </w:r>
      <w:r>
        <w:rPr>
          <w:rFonts w:hint="eastAsia" w:asciiTheme="majorEastAsia" w:hAnsiTheme="majorEastAsia" w:eastAsiaTheme="majorEastAsia" w:cstheme="majorEastAsia"/>
          <w:b w:val="0"/>
          <w:bCs w:val="0"/>
          <w:color w:val="auto"/>
          <w:sz w:val="20"/>
          <w:szCs w:val="20"/>
          <w:highlight w:val="none"/>
          <w:lang w:val="en-US" w:eastAsia="zh-CN"/>
        </w:rPr>
        <w:t>的；</w:t>
      </w:r>
    </w:p>
    <w:p w14:paraId="2581250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lang w:eastAsia="zh-CN"/>
        </w:rPr>
        <w:t>（</w:t>
      </w:r>
      <w:r>
        <w:rPr>
          <w:rFonts w:hint="eastAsia" w:asciiTheme="majorEastAsia" w:hAnsiTheme="majorEastAsia" w:eastAsiaTheme="majorEastAsia" w:cstheme="majorEastAsia"/>
          <w:b w:val="0"/>
          <w:bCs w:val="0"/>
          <w:color w:val="auto"/>
          <w:sz w:val="20"/>
          <w:szCs w:val="20"/>
          <w:highlight w:val="none"/>
          <w:lang w:val="en-US" w:eastAsia="zh-CN"/>
        </w:rPr>
        <w:t>2）</w:t>
      </w:r>
      <w:r>
        <w:rPr>
          <w:rFonts w:hint="eastAsia" w:asciiTheme="majorEastAsia" w:hAnsiTheme="majorEastAsia" w:eastAsiaTheme="majorEastAsia" w:cstheme="majorEastAsia"/>
          <w:b w:val="0"/>
          <w:bCs w:val="0"/>
          <w:color w:val="auto"/>
          <w:sz w:val="20"/>
          <w:szCs w:val="20"/>
          <w:highlight w:val="none"/>
        </w:rPr>
        <w:t>经营期间发生安全生产责任事故，且造成严重后果的；</w:t>
      </w:r>
    </w:p>
    <w:p w14:paraId="72E540EE">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3</w:t>
      </w:r>
      <w:r>
        <w:rPr>
          <w:rFonts w:hint="eastAsia" w:asciiTheme="majorEastAsia" w:hAnsiTheme="majorEastAsia" w:eastAsiaTheme="majorEastAsia" w:cstheme="majorEastAsia"/>
          <w:b w:val="0"/>
          <w:bCs w:val="0"/>
          <w:color w:val="auto"/>
          <w:sz w:val="20"/>
          <w:szCs w:val="20"/>
          <w:highlight w:val="none"/>
        </w:rPr>
        <w:t>）因食品价格、质量、卫生和服务态度等而引发罢餐、静坐、游行等群发事件，影响恶劣的；</w:t>
      </w:r>
    </w:p>
    <w:p w14:paraId="26F4D2AC">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4</w:t>
      </w:r>
      <w:r>
        <w:rPr>
          <w:rFonts w:hint="eastAsia" w:asciiTheme="majorEastAsia" w:hAnsiTheme="majorEastAsia" w:eastAsiaTheme="majorEastAsia" w:cstheme="majorEastAsia"/>
          <w:b w:val="0"/>
          <w:bCs w:val="0"/>
          <w:color w:val="auto"/>
          <w:sz w:val="20"/>
          <w:szCs w:val="20"/>
          <w:highlight w:val="none"/>
        </w:rPr>
        <w:t>）因</w:t>
      </w:r>
      <w:r>
        <w:rPr>
          <w:rFonts w:hint="eastAsia" w:asciiTheme="majorEastAsia" w:hAnsiTheme="majorEastAsia" w:eastAsiaTheme="majorEastAsia" w:cstheme="majorEastAsia"/>
          <w:b w:val="0"/>
          <w:bCs w:val="0"/>
          <w:color w:val="auto"/>
          <w:sz w:val="20"/>
          <w:szCs w:val="20"/>
          <w:highlight w:val="none"/>
          <w:lang w:eastAsia="zh-CN"/>
        </w:rPr>
        <w:t>中标人</w:t>
      </w:r>
      <w:r>
        <w:rPr>
          <w:rFonts w:hint="eastAsia" w:asciiTheme="majorEastAsia" w:hAnsiTheme="majorEastAsia" w:eastAsiaTheme="majorEastAsia" w:cstheme="majorEastAsia"/>
          <w:b w:val="0"/>
          <w:bCs w:val="0"/>
          <w:color w:val="auto"/>
          <w:sz w:val="20"/>
          <w:szCs w:val="20"/>
          <w:highlight w:val="none"/>
        </w:rPr>
        <w:t>过失导致一方或双方被行政处分或违反法律法规导致严重后果的；</w:t>
      </w:r>
    </w:p>
    <w:p w14:paraId="45CF63AD">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5</w:t>
      </w:r>
      <w:r>
        <w:rPr>
          <w:rFonts w:hint="eastAsia" w:asciiTheme="majorEastAsia" w:hAnsiTheme="majorEastAsia" w:eastAsiaTheme="majorEastAsia" w:cstheme="majorEastAsia"/>
          <w:b w:val="0"/>
          <w:bCs w:val="0"/>
          <w:color w:val="auto"/>
          <w:sz w:val="20"/>
          <w:szCs w:val="20"/>
          <w:highlight w:val="none"/>
        </w:rPr>
        <w:t>）严重违反国家、省市《消防安全条例》等的有关规定，造成严重后果，或者未能限期整改或整改后依然违规的；</w:t>
      </w:r>
    </w:p>
    <w:p w14:paraId="4395322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rPr>
      </w:pPr>
      <w:r>
        <w:rPr>
          <w:rFonts w:hint="eastAsia" w:asciiTheme="majorEastAsia" w:hAnsiTheme="majorEastAsia" w:eastAsiaTheme="majorEastAsia" w:cstheme="majorEastAsia"/>
          <w:b w:val="0"/>
          <w:bCs w:val="0"/>
          <w:color w:val="auto"/>
          <w:sz w:val="20"/>
          <w:szCs w:val="20"/>
          <w:highlight w:val="none"/>
        </w:rPr>
        <w:t>（</w:t>
      </w:r>
      <w:r>
        <w:rPr>
          <w:rFonts w:hint="eastAsia" w:asciiTheme="majorEastAsia" w:hAnsiTheme="majorEastAsia" w:eastAsiaTheme="majorEastAsia" w:cstheme="majorEastAsia"/>
          <w:b w:val="0"/>
          <w:bCs w:val="0"/>
          <w:color w:val="auto"/>
          <w:sz w:val="20"/>
          <w:szCs w:val="20"/>
          <w:highlight w:val="none"/>
          <w:lang w:val="en-US" w:eastAsia="zh-CN"/>
        </w:rPr>
        <w:t>6</w:t>
      </w:r>
      <w:r>
        <w:rPr>
          <w:rFonts w:hint="eastAsia" w:asciiTheme="majorEastAsia" w:hAnsiTheme="majorEastAsia" w:eastAsiaTheme="majorEastAsia" w:cstheme="majorEastAsia"/>
          <w:b w:val="0"/>
          <w:bCs w:val="0"/>
          <w:color w:val="auto"/>
          <w:sz w:val="20"/>
          <w:szCs w:val="20"/>
          <w:highlight w:val="none"/>
        </w:rPr>
        <w:t>）在经营过程中，存在掺杂做假、销售无证食品、未按规定经营范围经营等违规行为，经</w:t>
      </w:r>
      <w:r>
        <w:rPr>
          <w:rFonts w:hint="eastAsia" w:asciiTheme="majorEastAsia" w:hAnsiTheme="majorEastAsia" w:eastAsiaTheme="majorEastAsia" w:cstheme="majorEastAsia"/>
          <w:b w:val="0"/>
          <w:bCs w:val="0"/>
          <w:color w:val="auto"/>
          <w:sz w:val="20"/>
          <w:szCs w:val="20"/>
          <w:highlight w:val="none"/>
          <w:lang w:eastAsia="zh-CN"/>
        </w:rPr>
        <w:t>招标人</w:t>
      </w:r>
      <w:r>
        <w:rPr>
          <w:rFonts w:hint="eastAsia" w:asciiTheme="majorEastAsia" w:hAnsiTheme="majorEastAsia" w:eastAsiaTheme="majorEastAsia" w:cstheme="majorEastAsia"/>
          <w:b w:val="0"/>
          <w:bCs w:val="0"/>
          <w:color w:val="auto"/>
          <w:sz w:val="20"/>
          <w:szCs w:val="20"/>
          <w:highlight w:val="none"/>
        </w:rPr>
        <w:t>警告、要求限期整改依然再犯且情节严重的。</w:t>
      </w:r>
    </w:p>
    <w:p w14:paraId="4D98DAE8">
      <w:pPr>
        <w:keepNext w:val="0"/>
        <w:keepLines w:val="0"/>
        <w:pageBreakBefore w:val="0"/>
        <w:widowControl w:val="0"/>
        <w:kinsoku/>
        <w:wordWrap/>
        <w:overflowPunct/>
        <w:topLinePunct w:val="0"/>
        <w:autoSpaceDE/>
        <w:autoSpaceDN/>
        <w:bidi w:val="0"/>
        <w:adjustRightInd/>
        <w:snapToGrid/>
        <w:spacing w:line="300" w:lineRule="exact"/>
        <w:ind w:left="0" w:leftChars="0" w:firstLine="402" w:firstLineChars="200"/>
        <w:jc w:val="both"/>
        <w:textAlignment w:val="auto"/>
        <w:rPr>
          <w:rFonts w:hint="eastAsia" w:asciiTheme="majorEastAsia" w:hAnsiTheme="majorEastAsia" w:eastAsiaTheme="majorEastAsia" w:cstheme="majorEastAsia"/>
          <w:b/>
          <w:bCs/>
          <w:color w:val="auto"/>
          <w:sz w:val="20"/>
          <w:szCs w:val="20"/>
          <w:highlight w:val="none"/>
          <w:lang w:val="en-US" w:eastAsia="zh-CN"/>
        </w:rPr>
      </w:pPr>
      <w:r>
        <w:rPr>
          <w:rFonts w:hint="eastAsia" w:asciiTheme="majorEastAsia" w:hAnsiTheme="majorEastAsia" w:eastAsiaTheme="majorEastAsia" w:cstheme="majorEastAsia"/>
          <w:b/>
          <w:bCs/>
          <w:color w:val="auto"/>
          <w:sz w:val="20"/>
          <w:szCs w:val="20"/>
          <w:highlight w:val="none"/>
          <w:lang w:val="en-US" w:eastAsia="zh-CN"/>
        </w:rPr>
        <w:t>其他商务要求</w:t>
      </w:r>
    </w:p>
    <w:p w14:paraId="51DB1E1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1、投标人所经营的餐饮企业从2022年至今（至提交投标文件截止时间前）没有安全、消防、卫生、群体性事件等的不良记录。同时，投标人还须承诺未拖欠其食材供应商货款或员工工资。</w:t>
      </w:r>
    </w:p>
    <w:p w14:paraId="6FE8E1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中标人在招标人场地内的所有经营项目需符合相关政策文件要求和招标人单位内部的管理要求，并书面报招标人批准同意后方可经营。未经得招标人书面批准同意，不得开展其他销售业务。对于招标人认为有食品安全隐患的项目，招标人有权不予批准或随时关停。</w:t>
      </w:r>
    </w:p>
    <w:p w14:paraId="1618FF5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中标人的一切经营活动必须严格按照“优先保障用餐”的原则，不允许出现病患及家属、或者招标人认为中标人以谋利为目的进行的一些不利于服务病患及家属的活动，包括但不限于以各种手段推销与饮食无关的商品和服务，否则，将被认定为未能履行“优先保障用餐”的义务，招标人有权无条件解除合同，对中标人造成的损失由中标人自行承担。</w:t>
      </w:r>
    </w:p>
    <w:p w14:paraId="0B52693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4、除不可抗力事件外，中标人不得以任何理由擅自停止、不及时或不充足供应膳食，否则视为违反合同，招标人有权根据具体事件决定是否解除服务经营合同，并不予退还履约保证金。</w:t>
      </w:r>
    </w:p>
    <w:p w14:paraId="085CC82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5、中标人需要根据医院需求提</w:t>
      </w:r>
      <w:bookmarkStart w:id="2" w:name="OLE_LINK1"/>
      <w:r>
        <w:rPr>
          <w:rFonts w:hint="eastAsia" w:asciiTheme="majorEastAsia" w:hAnsiTheme="majorEastAsia" w:eastAsiaTheme="majorEastAsia" w:cstheme="majorEastAsia"/>
          <w:b w:val="0"/>
          <w:bCs w:val="0"/>
          <w:color w:val="auto"/>
          <w:sz w:val="20"/>
          <w:szCs w:val="20"/>
          <w:highlight w:val="none"/>
          <w:lang w:val="en-US" w:eastAsia="zh-CN"/>
        </w:rPr>
        <w:t>供一套食堂管理信息化系统</w:t>
      </w:r>
      <w:bookmarkEnd w:id="2"/>
      <w:r>
        <w:rPr>
          <w:rFonts w:hint="eastAsia" w:asciiTheme="majorEastAsia" w:hAnsiTheme="majorEastAsia" w:eastAsiaTheme="majorEastAsia" w:cstheme="majorEastAsia"/>
          <w:b w:val="0"/>
          <w:bCs w:val="0"/>
          <w:color w:val="auto"/>
          <w:sz w:val="20"/>
          <w:szCs w:val="20"/>
          <w:highlight w:val="none"/>
          <w:lang w:val="en-US" w:eastAsia="zh-CN"/>
        </w:rPr>
        <w:t>并配合与医院其他系统的对接及功能开发，费用均由中标人负责。</w:t>
      </w:r>
    </w:p>
    <w:p w14:paraId="1076156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6、撤场管理：</w:t>
      </w:r>
    </w:p>
    <w:p w14:paraId="372D5F0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（1）因中标人原因造成协议终止，中标人应在终止之日起十天内按以下（3）-（6）条款的要求做好撤场工作。</w:t>
      </w:r>
    </w:p>
    <w:p w14:paraId="180A518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（2）非中标人原因造成协议终止的，中标人应在终止之日起十五天内按以下（3）-（6）条款的要求做好撤场工作。</w:t>
      </w:r>
    </w:p>
    <w:p w14:paraId="7B85BCE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（3）中标人应及时将临时项目经营场所清理干净，并在规定的时间内，撤出项目经营场所。</w:t>
      </w:r>
    </w:p>
    <w:p w14:paraId="4AF1254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（4）中标人应将招标人所提供的临时场地良好、清洁和能正常使用的状态下交还招标人。</w:t>
      </w:r>
    </w:p>
    <w:p w14:paraId="7B28722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（5）如因中标人未清理干净而产生垃圾清理费用，或者招标人因中标人不按要求撤场而需要付出的清洁服务费用、维修费用等，招标人将在中标人的履约保证金内扣除。</w:t>
      </w:r>
    </w:p>
    <w:p w14:paraId="67C97E0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（6）如中标人未能在规定的时限内撤场完毕，每逾期一天，招标人有权从其履约保证金中扣罚1000元。</w:t>
      </w:r>
    </w:p>
    <w:p w14:paraId="6819C41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7、资产处理</w:t>
      </w:r>
    </w:p>
    <w:p w14:paraId="11971215">
      <w:pPr>
        <w:keepNext w:val="0"/>
        <w:keepLines w:val="0"/>
        <w:pageBreakBefore w:val="0"/>
        <w:widowControl w:val="0"/>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b w:val="0"/>
          <w:bCs w:val="0"/>
          <w:color w:val="auto"/>
          <w:sz w:val="20"/>
          <w:szCs w:val="20"/>
          <w:highlight w:val="none"/>
          <w:lang w:val="en-US" w:eastAsia="zh-CN"/>
        </w:rPr>
      </w:pPr>
      <w:r>
        <w:rPr>
          <w:rFonts w:hint="eastAsia" w:asciiTheme="majorEastAsia" w:hAnsiTheme="majorEastAsia" w:eastAsiaTheme="majorEastAsia" w:cstheme="majorEastAsia"/>
          <w:b w:val="0"/>
          <w:bCs w:val="0"/>
          <w:color w:val="auto"/>
          <w:sz w:val="20"/>
          <w:szCs w:val="20"/>
          <w:highlight w:val="none"/>
          <w:lang w:val="en-US" w:eastAsia="zh-CN"/>
        </w:rPr>
        <w:t>经营期满后，本次由中标人所投入的所有装修、设施设备及后续经营期间投入的装修和设施设备等形成的固定资产连同设备清单无条件无偿移交给招标人，中标人应在规定时间内清理好除固定资产之外的设备、物品，打扫好卫生，将食堂无条件腾空退还，办好相关交接手续。</w:t>
      </w:r>
    </w:p>
    <w:p w14:paraId="3930F3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00" w:firstLineChars="200"/>
        <w:jc w:val="both"/>
        <w:textAlignment w:val="auto"/>
        <w:rPr>
          <w:rFonts w:hint="eastAsia" w:asciiTheme="majorEastAsia" w:hAnsiTheme="majorEastAsia" w:eastAsiaTheme="majorEastAsia" w:cstheme="majorEastAsia"/>
          <w:color w:val="auto"/>
          <w:sz w:val="20"/>
          <w:szCs w:val="20"/>
          <w:highlight w:val="none"/>
          <w:lang w:val="en-US" w:eastAsia="zh-CN"/>
        </w:rPr>
      </w:pPr>
      <w:r>
        <w:rPr>
          <w:rFonts w:hint="eastAsia" w:asciiTheme="majorEastAsia" w:hAnsiTheme="majorEastAsia" w:eastAsiaTheme="majorEastAsia" w:cstheme="majorEastAsia"/>
          <w:color w:val="auto"/>
          <w:sz w:val="20"/>
          <w:szCs w:val="20"/>
          <w:highlight w:val="none"/>
          <w:lang w:val="en-US" w:eastAsia="zh-CN"/>
        </w:rPr>
        <w:t>8、中标人作为独立法人严格按照劳动法规招聘和管理食堂员工,涉及食堂员工的工资、保险、卫生检疫、人员体检、伤残疾病等一切费用均由中标人负责，一切劳资纠纷与招标人无关，概由中标人负责</w:t>
      </w:r>
    </w:p>
    <w:p w14:paraId="0FCB7654">
      <w:pPr>
        <w:bidi w:val="0"/>
        <w:rPr>
          <w:rFonts w:hint="eastAsia" w:ascii="宋体" w:hAnsi="宋体" w:eastAsia="宋体" w:cs="宋体"/>
          <w:sz w:val="21"/>
          <w:szCs w:val="21"/>
          <w:highlight w:val="none"/>
          <w:lang w:val="zh-CN" w:eastAsia="zh-CN"/>
        </w:rPr>
      </w:pPr>
    </w:p>
    <w:p w14:paraId="54FE2AEA">
      <w:pPr>
        <w:bidi w:val="0"/>
        <w:rPr>
          <w:rFonts w:hint="eastAsia"/>
          <w:highlight w:val="none"/>
          <w:lang w:val="zh-CN" w:eastAsia="zh-CN"/>
        </w:rPr>
      </w:pPr>
    </w:p>
    <w:p w14:paraId="29657EA4">
      <w:pPr>
        <w:bidi w:val="0"/>
        <w:rPr>
          <w:rFonts w:hint="eastAsia"/>
          <w:highlight w:val="none"/>
          <w:lang w:val="zh-CN" w:eastAsia="zh-CN"/>
        </w:rPr>
      </w:pPr>
    </w:p>
    <w:p w14:paraId="6F4F6B86">
      <w:pPr>
        <w:spacing w:line="240" w:lineRule="atLeas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val="zh-CN"/>
        </w:rPr>
        <w:br w:type="page"/>
      </w:r>
      <w:r>
        <w:rPr>
          <w:rFonts w:hint="eastAsia" w:ascii="宋体" w:hAnsi="宋体" w:eastAsia="宋体" w:cs="宋体"/>
          <w:b/>
          <w:sz w:val="28"/>
          <w:szCs w:val="28"/>
          <w:highlight w:val="none"/>
          <w:lang w:val="zh-CN"/>
        </w:rPr>
        <w:t>第三部分　</w:t>
      </w:r>
      <w:r>
        <w:rPr>
          <w:rFonts w:hint="eastAsia" w:ascii="宋体" w:hAnsi="宋体" w:eastAsia="宋体" w:cs="宋体"/>
          <w:b/>
          <w:sz w:val="28"/>
          <w:szCs w:val="28"/>
          <w:highlight w:val="none"/>
        </w:rPr>
        <w:t>投标人须知</w:t>
      </w:r>
    </w:p>
    <w:p w14:paraId="6AC761C9">
      <w:pPr>
        <w:pStyle w:val="21"/>
        <w:adjustRightInd w:val="0"/>
        <w:snapToGrid w:val="0"/>
        <w:ind w:left="1" w:firstLine="359"/>
        <w:rPr>
          <w:rFonts w:hint="eastAsia" w:ascii="宋体" w:hAnsi="宋体" w:eastAsia="宋体" w:cs="宋体"/>
          <w:b/>
          <w:highlight w:val="none"/>
        </w:rPr>
      </w:pPr>
      <w:r>
        <w:rPr>
          <w:rFonts w:hint="eastAsia" w:ascii="宋体" w:hAnsi="宋体" w:eastAsia="宋体" w:cs="宋体"/>
          <w:b/>
          <w:highlight w:val="none"/>
        </w:rPr>
        <w:t>一、说  明</w:t>
      </w:r>
    </w:p>
    <w:p w14:paraId="64F8F2B3">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1．适用范围</w:t>
      </w:r>
    </w:p>
    <w:p w14:paraId="3D4E512E">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1.1本招标文件适用于本投标邀请函中所述项目的招标。</w:t>
      </w:r>
    </w:p>
    <w:p w14:paraId="08DC63AA">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 定义</w:t>
      </w:r>
    </w:p>
    <w:p w14:paraId="6192FE37">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 “招标人”是指：</w:t>
      </w:r>
      <w:r>
        <w:rPr>
          <w:rFonts w:hint="eastAsia" w:ascii="宋体" w:hAnsi="宋体" w:eastAsia="宋体" w:cs="宋体"/>
          <w:highlight w:val="none"/>
          <w:u w:val="single"/>
        </w:rPr>
        <w:t>中山大学孙逸仙纪念医院深汕中心医院</w:t>
      </w:r>
      <w:r>
        <w:rPr>
          <w:rFonts w:hint="eastAsia" w:ascii="宋体" w:hAnsi="宋体" w:eastAsia="宋体" w:cs="宋体"/>
          <w:highlight w:val="none"/>
        </w:rPr>
        <w:t>。</w:t>
      </w:r>
    </w:p>
    <w:p w14:paraId="185F9A61">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2.2 “招标代理机构”是指：</w:t>
      </w:r>
      <w:r>
        <w:rPr>
          <w:rFonts w:hint="eastAsia" w:ascii="宋体" w:hAnsi="宋体" w:eastAsia="宋体" w:cs="宋体"/>
          <w:highlight w:val="none"/>
          <w:u w:val="single"/>
        </w:rPr>
        <w:t>国义招标股份有限公司</w:t>
      </w:r>
      <w:r>
        <w:rPr>
          <w:rFonts w:hint="eastAsia" w:ascii="宋体" w:hAnsi="宋体" w:eastAsia="宋体" w:cs="宋体"/>
          <w:highlight w:val="none"/>
        </w:rPr>
        <w:t>。</w:t>
      </w:r>
    </w:p>
    <w:p w14:paraId="43997EA2">
      <w:pPr>
        <w:pStyle w:val="21"/>
        <w:adjustRightInd w:val="0"/>
        <w:snapToGrid w:val="0"/>
        <w:ind w:firstLine="359"/>
        <w:rPr>
          <w:rFonts w:hint="eastAsia" w:ascii="宋体" w:hAnsi="宋体" w:eastAsia="宋体" w:cs="宋体"/>
          <w:color w:val="auto"/>
          <w:highlight w:val="none"/>
          <w:u w:val="singl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“招标采购单位”是指：</w:t>
      </w:r>
      <w:r>
        <w:rPr>
          <w:rFonts w:hint="eastAsia" w:ascii="宋体" w:hAnsi="宋体" w:eastAsia="宋体" w:cs="宋体"/>
          <w:color w:val="auto"/>
          <w:highlight w:val="none"/>
          <w:u w:val="single"/>
        </w:rPr>
        <w:t>招标人，招标代理机构。</w:t>
      </w:r>
    </w:p>
    <w:p w14:paraId="7705A0E5">
      <w:pPr>
        <w:pStyle w:val="21"/>
        <w:adjustRightInd w:val="0"/>
        <w:snapToGrid w:val="0"/>
        <w:ind w:firstLine="359"/>
        <w:rPr>
          <w:rFonts w:hint="eastAsia" w:ascii="宋体" w:hAnsi="宋体" w:eastAsia="宋体" w:cs="宋体"/>
          <w:color w:val="auto"/>
          <w:highlight w:val="none"/>
          <w:u w:val="single"/>
        </w:rPr>
      </w:pPr>
      <w:r>
        <w:rPr>
          <w:rFonts w:hint="eastAsia" w:ascii="宋体" w:hAnsi="宋体" w:eastAsia="宋体" w:cs="宋体"/>
          <w:color w:val="auto"/>
          <w:highlight w:val="none"/>
          <w:u w:val="none"/>
          <w:lang w:val="en-US" w:eastAsia="zh-CN"/>
        </w:rPr>
        <w:t xml:space="preserve">2.4 </w:t>
      </w:r>
      <w:r>
        <w:rPr>
          <w:rFonts w:hint="eastAsia" w:ascii="宋体" w:hAnsi="宋体" w:eastAsia="宋体" w:cs="宋体"/>
          <w:color w:val="auto"/>
          <w:highlight w:val="none"/>
        </w:rPr>
        <w:t>“监管部门”是指：</w:t>
      </w:r>
      <w:r>
        <w:rPr>
          <w:rFonts w:hint="eastAsia" w:ascii="宋体" w:hAnsi="宋体" w:eastAsia="宋体" w:cs="宋体"/>
          <w:color w:val="auto"/>
          <w:highlight w:val="none"/>
          <w:lang w:val="en-US" w:eastAsia="zh-CN"/>
        </w:rPr>
        <w:t>按照法律规定有权对</w:t>
      </w:r>
      <w:r>
        <w:rPr>
          <w:rFonts w:hint="eastAsia" w:ascii="宋体" w:hAnsi="宋体" w:eastAsia="宋体" w:cs="宋体"/>
          <w:color w:val="auto"/>
          <w:highlight w:val="none"/>
          <w:u w:val="single"/>
          <w:lang w:val="en-US" w:eastAsia="zh-CN"/>
        </w:rPr>
        <w:t>招标采购单位的招标采购行为进行</w:t>
      </w:r>
      <w:r>
        <w:rPr>
          <w:rFonts w:hint="eastAsia" w:ascii="宋体" w:hAnsi="宋体" w:eastAsia="宋体" w:cs="宋体"/>
          <w:color w:val="auto"/>
          <w:highlight w:val="none"/>
          <w:u w:val="single"/>
        </w:rPr>
        <w:t>监督</w:t>
      </w:r>
      <w:r>
        <w:rPr>
          <w:rFonts w:hint="eastAsia" w:ascii="宋体" w:hAnsi="宋体" w:eastAsia="宋体" w:cs="宋体"/>
          <w:color w:val="auto"/>
          <w:highlight w:val="none"/>
          <w:u w:val="single"/>
          <w:lang w:val="en-US" w:eastAsia="zh-CN"/>
        </w:rPr>
        <w:t>的行政主管</w:t>
      </w:r>
      <w:r>
        <w:rPr>
          <w:rFonts w:hint="eastAsia" w:ascii="宋体" w:hAnsi="宋体" w:eastAsia="宋体" w:cs="宋体"/>
          <w:color w:val="auto"/>
          <w:highlight w:val="none"/>
          <w:u w:val="single"/>
        </w:rPr>
        <w:t>部门</w:t>
      </w:r>
      <w:r>
        <w:rPr>
          <w:rFonts w:hint="eastAsia" w:ascii="宋体" w:hAnsi="宋体" w:eastAsia="宋体" w:cs="宋体"/>
          <w:color w:val="auto"/>
          <w:highlight w:val="none"/>
        </w:rPr>
        <w:t>。</w:t>
      </w:r>
    </w:p>
    <w:p w14:paraId="58119D05">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 xml:space="preserve">2.5合格的投标人 </w:t>
      </w:r>
    </w:p>
    <w:p w14:paraId="42754714">
      <w:pPr>
        <w:pStyle w:val="21"/>
        <w:tabs>
          <w:tab w:val="left" w:pos="360"/>
        </w:tabs>
        <w:adjustRightInd w:val="0"/>
        <w:snapToGrid w:val="0"/>
        <w:ind w:firstLine="740" w:firstLineChars="370"/>
        <w:rPr>
          <w:rFonts w:hint="eastAsia" w:ascii="宋体" w:hAnsi="宋体" w:eastAsia="宋体" w:cs="宋体"/>
          <w:highlight w:val="none"/>
        </w:rPr>
      </w:pPr>
      <w:r>
        <w:rPr>
          <w:rFonts w:hint="eastAsia" w:ascii="宋体" w:hAnsi="宋体" w:eastAsia="宋体" w:cs="宋体"/>
          <w:highlight w:val="none"/>
        </w:rPr>
        <w:t>1）符合招标文件规定的资格要求及特殊条件要求。</w:t>
      </w:r>
    </w:p>
    <w:p w14:paraId="64A26DC8">
      <w:pPr>
        <w:pStyle w:val="21"/>
        <w:tabs>
          <w:tab w:val="left" w:pos="360"/>
        </w:tabs>
        <w:adjustRightInd w:val="0"/>
        <w:snapToGrid w:val="0"/>
        <w:ind w:firstLine="740" w:firstLineChars="370"/>
        <w:rPr>
          <w:rFonts w:hint="eastAsia" w:ascii="宋体" w:hAnsi="宋体" w:eastAsia="宋体" w:cs="宋体"/>
          <w:highlight w:val="none"/>
        </w:rPr>
      </w:pPr>
      <w:r>
        <w:rPr>
          <w:rFonts w:hint="eastAsia" w:ascii="宋体" w:hAnsi="宋体" w:eastAsia="宋体" w:cs="宋体"/>
          <w:highlight w:val="none"/>
        </w:rPr>
        <w:t>2）在招标代理机构登记并领购了招标文件。</w:t>
      </w:r>
    </w:p>
    <w:p w14:paraId="1C8884EA">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2.6 “中标人”是指经法定程序确定并授予合同的投标人。</w:t>
      </w:r>
    </w:p>
    <w:p w14:paraId="4B67BAEE">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3. 合格的货物、工程和服务</w:t>
      </w:r>
    </w:p>
    <w:p w14:paraId="70E7307C">
      <w:pPr>
        <w:adjustRightInd w:val="0"/>
        <w:snapToGrid w:val="0"/>
        <w:ind w:firstLine="359"/>
        <w:rPr>
          <w:rFonts w:hint="eastAsia" w:ascii="宋体" w:hAnsi="宋体" w:eastAsia="宋体" w:cs="宋体"/>
          <w:kern w:val="0"/>
          <w:sz w:val="20"/>
          <w:szCs w:val="21"/>
          <w:highlight w:val="none"/>
        </w:rPr>
      </w:pPr>
      <w:r>
        <w:rPr>
          <w:rFonts w:hint="eastAsia" w:ascii="宋体" w:hAnsi="宋体" w:eastAsia="宋体" w:cs="宋体"/>
          <w:kern w:val="0"/>
          <w:sz w:val="20"/>
          <w:szCs w:val="21"/>
          <w:highlight w:val="none"/>
        </w:rPr>
        <w:t>3.1 “货物”是指投标人制造或组织符合招标文件要求的货物等。投标的货物必须是其合法生产的符合国家有关标准要求的货物，并满足项目规定的规格、参数、质量、价格、有效期、售后服务等要求。</w:t>
      </w:r>
    </w:p>
    <w:p w14:paraId="26F8D11B">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3.2 “工程”是指满足国家相关法律、法规、规章等规定，并符合本项目相关质量要求、安全文明施工要求的工程。</w:t>
      </w:r>
    </w:p>
    <w:p w14:paraId="7E5C631B">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3.3 “服务”是指除货物和工程以外的其他标的内容,其中包括：投标人须承担的运输、安装、技术支持、培训以及符合招标文件规定的其它服务。</w:t>
      </w:r>
    </w:p>
    <w:p w14:paraId="6B1D8538">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4．投标费用</w:t>
      </w:r>
    </w:p>
    <w:p w14:paraId="5508D70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4.1 投标人应承担所有与准备和参加投标有关的费用。不论投标的结果如何，招标采购单位均无义务和责任承担这些费用。</w:t>
      </w:r>
    </w:p>
    <w:p w14:paraId="7E41997F">
      <w:pPr>
        <w:pStyle w:val="21"/>
        <w:adjustRightInd w:val="0"/>
        <w:snapToGrid w:val="0"/>
        <w:ind w:firstLine="359"/>
        <w:rPr>
          <w:rFonts w:hint="default" w:ascii="宋体" w:hAnsi="宋体" w:eastAsia="宋体" w:cs="宋体"/>
          <w:sz w:val="21"/>
          <w:highlight w:val="none"/>
          <w:lang w:val="en-US" w:eastAsia="zh-CN"/>
        </w:rPr>
      </w:pPr>
      <w:r>
        <w:rPr>
          <w:rFonts w:hint="eastAsia" w:ascii="宋体" w:hAnsi="宋体" w:eastAsia="宋体" w:cs="宋体"/>
          <w:highlight w:val="none"/>
        </w:rPr>
        <w:t>4.2本次招标向中标人收取的中标服务费，</w:t>
      </w:r>
      <w:r>
        <w:rPr>
          <w:rFonts w:hint="eastAsia" w:hAnsi="宋体" w:cs="宋体"/>
          <w:b/>
          <w:bCs/>
          <w:highlight w:val="none"/>
          <w:lang w:val="en-US" w:eastAsia="zh-CN"/>
        </w:rPr>
        <w:t>按照固定价1.5万元收取。</w:t>
      </w:r>
    </w:p>
    <w:p w14:paraId="6879590E">
      <w:pPr>
        <w:pStyle w:val="21"/>
        <w:adjustRightInd w:val="0"/>
        <w:snapToGrid w:val="0"/>
        <w:ind w:firstLine="359"/>
        <w:rPr>
          <w:rFonts w:hint="eastAsia" w:ascii="宋体" w:hAnsi="宋体" w:eastAsia="宋体" w:cs="宋体"/>
          <w:sz w:val="21"/>
          <w:highlight w:val="none"/>
        </w:rPr>
      </w:pPr>
      <w:r>
        <w:rPr>
          <w:rFonts w:hint="eastAsia" w:ascii="宋体" w:hAnsi="宋体" w:eastAsia="宋体" w:cs="宋体"/>
          <w:sz w:val="21"/>
          <w:highlight w:val="none"/>
        </w:rPr>
        <w:t>中标人在收到中标通知书前向招标代理机构缴纳中标服务费，以电汇方式缴纳，交费账户为：</w:t>
      </w:r>
    </w:p>
    <w:p w14:paraId="374FC0A1">
      <w:pPr>
        <w:pStyle w:val="21"/>
        <w:adjustRightInd w:val="0"/>
        <w:snapToGrid w:val="0"/>
        <w:ind w:firstLine="359"/>
        <w:rPr>
          <w:rFonts w:hint="eastAsia" w:ascii="宋体" w:hAnsi="宋体" w:eastAsia="宋体" w:cs="宋体"/>
          <w:sz w:val="21"/>
          <w:highlight w:val="none"/>
        </w:rPr>
      </w:pPr>
      <w:r>
        <w:rPr>
          <w:rFonts w:hint="eastAsia" w:ascii="宋体" w:hAnsi="宋体" w:eastAsia="宋体" w:cs="宋体"/>
          <w:sz w:val="21"/>
          <w:highlight w:val="none"/>
        </w:rPr>
        <w:t>收款人：国义招标股份有限公司汕尾分公司</w:t>
      </w:r>
    </w:p>
    <w:p w14:paraId="3B8B6F49">
      <w:pPr>
        <w:pStyle w:val="21"/>
        <w:adjustRightInd w:val="0"/>
        <w:snapToGrid w:val="0"/>
        <w:ind w:firstLine="359"/>
        <w:rPr>
          <w:rFonts w:hint="eastAsia" w:ascii="宋体" w:hAnsi="宋体" w:eastAsia="宋体" w:cs="宋体"/>
          <w:sz w:val="21"/>
          <w:highlight w:val="none"/>
          <w:lang w:val="en-US" w:eastAsia="zh-CN"/>
        </w:rPr>
      </w:pPr>
      <w:r>
        <w:rPr>
          <w:rFonts w:hint="eastAsia" w:ascii="宋体" w:hAnsi="宋体" w:eastAsia="宋体" w:cs="宋体"/>
          <w:sz w:val="21"/>
          <w:highlight w:val="none"/>
        </w:rPr>
        <w:t>开户银行：</w:t>
      </w:r>
      <w:r>
        <w:rPr>
          <w:rFonts w:hint="eastAsia" w:ascii="宋体" w:hAnsi="宋体" w:eastAsia="宋体" w:cs="宋体"/>
          <w:highlight w:val="none"/>
        </w:rPr>
        <w:t>中国银行汕尾</w:t>
      </w:r>
      <w:r>
        <w:rPr>
          <w:rFonts w:hint="eastAsia" w:ascii="宋体" w:hAnsi="宋体" w:eastAsia="宋体" w:cs="宋体"/>
          <w:highlight w:val="none"/>
          <w:lang w:val="en-US" w:eastAsia="zh-CN"/>
        </w:rPr>
        <w:t>香洲路支行</w:t>
      </w:r>
    </w:p>
    <w:p w14:paraId="4D561CA5">
      <w:pPr>
        <w:pStyle w:val="21"/>
        <w:adjustRightInd w:val="0"/>
        <w:snapToGrid w:val="0"/>
        <w:ind w:left="470" w:leftChars="171" w:hanging="111" w:hangingChars="53"/>
        <w:rPr>
          <w:rFonts w:hint="eastAsia" w:ascii="宋体" w:hAnsi="宋体" w:eastAsia="宋体" w:cs="宋体"/>
          <w:sz w:val="21"/>
          <w:highlight w:val="none"/>
        </w:rPr>
      </w:pPr>
      <w:r>
        <w:rPr>
          <w:rFonts w:hint="eastAsia" w:ascii="宋体" w:hAnsi="宋体" w:eastAsia="宋体" w:cs="宋体"/>
          <w:sz w:val="21"/>
          <w:highlight w:val="none"/>
        </w:rPr>
        <w:t>银行账号：</w:t>
      </w:r>
      <w:r>
        <w:rPr>
          <w:rFonts w:hint="eastAsia" w:ascii="宋体" w:hAnsi="宋体" w:eastAsia="宋体" w:cs="宋体"/>
          <w:highlight w:val="none"/>
        </w:rPr>
        <w:t>680873746873</w:t>
      </w:r>
    </w:p>
    <w:p w14:paraId="12612DAF">
      <w:pPr>
        <w:pStyle w:val="21"/>
        <w:adjustRightInd w:val="0"/>
        <w:snapToGrid w:val="0"/>
        <w:ind w:left="470" w:leftChars="171" w:hanging="111" w:hangingChars="53"/>
        <w:rPr>
          <w:rFonts w:hint="eastAsia" w:ascii="宋体" w:hAnsi="宋体" w:eastAsia="宋体" w:cs="宋体"/>
          <w:sz w:val="21"/>
          <w:highlight w:val="none"/>
        </w:rPr>
      </w:pPr>
      <w:r>
        <w:rPr>
          <w:rFonts w:hint="eastAsia" w:ascii="宋体" w:hAnsi="宋体" w:eastAsia="宋体" w:cs="宋体"/>
          <w:sz w:val="21"/>
          <w:highlight w:val="none"/>
        </w:rPr>
        <w:t>用    途：“ (项目编号 ) ”中标费</w:t>
      </w:r>
    </w:p>
    <w:p w14:paraId="6704112A">
      <w:pPr>
        <w:pStyle w:val="21"/>
        <w:adjustRightInd w:val="0"/>
        <w:snapToGrid w:val="0"/>
        <w:ind w:left="465" w:leftChars="171" w:hanging="106" w:hangingChars="53"/>
        <w:rPr>
          <w:rFonts w:hint="eastAsia" w:ascii="宋体" w:hAnsi="宋体" w:eastAsia="宋体" w:cs="宋体"/>
          <w:highlight w:val="none"/>
        </w:rPr>
      </w:pPr>
    </w:p>
    <w:p w14:paraId="19A0BCE1">
      <w:pPr>
        <w:pStyle w:val="21"/>
        <w:adjustRightInd w:val="0"/>
        <w:snapToGrid w:val="0"/>
        <w:ind w:firstLine="359"/>
        <w:rPr>
          <w:rFonts w:hint="eastAsia" w:ascii="宋体" w:hAnsi="宋体" w:eastAsia="宋体" w:cs="宋体"/>
          <w:b/>
          <w:highlight w:val="none"/>
        </w:rPr>
      </w:pPr>
      <w:r>
        <w:rPr>
          <w:rFonts w:hint="eastAsia" w:ascii="宋体" w:hAnsi="宋体" w:eastAsia="宋体" w:cs="宋体"/>
          <w:b/>
          <w:highlight w:val="none"/>
        </w:rPr>
        <w:t>二、招标文件</w:t>
      </w:r>
    </w:p>
    <w:p w14:paraId="7306E46A">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5. 招标文件的构成</w:t>
      </w:r>
    </w:p>
    <w:p w14:paraId="07621767">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5.1招标文件由下列文件组成：</w:t>
      </w:r>
    </w:p>
    <w:p w14:paraId="54F92610">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 投标邀请函</w:t>
      </w:r>
    </w:p>
    <w:p w14:paraId="4DE9A665">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 招标项目内容</w:t>
      </w:r>
    </w:p>
    <w:p w14:paraId="5E1E7FAB">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3) 投标人须知</w:t>
      </w:r>
    </w:p>
    <w:p w14:paraId="72428A4C">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4) 合同格式</w:t>
      </w:r>
    </w:p>
    <w:p w14:paraId="0EE2EF14">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 xml:space="preserve">5) 投标文件格式 </w:t>
      </w:r>
    </w:p>
    <w:p w14:paraId="5E682740">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6) 在招标过程中由招标采购单位发出的修正和补充文件等</w:t>
      </w:r>
    </w:p>
    <w:p w14:paraId="66BF7D79">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5.2投标人应认真阅读、并充分理解招标文件的全部内容（包括所有的补充、修改内容、重要事项、格式、条款和技术规范、设备参数及服务需求等）。投标人未按照招标文件要求提交全部资料，或者投标未对招标文件各方面都做出实质性响应有可能导致其投标被拒绝，或被认定为无效投标，该风险由投标人自行承担。</w:t>
      </w:r>
    </w:p>
    <w:p w14:paraId="1A159CB8">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6. 招标文件的澄清</w:t>
      </w:r>
    </w:p>
    <w:p w14:paraId="11E9D290">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6.1任何要求对招标文件进行澄清的投标人，均在国e平台上进行，不接受其他方式的提问以及澄清，并在投标截止时间十五日以前通知招标采购单位。招标采购单位对其收到的对招标文件的澄清要求均在国e平台上予以答复，并同时将答复发给每个领购招标文件的投标人（答复中不包括问题的来源）。该答复作为招标文件的一部分，对投标人有约束力。</w:t>
      </w:r>
    </w:p>
    <w:p w14:paraId="4BC47AC2">
      <w:pPr>
        <w:pStyle w:val="21"/>
        <w:tabs>
          <w:tab w:val="left" w:pos="540"/>
        </w:tabs>
        <w:adjustRightInd w:val="0"/>
        <w:snapToGrid w:val="0"/>
        <w:ind w:firstLine="359"/>
        <w:rPr>
          <w:rFonts w:hint="eastAsia" w:ascii="宋体" w:hAnsi="宋体" w:eastAsia="宋体" w:cs="宋体"/>
          <w:spacing w:val="-6"/>
          <w:highlight w:val="none"/>
        </w:rPr>
      </w:pPr>
      <w:r>
        <w:rPr>
          <w:rFonts w:hint="eastAsia" w:ascii="宋体" w:hAnsi="宋体" w:eastAsia="宋体" w:cs="宋体"/>
          <w:spacing w:val="-6"/>
          <w:highlight w:val="none"/>
        </w:rPr>
        <w:t>6.2投标人在规定的时间内未对招标文件澄清或提出疑问的，</w:t>
      </w:r>
      <w:r>
        <w:rPr>
          <w:rFonts w:hint="eastAsia" w:ascii="宋体" w:hAnsi="宋体" w:eastAsia="宋体" w:cs="宋体"/>
          <w:highlight w:val="none"/>
        </w:rPr>
        <w:t>将被</w:t>
      </w:r>
      <w:r>
        <w:rPr>
          <w:rFonts w:hint="eastAsia" w:ascii="宋体" w:hAnsi="宋体" w:eastAsia="宋体" w:cs="宋体"/>
          <w:spacing w:val="-6"/>
          <w:highlight w:val="none"/>
        </w:rPr>
        <w:t>视为无异议。对招标文件中描述有歧意或前后不一致的地方，评标委员会有权进行评判，但对同一条款的评判应适用于每个投标人。</w:t>
      </w:r>
    </w:p>
    <w:p w14:paraId="24CD51A2">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7. 招标文件的修改</w:t>
      </w:r>
    </w:p>
    <w:p w14:paraId="153EAABC">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7.l在投标截止时间十五日以前，无论出于何种原因，招标人可主动地或在解答投标人提出的疑问时对招标文件进行修改。招标文件的修改将在国e平台上通知所有领购招标文件的投标人。该修改作为招标文件的一部分，对投标人有约束力。投标人在收到上述修改通知后，应立即向招标人回函确认。</w:t>
      </w:r>
    </w:p>
    <w:p w14:paraId="5E4A3DF0">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7.2招标人可以视采购具体情况，延长投标截止时间和开标时间并将变更时间书面通知所有已领购招标文件的投标人。</w:t>
      </w:r>
    </w:p>
    <w:p w14:paraId="69ECD8F2">
      <w:pPr>
        <w:pStyle w:val="21"/>
        <w:adjustRightInd w:val="0"/>
        <w:snapToGrid w:val="0"/>
        <w:ind w:firstLine="359"/>
        <w:rPr>
          <w:rFonts w:hint="eastAsia" w:ascii="宋体" w:hAnsi="宋体" w:eastAsia="宋体" w:cs="宋体"/>
          <w:b/>
          <w:highlight w:val="none"/>
        </w:rPr>
      </w:pPr>
      <w:r>
        <w:rPr>
          <w:rFonts w:hint="eastAsia" w:ascii="宋体" w:hAnsi="宋体" w:eastAsia="宋体" w:cs="宋体"/>
          <w:b/>
          <w:highlight w:val="none"/>
        </w:rPr>
        <w:t>三、投标文件的编制</w:t>
      </w:r>
    </w:p>
    <w:p w14:paraId="5FFE4E73">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8．投标的语言及计量</w:t>
      </w:r>
    </w:p>
    <w:p w14:paraId="1B237561">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14:paraId="5C6409E4">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8.2 除非招标文件中另有规定，投标人在投标文件中及其与招标采购单位的所有往来文件中的计量单位均应采用中华人民共和国法定计量单位。</w:t>
      </w:r>
    </w:p>
    <w:p w14:paraId="06C0727A">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9．投标文件的构成应符合法律法规及招标文件的要求。</w:t>
      </w:r>
    </w:p>
    <w:p w14:paraId="2CD22BC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10. 投标文件编制</w:t>
      </w:r>
    </w:p>
    <w:p w14:paraId="01A95F6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10.1 投标人应当对投标文件进行装订，对未经装订的投标文件可能发生的文件散落或缺损，由此产生的后果由投标人承担。</w:t>
      </w:r>
    </w:p>
    <w:p w14:paraId="709C4D4F">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10.2投标人应完整、真实、准确的填写招标文件中规定的所有内容，对投标文件所提供的全部资料的真实性承担法律责任，并无条件接受招标采购单位及监督管理部门等对其中任何资料及招标采购单位或监督管理部门认为有必要的资料进行核实的要求。</w:t>
      </w:r>
    </w:p>
    <w:p w14:paraId="28ED63B1">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10.3如果因为投标人投标文件填报的内容不详，或没有提供招标文件中所要求的全部资料及数据，由此造成的后果，其责任由投标人承担。</w:t>
      </w:r>
    </w:p>
    <w:p w14:paraId="0512709F">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11. 投标报价</w:t>
      </w:r>
    </w:p>
    <w:p w14:paraId="7716B261">
      <w:pPr>
        <w:autoSpaceDE w:val="0"/>
        <w:autoSpaceDN w:val="0"/>
        <w:adjustRightInd w:val="0"/>
        <w:snapToGrid w:val="0"/>
        <w:ind w:right="-148" w:firstLine="359"/>
        <w:rPr>
          <w:rFonts w:hint="eastAsia" w:ascii="宋体" w:hAnsi="宋体" w:eastAsia="宋体" w:cs="宋体"/>
          <w:kern w:val="0"/>
          <w:szCs w:val="21"/>
          <w:highlight w:val="none"/>
        </w:rPr>
      </w:pPr>
      <w:r>
        <w:rPr>
          <w:rFonts w:hint="eastAsia" w:ascii="宋体" w:hAnsi="宋体" w:eastAsia="宋体" w:cs="宋体"/>
          <w:szCs w:val="21"/>
          <w:highlight w:val="none"/>
        </w:rPr>
        <w:t>11.1 如招标文件无特殊规定，投标价格以人民币填报。</w:t>
      </w:r>
    </w:p>
    <w:p w14:paraId="3FEFA76B">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11.2投标人应按照招标文件“第二部分 招标项目内容”中规定的内容、责任范围以及合同条款进行报价，并按《开标一览表》和《投标明细报价表》确定的格式报出分项价格和总价。投标总价中不得包含招标文件要求以外的内容，否则在评标时不予核减。投标总价中也不得缺漏招标文件所要求的相应内容，否则</w:t>
      </w:r>
      <w:r>
        <w:rPr>
          <w:rFonts w:hint="eastAsia" w:ascii="宋体" w:hAnsi="宋体" w:eastAsia="宋体" w:cs="宋体"/>
          <w:highlight w:val="none"/>
          <w:lang w:val="zh-CN"/>
        </w:rPr>
        <w:t>将导致投标无效</w:t>
      </w:r>
      <w:r>
        <w:rPr>
          <w:rFonts w:hint="eastAsia" w:ascii="宋体" w:hAnsi="宋体" w:eastAsia="宋体" w:cs="宋体"/>
          <w:highlight w:val="none"/>
        </w:rPr>
        <w:t>。</w:t>
      </w:r>
    </w:p>
    <w:p w14:paraId="5D2AC27B">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11.3《投标明细报价表》填写时应响应下列要求：</w:t>
      </w:r>
    </w:p>
    <w:p w14:paraId="02AB020A">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 对于报价免费的项目必须标明“免费”；</w:t>
      </w:r>
    </w:p>
    <w:p w14:paraId="6EA5D1A9">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 投标报价应为货物运至用户指定地点的含税价（包括但不限于运输、保险、安装、伴随服务、关税、销售税、其他税以及合同包含的所有风险、责任等各项应有费用）。</w:t>
      </w:r>
    </w:p>
    <w:p w14:paraId="20588EF6">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11.4 每种规格货物或每项标准服务只允许有一个报价，否则将被视为无效投标。</w:t>
      </w:r>
    </w:p>
    <w:p w14:paraId="49650B0D">
      <w:pPr>
        <w:ind w:firstLine="359"/>
        <w:rPr>
          <w:rFonts w:hint="eastAsia" w:ascii="宋体" w:hAnsi="宋体" w:eastAsia="宋体" w:cs="宋体"/>
          <w:szCs w:val="21"/>
          <w:highlight w:val="none"/>
        </w:rPr>
      </w:pPr>
      <w:r>
        <w:rPr>
          <w:rFonts w:hint="eastAsia" w:ascii="宋体" w:hAnsi="宋体" w:eastAsia="宋体" w:cs="宋体"/>
          <w:szCs w:val="21"/>
          <w:highlight w:val="none"/>
        </w:rPr>
        <w:t>12. 备选方案</w:t>
      </w:r>
    </w:p>
    <w:p w14:paraId="3421C8AF">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12.1只允许投标人有一个投标方案，否则将被视为无效投标。（招标文件允许有备选方案的除外）</w:t>
      </w:r>
    </w:p>
    <w:p w14:paraId="2C565C04">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13. 联合体投标</w:t>
      </w:r>
    </w:p>
    <w:p w14:paraId="29E9F246">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13.1 本项目不接受联合体投标。</w:t>
      </w:r>
    </w:p>
    <w:p w14:paraId="5B2100C6">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14. 投标人资格证明文件</w:t>
      </w:r>
    </w:p>
    <w:p w14:paraId="5D731FDE">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14.1投标人应按招标文件的要求，提交证明其有资格参加投标和中标后有履行合同能力的文件，并作为其投标文件的组成部分，包括但不限于《资格性及符合性检查表》中所列要求。</w:t>
      </w:r>
    </w:p>
    <w:p w14:paraId="13448B2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14.2资格证明文件必须真实有效，复印件必须加盖单位印章。</w:t>
      </w:r>
    </w:p>
    <w:p w14:paraId="7F5C2042">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15. 证明投标标的的合格性和符合招标文件规定的文件，包括但不限于投标文件的各组成部分。</w:t>
      </w:r>
    </w:p>
    <w:p w14:paraId="3358AB2E">
      <w:pPr>
        <w:pStyle w:val="21"/>
        <w:adjustRightInd w:val="0"/>
        <w:snapToGrid w:val="0"/>
        <w:ind w:firstLine="359"/>
        <w:rPr>
          <w:rFonts w:hint="eastAsia" w:ascii="宋体" w:hAnsi="宋体" w:eastAsia="宋体" w:cs="宋体"/>
          <w:highlight w:val="none"/>
          <w:lang w:val="en-US" w:eastAsia="zh-CN"/>
        </w:rPr>
      </w:pPr>
      <w:r>
        <w:rPr>
          <w:rFonts w:hint="eastAsia" w:ascii="宋体" w:hAnsi="宋体" w:eastAsia="宋体" w:cs="宋体"/>
          <w:highlight w:val="none"/>
        </w:rPr>
        <w:t>16. 投标保证金</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不设置</w:t>
      </w:r>
    </w:p>
    <w:p w14:paraId="6A000B01">
      <w:pPr>
        <w:pStyle w:val="21"/>
        <w:tabs>
          <w:tab w:val="left" w:pos="7740"/>
        </w:tabs>
        <w:adjustRightInd w:val="0"/>
        <w:snapToGrid w:val="0"/>
        <w:ind w:firstLine="296" w:firstLineChars="148"/>
        <w:rPr>
          <w:rFonts w:hint="eastAsia" w:ascii="宋体" w:hAnsi="宋体" w:eastAsia="宋体" w:cs="宋体"/>
          <w:highlight w:val="none"/>
        </w:rPr>
      </w:pPr>
      <w:bookmarkStart w:id="3" w:name="_Toc230597966"/>
      <w:bookmarkStart w:id="4" w:name="_Toc42923352"/>
      <w:bookmarkStart w:id="5" w:name="_Toc222823292"/>
      <w:r>
        <w:rPr>
          <w:rFonts w:hint="eastAsia" w:ascii="宋体" w:hAnsi="宋体" w:eastAsia="宋体" w:cs="宋体"/>
          <w:highlight w:val="none"/>
        </w:rPr>
        <w:t>17. 投标有效期</w:t>
      </w:r>
      <w:bookmarkEnd w:id="3"/>
      <w:bookmarkEnd w:id="4"/>
      <w:bookmarkEnd w:id="5"/>
    </w:p>
    <w:p w14:paraId="750B2844">
      <w:pPr>
        <w:tabs>
          <w:tab w:val="left" w:pos="7740"/>
        </w:tabs>
        <w:adjustRightInd w:val="0"/>
        <w:snapToGrid w:val="0"/>
        <w:ind w:firstLine="310" w:firstLineChars="148"/>
        <w:rPr>
          <w:rFonts w:hint="eastAsia" w:ascii="宋体" w:hAnsi="宋体" w:eastAsia="宋体" w:cs="宋体"/>
          <w:szCs w:val="21"/>
          <w:highlight w:val="none"/>
        </w:rPr>
      </w:pPr>
      <w:r>
        <w:rPr>
          <w:rFonts w:hint="eastAsia" w:ascii="宋体" w:hAnsi="宋体" w:eastAsia="宋体" w:cs="宋体"/>
          <w:szCs w:val="21"/>
          <w:highlight w:val="none"/>
        </w:rPr>
        <w:t>17.1投标文件应在提交投标文件的截止之日起90日保持有效。投标有效期比规定时间短的将被作为非实质性响应招标文件而予以拒绝。</w:t>
      </w:r>
    </w:p>
    <w:p w14:paraId="6BC15DFA">
      <w:pPr>
        <w:tabs>
          <w:tab w:val="left" w:pos="7740"/>
        </w:tabs>
        <w:adjustRightInd w:val="0"/>
        <w:snapToGrid w:val="0"/>
        <w:ind w:firstLine="310" w:firstLineChars="148"/>
        <w:rPr>
          <w:rFonts w:hint="eastAsia" w:ascii="宋体" w:hAnsi="宋体" w:eastAsia="宋体" w:cs="宋体"/>
          <w:szCs w:val="21"/>
          <w:highlight w:val="none"/>
        </w:rPr>
      </w:pPr>
      <w:r>
        <w:rPr>
          <w:rFonts w:hint="eastAsia" w:ascii="宋体" w:hAnsi="宋体" w:eastAsia="宋体" w:cs="宋体"/>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不予退还保证金的规定在投标有效期的延长期内继续有效。</w:t>
      </w:r>
    </w:p>
    <w:p w14:paraId="5A65BF86">
      <w:pPr>
        <w:autoSpaceDE w:val="0"/>
        <w:autoSpaceDN w:val="0"/>
        <w:adjustRightInd w:val="0"/>
        <w:snapToGrid w:val="0"/>
        <w:ind w:right="32" w:firstLine="359"/>
        <w:rPr>
          <w:rFonts w:hint="eastAsia" w:ascii="宋体" w:hAnsi="宋体" w:eastAsia="宋体" w:cs="宋体"/>
          <w:szCs w:val="21"/>
          <w:highlight w:val="none"/>
        </w:rPr>
      </w:pPr>
      <w:r>
        <w:rPr>
          <w:rFonts w:hint="eastAsia" w:ascii="宋体" w:hAnsi="宋体" w:eastAsia="宋体" w:cs="宋体"/>
          <w:szCs w:val="21"/>
          <w:highlight w:val="none"/>
        </w:rPr>
        <w:t>18. 投标文件的数量和签署</w:t>
      </w:r>
    </w:p>
    <w:p w14:paraId="44791581">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18.1 投标人应编制投标文件一式</w:t>
      </w:r>
      <w:r>
        <w:rPr>
          <w:rFonts w:hint="eastAsia" w:ascii="宋体" w:hAnsi="宋体" w:eastAsia="宋体" w:cs="宋体"/>
          <w:kern w:val="0"/>
          <w:szCs w:val="21"/>
          <w:highlight w:val="none"/>
          <w:u w:val="single"/>
        </w:rPr>
        <w:t xml:space="preserve"> 六 </w:t>
      </w:r>
      <w:r>
        <w:rPr>
          <w:rFonts w:hint="eastAsia" w:ascii="宋体" w:hAnsi="宋体" w:eastAsia="宋体" w:cs="宋体"/>
          <w:kern w:val="0"/>
          <w:szCs w:val="21"/>
          <w:highlight w:val="none"/>
        </w:rPr>
        <w:t>份，其中正本一份和副本</w:t>
      </w:r>
      <w:r>
        <w:rPr>
          <w:rFonts w:hint="eastAsia" w:ascii="宋体" w:hAnsi="宋体" w:eastAsia="宋体" w:cs="宋体"/>
          <w:kern w:val="0"/>
          <w:szCs w:val="21"/>
          <w:highlight w:val="none"/>
          <w:u w:val="single"/>
        </w:rPr>
        <w:t xml:space="preserve"> 五 </w:t>
      </w:r>
      <w:r>
        <w:rPr>
          <w:rFonts w:hint="eastAsia" w:ascii="宋体" w:hAnsi="宋体" w:eastAsia="宋体" w:cs="宋体"/>
          <w:kern w:val="0"/>
          <w:szCs w:val="21"/>
          <w:highlight w:val="none"/>
        </w:rPr>
        <w:t>份，投标文件的副本可采用正本的复印件。每套投标文件须清楚地标明“正本”、“副本”。若副本与正本不符，以正本为准。</w:t>
      </w:r>
    </w:p>
    <w:p w14:paraId="15E46D35">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18.2 投标文件的正本需打印或用不褪色墨水书写，并由法定代表人或经其正式授权的代表签字。授权代表须出具书面授权证明，法人证明及法人授权证明均应在投标文件中提供（格式见附件）。</w:t>
      </w:r>
    </w:p>
    <w:p w14:paraId="04B8154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18.3 投标文件中的任何重要的插字、涂改和增删，必须由法定代表人或经其正式授权的代表在旁边加盖公章或签字才有效。</w:t>
      </w:r>
    </w:p>
    <w:p w14:paraId="480AB5B2">
      <w:pPr>
        <w:pStyle w:val="21"/>
        <w:adjustRightInd w:val="0"/>
        <w:snapToGrid w:val="0"/>
        <w:ind w:firstLine="359"/>
        <w:rPr>
          <w:rFonts w:hint="eastAsia" w:ascii="宋体" w:hAnsi="宋体" w:eastAsia="宋体" w:cs="宋体"/>
          <w:sz w:val="21"/>
          <w:highlight w:val="none"/>
        </w:rPr>
      </w:pPr>
      <w:r>
        <w:rPr>
          <w:rFonts w:hint="eastAsia" w:ascii="宋体" w:hAnsi="宋体" w:eastAsia="宋体" w:cs="宋体"/>
          <w:sz w:val="21"/>
          <w:highlight w:val="none"/>
        </w:rPr>
        <w:t>18.4投标文件的电子文件样式如下（该电子文件应与纸质版投标文件内容一致）：</w:t>
      </w:r>
    </w:p>
    <w:tbl>
      <w:tblPr>
        <w:tblStyle w:val="43"/>
        <w:tblW w:w="822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00"/>
        <w:gridCol w:w="7222"/>
      </w:tblGrid>
      <w:tr w14:paraId="145F8F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845" w:hRule="atLeast"/>
          <w:jc w:val="center"/>
        </w:trPr>
        <w:tc>
          <w:tcPr>
            <w:tcW w:w="1000" w:type="dxa"/>
            <w:tcBorders>
              <w:top w:val="single" w:color="auto" w:sz="6" w:space="0"/>
              <w:left w:val="single" w:color="auto" w:sz="6" w:space="0"/>
              <w:bottom w:val="single" w:color="auto" w:sz="6" w:space="0"/>
              <w:right w:val="single" w:color="auto" w:sz="6" w:space="0"/>
            </w:tcBorders>
            <w:noWrap w:val="0"/>
            <w:vAlign w:val="center"/>
          </w:tcPr>
          <w:p w14:paraId="5E3F00E0">
            <w:pPr>
              <w:autoSpaceDE w:val="0"/>
              <w:autoSpaceDN w:val="0"/>
              <w:jc w:val="center"/>
              <w:rPr>
                <w:rFonts w:hint="eastAsia" w:ascii="宋体" w:hAnsi="宋体" w:eastAsia="宋体" w:cs="宋体"/>
                <w:szCs w:val="21"/>
                <w:highlight w:val="none"/>
              </w:rPr>
            </w:pPr>
            <w:r>
              <w:rPr>
                <w:rFonts w:hint="eastAsia" w:ascii="宋体" w:hAnsi="宋体" w:eastAsia="宋体" w:cs="宋体"/>
                <w:highlight w:val="none"/>
              </w:rPr>
              <w:t>投标文件的式样和递交</w:t>
            </w:r>
          </w:p>
        </w:tc>
        <w:tc>
          <w:tcPr>
            <w:tcW w:w="7222" w:type="dxa"/>
            <w:tcBorders>
              <w:top w:val="single" w:color="auto" w:sz="6" w:space="0"/>
              <w:left w:val="single" w:color="auto" w:sz="6" w:space="0"/>
              <w:bottom w:val="single" w:color="auto" w:sz="6" w:space="0"/>
              <w:right w:val="single" w:color="auto" w:sz="8" w:space="0"/>
            </w:tcBorders>
            <w:noWrap w:val="0"/>
            <w:vAlign w:val="center"/>
          </w:tcPr>
          <w:p w14:paraId="78E1BBAB">
            <w:pPr>
              <w:autoSpaceDE w:val="0"/>
              <w:autoSpaceDN w:val="0"/>
              <w:rPr>
                <w:rFonts w:hint="eastAsia" w:ascii="宋体" w:hAnsi="宋体" w:eastAsia="宋体" w:cs="宋体"/>
                <w:highlight w:val="none"/>
              </w:rPr>
            </w:pPr>
            <w:r>
              <w:rPr>
                <w:rFonts w:hint="eastAsia" w:ascii="宋体" w:hAnsi="宋体" w:eastAsia="宋体" w:cs="宋体"/>
                <w:highlight w:val="none"/>
              </w:rPr>
              <w:t>投标人应按照投标文件格式制作投标文件，转成PDF格式，并通过客户端进行关联加密，生成加密过的投标文件（etnd后缀的整份投标文件或分册的商务、技术、价格文件）并上传递交至</w:t>
            </w:r>
            <w:r>
              <w:rPr>
                <w:rFonts w:hint="eastAsia" w:ascii="宋体" w:hAnsi="宋体" w:eastAsia="宋体" w:cs="宋体"/>
                <w:b/>
                <w:highlight w:val="none"/>
              </w:rPr>
              <w:t>国e平台</w:t>
            </w:r>
            <w:r>
              <w:rPr>
                <w:rFonts w:hint="eastAsia" w:ascii="宋体" w:hAnsi="宋体" w:eastAsia="宋体" w:cs="宋体"/>
                <w:highlight w:val="none"/>
              </w:rPr>
              <w:t>。（考虑到现行国家实际的网络速率及投标人所处区域网络的情况，为节约投标人上传的时间，建议商务分册、技术分册、价格分册各部分文件的大小请投标人尽量控制在每部分100MB以内，整份文件控制在300MB以内）</w:t>
            </w:r>
          </w:p>
        </w:tc>
      </w:tr>
      <w:tr w14:paraId="3BC16C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00" w:type="dxa"/>
            <w:tcBorders>
              <w:top w:val="single" w:color="auto" w:sz="6" w:space="0"/>
              <w:left w:val="single" w:color="auto" w:sz="6" w:space="0"/>
              <w:bottom w:val="single" w:color="auto" w:sz="6" w:space="0"/>
              <w:right w:val="single" w:color="auto" w:sz="6" w:space="0"/>
            </w:tcBorders>
            <w:noWrap w:val="0"/>
            <w:vAlign w:val="center"/>
          </w:tcPr>
          <w:p w14:paraId="6C89E7C6">
            <w:pPr>
              <w:autoSpaceDE w:val="0"/>
              <w:autoSpaceDN w:val="0"/>
              <w:jc w:val="center"/>
              <w:rPr>
                <w:rFonts w:hint="eastAsia" w:ascii="宋体" w:hAnsi="宋体" w:eastAsia="宋体" w:cs="宋体"/>
                <w:highlight w:val="none"/>
              </w:rPr>
            </w:pPr>
            <w:r>
              <w:rPr>
                <w:rFonts w:hint="eastAsia" w:ascii="宋体" w:hAnsi="宋体" w:eastAsia="宋体" w:cs="宋体"/>
                <w:highlight w:val="none"/>
              </w:rPr>
              <w:t>投标文件附件的式样和递交</w:t>
            </w:r>
          </w:p>
        </w:tc>
        <w:tc>
          <w:tcPr>
            <w:tcW w:w="7222" w:type="dxa"/>
            <w:tcBorders>
              <w:top w:val="single" w:color="auto" w:sz="6" w:space="0"/>
              <w:left w:val="single" w:color="auto" w:sz="6" w:space="0"/>
              <w:bottom w:val="single" w:color="auto" w:sz="6" w:space="0"/>
              <w:right w:val="single" w:color="auto" w:sz="8" w:space="0"/>
            </w:tcBorders>
            <w:noWrap w:val="0"/>
            <w:vAlign w:val="center"/>
          </w:tcPr>
          <w:p w14:paraId="6E21E2F0">
            <w:pPr>
              <w:rPr>
                <w:rFonts w:hint="eastAsia" w:ascii="宋体" w:hAnsi="宋体" w:eastAsia="宋体" w:cs="宋体"/>
                <w:highlight w:val="none"/>
              </w:rPr>
            </w:pPr>
            <w:r>
              <w:rPr>
                <w:rFonts w:hint="eastAsia" w:ascii="宋体" w:hAnsi="宋体" w:eastAsia="宋体" w:cs="宋体"/>
                <w:highlight w:val="none"/>
              </w:rPr>
              <w:t>对excel表格等不可编辑成PDF的材料，若投标人需制作成为投标文件的一部分，可以附件形式上传至客户端进行加密。</w:t>
            </w:r>
          </w:p>
        </w:tc>
      </w:tr>
      <w:tr w14:paraId="32101F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00" w:type="dxa"/>
            <w:tcBorders>
              <w:top w:val="single" w:color="auto" w:sz="6" w:space="0"/>
              <w:left w:val="single" w:color="auto" w:sz="6" w:space="0"/>
              <w:bottom w:val="single" w:color="auto" w:sz="6" w:space="0"/>
              <w:right w:val="single" w:color="auto" w:sz="6" w:space="0"/>
            </w:tcBorders>
            <w:noWrap w:val="0"/>
            <w:vAlign w:val="center"/>
          </w:tcPr>
          <w:p w14:paraId="16425A94">
            <w:pPr>
              <w:autoSpaceDE w:val="0"/>
              <w:autoSpaceDN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投标文件的密封和标记</w:t>
            </w:r>
          </w:p>
        </w:tc>
        <w:tc>
          <w:tcPr>
            <w:tcW w:w="7222" w:type="dxa"/>
            <w:tcBorders>
              <w:top w:val="single" w:color="auto" w:sz="6" w:space="0"/>
              <w:left w:val="single" w:color="auto" w:sz="6" w:space="0"/>
              <w:bottom w:val="single" w:color="auto" w:sz="6" w:space="0"/>
              <w:right w:val="single" w:color="auto" w:sz="8" w:space="0"/>
            </w:tcBorders>
            <w:noWrap w:val="0"/>
            <w:vAlign w:val="center"/>
          </w:tcPr>
          <w:p w14:paraId="0A885390">
            <w:pPr>
              <w:autoSpaceDE w:val="0"/>
              <w:autoSpaceDN w:val="0"/>
              <w:rPr>
                <w:rFonts w:hint="eastAsia" w:ascii="宋体" w:hAnsi="宋体" w:eastAsia="宋体" w:cs="宋体"/>
                <w:b/>
                <w:szCs w:val="21"/>
                <w:highlight w:val="none"/>
              </w:rPr>
            </w:pPr>
            <w:r>
              <w:rPr>
                <w:rFonts w:hint="eastAsia" w:ascii="宋体" w:hAnsi="宋体" w:eastAsia="宋体" w:cs="宋体"/>
                <w:highlight w:val="none"/>
              </w:rPr>
              <w:t>投标人应使用CA证书对投标文件进行加密。（国e平台采用的CA证书是经国家权威机构认可的具备多种加密及安全认证的解决方案，投标文件一经加密后只有加密时使用的同一把CA或投标人制作电子投标文件时自行填写的密码才可以有效解密，因此请投标人有效保管CA证书，如因CA证书及投标人制作电子投标文件时自行填写的密码丢失导致投标人无法解密的情况，责任由投标人负责）</w:t>
            </w:r>
          </w:p>
        </w:tc>
      </w:tr>
    </w:tbl>
    <w:p w14:paraId="52B728D6">
      <w:pPr>
        <w:widowControl/>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投标人在国e平台上上传、递交电子投标文件时，应注意</w:t>
      </w:r>
    </w:p>
    <w:p w14:paraId="1476BD14">
      <w:pPr>
        <w:widowControl/>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（1）投标人应在上传后查看提交结果，了解和确认电子投标文件的提交状态；</w:t>
      </w:r>
    </w:p>
    <w:p w14:paraId="3A6C4062">
      <w:pPr>
        <w:pStyle w:val="21"/>
        <w:adjustRightInd w:val="0"/>
        <w:snapToGrid w:val="0"/>
        <w:rPr>
          <w:rFonts w:hint="eastAsia" w:ascii="宋体" w:hAnsi="宋体" w:eastAsia="宋体" w:cs="宋体"/>
          <w:sz w:val="21"/>
          <w:highlight w:val="none"/>
        </w:rPr>
      </w:pPr>
      <w:r>
        <w:rPr>
          <w:rFonts w:hint="eastAsia" w:ascii="宋体" w:hAnsi="宋体" w:eastAsia="宋体" w:cs="宋体"/>
          <w:sz w:val="21"/>
          <w:highlight w:val="none"/>
        </w:rPr>
        <w:t>（2）对于电子投标操作不熟悉或自身电脑、网络的原因导致未在投标截止时间之前上传投标文件的，招标代理机构不负任何责任。建议投标人尽量在投标截止时间前48小时执行上传投标文件操作，在投标截止时间前一天确保投标文件上传成功，在上传文件时如遇到问题需要协助可联系国e平台服务人员。</w:t>
      </w:r>
    </w:p>
    <w:p w14:paraId="2F99BBAC">
      <w:pPr>
        <w:autoSpaceDE w:val="0"/>
        <w:autoSpaceDN w:val="0"/>
        <w:adjustRightInd w:val="0"/>
        <w:snapToGrid w:val="0"/>
        <w:ind w:right="32" w:firstLine="359"/>
        <w:rPr>
          <w:rFonts w:hint="eastAsia" w:ascii="宋体" w:hAnsi="宋体" w:eastAsia="宋体" w:cs="宋体"/>
          <w:b/>
          <w:szCs w:val="21"/>
          <w:highlight w:val="none"/>
        </w:rPr>
      </w:pPr>
      <w:r>
        <w:rPr>
          <w:rFonts w:hint="eastAsia" w:ascii="宋体" w:hAnsi="宋体" w:eastAsia="宋体" w:cs="宋体"/>
          <w:b/>
          <w:szCs w:val="21"/>
          <w:highlight w:val="none"/>
        </w:rPr>
        <w:t>四、投标文件的递交</w:t>
      </w:r>
    </w:p>
    <w:p w14:paraId="45F515AB">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19. 投标文件的密封、标记和递交</w:t>
      </w:r>
    </w:p>
    <w:p w14:paraId="2D8A0EB4">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19.1 投标人应将《开标一览表》单独密封提交，并在信封上清晰标明“唱标信封”字样。投标人应将投标文件正本和所有的副本分别单独密封包装，并在外包装上清晰标明“正本”、“副本”字样。</w:t>
      </w:r>
    </w:p>
    <w:p w14:paraId="562D4CC1">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19.2 所有信封外包装上应当注明招标项目名称、项目编号和“在（招标文件中规定的</w:t>
      </w:r>
      <w:r>
        <w:rPr>
          <w:rFonts w:hint="eastAsia" w:ascii="宋体" w:hAnsi="宋体" w:eastAsia="宋体" w:cs="宋体"/>
          <w:iCs/>
          <w:kern w:val="0"/>
          <w:szCs w:val="21"/>
          <w:highlight w:val="none"/>
        </w:rPr>
        <w:t>开标日期和时间）</w:t>
      </w:r>
      <w:r>
        <w:rPr>
          <w:rFonts w:hint="eastAsia" w:ascii="宋体" w:hAnsi="宋体" w:eastAsia="宋体" w:cs="宋体"/>
          <w:kern w:val="0"/>
          <w:szCs w:val="21"/>
          <w:highlight w:val="none"/>
        </w:rPr>
        <w:t>之前不得启封”的字样，</w:t>
      </w:r>
      <w:r>
        <w:rPr>
          <w:rFonts w:hint="eastAsia" w:ascii="宋体" w:hAnsi="宋体" w:eastAsia="宋体" w:cs="宋体"/>
          <w:szCs w:val="21"/>
          <w:highlight w:val="none"/>
        </w:rPr>
        <w:t>封口处应加盖投标人印章或签字</w:t>
      </w:r>
      <w:r>
        <w:rPr>
          <w:rFonts w:hint="eastAsia" w:ascii="宋体" w:hAnsi="宋体" w:eastAsia="宋体" w:cs="宋体"/>
          <w:kern w:val="0"/>
          <w:szCs w:val="21"/>
          <w:highlight w:val="none"/>
        </w:rPr>
        <w:t>。具体格式如下：</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CE0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8" w:type="dxa"/>
            <w:noWrap w:val="0"/>
            <w:vAlign w:val="top"/>
          </w:tcPr>
          <w:p w14:paraId="14CAEC5F">
            <w:pPr>
              <w:pStyle w:val="21"/>
              <w:tabs>
                <w:tab w:val="left" w:pos="0"/>
              </w:tabs>
              <w:ind w:left="2"/>
              <w:jc w:val="center"/>
              <w:rPr>
                <w:rFonts w:hint="eastAsia" w:ascii="宋体" w:hAnsi="宋体" w:eastAsia="宋体" w:cs="宋体"/>
                <w:iCs/>
                <w:sz w:val="21"/>
                <w:highlight w:val="none"/>
              </w:rPr>
            </w:pPr>
            <w:r>
              <w:rPr>
                <w:rFonts w:hint="eastAsia" w:ascii="宋体" w:hAnsi="宋体" w:eastAsia="宋体" w:cs="宋体"/>
                <w:iCs/>
                <w:sz w:val="21"/>
                <w:highlight w:val="none"/>
              </w:rPr>
              <w:t>投标文件</w:t>
            </w:r>
          </w:p>
          <w:p w14:paraId="75F4E31B">
            <w:pPr>
              <w:pStyle w:val="21"/>
              <w:tabs>
                <w:tab w:val="left" w:pos="0"/>
              </w:tabs>
              <w:ind w:left="2"/>
              <w:rPr>
                <w:rFonts w:hint="eastAsia" w:ascii="宋体" w:hAnsi="宋体" w:eastAsia="宋体" w:cs="宋体"/>
                <w:iCs/>
                <w:sz w:val="21"/>
                <w:highlight w:val="none"/>
              </w:rPr>
            </w:pPr>
            <w:r>
              <w:rPr>
                <w:rFonts w:hint="eastAsia" w:ascii="宋体" w:hAnsi="宋体" w:eastAsia="宋体" w:cs="宋体"/>
                <w:iCs/>
                <w:sz w:val="21"/>
                <w:highlight w:val="none"/>
              </w:rPr>
              <w:t>收件人：国义招标股份有限公司</w:t>
            </w:r>
          </w:p>
          <w:p w14:paraId="78965099">
            <w:pPr>
              <w:pStyle w:val="21"/>
              <w:tabs>
                <w:tab w:val="left" w:pos="0"/>
              </w:tabs>
              <w:rPr>
                <w:rFonts w:hint="eastAsia" w:ascii="宋体" w:hAnsi="宋体" w:eastAsia="宋体" w:cs="宋体"/>
                <w:iCs/>
                <w:sz w:val="21"/>
                <w:highlight w:val="none"/>
              </w:rPr>
            </w:pPr>
            <w:r>
              <w:rPr>
                <w:rFonts w:hint="eastAsia" w:ascii="宋体" w:hAnsi="宋体" w:eastAsia="宋体" w:cs="宋体"/>
                <w:iCs/>
                <w:sz w:val="21"/>
                <w:highlight w:val="none"/>
              </w:rPr>
              <w:t>招标编号：</w:t>
            </w:r>
          </w:p>
          <w:p w14:paraId="743384A8">
            <w:pPr>
              <w:pStyle w:val="21"/>
              <w:tabs>
                <w:tab w:val="left" w:pos="0"/>
              </w:tabs>
              <w:rPr>
                <w:rFonts w:hint="eastAsia" w:ascii="宋体" w:hAnsi="宋体" w:eastAsia="宋体" w:cs="宋体"/>
                <w:iCs/>
                <w:sz w:val="21"/>
                <w:highlight w:val="none"/>
              </w:rPr>
            </w:pPr>
            <w:r>
              <w:rPr>
                <w:rFonts w:hint="eastAsia" w:ascii="宋体" w:hAnsi="宋体" w:eastAsia="宋体" w:cs="宋体"/>
                <w:iCs/>
                <w:sz w:val="21"/>
                <w:highlight w:val="none"/>
              </w:rPr>
              <w:t>项目名称：</w:t>
            </w:r>
          </w:p>
          <w:p w14:paraId="3536325E">
            <w:pPr>
              <w:pStyle w:val="21"/>
              <w:tabs>
                <w:tab w:val="left" w:pos="0"/>
              </w:tabs>
              <w:rPr>
                <w:rFonts w:hint="eastAsia" w:ascii="宋体" w:hAnsi="宋体" w:eastAsia="宋体" w:cs="宋体"/>
                <w:iCs/>
                <w:sz w:val="21"/>
                <w:highlight w:val="none"/>
              </w:rPr>
            </w:pPr>
            <w:r>
              <w:rPr>
                <w:rFonts w:hint="eastAsia" w:ascii="宋体" w:hAnsi="宋体" w:eastAsia="宋体" w:cs="宋体"/>
                <w:iCs/>
                <w:sz w:val="21"/>
                <w:highlight w:val="none"/>
              </w:rPr>
              <w:t>投标人名称(加盖公章)：</w:t>
            </w:r>
          </w:p>
          <w:p w14:paraId="44682958">
            <w:pPr>
              <w:autoSpaceDE w:val="0"/>
              <w:autoSpaceDN w:val="0"/>
              <w:adjustRightInd w:val="0"/>
              <w:snapToGrid w:val="0"/>
              <w:ind w:right="32"/>
              <w:rPr>
                <w:rFonts w:hint="eastAsia" w:ascii="宋体" w:hAnsi="宋体" w:eastAsia="宋体" w:cs="宋体"/>
                <w:kern w:val="0"/>
                <w:szCs w:val="21"/>
                <w:highlight w:val="none"/>
              </w:rPr>
            </w:pPr>
            <w:r>
              <w:rPr>
                <w:rFonts w:hint="eastAsia" w:ascii="宋体" w:hAnsi="宋体" w:eastAsia="宋体" w:cs="宋体"/>
                <w:kern w:val="0"/>
                <w:szCs w:val="21"/>
                <w:highlight w:val="none"/>
              </w:rPr>
              <w:t>在（招标文件中规定的</w:t>
            </w:r>
            <w:r>
              <w:rPr>
                <w:rFonts w:hint="eastAsia" w:ascii="宋体" w:hAnsi="宋体" w:eastAsia="宋体" w:cs="宋体"/>
                <w:szCs w:val="21"/>
                <w:highlight w:val="none"/>
              </w:rPr>
              <w:t>投标截止时间</w:t>
            </w:r>
            <w:r>
              <w:rPr>
                <w:rFonts w:hint="eastAsia" w:ascii="宋体" w:hAnsi="宋体" w:eastAsia="宋体" w:cs="宋体"/>
                <w:iCs/>
                <w:kern w:val="0"/>
                <w:szCs w:val="21"/>
                <w:highlight w:val="none"/>
              </w:rPr>
              <w:t>）</w:t>
            </w:r>
            <w:r>
              <w:rPr>
                <w:rFonts w:hint="eastAsia" w:ascii="宋体" w:hAnsi="宋体" w:eastAsia="宋体" w:cs="宋体"/>
                <w:kern w:val="0"/>
                <w:szCs w:val="21"/>
                <w:highlight w:val="none"/>
              </w:rPr>
              <w:t>之前不得启封</w:t>
            </w:r>
          </w:p>
        </w:tc>
      </w:tr>
    </w:tbl>
    <w:p w14:paraId="35E210B6">
      <w:pPr>
        <w:pStyle w:val="21"/>
        <w:adjustRightInd w:val="0"/>
        <w:snapToGrid w:val="0"/>
        <w:ind w:right="32" w:firstLine="359"/>
        <w:rPr>
          <w:rFonts w:hint="eastAsia" w:ascii="宋体" w:hAnsi="宋体" w:eastAsia="宋体" w:cs="宋体"/>
          <w:sz w:val="21"/>
          <w:highlight w:val="none"/>
        </w:rPr>
      </w:pPr>
      <w:r>
        <w:rPr>
          <w:rFonts w:hint="eastAsia" w:ascii="宋体" w:hAnsi="宋体" w:eastAsia="宋体" w:cs="宋体"/>
          <w:sz w:val="21"/>
          <w:highlight w:val="none"/>
        </w:rPr>
        <w:t>19.3如果未按要求密封和标记，招标采购单位对误投或提前启封概不负责。</w:t>
      </w:r>
    </w:p>
    <w:p w14:paraId="493416B7">
      <w:pPr>
        <w:pStyle w:val="21"/>
        <w:adjustRightInd w:val="0"/>
        <w:snapToGrid w:val="0"/>
        <w:ind w:right="32" w:firstLine="359"/>
        <w:rPr>
          <w:rFonts w:hint="eastAsia" w:ascii="宋体" w:hAnsi="宋体" w:eastAsia="宋体" w:cs="宋体"/>
          <w:sz w:val="21"/>
          <w:highlight w:val="none"/>
        </w:rPr>
      </w:pPr>
      <w:r>
        <w:rPr>
          <w:rFonts w:hint="eastAsia" w:ascii="宋体" w:hAnsi="宋体" w:eastAsia="宋体" w:cs="宋体"/>
          <w:sz w:val="21"/>
          <w:highlight w:val="none"/>
        </w:rPr>
        <w:t>19.4 招标采购单位在《投标邀请函》中规定的地点和投标截止时间之前接收投标文件，超过截止时间后的投标为无效投标，招标采购单位将拒绝接收。</w:t>
      </w:r>
    </w:p>
    <w:p w14:paraId="0B58938A">
      <w:pPr>
        <w:ind w:firstLine="420" w:firstLineChars="200"/>
        <w:rPr>
          <w:rFonts w:hint="eastAsia" w:ascii="宋体" w:hAnsi="宋体" w:eastAsia="宋体" w:cs="宋体"/>
          <w:szCs w:val="21"/>
          <w:highlight w:val="none"/>
        </w:rPr>
      </w:pPr>
      <w:r>
        <w:rPr>
          <w:rFonts w:hint="eastAsia" w:ascii="宋体" w:hAnsi="宋体" w:eastAsia="宋体" w:cs="宋体"/>
          <w:kern w:val="0"/>
          <w:szCs w:val="21"/>
          <w:highlight w:val="none"/>
        </w:rPr>
        <w:t xml:space="preserve">19.5 </w:t>
      </w:r>
      <w:r>
        <w:rPr>
          <w:rFonts w:hint="eastAsia" w:ascii="宋体" w:hAnsi="宋体" w:eastAsia="宋体" w:cs="宋体"/>
          <w:szCs w:val="21"/>
          <w:highlight w:val="none"/>
        </w:rPr>
        <w:t>投标人应将投标文件，在招标文件规定的投标截止时间前上传至国e平台（投标人须在投标截止时间前完全上传所有投标文件并按“递交投标文件”选项）。</w:t>
      </w:r>
    </w:p>
    <w:p w14:paraId="703EB8D6">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19.6 投标人须对投标文件进行电子签章，在进行电子签章时，须点击“多页签章”，并一次性输入投标文件的所有页码。</w:t>
      </w:r>
    </w:p>
    <w:p w14:paraId="3E6D698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温馨提示：考虑到现行国家实际的网络速率及投标人所处区域网络的情况，以及投标文件实际大小，请投标人尽量在投标截止时间前48小时执行上传投标文件操作，在投标截止时间前一天确保投标文件上传成功，在上传文件时如遇到问题需要协助可联系国e平台服务人员（叶韵诗：</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"mailto:yeyunshi@ebidding.com电话020-37860669" </w:instrText>
      </w:r>
      <w:r>
        <w:rPr>
          <w:rFonts w:hint="eastAsia" w:ascii="宋体" w:hAnsi="宋体" w:eastAsia="宋体" w:cs="宋体"/>
          <w:highlight w:val="none"/>
        </w:rPr>
        <w:fldChar w:fldCharType="separate"/>
      </w:r>
      <w:r>
        <w:rPr>
          <w:rFonts w:hint="eastAsia" w:ascii="宋体" w:hAnsi="宋体" w:eastAsia="宋体" w:cs="宋体"/>
          <w:szCs w:val="21"/>
          <w:highlight w:val="none"/>
        </w:rPr>
        <w:t>yeyunshi@ebidding.com电话020-37860669</w:t>
      </w:r>
      <w:r>
        <w:rPr>
          <w:rFonts w:hint="eastAsia" w:ascii="宋体" w:hAnsi="宋体" w:eastAsia="宋体" w:cs="宋体"/>
          <w:szCs w:val="21"/>
          <w:highlight w:val="none"/>
        </w:rPr>
        <w:fldChar w:fldCharType="end"/>
      </w:r>
      <w:r>
        <w:rPr>
          <w:rFonts w:hint="eastAsia" w:ascii="宋体" w:hAnsi="宋体" w:eastAsia="宋体" w:cs="宋体"/>
          <w:szCs w:val="21"/>
          <w:highlight w:val="none"/>
        </w:rPr>
        <w:t>、李磊lilei@ebidding.com电话020-37860665、叶海恋：yehailian@ebidding.com电话：020-37860671 ）。</w:t>
      </w:r>
    </w:p>
    <w:p w14:paraId="314A69F0">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别提醒：国e平台将记录投标人上传电子投标文件时的IP地址及网卡MAC地址，若不同投标人的电子投标文件上传记录存在IP地址或网卡MAC地址相同的情况，且无法提供合理解释的，有可能被认定为不同投标人委托同一单位或者个人办理投标事宜，或不同投标人的投标文件由同一电子设备编制、打印加密或者上传，评标委员会有权按照招标文件相关规定否决其投标。</w:t>
      </w:r>
    </w:p>
    <w:p w14:paraId="29AC4030">
      <w:pPr>
        <w:pStyle w:val="21"/>
        <w:adjustRightInd w:val="0"/>
        <w:snapToGrid w:val="0"/>
        <w:ind w:right="32" w:firstLine="359"/>
        <w:rPr>
          <w:rFonts w:hint="eastAsia" w:ascii="宋体" w:hAnsi="宋体" w:eastAsia="宋体" w:cs="宋体"/>
          <w:sz w:val="21"/>
          <w:highlight w:val="none"/>
        </w:rPr>
      </w:pPr>
      <w:r>
        <w:rPr>
          <w:rFonts w:hint="eastAsia" w:ascii="宋体" w:hAnsi="宋体" w:eastAsia="宋体" w:cs="宋体"/>
          <w:b/>
          <w:bCs/>
          <w:sz w:val="21"/>
          <w:highlight w:val="none"/>
        </w:rPr>
        <w:t>（投标人同时须于投标截止时间当天，递交一套纸质版的投标文件，纸质版投标文件应与投标人上传至国e平台的投标文件一致，用于一旦发生不可预计的情况下线上开标不能顺利操作时开启。）</w:t>
      </w:r>
    </w:p>
    <w:p w14:paraId="3613B1FE">
      <w:pPr>
        <w:pStyle w:val="21"/>
        <w:adjustRightInd w:val="0"/>
        <w:snapToGrid w:val="0"/>
        <w:ind w:right="32" w:firstLine="359"/>
        <w:rPr>
          <w:rFonts w:hint="eastAsia" w:ascii="宋体" w:hAnsi="宋体" w:eastAsia="宋体" w:cs="宋体"/>
          <w:sz w:val="21"/>
          <w:highlight w:val="none"/>
        </w:rPr>
      </w:pPr>
      <w:r>
        <w:rPr>
          <w:rFonts w:hint="eastAsia" w:ascii="宋体" w:hAnsi="宋体" w:eastAsia="宋体" w:cs="宋体"/>
          <w:sz w:val="21"/>
          <w:highlight w:val="none"/>
        </w:rPr>
        <w:t>19.7</w:t>
      </w:r>
      <w:r>
        <w:rPr>
          <w:rFonts w:hint="eastAsia" w:ascii="宋体" w:hAnsi="宋体" w:eastAsia="宋体" w:cs="宋体"/>
          <w:b/>
          <w:bCs/>
          <w:sz w:val="21"/>
          <w:highlight w:val="none"/>
        </w:rPr>
        <w:t>如投标人不选择远程线上参与开标，须于投标截止时间当天，带上 CA 证书到达开标地点。</w:t>
      </w:r>
    </w:p>
    <w:p w14:paraId="5F93737C">
      <w:pPr>
        <w:pStyle w:val="21"/>
        <w:adjustRightInd w:val="0"/>
        <w:snapToGrid w:val="0"/>
        <w:ind w:right="32" w:firstLine="359"/>
        <w:rPr>
          <w:rFonts w:hint="eastAsia" w:ascii="宋体" w:hAnsi="宋体" w:eastAsia="宋体" w:cs="宋体"/>
          <w:highlight w:val="none"/>
        </w:rPr>
      </w:pPr>
      <w:r>
        <w:rPr>
          <w:rFonts w:hint="eastAsia" w:ascii="宋体" w:hAnsi="宋体" w:eastAsia="宋体" w:cs="宋体"/>
          <w:highlight w:val="none"/>
        </w:rPr>
        <w:t>20. 投标文件的修改和撤回</w:t>
      </w:r>
    </w:p>
    <w:p w14:paraId="316AA3B4">
      <w:pPr>
        <w:pStyle w:val="21"/>
        <w:adjustRightInd w:val="0"/>
        <w:snapToGrid w:val="0"/>
        <w:ind w:right="32" w:firstLine="359"/>
        <w:rPr>
          <w:rFonts w:hint="eastAsia" w:ascii="宋体" w:hAnsi="宋体" w:eastAsia="宋体" w:cs="宋体"/>
          <w:sz w:val="21"/>
          <w:highlight w:val="none"/>
        </w:rPr>
      </w:pPr>
      <w:r>
        <w:rPr>
          <w:rFonts w:hint="eastAsia" w:ascii="宋体" w:hAnsi="宋体" w:eastAsia="宋体" w:cs="宋体"/>
          <w:sz w:val="21"/>
          <w:highlight w:val="none"/>
        </w:rPr>
        <w:t>20.1投标人在投标截止时间前，可以对所递交的投标文件进行补充、修改或者撤回，应在国e平台上进行，并书面通知招标采购单位。补充、修改的内容应当按招标文件要求签署、盖章，并作为投标文件的组成部分。在投标截止时间之后，投标人不得对其投标文件做任何修改和补充。</w:t>
      </w:r>
    </w:p>
    <w:p w14:paraId="6D6AD1DD">
      <w:pPr>
        <w:pStyle w:val="21"/>
        <w:adjustRightInd w:val="0"/>
        <w:snapToGrid w:val="0"/>
        <w:ind w:right="32" w:firstLine="359"/>
        <w:rPr>
          <w:rFonts w:hint="eastAsia" w:ascii="宋体" w:hAnsi="宋体" w:eastAsia="宋体" w:cs="宋体"/>
          <w:sz w:val="21"/>
          <w:highlight w:val="none"/>
        </w:rPr>
      </w:pPr>
      <w:r>
        <w:rPr>
          <w:rFonts w:hint="eastAsia" w:ascii="宋体" w:hAnsi="宋体" w:eastAsia="宋体" w:cs="宋体"/>
          <w:sz w:val="21"/>
          <w:highlight w:val="none"/>
        </w:rPr>
        <w:t>20.2 投标人在递交投标文件后，可以撤回其投标，应在国e平台上进行，但投标人必须在规定的投标截止时间前以书面形式告知招标采购单位。从投标截止时间至投标有效期结束的这段时间内，投标人不得撤回其投标，否则其投标保证金将不予退还。</w:t>
      </w:r>
    </w:p>
    <w:p w14:paraId="2A23BFE1">
      <w:pPr>
        <w:pStyle w:val="21"/>
        <w:adjustRightInd w:val="0"/>
        <w:snapToGrid w:val="0"/>
        <w:ind w:right="32" w:firstLine="359"/>
        <w:rPr>
          <w:rFonts w:hint="eastAsia" w:ascii="宋体" w:hAnsi="宋体" w:eastAsia="宋体" w:cs="宋体"/>
          <w:highlight w:val="none"/>
        </w:rPr>
      </w:pPr>
      <w:r>
        <w:rPr>
          <w:rFonts w:hint="eastAsia" w:ascii="宋体" w:hAnsi="宋体" w:eastAsia="宋体" w:cs="宋体"/>
          <w:sz w:val="21"/>
          <w:highlight w:val="none"/>
        </w:rPr>
        <w:t>20.3 投标人所提交的投标文件在评标结束后，无论中标与否都不退还。</w:t>
      </w:r>
    </w:p>
    <w:p w14:paraId="0DF13027">
      <w:pPr>
        <w:pStyle w:val="21"/>
        <w:adjustRightInd w:val="0"/>
        <w:snapToGrid w:val="0"/>
        <w:ind w:firstLine="359"/>
        <w:rPr>
          <w:rFonts w:hint="eastAsia" w:ascii="宋体" w:hAnsi="宋体" w:eastAsia="宋体" w:cs="宋体"/>
          <w:b/>
          <w:highlight w:val="none"/>
        </w:rPr>
      </w:pPr>
      <w:r>
        <w:rPr>
          <w:rFonts w:hint="eastAsia" w:ascii="宋体" w:hAnsi="宋体" w:eastAsia="宋体" w:cs="宋体"/>
          <w:b/>
          <w:highlight w:val="none"/>
        </w:rPr>
        <w:t>五、开标、评标与授标</w:t>
      </w:r>
    </w:p>
    <w:p w14:paraId="74EB60FF">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 开标</w:t>
      </w:r>
    </w:p>
    <w:p w14:paraId="77A21914">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21.1 线上开标</w:t>
      </w:r>
    </w:p>
    <w:p w14:paraId="28A2B422">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21.1.1招标代理机构在《投标邀请函》中规定的日期、时间和地点组织公开开标。</w:t>
      </w:r>
    </w:p>
    <w:p w14:paraId="2E721C82">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21.1.2递交了投标文件的投标人在投标截止时间之前登录国e平台网上开标大厅进行签到。</w:t>
      </w:r>
    </w:p>
    <w:p w14:paraId="01A5DD83">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21.1.3投标截止时间到达后，招标代理机构将确认开标。此后，投标人凭CA证书在国e平台对投标文件进行解密并签名确认。投标文件最晚必须在投标截止时间后半小时前解密。</w:t>
      </w:r>
    </w:p>
    <w:p w14:paraId="1AC9AA15">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21.1.4在签名阶段，投标人可自行下载开标一览表。</w:t>
      </w:r>
    </w:p>
    <w:p w14:paraId="61FE39B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21.1.5投标人在签到和开标阶段，须凭CA证书进行操作。</w:t>
      </w:r>
    </w:p>
    <w:p w14:paraId="5735AD6A">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21.2.如线上开标因网络原因、投标人设备故障原因、投标人操作原因或其他外部因素，导致投标人在投标截止时间后半小时内未能顺利签到和解密而无法继续进行线上开标流程的，开标转为线下开标。线下开标流程与传统开标流程相同，招标代理将对投标人在投标截止时间前递交的纸质投标文件进行拆封并唱读投标信息，并在开标仪式结束前打印纸质的开标一览表供投标人进行签字确认。</w:t>
      </w:r>
    </w:p>
    <w:p w14:paraId="0947EE8E">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21.2.1线下开标时，由投标人或其推选的代表检查投标文件的密封情况，也可以由招标采购单位委托的机构检查并见证，经确认无误后由招标工作人员当众拆封，宣读投标人名称、投标价格、价格折扣、投标文件的其他主要内容和招标文件允许提供的备选投标方案。</w:t>
      </w:r>
    </w:p>
    <w:p w14:paraId="5A0EAF66">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21.2.2 招标代理机构做好开标记录，开标记录由各投标人签字确认。</w:t>
      </w:r>
    </w:p>
    <w:p w14:paraId="65207E87">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21.2.3开标一览表内容与投标文件中投标明细报价表内容不一致的，以开标一览表为准。</w:t>
      </w:r>
    </w:p>
    <w:p w14:paraId="3EE23B23">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22. 评标委员会的组成和评标方法</w:t>
      </w:r>
    </w:p>
    <w:p w14:paraId="1A2EA614">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22.1 评标由招标代理机构依照相关法律、法规、规章、政策规定组建的评标委员会负责。评标委员会成员由招标人代表和评审专家组成，招标人代表人数、专家人数及专业构成按法规规定确定。评审专家依法从专家库中随机抽取。</w:t>
      </w:r>
    </w:p>
    <w:p w14:paraId="7FC65C07">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22.2 评标委员会将按照招标文件确定的评标方法进行评标。</w:t>
      </w:r>
    </w:p>
    <w:p w14:paraId="5FE19BEF">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22.3 本次评标采用综合评分法方法，具体见本部分“九 评标方法、步骤及标准”。</w:t>
      </w:r>
    </w:p>
    <w:p w14:paraId="1E4EA9A5">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23. 投标文件的初审，如投标文件初审不通过，其投标将被否决, 初审内容如下：</w:t>
      </w:r>
    </w:p>
    <w:p w14:paraId="598C97EC">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23.1投标文件的初审包括资格性审查和符合性审查。评标委员会将依法审查投标文件是否实质上响应了招标要求。具体审查内容详见《资格性及符合性检查表》。只有实质性响应的投标文件才能进行后续的比较与评价，否则将作无效投标处理。投标人不得通过修正或撤销不合要求的偏离从而使其投标文件成为实质上响应的投标。</w:t>
      </w:r>
    </w:p>
    <w:p w14:paraId="2FDF3377">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23.2 评标委员会决定投标文件的响应程度只依据投标文件本身的真实无误的内容，而不依据外部的证据。但投标文件有不真实、不正确内容的除外。</w:t>
      </w:r>
    </w:p>
    <w:p w14:paraId="73DE3FF6">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23.3投标文件的算术错误将按下列方法更正：评标委员会对大小写金额不一致、单价汇总与总价不一致的，按以下方法更正：投标文件的大写金额和小写金额不一致的，以大写金额为准；总价金额与按单价汇总金额不一致的，以单价金额计算结果为准；单价金额小数点有明显错位的，应以总价为准，并修改单价。如果投标人不接受对其错误的更正，其投标将被视为无效投标。</w:t>
      </w:r>
    </w:p>
    <w:p w14:paraId="2968976D">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23.4 如投标文件初审不通过，其投标将被否决。</w:t>
      </w:r>
    </w:p>
    <w:p w14:paraId="68790461">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24. 投标文件的澄清</w:t>
      </w:r>
    </w:p>
    <w:p w14:paraId="700FCEBF">
      <w:pPr>
        <w:ind w:firstLine="359"/>
        <w:rPr>
          <w:rFonts w:hint="eastAsia" w:ascii="宋体" w:hAnsi="宋体" w:eastAsia="宋体" w:cs="宋体"/>
          <w:szCs w:val="21"/>
          <w:highlight w:val="none"/>
        </w:rPr>
      </w:pPr>
      <w:r>
        <w:rPr>
          <w:rFonts w:hint="eastAsia" w:ascii="宋体" w:hAnsi="宋体" w:eastAsia="宋体" w:cs="宋体"/>
          <w:szCs w:val="21"/>
          <w:highlight w:val="none"/>
        </w:rPr>
        <w:t>24.1 评标期间，对投标文件中含义不明确、同类问题表述不一致或者有明显文字和计算错误的内容，评标委员会可以书面形式（应当由评标委员会签字）要求投标人做出必要的澄清、说明或者纠正，</w:t>
      </w:r>
      <w:r>
        <w:rPr>
          <w:rFonts w:hint="eastAsia" w:ascii="宋体" w:hAnsi="宋体" w:eastAsia="宋体" w:cs="宋体"/>
          <w:kern w:val="0"/>
          <w:szCs w:val="21"/>
          <w:highlight w:val="none"/>
        </w:rPr>
        <w:t>但不得允许投标人对投标报价等实质性内容做任何更改</w:t>
      </w:r>
      <w:r>
        <w:rPr>
          <w:rFonts w:hint="eastAsia" w:ascii="宋体" w:hAnsi="宋体" w:eastAsia="宋体" w:cs="宋体"/>
          <w:szCs w:val="21"/>
          <w:highlight w:val="none"/>
        </w:rPr>
        <w:t>。投标人的澄清、说明或者补正应在国e平台上进行，由其授权的代表签字，并不得超出投标文件的范围或者改变投标文件的实质性内容。有关澄清的答复应在国e平台上进行，由投标人的法定代表人或授权代表签字（或加盖投标人的印章）的书面形式做出。</w:t>
      </w:r>
    </w:p>
    <w:p w14:paraId="01A29FF7">
      <w:pPr>
        <w:pStyle w:val="21"/>
        <w:adjustRightInd w:val="0"/>
        <w:snapToGrid w:val="0"/>
        <w:ind w:firstLine="359"/>
        <w:rPr>
          <w:rFonts w:hint="eastAsia" w:ascii="宋体" w:hAnsi="宋体" w:eastAsia="宋体" w:cs="宋体"/>
          <w:highlight w:val="none"/>
        </w:rPr>
      </w:pPr>
      <w:r>
        <w:rPr>
          <w:rFonts w:hint="eastAsia" w:ascii="宋体" w:hAnsi="宋体" w:eastAsia="宋体" w:cs="宋体"/>
          <w:highlight w:val="none"/>
        </w:rPr>
        <w:t>24.2 投标人的澄清文件是其投标文件的组成部分。</w:t>
      </w:r>
    </w:p>
    <w:p w14:paraId="7F5395B1">
      <w:pPr>
        <w:tabs>
          <w:tab w:val="left" w:pos="8280"/>
        </w:tabs>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25. 投标的比较和评价</w:t>
      </w:r>
    </w:p>
    <w:p w14:paraId="2BA8465D">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25.1 评标委员会按招标文件中规定的评标方法和标准，对初审合格的投标文件进行商务和技术评估，综合比较与评价。</w:t>
      </w:r>
    </w:p>
    <w:p w14:paraId="1CAEA8DA">
      <w:pPr>
        <w:tabs>
          <w:tab w:val="left" w:pos="840"/>
        </w:tabs>
        <w:adjustRightInd w:val="0"/>
        <w:snapToGrid w:val="0"/>
        <w:ind w:firstLine="359"/>
        <w:rPr>
          <w:rFonts w:hint="eastAsia" w:ascii="宋体" w:hAnsi="宋体" w:eastAsia="宋体" w:cs="宋体"/>
          <w:szCs w:val="21"/>
          <w:highlight w:val="none"/>
        </w:rPr>
      </w:pPr>
      <w:r>
        <w:rPr>
          <w:rFonts w:hint="eastAsia" w:ascii="宋体" w:hAnsi="宋体" w:eastAsia="宋体" w:cs="宋体"/>
          <w:szCs w:val="21"/>
          <w:highlight w:val="none"/>
        </w:rPr>
        <w:t>26. 授标</w:t>
      </w:r>
    </w:p>
    <w:p w14:paraId="1CDF8ACD">
      <w:pPr>
        <w:tabs>
          <w:tab w:val="left" w:pos="0"/>
        </w:tabs>
        <w:adjustRightInd w:val="0"/>
        <w:snapToGrid w:val="0"/>
        <w:ind w:firstLine="359"/>
        <w:rPr>
          <w:rFonts w:hint="eastAsia" w:ascii="宋体" w:hAnsi="宋体" w:eastAsia="宋体" w:cs="宋体"/>
          <w:szCs w:val="21"/>
          <w:highlight w:val="none"/>
        </w:rPr>
      </w:pPr>
      <w:r>
        <w:rPr>
          <w:rFonts w:hint="eastAsia" w:ascii="宋体" w:hAnsi="宋体" w:eastAsia="宋体" w:cs="宋体"/>
          <w:szCs w:val="21"/>
          <w:highlight w:val="none"/>
        </w:rPr>
        <w:t>26.1评标委员会按照招标文件确定的评标方法、步骤、标准，对投标文件进行评审，推荐中标候选人名单，并提出书面评标报告。</w:t>
      </w:r>
    </w:p>
    <w:p w14:paraId="5E41DF7A">
      <w:pPr>
        <w:tabs>
          <w:tab w:val="left" w:pos="0"/>
        </w:tabs>
        <w:adjustRightInd w:val="0"/>
        <w:snapToGrid w:val="0"/>
        <w:ind w:firstLine="359"/>
        <w:rPr>
          <w:rFonts w:hint="eastAsia" w:ascii="宋体" w:hAnsi="宋体" w:eastAsia="宋体" w:cs="宋体"/>
          <w:szCs w:val="21"/>
          <w:highlight w:val="none"/>
        </w:rPr>
      </w:pPr>
      <w:r>
        <w:rPr>
          <w:rFonts w:hint="eastAsia" w:ascii="宋体" w:hAnsi="宋体" w:eastAsia="宋体" w:cs="宋体"/>
          <w:szCs w:val="21"/>
          <w:highlight w:val="none"/>
        </w:rPr>
        <w:t>26.2 招标人在收到评标报告后的法定时间内，按照评标报告中推荐的中标候选人顺序确定中标人。</w:t>
      </w:r>
    </w:p>
    <w:p w14:paraId="084DFD8D">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szCs w:val="21"/>
          <w:highlight w:val="none"/>
        </w:rPr>
        <w:t>26.3 中标人确定后，招标采购单位将在监督管理部门指定的媒体上发布中标公告，并在国e平台向中标人发出《中标通知书》，《中标通知书》对中标人和招标人具有同等法律效力。</w:t>
      </w:r>
    </w:p>
    <w:p w14:paraId="3FDC7F80">
      <w:pPr>
        <w:autoSpaceDE w:val="0"/>
        <w:autoSpaceDN w:val="0"/>
        <w:adjustRightInd w:val="0"/>
        <w:snapToGrid w:val="0"/>
        <w:ind w:right="32" w:firstLine="359"/>
        <w:rPr>
          <w:rFonts w:hint="eastAsia" w:ascii="宋体" w:hAnsi="宋体" w:eastAsia="宋体" w:cs="宋体"/>
          <w:b/>
          <w:kern w:val="0"/>
          <w:szCs w:val="21"/>
          <w:highlight w:val="none"/>
        </w:rPr>
      </w:pPr>
      <w:r>
        <w:rPr>
          <w:rFonts w:hint="eastAsia" w:ascii="宋体" w:hAnsi="宋体" w:eastAsia="宋体" w:cs="宋体"/>
          <w:b/>
          <w:kern w:val="0"/>
          <w:szCs w:val="21"/>
          <w:highlight w:val="none"/>
        </w:rPr>
        <w:t>六、异议</w:t>
      </w:r>
    </w:p>
    <w:p w14:paraId="4982ADC4">
      <w:pPr>
        <w:autoSpaceDE w:val="0"/>
        <w:autoSpaceDN w:val="0"/>
        <w:adjustRightInd w:val="0"/>
        <w:snapToGrid w:val="0"/>
        <w:ind w:right="32" w:firstLine="359"/>
        <w:rPr>
          <w:rFonts w:hint="eastAsia" w:ascii="宋体" w:hAnsi="宋体" w:eastAsia="宋体" w:cs="宋体"/>
          <w:szCs w:val="21"/>
          <w:highlight w:val="none"/>
        </w:rPr>
      </w:pPr>
      <w:r>
        <w:rPr>
          <w:rFonts w:hint="eastAsia" w:ascii="宋体" w:hAnsi="宋体" w:eastAsia="宋体" w:cs="宋体"/>
          <w:szCs w:val="21"/>
          <w:highlight w:val="none"/>
        </w:rPr>
        <w:t>27.异议</w:t>
      </w:r>
    </w:p>
    <w:p w14:paraId="08C71C14">
      <w:pPr>
        <w:autoSpaceDE w:val="0"/>
        <w:autoSpaceDN w:val="0"/>
        <w:adjustRightInd w:val="0"/>
        <w:snapToGrid w:val="0"/>
        <w:ind w:right="32" w:firstLine="359"/>
        <w:rPr>
          <w:rFonts w:hint="eastAsia" w:ascii="宋体" w:hAnsi="宋体" w:eastAsia="宋体" w:cs="宋体"/>
          <w:szCs w:val="21"/>
          <w:highlight w:val="none"/>
        </w:rPr>
      </w:pPr>
      <w:r>
        <w:rPr>
          <w:rFonts w:hint="eastAsia" w:ascii="宋体" w:hAnsi="宋体" w:eastAsia="宋体" w:cs="宋体"/>
          <w:szCs w:val="21"/>
          <w:highlight w:val="none"/>
        </w:rPr>
        <w:t>27.1对于招标文件有异议的，应当在投标截止时间10日前提出；对于开标的异议，应当当场提出；对于评标结果的异议，应当在公示期内提出。</w:t>
      </w:r>
    </w:p>
    <w:p w14:paraId="7F785417">
      <w:pPr>
        <w:pStyle w:val="21"/>
        <w:adjustRightInd w:val="0"/>
        <w:snapToGrid w:val="0"/>
        <w:ind w:firstLine="359"/>
        <w:rPr>
          <w:rFonts w:hint="eastAsia" w:ascii="宋体" w:hAnsi="宋体" w:eastAsia="宋体" w:cs="宋体"/>
          <w:kern w:val="2"/>
          <w:sz w:val="21"/>
          <w:highlight w:val="none"/>
        </w:rPr>
      </w:pPr>
      <w:r>
        <w:rPr>
          <w:rFonts w:hint="eastAsia" w:ascii="宋体" w:hAnsi="宋体" w:eastAsia="宋体" w:cs="宋体"/>
          <w:kern w:val="2"/>
          <w:sz w:val="21"/>
          <w:highlight w:val="none"/>
        </w:rPr>
        <w:t>异议接收机构名称：国义招标股份有限公司</w:t>
      </w:r>
      <w:r>
        <w:rPr>
          <w:rFonts w:hint="eastAsia" w:ascii="宋体" w:hAnsi="宋体" w:eastAsia="宋体" w:cs="宋体"/>
          <w:kern w:val="2"/>
          <w:sz w:val="21"/>
          <w:highlight w:val="none"/>
          <w:lang w:val="en-US" w:eastAsia="zh-CN"/>
        </w:rPr>
        <w:t>纪检</w:t>
      </w:r>
      <w:r>
        <w:rPr>
          <w:rFonts w:hint="eastAsia" w:ascii="宋体" w:hAnsi="宋体" w:eastAsia="宋体" w:cs="宋体"/>
          <w:kern w:val="2"/>
          <w:sz w:val="21"/>
          <w:highlight w:val="none"/>
        </w:rPr>
        <w:t>审计部</w:t>
      </w:r>
    </w:p>
    <w:p w14:paraId="58911D69">
      <w:pPr>
        <w:autoSpaceDE w:val="0"/>
        <w:autoSpaceDN w:val="0"/>
        <w:adjustRightInd w:val="0"/>
        <w:snapToGrid w:val="0"/>
        <w:ind w:right="32" w:firstLine="359"/>
        <w:rPr>
          <w:rFonts w:hint="eastAsia" w:ascii="宋体" w:hAnsi="宋体" w:eastAsia="宋体" w:cs="宋体"/>
          <w:kern w:val="2"/>
          <w:sz w:val="21"/>
          <w:highlight w:val="none"/>
        </w:rPr>
      </w:pPr>
      <w:r>
        <w:rPr>
          <w:rFonts w:hint="eastAsia" w:ascii="宋体" w:hAnsi="宋体" w:eastAsia="宋体" w:cs="宋体"/>
          <w:kern w:val="2"/>
          <w:sz w:val="21"/>
          <w:highlight w:val="none"/>
        </w:rPr>
        <w:t>质疑联系人：郭小姐、李小姐</w:t>
      </w:r>
    </w:p>
    <w:p w14:paraId="5548C777">
      <w:pPr>
        <w:autoSpaceDE w:val="0"/>
        <w:autoSpaceDN w:val="0"/>
        <w:adjustRightInd w:val="0"/>
        <w:snapToGrid w:val="0"/>
        <w:ind w:right="32" w:firstLine="359"/>
        <w:rPr>
          <w:rFonts w:hint="eastAsia" w:ascii="宋体" w:hAnsi="宋体" w:eastAsia="宋体" w:cs="宋体"/>
          <w:kern w:val="2"/>
          <w:sz w:val="21"/>
          <w:highlight w:val="none"/>
        </w:rPr>
      </w:pPr>
      <w:r>
        <w:rPr>
          <w:rFonts w:hint="eastAsia" w:ascii="宋体" w:hAnsi="宋体" w:eastAsia="宋体" w:cs="宋体"/>
          <w:kern w:val="2"/>
          <w:sz w:val="21"/>
          <w:highlight w:val="none"/>
        </w:rPr>
        <w:t>电话：020-37860713/715（工作时间：8：30-17：00）</w:t>
      </w:r>
    </w:p>
    <w:p w14:paraId="2ECC9148">
      <w:pPr>
        <w:autoSpaceDE w:val="0"/>
        <w:autoSpaceDN w:val="0"/>
        <w:adjustRightInd w:val="0"/>
        <w:snapToGrid w:val="0"/>
        <w:ind w:right="32" w:firstLine="359"/>
        <w:rPr>
          <w:rFonts w:hint="eastAsia" w:ascii="宋体" w:hAnsi="宋体" w:eastAsia="宋体" w:cs="宋体"/>
          <w:kern w:val="2"/>
          <w:sz w:val="21"/>
          <w:highlight w:val="none"/>
        </w:rPr>
      </w:pPr>
      <w:r>
        <w:rPr>
          <w:rFonts w:hint="eastAsia" w:ascii="宋体" w:hAnsi="宋体" w:eastAsia="宋体" w:cs="宋体"/>
          <w:kern w:val="2"/>
          <w:sz w:val="21"/>
          <w:highlight w:val="none"/>
        </w:rPr>
        <w:t>传真：/</w:t>
      </w:r>
    </w:p>
    <w:p w14:paraId="2D879635">
      <w:pPr>
        <w:autoSpaceDE w:val="0"/>
        <w:autoSpaceDN w:val="0"/>
        <w:adjustRightInd w:val="0"/>
        <w:snapToGrid w:val="0"/>
        <w:ind w:right="32" w:firstLine="359"/>
        <w:rPr>
          <w:rFonts w:hint="eastAsia" w:ascii="宋体" w:hAnsi="宋体" w:eastAsia="宋体" w:cs="宋体"/>
          <w:kern w:val="2"/>
          <w:sz w:val="21"/>
          <w:highlight w:val="none"/>
        </w:rPr>
      </w:pPr>
      <w:r>
        <w:rPr>
          <w:rFonts w:hint="eastAsia" w:ascii="宋体" w:hAnsi="宋体" w:eastAsia="宋体" w:cs="宋体"/>
          <w:kern w:val="2"/>
          <w:sz w:val="21"/>
          <w:highlight w:val="none"/>
        </w:rPr>
        <w:t>邮箱：guochunxi@ebidding.com</w:t>
      </w:r>
    </w:p>
    <w:p w14:paraId="7ABCDE6A">
      <w:pPr>
        <w:autoSpaceDE w:val="0"/>
        <w:autoSpaceDN w:val="0"/>
        <w:adjustRightInd w:val="0"/>
        <w:snapToGrid w:val="0"/>
        <w:ind w:right="32" w:firstLine="359"/>
        <w:rPr>
          <w:rFonts w:hint="eastAsia" w:ascii="宋体" w:hAnsi="宋体" w:eastAsia="宋体" w:cs="宋体"/>
          <w:kern w:val="2"/>
          <w:sz w:val="21"/>
          <w:highlight w:val="none"/>
        </w:rPr>
      </w:pPr>
      <w:r>
        <w:rPr>
          <w:rFonts w:hint="eastAsia" w:ascii="宋体" w:hAnsi="宋体" w:eastAsia="宋体" w:cs="宋体"/>
          <w:kern w:val="2"/>
          <w:sz w:val="21"/>
          <w:highlight w:val="none"/>
        </w:rPr>
        <w:t>地址：广州市东风东路726号9楼903室（</w:t>
      </w:r>
      <w:r>
        <w:rPr>
          <w:rFonts w:hint="eastAsia" w:ascii="宋体" w:hAnsi="宋体" w:eastAsia="宋体" w:cs="宋体"/>
          <w:kern w:val="2"/>
          <w:sz w:val="21"/>
          <w:highlight w:val="none"/>
          <w:lang w:val="en-US" w:eastAsia="zh-CN"/>
        </w:rPr>
        <w:t>纪检</w:t>
      </w:r>
      <w:r>
        <w:rPr>
          <w:rFonts w:hint="eastAsia" w:ascii="宋体" w:hAnsi="宋体" w:eastAsia="宋体" w:cs="宋体"/>
          <w:kern w:val="2"/>
          <w:sz w:val="21"/>
          <w:highlight w:val="none"/>
        </w:rPr>
        <w:t>审计部）</w:t>
      </w:r>
    </w:p>
    <w:p w14:paraId="3416DCF8">
      <w:pPr>
        <w:autoSpaceDE w:val="0"/>
        <w:autoSpaceDN w:val="0"/>
        <w:adjustRightInd w:val="0"/>
        <w:snapToGrid w:val="0"/>
        <w:ind w:right="32" w:firstLine="359"/>
        <w:rPr>
          <w:rFonts w:hint="eastAsia" w:ascii="宋体" w:hAnsi="宋体" w:eastAsia="宋体" w:cs="宋体"/>
          <w:kern w:val="2"/>
          <w:sz w:val="21"/>
          <w:highlight w:val="none"/>
        </w:rPr>
      </w:pPr>
      <w:r>
        <w:rPr>
          <w:rFonts w:hint="eastAsia" w:ascii="宋体" w:hAnsi="宋体" w:eastAsia="宋体" w:cs="宋体"/>
          <w:kern w:val="2"/>
          <w:sz w:val="21"/>
          <w:highlight w:val="none"/>
        </w:rPr>
        <w:t>邮编：510080</w:t>
      </w:r>
    </w:p>
    <w:p w14:paraId="0BAA0330">
      <w:pPr>
        <w:autoSpaceDE w:val="0"/>
        <w:autoSpaceDN w:val="0"/>
        <w:adjustRightInd w:val="0"/>
        <w:snapToGrid w:val="0"/>
        <w:ind w:right="32"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28. 合同的订立</w:t>
      </w:r>
    </w:p>
    <w:p w14:paraId="7994F815">
      <w:pPr>
        <w:autoSpaceDE w:val="0"/>
        <w:autoSpaceDN w:val="0"/>
        <w:adjustRightInd w:val="0"/>
        <w:snapToGrid w:val="0"/>
        <w:ind w:right="32" w:firstLine="359"/>
        <w:rPr>
          <w:rFonts w:hint="eastAsia" w:ascii="宋体" w:hAnsi="宋体" w:eastAsia="宋体" w:cs="宋体"/>
          <w:szCs w:val="21"/>
          <w:highlight w:val="none"/>
        </w:rPr>
      </w:pPr>
      <w:r>
        <w:rPr>
          <w:rFonts w:hint="eastAsia" w:ascii="宋体" w:hAnsi="宋体" w:eastAsia="宋体" w:cs="宋体"/>
          <w:kern w:val="0"/>
          <w:szCs w:val="21"/>
          <w:highlight w:val="none"/>
        </w:rPr>
        <w:t>28.1招标人与中标人自中标通知书发出之日起三十日内，按招标文件要求和中标人投标文件承诺签订合同，但不得超出招标文件和中标人投标文件的范围、也不得再行订立背离合同实质性内容的其他协议。如果第一中标候选人放弃中标或者没有按照规定签订合同，招标人将取消其中标资格，其投标保证金将不予退还</w:t>
      </w:r>
      <w:r>
        <w:rPr>
          <w:rFonts w:hint="eastAsia" w:ascii="宋体" w:hAnsi="宋体" w:eastAsia="宋体" w:cs="宋体"/>
          <w:szCs w:val="21"/>
          <w:highlight w:val="none"/>
        </w:rPr>
        <w:t>。在此情况下，采购单位重新招标。</w:t>
      </w:r>
    </w:p>
    <w:p w14:paraId="41CB71FF">
      <w:pPr>
        <w:adjustRightInd w:val="0"/>
        <w:snapToGrid w:val="0"/>
        <w:ind w:firstLine="359"/>
        <w:rPr>
          <w:rFonts w:hint="eastAsia" w:ascii="宋体" w:hAnsi="宋体" w:eastAsia="宋体" w:cs="宋体"/>
          <w:kern w:val="0"/>
          <w:szCs w:val="21"/>
          <w:highlight w:val="none"/>
        </w:rPr>
      </w:pPr>
      <w:r>
        <w:rPr>
          <w:rFonts w:hint="eastAsia" w:ascii="宋体" w:hAnsi="宋体" w:eastAsia="宋体" w:cs="宋体"/>
          <w:kern w:val="0"/>
          <w:szCs w:val="21"/>
          <w:highlight w:val="none"/>
        </w:rPr>
        <w:t>29. 合同的履行</w:t>
      </w:r>
    </w:p>
    <w:p w14:paraId="0819B7BD">
      <w:pPr>
        <w:ind w:firstLine="359"/>
        <w:rPr>
          <w:rFonts w:hint="eastAsia" w:ascii="宋体" w:hAnsi="宋体" w:eastAsia="宋体" w:cs="宋体"/>
          <w:szCs w:val="21"/>
          <w:highlight w:val="none"/>
        </w:rPr>
      </w:pPr>
      <w:r>
        <w:rPr>
          <w:rFonts w:hint="eastAsia" w:ascii="宋体" w:hAnsi="宋体" w:eastAsia="宋体" w:cs="宋体"/>
          <w:szCs w:val="21"/>
          <w:highlight w:val="none"/>
        </w:rPr>
        <w:t>29.1合同订立后，合同各方不得擅自变更、中止或者终止合同。合同需要变更的，招标人应将有关合同变更内容，以书面形式报监督管理机关备案；因特殊情况需要中止或终止合同的，招标人应将中止或终止合同的理由以及相应措施，以书面形式报监督管理部门报备。</w:t>
      </w:r>
    </w:p>
    <w:p w14:paraId="2A7695B0">
      <w:pPr>
        <w:ind w:firstLine="359"/>
        <w:rPr>
          <w:rFonts w:hint="eastAsia" w:ascii="宋体" w:hAnsi="宋体" w:eastAsia="宋体" w:cs="宋体"/>
          <w:szCs w:val="21"/>
          <w:highlight w:val="none"/>
        </w:rPr>
      </w:pPr>
      <w:r>
        <w:rPr>
          <w:rFonts w:hint="eastAsia" w:ascii="宋体" w:hAnsi="宋体" w:eastAsia="宋体" w:cs="宋体"/>
          <w:szCs w:val="21"/>
          <w:highlight w:val="none"/>
        </w:rPr>
        <w:t>29.2合同履行中，招标人需追加与合同标的相同的货物、工程或者服务的，在不改变合同其他条款的前提下，可以与中标人签订补充合同。签订补充合同的必须按照规定备案。</w:t>
      </w:r>
    </w:p>
    <w:p w14:paraId="0C29D6D7">
      <w:pPr>
        <w:adjustRightInd w:val="0"/>
        <w:snapToGrid w:val="0"/>
        <w:ind w:firstLine="359"/>
        <w:rPr>
          <w:rFonts w:hint="eastAsia" w:ascii="宋体" w:hAnsi="宋体" w:eastAsia="宋体" w:cs="宋体"/>
          <w:b/>
          <w:szCs w:val="21"/>
          <w:highlight w:val="none"/>
        </w:rPr>
      </w:pPr>
      <w:r>
        <w:rPr>
          <w:rFonts w:hint="eastAsia" w:ascii="宋体" w:hAnsi="宋体" w:eastAsia="宋体" w:cs="宋体"/>
          <w:b/>
          <w:szCs w:val="21"/>
          <w:highlight w:val="none"/>
        </w:rPr>
        <w:t>八、适用法律</w:t>
      </w:r>
    </w:p>
    <w:p w14:paraId="16873AC7">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30.招标采购单位及投标人的一切招标投标活动均适用</w:t>
      </w:r>
      <w:r>
        <w:rPr>
          <w:rFonts w:hint="eastAsia" w:ascii="宋体" w:hAnsi="宋体" w:eastAsia="宋体" w:cs="宋体"/>
          <w:kern w:val="0"/>
          <w:szCs w:val="21"/>
          <w:highlight w:val="none"/>
        </w:rPr>
        <w:t>《招标投标法》</w:t>
      </w:r>
      <w:r>
        <w:rPr>
          <w:rFonts w:hint="eastAsia" w:ascii="宋体" w:hAnsi="宋体" w:eastAsia="宋体" w:cs="宋体"/>
          <w:szCs w:val="21"/>
          <w:highlight w:val="none"/>
        </w:rPr>
        <w:t>及其配套的《广东省实施&lt;中华人民共和国招标投标法&gt;办法》等法规、规章、政策。</w:t>
      </w:r>
    </w:p>
    <w:p w14:paraId="156E2605">
      <w:pPr>
        <w:autoSpaceDE w:val="0"/>
        <w:autoSpaceDN w:val="0"/>
        <w:adjustRightInd w:val="0"/>
        <w:snapToGrid w:val="0"/>
        <w:ind w:right="34" w:firstLine="359"/>
        <w:rPr>
          <w:rFonts w:hint="eastAsia" w:ascii="宋体" w:hAnsi="宋体" w:eastAsia="宋体" w:cs="宋体"/>
          <w:b/>
          <w:bCs/>
          <w:szCs w:val="21"/>
          <w:highlight w:val="none"/>
        </w:rPr>
      </w:pPr>
      <w:r>
        <w:rPr>
          <w:rFonts w:hint="eastAsia" w:ascii="宋体" w:hAnsi="宋体" w:eastAsia="宋体" w:cs="宋体"/>
          <w:b/>
          <w:bCs/>
          <w:szCs w:val="21"/>
          <w:highlight w:val="none"/>
        </w:rPr>
        <w:t>30.1 与招标人存在利害关系可能影响招标公正性的法人、其他组织或者个人，不得参加投标。单位负责人为同一人或者存在控股、管理关系的不同单位，不得参加同一标段投标或者未划分标段的同一招标项目投标。存在以上情形的供应商应主动予以回避，否则自行承担相应的法律责任及后果。</w:t>
      </w:r>
    </w:p>
    <w:p w14:paraId="042C7039">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30.2 如投标人存在《中华人民共和国招标投标法实施条例》规定的属于投标人相互串通投标情形的，相关投标人依法承担相应的法律责任。</w:t>
      </w:r>
    </w:p>
    <w:p w14:paraId="1D054179">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《中华人民共和国招标投标法实施条例》第三十九条：禁止投标人相互串通投标。</w:t>
      </w:r>
    </w:p>
    <w:p w14:paraId="21B92AAE">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有下列情形之一的，属于投标人相互串通投标：</w:t>
      </w:r>
    </w:p>
    <w:p w14:paraId="226AE902">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（一）投标人之间协商投标报价等投标文件的实质性内容；</w:t>
      </w:r>
    </w:p>
    <w:p w14:paraId="06B26E0A">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（二）投标人之间约定中标人；</w:t>
      </w:r>
    </w:p>
    <w:p w14:paraId="63143EAB">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（三）投标人之间约定部分投标人放弃投标或者中标；</w:t>
      </w:r>
    </w:p>
    <w:p w14:paraId="26AAC1B2">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（四）属于同一集团、协会、商会等组织成员的投标人按照该组织要求协同投标；</w:t>
      </w:r>
    </w:p>
    <w:p w14:paraId="77643A19">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（五）投标人之间为谋取中标或者排斥特定投标人而采取的其他联合行动。</w:t>
      </w:r>
    </w:p>
    <w:p w14:paraId="6D295948">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《中华人民共和国招标投标法实施条例》第四十条：</w:t>
      </w:r>
    </w:p>
    <w:p w14:paraId="37A3B370">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有下列情形之一的，视为投标人相互串通投标：</w:t>
      </w:r>
    </w:p>
    <w:p w14:paraId="158FF00D">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（一）不同投标人的投标文件由同一单位或者个人编制；</w:t>
      </w:r>
    </w:p>
    <w:p w14:paraId="3948DBAB">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（二）不同投标人委托同一单位或者个人办理投标事宜；</w:t>
      </w:r>
    </w:p>
    <w:p w14:paraId="7483C68C">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（三）不同投标人的投标文件载明的项目管理成员为同一人；</w:t>
      </w:r>
    </w:p>
    <w:p w14:paraId="69361591">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（四）不同投标人的投标文件异常一致或者投标报价呈规律性差异；</w:t>
      </w:r>
    </w:p>
    <w:p w14:paraId="70A07C5F">
      <w:pPr>
        <w:autoSpaceDE w:val="0"/>
        <w:autoSpaceDN w:val="0"/>
        <w:adjustRightInd w:val="0"/>
        <w:snapToGrid w:val="0"/>
        <w:ind w:right="34"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（五）不同投标人的投标文件相互混装；</w:t>
      </w:r>
    </w:p>
    <w:p w14:paraId="5346F9B4">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（六）不同投标人的投标保证金从同一单位或者个人的账户转出。</w:t>
      </w:r>
    </w:p>
    <w:p w14:paraId="2F3DE84E">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30.3如投标人存在《广东省实施&lt;中华人民共和国招标投标法&gt;办法》规定的第十六条情形的，相关投标人依法承担相应的法律责任。</w:t>
      </w:r>
    </w:p>
    <w:p w14:paraId="47DC5F26">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《广东省实施&lt;中华人民共和国招标投标法&gt;办法》第十六条：</w:t>
      </w:r>
    </w:p>
    <w:p w14:paraId="2C2511CD">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投标人之间不得有下列情形：</w:t>
      </w:r>
    </w:p>
    <w:p w14:paraId="36DE1456">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（一）不同投标人编制的投标文件的实质性内容存在两处以上细节错误一致；</w:t>
      </w:r>
    </w:p>
    <w:p w14:paraId="646A7711">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（二）不同投标人的投标文件由同一电子设备编制、打包加密或者上传，不同投标人的投标文件由同一投标人的电子设备打印、复印；</w:t>
      </w:r>
    </w:p>
    <w:p w14:paraId="3D30CFE8">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（三）不同投标人的投标文件由同一投标人送达或者分发；</w:t>
      </w:r>
    </w:p>
    <w:p w14:paraId="16395896">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（四）参加投标活动的人员为同一标段其他投标人的在职人员；</w:t>
      </w:r>
    </w:p>
    <w:p w14:paraId="4418E41C">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（五）不同投标人的投标保证金从投标人各自的基本账户转出，但是，所需资金来自同一单位或者个人账户；</w:t>
      </w:r>
    </w:p>
    <w:p w14:paraId="41872D1D">
      <w:pPr>
        <w:autoSpaceDE w:val="0"/>
        <w:autoSpaceDN w:val="0"/>
        <w:adjustRightInd w:val="0"/>
        <w:snapToGrid w:val="0"/>
        <w:ind w:right="34" w:firstLine="359"/>
        <w:rPr>
          <w:rFonts w:hint="eastAsia" w:ascii="宋体" w:hAnsi="宋体" w:eastAsia="宋体" w:cs="宋体"/>
          <w:szCs w:val="21"/>
          <w:highlight w:val="none"/>
        </w:rPr>
      </w:pPr>
      <w:r>
        <w:rPr>
          <w:rFonts w:hint="eastAsia" w:ascii="宋体" w:hAnsi="宋体" w:eastAsia="宋体" w:cs="宋体"/>
          <w:szCs w:val="21"/>
          <w:highlight w:val="none"/>
        </w:rPr>
        <w:t>（六）法律、行政法规规定的其他禁止情形。</w:t>
      </w:r>
    </w:p>
    <w:p w14:paraId="2F613477">
      <w:pPr>
        <w:pStyle w:val="7"/>
        <w:ind w:firstLine="359"/>
        <w:rPr>
          <w:rFonts w:hint="eastAsia" w:ascii="宋体" w:hAnsi="宋体" w:eastAsia="宋体" w:cs="宋体"/>
          <w:b/>
          <w:szCs w:val="21"/>
          <w:highlight w:val="none"/>
        </w:rPr>
      </w:pPr>
      <w:r>
        <w:rPr>
          <w:rFonts w:hint="eastAsia" w:ascii="宋体" w:hAnsi="宋体" w:eastAsia="宋体" w:cs="宋体"/>
          <w:b/>
          <w:szCs w:val="21"/>
          <w:highlight w:val="none"/>
        </w:rPr>
        <w:t>九  评标方法、步骤及标准</w:t>
      </w:r>
    </w:p>
    <w:p w14:paraId="1BEB6380">
      <w:pPr>
        <w:pStyle w:val="7"/>
        <w:ind w:firstLine="359"/>
        <w:rPr>
          <w:rFonts w:hint="eastAsia" w:ascii="宋体" w:hAnsi="宋体" w:eastAsia="宋体" w:cs="宋体"/>
          <w:szCs w:val="21"/>
          <w:highlight w:val="none"/>
        </w:rPr>
      </w:pPr>
      <w:r>
        <w:rPr>
          <w:rFonts w:hint="eastAsia" w:ascii="宋体" w:hAnsi="宋体" w:eastAsia="宋体" w:cs="宋体"/>
          <w:szCs w:val="21"/>
          <w:highlight w:val="none"/>
        </w:rPr>
        <w:t>根据相关规定确定以下评标方法、步骤及标准：</w:t>
      </w:r>
    </w:p>
    <w:p w14:paraId="1C3B88A7">
      <w:pPr>
        <w:pStyle w:val="7"/>
        <w:ind w:firstLine="359"/>
        <w:rPr>
          <w:rFonts w:hint="eastAsia" w:ascii="宋体" w:hAnsi="宋体" w:eastAsia="宋体" w:cs="宋体"/>
          <w:b/>
          <w:szCs w:val="21"/>
          <w:highlight w:val="none"/>
        </w:rPr>
      </w:pPr>
      <w:r>
        <w:rPr>
          <w:rFonts w:hint="eastAsia" w:ascii="宋体" w:hAnsi="宋体" w:eastAsia="宋体" w:cs="宋体"/>
          <w:b/>
          <w:szCs w:val="21"/>
          <w:highlight w:val="none"/>
        </w:rPr>
        <w:t>31.评标方法</w:t>
      </w:r>
    </w:p>
    <w:p w14:paraId="6A28B3C3">
      <w:pPr>
        <w:pStyle w:val="7"/>
        <w:ind w:firstLine="359"/>
        <w:rPr>
          <w:rFonts w:hint="eastAsia" w:ascii="宋体" w:hAnsi="宋体" w:eastAsia="宋体" w:cs="宋体"/>
          <w:szCs w:val="21"/>
          <w:highlight w:val="none"/>
        </w:rPr>
      </w:pPr>
      <w:r>
        <w:rPr>
          <w:rFonts w:hint="eastAsia" w:ascii="宋体" w:hAnsi="宋体" w:eastAsia="宋体" w:cs="宋体"/>
          <w:szCs w:val="21"/>
          <w:highlight w:val="none"/>
        </w:rPr>
        <w:t>本次评标采用综合评分法，即在最大限度地满足招标文件实质性要求前提下，按技术、商务和价格三部分分别打分的方式进行评分。三项总分为100分，其中技术得分占</w:t>
      </w:r>
      <w:r>
        <w:rPr>
          <w:rFonts w:hint="eastAsia" w:ascii="宋体" w:hAnsi="宋体" w:eastAsia="宋体" w:cs="宋体"/>
          <w:szCs w:val="21"/>
          <w:highlight w:val="none"/>
          <w:lang w:val="en-US" w:eastAsia="zh-CN"/>
        </w:rPr>
        <w:t>55</w:t>
      </w:r>
      <w:r>
        <w:rPr>
          <w:rFonts w:hint="eastAsia" w:ascii="宋体" w:hAnsi="宋体" w:eastAsia="宋体" w:cs="宋体"/>
          <w:szCs w:val="21"/>
          <w:highlight w:val="none"/>
        </w:rPr>
        <w:t>分，商务得分占</w:t>
      </w:r>
      <w:r>
        <w:rPr>
          <w:rFonts w:hint="eastAsia" w:ascii="宋体" w:hAnsi="宋体" w:cs="宋体"/>
          <w:szCs w:val="21"/>
          <w:highlight w:val="none"/>
          <w:lang w:val="en-US" w:eastAsia="zh-CN"/>
        </w:rPr>
        <w:t>35</w:t>
      </w:r>
      <w:r>
        <w:rPr>
          <w:rFonts w:hint="eastAsia" w:ascii="宋体" w:hAnsi="宋体" w:eastAsia="宋体" w:cs="宋体"/>
          <w:szCs w:val="21"/>
          <w:highlight w:val="none"/>
        </w:rPr>
        <w:t>分，价格得分占</w:t>
      </w:r>
      <w:r>
        <w:rPr>
          <w:rFonts w:hint="eastAsia" w:ascii="宋体" w:hAnsi="宋体" w:cs="宋体"/>
          <w:szCs w:val="21"/>
          <w:highlight w:val="none"/>
          <w:lang w:val="en-US" w:eastAsia="zh-CN"/>
        </w:rPr>
        <w:t>10</w:t>
      </w:r>
      <w:r>
        <w:rPr>
          <w:rFonts w:hint="eastAsia" w:ascii="宋体" w:hAnsi="宋体" w:eastAsia="宋体" w:cs="宋体"/>
          <w:szCs w:val="21"/>
          <w:highlight w:val="none"/>
        </w:rPr>
        <w:t xml:space="preserve">分。以评标总得分最高的投标人作为中标候选人。 </w:t>
      </w:r>
    </w:p>
    <w:p w14:paraId="138E0368">
      <w:pPr>
        <w:pStyle w:val="7"/>
        <w:ind w:firstLine="359"/>
        <w:rPr>
          <w:rFonts w:hint="eastAsia" w:ascii="宋体" w:hAnsi="宋体" w:eastAsia="宋体" w:cs="宋体"/>
          <w:b/>
          <w:szCs w:val="21"/>
          <w:highlight w:val="none"/>
        </w:rPr>
      </w:pPr>
      <w:r>
        <w:rPr>
          <w:rFonts w:hint="eastAsia" w:ascii="宋体" w:hAnsi="宋体" w:eastAsia="宋体" w:cs="宋体"/>
          <w:b/>
          <w:szCs w:val="21"/>
          <w:highlight w:val="none"/>
        </w:rPr>
        <w:t>32.评标步骤</w:t>
      </w:r>
    </w:p>
    <w:p w14:paraId="7AD6F4D5">
      <w:pPr>
        <w:pStyle w:val="7"/>
        <w:ind w:firstLine="359"/>
        <w:rPr>
          <w:rFonts w:hint="eastAsia" w:ascii="宋体" w:hAnsi="宋体" w:eastAsia="宋体" w:cs="宋体"/>
          <w:szCs w:val="21"/>
          <w:highlight w:val="none"/>
        </w:rPr>
      </w:pPr>
      <w:r>
        <w:rPr>
          <w:rFonts w:hint="eastAsia" w:ascii="宋体" w:hAnsi="宋体" w:eastAsia="宋体" w:cs="宋体"/>
          <w:szCs w:val="21"/>
          <w:highlight w:val="none"/>
        </w:rPr>
        <w:t>评标委员会对投标文件的评审分为初审、比较与评价：</w:t>
      </w:r>
    </w:p>
    <w:p w14:paraId="295EBC0C">
      <w:pPr>
        <w:pStyle w:val="7"/>
        <w:ind w:firstLine="359"/>
        <w:rPr>
          <w:rFonts w:hint="eastAsia" w:ascii="宋体" w:hAnsi="宋体" w:eastAsia="宋体" w:cs="宋体"/>
          <w:b/>
          <w:szCs w:val="21"/>
          <w:highlight w:val="none"/>
        </w:rPr>
      </w:pPr>
      <w:r>
        <w:rPr>
          <w:rFonts w:hint="eastAsia" w:ascii="宋体" w:hAnsi="宋体" w:eastAsia="宋体" w:cs="宋体"/>
          <w:b/>
          <w:szCs w:val="21"/>
          <w:highlight w:val="none"/>
        </w:rPr>
        <w:t>（一）初审</w:t>
      </w:r>
    </w:p>
    <w:p w14:paraId="61FDD3AE">
      <w:pPr>
        <w:pStyle w:val="7"/>
        <w:ind w:firstLine="359"/>
        <w:jc w:val="center"/>
        <w:rPr>
          <w:rFonts w:hint="eastAsia" w:ascii="宋体" w:hAnsi="宋体" w:eastAsia="宋体" w:cs="宋体"/>
          <w:b/>
          <w:szCs w:val="21"/>
          <w:highlight w:val="none"/>
        </w:rPr>
      </w:pPr>
      <w:r>
        <w:rPr>
          <w:rFonts w:hint="eastAsia" w:ascii="宋体" w:hAnsi="宋体" w:eastAsia="宋体" w:cs="宋体"/>
          <w:b/>
          <w:szCs w:val="21"/>
          <w:highlight w:val="none"/>
        </w:rPr>
        <w:t>《资格性及符合性检查表》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458"/>
      </w:tblGrid>
      <w:tr w14:paraId="321E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42283454">
            <w:pPr>
              <w:autoSpaceDE w:val="0"/>
              <w:autoSpaceDN w:val="0"/>
              <w:adjustRightInd w:val="0"/>
              <w:snapToGrid w:val="0"/>
              <w:ind w:right="32"/>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8458" w:type="dxa"/>
            <w:noWrap w:val="0"/>
            <w:vAlign w:val="top"/>
          </w:tcPr>
          <w:p w14:paraId="756E40C6">
            <w:pPr>
              <w:autoSpaceDE w:val="0"/>
              <w:autoSpaceDN w:val="0"/>
              <w:adjustRightInd w:val="0"/>
              <w:snapToGrid w:val="0"/>
              <w:ind w:right="32"/>
              <w:jc w:val="center"/>
              <w:rPr>
                <w:rFonts w:hint="eastAsia" w:ascii="宋体" w:hAnsi="宋体" w:eastAsia="宋体" w:cs="宋体"/>
                <w:szCs w:val="21"/>
                <w:highlight w:val="none"/>
              </w:rPr>
            </w:pPr>
            <w:r>
              <w:rPr>
                <w:rFonts w:hint="eastAsia" w:ascii="宋体" w:hAnsi="宋体" w:eastAsia="宋体" w:cs="宋体"/>
                <w:szCs w:val="21"/>
                <w:highlight w:val="none"/>
              </w:rPr>
              <w:t>内容</w:t>
            </w:r>
          </w:p>
        </w:tc>
      </w:tr>
      <w:tr w14:paraId="0464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4952F6AE">
            <w:pPr>
              <w:autoSpaceDE w:val="0"/>
              <w:autoSpaceDN w:val="0"/>
              <w:adjustRightInd w:val="0"/>
              <w:snapToGrid w:val="0"/>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rPr>
              <w:t>1</w:t>
            </w:r>
          </w:p>
        </w:tc>
        <w:tc>
          <w:tcPr>
            <w:tcW w:w="8458" w:type="dxa"/>
            <w:noWrap w:val="0"/>
            <w:vAlign w:val="top"/>
          </w:tcPr>
          <w:p w14:paraId="45A570D2">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①</w:t>
            </w:r>
            <w:r>
              <w:rPr>
                <w:rFonts w:hint="eastAsia" w:ascii="宋体" w:hAnsi="宋体" w:cs="宋体"/>
                <w:kern w:val="0"/>
                <w:szCs w:val="21"/>
                <w:highlight w:val="none"/>
                <w:lang w:val="en-US" w:eastAsia="zh-CN"/>
              </w:rPr>
              <w:t>投</w:t>
            </w:r>
            <w:r>
              <w:rPr>
                <w:rFonts w:hint="eastAsia" w:ascii="宋体" w:hAnsi="宋体" w:eastAsia="宋体" w:cs="宋体"/>
                <w:kern w:val="0"/>
                <w:szCs w:val="21"/>
                <w:highlight w:val="none"/>
              </w:rPr>
              <w:t>标报价是唯一确定的</w:t>
            </w:r>
          </w:p>
        </w:tc>
      </w:tr>
      <w:tr w14:paraId="2459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1D8E8BFD">
            <w:pPr>
              <w:autoSpaceDE w:val="0"/>
              <w:autoSpaceDN w:val="0"/>
              <w:adjustRightInd w:val="0"/>
              <w:snapToGrid w:val="0"/>
              <w:ind w:right="32"/>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8458" w:type="dxa"/>
            <w:noWrap w:val="0"/>
            <w:vAlign w:val="top"/>
          </w:tcPr>
          <w:p w14:paraId="1A716DC2">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准入条件：</w:t>
            </w:r>
          </w:p>
          <w:p w14:paraId="56F6EECF">
            <w:pPr>
              <w:rPr>
                <w:rFonts w:hint="eastAsia" w:ascii="宋体" w:hAnsi="宋体" w:eastAsia="宋体" w:cs="宋体"/>
                <w:kern w:val="0"/>
                <w:szCs w:val="21"/>
                <w:highlight w:val="none"/>
              </w:rPr>
            </w:pPr>
            <w:r>
              <w:rPr>
                <w:rFonts w:hint="eastAsia" w:ascii="宋体" w:hAnsi="宋体" w:eastAsia="宋体" w:cs="宋体"/>
                <w:kern w:val="0"/>
                <w:szCs w:val="21"/>
                <w:highlight w:val="none"/>
              </w:rPr>
              <w:t>（1）提供《投标函》，投标有效期为自提交投标文件的截止之日起90日</w:t>
            </w:r>
          </w:p>
          <w:p w14:paraId="11AD779F">
            <w:pPr>
              <w:rPr>
                <w:rFonts w:hint="eastAsia" w:ascii="宋体" w:hAnsi="宋体" w:eastAsia="宋体" w:cs="宋体"/>
                <w:kern w:val="0"/>
                <w:szCs w:val="21"/>
                <w:highlight w:val="none"/>
              </w:rPr>
            </w:pPr>
            <w:r>
              <w:rPr>
                <w:rFonts w:hint="eastAsia" w:ascii="宋体" w:hAnsi="宋体" w:eastAsia="宋体" w:cs="宋体"/>
                <w:kern w:val="0"/>
                <w:szCs w:val="21"/>
                <w:highlight w:val="none"/>
              </w:rPr>
              <w:t>（2）提供《关于资格的声明函》</w:t>
            </w:r>
          </w:p>
          <w:p w14:paraId="08D849EE">
            <w:pPr>
              <w:autoSpaceDE w:val="0"/>
              <w:autoSpaceDN w:val="0"/>
              <w:adjustRightInd w:val="0"/>
              <w:snapToGrid w:val="0"/>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3</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投标人必须是来自中华人民共和国（以下简称“合格来源国”）的法人或其他组织。</w:t>
            </w:r>
          </w:p>
          <w:p w14:paraId="7EC0632C">
            <w:pPr>
              <w:autoSpaceDE w:val="0"/>
              <w:autoSpaceDN w:val="0"/>
              <w:adjustRightInd w:val="0"/>
              <w:snapToGrid w:val="0"/>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4</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投标人只允许为独立法人或其他组织，不接受联合体投标。</w:t>
            </w:r>
          </w:p>
          <w:p w14:paraId="084F8CC0">
            <w:pPr>
              <w:autoSpaceDE w:val="0"/>
              <w:autoSpaceDN w:val="0"/>
              <w:adjustRightInd w:val="0"/>
              <w:snapToGrid w:val="0"/>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5</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投标人须具有有效的《食品经营许可证》或者经市场监督管理部门批准的食品经营许可文件。</w:t>
            </w:r>
          </w:p>
          <w:p w14:paraId="1722E78B">
            <w:pPr>
              <w:autoSpaceDE w:val="0"/>
              <w:autoSpaceDN w:val="0"/>
              <w:adjustRightInd w:val="0"/>
              <w:snapToGrid w:val="0"/>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6</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单位负责人为同一人或者存在控股、管理关系的不同单位，不得参加同一招标项目包投标。(投标人出具声明函)。</w:t>
            </w:r>
          </w:p>
          <w:p w14:paraId="65FE358D">
            <w:pPr>
              <w:autoSpaceDE w:val="0"/>
              <w:autoSpaceDN w:val="0"/>
              <w:adjustRightInd w:val="0"/>
              <w:snapToGrid w:val="0"/>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7</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为</w:t>
            </w:r>
            <w:r>
              <w:rPr>
                <w:rFonts w:hint="eastAsia" w:ascii="宋体" w:hAnsi="宋体" w:eastAsia="宋体" w:cs="宋体"/>
                <w:szCs w:val="21"/>
                <w:highlight w:val="none"/>
                <w:lang w:val="zh-CN" w:eastAsia="zh-CN"/>
              </w:rPr>
              <w:t>本</w:t>
            </w:r>
            <w:r>
              <w:rPr>
                <w:rFonts w:hint="eastAsia" w:ascii="宋体" w:hAnsi="宋体" w:eastAsia="宋体" w:cs="宋体"/>
                <w:szCs w:val="21"/>
                <w:highlight w:val="none"/>
                <w:lang w:val="zh-CN"/>
              </w:rPr>
              <w:t>项目提供整体设计、规范编制或者项目管理、监理、检测等服务的投标人，不得再参加</w:t>
            </w:r>
            <w:r>
              <w:rPr>
                <w:rFonts w:hint="eastAsia" w:ascii="宋体" w:hAnsi="宋体" w:eastAsia="宋体" w:cs="宋体"/>
                <w:szCs w:val="21"/>
                <w:highlight w:val="none"/>
                <w:lang w:val="zh-CN" w:eastAsia="zh-CN"/>
              </w:rPr>
              <w:t>本</w:t>
            </w:r>
            <w:r>
              <w:rPr>
                <w:rFonts w:hint="eastAsia" w:ascii="宋体" w:hAnsi="宋体" w:eastAsia="宋体" w:cs="宋体"/>
                <w:szCs w:val="21"/>
                <w:highlight w:val="none"/>
                <w:lang w:val="zh-CN"/>
              </w:rPr>
              <w:t>项目的其他采购活动(投标人出具声明函)。</w:t>
            </w:r>
          </w:p>
          <w:p w14:paraId="4BCA26D7">
            <w:pPr>
              <w:autoSpaceDE w:val="0"/>
              <w:autoSpaceDN w:val="0"/>
              <w:adjustRightInd w:val="0"/>
              <w:snapToGrid w:val="0"/>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8</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投标人没有被列入失信被执行人、重大税收违法案件当事人名单（即税收违法黑名单）、政府采购严重违法失信行为记录名单及其他不符合规定条件的投标人。[根据信用中国网站（www.creditchina.gov.cn）、中国政府采购网（www.ccgp.gov.cn）主体信用记录信息进行查询]。</w:t>
            </w:r>
          </w:p>
          <w:p w14:paraId="0613E8B6">
            <w:pPr>
              <w:autoSpaceDE w:val="0"/>
              <w:autoSpaceDN w:val="0"/>
              <w:adjustRightInd w:val="0"/>
              <w:snapToGrid w:val="0"/>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9</w:t>
            </w:r>
            <w:r>
              <w:rPr>
                <w:rFonts w:hint="eastAsia" w:ascii="宋体" w:hAnsi="宋体" w:eastAsia="宋体" w:cs="宋体"/>
                <w:szCs w:val="21"/>
                <w:highlight w:val="none"/>
                <w:lang w:val="zh-CN" w:eastAsia="zh-CN"/>
              </w:rPr>
              <w:t>）本项目不允许转包。如合同有约定，可以对本项目的部分非主体、非关键性工作进行分包,投标人应当就分包项目向招标人负责。</w:t>
            </w:r>
          </w:p>
          <w:p w14:paraId="23F7404C">
            <w:pPr>
              <w:autoSpaceDE w:val="0"/>
              <w:autoSpaceDN w:val="0"/>
              <w:adjustRightInd w:val="0"/>
              <w:snapToGrid w:val="0"/>
              <w:rPr>
                <w:rFonts w:hint="eastAsia" w:ascii="宋体" w:hAnsi="宋体" w:eastAsia="宋体" w:cs="宋体"/>
                <w:szCs w:val="21"/>
                <w:highlight w:val="none"/>
                <w:lang w:val="zh-CN"/>
              </w:rPr>
            </w:pPr>
            <w:r>
              <w:rPr>
                <w:rFonts w:hint="eastAsia" w:ascii="宋体" w:hAnsi="宋体" w:eastAsia="宋体" w:cs="宋体"/>
                <w:szCs w:val="21"/>
                <w:highlight w:val="none"/>
                <w:lang w:val="zh-CN" w:eastAsia="zh-CN"/>
              </w:rPr>
              <w:t>（</w:t>
            </w:r>
            <w:r>
              <w:rPr>
                <w:rFonts w:hint="eastAsia" w:ascii="宋体" w:hAnsi="宋体" w:cs="宋体"/>
                <w:szCs w:val="21"/>
                <w:highlight w:val="none"/>
                <w:lang w:val="en-US" w:eastAsia="zh-CN"/>
              </w:rPr>
              <w:t>10</w:t>
            </w:r>
            <w:r>
              <w:rPr>
                <w:rFonts w:hint="eastAsia" w:ascii="宋体" w:hAnsi="宋体" w:eastAsia="宋体" w:cs="宋体"/>
                <w:szCs w:val="21"/>
                <w:highlight w:val="none"/>
                <w:lang w:val="zh-CN" w:eastAsia="zh-CN"/>
              </w:rPr>
              <w:t>）</w:t>
            </w:r>
            <w:r>
              <w:rPr>
                <w:rFonts w:hint="eastAsia" w:ascii="宋体" w:hAnsi="宋体" w:eastAsia="宋体" w:cs="宋体"/>
                <w:szCs w:val="21"/>
                <w:highlight w:val="none"/>
                <w:lang w:val="zh-CN"/>
              </w:rPr>
              <w:t xml:space="preserve">已领购本次招标文件。 </w:t>
            </w:r>
          </w:p>
        </w:tc>
      </w:tr>
      <w:tr w14:paraId="0504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F57E3D6">
            <w:pPr>
              <w:autoSpaceDE w:val="0"/>
              <w:autoSpaceDN w:val="0"/>
              <w:adjustRightInd w:val="0"/>
              <w:snapToGrid w:val="0"/>
              <w:ind w:right="32" w:rightChars="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w:t>
            </w:r>
          </w:p>
        </w:tc>
        <w:tc>
          <w:tcPr>
            <w:tcW w:w="8458" w:type="dxa"/>
            <w:noWrap w:val="0"/>
            <w:vAlign w:val="top"/>
          </w:tcPr>
          <w:p w14:paraId="5F0B90E1">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提供法定代表人资格证明书及法定代表人授权委托书(原件)</w:t>
            </w:r>
          </w:p>
        </w:tc>
      </w:tr>
      <w:tr w14:paraId="3E98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noWrap w:val="0"/>
            <w:vAlign w:val="center"/>
          </w:tcPr>
          <w:p w14:paraId="16D408F3">
            <w:pPr>
              <w:autoSpaceDE w:val="0"/>
              <w:autoSpaceDN w:val="0"/>
              <w:adjustRightInd w:val="0"/>
              <w:snapToGrid w:val="0"/>
              <w:ind w:right="32" w:rightChars="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4</w:t>
            </w:r>
          </w:p>
        </w:tc>
        <w:tc>
          <w:tcPr>
            <w:tcW w:w="8458" w:type="dxa"/>
            <w:noWrap w:val="0"/>
            <w:vAlign w:val="top"/>
          </w:tcPr>
          <w:p w14:paraId="7476EC49">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按照招标文件规定要求签署、盖章</w:t>
            </w:r>
          </w:p>
        </w:tc>
      </w:tr>
      <w:tr w14:paraId="75A6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2ACF88A">
            <w:pPr>
              <w:autoSpaceDE w:val="0"/>
              <w:autoSpaceDN w:val="0"/>
              <w:adjustRightInd w:val="0"/>
              <w:snapToGrid w:val="0"/>
              <w:ind w:right="32" w:rightChars="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5</w:t>
            </w:r>
          </w:p>
        </w:tc>
        <w:tc>
          <w:tcPr>
            <w:tcW w:w="8458" w:type="dxa"/>
            <w:noWrap w:val="0"/>
            <w:vAlign w:val="top"/>
          </w:tcPr>
          <w:p w14:paraId="3DBEB675">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投标文件对招标文件的实质性技术与商务的（即标注★号条款）条款不产生偏离（投标文件中技术参数、功能或其他内容优于招标要求部分不视作偏离）</w:t>
            </w:r>
          </w:p>
        </w:tc>
      </w:tr>
      <w:tr w14:paraId="5E9E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24476CD7">
            <w:pPr>
              <w:autoSpaceDE w:val="0"/>
              <w:autoSpaceDN w:val="0"/>
              <w:adjustRightInd w:val="0"/>
              <w:snapToGrid w:val="0"/>
              <w:ind w:right="32" w:rightChars="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6</w:t>
            </w:r>
          </w:p>
        </w:tc>
        <w:tc>
          <w:tcPr>
            <w:tcW w:w="8458" w:type="dxa"/>
            <w:noWrap w:val="0"/>
            <w:vAlign w:val="top"/>
          </w:tcPr>
          <w:p w14:paraId="05E272AE">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符合招标文件中规定的其他实质性要求</w:t>
            </w:r>
          </w:p>
        </w:tc>
      </w:tr>
      <w:tr w14:paraId="0E61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A5EDE56">
            <w:pPr>
              <w:autoSpaceDE w:val="0"/>
              <w:autoSpaceDN w:val="0"/>
              <w:adjustRightInd w:val="0"/>
              <w:snapToGrid w:val="0"/>
              <w:ind w:right="32" w:rightChars="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7</w:t>
            </w:r>
          </w:p>
        </w:tc>
        <w:tc>
          <w:tcPr>
            <w:tcW w:w="8458" w:type="dxa"/>
            <w:noWrap w:val="0"/>
            <w:vAlign w:val="top"/>
          </w:tcPr>
          <w:p w14:paraId="4D4130AE">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符合法律、法规规定的其他实质性要求</w:t>
            </w:r>
          </w:p>
        </w:tc>
      </w:tr>
    </w:tbl>
    <w:p w14:paraId="04B84513">
      <w:pPr>
        <w:pStyle w:val="7"/>
        <w:ind w:firstLine="0"/>
        <w:rPr>
          <w:rFonts w:hint="eastAsia" w:ascii="宋体" w:hAnsi="宋体" w:eastAsia="宋体" w:cs="宋体"/>
          <w:b/>
          <w:szCs w:val="21"/>
          <w:highlight w:val="none"/>
        </w:rPr>
      </w:pPr>
    </w:p>
    <w:p w14:paraId="6395BA65">
      <w:pPr>
        <w:pStyle w:val="7"/>
        <w:ind w:firstLine="0"/>
        <w:rPr>
          <w:rFonts w:hint="eastAsia" w:ascii="宋体" w:hAnsi="宋体" w:eastAsia="宋体" w:cs="宋体"/>
          <w:b/>
          <w:szCs w:val="21"/>
          <w:highlight w:val="none"/>
        </w:rPr>
      </w:pPr>
      <w:r>
        <w:rPr>
          <w:rFonts w:hint="eastAsia" w:ascii="宋体" w:hAnsi="宋体" w:eastAsia="宋体" w:cs="宋体"/>
          <w:b/>
          <w:szCs w:val="21"/>
          <w:highlight w:val="none"/>
        </w:rPr>
        <w:t xml:space="preserve">(一) 比较与评价 </w:t>
      </w:r>
    </w:p>
    <w:p w14:paraId="37D183E0">
      <w:pPr>
        <w:pStyle w:val="7"/>
        <w:ind w:firstLine="0"/>
        <w:rPr>
          <w:rFonts w:hint="eastAsia" w:ascii="宋体" w:hAnsi="宋体" w:eastAsia="宋体" w:cs="宋体"/>
          <w:szCs w:val="21"/>
          <w:highlight w:val="none"/>
        </w:rPr>
      </w:pPr>
      <w:r>
        <w:rPr>
          <w:rFonts w:hint="eastAsia" w:ascii="宋体" w:hAnsi="宋体" w:eastAsia="宋体" w:cs="宋体"/>
          <w:szCs w:val="21"/>
          <w:highlight w:val="none"/>
        </w:rPr>
        <w:t>1.技术评价：（</w:t>
      </w:r>
      <w:r>
        <w:rPr>
          <w:rFonts w:hint="eastAsia" w:ascii="宋体" w:hAnsi="宋体" w:eastAsia="宋体" w:cs="宋体"/>
          <w:szCs w:val="21"/>
          <w:highlight w:val="none"/>
          <w:lang w:val="en-US" w:eastAsia="zh-CN"/>
        </w:rPr>
        <w:t>55</w:t>
      </w:r>
      <w:r>
        <w:rPr>
          <w:rFonts w:hint="eastAsia" w:ascii="宋体" w:hAnsi="宋体" w:eastAsia="宋体" w:cs="宋体"/>
          <w:szCs w:val="21"/>
          <w:highlight w:val="none"/>
        </w:rPr>
        <w:t>分）</w:t>
      </w:r>
    </w:p>
    <w:tbl>
      <w:tblPr>
        <w:tblStyle w:val="43"/>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750"/>
        <w:gridCol w:w="909"/>
        <w:gridCol w:w="5704"/>
      </w:tblGrid>
      <w:tr w14:paraId="3731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3C77ACB">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评审项目</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B85C0CD">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评议内容</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451F1A9B">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5704" w:type="dxa"/>
            <w:tcBorders>
              <w:top w:val="single" w:color="auto" w:sz="4" w:space="0"/>
              <w:left w:val="single" w:color="auto" w:sz="4" w:space="0"/>
              <w:bottom w:val="single" w:color="auto" w:sz="4" w:space="0"/>
              <w:right w:val="single" w:color="auto" w:sz="4" w:space="0"/>
            </w:tcBorders>
            <w:noWrap w:val="0"/>
            <w:vAlign w:val="center"/>
          </w:tcPr>
          <w:p w14:paraId="758C076B">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评分细则</w:t>
            </w:r>
          </w:p>
        </w:tc>
      </w:tr>
      <w:tr w14:paraId="2642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083" w:type="dxa"/>
            <w:vMerge w:val="restart"/>
            <w:tcBorders>
              <w:left w:val="single" w:color="auto" w:sz="4" w:space="0"/>
              <w:right w:val="single" w:color="auto" w:sz="4" w:space="0"/>
            </w:tcBorders>
            <w:noWrap w:val="0"/>
            <w:vAlign w:val="center"/>
          </w:tcPr>
          <w:p w14:paraId="6872A48A">
            <w:pPr>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w:t>
            </w:r>
          </w:p>
        </w:tc>
        <w:tc>
          <w:tcPr>
            <w:tcW w:w="1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CAB7AE">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对采购项目内容的响应程度</w:t>
            </w:r>
          </w:p>
        </w:tc>
        <w:tc>
          <w:tcPr>
            <w:tcW w:w="9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9E7F63">
            <w:pPr>
              <w:bidi w:val="0"/>
              <w:ind w:firstLine="210" w:firstLineChars="100"/>
              <w:rPr>
                <w:rFonts w:hint="default" w:ascii="宋体" w:hAnsi="宋体" w:eastAsia="宋体" w:cs="宋体"/>
                <w:highlight w:val="none"/>
                <w:lang w:val="en-US" w:eastAsia="zh-CN"/>
              </w:rPr>
            </w:pPr>
            <w:r>
              <w:rPr>
                <w:rFonts w:hint="eastAsia" w:ascii="宋体" w:hAnsi="宋体" w:cs="宋体"/>
                <w:highlight w:val="none"/>
                <w:lang w:val="en-US" w:eastAsia="zh-CN"/>
              </w:rPr>
              <w:t>10</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9D9516">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根据各投标人对采购项目内容响应情况进行评价，全部满足或优于得10分，每有</w:t>
            </w:r>
            <w:r>
              <w:rPr>
                <w:rFonts w:hint="eastAsia" w:ascii="宋体" w:hAnsi="宋体" w:cs="宋体"/>
                <w:highlight w:val="none"/>
                <w:lang w:val="en-US" w:eastAsia="zh-CN"/>
              </w:rPr>
              <w:t>一</w:t>
            </w:r>
            <w:r>
              <w:rPr>
                <w:rFonts w:hint="eastAsia" w:ascii="宋体" w:hAnsi="宋体" w:eastAsia="宋体" w:cs="宋体"/>
                <w:highlight w:val="none"/>
                <w:lang w:val="en-US" w:eastAsia="zh-CN"/>
              </w:rPr>
              <w:t>项偏离或无响应的扣2分，最低为0分。</w:t>
            </w:r>
          </w:p>
        </w:tc>
      </w:tr>
      <w:tr w14:paraId="12EB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083" w:type="dxa"/>
            <w:vMerge w:val="continue"/>
            <w:tcBorders>
              <w:left w:val="single" w:color="auto" w:sz="4" w:space="0"/>
              <w:right w:val="single" w:color="auto" w:sz="4" w:space="0"/>
            </w:tcBorders>
            <w:noWrap w:val="0"/>
            <w:vAlign w:val="center"/>
          </w:tcPr>
          <w:p w14:paraId="4980FE50">
            <w:pPr>
              <w:widowControl/>
              <w:jc w:val="center"/>
              <w:rPr>
                <w:rFonts w:hint="eastAsia" w:ascii="宋体" w:hAnsi="宋体" w:eastAsia="宋体" w:cs="宋体"/>
                <w:sz w:val="21"/>
                <w:szCs w:val="21"/>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CC3FAE">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菜式及出品方案</w:t>
            </w:r>
          </w:p>
        </w:tc>
        <w:tc>
          <w:tcPr>
            <w:tcW w:w="9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40B09">
            <w:pPr>
              <w:bidi w:val="0"/>
              <w:rPr>
                <w:rFonts w:hint="default"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720F20">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根据</w:t>
            </w:r>
            <w:r>
              <w:rPr>
                <w:rFonts w:hint="eastAsia" w:ascii="宋体" w:hAnsi="宋体" w:eastAsia="宋体" w:cs="宋体"/>
                <w:highlight w:val="none"/>
                <w:lang w:val="en-US" w:eastAsia="zh-CN"/>
              </w:rPr>
              <w:t>投标人</w:t>
            </w:r>
            <w:r>
              <w:rPr>
                <w:rFonts w:hint="eastAsia" w:ascii="宋体" w:hAnsi="宋体" w:eastAsia="宋体" w:cs="宋体"/>
                <w:highlight w:val="none"/>
                <w:lang w:val="en-GB" w:eastAsia="zh-CN"/>
              </w:rPr>
              <w:t>所提供菜式及出品方案（包括但不限于菜式数量、菜品质量、营养搭配、口味分布、菜品定价</w:t>
            </w:r>
            <w:r>
              <w:rPr>
                <w:rFonts w:hint="eastAsia" w:ascii="宋体" w:hAnsi="宋体" w:eastAsia="宋体" w:cs="宋体"/>
                <w:highlight w:val="none"/>
                <w:lang w:val="en-US" w:eastAsia="zh-CN"/>
              </w:rPr>
              <w:t>等</w:t>
            </w:r>
            <w:r>
              <w:rPr>
                <w:rFonts w:hint="eastAsia" w:ascii="宋体" w:hAnsi="宋体" w:eastAsia="宋体" w:cs="宋体"/>
                <w:highlight w:val="none"/>
                <w:lang w:val="en-GB" w:eastAsia="zh-CN"/>
              </w:rPr>
              <w:t>）进行</w:t>
            </w:r>
            <w:r>
              <w:rPr>
                <w:rFonts w:hint="eastAsia" w:ascii="宋体" w:hAnsi="宋体" w:eastAsia="宋体" w:cs="宋体"/>
                <w:highlight w:val="none"/>
                <w:lang w:val="en-US" w:eastAsia="zh-CN"/>
              </w:rPr>
              <w:t>评审</w:t>
            </w:r>
            <w:r>
              <w:rPr>
                <w:rFonts w:hint="eastAsia" w:ascii="宋体" w:hAnsi="宋体" w:eastAsia="宋体" w:cs="宋体"/>
                <w:highlight w:val="none"/>
                <w:lang w:val="en-GB" w:eastAsia="zh-CN"/>
              </w:rPr>
              <w:t>：</w:t>
            </w:r>
          </w:p>
          <w:p w14:paraId="2FA6AA70">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1.菜式及出品方案完整、计划安排科学合理可行，完全满足且优于项目需求的，得</w:t>
            </w:r>
            <w:r>
              <w:rPr>
                <w:rFonts w:hint="eastAsia" w:ascii="宋体" w:hAnsi="宋体" w:eastAsia="宋体" w:cs="宋体"/>
                <w:highlight w:val="none"/>
                <w:lang w:val="en-US" w:eastAsia="zh-CN"/>
              </w:rPr>
              <w:t>10</w:t>
            </w:r>
            <w:r>
              <w:rPr>
                <w:rFonts w:hint="eastAsia" w:ascii="宋体" w:hAnsi="宋体" w:eastAsia="宋体" w:cs="宋体"/>
                <w:highlight w:val="none"/>
                <w:lang w:val="en-GB" w:eastAsia="zh-CN"/>
              </w:rPr>
              <w:t>分。</w:t>
            </w:r>
          </w:p>
          <w:p w14:paraId="7C9097B8">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2.菜式及出品方案较完整、计划安排较科学，</w:t>
            </w:r>
            <w:r>
              <w:rPr>
                <w:rFonts w:hint="eastAsia" w:ascii="宋体" w:hAnsi="宋体" w:eastAsia="宋体" w:cs="宋体"/>
                <w:highlight w:val="none"/>
                <w:lang w:val="en-US" w:eastAsia="zh-CN"/>
              </w:rPr>
              <w:t>基本</w:t>
            </w:r>
            <w:r>
              <w:rPr>
                <w:rFonts w:hint="eastAsia" w:ascii="宋体" w:hAnsi="宋体" w:eastAsia="宋体" w:cs="宋体"/>
                <w:highlight w:val="none"/>
                <w:lang w:val="en-GB" w:eastAsia="zh-CN"/>
              </w:rPr>
              <w:t>满足项目需求的，得</w:t>
            </w:r>
            <w:r>
              <w:rPr>
                <w:rFonts w:hint="eastAsia" w:ascii="宋体" w:hAnsi="宋体" w:eastAsia="宋体" w:cs="宋体"/>
                <w:highlight w:val="none"/>
                <w:lang w:val="en-US" w:eastAsia="zh-CN"/>
              </w:rPr>
              <w:t>6</w:t>
            </w:r>
            <w:r>
              <w:rPr>
                <w:rFonts w:hint="eastAsia" w:ascii="宋体" w:hAnsi="宋体" w:eastAsia="宋体" w:cs="宋体"/>
                <w:highlight w:val="none"/>
                <w:lang w:val="en-GB" w:eastAsia="zh-CN"/>
              </w:rPr>
              <w:t>分。</w:t>
            </w:r>
          </w:p>
          <w:p w14:paraId="5163C50E">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3.菜式及出品方案不完整，计划安排不合理，不完全满足项目需求的，得</w:t>
            </w: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分。</w:t>
            </w:r>
          </w:p>
          <w:p w14:paraId="337E1333">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4.未提供或其他情况，得</w:t>
            </w:r>
            <w:r>
              <w:rPr>
                <w:rFonts w:hint="eastAsia" w:ascii="宋体" w:hAnsi="宋体" w:eastAsia="宋体" w:cs="宋体"/>
                <w:highlight w:val="none"/>
                <w:lang w:val="en-US" w:eastAsia="zh-CN"/>
              </w:rPr>
              <w:t>0</w:t>
            </w:r>
            <w:r>
              <w:rPr>
                <w:rFonts w:hint="eastAsia" w:ascii="宋体" w:hAnsi="宋体" w:eastAsia="宋体" w:cs="宋体"/>
                <w:highlight w:val="none"/>
                <w:lang w:val="en-GB" w:eastAsia="zh-CN"/>
              </w:rPr>
              <w:t>分。</w:t>
            </w:r>
          </w:p>
          <w:p w14:paraId="4C58ADC0">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备注：</w:t>
            </w:r>
          </w:p>
          <w:p w14:paraId="511A66BE">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1.投标人应知晓其响应投标方案将被视为服务承诺之一，如中标，投标人须按照其投标方案履约。因此，请投标人谨慎设计方案。</w:t>
            </w:r>
          </w:p>
          <w:p w14:paraId="76754E78">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评审委员会应根据投标人</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文件的响应情况，进行评审。</w:t>
            </w:r>
          </w:p>
        </w:tc>
      </w:tr>
      <w:tr w14:paraId="7A95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3" w:type="dxa"/>
            <w:vMerge w:val="continue"/>
            <w:tcBorders>
              <w:left w:val="single" w:color="auto" w:sz="4" w:space="0"/>
              <w:right w:val="single" w:color="auto" w:sz="4" w:space="0"/>
            </w:tcBorders>
            <w:noWrap w:val="0"/>
            <w:vAlign w:val="center"/>
          </w:tcPr>
          <w:p w14:paraId="259D1394">
            <w:pPr>
              <w:widowControl/>
              <w:jc w:val="center"/>
              <w:rPr>
                <w:rFonts w:hint="eastAsia" w:ascii="宋体" w:hAnsi="宋体" w:eastAsia="宋体" w:cs="宋体"/>
                <w:sz w:val="21"/>
                <w:szCs w:val="21"/>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5F9C2E">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经营管理方案</w:t>
            </w:r>
          </w:p>
        </w:tc>
        <w:tc>
          <w:tcPr>
            <w:tcW w:w="9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202B96">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1EF9FD">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根据投标人提供的经营管理方案（包括工作流程安排、岗位职责、整体方案、人员配置及技术水平等内容）进行评审：</w:t>
            </w:r>
          </w:p>
          <w:p w14:paraId="6EA53694">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1.工作流程安排科学合理、岗位职责清晰明确、整体方案可行性高，人员配置高于用户需求要求，技术水平高的得</w:t>
            </w:r>
            <w:r>
              <w:rPr>
                <w:rFonts w:hint="eastAsia" w:ascii="宋体" w:hAnsi="宋体" w:eastAsia="宋体" w:cs="宋体"/>
                <w:highlight w:val="none"/>
                <w:lang w:val="en-US" w:eastAsia="zh-CN"/>
              </w:rPr>
              <w:t>10</w:t>
            </w:r>
            <w:r>
              <w:rPr>
                <w:rFonts w:hint="eastAsia" w:ascii="宋体" w:hAnsi="宋体" w:eastAsia="宋体" w:cs="宋体"/>
                <w:highlight w:val="none"/>
                <w:lang w:val="en-GB" w:eastAsia="zh-CN"/>
              </w:rPr>
              <w:t>分；</w:t>
            </w:r>
          </w:p>
          <w:p w14:paraId="23E33521">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2.工作流程安排较为科学合理、岗位职责较为明确、整体方案可行性较高，人员配置符合用户需求要求，技术水平较高的得</w:t>
            </w:r>
            <w:r>
              <w:rPr>
                <w:rFonts w:hint="eastAsia" w:ascii="宋体" w:hAnsi="宋体" w:eastAsia="宋体" w:cs="宋体"/>
                <w:highlight w:val="none"/>
                <w:lang w:val="en-US" w:eastAsia="zh-CN"/>
              </w:rPr>
              <w:t>6</w:t>
            </w:r>
            <w:r>
              <w:rPr>
                <w:rFonts w:hint="eastAsia" w:ascii="宋体" w:hAnsi="宋体" w:eastAsia="宋体" w:cs="宋体"/>
                <w:highlight w:val="none"/>
                <w:lang w:val="en-GB" w:eastAsia="zh-CN"/>
              </w:rPr>
              <w:t>分；</w:t>
            </w:r>
          </w:p>
          <w:p w14:paraId="5F019507">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3.工作流程安排不合理、整体方案可行性较差，人员配置不符合用户需求，技术水平较差的得</w:t>
            </w: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分；</w:t>
            </w:r>
          </w:p>
          <w:p w14:paraId="6C94F8C6">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4.未提供或其他情况，得0分。</w:t>
            </w:r>
          </w:p>
          <w:p w14:paraId="06F7A42F">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备注：</w:t>
            </w:r>
          </w:p>
          <w:p w14:paraId="6114AD33">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1.投标人应知晓其投标方案将被视为服务承诺之一，如中标，投标人须按照其投标方案履约。因此，请投标人谨慎设计方案。</w:t>
            </w:r>
          </w:p>
          <w:p w14:paraId="40B676F3">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评审委员会应根据投标人</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文件的响应情况，进行评审。</w:t>
            </w:r>
          </w:p>
        </w:tc>
      </w:tr>
      <w:tr w14:paraId="0874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dxa"/>
            <w:vMerge w:val="continue"/>
            <w:tcBorders>
              <w:left w:val="single" w:color="auto" w:sz="4" w:space="0"/>
              <w:right w:val="single" w:color="auto" w:sz="4" w:space="0"/>
            </w:tcBorders>
            <w:noWrap w:val="0"/>
            <w:vAlign w:val="center"/>
          </w:tcPr>
          <w:p w14:paraId="2D36992C">
            <w:pPr>
              <w:widowControl/>
              <w:jc w:val="left"/>
              <w:rPr>
                <w:rFonts w:hint="eastAsia" w:ascii="宋体" w:hAnsi="宋体" w:eastAsia="宋体" w:cs="宋体"/>
                <w:sz w:val="21"/>
                <w:szCs w:val="21"/>
                <w:highlight w:val="none"/>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79841079">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质量、安全保障措施方案</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33745783">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20662F">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根据投标人提供的质量、安全保障措施方案（</w:t>
            </w:r>
            <w:r>
              <w:rPr>
                <w:rFonts w:hint="eastAsia" w:ascii="宋体" w:hAnsi="宋体" w:eastAsia="宋体" w:cs="宋体"/>
                <w:highlight w:val="none"/>
                <w:lang w:val="en-US" w:eastAsia="zh-CN"/>
              </w:rPr>
              <w:t>包括</w:t>
            </w:r>
            <w:r>
              <w:rPr>
                <w:rFonts w:hint="eastAsia" w:ascii="宋体" w:hAnsi="宋体" w:eastAsia="宋体" w:cs="宋体"/>
                <w:highlight w:val="none"/>
                <w:lang w:val="en-GB" w:eastAsia="zh-CN"/>
              </w:rPr>
              <w:t>货物的来源、加工、包装、保存、运输各环节）进行</w:t>
            </w:r>
            <w:r>
              <w:rPr>
                <w:rFonts w:hint="eastAsia" w:ascii="宋体" w:hAnsi="宋体" w:eastAsia="宋体" w:cs="宋体"/>
                <w:highlight w:val="none"/>
                <w:lang w:val="en-US" w:eastAsia="zh-CN"/>
              </w:rPr>
              <w:t>评审</w:t>
            </w:r>
            <w:r>
              <w:rPr>
                <w:rFonts w:hint="eastAsia" w:ascii="宋体" w:hAnsi="宋体" w:eastAsia="宋体" w:cs="宋体"/>
                <w:highlight w:val="none"/>
                <w:lang w:val="en-GB" w:eastAsia="zh-CN"/>
              </w:rPr>
              <w:t>：</w:t>
            </w:r>
          </w:p>
          <w:p w14:paraId="75F22A7A">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 xml:space="preserve">1.质量保证措施全面具体，内容明确清晰，可行性强，供餐措施得当，对招标人本次招标项目有足够的质量保证，保障计划详细，针对性强，得 </w:t>
            </w:r>
            <w:r>
              <w:rPr>
                <w:rFonts w:hint="eastAsia" w:ascii="宋体" w:hAnsi="宋体" w:eastAsia="宋体" w:cs="宋体"/>
                <w:highlight w:val="none"/>
                <w:lang w:val="en-US" w:eastAsia="zh-CN"/>
              </w:rPr>
              <w:t>10</w:t>
            </w:r>
            <w:r>
              <w:rPr>
                <w:rFonts w:hint="eastAsia" w:ascii="宋体" w:hAnsi="宋体" w:eastAsia="宋体" w:cs="宋体"/>
                <w:highlight w:val="none"/>
                <w:lang w:val="en-GB" w:eastAsia="zh-CN"/>
              </w:rPr>
              <w:t>分；</w:t>
            </w:r>
          </w:p>
          <w:p w14:paraId="74336E5E">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 xml:space="preserve">2.质量保证措施全面，有质量保障计划，但个别措施内容不够详尽，个别计划内容不够清晰准确，个别保证措施针对性不强或可操作性不强，得 </w:t>
            </w:r>
            <w:r>
              <w:rPr>
                <w:rFonts w:hint="eastAsia" w:ascii="宋体" w:hAnsi="宋体" w:eastAsia="宋体" w:cs="宋体"/>
                <w:highlight w:val="none"/>
                <w:lang w:val="en-US" w:eastAsia="zh-CN"/>
              </w:rPr>
              <w:t>6</w:t>
            </w:r>
            <w:r>
              <w:rPr>
                <w:rFonts w:hint="eastAsia" w:ascii="宋体" w:hAnsi="宋体" w:eastAsia="宋体" w:cs="宋体"/>
                <w:highlight w:val="none"/>
                <w:lang w:val="en-GB" w:eastAsia="zh-CN"/>
              </w:rPr>
              <w:t>分；</w:t>
            </w:r>
          </w:p>
          <w:p w14:paraId="7D440FCB">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3.质量保证措施或质量保障计划不够全面具体，较多内容不够清晰准确，较多保证措施针对性不强或可操作性不强，得</w:t>
            </w: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分；</w:t>
            </w:r>
          </w:p>
          <w:p w14:paraId="01440034">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4.未提供或其他情况，得0分。</w:t>
            </w:r>
          </w:p>
          <w:p w14:paraId="72D8B2B7">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备注：</w:t>
            </w:r>
          </w:p>
          <w:p w14:paraId="72738290">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1.投标人应知晓其</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方案将被视为服务承诺之一，如中标，投标人须按照其</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方案履约。因此，请投标人谨慎设计方案。</w:t>
            </w:r>
          </w:p>
          <w:p w14:paraId="1E7E87D8">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评审委员会应根据投标人</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文件的响应情况进行评审。</w:t>
            </w:r>
          </w:p>
        </w:tc>
      </w:tr>
      <w:tr w14:paraId="2C13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continue"/>
            <w:tcBorders>
              <w:left w:val="single" w:color="auto" w:sz="4" w:space="0"/>
              <w:right w:val="single" w:color="auto" w:sz="4" w:space="0"/>
            </w:tcBorders>
            <w:noWrap w:val="0"/>
            <w:vAlign w:val="center"/>
          </w:tcPr>
          <w:p w14:paraId="7A827A07">
            <w:pPr>
              <w:widowControl/>
              <w:jc w:val="left"/>
              <w:rPr>
                <w:rFonts w:hint="eastAsia" w:ascii="宋体" w:hAnsi="宋体" w:eastAsia="宋体" w:cs="宋体"/>
                <w:sz w:val="21"/>
                <w:szCs w:val="21"/>
                <w:highlight w:val="none"/>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69960D0F">
            <w:pPr>
              <w:widowControl/>
              <w:spacing w:beforeLines="0" w:afterLine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增值服务方案 </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1ACA7403">
            <w:pPr>
              <w:widowControl/>
              <w:spacing w:beforeLines="0" w:afterLine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5015BE">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根据投标人提供的增值服务方案（</w:t>
            </w:r>
            <w:r>
              <w:rPr>
                <w:rFonts w:hint="eastAsia" w:ascii="宋体" w:hAnsi="宋体" w:eastAsia="宋体" w:cs="宋体"/>
                <w:color w:val="000000"/>
                <w:kern w:val="0"/>
                <w:sz w:val="21"/>
                <w:szCs w:val="21"/>
                <w:highlight w:val="none"/>
                <w:lang w:val="en-US" w:eastAsia="zh-CN" w:bidi="ar"/>
              </w:rPr>
              <w:t>例如活动方案、消费折扣等）</w:t>
            </w:r>
            <w:r>
              <w:rPr>
                <w:rFonts w:hint="eastAsia" w:ascii="宋体" w:hAnsi="宋体" w:eastAsia="宋体" w:cs="宋体"/>
                <w:color w:val="000000"/>
                <w:kern w:val="0"/>
                <w:sz w:val="21"/>
                <w:szCs w:val="21"/>
                <w:highlight w:val="none"/>
                <w:lang w:val="en-GB" w:eastAsia="zh-CN" w:bidi="ar"/>
              </w:rPr>
              <w:t>进行综合评审：</w:t>
            </w:r>
          </w:p>
          <w:p w14:paraId="548DBA08">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1.增值服务方案内容丰富，能满足医院日常需求，针对本项目提出的增值服务承诺齐全，周详到位，措施科学可行，整体可行，对招标人有实质性效益的，得</w:t>
            </w: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GB" w:eastAsia="zh-CN" w:bidi="ar"/>
              </w:rPr>
              <w:t>分；</w:t>
            </w:r>
          </w:p>
          <w:p w14:paraId="49504B42">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2.增值服务方案内容基本能满足医院日常需求，针对本项目提出的增值服务承诺齐全、完整，保障措施可行，较好地满足</w:t>
            </w:r>
            <w:r>
              <w:rPr>
                <w:rFonts w:hint="eastAsia" w:ascii="宋体" w:hAnsi="宋体" w:eastAsia="宋体" w:cs="宋体"/>
                <w:color w:val="000000"/>
                <w:kern w:val="0"/>
                <w:sz w:val="21"/>
                <w:szCs w:val="21"/>
                <w:highlight w:val="none"/>
                <w:lang w:val="en-US" w:eastAsia="zh-CN" w:bidi="ar"/>
              </w:rPr>
              <w:t>招标</w:t>
            </w:r>
            <w:r>
              <w:rPr>
                <w:rFonts w:hint="eastAsia" w:ascii="宋体" w:hAnsi="宋体" w:eastAsia="宋体" w:cs="宋体"/>
                <w:color w:val="000000"/>
                <w:kern w:val="0"/>
                <w:sz w:val="21"/>
                <w:szCs w:val="21"/>
                <w:highlight w:val="none"/>
                <w:lang w:val="en-GB" w:eastAsia="zh-CN" w:bidi="ar"/>
              </w:rPr>
              <w:t>人要求的，得</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GB" w:eastAsia="zh-CN" w:bidi="ar"/>
              </w:rPr>
              <w:t>分；</w:t>
            </w:r>
          </w:p>
          <w:p w14:paraId="515D11AA">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3.增值服务承诺一般，基本满足要求的，得1分；</w:t>
            </w:r>
          </w:p>
          <w:p w14:paraId="73B27ADC">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4.未提供或其他情况，得</w:t>
            </w:r>
            <w:r>
              <w:rPr>
                <w:rFonts w:hint="eastAsia" w:ascii="宋体" w:hAnsi="宋体" w:eastAsia="宋体" w:cs="宋体"/>
                <w:color w:val="000000"/>
                <w:kern w:val="0"/>
                <w:sz w:val="21"/>
                <w:szCs w:val="21"/>
                <w:highlight w:val="none"/>
                <w:lang w:val="en-US" w:eastAsia="zh-CN" w:bidi="ar"/>
              </w:rPr>
              <w:t>0</w:t>
            </w:r>
            <w:r>
              <w:rPr>
                <w:rFonts w:hint="eastAsia" w:ascii="宋体" w:hAnsi="宋体" w:eastAsia="宋体" w:cs="宋体"/>
                <w:color w:val="000000"/>
                <w:kern w:val="0"/>
                <w:sz w:val="21"/>
                <w:szCs w:val="21"/>
                <w:highlight w:val="none"/>
                <w:lang w:val="en-GB" w:eastAsia="zh-CN" w:bidi="ar"/>
              </w:rPr>
              <w:t>分。</w:t>
            </w:r>
          </w:p>
          <w:p w14:paraId="76931616">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备注：</w:t>
            </w:r>
          </w:p>
          <w:p w14:paraId="46DF9FDC">
            <w:pPr>
              <w:widowControl/>
              <w:spacing w:beforeLines="0" w:afterLines="0"/>
              <w:jc w:val="left"/>
              <w:rPr>
                <w:rFonts w:hint="eastAsia" w:ascii="宋体" w:hAnsi="宋体" w:eastAsia="宋体" w:cs="宋体"/>
                <w:color w:val="000000"/>
                <w:kern w:val="0"/>
                <w:sz w:val="21"/>
                <w:szCs w:val="21"/>
                <w:highlight w:val="none"/>
                <w:lang w:val="en-GB" w:eastAsia="zh-CN" w:bidi="ar"/>
              </w:rPr>
            </w:pPr>
            <w:r>
              <w:rPr>
                <w:rFonts w:hint="eastAsia" w:ascii="宋体" w:hAnsi="宋体" w:eastAsia="宋体" w:cs="宋体"/>
                <w:color w:val="000000"/>
                <w:kern w:val="0"/>
                <w:sz w:val="21"/>
                <w:szCs w:val="21"/>
                <w:highlight w:val="none"/>
                <w:lang w:val="en-GB" w:eastAsia="zh-CN" w:bidi="ar"/>
              </w:rPr>
              <w:t>1.投标人应知晓其</w:t>
            </w:r>
            <w:r>
              <w:rPr>
                <w:rFonts w:hint="eastAsia" w:ascii="宋体" w:hAnsi="宋体" w:eastAsia="宋体" w:cs="宋体"/>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GB" w:eastAsia="zh-CN" w:bidi="ar"/>
              </w:rPr>
              <w:t>方案将被视为服务承诺之一，如中标，投标人须按照其</w:t>
            </w:r>
            <w:r>
              <w:rPr>
                <w:rFonts w:hint="eastAsia" w:ascii="宋体" w:hAnsi="宋体" w:eastAsia="宋体" w:cs="宋体"/>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GB" w:eastAsia="zh-CN" w:bidi="ar"/>
              </w:rPr>
              <w:t>方案履约。因此，请投标人谨慎设计方案。</w:t>
            </w:r>
          </w:p>
          <w:p w14:paraId="626C094A">
            <w:pPr>
              <w:widowControl/>
              <w:spacing w:beforeLines="0" w:afterLine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val="en-GB" w:eastAsia="zh-CN" w:bidi="ar"/>
              </w:rPr>
              <w:t>评审委员会应根据投标人</w:t>
            </w:r>
            <w:r>
              <w:rPr>
                <w:rFonts w:hint="eastAsia" w:ascii="宋体" w:hAnsi="宋体" w:eastAsia="宋体" w:cs="宋体"/>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GB" w:eastAsia="zh-CN" w:bidi="ar"/>
              </w:rPr>
              <w:t>文件的响应情况，进行评审。</w:t>
            </w:r>
          </w:p>
        </w:tc>
      </w:tr>
      <w:tr w14:paraId="42C5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83" w:type="dxa"/>
            <w:vMerge w:val="continue"/>
            <w:tcBorders>
              <w:left w:val="single" w:color="auto" w:sz="4" w:space="0"/>
              <w:right w:val="single" w:color="auto" w:sz="4" w:space="0"/>
            </w:tcBorders>
            <w:noWrap w:val="0"/>
            <w:vAlign w:val="center"/>
          </w:tcPr>
          <w:p w14:paraId="79D76F73">
            <w:pPr>
              <w:widowControl/>
              <w:jc w:val="left"/>
              <w:rPr>
                <w:rFonts w:hint="eastAsia" w:ascii="宋体" w:hAnsi="宋体" w:eastAsia="宋体" w:cs="宋体"/>
                <w:sz w:val="21"/>
                <w:szCs w:val="21"/>
                <w:highlight w:val="none"/>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0F57C166">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应急保障方案</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108045EE">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FF89CE">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根据投标人提供的应急保障方案进行综合评审，应急保障方案包括</w:t>
            </w:r>
            <w:r>
              <w:rPr>
                <w:rFonts w:hint="eastAsia" w:ascii="宋体" w:hAnsi="宋体" w:eastAsia="宋体" w:cs="宋体"/>
                <w:highlight w:val="none"/>
                <w:lang w:val="en-US" w:eastAsia="zh-CN"/>
              </w:rPr>
              <w:t>在</w:t>
            </w:r>
            <w:r>
              <w:rPr>
                <w:rFonts w:hint="eastAsia" w:ascii="宋体" w:hAnsi="宋体" w:eastAsia="宋体" w:cs="宋体"/>
                <w:highlight w:val="none"/>
                <w:lang w:val="en-GB" w:eastAsia="zh-CN"/>
              </w:rPr>
              <w:t>停水、停燃气、停电</w:t>
            </w:r>
            <w:r>
              <w:rPr>
                <w:rFonts w:hint="eastAsia" w:ascii="宋体" w:hAnsi="宋体" w:eastAsia="宋体" w:cs="宋体"/>
                <w:highlight w:val="none"/>
                <w:lang w:val="en-US" w:eastAsia="zh-CN"/>
              </w:rPr>
              <w:t>时</w:t>
            </w:r>
            <w:r>
              <w:rPr>
                <w:rFonts w:hint="eastAsia" w:ascii="宋体" w:hAnsi="宋体" w:eastAsia="宋体" w:cs="宋体"/>
                <w:highlight w:val="none"/>
                <w:lang w:val="en-GB" w:eastAsia="zh-CN"/>
              </w:rPr>
              <w:t>或</w:t>
            </w:r>
            <w:r>
              <w:rPr>
                <w:rFonts w:hint="eastAsia" w:ascii="宋体" w:hAnsi="宋体" w:eastAsia="宋体" w:cs="宋体"/>
                <w:highlight w:val="none"/>
                <w:lang w:val="en-US" w:eastAsia="zh-CN"/>
              </w:rPr>
              <w:t>因</w:t>
            </w:r>
            <w:r>
              <w:rPr>
                <w:rFonts w:hint="eastAsia" w:ascii="宋体" w:hAnsi="宋体" w:eastAsia="宋体" w:cs="宋体"/>
                <w:highlight w:val="none"/>
                <w:lang w:val="en-GB" w:eastAsia="zh-CN"/>
              </w:rPr>
              <w:t>其他特殊紧急事件导致不能正常开餐情况下的应急</w:t>
            </w:r>
            <w:r>
              <w:rPr>
                <w:rFonts w:hint="eastAsia" w:ascii="宋体" w:hAnsi="宋体" w:eastAsia="宋体" w:cs="宋体"/>
                <w:highlight w:val="none"/>
                <w:lang w:val="en-US" w:eastAsia="zh-CN"/>
              </w:rPr>
              <w:t>措施</w:t>
            </w:r>
            <w:r>
              <w:rPr>
                <w:rFonts w:hint="eastAsia" w:ascii="宋体" w:hAnsi="宋体" w:eastAsia="宋体" w:cs="宋体"/>
                <w:highlight w:val="none"/>
                <w:lang w:val="en-GB" w:eastAsia="zh-CN"/>
              </w:rPr>
              <w:t>，突发质量安全事故应急处置方案，以及疫情防控方案等。</w:t>
            </w:r>
          </w:p>
          <w:p w14:paraId="27F69243">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1.</w:t>
            </w:r>
            <w:r>
              <w:rPr>
                <w:rFonts w:hint="eastAsia" w:ascii="宋体" w:hAnsi="宋体" w:eastAsia="宋体" w:cs="宋体"/>
                <w:highlight w:val="none"/>
                <w:lang w:val="en-US" w:eastAsia="zh-CN"/>
              </w:rPr>
              <w:t>对特殊情况和</w:t>
            </w:r>
            <w:r>
              <w:rPr>
                <w:rFonts w:hint="eastAsia" w:ascii="宋体" w:hAnsi="宋体" w:eastAsia="宋体" w:cs="宋体"/>
                <w:highlight w:val="none"/>
                <w:lang w:val="en-GB" w:eastAsia="zh-CN"/>
              </w:rPr>
              <w:t>紧急事件的处理预案及保障措施服务方案具体完善、编制科学合理，针对性和可操作性强，得</w:t>
            </w:r>
            <w:r>
              <w:rPr>
                <w:rFonts w:hint="eastAsia" w:ascii="宋体" w:hAnsi="宋体" w:eastAsia="宋体" w:cs="宋体"/>
                <w:highlight w:val="none"/>
                <w:lang w:val="en-US" w:eastAsia="zh-CN"/>
              </w:rPr>
              <w:t>5</w:t>
            </w:r>
            <w:r>
              <w:rPr>
                <w:rFonts w:hint="eastAsia" w:ascii="宋体" w:hAnsi="宋体" w:eastAsia="宋体" w:cs="宋体"/>
                <w:highlight w:val="none"/>
                <w:lang w:val="en-GB" w:eastAsia="zh-CN"/>
              </w:rPr>
              <w:t>分；</w:t>
            </w:r>
          </w:p>
          <w:p w14:paraId="71E0935E">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2.对特殊情况和紧急事件的处理预案及保障措施服务方案较完善、编制较科学合理，具有可操作性，得</w:t>
            </w:r>
            <w:r>
              <w:rPr>
                <w:rFonts w:hint="eastAsia" w:ascii="宋体" w:hAnsi="宋体" w:eastAsia="宋体" w:cs="宋体"/>
                <w:highlight w:val="none"/>
                <w:lang w:val="en-US" w:eastAsia="zh-CN"/>
              </w:rPr>
              <w:t>3</w:t>
            </w:r>
            <w:r>
              <w:rPr>
                <w:rFonts w:hint="eastAsia" w:ascii="宋体" w:hAnsi="宋体" w:eastAsia="宋体" w:cs="宋体"/>
                <w:highlight w:val="none"/>
                <w:lang w:val="en-GB" w:eastAsia="zh-CN"/>
              </w:rPr>
              <w:t>分；</w:t>
            </w:r>
          </w:p>
          <w:p w14:paraId="24223574">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3.对特殊情况和紧急事件的处理预案及保障措施服务方案简单、不全面，可操作性一般，得1分；</w:t>
            </w:r>
          </w:p>
          <w:p w14:paraId="3D5C472B">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4.未提供应急方案或者应急方案过于简单未能体现任何可行性措施，得0分。</w:t>
            </w:r>
          </w:p>
          <w:p w14:paraId="6D8E17DB">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备注：</w:t>
            </w:r>
          </w:p>
          <w:p w14:paraId="37D6AD16">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1.投标人应知晓其</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方案将被视为服务承诺之一，如中标，投标人须按照其</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方案履约。因此，请投标人谨慎设计方案。</w:t>
            </w:r>
          </w:p>
          <w:p w14:paraId="48CA8BF9">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lang w:val="en-GB" w:eastAsia="zh-CN"/>
              </w:rPr>
              <w:t>评审委员会应根据投标人</w:t>
            </w:r>
            <w:r>
              <w:rPr>
                <w:rFonts w:hint="eastAsia" w:ascii="宋体" w:hAnsi="宋体" w:eastAsia="宋体" w:cs="宋体"/>
                <w:highlight w:val="none"/>
                <w:lang w:val="en-US" w:eastAsia="zh-CN"/>
              </w:rPr>
              <w:t>投标</w:t>
            </w:r>
            <w:r>
              <w:rPr>
                <w:rFonts w:hint="eastAsia" w:ascii="宋体" w:hAnsi="宋体" w:eastAsia="宋体" w:cs="宋体"/>
                <w:highlight w:val="none"/>
                <w:lang w:val="en-GB" w:eastAsia="zh-CN"/>
              </w:rPr>
              <w:t>文件的响应情况，进行评审。</w:t>
            </w:r>
          </w:p>
        </w:tc>
      </w:tr>
      <w:tr w14:paraId="417F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83" w:type="dxa"/>
            <w:tcBorders>
              <w:left w:val="single" w:color="auto" w:sz="4" w:space="0"/>
              <w:right w:val="single" w:color="auto" w:sz="4" w:space="0"/>
            </w:tcBorders>
            <w:noWrap w:val="0"/>
            <w:vAlign w:val="center"/>
          </w:tcPr>
          <w:p w14:paraId="35E5DABA">
            <w:pPr>
              <w:widowControl/>
              <w:jc w:val="left"/>
              <w:rPr>
                <w:rFonts w:hint="eastAsia" w:ascii="宋体" w:hAnsi="宋体" w:eastAsia="宋体" w:cs="宋体"/>
                <w:sz w:val="21"/>
                <w:szCs w:val="21"/>
                <w:highlight w:val="none"/>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0802E44">
            <w:pPr>
              <w:widowControl/>
              <w:spacing w:beforeLines="0" w:afterLines="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病人特殊饮食</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519327B0">
            <w:pPr>
              <w:bidi w:val="0"/>
              <w:rPr>
                <w:rFonts w:hint="default"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5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B605E2">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根据投标人所提供病人特殊饮食的齐全性进行综合评审，</w:t>
            </w:r>
          </w:p>
          <w:p w14:paraId="24AEB7F0">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1.所提供病人特殊饮食科学合理的得5分；</w:t>
            </w:r>
          </w:p>
          <w:p w14:paraId="3C41534B">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2.所提供病人特殊饮食基本满足的得3分；</w:t>
            </w:r>
          </w:p>
          <w:p w14:paraId="45F33FF2">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3.所提供病人特殊饮食不全面的得1分；</w:t>
            </w:r>
          </w:p>
          <w:p w14:paraId="20B621FC">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4.不提供不得分。</w:t>
            </w:r>
          </w:p>
          <w:p w14:paraId="3C397B2F">
            <w:pPr>
              <w:bidi w:val="0"/>
              <w:rPr>
                <w:rFonts w:hint="eastAsia" w:ascii="宋体" w:hAnsi="宋体" w:eastAsia="宋体" w:cs="宋体"/>
                <w:highlight w:val="none"/>
                <w:lang w:val="en-GB" w:eastAsia="zh-CN"/>
              </w:rPr>
            </w:pPr>
            <w:r>
              <w:rPr>
                <w:rFonts w:hint="eastAsia" w:ascii="宋体" w:hAnsi="宋体" w:eastAsia="宋体" w:cs="宋体"/>
                <w:highlight w:val="none"/>
                <w:lang w:val="en-GB" w:eastAsia="zh-CN"/>
              </w:rPr>
              <w:t>备注：</w:t>
            </w:r>
          </w:p>
          <w:p w14:paraId="6F7D19E2">
            <w:pPr>
              <w:bidi w:val="0"/>
              <w:rPr>
                <w:rFonts w:hint="eastAsia" w:ascii="宋体" w:hAnsi="宋体" w:eastAsia="宋体" w:cs="宋体"/>
                <w:highlight w:val="none"/>
                <w:lang w:val="en-US" w:eastAsia="zh-CN"/>
              </w:rPr>
            </w:pPr>
            <w:r>
              <w:rPr>
                <w:rFonts w:hint="eastAsia" w:ascii="宋体" w:hAnsi="宋体" w:eastAsia="宋体" w:cs="宋体"/>
                <w:highlight w:val="none"/>
                <w:lang w:val="en-GB" w:eastAsia="zh-CN"/>
              </w:rPr>
              <w:t>投标人提供病人特殊饮食清单。</w:t>
            </w:r>
          </w:p>
        </w:tc>
      </w:tr>
    </w:tbl>
    <w:p w14:paraId="391CCB8E">
      <w:pPr>
        <w:pStyle w:val="7"/>
        <w:ind w:firstLine="0"/>
        <w:rPr>
          <w:rFonts w:hint="eastAsia" w:ascii="宋体" w:hAnsi="宋体" w:eastAsia="宋体" w:cs="宋体"/>
          <w:b/>
          <w:szCs w:val="21"/>
          <w:highlight w:val="none"/>
        </w:rPr>
      </w:pPr>
    </w:p>
    <w:p w14:paraId="246F853A">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2573FD13">
      <w:pPr>
        <w:pStyle w:val="7"/>
        <w:ind w:firstLine="400" w:firstLineChars="200"/>
        <w:rPr>
          <w:rFonts w:hint="eastAsia" w:ascii="宋体" w:hAnsi="宋体" w:eastAsia="宋体" w:cs="宋体"/>
          <w:szCs w:val="21"/>
          <w:highlight w:val="none"/>
        </w:rPr>
      </w:pPr>
      <w:r>
        <w:rPr>
          <w:rFonts w:hint="eastAsia" w:ascii="宋体" w:hAnsi="宋体" w:eastAsia="宋体" w:cs="宋体"/>
          <w:szCs w:val="21"/>
          <w:highlight w:val="none"/>
        </w:rPr>
        <w:t>2.商务评价：</w:t>
      </w:r>
      <w:r>
        <w:rPr>
          <w:rFonts w:hint="eastAsia" w:ascii="宋体" w:hAnsi="宋体" w:eastAsia="宋体" w:cs="宋体"/>
          <w:szCs w:val="21"/>
          <w:highlight w:val="none"/>
          <w:lang w:eastAsia="zh-CN"/>
        </w:rPr>
        <w:t>（</w:t>
      </w:r>
      <w:r>
        <w:rPr>
          <w:rFonts w:hint="eastAsia" w:ascii="宋体" w:hAnsi="宋体" w:cs="宋体"/>
          <w:szCs w:val="21"/>
          <w:highlight w:val="none"/>
          <w:lang w:val="en-US" w:eastAsia="zh-CN"/>
        </w:rPr>
        <w:t>35</w:t>
      </w:r>
      <w:r>
        <w:rPr>
          <w:rFonts w:hint="eastAsia" w:ascii="宋体" w:hAnsi="宋体" w:eastAsia="宋体" w:cs="宋体"/>
          <w:szCs w:val="21"/>
          <w:highlight w:val="none"/>
        </w:rPr>
        <w:t>分）</w:t>
      </w:r>
    </w:p>
    <w:tbl>
      <w:tblPr>
        <w:tblStyle w:val="4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994"/>
        <w:gridCol w:w="710"/>
        <w:gridCol w:w="5993"/>
      </w:tblGrid>
      <w:tr w14:paraId="2C34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536DF4D4">
            <w:pPr>
              <w:spacing w:line="260" w:lineRule="atLeas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5CF057D">
            <w:pPr>
              <w:spacing w:line="260" w:lineRule="atLeas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评议内容</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6AE57D07">
            <w:pPr>
              <w:spacing w:line="260" w:lineRule="atLeas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5993" w:type="dxa"/>
            <w:tcBorders>
              <w:top w:val="single" w:color="auto" w:sz="4" w:space="0"/>
              <w:left w:val="single" w:color="auto" w:sz="4" w:space="0"/>
              <w:bottom w:val="single" w:color="auto" w:sz="4" w:space="0"/>
              <w:right w:val="single" w:color="auto" w:sz="4" w:space="0"/>
            </w:tcBorders>
            <w:noWrap w:val="0"/>
            <w:vAlign w:val="center"/>
          </w:tcPr>
          <w:p w14:paraId="31A8C0E8">
            <w:pPr>
              <w:spacing w:line="260" w:lineRule="atLeas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评分细则</w:t>
            </w:r>
          </w:p>
        </w:tc>
      </w:tr>
      <w:tr w14:paraId="2AE8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restart"/>
            <w:tcBorders>
              <w:top w:val="single" w:color="auto" w:sz="4" w:space="0"/>
              <w:left w:val="single" w:color="auto" w:sz="4" w:space="0"/>
              <w:right w:val="single" w:color="auto" w:sz="4" w:space="0"/>
            </w:tcBorders>
            <w:noWrap w:val="0"/>
            <w:vAlign w:val="center"/>
          </w:tcPr>
          <w:p w14:paraId="575ED944">
            <w:pPr>
              <w:spacing w:line="260" w:lineRule="atLeast"/>
              <w:jc w:val="both"/>
              <w:rPr>
                <w:rFonts w:hint="eastAsia" w:ascii="宋体" w:hAnsi="宋体" w:eastAsia="宋体" w:cs="宋体"/>
                <w:sz w:val="21"/>
                <w:szCs w:val="21"/>
                <w:highlight w:val="none"/>
                <w:lang w:val="en-US" w:eastAsia="zh-CN"/>
              </w:rPr>
            </w:pPr>
          </w:p>
          <w:p w14:paraId="62F81F3A">
            <w:pPr>
              <w:spacing w:line="260" w:lineRule="atLeas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30891A0">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项目服务经验</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EAAAE56">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p>
        </w:tc>
        <w:tc>
          <w:tcPr>
            <w:tcW w:w="59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00DA88">
            <w:pPr>
              <w:tabs>
                <w:tab w:val="left" w:pos="840"/>
              </w:tabs>
              <w:spacing w:line="260" w:lineRule="atLeas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每提供一项同类项目业绩的合同或中标通知书复印件并加盖公章得3分，最高得9分，不提供不得分</w:t>
            </w:r>
          </w:p>
          <w:p w14:paraId="1E3C208F">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1.如提供合同证明资料的，则需提供合同关键信息（含首页、签字页）证明文件</w:t>
            </w:r>
          </w:p>
          <w:p w14:paraId="68544848">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2.通过中标通知书或合同关键信息无法判断是否得分的，还须同时提供能证明得分的其它证明资料，如项目报告或合同甲方出具的证明文件等。</w:t>
            </w:r>
          </w:p>
          <w:p w14:paraId="486E8724">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 xml:space="preserve"> 3.以上资料均要求提供复印件。评分中出现无证明资料或专家无法凭所提供资料判断是否得分的情况，一律作不得分处理。</w:t>
            </w:r>
          </w:p>
        </w:tc>
      </w:tr>
      <w:tr w14:paraId="4400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tcBorders>
              <w:left w:val="single" w:color="auto" w:sz="4" w:space="0"/>
              <w:right w:val="single" w:color="auto" w:sz="4" w:space="0"/>
            </w:tcBorders>
            <w:noWrap w:val="0"/>
            <w:vAlign w:val="center"/>
          </w:tcPr>
          <w:p w14:paraId="00D9B858">
            <w:pPr>
              <w:spacing w:line="260" w:lineRule="atLeast"/>
              <w:jc w:val="center"/>
              <w:rPr>
                <w:rFonts w:hint="eastAsia" w:ascii="宋体" w:hAnsi="宋体" w:eastAsia="宋体" w:cs="宋体"/>
                <w:sz w:val="21"/>
                <w:szCs w:val="21"/>
                <w:highlight w:val="none"/>
                <w:lang w:val="en-US" w:eastAsia="zh-CN"/>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964FA1F">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客户满意度情况</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23B23E20">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59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BBEF78">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提供有效业绩的使用用户评价，每提供一个类似“满意”或“非常满意”或“优”的使用用户评价得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en-US" w:eastAsia="zh-Hans"/>
              </w:rPr>
              <w:t xml:space="preserve"> 分，本项最高不超过</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en-US" w:eastAsia="zh-Hans"/>
              </w:rPr>
              <w:t>分。须提供用户单位的评价证明（格式自拟，须加盖用户单位印章）。其他表达满意度的词语，由评委参照以上评价等级程度认定对应的评价等级。同一法人单位的多份用户评价只计算 1 份</w:t>
            </w:r>
          </w:p>
        </w:tc>
      </w:tr>
      <w:tr w14:paraId="723D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tcBorders>
              <w:left w:val="single" w:color="auto" w:sz="4" w:space="0"/>
              <w:right w:val="single" w:color="auto" w:sz="4" w:space="0"/>
            </w:tcBorders>
            <w:noWrap w:val="0"/>
            <w:vAlign w:val="center"/>
          </w:tcPr>
          <w:p w14:paraId="07E17447">
            <w:pPr>
              <w:spacing w:line="260" w:lineRule="atLeast"/>
              <w:jc w:val="center"/>
              <w:rPr>
                <w:rFonts w:hint="eastAsia" w:ascii="宋体" w:hAnsi="宋体" w:eastAsia="宋体" w:cs="宋体"/>
                <w:sz w:val="21"/>
                <w:szCs w:val="21"/>
                <w:highlight w:val="none"/>
                <w:lang w:eastAsia="zh-CN"/>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9C715D2">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项目负责人</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64DB9129">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59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2ABEE8">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拟派的项目负责人应具有</w:t>
            </w:r>
            <w:r>
              <w:rPr>
                <w:rFonts w:hint="eastAsia" w:ascii="宋体" w:hAnsi="宋体" w:eastAsia="宋体" w:cs="宋体"/>
                <w:sz w:val="21"/>
                <w:szCs w:val="21"/>
                <w:highlight w:val="none"/>
                <w:lang w:val="en-US" w:eastAsia="zh-CN"/>
              </w:rPr>
              <w:t>专科或</w:t>
            </w:r>
            <w:r>
              <w:rPr>
                <w:rFonts w:hint="eastAsia" w:ascii="宋体" w:hAnsi="宋体" w:eastAsia="宋体" w:cs="宋体"/>
                <w:sz w:val="21"/>
                <w:szCs w:val="21"/>
                <w:highlight w:val="none"/>
                <w:lang w:val="en-US" w:eastAsia="zh-Hans"/>
              </w:rPr>
              <w:t>以上学历</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Hans"/>
              </w:rPr>
              <w:t>至少具有3年以上饭堂经营管理的经验，且具备高级食品安全管理员资格，全部满足得5分，缺一项得0分。</w:t>
            </w:r>
          </w:p>
          <w:p w14:paraId="6AC1413F">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备注：</w:t>
            </w:r>
          </w:p>
          <w:p w14:paraId="3142632D">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1.提供项目负责人在</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en-US" w:eastAsia="zh-Hans"/>
              </w:rPr>
              <w:t>处就职的证明材料以证明雇佣关系；</w:t>
            </w:r>
          </w:p>
          <w:p w14:paraId="3DA5645A">
            <w:pPr>
              <w:tabs>
                <w:tab w:val="left" w:pos="840"/>
              </w:tabs>
              <w:spacing w:line="260" w:lineRule="atLeas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2.提供饭堂经营管理经验的证明文件</w:t>
            </w:r>
          </w:p>
          <w:p w14:paraId="7836E8C5">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en-US" w:eastAsia="zh-Hans"/>
              </w:rPr>
              <w:t>提供资格证书复印件。所有文件需加盖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en-US" w:eastAsia="zh-Hans"/>
              </w:rPr>
              <w:t>公章，未加盖或缺失公章，不得分。</w:t>
            </w:r>
          </w:p>
        </w:tc>
      </w:tr>
      <w:tr w14:paraId="5C16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tcBorders>
              <w:left w:val="single" w:color="auto" w:sz="4" w:space="0"/>
              <w:right w:val="single" w:color="auto" w:sz="4" w:space="0"/>
            </w:tcBorders>
            <w:noWrap w:val="0"/>
            <w:vAlign w:val="center"/>
          </w:tcPr>
          <w:p w14:paraId="15347AB0">
            <w:pPr>
              <w:spacing w:line="260" w:lineRule="atLeast"/>
              <w:jc w:val="center"/>
              <w:rPr>
                <w:rFonts w:hint="eastAsia" w:ascii="宋体" w:hAnsi="宋体" w:eastAsia="宋体" w:cs="宋体"/>
                <w:sz w:val="21"/>
                <w:szCs w:val="21"/>
                <w:highlight w:val="none"/>
                <w:lang w:eastAsia="zh-CN"/>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181302C">
            <w:pPr>
              <w:tabs>
                <w:tab w:val="left" w:pos="840"/>
              </w:tabs>
              <w:spacing w:line="260" w:lineRule="atLeast"/>
              <w:jc w:val="center"/>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团队成员</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4BDE92BF">
            <w:pPr>
              <w:tabs>
                <w:tab w:val="left" w:pos="840"/>
              </w:tabs>
              <w:spacing w:line="260" w:lineRule="atLeast"/>
              <w:jc w:val="center"/>
              <w:rPr>
                <w:rFonts w:hint="default"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10</w:t>
            </w:r>
          </w:p>
        </w:tc>
        <w:tc>
          <w:tcPr>
            <w:tcW w:w="5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EEE61C">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1.食品安全员：具备政府部门颁发的中级</w:t>
            </w:r>
            <w:r>
              <w:rPr>
                <w:rFonts w:hint="eastAsia" w:ascii="宋体" w:hAnsi="宋体" w:eastAsia="宋体" w:cs="宋体"/>
                <w:sz w:val="21"/>
                <w:szCs w:val="21"/>
                <w:highlight w:val="none"/>
                <w:lang w:val="en-US" w:eastAsia="zh-CN"/>
              </w:rPr>
              <w:t>及以上</w:t>
            </w:r>
            <w:r>
              <w:rPr>
                <w:rFonts w:hint="eastAsia" w:ascii="宋体" w:hAnsi="宋体" w:eastAsia="宋体" w:cs="宋体"/>
                <w:sz w:val="21"/>
                <w:szCs w:val="21"/>
                <w:highlight w:val="none"/>
                <w:lang w:val="en-US" w:eastAsia="zh-Hans"/>
              </w:rPr>
              <w:t>食品安全管理员资格证书（或中级</w:t>
            </w:r>
            <w:r>
              <w:rPr>
                <w:rFonts w:hint="eastAsia" w:ascii="宋体" w:hAnsi="宋体" w:eastAsia="宋体" w:cs="宋体"/>
                <w:sz w:val="21"/>
                <w:szCs w:val="21"/>
                <w:highlight w:val="none"/>
                <w:lang w:val="en-US" w:eastAsia="zh-CN"/>
              </w:rPr>
              <w:t>及以上</w:t>
            </w:r>
            <w:r>
              <w:rPr>
                <w:rFonts w:hint="eastAsia" w:ascii="宋体" w:hAnsi="宋体" w:eastAsia="宋体" w:cs="宋体"/>
                <w:sz w:val="21"/>
                <w:szCs w:val="21"/>
                <w:highlight w:val="none"/>
                <w:lang w:val="en-US" w:eastAsia="zh-Hans"/>
              </w:rPr>
              <w:t>食品安全管理员考试合格证）（须提供证书复印件并加盖公章）</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Hans"/>
              </w:rPr>
              <w:t>满足得2分；</w:t>
            </w:r>
          </w:p>
          <w:p w14:paraId="5DB6CF2F">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2.健康管理师或营养师：具备政府部门或职能指导中心颁发的健康管理师或营养师资格证书（须提供证书复印件并加盖公章）。每人得1分，最高得2分；</w:t>
            </w:r>
            <w:r>
              <w:rPr>
                <w:rFonts w:hint="eastAsia" w:ascii="宋体" w:hAnsi="宋体" w:eastAsia="宋体" w:cs="宋体"/>
                <w:sz w:val="21"/>
                <w:szCs w:val="21"/>
                <w:highlight w:val="none"/>
                <w:lang w:val="en-US" w:eastAsia="zh-Hans"/>
              </w:rPr>
              <w:br w:type="textWrapping"/>
            </w:r>
            <w:r>
              <w:rPr>
                <w:rFonts w:hint="eastAsia" w:ascii="宋体" w:hAnsi="宋体" w:eastAsia="宋体" w:cs="宋体"/>
                <w:sz w:val="21"/>
                <w:szCs w:val="21"/>
                <w:highlight w:val="none"/>
                <w:lang w:val="en-US" w:eastAsia="zh-Hans"/>
              </w:rPr>
              <w:t>3.厨师长：具备一级或高级技师中式烹</w:t>
            </w:r>
            <w:r>
              <w:rPr>
                <w:rFonts w:hint="eastAsia" w:ascii="宋体" w:hAnsi="宋体" w:eastAsia="宋体" w:cs="宋体"/>
                <w:sz w:val="21"/>
                <w:szCs w:val="21"/>
                <w:highlight w:val="none"/>
                <w:lang w:val="en-US" w:eastAsia="zh-CN"/>
              </w:rPr>
              <w:t>调师</w:t>
            </w:r>
            <w:r>
              <w:rPr>
                <w:rFonts w:hint="eastAsia" w:ascii="宋体" w:hAnsi="宋体" w:eastAsia="宋体" w:cs="宋体"/>
                <w:sz w:val="21"/>
                <w:szCs w:val="21"/>
                <w:highlight w:val="none"/>
                <w:lang w:val="en-US" w:eastAsia="zh-Hans"/>
              </w:rPr>
              <w:t>资格证书（须提供证书复印件并加盖公章）。每人得1分，最高得2分；</w:t>
            </w:r>
            <w:r>
              <w:rPr>
                <w:rFonts w:hint="eastAsia" w:ascii="宋体" w:hAnsi="宋体" w:eastAsia="宋体" w:cs="宋体"/>
                <w:sz w:val="21"/>
                <w:szCs w:val="21"/>
                <w:highlight w:val="none"/>
                <w:lang w:val="en-US" w:eastAsia="zh-Hans"/>
              </w:rPr>
              <w:br w:type="textWrapping"/>
            </w:r>
            <w:r>
              <w:rPr>
                <w:rFonts w:hint="eastAsia" w:ascii="宋体" w:hAnsi="宋体" w:eastAsia="宋体" w:cs="宋体"/>
                <w:sz w:val="21"/>
                <w:szCs w:val="21"/>
                <w:highlight w:val="none"/>
                <w:lang w:val="en-US" w:eastAsia="zh-Hans"/>
              </w:rPr>
              <w:t>4.厨师:持有效二级/中级及以上中式烹调师资格证书(须提供证书复印件并加盖公章)。每人得1分，最高得2分;</w:t>
            </w:r>
          </w:p>
          <w:p w14:paraId="2D94F05F">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5.面点师：具备一级或高级技师中式面点制作资格证书（须提供证书复印件并加盖公章）。满足得2分。</w:t>
            </w:r>
          </w:p>
          <w:p w14:paraId="10144CC1">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备注：</w:t>
            </w:r>
          </w:p>
          <w:p w14:paraId="19CBE609">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1.提供服务团队成员在职证明材料，并提供资格证书复印件，所有文件需加盖投标人公章，未加盖或缺失公章，不得分。</w:t>
            </w:r>
          </w:p>
          <w:p w14:paraId="41D18E7B">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2.同一人获得以上多个证书的不重复计分。</w:t>
            </w:r>
          </w:p>
          <w:p w14:paraId="0151AEA4">
            <w:pPr>
              <w:tabs>
                <w:tab w:val="left" w:pos="840"/>
              </w:tabs>
              <w:spacing w:line="260" w:lineRule="atLeas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Hans"/>
              </w:rPr>
              <w:t>3.不按要求提供证明文件的，对应项不得分。</w:t>
            </w:r>
          </w:p>
        </w:tc>
      </w:tr>
      <w:tr w14:paraId="17A4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left w:val="single" w:color="auto" w:sz="4" w:space="0"/>
              <w:right w:val="single" w:color="auto" w:sz="4" w:space="0"/>
            </w:tcBorders>
            <w:noWrap w:val="0"/>
            <w:vAlign w:val="center"/>
          </w:tcPr>
          <w:p w14:paraId="3222E4FF">
            <w:pPr>
              <w:spacing w:line="260" w:lineRule="atLeast"/>
              <w:jc w:val="center"/>
              <w:rPr>
                <w:rFonts w:hint="eastAsia" w:ascii="宋体" w:hAnsi="宋体" w:eastAsia="宋体" w:cs="宋体"/>
                <w:sz w:val="21"/>
                <w:szCs w:val="21"/>
                <w:highlight w:val="none"/>
                <w:lang w:eastAsia="zh-CN"/>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6D3F1B">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食品安全赔付能力</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011AD67">
            <w:pPr>
              <w:tabs>
                <w:tab w:val="left" w:pos="840"/>
              </w:tabs>
              <w:spacing w:line="260" w:lineRule="atLeas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59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0F5EBAA">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en-US" w:eastAsia="zh-Hans"/>
              </w:rPr>
              <w:t>为本项目购买食品安全责任险，在已满足本项目实质性要求（保额不低于1000万元）的基础上，保额每高200万，得1分，最高得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en-US" w:eastAsia="zh-Hans"/>
              </w:rPr>
              <w:t>分。</w:t>
            </w:r>
          </w:p>
          <w:p w14:paraId="2AFB6788">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备注：须提供承诺函并加盖公章。</w:t>
            </w:r>
          </w:p>
        </w:tc>
      </w:tr>
      <w:tr w14:paraId="3B50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left w:val="single" w:color="auto" w:sz="4" w:space="0"/>
              <w:bottom w:val="single" w:color="auto" w:sz="4" w:space="0"/>
              <w:right w:val="single" w:color="auto" w:sz="4" w:space="0"/>
            </w:tcBorders>
            <w:noWrap w:val="0"/>
            <w:vAlign w:val="center"/>
          </w:tcPr>
          <w:p w14:paraId="097A1097">
            <w:pPr>
              <w:spacing w:line="260" w:lineRule="atLeast"/>
              <w:jc w:val="center"/>
              <w:rPr>
                <w:rFonts w:hint="eastAsia" w:ascii="宋体" w:hAnsi="宋体" w:eastAsia="宋体" w:cs="宋体"/>
                <w:sz w:val="21"/>
                <w:szCs w:val="21"/>
                <w:highlight w:val="none"/>
                <w:lang w:eastAsia="zh-CN"/>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7F7FC3F">
            <w:pPr>
              <w:tabs>
                <w:tab w:val="left" w:pos="840"/>
              </w:tabs>
              <w:spacing w:line="26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体系认证</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6E92C66">
            <w:pPr>
              <w:tabs>
                <w:tab w:val="left" w:pos="840"/>
              </w:tabs>
              <w:spacing w:line="260" w:lineRule="atLeas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599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7CA892">
            <w:pPr>
              <w:tabs>
                <w:tab w:val="left" w:pos="840"/>
              </w:tabs>
              <w:spacing w:line="260" w:lineRule="atLeas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投标人具有质量管理体系认证证书、环境管理体系认证证书、职业健康安全管理体系认证证书，食品安全管理体系认证证书、HACCP危害分析与关键控制点体系认证证书，获得一项得1分，最高得5分。</w:t>
            </w:r>
          </w:p>
          <w:p w14:paraId="479F91D2">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备注：1.提供上述在有效期内的认证证书复印件及全国认证认可信息公共服务平台（http://www.cnca.cn）上查询到的在有效期内的官网截图打印件，已失效或撤销的或暂停的，不提供不得分。公开信息中无法查询或与公开信息不一致的，供应商必须提供发证机构出具的证明函。</w:t>
            </w:r>
          </w:p>
          <w:p w14:paraId="426D8F9A">
            <w:pPr>
              <w:tabs>
                <w:tab w:val="left" w:pos="840"/>
              </w:tabs>
              <w:spacing w:line="260" w:lineRule="atLeast"/>
              <w:jc w:val="left"/>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2.如因企业成立时间不满足认证时间要求且办理认证所需要合理时间不够导致未能获得证书，供应商提供说明文件明确以上事项，说明合理且属实的，可对应得分。</w:t>
            </w:r>
          </w:p>
        </w:tc>
      </w:tr>
    </w:tbl>
    <w:p w14:paraId="3962296C">
      <w:pPr>
        <w:pStyle w:val="7"/>
        <w:ind w:firstLine="0"/>
        <w:rPr>
          <w:rFonts w:hint="eastAsia" w:ascii="宋体" w:hAnsi="宋体" w:eastAsia="宋体" w:cs="宋体"/>
          <w:szCs w:val="21"/>
          <w:highlight w:val="none"/>
        </w:rPr>
      </w:pPr>
    </w:p>
    <w:p w14:paraId="7D379B90">
      <w:pPr>
        <w:rPr>
          <w:rFonts w:hint="eastAsia" w:ascii="宋体" w:hAnsi="宋体" w:eastAsia="宋体" w:cs="宋体"/>
          <w:szCs w:val="21"/>
          <w:highlight w:val="none"/>
        </w:rPr>
      </w:pPr>
      <w:r>
        <w:rPr>
          <w:rFonts w:hint="eastAsia" w:ascii="宋体" w:hAnsi="宋体" w:eastAsia="宋体" w:cs="宋体"/>
          <w:szCs w:val="21"/>
          <w:highlight w:val="none"/>
        </w:rPr>
        <w:br w:type="page"/>
      </w:r>
    </w:p>
    <w:p w14:paraId="694AF39A">
      <w:pPr>
        <w:pStyle w:val="7"/>
        <w:ind w:firstLine="400" w:firstLineChars="200"/>
        <w:rPr>
          <w:rFonts w:hint="eastAsia" w:ascii="宋体" w:hAnsi="宋体" w:eastAsia="宋体" w:cs="宋体"/>
          <w:szCs w:val="21"/>
          <w:highlight w:val="none"/>
        </w:rPr>
      </w:pPr>
      <w:r>
        <w:rPr>
          <w:rFonts w:hint="eastAsia" w:ascii="宋体" w:hAnsi="宋体" w:eastAsia="宋体" w:cs="宋体"/>
          <w:szCs w:val="21"/>
          <w:highlight w:val="none"/>
        </w:rPr>
        <w:t>3. 价格评价：（</w:t>
      </w:r>
      <w:r>
        <w:rPr>
          <w:rFonts w:hint="eastAsia" w:ascii="宋体" w:hAnsi="宋体" w:cs="宋体"/>
          <w:szCs w:val="21"/>
          <w:highlight w:val="none"/>
          <w:lang w:val="en-US" w:eastAsia="zh-CN"/>
        </w:rPr>
        <w:t>10</w:t>
      </w:r>
      <w:r>
        <w:rPr>
          <w:rFonts w:hint="eastAsia" w:ascii="宋体" w:hAnsi="宋体" w:eastAsia="宋体" w:cs="宋体"/>
          <w:szCs w:val="21"/>
          <w:highlight w:val="none"/>
        </w:rPr>
        <w:t>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048"/>
        <w:gridCol w:w="7119"/>
      </w:tblGrid>
      <w:tr w14:paraId="3AF5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24" w:type="dxa"/>
            <w:noWrap w:val="0"/>
            <w:vAlign w:val="center"/>
          </w:tcPr>
          <w:p w14:paraId="4CBDDA2F">
            <w:pPr>
              <w:pStyle w:val="7"/>
              <w:ind w:firstLine="0"/>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评审项目</w:t>
            </w:r>
          </w:p>
        </w:tc>
        <w:tc>
          <w:tcPr>
            <w:tcW w:w="1048" w:type="dxa"/>
            <w:noWrap w:val="0"/>
            <w:vAlign w:val="center"/>
          </w:tcPr>
          <w:p w14:paraId="7B924966">
            <w:pPr>
              <w:pStyle w:val="7"/>
              <w:ind w:firstLine="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分值</w:t>
            </w:r>
          </w:p>
        </w:tc>
        <w:tc>
          <w:tcPr>
            <w:tcW w:w="7119" w:type="dxa"/>
            <w:noWrap w:val="0"/>
            <w:vAlign w:val="center"/>
          </w:tcPr>
          <w:p w14:paraId="6FB98322">
            <w:pPr>
              <w:pStyle w:val="7"/>
              <w:ind w:firstLine="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评分细则</w:t>
            </w:r>
          </w:p>
        </w:tc>
      </w:tr>
      <w:tr w14:paraId="4CD2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24" w:type="dxa"/>
            <w:noWrap w:val="0"/>
            <w:vAlign w:val="center"/>
          </w:tcPr>
          <w:p w14:paraId="23426C7D">
            <w:pPr>
              <w:pStyle w:val="7"/>
              <w:ind w:firstLine="0"/>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Hans"/>
              </w:rPr>
              <w:t>投标报价</w:t>
            </w:r>
          </w:p>
        </w:tc>
        <w:tc>
          <w:tcPr>
            <w:tcW w:w="1048" w:type="dxa"/>
            <w:noWrap w:val="0"/>
            <w:vAlign w:val="center"/>
          </w:tcPr>
          <w:p w14:paraId="0D3D0573">
            <w:pPr>
              <w:pStyle w:val="7"/>
              <w:ind w:firstLine="0"/>
              <w:jc w:val="center"/>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lang w:val="en-US" w:eastAsia="zh-CN"/>
              </w:rPr>
              <w:t>10</w:t>
            </w:r>
          </w:p>
        </w:tc>
        <w:tc>
          <w:tcPr>
            <w:tcW w:w="7119" w:type="dxa"/>
            <w:noWrap w:val="0"/>
            <w:vAlign w:val="center"/>
          </w:tcPr>
          <w:p w14:paraId="6557CF1C">
            <w:pPr>
              <w:pStyle w:val="7"/>
              <w:ind w:firstLine="0"/>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价格分是以满足招标文件要求且投标价格最</w:t>
            </w:r>
            <w:r>
              <w:rPr>
                <w:rFonts w:hint="eastAsia" w:ascii="宋体" w:hAnsi="宋体" w:eastAsia="宋体" w:cs="宋体"/>
                <w:sz w:val="21"/>
                <w:szCs w:val="21"/>
                <w:highlight w:val="none"/>
                <w:lang w:val="en-US" w:eastAsia="zh-CN"/>
              </w:rPr>
              <w:t>高</w:t>
            </w:r>
            <w:r>
              <w:rPr>
                <w:rFonts w:hint="eastAsia" w:ascii="宋体" w:hAnsi="宋体" w:eastAsia="宋体" w:cs="宋体"/>
                <w:sz w:val="21"/>
                <w:szCs w:val="21"/>
                <w:highlight w:val="none"/>
                <w:lang w:val="en-US" w:eastAsia="zh-Hans"/>
              </w:rPr>
              <w:t>的投标报价为评标基准价，其他投标人的价格分则按比例算出。</w:t>
            </w:r>
          </w:p>
          <w:p w14:paraId="29023D31">
            <w:pPr>
              <w:pStyle w:val="7"/>
              <w:ind w:firstLine="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Hans"/>
              </w:rPr>
              <w:t>价格分=(投标报价/评标基准价)×</w:t>
            </w:r>
            <w:r>
              <w:rPr>
                <w:rFonts w:hint="eastAsia" w:ascii="宋体" w:hAnsi="宋体" w:eastAsia="宋体" w:cs="宋体"/>
                <w:sz w:val="21"/>
                <w:szCs w:val="21"/>
                <w:highlight w:val="none"/>
                <w:lang w:val="en-US" w:eastAsia="zh-CN"/>
              </w:rPr>
              <w:t>10</w:t>
            </w:r>
          </w:p>
        </w:tc>
      </w:tr>
    </w:tbl>
    <w:p w14:paraId="471F373C">
      <w:pPr>
        <w:pStyle w:val="7"/>
        <w:ind w:firstLine="400" w:firstLineChars="200"/>
        <w:rPr>
          <w:rFonts w:hint="eastAsia" w:ascii="宋体" w:hAnsi="宋体" w:eastAsia="宋体" w:cs="宋体"/>
          <w:szCs w:val="21"/>
          <w:highlight w:val="none"/>
        </w:rPr>
      </w:pPr>
    </w:p>
    <w:p w14:paraId="7F2BA2E9">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综合比较与评价：</w:t>
      </w:r>
    </w:p>
    <w:p w14:paraId="431BC5CA">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根据每个投标人在上述各评审阶段中的得分，采用下面公式算出每个投标人的综合得分： </w:t>
      </w:r>
    </w:p>
    <w:p w14:paraId="503E86AA">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W＝[C/Cmax]×10 ＋ S＋ M </w:t>
      </w:r>
    </w:p>
    <w:p w14:paraId="5005A68D">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其中：</w:t>
      </w:r>
    </w:p>
    <w:p w14:paraId="0646A475">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      某个投标人的综合得分；</w:t>
      </w:r>
    </w:p>
    <w:p w14:paraId="5B00B359">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C       某个投标人的实际投标价格；</w:t>
      </w:r>
    </w:p>
    <w:p w14:paraId="4D731403">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Cmax    满足招标文件要求且投标价格最高的投标报价；</w:t>
      </w:r>
    </w:p>
    <w:p w14:paraId="2DBBB5AE">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S       某个投标人的服务评审得分；</w:t>
      </w:r>
    </w:p>
    <w:p w14:paraId="4090D9FC">
      <w:pPr>
        <w:pStyle w:val="7"/>
        <w:ind w:firstLine="40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M       某个投标人的商务评审得分；</w:t>
      </w:r>
    </w:p>
    <w:p w14:paraId="1EC454A4">
      <w:pPr>
        <w:pStyle w:val="7"/>
        <w:ind w:firstLine="40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注： T、M均为所有评委评分的算术平均值。</w:t>
      </w:r>
    </w:p>
    <w:p w14:paraId="1715F6A1">
      <w:pPr>
        <w:pStyle w:val="7"/>
        <w:ind w:firstLine="480"/>
        <w:rPr>
          <w:rFonts w:hint="eastAsia" w:ascii="宋体" w:hAnsi="宋体" w:eastAsia="宋体" w:cs="宋体"/>
          <w:b/>
          <w:szCs w:val="21"/>
          <w:highlight w:val="none"/>
        </w:rPr>
      </w:pPr>
      <w:r>
        <w:rPr>
          <w:rFonts w:hint="eastAsia" w:ascii="宋体" w:hAnsi="宋体" w:eastAsia="宋体" w:cs="宋体"/>
          <w:b/>
          <w:szCs w:val="21"/>
          <w:highlight w:val="none"/>
        </w:rPr>
        <w:t>（三）推荐中标候选人名单</w:t>
      </w:r>
    </w:p>
    <w:p w14:paraId="39F82845">
      <w:pPr>
        <w:pStyle w:val="7"/>
        <w:ind w:firstLine="480"/>
        <w:rPr>
          <w:rFonts w:hint="eastAsia" w:ascii="宋体" w:hAnsi="宋体" w:eastAsia="宋体" w:cs="宋体"/>
          <w:szCs w:val="21"/>
          <w:highlight w:val="none"/>
        </w:rPr>
      </w:pPr>
      <w:r>
        <w:rPr>
          <w:rFonts w:hint="eastAsia" w:ascii="宋体" w:hAnsi="宋体" w:eastAsia="宋体" w:cs="宋体"/>
          <w:szCs w:val="21"/>
          <w:highlight w:val="none"/>
        </w:rPr>
        <w:t>评标委员会根据最终评审的结果，推荐综合得分最高的投标人为排名第一的中标候选人。</w:t>
      </w:r>
    </w:p>
    <w:p w14:paraId="56B33253">
      <w:pPr>
        <w:pStyle w:val="7"/>
        <w:ind w:firstLine="0"/>
        <w:rPr>
          <w:rFonts w:hint="eastAsia" w:ascii="宋体" w:hAnsi="宋体" w:eastAsia="宋体" w:cs="宋体"/>
          <w:b/>
          <w:szCs w:val="21"/>
          <w:highlight w:val="none"/>
        </w:rPr>
      </w:pPr>
    </w:p>
    <w:p w14:paraId="02A63688">
      <w:pPr>
        <w:adjustRightInd w:val="0"/>
        <w:snapToGrid w:val="0"/>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25FE6482">
      <w:pPr>
        <w:adjustRightInd w:val="0"/>
        <w:snapToGrid w:val="0"/>
        <w:jc w:val="center"/>
        <w:rPr>
          <w:rFonts w:hint="eastAsia" w:ascii="宋体" w:hAnsi="宋体" w:eastAsia="宋体" w:cs="宋体"/>
          <w:b/>
          <w:kern w:val="0"/>
          <w:sz w:val="28"/>
          <w:szCs w:val="28"/>
          <w:highlight w:val="none"/>
        </w:rPr>
      </w:pPr>
      <w:bookmarkStart w:id="6" w:name="_Toc251742852"/>
      <w:r>
        <w:rPr>
          <w:rFonts w:hint="eastAsia" w:ascii="宋体" w:hAnsi="宋体" w:eastAsia="宋体" w:cs="宋体"/>
          <w:b/>
          <w:kern w:val="0"/>
          <w:sz w:val="28"/>
          <w:szCs w:val="28"/>
          <w:highlight w:val="none"/>
        </w:rPr>
        <w:t>第四部分　合同格式</w:t>
      </w:r>
    </w:p>
    <w:p w14:paraId="0CFE6238">
      <w:pPr>
        <w:adjustRightInd w:val="0"/>
        <w:snapToGrid w:val="0"/>
        <w:jc w:val="center"/>
        <w:rPr>
          <w:rFonts w:hint="eastAsia" w:ascii="宋体" w:hAnsi="宋体" w:eastAsia="宋体" w:cs="宋体"/>
          <w:b/>
          <w:kern w:val="0"/>
          <w:sz w:val="28"/>
          <w:szCs w:val="28"/>
          <w:highlight w:val="none"/>
        </w:rPr>
      </w:pPr>
    </w:p>
    <w:p w14:paraId="4ED2A0C9">
      <w:pPr>
        <w:tabs>
          <w:tab w:val="left" w:pos="720"/>
        </w:tabs>
        <w:jc w:val="center"/>
        <w:rPr>
          <w:rFonts w:hint="eastAsia" w:ascii="宋体" w:hAnsi="宋体" w:eastAsia="宋体" w:cs="宋体"/>
          <w:b/>
          <w:sz w:val="48"/>
          <w:szCs w:val="48"/>
          <w:highlight w:val="none"/>
          <w:u w:val="single"/>
        </w:rPr>
      </w:pPr>
      <w:r>
        <w:rPr>
          <w:rFonts w:hint="eastAsia" w:ascii="宋体" w:hAnsi="宋体" w:eastAsia="宋体" w:cs="宋体"/>
          <w:b/>
          <w:sz w:val="48"/>
          <w:szCs w:val="48"/>
          <w:highlight w:val="none"/>
          <w:u w:val="single"/>
        </w:rPr>
        <w:t xml:space="preserve">        (项目)</w:t>
      </w:r>
    </w:p>
    <w:p w14:paraId="79BB59E8">
      <w:pPr>
        <w:tabs>
          <w:tab w:val="left" w:pos="720"/>
        </w:tabs>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合 同 书</w:t>
      </w:r>
    </w:p>
    <w:p w14:paraId="06CD50DA">
      <w:pPr>
        <w:tabs>
          <w:tab w:val="left" w:pos="720"/>
        </w:tabs>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w:t>
      </w:r>
      <w:r>
        <w:rPr>
          <w:rFonts w:hint="eastAsia" w:ascii="宋体" w:hAnsi="宋体" w:eastAsia="宋体" w:cs="宋体"/>
          <w:b/>
          <w:sz w:val="44"/>
          <w:szCs w:val="44"/>
          <w:highlight w:val="none"/>
          <w:lang w:val="en-US" w:eastAsia="zh-CN"/>
        </w:rPr>
        <w:t>服务</w:t>
      </w:r>
      <w:r>
        <w:rPr>
          <w:rFonts w:hint="eastAsia" w:ascii="宋体" w:hAnsi="宋体" w:eastAsia="宋体" w:cs="宋体"/>
          <w:b/>
          <w:sz w:val="44"/>
          <w:szCs w:val="44"/>
          <w:highlight w:val="none"/>
        </w:rPr>
        <w:t>类）</w:t>
      </w:r>
    </w:p>
    <w:p w14:paraId="55C6B71D">
      <w:pPr>
        <w:pStyle w:val="17"/>
        <w:rPr>
          <w:rFonts w:hint="eastAsia" w:ascii="宋体" w:hAnsi="宋体" w:eastAsia="宋体" w:cs="宋体"/>
          <w:highlight w:val="none"/>
        </w:rPr>
      </w:pPr>
    </w:p>
    <w:p w14:paraId="2BD7639C">
      <w:pPr>
        <w:pStyle w:val="17"/>
        <w:rPr>
          <w:rFonts w:hint="eastAsia" w:ascii="宋体" w:hAnsi="宋体" w:eastAsia="宋体" w:cs="宋体"/>
          <w:highlight w:val="none"/>
        </w:rPr>
      </w:pPr>
    </w:p>
    <w:tbl>
      <w:tblPr>
        <w:tblStyle w:val="43"/>
        <w:tblW w:w="0" w:type="auto"/>
        <w:jc w:val="center"/>
        <w:tblLayout w:type="fixed"/>
        <w:tblCellMar>
          <w:top w:w="0" w:type="dxa"/>
          <w:left w:w="108" w:type="dxa"/>
          <w:bottom w:w="0" w:type="dxa"/>
          <w:right w:w="108" w:type="dxa"/>
        </w:tblCellMar>
      </w:tblPr>
      <w:tblGrid>
        <w:gridCol w:w="5400"/>
      </w:tblGrid>
      <w:tr w14:paraId="45559FAD">
        <w:tblPrEx>
          <w:tblCellMar>
            <w:top w:w="0" w:type="dxa"/>
            <w:left w:w="108" w:type="dxa"/>
            <w:bottom w:w="0" w:type="dxa"/>
            <w:right w:w="108" w:type="dxa"/>
          </w:tblCellMar>
        </w:tblPrEx>
        <w:trPr>
          <w:trHeight w:val="446" w:hRule="atLeast"/>
          <w:jc w:val="center"/>
        </w:trPr>
        <w:tc>
          <w:tcPr>
            <w:tcW w:w="5400" w:type="dxa"/>
            <w:noWrap w:val="0"/>
            <w:vAlign w:val="top"/>
          </w:tcPr>
          <w:p w14:paraId="2B59AB3F">
            <w:pPr>
              <w:tabs>
                <w:tab w:val="left" w:pos="720"/>
              </w:tabs>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项目编号：</w:t>
            </w:r>
          </w:p>
        </w:tc>
      </w:tr>
      <w:tr w14:paraId="51688326">
        <w:tblPrEx>
          <w:tblCellMar>
            <w:top w:w="0" w:type="dxa"/>
            <w:left w:w="108" w:type="dxa"/>
            <w:bottom w:w="0" w:type="dxa"/>
            <w:right w:w="108" w:type="dxa"/>
          </w:tblCellMar>
        </w:tblPrEx>
        <w:trPr>
          <w:trHeight w:val="446" w:hRule="atLeast"/>
          <w:jc w:val="center"/>
        </w:trPr>
        <w:tc>
          <w:tcPr>
            <w:tcW w:w="5400" w:type="dxa"/>
            <w:noWrap w:val="0"/>
            <w:vAlign w:val="top"/>
          </w:tcPr>
          <w:p w14:paraId="7E733AC0">
            <w:pPr>
              <w:tabs>
                <w:tab w:val="left" w:pos="720"/>
              </w:tabs>
              <w:rPr>
                <w:rFonts w:hint="eastAsia" w:ascii="宋体" w:hAnsi="宋体" w:eastAsia="宋体" w:cs="宋体"/>
                <w:b/>
                <w:sz w:val="32"/>
                <w:szCs w:val="32"/>
                <w:highlight w:val="none"/>
                <w:u w:val="single"/>
              </w:rPr>
            </w:pPr>
          </w:p>
        </w:tc>
      </w:tr>
      <w:tr w14:paraId="1853C756">
        <w:tblPrEx>
          <w:tblCellMar>
            <w:top w:w="0" w:type="dxa"/>
            <w:left w:w="108" w:type="dxa"/>
            <w:bottom w:w="0" w:type="dxa"/>
            <w:right w:w="108" w:type="dxa"/>
          </w:tblCellMar>
        </w:tblPrEx>
        <w:trPr>
          <w:trHeight w:val="446" w:hRule="atLeast"/>
          <w:jc w:val="center"/>
        </w:trPr>
        <w:tc>
          <w:tcPr>
            <w:tcW w:w="5400" w:type="dxa"/>
            <w:noWrap w:val="0"/>
            <w:vAlign w:val="top"/>
          </w:tcPr>
          <w:p w14:paraId="577A44C8">
            <w:pPr>
              <w:tabs>
                <w:tab w:val="left" w:pos="720"/>
              </w:tabs>
              <w:rPr>
                <w:rFonts w:hint="eastAsia" w:ascii="宋体" w:hAnsi="宋体" w:eastAsia="宋体" w:cs="宋体"/>
                <w:b/>
                <w:sz w:val="32"/>
                <w:szCs w:val="32"/>
                <w:highlight w:val="none"/>
              </w:rPr>
            </w:pPr>
            <w:r>
              <w:rPr>
                <w:rFonts w:hint="eastAsia" w:ascii="宋体" w:hAnsi="宋体" w:eastAsia="宋体" w:cs="宋体"/>
                <w:b/>
                <w:sz w:val="32"/>
                <w:szCs w:val="32"/>
                <w:highlight w:val="none"/>
              </w:rPr>
              <w:t>项目名称：</w:t>
            </w:r>
          </w:p>
        </w:tc>
      </w:tr>
      <w:tr w14:paraId="0A63F7FF">
        <w:tblPrEx>
          <w:tblCellMar>
            <w:top w:w="0" w:type="dxa"/>
            <w:left w:w="108" w:type="dxa"/>
            <w:bottom w:w="0" w:type="dxa"/>
            <w:right w:w="108" w:type="dxa"/>
          </w:tblCellMar>
        </w:tblPrEx>
        <w:trPr>
          <w:trHeight w:val="460" w:hRule="atLeast"/>
          <w:jc w:val="center"/>
        </w:trPr>
        <w:tc>
          <w:tcPr>
            <w:tcW w:w="5400" w:type="dxa"/>
            <w:noWrap w:val="0"/>
            <w:vAlign w:val="top"/>
          </w:tcPr>
          <w:p w14:paraId="39A1EDFE">
            <w:pPr>
              <w:tabs>
                <w:tab w:val="left" w:pos="720"/>
              </w:tabs>
              <w:rPr>
                <w:rFonts w:hint="eastAsia" w:ascii="宋体" w:hAnsi="宋体" w:eastAsia="宋体" w:cs="宋体"/>
                <w:b/>
                <w:sz w:val="28"/>
                <w:szCs w:val="28"/>
                <w:highlight w:val="none"/>
              </w:rPr>
            </w:pPr>
          </w:p>
        </w:tc>
      </w:tr>
    </w:tbl>
    <w:p w14:paraId="0A9F417B">
      <w:pPr>
        <w:tabs>
          <w:tab w:val="left" w:pos="720"/>
        </w:tabs>
        <w:rPr>
          <w:rFonts w:hint="eastAsia" w:ascii="宋体" w:hAnsi="宋体" w:eastAsia="宋体" w:cs="宋体"/>
          <w:b/>
          <w:sz w:val="28"/>
          <w:szCs w:val="28"/>
          <w:highlight w:val="none"/>
        </w:rPr>
      </w:pPr>
    </w:p>
    <w:p w14:paraId="2CDD6FC5">
      <w:pPr>
        <w:tabs>
          <w:tab w:val="left" w:pos="720"/>
        </w:tabs>
        <w:rPr>
          <w:rFonts w:hint="eastAsia" w:ascii="宋体" w:hAnsi="宋体" w:eastAsia="宋体" w:cs="宋体"/>
          <w:b/>
          <w:sz w:val="28"/>
          <w:szCs w:val="28"/>
          <w:highlight w:val="none"/>
        </w:rPr>
      </w:pPr>
    </w:p>
    <w:p w14:paraId="53AF786B">
      <w:pPr>
        <w:tabs>
          <w:tab w:val="left" w:pos="720"/>
        </w:tabs>
        <w:rPr>
          <w:rFonts w:hint="eastAsia" w:ascii="宋体" w:hAnsi="宋体" w:eastAsia="宋体" w:cs="宋体"/>
          <w:b/>
          <w:sz w:val="28"/>
          <w:szCs w:val="28"/>
          <w:highlight w:val="none"/>
        </w:rPr>
      </w:pPr>
    </w:p>
    <w:p w14:paraId="48D49E78">
      <w:pPr>
        <w:jc w:val="center"/>
        <w:rPr>
          <w:rFonts w:hint="eastAsia" w:ascii="宋体" w:hAnsi="宋体" w:eastAsia="宋体" w:cs="宋体"/>
          <w:b/>
          <w:bCs/>
          <w:sz w:val="30"/>
          <w:szCs w:val="30"/>
          <w:highlight w:val="none"/>
        </w:rPr>
      </w:pPr>
      <w:r>
        <w:rPr>
          <w:rFonts w:hint="eastAsia" w:ascii="宋体" w:hAnsi="宋体" w:eastAsia="宋体" w:cs="宋体"/>
          <w:b/>
          <w:sz w:val="28"/>
          <w:szCs w:val="28"/>
          <w:highlight w:val="none"/>
        </w:rPr>
        <w:br w:type="page"/>
      </w:r>
      <w:r>
        <w:rPr>
          <w:rFonts w:hint="eastAsia" w:ascii="宋体" w:hAnsi="宋体" w:eastAsia="宋体" w:cs="宋体"/>
          <w:b/>
          <w:bCs/>
          <w:sz w:val="30"/>
          <w:szCs w:val="30"/>
          <w:highlight w:val="none"/>
        </w:rPr>
        <w:t>中</w:t>
      </w:r>
      <w:r>
        <w:rPr>
          <w:rFonts w:hint="eastAsia" w:ascii="宋体" w:hAnsi="宋体" w:eastAsia="宋体" w:cs="宋体"/>
          <w:b/>
          <w:bCs/>
          <w:sz w:val="30"/>
          <w:szCs w:val="30"/>
          <w:highlight w:val="none"/>
          <w:lang w:val="en-US" w:eastAsia="zh-CN"/>
        </w:rPr>
        <w:t>山大学孙逸仙纪念医院深汕中心医院2025年-2028年餐饮管理服务</w:t>
      </w:r>
      <w:r>
        <w:rPr>
          <w:rFonts w:hint="eastAsia" w:ascii="宋体" w:hAnsi="宋体" w:eastAsia="宋体" w:cs="宋体"/>
          <w:b/>
          <w:bCs/>
          <w:sz w:val="30"/>
          <w:szCs w:val="30"/>
          <w:highlight w:val="none"/>
        </w:rPr>
        <w:t>合同</w:t>
      </w:r>
    </w:p>
    <w:p w14:paraId="3FABA3DD">
      <w:pPr>
        <w:rPr>
          <w:rFonts w:hint="eastAsia" w:ascii="宋体" w:hAnsi="宋体" w:eastAsia="宋体" w:cs="宋体"/>
          <w:szCs w:val="21"/>
          <w:highlight w:val="none"/>
        </w:rPr>
      </w:pPr>
    </w:p>
    <w:p w14:paraId="1BF1031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甲方：中山大学孙逸仙纪念医院深汕中心医院</w:t>
      </w:r>
    </w:p>
    <w:p w14:paraId="7E851FD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乙方： </w:t>
      </w:r>
    </w:p>
    <w:p w14:paraId="49F934AE">
      <w:pPr>
        <w:keepNext w:val="0"/>
        <w:keepLines w:val="0"/>
        <w:widowControl w:val="0"/>
        <w:suppressLineNumbers w:val="0"/>
        <w:spacing w:before="0" w:beforeAutospacing="0" w:after="0" w:afterAutospacing="0" w:line="240" w:lineRule="auto"/>
        <w:ind w:left="0" w:right="0" w:firstLine="420" w:firstLineChars="0"/>
        <w:jc w:val="both"/>
        <w:rPr>
          <w:rFonts w:hint="eastAsia" w:ascii="宋体" w:hAnsi="宋体" w:eastAsia="宋体" w:cs="宋体"/>
          <w:kern w:val="2"/>
          <w:sz w:val="21"/>
          <w:szCs w:val="21"/>
          <w:highlight w:val="none"/>
          <w:lang w:val="en-US" w:eastAsia="zh-CN" w:bidi="ar"/>
        </w:rPr>
      </w:pPr>
    </w:p>
    <w:p w14:paraId="7B6A400F">
      <w:pPr>
        <w:pageBreakBefore w:val="0"/>
        <w:widowControl w:val="0"/>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根据《中华人民共和国民法典》及相关法律、法规，在双方平等、自愿、协商一致的基础上，甲方授权乙方在甲方</w:t>
      </w:r>
      <w:r>
        <w:rPr>
          <w:rFonts w:hint="eastAsia" w:ascii="宋体" w:hAnsi="宋体" w:eastAsia="宋体" w:cs="宋体"/>
          <w:color w:val="auto"/>
          <w:sz w:val="21"/>
          <w:szCs w:val="21"/>
          <w:highlight w:val="none"/>
          <w:lang w:val="en-US" w:eastAsia="zh-CN"/>
        </w:rPr>
        <w:t>指定地点提供食堂全外包服务，为甲方在职职工、住院患者及其家属</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供餐及</w:t>
      </w:r>
      <w:r>
        <w:rPr>
          <w:rFonts w:hint="eastAsia" w:ascii="宋体" w:hAnsi="宋体" w:eastAsia="宋体" w:cs="宋体"/>
          <w:color w:val="auto"/>
          <w:sz w:val="21"/>
          <w:szCs w:val="21"/>
          <w:highlight w:val="none"/>
        </w:rPr>
        <w:t>相关配套服务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为明确双方责任和权利，特签订本合同，共同遵守。具体条款如下：</w:t>
      </w:r>
    </w:p>
    <w:p w14:paraId="7E6F7BF2">
      <w:pPr>
        <w:keepNext/>
        <w:keepLines/>
        <w:pageBreakBefore w:val="0"/>
        <w:widowControl w:val="0"/>
        <w:numPr>
          <w:ilvl w:val="0"/>
          <w:numId w:val="0"/>
        </w:numPr>
        <w:kinsoku/>
        <w:wordWrap w:val="0"/>
        <w:overflowPunct/>
        <w:topLinePunct w:val="0"/>
        <w:autoSpaceDE/>
        <w:autoSpaceDN/>
        <w:bidi w:val="0"/>
        <w:adjustRightInd w:val="0"/>
        <w:snapToGrid w:val="0"/>
        <w:spacing w:before="0" w:after="0" w:line="300" w:lineRule="exact"/>
        <w:ind w:leftChars="0" w:firstLine="0" w:firstLineChars="0"/>
        <w:jc w:val="left"/>
        <w:textAlignment w:val="auto"/>
        <w:outlineLvl w:val="1"/>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一、整体要求</w:t>
      </w:r>
    </w:p>
    <w:p w14:paraId="68EF6CCF">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color w:val="auto"/>
          <w:sz w:val="21"/>
          <w:szCs w:val="21"/>
          <w:highlight w:val="none"/>
          <w:lang w:val="en-US" w:eastAsia="zh-CN"/>
        </w:rPr>
        <w:t>食堂位置及面积</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汕尾市城区东涌镇站前横二路1号中山大学孙逸仙纪念医院深汕中心医院。厨房（室内）面积：约</w:t>
      </w:r>
      <w:r>
        <w:rPr>
          <w:rFonts w:hint="eastAsia" w:asciiTheme="majorEastAsia" w:hAnsiTheme="majorEastAsia" w:eastAsiaTheme="majorEastAsia" w:cstheme="majorEastAsia"/>
          <w:color w:val="auto"/>
          <w:sz w:val="21"/>
          <w:szCs w:val="21"/>
          <w:highlight w:val="none"/>
          <w:u w:val="single"/>
          <w:lang w:val="en-US" w:eastAsia="zh-CN"/>
        </w:rPr>
        <w:t>2852</w:t>
      </w:r>
      <w:r>
        <w:rPr>
          <w:rFonts w:hint="eastAsia" w:asciiTheme="majorEastAsia" w:hAnsiTheme="majorEastAsia" w:eastAsiaTheme="majorEastAsia" w:cstheme="majorEastAsia"/>
          <w:color w:val="auto"/>
          <w:sz w:val="21"/>
          <w:szCs w:val="21"/>
          <w:highlight w:val="none"/>
          <w:lang w:val="en-US" w:eastAsia="zh-CN"/>
        </w:rPr>
        <w:t>平方米</w:t>
      </w:r>
    </w:p>
    <w:p w14:paraId="5EA90524">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2、食堂规模：</w:t>
      </w:r>
      <w:r>
        <w:rPr>
          <w:rFonts w:hint="eastAsia" w:asciiTheme="majorEastAsia" w:hAnsiTheme="majorEastAsia" w:eastAsiaTheme="majorEastAsia" w:cstheme="majorEastAsia"/>
          <w:b/>
          <w:bCs/>
          <w:color w:val="auto"/>
          <w:sz w:val="21"/>
          <w:szCs w:val="21"/>
          <w:highlight w:val="none"/>
        </w:rPr>
        <w:t>预计开放床位数</w:t>
      </w:r>
      <w:r>
        <w:rPr>
          <w:rFonts w:hint="eastAsia" w:asciiTheme="majorEastAsia" w:hAnsiTheme="majorEastAsia" w:eastAsiaTheme="majorEastAsia" w:cstheme="majorEastAsia"/>
          <w:b/>
          <w:bCs/>
          <w:color w:val="auto"/>
          <w:sz w:val="21"/>
          <w:szCs w:val="21"/>
          <w:highlight w:val="none"/>
          <w:u w:val="single"/>
          <w:lang w:val="en-US" w:eastAsia="zh-CN"/>
        </w:rPr>
        <w:t>___800__</w:t>
      </w:r>
      <w:r>
        <w:rPr>
          <w:rFonts w:hint="eastAsia" w:asciiTheme="majorEastAsia" w:hAnsiTheme="majorEastAsia" w:eastAsiaTheme="majorEastAsia" w:cstheme="majorEastAsia"/>
          <w:b/>
          <w:bCs/>
          <w:color w:val="auto"/>
          <w:sz w:val="21"/>
          <w:szCs w:val="21"/>
          <w:highlight w:val="none"/>
        </w:rPr>
        <w:t>张，在职职工约</w:t>
      </w:r>
      <w:r>
        <w:rPr>
          <w:rFonts w:hint="eastAsia" w:asciiTheme="majorEastAsia" w:hAnsiTheme="majorEastAsia" w:eastAsiaTheme="majorEastAsia" w:cstheme="majorEastAsia"/>
          <w:b/>
          <w:bCs/>
          <w:color w:val="auto"/>
          <w:sz w:val="21"/>
          <w:szCs w:val="21"/>
          <w:highlight w:val="none"/>
          <w:u w:val="single"/>
          <w:lang w:val="en-US" w:eastAsia="zh-CN"/>
        </w:rPr>
        <w:t>_2500_</w:t>
      </w:r>
      <w:r>
        <w:rPr>
          <w:rFonts w:hint="eastAsia" w:asciiTheme="majorEastAsia" w:hAnsiTheme="majorEastAsia" w:eastAsiaTheme="majorEastAsia" w:cstheme="majorEastAsia"/>
          <w:b/>
          <w:bCs/>
          <w:color w:val="auto"/>
          <w:sz w:val="21"/>
          <w:szCs w:val="21"/>
          <w:highlight w:val="none"/>
        </w:rPr>
        <w:t>人</w:t>
      </w:r>
      <w:r>
        <w:rPr>
          <w:rFonts w:hint="eastAsia" w:asciiTheme="majorEastAsia" w:hAnsiTheme="majorEastAsia" w:eastAsiaTheme="majorEastAsia" w:cstheme="majorEastAsia"/>
          <w:color w:val="auto"/>
          <w:sz w:val="21"/>
          <w:szCs w:val="21"/>
          <w:highlight w:val="none"/>
        </w:rPr>
        <w:t>。</w:t>
      </w:r>
    </w:p>
    <w:p w14:paraId="24E99C96">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3、乙方须在甲方食堂所在地取得食品经营许可。乙方必须在取得食堂所在地的食品经营许可之后开始履约。</w:t>
      </w:r>
    </w:p>
    <w:p w14:paraId="57503C02">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4、乙方必须落实落细主体责任。乙方须对其承包经营食堂的食品安全工作全面负责，主动接受甲方的管理。</w:t>
      </w:r>
    </w:p>
    <w:p w14:paraId="13D1EFB8">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①乙方应建立健全食品安全管理制度和食品安全管理机构，严格按照许可项目，依照法律法规、食品安全标准和本项目合同约定进行经营，确保食堂食品安全。</w:t>
      </w:r>
    </w:p>
    <w:p w14:paraId="13073F72">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②乙方必须依法依规配备配齐食品安全总监、食品安全员，结合实际明确岗位职责，落实“日管控、周排查、月调度”制度要求，同甲方食品安全管理人员共同开展食堂食品安全日常管理。</w:t>
      </w:r>
    </w:p>
    <w:p w14:paraId="34E8D4C7">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③乙方经营条件发生变化，不再符合食品安全要求的，应当立即整改并主动通知甲方；有发生食品安全事故潜在风险的，应当立即停止食品经营活动，并及时向甲方和所在地市场监管部门报告。</w:t>
      </w:r>
    </w:p>
    <w:p w14:paraId="7BE08DAE">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5、乙方须建立食品安全应急管理和突发事故（件）报告制度，制定食品安全事故处置预案，定期开展食品安全管理人员和从业人员培训，定期开展应急演练，不断提升应急处突水平。</w:t>
      </w:r>
    </w:p>
    <w:p w14:paraId="24F45B5B">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6、甲方按现状交付使用，在经营过程中，甲方提供的设备设施损坏后，乙方须按照甲方固定资产管理规定的流程报废处理，如需增添设备设施，由乙方负责添置补充设备。</w:t>
      </w:r>
    </w:p>
    <w:p w14:paraId="3B1FAFF9">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7、对甲方提供的厨房设施、设备要合理使用，妥善保管和维护，不得私自改变厨房布局。</w:t>
      </w:r>
    </w:p>
    <w:p w14:paraId="51FE1CB0">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8、乙方须负责厨房抽油烟系统、隔油池系统、厨房排水系统等厨房相关配套设施的维护保养及后续处理，须负责处理厨余垃圾、废弃油脂。</w:t>
      </w:r>
    </w:p>
    <w:p w14:paraId="2F1B53A2">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①食堂产生的所有垃圾均由乙方负责处理，处理环节包括但不限于垃圾收集、妥善打包、运离食堂并运抵垃圾站等方面，处理方式需按照国家的相关规定，如因乙方处置不当导致甲方受到警告、处罚等行政处分，乙方需承担相应的赔偿责任。</w:t>
      </w:r>
    </w:p>
    <w:p w14:paraId="3E37B98C">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②乙方须按照汕尾市环保要求，聘请有资质的公司对食堂厨房剩余油脂进行过滤、回收处理。保持经营管理范围的环境卫生及用餐场地整洁卫生，污物垃圾按要求堆放及时清运，及时抽吸化油池、下水道积聚物，确保正常畅通。由于乙方懈怠或聘请无资质的公司进行回收工作而造成重大责任事故的，由乙方承担违约和侵权责任及因此造成的损失。</w:t>
      </w:r>
    </w:p>
    <w:p w14:paraId="0CC4A8DB">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③乙方须聘请专业公司定期清洗烟道，频率不得低于4次/年。由于烟道未及时、有效地清洗造成的所有后果和责任，由乙方承担。</w:t>
      </w:r>
    </w:p>
    <w:p w14:paraId="24BF18D4">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④乙方还须负责对接当地环保部门、食监部门，接受当地政府部门管理，及配合整改（如要求）。</w:t>
      </w:r>
    </w:p>
    <w:p w14:paraId="50F88BDA">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9、目前甲方的现有场地面积可满足日常的餐食销售经营，乙方根据实际需要自行配置设备设施，投入费用由乙方承担；同时，乙方还应负责配置服务人员的一切费用。在保证食堂服务工作的情况下，乙方可自行安排工作人员休息、请假等的事宜，人事权归乙方。</w:t>
      </w:r>
    </w:p>
    <w:p w14:paraId="6DCFDDB9">
      <w:pPr>
        <w:pageBreakBefore w:val="0"/>
        <w:widowControl w:val="0"/>
        <w:tabs>
          <w:tab w:val="left" w:pos="2340"/>
        </w:tabs>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10、乙方不得改动食堂现有的建筑结构，不得使用污染环境的灶具和燃料。乙方对食堂开展装修改造，必须提前向甲方主管部门备案，经甲方同意后方可施工。</w:t>
      </w:r>
    </w:p>
    <w:p w14:paraId="7C78527F">
      <w:pPr>
        <w:keepNext/>
        <w:keepLines/>
        <w:pageBreakBefore w:val="0"/>
        <w:widowControl w:val="0"/>
        <w:numPr>
          <w:ilvl w:val="0"/>
          <w:numId w:val="0"/>
        </w:numPr>
        <w:kinsoku/>
        <w:wordWrap w:val="0"/>
        <w:overflowPunct/>
        <w:topLinePunct w:val="0"/>
        <w:autoSpaceDE/>
        <w:autoSpaceDN/>
        <w:bidi w:val="0"/>
        <w:adjustRightInd w:val="0"/>
        <w:snapToGrid w:val="0"/>
        <w:spacing w:before="0" w:after="0" w:line="300" w:lineRule="exact"/>
        <w:ind w:leftChars="0" w:firstLine="0" w:firstLineChars="0"/>
        <w:jc w:val="left"/>
        <w:textAlignment w:val="auto"/>
        <w:outlineLvl w:val="1"/>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二、服务期限</w:t>
      </w:r>
    </w:p>
    <w:p w14:paraId="4C6DFCC2">
      <w:pPr>
        <w:pageBreakBefore w:val="0"/>
        <w:widowControl w:val="0"/>
        <w:kinsoku/>
        <w:wordWrap w:val="0"/>
        <w:overflowPunct/>
        <w:topLinePunct w:val="0"/>
        <w:autoSpaceDE/>
        <w:autoSpaceDN/>
        <w:bidi w:val="0"/>
        <w:adjustRightInd w:val="0"/>
        <w:snapToGrid w:val="0"/>
        <w:spacing w:line="30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本项目服务期三年。</w:t>
      </w:r>
    </w:p>
    <w:p w14:paraId="5BF8E877">
      <w:pPr>
        <w:pageBreakBefore w:val="0"/>
        <w:widowControl w:val="0"/>
        <w:kinsoku/>
        <w:wordWrap w:val="0"/>
        <w:overflowPunct/>
        <w:topLinePunct w:val="0"/>
        <w:autoSpaceDE/>
        <w:autoSpaceDN/>
        <w:bidi w:val="0"/>
        <w:adjustRightInd w:val="0"/>
        <w:snapToGrid w:val="0"/>
        <w:spacing w:line="300" w:lineRule="exact"/>
        <w:ind w:left="0" w:leftChars="0" w:firstLine="422" w:firstLineChars="200"/>
        <w:jc w:val="lef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合同</w:t>
      </w:r>
      <w:r>
        <w:rPr>
          <w:rFonts w:hint="eastAsia" w:asciiTheme="majorEastAsia" w:hAnsiTheme="majorEastAsia" w:eastAsiaTheme="majorEastAsia" w:cstheme="majorEastAsia"/>
          <w:b/>
          <w:bCs/>
          <w:color w:val="auto"/>
          <w:sz w:val="21"/>
          <w:szCs w:val="21"/>
          <w:highlight w:val="none"/>
          <w:lang w:val="en-US" w:eastAsia="zh-CN"/>
        </w:rPr>
        <w:t>期</w:t>
      </w:r>
      <w:r>
        <w:rPr>
          <w:rFonts w:hint="eastAsia" w:asciiTheme="majorEastAsia" w:hAnsiTheme="majorEastAsia" w:eastAsiaTheme="majorEastAsia" w:cstheme="majorEastAsia"/>
          <w:b/>
          <w:bCs/>
          <w:color w:val="auto"/>
          <w:sz w:val="21"/>
          <w:szCs w:val="21"/>
          <w:highlight w:val="none"/>
        </w:rPr>
        <w:t>自    年   月  日起至   年   月   日。</w:t>
      </w:r>
    </w:p>
    <w:p w14:paraId="6098D922">
      <w:pPr>
        <w:keepNext/>
        <w:keepLines/>
        <w:pageBreakBefore w:val="0"/>
        <w:widowControl w:val="0"/>
        <w:numPr>
          <w:ilvl w:val="0"/>
          <w:numId w:val="0"/>
        </w:numPr>
        <w:kinsoku/>
        <w:wordWrap w:val="0"/>
        <w:overflowPunct/>
        <w:topLinePunct w:val="0"/>
        <w:autoSpaceDE/>
        <w:autoSpaceDN/>
        <w:bidi w:val="0"/>
        <w:adjustRightInd w:val="0"/>
        <w:snapToGrid w:val="0"/>
        <w:spacing w:before="0" w:line="300" w:lineRule="exact"/>
        <w:ind w:leftChars="0" w:firstLine="0" w:firstLineChars="0"/>
        <w:jc w:val="left"/>
        <w:textAlignment w:val="auto"/>
        <w:outlineLvl w:val="1"/>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三、服务需求</w:t>
      </w:r>
    </w:p>
    <w:p w14:paraId="07BCBE48">
      <w:pPr>
        <w:pageBreakBefore w:val="0"/>
        <w:widowControl w:val="0"/>
        <w:kinsoku/>
        <w:wordWrap w:val="0"/>
        <w:overflowPunct/>
        <w:topLinePunct w:val="0"/>
        <w:autoSpaceDE/>
        <w:autoSpaceDN/>
        <w:bidi w:val="0"/>
        <w:spacing w:after="0" w:afterLines="0" w:line="300" w:lineRule="exact"/>
        <w:ind w:leftChars="0" w:firstLine="422" w:firstLineChars="200"/>
        <w:jc w:val="left"/>
        <w:textAlignment w:val="auto"/>
        <w:outlineLvl w:val="2"/>
        <w:rPr>
          <w:rFonts w:hint="eastAsia" w:asciiTheme="majorEastAsia" w:hAnsiTheme="majorEastAsia" w:eastAsiaTheme="majorEastAsia" w:cstheme="majorEastAsia"/>
          <w:b/>
          <w:color w:val="auto"/>
          <w:kern w:val="0"/>
          <w:sz w:val="21"/>
          <w:szCs w:val="21"/>
          <w:highlight w:val="none"/>
          <w:lang w:val="en-US" w:eastAsia="zh-CN" w:bidi="ar"/>
        </w:rPr>
      </w:pPr>
      <w:r>
        <w:rPr>
          <w:rFonts w:hint="eastAsia" w:asciiTheme="majorEastAsia" w:hAnsiTheme="majorEastAsia" w:eastAsiaTheme="majorEastAsia" w:cstheme="majorEastAsia"/>
          <w:b/>
          <w:bCs/>
          <w:color w:val="auto"/>
          <w:kern w:val="2"/>
          <w:sz w:val="21"/>
          <w:szCs w:val="21"/>
          <w:highlight w:val="none"/>
          <w:lang w:val="en-US" w:eastAsia="zh-CN" w:bidi="ar-SA"/>
        </w:rPr>
        <w:t>1.餐饮驻场服务</w:t>
      </w:r>
    </w:p>
    <w:p w14:paraId="0E44164D">
      <w:pPr>
        <w:pageBreakBefore w:val="0"/>
        <w:widowControl w:val="0"/>
        <w:kinsoku/>
        <w:wordWrap w:val="0"/>
        <w:overflowPunct/>
        <w:topLinePunct w:val="0"/>
        <w:autoSpaceDE/>
        <w:autoSpaceDN/>
        <w:bidi w:val="0"/>
        <w:spacing w:after="0" w:afterLines="0" w:line="300" w:lineRule="exact"/>
        <w:ind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为甲方提供医院职工餐、住院病人医嘱治疗餐，在院内制作，由医院监督管理，乙方提供劳务人员服务和现场管理。</w:t>
      </w:r>
    </w:p>
    <w:p w14:paraId="25CC901E">
      <w:pPr>
        <w:pageBreakBefore w:val="0"/>
        <w:widowControl w:val="0"/>
        <w:tabs>
          <w:tab w:val="left" w:pos="2340"/>
        </w:tabs>
        <w:kinsoku/>
        <w:wordWrap w:val="0"/>
        <w:overflowPunct/>
        <w:topLinePunct w:val="0"/>
        <w:autoSpaceDE/>
        <w:autoSpaceDN/>
        <w:bidi w:val="0"/>
        <w:spacing w:line="300" w:lineRule="exact"/>
        <w:ind w:leftChars="0" w:firstLine="422" w:firstLineChars="200"/>
        <w:jc w:val="left"/>
        <w:textAlignment w:val="auto"/>
        <w:outlineLvl w:val="4"/>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1.1职工餐</w:t>
      </w:r>
    </w:p>
    <w:p w14:paraId="08212584">
      <w:pPr>
        <w:pageBreakBefore w:val="0"/>
        <w:widowControl w:val="0"/>
        <w:tabs>
          <w:tab w:val="left" w:pos="2340"/>
        </w:tabs>
        <w:kinsoku/>
        <w:wordWrap w:val="0"/>
        <w:overflowPunct/>
        <w:topLinePunct w:val="0"/>
        <w:autoSpaceDE/>
        <w:autoSpaceDN/>
        <w:bidi w:val="0"/>
        <w:spacing w:line="300" w:lineRule="exact"/>
        <w:ind w:leftChars="0" w:firstLine="422" w:firstLineChars="200"/>
        <w:jc w:val="left"/>
        <w:textAlignment w:val="auto"/>
        <w:outlineLvl w:val="4"/>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1）供餐时间（全年无休）</w:t>
      </w:r>
    </w:p>
    <w:p w14:paraId="1131A03A">
      <w:pPr>
        <w:pageBreakBefore w:val="0"/>
        <w:widowControl w:val="0"/>
        <w:kinsoku/>
        <w:wordWrap w:val="0"/>
        <w:overflowPunct/>
        <w:topLinePunct w:val="0"/>
        <w:autoSpaceDE/>
        <w:autoSpaceDN/>
        <w:bidi w:val="0"/>
        <w:spacing w:line="300" w:lineRule="exact"/>
        <w:ind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 堂食：早餐：6:30-8:00，午餐：11:00-13:00（汤粉面：11：30-13:00），晚餐：16:00-18:30；夜宵：19:00-22:00</w:t>
      </w:r>
    </w:p>
    <w:p w14:paraId="26ED9372">
      <w:pPr>
        <w:pageBreakBefore w:val="0"/>
        <w:widowControl w:val="0"/>
        <w:kinsoku/>
        <w:wordWrap w:val="0"/>
        <w:overflowPunct/>
        <w:topLinePunct w:val="0"/>
        <w:autoSpaceDE/>
        <w:autoSpaceDN/>
        <w:bidi w:val="0"/>
        <w:spacing w:line="300" w:lineRule="exact"/>
        <w:ind w:leftChars="0" w:firstLine="420" w:firstLineChars="200"/>
        <w:jc w:val="left"/>
        <w:textAlignment w:val="auto"/>
        <w:outlineLvl w:val="4"/>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② 网络订餐送餐：早餐：7:00-8:00；午餐：11:00-12:30；晚餐：16:00-18:00；</w:t>
      </w:r>
    </w:p>
    <w:p w14:paraId="214081D0">
      <w:pPr>
        <w:pageBreakBefore w:val="0"/>
        <w:widowControl w:val="0"/>
        <w:kinsoku/>
        <w:wordWrap w:val="0"/>
        <w:overflowPunct/>
        <w:topLinePunct w:val="0"/>
        <w:autoSpaceDE/>
        <w:autoSpaceDN/>
        <w:bidi w:val="0"/>
        <w:spacing w:line="300" w:lineRule="exact"/>
        <w:ind w:leftChars="0" w:firstLine="422" w:firstLineChars="200"/>
        <w:jc w:val="left"/>
        <w:textAlignment w:val="auto"/>
        <w:outlineLvl w:val="4"/>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2）供餐内容</w:t>
      </w:r>
    </w:p>
    <w:p w14:paraId="6B0F34BF">
      <w:pPr>
        <w:pageBreakBefore w:val="0"/>
        <w:widowControl w:val="0"/>
        <w:tabs>
          <w:tab w:val="left" w:pos="0"/>
          <w:tab w:val="left" w:pos="284"/>
          <w:tab w:val="left" w:pos="426"/>
        </w:tabs>
        <w:kinsoku/>
        <w:wordWrap w:val="0"/>
        <w:overflowPunct/>
        <w:topLinePunct w:val="0"/>
        <w:autoSpaceDE/>
        <w:autoSpaceDN/>
        <w:bidi w:val="0"/>
        <w:spacing w:line="300" w:lineRule="exact"/>
        <w:ind w:leftChars="0" w:firstLine="420" w:firstLineChars="200"/>
        <w:jc w:val="left"/>
        <w:textAlignment w:val="auto"/>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① 各式焖炒蒸炸类菜肴的制作（主要是当地菜、粤菜、湘菜、川菜等）；</w:t>
      </w:r>
    </w:p>
    <w:p w14:paraId="75FA6B60">
      <w:pPr>
        <w:pageBreakBefore w:val="0"/>
        <w:widowControl w:val="0"/>
        <w:tabs>
          <w:tab w:val="left" w:pos="0"/>
          <w:tab w:val="left" w:pos="284"/>
          <w:tab w:val="left" w:pos="426"/>
        </w:tabs>
        <w:kinsoku/>
        <w:wordWrap w:val="0"/>
        <w:overflowPunct/>
        <w:topLinePunct w:val="0"/>
        <w:autoSpaceDE/>
        <w:autoSpaceDN/>
        <w:bidi w:val="0"/>
        <w:spacing w:line="300" w:lineRule="exact"/>
        <w:ind w:leftChars="0" w:firstLine="420" w:firstLineChars="200"/>
        <w:jc w:val="left"/>
        <w:textAlignment w:val="auto"/>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② 各式中西式点心的制作；</w:t>
      </w:r>
    </w:p>
    <w:p w14:paraId="1D7FBCBA">
      <w:pPr>
        <w:keepNext w:val="0"/>
        <w:keepLines w:val="0"/>
        <w:pageBreakBefore w:val="0"/>
        <w:widowControl w:val="0"/>
        <w:tabs>
          <w:tab w:val="left" w:pos="0"/>
          <w:tab w:val="left" w:pos="284"/>
          <w:tab w:val="left" w:pos="426"/>
        </w:tabs>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③ 各式汤类、糖水、粥粉面、饺子、云吞、凉茶、清凉饮品等的制作；</w:t>
      </w:r>
    </w:p>
    <w:p w14:paraId="3138E8B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kern w:val="2"/>
          <w:sz w:val="21"/>
          <w:szCs w:val="21"/>
          <w:highlight w:val="none"/>
          <w:lang w:val="en-US" w:eastAsia="zh-CN" w:bidi="ar-SA"/>
        </w:rPr>
        <w:t>④ 各式接待餐的制作。</w:t>
      </w:r>
    </w:p>
    <w:p w14:paraId="740E6649">
      <w:pPr>
        <w:keepNext w:val="0"/>
        <w:keepLines w:val="0"/>
        <w:pageBreakBefore w:val="0"/>
        <w:widowControl w:val="0"/>
        <w:tabs>
          <w:tab w:val="left" w:pos="0"/>
          <w:tab w:val="left" w:pos="284"/>
          <w:tab w:val="left" w:pos="426"/>
        </w:tabs>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3）职工小卖部</w:t>
      </w:r>
    </w:p>
    <w:p w14:paraId="60EC258E">
      <w:pPr>
        <w:keepNext w:val="0"/>
        <w:keepLines w:val="0"/>
        <w:pageBreakBefore w:val="0"/>
        <w:widowControl w:val="0"/>
        <w:tabs>
          <w:tab w:val="left" w:pos="0"/>
          <w:tab w:val="left" w:pos="284"/>
          <w:tab w:val="left" w:pos="426"/>
        </w:tabs>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供应时间：</w:t>
      </w:r>
    </w:p>
    <w:p w14:paraId="4823CEFE">
      <w:pPr>
        <w:keepNext w:val="0"/>
        <w:keepLines w:val="0"/>
        <w:pageBreakBefore w:val="0"/>
        <w:widowControl w:val="0"/>
        <w:tabs>
          <w:tab w:val="left" w:pos="0"/>
          <w:tab w:val="left" w:pos="284"/>
          <w:tab w:val="left" w:pos="426"/>
        </w:tabs>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Cs/>
          <w:color w:val="auto"/>
          <w:sz w:val="21"/>
          <w:szCs w:val="21"/>
          <w:highlight w:val="none"/>
          <w:lang w:val="en-US" w:eastAsia="zh-CN"/>
        </w:rPr>
      </w:pPr>
      <w:r>
        <w:rPr>
          <w:rFonts w:hint="eastAsia" w:asciiTheme="majorEastAsia" w:hAnsiTheme="majorEastAsia" w:eastAsiaTheme="majorEastAsia" w:cstheme="majorEastAsia"/>
          <w:bCs/>
          <w:color w:val="auto"/>
          <w:sz w:val="21"/>
          <w:szCs w:val="21"/>
          <w:highlight w:val="none"/>
          <w:lang w:val="en-US" w:eastAsia="zh-CN"/>
        </w:rPr>
        <w:t>周一至周五：早8：00-晚18:30</w:t>
      </w:r>
    </w:p>
    <w:p w14:paraId="35F64C6E">
      <w:pPr>
        <w:keepNext w:val="0"/>
        <w:keepLines w:val="0"/>
        <w:pageBreakBefore w:val="0"/>
        <w:widowControl w:val="0"/>
        <w:tabs>
          <w:tab w:val="left" w:pos="0"/>
          <w:tab w:val="left" w:pos="284"/>
          <w:tab w:val="left" w:pos="426"/>
        </w:tabs>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Cs/>
          <w:color w:val="auto"/>
          <w:kern w:val="2"/>
          <w:sz w:val="21"/>
          <w:szCs w:val="21"/>
          <w:highlight w:val="none"/>
          <w:lang w:val="en-US" w:eastAsia="zh-CN" w:bidi="ar-SA"/>
        </w:rPr>
      </w:pPr>
      <w:r>
        <w:rPr>
          <w:rFonts w:hint="eastAsia" w:asciiTheme="majorEastAsia" w:hAnsiTheme="majorEastAsia" w:eastAsiaTheme="majorEastAsia" w:cstheme="majorEastAsia"/>
          <w:bCs/>
          <w:color w:val="auto"/>
          <w:sz w:val="21"/>
          <w:szCs w:val="21"/>
          <w:highlight w:val="none"/>
          <w:lang w:val="en-US" w:eastAsia="zh-CN"/>
        </w:rPr>
        <w:t>周六至周日：9时00分-13时00分，15时30分-18时30分</w:t>
      </w:r>
    </w:p>
    <w:p w14:paraId="014F1B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color w:val="auto"/>
          <w:kern w:val="2"/>
          <w:sz w:val="21"/>
          <w:szCs w:val="21"/>
          <w:highlight w:val="none"/>
          <w:lang w:val="en-US" w:eastAsia="zh-CN" w:bidi="ar-SA"/>
        </w:rPr>
        <w:t>1.2</w:t>
      </w:r>
      <w:r>
        <w:rPr>
          <w:rFonts w:hint="eastAsia" w:asciiTheme="majorEastAsia" w:hAnsiTheme="majorEastAsia" w:eastAsiaTheme="majorEastAsia" w:cstheme="majorEastAsia"/>
          <w:b/>
          <w:bCs/>
          <w:color w:val="auto"/>
          <w:kern w:val="2"/>
          <w:sz w:val="21"/>
          <w:szCs w:val="21"/>
          <w:highlight w:val="none"/>
          <w:lang w:val="en-US" w:eastAsia="zh-CN" w:bidi="ar-SA"/>
        </w:rPr>
        <w:t>住院病人医嘱治疗餐</w:t>
      </w:r>
    </w:p>
    <w:p w14:paraId="516E90EF">
      <w:pPr>
        <w:keepNext w:val="0"/>
        <w:keepLines w:val="0"/>
        <w:pageBreakBefore w:val="0"/>
        <w:widowControl w:val="0"/>
        <w:numPr>
          <w:ilvl w:val="0"/>
          <w:numId w:val="0"/>
        </w:numPr>
        <w:tabs>
          <w:tab w:val="left" w:pos="2340"/>
        </w:tabs>
        <w:kinsoku/>
        <w:wordWrap w:val="0"/>
        <w:overflowPunct/>
        <w:topLinePunct w:val="0"/>
        <w:autoSpaceDE/>
        <w:autoSpaceDN/>
        <w:bidi w:val="0"/>
        <w:adjustRightInd/>
        <w:snapToGrid/>
        <w:spacing w:line="300" w:lineRule="exact"/>
        <w:ind w:leftChars="0" w:firstLine="422" w:firstLineChars="200"/>
        <w:jc w:val="left"/>
        <w:textAlignment w:val="auto"/>
        <w:outlineLvl w:val="4"/>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1）供餐时间（全年无休）</w:t>
      </w:r>
    </w:p>
    <w:p w14:paraId="0BB99EBA">
      <w:pPr>
        <w:keepNext w:val="0"/>
        <w:keepLines w:val="0"/>
        <w:pageBreakBefore w:val="0"/>
        <w:widowControl w:val="0"/>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① 早餐：7:00-8:30；午餐：11:00-13:00；晚餐：16:30-18:00；</w:t>
      </w:r>
    </w:p>
    <w:p w14:paraId="6B2949D2">
      <w:pPr>
        <w:keepNext w:val="0"/>
        <w:keepLines w:val="0"/>
        <w:pageBreakBefore w:val="0"/>
        <w:widowControl w:val="0"/>
        <w:kinsoku/>
        <w:wordWrap w:val="0"/>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② 特殊情况根据医嘱要求增加供餐时间及次数。</w:t>
      </w:r>
    </w:p>
    <w:p w14:paraId="7A03277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2）供餐内容</w:t>
      </w:r>
      <w:r>
        <w:rPr>
          <w:rFonts w:hint="eastAsia" w:asciiTheme="majorEastAsia" w:hAnsiTheme="majorEastAsia" w:eastAsiaTheme="majorEastAsia" w:cstheme="majorEastAsia"/>
          <w:color w:val="auto"/>
          <w:kern w:val="2"/>
          <w:sz w:val="21"/>
          <w:szCs w:val="21"/>
          <w:highlight w:val="none"/>
          <w:lang w:val="en-US" w:eastAsia="zh-CN" w:bidi="ar-SA"/>
        </w:rPr>
        <w:t>：根据医嘱</w:t>
      </w:r>
      <w:r>
        <w:rPr>
          <w:rFonts w:hint="eastAsia" w:asciiTheme="majorEastAsia" w:hAnsiTheme="majorEastAsia" w:eastAsiaTheme="majorEastAsia" w:cstheme="majorEastAsia"/>
          <w:bCs/>
          <w:color w:val="auto"/>
          <w:kern w:val="2"/>
          <w:sz w:val="21"/>
          <w:szCs w:val="21"/>
          <w:highlight w:val="none"/>
          <w:lang w:val="en-US" w:eastAsia="zh-CN" w:bidi="ar-SA"/>
        </w:rPr>
        <w:t>治疗膳食</w:t>
      </w:r>
      <w:r>
        <w:rPr>
          <w:rFonts w:hint="eastAsia" w:asciiTheme="majorEastAsia" w:hAnsiTheme="majorEastAsia" w:eastAsiaTheme="majorEastAsia" w:cstheme="majorEastAsia"/>
          <w:color w:val="auto"/>
          <w:kern w:val="2"/>
          <w:sz w:val="21"/>
          <w:szCs w:val="21"/>
          <w:highlight w:val="none"/>
          <w:lang w:val="en-US" w:eastAsia="zh-CN" w:bidi="ar-SA"/>
        </w:rPr>
        <w:t>要求或</w:t>
      </w:r>
      <w:r>
        <w:rPr>
          <w:rFonts w:hint="eastAsia" w:asciiTheme="majorEastAsia" w:hAnsiTheme="majorEastAsia" w:eastAsiaTheme="majorEastAsia" w:cstheme="majorEastAsia"/>
          <w:bCs/>
          <w:color w:val="auto"/>
          <w:kern w:val="2"/>
          <w:sz w:val="21"/>
          <w:szCs w:val="21"/>
          <w:highlight w:val="none"/>
          <w:lang w:val="en-US" w:eastAsia="zh-CN" w:bidi="ar-SA"/>
        </w:rPr>
        <w:t>营养师开具的营养餐单进行制作、登记与配送。</w:t>
      </w:r>
    </w:p>
    <w:p w14:paraId="7FABE8D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color w:val="auto"/>
          <w:kern w:val="2"/>
          <w:sz w:val="21"/>
          <w:szCs w:val="21"/>
          <w:highlight w:val="none"/>
          <w:lang w:val="en-US" w:eastAsia="zh-CN" w:bidi="ar-SA"/>
        </w:rPr>
        <w:t>3）订餐截止时间：</w:t>
      </w:r>
    </w:p>
    <w:p w14:paraId="598A156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①日常订餐时间：</w:t>
      </w:r>
    </w:p>
    <w:p w14:paraId="05790F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早餐：用餐前一天；</w:t>
      </w:r>
    </w:p>
    <w:p w14:paraId="0C63E24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午餐：用餐当天9:00前；</w:t>
      </w:r>
    </w:p>
    <w:p w14:paraId="27ED4CE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晚餐：用餐当天16:00前。</w:t>
      </w:r>
    </w:p>
    <w:p w14:paraId="2DE68B1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②超时餐订餐时间：</w:t>
      </w:r>
    </w:p>
    <w:p w14:paraId="2054E0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午餐：11:00-12:00；</w:t>
      </w:r>
    </w:p>
    <w:p w14:paraId="44F2FCD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晚餐：16:00-17:30。</w:t>
      </w:r>
    </w:p>
    <w:p w14:paraId="3327CF2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color w:val="auto"/>
          <w:kern w:val="2"/>
          <w:sz w:val="21"/>
          <w:szCs w:val="21"/>
          <w:highlight w:val="none"/>
          <w:lang w:val="en-US" w:eastAsia="zh-CN" w:bidi="ar-SA"/>
        </w:rPr>
        <w:t>4）订餐服务：</w:t>
      </w:r>
    </w:p>
    <w:p w14:paraId="6295F16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①需采用甲方营养食堂电子化订餐系统，要求实现可通过微信扫码订餐，操作应方便、高效；</w:t>
      </w:r>
    </w:p>
    <w:p w14:paraId="609B702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②保留电话订餐和现场订餐形式，以适应部分特殊群体（如不会使用手机订餐的老年人等）。</w:t>
      </w:r>
    </w:p>
    <w:p w14:paraId="68B9B67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val="0"/>
          <w:bCs/>
          <w:color w:val="auto"/>
          <w:kern w:val="2"/>
          <w:sz w:val="21"/>
          <w:szCs w:val="21"/>
          <w:highlight w:val="none"/>
          <w:lang w:val="en-US" w:eastAsia="zh-CN" w:bidi="ar-SA"/>
        </w:rPr>
        <w:t>特别说明：在患者入院的时候，由护士或者护工简要介绍甲方订餐操作，并登记部分特殊群体（如老年人）的订餐方式，并告知乙方驻场项目经理，以便配餐员到现场接受订餐。</w:t>
      </w:r>
    </w:p>
    <w:p w14:paraId="5C7E8B8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2" w:firstLineChars="200"/>
        <w:jc w:val="left"/>
        <w:textAlignment w:val="auto"/>
        <w:rPr>
          <w:rFonts w:hint="eastAsia" w:asciiTheme="majorEastAsia" w:hAnsiTheme="majorEastAsia" w:eastAsiaTheme="majorEastAsia" w:cstheme="majorEastAsia"/>
          <w:b w:val="0"/>
          <w:bCs/>
          <w:color w:val="auto"/>
          <w:kern w:val="2"/>
          <w:sz w:val="21"/>
          <w:szCs w:val="21"/>
          <w:highlight w:val="none"/>
          <w:lang w:val="en-US" w:eastAsia="zh-CN" w:bidi="ar-SA"/>
        </w:rPr>
      </w:pPr>
      <w:r>
        <w:rPr>
          <w:rFonts w:hint="eastAsia" w:asciiTheme="majorEastAsia" w:hAnsiTheme="majorEastAsia" w:eastAsiaTheme="majorEastAsia" w:cstheme="majorEastAsia"/>
          <w:b/>
          <w:color w:val="auto"/>
          <w:sz w:val="21"/>
          <w:szCs w:val="21"/>
          <w:highlight w:val="none"/>
        </w:rPr>
        <w:t>5）新生儿膳食：</w:t>
      </w:r>
      <w:r>
        <w:rPr>
          <w:rFonts w:hint="eastAsia" w:asciiTheme="majorEastAsia" w:hAnsiTheme="majorEastAsia" w:eastAsiaTheme="majorEastAsia" w:cstheme="majorEastAsia"/>
          <w:b w:val="0"/>
          <w:bCs/>
          <w:color w:val="auto"/>
          <w:sz w:val="21"/>
          <w:szCs w:val="21"/>
          <w:highlight w:val="none"/>
        </w:rPr>
        <w:t>婴幼儿配方乳粉。（主要包括蛋白配方奶粉、免乳糖奶粉或无乳糖奶粉、水解奶粉或氨基酸奶粉等等）</w:t>
      </w:r>
    </w:p>
    <w:p w14:paraId="00F4F329">
      <w:pPr>
        <w:keepNext w:val="0"/>
        <w:keepLines w:val="0"/>
        <w:pageBreakBefore w:val="0"/>
        <w:widowControl w:val="0"/>
        <w:kinsoku/>
        <w:wordWrap/>
        <w:overflowPunct/>
        <w:topLinePunct w:val="0"/>
        <w:autoSpaceDE/>
        <w:autoSpaceDN/>
        <w:bidi w:val="0"/>
        <w:adjustRightInd/>
        <w:snapToGrid/>
        <w:spacing w:line="300" w:lineRule="exact"/>
        <w:ind w:leftChars="0" w:firstLine="422" w:firstLineChars="200"/>
        <w:jc w:val="left"/>
        <w:textAlignment w:val="auto"/>
        <w:outlineLvl w:val="3"/>
        <w:rPr>
          <w:rFonts w:hint="eastAsia" w:asciiTheme="majorEastAsia" w:hAnsiTheme="majorEastAsia" w:eastAsiaTheme="majorEastAsia" w:cstheme="majorEastAsia"/>
          <w:b/>
          <w:bCs w:val="0"/>
          <w:color w:val="auto"/>
          <w:sz w:val="21"/>
          <w:szCs w:val="21"/>
          <w:highlight w:val="none"/>
        </w:rPr>
      </w:pPr>
      <w:r>
        <w:rPr>
          <w:rFonts w:hint="eastAsia" w:asciiTheme="majorEastAsia" w:hAnsiTheme="majorEastAsia" w:eastAsiaTheme="majorEastAsia" w:cstheme="majorEastAsia"/>
          <w:b/>
          <w:bCs w:val="0"/>
          <w:color w:val="auto"/>
          <w:sz w:val="21"/>
          <w:szCs w:val="21"/>
          <w:highlight w:val="none"/>
          <w:lang w:val="en-US" w:eastAsia="zh-CN"/>
        </w:rPr>
        <w:t>1.3</w:t>
      </w:r>
      <w:r>
        <w:rPr>
          <w:rFonts w:hint="eastAsia" w:asciiTheme="majorEastAsia" w:hAnsiTheme="majorEastAsia" w:eastAsiaTheme="majorEastAsia" w:cstheme="majorEastAsia"/>
          <w:b/>
          <w:bCs w:val="0"/>
          <w:color w:val="auto"/>
          <w:sz w:val="21"/>
          <w:szCs w:val="21"/>
          <w:highlight w:val="none"/>
        </w:rPr>
        <w:t>供餐要求</w:t>
      </w:r>
    </w:p>
    <w:p w14:paraId="0B21DD91">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①精心搭配各式主、副食菜谱，每月更换1套菜单，且每月推出6款以上新菜品。逢每月第一个自然日上新菜单，原则上要求菜式应每2周不重样（除热门主菜外），周一至周日供应品种不能完全重复，任意两天菜式品种差异率不低于30%，午餐和晚餐的菜式应不相同。热门主菜经甲方审核确认后，每周最多可出2次。下月菜单需在本月结束10个日历日前交甲方职能部门审核，新菜式应先进行试做、试尝，待甲方审核后方可执行。每月创新及推出新菜6款以上。</w:t>
      </w:r>
    </w:p>
    <w:p w14:paraId="320198A7">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②点心餐、接待餐供餐等要求：精心搭配，出品色香味全。</w:t>
      </w:r>
    </w:p>
    <w:p w14:paraId="5A2CDE05">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③病人餐供餐要求：病人餐每餐均需提供流质、半流质、糖尿病饮食（低糖/无糖）、无盐餐、无碘盐餐、高蛋白质餐等特殊餐饮需求服务（特殊餐饮服务根据甲方临床患者的需求变动而变动）</w:t>
      </w:r>
    </w:p>
    <w:p w14:paraId="3A3B0649">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④需配合院区营养科开展特医食品、肠内营养配置室用餐的相关要求，如打单收费等等。</w:t>
      </w:r>
    </w:p>
    <w:p w14:paraId="6470E729">
      <w:pPr>
        <w:keepNext w:val="0"/>
        <w:keepLines w:val="0"/>
        <w:pageBreakBefore w:val="0"/>
        <w:widowControl w:val="0"/>
        <w:kinsoku/>
        <w:wordWrap/>
        <w:overflowPunct/>
        <w:topLinePunct w:val="0"/>
        <w:autoSpaceDE/>
        <w:autoSpaceDN/>
        <w:bidi w:val="0"/>
        <w:adjustRightInd/>
        <w:snapToGrid/>
        <w:spacing w:line="300" w:lineRule="exact"/>
        <w:ind w:leftChars="0" w:firstLine="422" w:firstLineChars="200"/>
        <w:jc w:val="left"/>
        <w:textAlignment w:val="auto"/>
        <w:outlineLvl w:val="3"/>
        <w:rPr>
          <w:rFonts w:hint="eastAsia" w:asciiTheme="majorEastAsia" w:hAnsiTheme="majorEastAsia" w:eastAsiaTheme="majorEastAsia" w:cstheme="majorEastAsia"/>
          <w:b/>
          <w:bCs w:val="0"/>
          <w:color w:val="auto"/>
          <w:sz w:val="21"/>
          <w:szCs w:val="21"/>
          <w:highlight w:val="none"/>
          <w:lang w:val="en-US" w:eastAsia="zh-CN"/>
        </w:rPr>
      </w:pPr>
      <w:r>
        <w:rPr>
          <w:rFonts w:hint="eastAsia" w:asciiTheme="majorEastAsia" w:hAnsiTheme="majorEastAsia" w:eastAsiaTheme="majorEastAsia" w:cstheme="majorEastAsia"/>
          <w:b/>
          <w:bCs w:val="0"/>
          <w:color w:val="auto"/>
          <w:sz w:val="21"/>
          <w:szCs w:val="21"/>
          <w:highlight w:val="none"/>
          <w:lang w:val="en-US" w:eastAsia="zh-CN"/>
        </w:rPr>
        <w:t>1.4菜</w:t>
      </w:r>
      <w:r>
        <w:rPr>
          <w:rFonts w:hint="eastAsia" w:asciiTheme="majorEastAsia" w:hAnsiTheme="majorEastAsia" w:eastAsiaTheme="majorEastAsia" w:cstheme="majorEastAsia"/>
          <w:b/>
          <w:bCs w:val="0"/>
          <w:color w:val="auto"/>
          <w:sz w:val="21"/>
          <w:szCs w:val="21"/>
          <w:highlight w:val="none"/>
        </w:rPr>
        <w:t>式</w:t>
      </w:r>
      <w:r>
        <w:rPr>
          <w:rFonts w:hint="eastAsia" w:asciiTheme="majorEastAsia" w:hAnsiTheme="majorEastAsia" w:eastAsiaTheme="majorEastAsia" w:cstheme="majorEastAsia"/>
          <w:b/>
          <w:bCs w:val="0"/>
          <w:color w:val="auto"/>
          <w:sz w:val="21"/>
          <w:szCs w:val="21"/>
          <w:highlight w:val="none"/>
          <w:lang w:val="en-US" w:eastAsia="zh-CN"/>
        </w:rPr>
        <w:t>和规格要求</w:t>
      </w:r>
    </w:p>
    <w:p w14:paraId="5A8964A8">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①净荤不少于5个品种，每份净荤重量不少于50克；</w:t>
      </w:r>
    </w:p>
    <w:p w14:paraId="4C230999">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②净蔬菜/素菜不少于5个品种，每份净蔬菜不少于100克；</w:t>
      </w:r>
    </w:p>
    <w:p w14:paraId="46FEC19A">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③荤素混炒不少于10个品种，每份份量不少于100克，荤素重量比例按不少于1:2（荤1素2）；</w:t>
      </w:r>
    </w:p>
    <w:p w14:paraId="5CD46AF6">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④每份米饭100克至150克，可免费加饭。</w:t>
      </w:r>
    </w:p>
    <w:p w14:paraId="7940F046">
      <w:pPr>
        <w:keepNext w:val="0"/>
        <w:keepLines w:val="0"/>
        <w:pageBreakBefore w:val="0"/>
        <w:widowControl w:val="0"/>
        <w:kinsoku/>
        <w:wordWrap w:val="0"/>
        <w:overflowPunct/>
        <w:topLinePunct w:val="0"/>
        <w:autoSpaceDE/>
        <w:autoSpaceDN/>
        <w:bidi w:val="0"/>
        <w:adjustRightInd/>
        <w:snapToGrid/>
        <w:spacing w:line="300" w:lineRule="exact"/>
        <w:ind w:leftChars="0" w:firstLine="422" w:firstLineChars="200"/>
        <w:jc w:val="left"/>
        <w:textAlignment w:val="auto"/>
        <w:outlineLvl w:val="1"/>
        <w:rPr>
          <w:rFonts w:hint="eastAsia" w:asciiTheme="majorEastAsia" w:hAnsiTheme="majorEastAsia" w:eastAsiaTheme="majorEastAsia" w:cstheme="majorEastAsia"/>
          <w:b/>
          <w:bCs w:val="0"/>
          <w:color w:val="auto"/>
          <w:sz w:val="21"/>
          <w:szCs w:val="21"/>
          <w:highlight w:val="none"/>
          <w:lang w:val="en-US" w:eastAsia="zh-CN"/>
        </w:rPr>
      </w:pPr>
      <w:r>
        <w:rPr>
          <w:rFonts w:hint="eastAsia" w:asciiTheme="majorEastAsia" w:hAnsiTheme="majorEastAsia" w:eastAsiaTheme="majorEastAsia" w:cstheme="majorEastAsia"/>
          <w:b/>
          <w:bCs w:val="0"/>
          <w:color w:val="auto"/>
          <w:sz w:val="21"/>
          <w:szCs w:val="21"/>
          <w:highlight w:val="none"/>
          <w:lang w:val="en-US" w:eastAsia="zh-CN"/>
        </w:rPr>
        <w:t>1.4.1供餐标准</w:t>
      </w:r>
    </w:p>
    <w:p w14:paraId="4A92CD9E">
      <w:pPr>
        <w:keepNext w:val="0"/>
        <w:keepLines w:val="0"/>
        <w:pageBreakBefore w:val="0"/>
        <w:widowControl w:val="0"/>
        <w:kinsoku/>
        <w:wordWrap w:val="0"/>
        <w:overflowPunct/>
        <w:topLinePunct w:val="0"/>
        <w:autoSpaceDE/>
        <w:autoSpaceDN/>
        <w:bidi w:val="0"/>
        <w:adjustRightInd/>
        <w:snapToGrid/>
        <w:spacing w:line="300" w:lineRule="exact"/>
        <w:ind w:leftChars="0" w:firstLine="420" w:firstLineChars="200"/>
        <w:jc w:val="left"/>
        <w:textAlignment w:val="auto"/>
        <w:outlineLvl w:val="1"/>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Cs/>
          <w:color w:val="auto"/>
          <w:kern w:val="0"/>
          <w:sz w:val="21"/>
          <w:szCs w:val="21"/>
          <w:highlight w:val="none"/>
        </w:rPr>
        <w:t>① 菜式明码标价，</w:t>
      </w:r>
      <w:r>
        <w:rPr>
          <w:rFonts w:hint="eastAsia" w:asciiTheme="majorEastAsia" w:hAnsiTheme="majorEastAsia" w:eastAsiaTheme="majorEastAsia" w:cstheme="majorEastAsia"/>
          <w:color w:val="auto"/>
          <w:sz w:val="21"/>
          <w:szCs w:val="21"/>
          <w:highlight w:val="none"/>
        </w:rPr>
        <w:t>建议餐标：早餐套餐</w:t>
      </w:r>
      <w:r>
        <w:rPr>
          <w:rFonts w:hint="eastAsia" w:asciiTheme="majorEastAsia" w:hAnsiTheme="majorEastAsia" w:eastAsiaTheme="majorEastAsia" w:cstheme="majorEastAsia"/>
          <w:color w:val="auto"/>
          <w:sz w:val="21"/>
          <w:szCs w:val="21"/>
          <w:highlight w:val="none"/>
          <w:lang w:val="en-US" w:eastAsia="zh-CN"/>
        </w:rPr>
        <w:t>不高于15</w:t>
      </w:r>
      <w:r>
        <w:rPr>
          <w:rFonts w:hint="eastAsia" w:asciiTheme="majorEastAsia" w:hAnsiTheme="majorEastAsia" w:eastAsiaTheme="majorEastAsia" w:cstheme="majorEastAsia"/>
          <w:color w:val="auto"/>
          <w:sz w:val="21"/>
          <w:szCs w:val="21"/>
          <w:highlight w:val="none"/>
        </w:rPr>
        <w:t>元，午</w:t>
      </w:r>
      <w:r>
        <w:rPr>
          <w:rFonts w:hint="eastAsia" w:asciiTheme="majorEastAsia" w:hAnsiTheme="majorEastAsia" w:eastAsiaTheme="majorEastAsia" w:cstheme="majorEastAsia"/>
          <w:color w:val="auto"/>
          <w:sz w:val="21"/>
          <w:szCs w:val="21"/>
          <w:highlight w:val="none"/>
          <w:lang w:val="en-US" w:eastAsia="zh-CN"/>
        </w:rPr>
        <w:t>餐</w:t>
      </w:r>
      <w:r>
        <w:rPr>
          <w:rFonts w:hint="eastAsia" w:asciiTheme="majorEastAsia" w:hAnsiTheme="majorEastAsia" w:eastAsiaTheme="majorEastAsia" w:cstheme="majorEastAsia"/>
          <w:color w:val="auto"/>
          <w:sz w:val="21"/>
          <w:szCs w:val="21"/>
          <w:highlight w:val="none"/>
        </w:rPr>
        <w:t>、晚餐套餐不高于25元(包含1荤+2素+1汤+1米饭），高标餐套餐不高于30-40元(包含2荤+2素+1汤+1米饭）、肉末（片）粥</w:t>
      </w:r>
      <w:r>
        <w:rPr>
          <w:rFonts w:hint="eastAsia" w:asciiTheme="majorEastAsia" w:hAnsiTheme="majorEastAsia" w:eastAsiaTheme="majorEastAsia" w:cstheme="majorEastAsia"/>
          <w:color w:val="auto"/>
          <w:sz w:val="21"/>
          <w:szCs w:val="21"/>
          <w:highlight w:val="none"/>
          <w:lang w:val="en-US" w:eastAsia="zh-CN"/>
        </w:rPr>
        <w:t>不高于8</w:t>
      </w:r>
      <w:r>
        <w:rPr>
          <w:rFonts w:hint="eastAsia" w:asciiTheme="majorEastAsia" w:hAnsiTheme="majorEastAsia" w:eastAsiaTheme="majorEastAsia" w:cstheme="majorEastAsia"/>
          <w:color w:val="auto"/>
          <w:sz w:val="21"/>
          <w:szCs w:val="21"/>
          <w:highlight w:val="none"/>
        </w:rPr>
        <w:t>元、白粥</w:t>
      </w:r>
      <w:r>
        <w:rPr>
          <w:rFonts w:hint="eastAsia" w:asciiTheme="majorEastAsia" w:hAnsiTheme="majorEastAsia" w:eastAsiaTheme="majorEastAsia" w:cstheme="majorEastAsia"/>
          <w:color w:val="auto"/>
          <w:sz w:val="21"/>
          <w:szCs w:val="21"/>
          <w:highlight w:val="none"/>
          <w:lang w:val="en-US" w:eastAsia="zh-CN"/>
        </w:rPr>
        <w:t>不高于3</w:t>
      </w:r>
      <w:r>
        <w:rPr>
          <w:rFonts w:hint="eastAsia" w:asciiTheme="majorEastAsia" w:hAnsiTheme="majorEastAsia" w:eastAsiaTheme="majorEastAsia" w:cstheme="majorEastAsia"/>
          <w:color w:val="auto"/>
          <w:sz w:val="21"/>
          <w:szCs w:val="21"/>
          <w:highlight w:val="none"/>
        </w:rPr>
        <w:t>元、粉面类</w:t>
      </w:r>
      <w:r>
        <w:rPr>
          <w:rFonts w:hint="eastAsia" w:asciiTheme="majorEastAsia" w:hAnsiTheme="majorEastAsia" w:eastAsiaTheme="majorEastAsia" w:cstheme="majorEastAsia"/>
          <w:color w:val="auto"/>
          <w:sz w:val="21"/>
          <w:szCs w:val="21"/>
          <w:highlight w:val="none"/>
          <w:lang w:val="en-US" w:eastAsia="zh-CN"/>
        </w:rPr>
        <w:t>不高于20</w:t>
      </w:r>
      <w:r>
        <w:rPr>
          <w:rFonts w:hint="eastAsia" w:asciiTheme="majorEastAsia" w:hAnsiTheme="majorEastAsia" w:eastAsiaTheme="majorEastAsia" w:cstheme="majorEastAsia"/>
          <w:color w:val="auto"/>
          <w:sz w:val="21"/>
          <w:szCs w:val="21"/>
          <w:highlight w:val="none"/>
        </w:rPr>
        <w:t>元，以保证食品安全和供餐营养均衡及</w:t>
      </w:r>
      <w:r>
        <w:rPr>
          <w:rFonts w:hint="eastAsia" w:asciiTheme="majorEastAsia" w:hAnsiTheme="majorEastAsia" w:eastAsiaTheme="majorEastAsia" w:cstheme="majorEastAsia"/>
          <w:color w:val="auto"/>
          <w:sz w:val="21"/>
          <w:szCs w:val="21"/>
          <w:highlight w:val="none"/>
          <w:lang w:val="en-US" w:eastAsia="zh-CN"/>
        </w:rPr>
        <w:t>就餐人</w:t>
      </w:r>
      <w:r>
        <w:rPr>
          <w:rFonts w:hint="eastAsia" w:asciiTheme="majorEastAsia" w:hAnsiTheme="majorEastAsia" w:eastAsiaTheme="majorEastAsia" w:cstheme="majorEastAsia"/>
          <w:color w:val="auto"/>
          <w:sz w:val="21"/>
          <w:szCs w:val="21"/>
          <w:highlight w:val="none"/>
        </w:rPr>
        <w:t>就餐满意为基础，可参考周边环境供餐价格和实际配餐食材价格及</w:t>
      </w:r>
      <w:r>
        <w:rPr>
          <w:rFonts w:hint="eastAsia" w:asciiTheme="majorEastAsia" w:hAnsiTheme="majorEastAsia" w:eastAsiaTheme="majorEastAsia" w:cstheme="majorEastAsia"/>
          <w:color w:val="auto"/>
          <w:sz w:val="21"/>
          <w:szCs w:val="21"/>
          <w:highlight w:val="none"/>
          <w:lang w:val="en-US" w:eastAsia="zh-CN"/>
        </w:rPr>
        <w:t>就餐人</w:t>
      </w:r>
      <w:r>
        <w:rPr>
          <w:rFonts w:hint="eastAsia" w:asciiTheme="majorEastAsia" w:hAnsiTheme="majorEastAsia" w:eastAsiaTheme="majorEastAsia" w:cstheme="majorEastAsia"/>
          <w:color w:val="auto"/>
          <w:sz w:val="21"/>
          <w:szCs w:val="21"/>
          <w:highlight w:val="none"/>
        </w:rPr>
        <w:t>需求来变换供餐模式和供餐定价。</w:t>
      </w:r>
    </w:p>
    <w:p w14:paraId="0DF6B288">
      <w:pPr>
        <w:keepNext w:val="0"/>
        <w:keepLines w:val="0"/>
        <w:pageBreakBefore w:val="0"/>
        <w:widowControl w:val="0"/>
        <w:kinsoku/>
        <w:overflowPunct/>
        <w:topLinePunct w:val="0"/>
        <w:autoSpaceDE/>
        <w:autoSpaceDN/>
        <w:bidi w:val="0"/>
        <w:adjustRightInd/>
        <w:snapToGrid/>
        <w:spacing w:after="0" w:afterLines="0" w:line="300" w:lineRule="exact"/>
        <w:ind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② 每天的早餐备有包点、粉、面、粥、豆浆牛奶等20种以上，注重营养的搭配；每天午、晚餐备有15-20个以上菜式（主食不少于2种，素菜不少于4-8种，荤菜（含半荤）不少于9-12种）及多种营养汤或炖品供就餐人员选用。</w:t>
      </w:r>
    </w:p>
    <w:p w14:paraId="6BB105FA">
      <w:pPr>
        <w:keepNext w:val="0"/>
        <w:keepLines w:val="0"/>
        <w:pageBreakBefore w:val="0"/>
        <w:widowControl w:val="0"/>
        <w:kinsoku/>
        <w:wordWrap/>
        <w:overflowPunct/>
        <w:topLinePunct w:val="0"/>
        <w:autoSpaceDE/>
        <w:autoSpaceDN/>
        <w:bidi w:val="0"/>
        <w:adjustRightInd/>
        <w:snapToGrid/>
        <w:spacing w:line="300" w:lineRule="exact"/>
        <w:ind w:leftChars="0" w:firstLine="422" w:firstLineChars="200"/>
        <w:jc w:val="left"/>
        <w:textAlignment w:val="auto"/>
        <w:outlineLvl w:val="3"/>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1.</w:t>
      </w:r>
      <w:r>
        <w:rPr>
          <w:rFonts w:hint="eastAsia" w:asciiTheme="majorEastAsia" w:hAnsiTheme="majorEastAsia" w:eastAsiaTheme="majorEastAsia" w:cstheme="majorEastAsia"/>
          <w:b/>
          <w:bCs/>
          <w:color w:val="auto"/>
          <w:sz w:val="21"/>
          <w:szCs w:val="21"/>
          <w:highlight w:val="none"/>
          <w:lang w:val="en-US" w:eastAsia="zh-CN"/>
        </w:rPr>
        <w:t>5</w:t>
      </w:r>
      <w:r>
        <w:rPr>
          <w:rFonts w:hint="eastAsia" w:asciiTheme="majorEastAsia" w:hAnsiTheme="majorEastAsia" w:eastAsiaTheme="majorEastAsia" w:cstheme="majorEastAsia"/>
          <w:b/>
          <w:bCs/>
          <w:color w:val="auto"/>
          <w:sz w:val="21"/>
          <w:szCs w:val="21"/>
          <w:highlight w:val="none"/>
        </w:rPr>
        <w:t>膳食要求</w:t>
      </w:r>
    </w:p>
    <w:p w14:paraId="2BE32F98">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①汤粉、面点、粥、煲仔饭、套餐、单个菜、老火汤/生滚汤、特色风味等,粥、粉、面、糕点、包类供应时间为早、午、晚餐，其他饭类、汤类供应时间为中、晚餐。</w:t>
      </w:r>
    </w:p>
    <w:p w14:paraId="6A248BCF">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②早、中、晚餐供应品种必须包括中西式面点、粥粉面类、粗粮等，营养搭配均衡，品种多样。</w:t>
      </w:r>
    </w:p>
    <w:p w14:paraId="56F4124D">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③饭菜兼顾南北方特色口味（粤菜为主，川菜、湘菜等多种口味），品种要齐全，需提供重口味、淡口味、蒸菜、蒸蛋、辣菜、炒菜等供选择，保证正餐有新鲜鱼、肉、禽、蛋、蔬菜等菜品供应。</w:t>
      </w:r>
    </w:p>
    <w:p w14:paraId="05B2A06E">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④菜式营养健康、花色品种多；大米符合标准，要求使用新米、晚稻、丝苗米；油用非转基因食用油。</w:t>
      </w:r>
    </w:p>
    <w:p w14:paraId="2EE3A2EF">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⑤熟食类食品不准外购，乙方须承诺所提供的熟食类食品均为自制食品；必须对餐食有加热保温措施，保证售出餐食是温热的。不得直接使用预制菜，如确需使用须经甲方审批同意。</w:t>
      </w:r>
    </w:p>
    <w:p w14:paraId="269A5107">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⑥提供具有相关资质的第三方机构检测合格的报告，抽检不同餐次的共5个菜品，进行微生物检测。在本项目进场后半个月内提供一次以上检测报告，之后每三个月提供一次以上检测报告。</w:t>
      </w:r>
    </w:p>
    <w:p w14:paraId="65F21267">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⑦积极响应和满足甲方提出的其他膳食要求，满足甲方的饮食服务需求。</w:t>
      </w:r>
    </w:p>
    <w:p w14:paraId="55611C55">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outlineLvl w:val="3"/>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1.6工作餐（含手术餐、过时餐）餐标标准按医院要求，供餐形式为配送至科室。</w:t>
      </w:r>
    </w:p>
    <w:p w14:paraId="6E14939B">
      <w:pPr>
        <w:keepNext w:val="0"/>
        <w:keepLines w:val="0"/>
        <w:pageBreakBefore w:val="0"/>
        <w:widowControl w:val="0"/>
        <w:kinsoku/>
        <w:wordWrap/>
        <w:overflowPunct/>
        <w:topLinePunct w:val="0"/>
        <w:autoSpaceDE/>
        <w:autoSpaceDN/>
        <w:bidi w:val="0"/>
        <w:adjustRightInd/>
        <w:snapToGrid/>
        <w:spacing w:line="300" w:lineRule="exact"/>
        <w:ind w:leftChars="0" w:firstLine="420" w:firstLineChars="200"/>
        <w:jc w:val="left"/>
        <w:textAlignment w:val="auto"/>
        <w:outlineLvl w:val="3"/>
        <w:rPr>
          <w:rFonts w:hint="eastAsia" w:asciiTheme="majorEastAsia" w:hAnsiTheme="majorEastAsia" w:eastAsiaTheme="majorEastAsia" w:cstheme="majorEastAsia"/>
          <w:b/>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sz w:val="21"/>
          <w:szCs w:val="21"/>
          <w:highlight w:val="none"/>
          <w:lang w:val="en-US" w:eastAsia="zh-CN"/>
        </w:rPr>
        <w:t>1.7乙方服务范围内应有清晰的就餐标识和指引，方便职工就餐。设置便民措施，就餐区域配备洗手液、一次性纸巾、开水等；若汕尾市气温连续5天达到38℃或以上，乙方应免费赠送清凉饮料给当天饭堂就餐的职工。（以汕尾正午天气预报为准）</w:t>
      </w:r>
    </w:p>
    <w:p w14:paraId="73C8289E">
      <w:pPr>
        <w:widowControl w:val="0"/>
        <w:bidi w:val="0"/>
        <w:spacing w:line="360" w:lineRule="auto"/>
        <w:ind w:firstLine="422" w:firstLineChars="200"/>
        <w:jc w:val="both"/>
        <w:rPr>
          <w:rFonts w:hint="eastAsia" w:asciiTheme="majorEastAsia" w:hAnsiTheme="majorEastAsia" w:eastAsiaTheme="majorEastAsia" w:cstheme="majorEastAsia"/>
          <w:b/>
          <w:bCs/>
          <w:color w:val="auto"/>
          <w:kern w:val="0"/>
          <w:sz w:val="21"/>
          <w:szCs w:val="21"/>
          <w:highlight w:val="none"/>
          <w:lang w:val="en-US" w:eastAsia="zh-CN" w:bidi="ar-SA"/>
        </w:rPr>
      </w:pPr>
      <w:r>
        <w:rPr>
          <w:rFonts w:hint="eastAsia" w:asciiTheme="majorEastAsia" w:hAnsiTheme="majorEastAsia" w:eastAsiaTheme="majorEastAsia" w:cstheme="majorEastAsia"/>
          <w:b/>
          <w:bCs/>
          <w:color w:val="auto"/>
          <w:kern w:val="0"/>
          <w:sz w:val="21"/>
          <w:szCs w:val="21"/>
          <w:highlight w:val="none"/>
          <w:lang w:val="en-US" w:eastAsia="zh-CN" w:bidi="ar-SA"/>
        </w:rPr>
        <w:t>2.</w:t>
      </w:r>
      <w:r>
        <w:rPr>
          <w:rFonts w:hint="eastAsia" w:asciiTheme="majorEastAsia" w:hAnsiTheme="majorEastAsia" w:eastAsiaTheme="majorEastAsia" w:cstheme="majorEastAsia"/>
          <w:b/>
          <w:bCs/>
          <w:color w:val="auto"/>
          <w:kern w:val="2"/>
          <w:sz w:val="21"/>
          <w:szCs w:val="21"/>
          <w:highlight w:val="none"/>
          <w:lang w:val="en-US" w:eastAsia="zh-CN" w:bidi="ar-SA"/>
        </w:rPr>
        <w:t>餐饮驻场服务人员要求：</w:t>
      </w:r>
    </w:p>
    <w:tbl>
      <w:tblPr>
        <w:tblStyle w:val="43"/>
        <w:tblW w:w="5186" w:type="pct"/>
        <w:jc w:val="center"/>
        <w:tblLayout w:type="fixed"/>
        <w:tblCellMar>
          <w:top w:w="0" w:type="dxa"/>
          <w:left w:w="108" w:type="dxa"/>
          <w:bottom w:w="0" w:type="dxa"/>
          <w:right w:w="108" w:type="dxa"/>
        </w:tblCellMar>
      </w:tblPr>
      <w:tblGrid>
        <w:gridCol w:w="663"/>
        <w:gridCol w:w="403"/>
        <w:gridCol w:w="1495"/>
        <w:gridCol w:w="2012"/>
        <w:gridCol w:w="5794"/>
      </w:tblGrid>
      <w:tr w14:paraId="1D188F35">
        <w:tblPrEx>
          <w:tblCellMar>
            <w:top w:w="0" w:type="dxa"/>
            <w:left w:w="108" w:type="dxa"/>
            <w:bottom w:w="0" w:type="dxa"/>
            <w:right w:w="108" w:type="dxa"/>
          </w:tblCellMar>
        </w:tblPrEx>
        <w:trPr>
          <w:trHeight w:val="248" w:hRule="atLeast"/>
          <w:jc w:val="center"/>
        </w:trPr>
        <w:tc>
          <w:tcPr>
            <w:tcW w:w="319" w:type="pct"/>
            <w:vMerge w:val="restart"/>
            <w:tcBorders>
              <w:top w:val="single" w:color="auto" w:sz="4" w:space="0"/>
              <w:left w:val="single" w:color="auto" w:sz="4" w:space="0"/>
              <w:bottom w:val="single" w:color="auto" w:sz="4" w:space="0"/>
              <w:right w:val="single" w:color="auto" w:sz="4" w:space="0"/>
            </w:tcBorders>
            <w:shd w:val="clear" w:color="000000" w:fill="FFFFFF"/>
            <w:noWrap/>
            <w:vAlign w:val="top"/>
          </w:tcPr>
          <w:p w14:paraId="40597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项目</w:t>
            </w:r>
          </w:p>
        </w:tc>
        <w:tc>
          <w:tcPr>
            <w:tcW w:w="194"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top"/>
          </w:tcPr>
          <w:p w14:paraId="3306E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序号</w:t>
            </w:r>
          </w:p>
        </w:tc>
        <w:tc>
          <w:tcPr>
            <w:tcW w:w="721" w:type="pct"/>
            <w:vMerge w:val="restart"/>
            <w:tcBorders>
              <w:top w:val="single" w:color="auto" w:sz="4" w:space="0"/>
              <w:left w:val="single" w:color="auto" w:sz="4" w:space="0"/>
              <w:bottom w:val="single" w:color="auto" w:sz="4" w:space="0"/>
              <w:right w:val="single" w:color="auto" w:sz="4" w:space="0"/>
            </w:tcBorders>
            <w:shd w:val="clear" w:color="000000" w:fill="FFFFFF"/>
            <w:noWrap/>
            <w:vAlign w:val="top"/>
          </w:tcPr>
          <w:p w14:paraId="139EB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岗位</w:t>
            </w:r>
          </w:p>
        </w:tc>
        <w:tc>
          <w:tcPr>
            <w:tcW w:w="970" w:type="pct"/>
            <w:tcBorders>
              <w:top w:val="single" w:color="auto" w:sz="4" w:space="0"/>
              <w:left w:val="nil"/>
              <w:bottom w:val="single" w:color="auto" w:sz="4" w:space="0"/>
              <w:right w:val="nil"/>
            </w:tcBorders>
            <w:shd w:val="clear" w:color="000000" w:fill="FFFFFF"/>
            <w:noWrap/>
            <w:vAlign w:val="top"/>
          </w:tcPr>
          <w:p w14:paraId="3405B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lang w:val="en-US" w:eastAsia="zh-CN"/>
              </w:rPr>
              <w:t>深汕院区</w:t>
            </w:r>
          </w:p>
        </w:tc>
        <w:tc>
          <w:tcPr>
            <w:tcW w:w="2794"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top"/>
          </w:tcPr>
          <w:p w14:paraId="7127F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岗位职责</w:t>
            </w:r>
          </w:p>
        </w:tc>
      </w:tr>
      <w:tr w14:paraId="74D0F0EC">
        <w:tblPrEx>
          <w:tblCellMar>
            <w:top w:w="0" w:type="dxa"/>
            <w:left w:w="108" w:type="dxa"/>
            <w:bottom w:w="0" w:type="dxa"/>
            <w:right w:w="108" w:type="dxa"/>
          </w:tblCellMar>
        </w:tblPrEx>
        <w:trPr>
          <w:trHeight w:val="272" w:hRule="atLeast"/>
          <w:jc w:val="center"/>
        </w:trPr>
        <w:tc>
          <w:tcPr>
            <w:tcW w:w="319" w:type="pct"/>
            <w:vMerge w:val="continue"/>
            <w:tcBorders>
              <w:top w:val="single" w:color="auto" w:sz="4" w:space="0"/>
              <w:left w:val="single" w:color="auto" w:sz="4" w:space="0"/>
              <w:bottom w:val="single" w:color="auto" w:sz="4" w:space="0"/>
              <w:right w:val="single" w:color="auto" w:sz="4" w:space="0"/>
            </w:tcBorders>
            <w:vAlign w:val="top"/>
          </w:tcPr>
          <w:p w14:paraId="7554E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vMerge w:val="continue"/>
            <w:tcBorders>
              <w:top w:val="single" w:color="auto" w:sz="4" w:space="0"/>
              <w:left w:val="single" w:color="auto" w:sz="4" w:space="0"/>
              <w:bottom w:val="single" w:color="000000" w:sz="4" w:space="0"/>
              <w:right w:val="single" w:color="auto" w:sz="4" w:space="0"/>
            </w:tcBorders>
            <w:vAlign w:val="top"/>
          </w:tcPr>
          <w:p w14:paraId="5E013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721" w:type="pct"/>
            <w:vMerge w:val="continue"/>
            <w:tcBorders>
              <w:top w:val="single" w:color="auto" w:sz="4" w:space="0"/>
              <w:left w:val="single" w:color="auto" w:sz="4" w:space="0"/>
              <w:bottom w:val="single" w:color="auto" w:sz="4" w:space="0"/>
              <w:right w:val="single" w:color="auto" w:sz="4" w:space="0"/>
            </w:tcBorders>
            <w:vAlign w:val="top"/>
          </w:tcPr>
          <w:p w14:paraId="67046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970" w:type="pct"/>
            <w:tcBorders>
              <w:top w:val="nil"/>
              <w:left w:val="nil"/>
              <w:bottom w:val="single" w:color="auto" w:sz="4" w:space="0"/>
              <w:right w:val="single" w:color="auto" w:sz="4" w:space="0"/>
            </w:tcBorders>
            <w:shd w:val="clear" w:color="000000" w:fill="FFFFFF"/>
            <w:vAlign w:val="top"/>
          </w:tcPr>
          <w:p w14:paraId="182E3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拟配置岗位数(人)</w:t>
            </w:r>
          </w:p>
        </w:tc>
        <w:tc>
          <w:tcPr>
            <w:tcW w:w="2794" w:type="pct"/>
            <w:vMerge w:val="continue"/>
            <w:tcBorders>
              <w:top w:val="single" w:color="auto" w:sz="4" w:space="0"/>
              <w:left w:val="single" w:color="auto" w:sz="4" w:space="0"/>
              <w:bottom w:val="single" w:color="000000" w:sz="4" w:space="0"/>
              <w:right w:val="single" w:color="auto" w:sz="4" w:space="0"/>
            </w:tcBorders>
            <w:vAlign w:val="top"/>
          </w:tcPr>
          <w:p w14:paraId="7A4A3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r>
      <w:tr w14:paraId="73F8D25A">
        <w:tblPrEx>
          <w:tblCellMar>
            <w:top w:w="0" w:type="dxa"/>
            <w:left w:w="108" w:type="dxa"/>
            <w:bottom w:w="0" w:type="dxa"/>
            <w:right w:w="108" w:type="dxa"/>
          </w:tblCellMar>
        </w:tblPrEx>
        <w:trPr>
          <w:trHeight w:val="726" w:hRule="atLeast"/>
          <w:jc w:val="center"/>
        </w:trPr>
        <w:tc>
          <w:tcPr>
            <w:tcW w:w="319" w:type="pct"/>
            <w:vMerge w:val="restart"/>
            <w:tcBorders>
              <w:top w:val="nil"/>
              <w:left w:val="single" w:color="auto" w:sz="4" w:space="0"/>
              <w:bottom w:val="single" w:color="auto" w:sz="4" w:space="0"/>
              <w:right w:val="single" w:color="auto" w:sz="4" w:space="0"/>
            </w:tcBorders>
            <w:shd w:val="clear" w:color="000000" w:fill="FFFFFF"/>
            <w:vAlign w:val="top"/>
          </w:tcPr>
          <w:p w14:paraId="46C08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餐饮管理服务项目</w:t>
            </w:r>
          </w:p>
        </w:tc>
        <w:tc>
          <w:tcPr>
            <w:tcW w:w="194" w:type="pct"/>
            <w:tcBorders>
              <w:top w:val="nil"/>
              <w:left w:val="nil"/>
              <w:bottom w:val="single" w:color="auto" w:sz="4" w:space="0"/>
              <w:right w:val="single" w:color="auto" w:sz="4" w:space="0"/>
            </w:tcBorders>
            <w:shd w:val="clear" w:color="000000" w:fill="FFFFFF"/>
            <w:vAlign w:val="top"/>
          </w:tcPr>
          <w:p w14:paraId="283C8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721" w:type="pct"/>
            <w:tcBorders>
              <w:top w:val="nil"/>
              <w:left w:val="nil"/>
              <w:bottom w:val="single" w:color="auto" w:sz="4" w:space="0"/>
              <w:right w:val="single" w:color="auto" w:sz="4" w:space="0"/>
            </w:tcBorders>
            <w:shd w:val="clear" w:color="000000" w:fill="FFFFFF"/>
            <w:noWrap/>
            <w:vAlign w:val="top"/>
          </w:tcPr>
          <w:p w14:paraId="00F76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项目经理（</w:t>
            </w:r>
            <w:r>
              <w:rPr>
                <w:rFonts w:hint="eastAsia" w:asciiTheme="majorEastAsia" w:hAnsiTheme="majorEastAsia" w:eastAsiaTheme="majorEastAsia" w:cstheme="majorEastAsia"/>
                <w:color w:val="auto"/>
                <w:kern w:val="0"/>
                <w:sz w:val="21"/>
                <w:szCs w:val="21"/>
                <w:highlight w:val="none"/>
                <w:lang w:val="en-US" w:eastAsia="zh-CN"/>
              </w:rPr>
              <w:t>接受</w:t>
            </w:r>
            <w:r>
              <w:rPr>
                <w:rFonts w:hint="eastAsia" w:asciiTheme="majorEastAsia" w:hAnsiTheme="majorEastAsia" w:eastAsiaTheme="majorEastAsia" w:cstheme="majorEastAsia"/>
                <w:color w:val="auto"/>
                <w:kern w:val="0"/>
                <w:sz w:val="21"/>
                <w:szCs w:val="21"/>
                <w:highlight w:val="none"/>
              </w:rPr>
              <w:t>院方管理）</w:t>
            </w:r>
          </w:p>
        </w:tc>
        <w:tc>
          <w:tcPr>
            <w:tcW w:w="970" w:type="pct"/>
            <w:tcBorders>
              <w:top w:val="nil"/>
              <w:left w:val="nil"/>
              <w:bottom w:val="single" w:color="auto" w:sz="4" w:space="0"/>
              <w:right w:val="single" w:color="auto" w:sz="4" w:space="0"/>
            </w:tcBorders>
            <w:shd w:val="clear" w:color="000000" w:fill="FFFFFF"/>
            <w:noWrap/>
            <w:vAlign w:val="top"/>
          </w:tcPr>
          <w:p w14:paraId="497F4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2D791DC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lang w:val="en-US" w:eastAsia="zh-CN" w:bidi="ar-SA"/>
              </w:rPr>
              <w:t>1、</w:t>
            </w:r>
            <w:r>
              <w:rPr>
                <w:rFonts w:hint="eastAsia" w:asciiTheme="majorEastAsia" w:hAnsiTheme="majorEastAsia" w:eastAsiaTheme="majorEastAsia" w:cstheme="majorEastAsia"/>
                <w:color w:val="auto"/>
                <w:kern w:val="0"/>
                <w:sz w:val="21"/>
                <w:szCs w:val="21"/>
                <w:highlight w:val="none"/>
              </w:rPr>
              <w:t>负责医院和公司双方工作协调对接；完成医院交办的工作任务；</w:t>
            </w:r>
            <w:r>
              <w:rPr>
                <w:rFonts w:hint="eastAsia" w:asciiTheme="majorEastAsia" w:hAnsiTheme="majorEastAsia" w:eastAsiaTheme="majorEastAsia" w:cstheme="majorEastAsia"/>
                <w:color w:val="auto"/>
                <w:kern w:val="0"/>
                <w:sz w:val="21"/>
                <w:szCs w:val="21"/>
                <w:highlight w:val="none"/>
              </w:rPr>
              <w:br w:type="textWrapping"/>
            </w:r>
            <w:r>
              <w:rPr>
                <w:rFonts w:hint="eastAsia" w:asciiTheme="majorEastAsia" w:hAnsiTheme="majorEastAsia" w:eastAsiaTheme="majorEastAsia" w:cstheme="majorEastAsia"/>
                <w:color w:val="auto"/>
                <w:kern w:val="0"/>
                <w:sz w:val="21"/>
                <w:szCs w:val="21"/>
                <w:highlight w:val="none"/>
              </w:rPr>
              <w:t>2、负责院区工作统筹，主管、主厨的培训管理，人员招聘、工资福利等</w:t>
            </w:r>
            <w:r>
              <w:rPr>
                <w:rFonts w:hint="eastAsia" w:asciiTheme="majorEastAsia" w:hAnsiTheme="majorEastAsia" w:eastAsiaTheme="majorEastAsia" w:cstheme="majorEastAsia"/>
                <w:color w:val="auto"/>
                <w:kern w:val="0"/>
                <w:sz w:val="21"/>
                <w:szCs w:val="21"/>
                <w:highlight w:val="none"/>
                <w:lang w:eastAsia="zh-CN"/>
              </w:rPr>
              <w:t>；</w:t>
            </w:r>
          </w:p>
          <w:p w14:paraId="204D02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3、配合医院三甲管理工作，大型会议等用餐协调。</w:t>
            </w:r>
          </w:p>
        </w:tc>
      </w:tr>
      <w:tr w14:paraId="6A950282">
        <w:tblPrEx>
          <w:tblCellMar>
            <w:top w:w="0" w:type="dxa"/>
            <w:left w:w="108" w:type="dxa"/>
            <w:bottom w:w="0" w:type="dxa"/>
            <w:right w:w="108" w:type="dxa"/>
          </w:tblCellMar>
        </w:tblPrEx>
        <w:trPr>
          <w:trHeight w:val="513"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33ACE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13397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w:t>
            </w:r>
          </w:p>
        </w:tc>
        <w:tc>
          <w:tcPr>
            <w:tcW w:w="721" w:type="pct"/>
            <w:tcBorders>
              <w:top w:val="nil"/>
              <w:left w:val="nil"/>
              <w:bottom w:val="single" w:color="auto" w:sz="4" w:space="0"/>
              <w:right w:val="single" w:color="auto" w:sz="4" w:space="0"/>
            </w:tcBorders>
            <w:shd w:val="clear" w:color="000000" w:fill="FFFFFF"/>
            <w:noWrap/>
            <w:vAlign w:val="top"/>
          </w:tcPr>
          <w:p w14:paraId="488E7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营养室班长（院方直接管理）</w:t>
            </w:r>
          </w:p>
        </w:tc>
        <w:tc>
          <w:tcPr>
            <w:tcW w:w="970" w:type="pct"/>
            <w:tcBorders>
              <w:top w:val="nil"/>
              <w:left w:val="nil"/>
              <w:bottom w:val="single" w:color="auto" w:sz="4" w:space="0"/>
              <w:right w:val="single" w:color="auto" w:sz="4" w:space="0"/>
            </w:tcBorders>
            <w:shd w:val="clear" w:color="000000" w:fill="FFFFFF"/>
            <w:noWrap/>
            <w:vAlign w:val="top"/>
          </w:tcPr>
          <w:p w14:paraId="44ADF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1C0E01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1.负责院区营养</w:t>
            </w:r>
            <w:r>
              <w:rPr>
                <w:rFonts w:hint="eastAsia" w:asciiTheme="majorEastAsia" w:hAnsiTheme="majorEastAsia" w:eastAsiaTheme="majorEastAsia" w:cstheme="majorEastAsia"/>
                <w:color w:val="auto"/>
                <w:kern w:val="0"/>
                <w:sz w:val="21"/>
                <w:szCs w:val="21"/>
                <w:highlight w:val="none"/>
                <w:lang w:val="en-US" w:eastAsia="zh-CN"/>
              </w:rPr>
              <w:t>膳食</w:t>
            </w:r>
            <w:r>
              <w:rPr>
                <w:rFonts w:hint="eastAsia" w:asciiTheme="majorEastAsia" w:hAnsiTheme="majorEastAsia" w:eastAsiaTheme="majorEastAsia" w:cstheme="majorEastAsia"/>
                <w:color w:val="auto"/>
                <w:kern w:val="0"/>
                <w:sz w:val="21"/>
                <w:szCs w:val="21"/>
                <w:highlight w:val="none"/>
              </w:rPr>
              <w:t>全面管理工作</w:t>
            </w:r>
            <w:r>
              <w:rPr>
                <w:rFonts w:hint="eastAsia" w:asciiTheme="majorEastAsia" w:hAnsiTheme="majorEastAsia" w:eastAsiaTheme="majorEastAsia" w:cstheme="majorEastAsia"/>
                <w:color w:val="auto"/>
                <w:kern w:val="0"/>
                <w:sz w:val="21"/>
                <w:szCs w:val="21"/>
                <w:highlight w:val="none"/>
                <w:lang w:eastAsia="zh-CN"/>
              </w:rPr>
              <w:t>，</w:t>
            </w:r>
            <w:r>
              <w:rPr>
                <w:rFonts w:hint="eastAsia" w:asciiTheme="majorEastAsia" w:hAnsiTheme="majorEastAsia" w:eastAsiaTheme="majorEastAsia" w:cstheme="majorEastAsia"/>
                <w:color w:val="auto"/>
                <w:kern w:val="0"/>
                <w:sz w:val="21"/>
                <w:szCs w:val="21"/>
                <w:highlight w:val="none"/>
                <w:lang w:val="en-US" w:eastAsia="zh-CN"/>
              </w:rPr>
              <w:t>配合肠内营养配剂室的相关工作。</w:t>
            </w:r>
          </w:p>
        </w:tc>
      </w:tr>
      <w:tr w14:paraId="591F4722">
        <w:tblPrEx>
          <w:tblCellMar>
            <w:top w:w="0" w:type="dxa"/>
            <w:left w:w="108" w:type="dxa"/>
            <w:bottom w:w="0" w:type="dxa"/>
            <w:right w:w="108" w:type="dxa"/>
          </w:tblCellMar>
        </w:tblPrEx>
        <w:trPr>
          <w:trHeight w:val="965"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3D49B1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3D5FD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w:t>
            </w:r>
          </w:p>
        </w:tc>
        <w:tc>
          <w:tcPr>
            <w:tcW w:w="721" w:type="pct"/>
            <w:tcBorders>
              <w:top w:val="nil"/>
              <w:left w:val="nil"/>
              <w:bottom w:val="single" w:color="auto" w:sz="4" w:space="0"/>
              <w:right w:val="single" w:color="auto" w:sz="4" w:space="0"/>
            </w:tcBorders>
            <w:shd w:val="clear" w:color="000000" w:fill="FFFFFF"/>
            <w:noWrap/>
            <w:vAlign w:val="top"/>
          </w:tcPr>
          <w:p w14:paraId="4BAEA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主管</w:t>
            </w:r>
          </w:p>
        </w:tc>
        <w:tc>
          <w:tcPr>
            <w:tcW w:w="970" w:type="pct"/>
            <w:tcBorders>
              <w:top w:val="nil"/>
              <w:left w:val="nil"/>
              <w:bottom w:val="single" w:color="auto" w:sz="4" w:space="0"/>
              <w:right w:val="single" w:color="auto" w:sz="4" w:space="0"/>
            </w:tcBorders>
            <w:shd w:val="clear" w:color="000000" w:fill="FFFFFF"/>
            <w:noWrap/>
            <w:vAlign w:val="top"/>
          </w:tcPr>
          <w:p w14:paraId="73CE3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2</w:t>
            </w:r>
          </w:p>
        </w:tc>
        <w:tc>
          <w:tcPr>
            <w:tcW w:w="2794" w:type="pct"/>
            <w:tcBorders>
              <w:top w:val="nil"/>
              <w:left w:val="nil"/>
              <w:bottom w:val="single" w:color="auto" w:sz="4" w:space="0"/>
              <w:right w:val="single" w:color="auto" w:sz="4" w:space="0"/>
            </w:tcBorders>
            <w:shd w:val="clear" w:color="000000" w:fill="FFFFFF"/>
            <w:vAlign w:val="top"/>
          </w:tcPr>
          <w:p w14:paraId="506125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w:t>
            </w:r>
            <w:r>
              <w:rPr>
                <w:rFonts w:hint="eastAsia" w:asciiTheme="majorEastAsia" w:hAnsiTheme="majorEastAsia" w:eastAsiaTheme="majorEastAsia" w:cstheme="majorEastAsia"/>
                <w:color w:val="auto"/>
                <w:kern w:val="0"/>
                <w:sz w:val="21"/>
                <w:szCs w:val="21"/>
                <w:highlight w:val="none"/>
              </w:rPr>
              <w:t xml:space="preserve">负责院区现场工作统筹安排、执行及员工的管理和培训；完成所在院区交办的各项工作任务；                                                  </w:t>
            </w:r>
          </w:p>
          <w:p w14:paraId="703C40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2、负责员工考勤和结算、人员调配，完成应急任务，做好生产安全和服务满意度。</w:t>
            </w:r>
          </w:p>
          <w:p w14:paraId="6B67225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3、患者食堂1名、职工食堂1名。</w:t>
            </w:r>
          </w:p>
        </w:tc>
      </w:tr>
      <w:tr w14:paraId="003FF219">
        <w:tblPrEx>
          <w:tblCellMar>
            <w:top w:w="0" w:type="dxa"/>
            <w:left w:w="108" w:type="dxa"/>
            <w:bottom w:w="0" w:type="dxa"/>
            <w:right w:w="108" w:type="dxa"/>
          </w:tblCellMar>
        </w:tblPrEx>
        <w:trPr>
          <w:trHeight w:val="965"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03F0D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30C5E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4</w:t>
            </w:r>
          </w:p>
        </w:tc>
        <w:tc>
          <w:tcPr>
            <w:tcW w:w="721" w:type="pct"/>
            <w:tcBorders>
              <w:top w:val="nil"/>
              <w:left w:val="nil"/>
              <w:bottom w:val="single" w:color="auto" w:sz="4" w:space="0"/>
              <w:right w:val="single" w:color="auto" w:sz="4" w:space="0"/>
            </w:tcBorders>
            <w:shd w:val="clear" w:color="000000" w:fill="FFFFFF"/>
            <w:noWrap/>
            <w:vAlign w:val="top"/>
          </w:tcPr>
          <w:p w14:paraId="149E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主厨</w:t>
            </w:r>
            <w:r>
              <w:rPr>
                <w:rFonts w:hint="eastAsia" w:asciiTheme="majorEastAsia" w:hAnsiTheme="majorEastAsia" w:eastAsiaTheme="majorEastAsia" w:cstheme="majorEastAsia"/>
                <w:b w:val="0"/>
                <w:bCs w:val="0"/>
                <w:color w:val="auto"/>
                <w:kern w:val="0"/>
                <w:sz w:val="21"/>
                <w:szCs w:val="21"/>
                <w:highlight w:val="none"/>
              </w:rPr>
              <w:t>（厨师长）</w:t>
            </w:r>
          </w:p>
        </w:tc>
        <w:tc>
          <w:tcPr>
            <w:tcW w:w="970" w:type="pct"/>
            <w:tcBorders>
              <w:top w:val="nil"/>
              <w:left w:val="nil"/>
              <w:bottom w:val="single" w:color="auto" w:sz="4" w:space="0"/>
              <w:right w:val="single" w:color="auto" w:sz="4" w:space="0"/>
            </w:tcBorders>
            <w:shd w:val="clear" w:color="000000" w:fill="FFFFFF"/>
            <w:noWrap/>
            <w:vAlign w:val="top"/>
          </w:tcPr>
          <w:p w14:paraId="5B06A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2</w:t>
            </w:r>
          </w:p>
        </w:tc>
        <w:tc>
          <w:tcPr>
            <w:tcW w:w="2794" w:type="pct"/>
            <w:tcBorders>
              <w:top w:val="nil"/>
              <w:left w:val="nil"/>
              <w:bottom w:val="single" w:color="auto" w:sz="4" w:space="0"/>
              <w:right w:val="single" w:color="auto" w:sz="4" w:space="0"/>
            </w:tcBorders>
            <w:shd w:val="clear" w:color="000000" w:fill="FFFFFF"/>
            <w:vAlign w:val="top"/>
          </w:tcPr>
          <w:p w14:paraId="7EF005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w:t>
            </w:r>
            <w:r>
              <w:rPr>
                <w:rFonts w:hint="eastAsia" w:asciiTheme="majorEastAsia" w:hAnsiTheme="majorEastAsia" w:eastAsiaTheme="majorEastAsia" w:cstheme="majorEastAsia"/>
                <w:color w:val="auto"/>
                <w:kern w:val="0"/>
                <w:sz w:val="21"/>
                <w:szCs w:val="21"/>
                <w:highlight w:val="none"/>
              </w:rPr>
              <w:t>负责所在院区营养室厨房工作统筹、厨师的工作调配；                                 2、负责菜品出品质量、菜单制作、成本管控、技术培训、执行厨部工作标准等的培训；</w:t>
            </w:r>
          </w:p>
          <w:p w14:paraId="65A0D9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3、患者食堂1名、职工食堂1名。</w:t>
            </w:r>
          </w:p>
        </w:tc>
      </w:tr>
      <w:tr w14:paraId="0CEE835B">
        <w:tblPrEx>
          <w:tblCellMar>
            <w:top w:w="0" w:type="dxa"/>
            <w:left w:w="108" w:type="dxa"/>
            <w:bottom w:w="0" w:type="dxa"/>
            <w:right w:w="108" w:type="dxa"/>
          </w:tblCellMar>
        </w:tblPrEx>
        <w:trPr>
          <w:trHeight w:val="51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21E31D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67B3A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5</w:t>
            </w:r>
          </w:p>
        </w:tc>
        <w:tc>
          <w:tcPr>
            <w:tcW w:w="721" w:type="pct"/>
            <w:tcBorders>
              <w:top w:val="nil"/>
              <w:left w:val="nil"/>
              <w:bottom w:val="single" w:color="auto" w:sz="4" w:space="0"/>
              <w:right w:val="single" w:color="auto" w:sz="4" w:space="0"/>
            </w:tcBorders>
            <w:shd w:val="clear" w:color="000000" w:fill="FFFFFF"/>
            <w:noWrap/>
            <w:vAlign w:val="top"/>
          </w:tcPr>
          <w:p w14:paraId="7354F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班长（楼面）</w:t>
            </w:r>
          </w:p>
        </w:tc>
        <w:tc>
          <w:tcPr>
            <w:tcW w:w="970" w:type="pct"/>
            <w:tcBorders>
              <w:top w:val="nil"/>
              <w:left w:val="nil"/>
              <w:bottom w:val="single" w:color="auto" w:sz="4" w:space="0"/>
              <w:right w:val="single" w:color="auto" w:sz="4" w:space="0"/>
            </w:tcBorders>
            <w:shd w:val="clear" w:color="000000" w:fill="FFFFFF"/>
            <w:noWrap/>
            <w:vAlign w:val="top"/>
          </w:tcPr>
          <w:p w14:paraId="28FCE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2</w:t>
            </w:r>
          </w:p>
        </w:tc>
        <w:tc>
          <w:tcPr>
            <w:tcW w:w="2794" w:type="pct"/>
            <w:tcBorders>
              <w:top w:val="nil"/>
              <w:left w:val="nil"/>
              <w:bottom w:val="single" w:color="auto" w:sz="4" w:space="0"/>
              <w:right w:val="single" w:color="auto" w:sz="4" w:space="0"/>
            </w:tcBorders>
            <w:shd w:val="clear" w:color="000000" w:fill="FFFFFF"/>
            <w:vAlign w:val="top"/>
          </w:tcPr>
          <w:p w14:paraId="2D3ACAA9">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 xml:space="preserve">配合完成主管交办的各项工作任务；                                </w:t>
            </w:r>
          </w:p>
          <w:p w14:paraId="4196693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2.负责人员调配，做好服务满意度等工作。</w:t>
            </w:r>
          </w:p>
        </w:tc>
      </w:tr>
      <w:tr w14:paraId="2069C0FF">
        <w:tblPrEx>
          <w:tblCellMar>
            <w:top w:w="0" w:type="dxa"/>
            <w:left w:w="108" w:type="dxa"/>
            <w:bottom w:w="0" w:type="dxa"/>
            <w:right w:w="108" w:type="dxa"/>
          </w:tblCellMar>
        </w:tblPrEx>
        <w:trPr>
          <w:trHeight w:val="48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55BE8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722F3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6</w:t>
            </w:r>
          </w:p>
        </w:tc>
        <w:tc>
          <w:tcPr>
            <w:tcW w:w="721" w:type="pct"/>
            <w:tcBorders>
              <w:top w:val="nil"/>
              <w:left w:val="nil"/>
              <w:bottom w:val="single" w:color="auto" w:sz="4" w:space="0"/>
              <w:right w:val="single" w:color="auto" w:sz="4" w:space="0"/>
            </w:tcBorders>
            <w:shd w:val="clear" w:color="000000" w:fill="FFFFFF"/>
            <w:noWrap/>
            <w:vAlign w:val="top"/>
          </w:tcPr>
          <w:p w14:paraId="7F2E3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食安员(兼其他工种）</w:t>
            </w:r>
          </w:p>
        </w:tc>
        <w:tc>
          <w:tcPr>
            <w:tcW w:w="970" w:type="pct"/>
            <w:tcBorders>
              <w:top w:val="nil"/>
              <w:left w:val="nil"/>
              <w:bottom w:val="single" w:color="auto" w:sz="4" w:space="0"/>
              <w:right w:val="single" w:color="auto" w:sz="4" w:space="0"/>
            </w:tcBorders>
            <w:shd w:val="clear" w:color="000000" w:fill="FFFFFF"/>
            <w:noWrap/>
            <w:vAlign w:val="top"/>
          </w:tcPr>
          <w:p w14:paraId="16DED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04729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1、负责本院区食品安全工作监督管理，安全台帐完善及监督管理；</w:t>
            </w:r>
            <w:r>
              <w:rPr>
                <w:rFonts w:hint="eastAsia" w:asciiTheme="majorEastAsia" w:hAnsiTheme="majorEastAsia" w:eastAsiaTheme="majorEastAsia" w:cstheme="majorEastAsia"/>
                <w:color w:val="auto"/>
                <w:kern w:val="0"/>
                <w:sz w:val="21"/>
                <w:szCs w:val="21"/>
                <w:highlight w:val="none"/>
              </w:rPr>
              <w:br w:type="textWrapping"/>
            </w:r>
            <w:r>
              <w:rPr>
                <w:rFonts w:hint="eastAsia" w:asciiTheme="majorEastAsia" w:hAnsiTheme="majorEastAsia" w:eastAsiaTheme="majorEastAsia" w:cstheme="majorEastAsia"/>
                <w:color w:val="auto"/>
                <w:kern w:val="0"/>
                <w:sz w:val="21"/>
                <w:szCs w:val="21"/>
                <w:highlight w:val="none"/>
              </w:rPr>
              <w:t>2、营养室各操作版块流程的监督管理，及员工操作过程中的规范培训。</w:t>
            </w:r>
          </w:p>
        </w:tc>
      </w:tr>
      <w:tr w14:paraId="663EF89A">
        <w:tblPrEx>
          <w:tblCellMar>
            <w:top w:w="0" w:type="dxa"/>
            <w:left w:w="108" w:type="dxa"/>
            <w:bottom w:w="0" w:type="dxa"/>
            <w:right w:w="108" w:type="dxa"/>
          </w:tblCellMar>
        </w:tblPrEx>
        <w:trPr>
          <w:trHeight w:val="50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63236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36F4B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7</w:t>
            </w:r>
          </w:p>
        </w:tc>
        <w:tc>
          <w:tcPr>
            <w:tcW w:w="721" w:type="pct"/>
            <w:tcBorders>
              <w:top w:val="nil"/>
              <w:left w:val="nil"/>
              <w:bottom w:val="single" w:color="auto" w:sz="4" w:space="0"/>
              <w:right w:val="single" w:color="auto" w:sz="4" w:space="0"/>
            </w:tcBorders>
            <w:shd w:val="clear" w:color="000000" w:fill="FFFFFF"/>
            <w:noWrap/>
            <w:vAlign w:val="top"/>
          </w:tcPr>
          <w:p w14:paraId="1471D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仓管(院方直接管理）</w:t>
            </w:r>
          </w:p>
        </w:tc>
        <w:tc>
          <w:tcPr>
            <w:tcW w:w="970" w:type="pct"/>
            <w:tcBorders>
              <w:top w:val="nil"/>
              <w:left w:val="nil"/>
              <w:bottom w:val="single" w:color="auto" w:sz="4" w:space="0"/>
              <w:right w:val="single" w:color="auto" w:sz="4" w:space="0"/>
            </w:tcBorders>
            <w:shd w:val="clear" w:color="000000" w:fill="FFFFFF"/>
            <w:noWrap/>
            <w:vAlign w:val="top"/>
          </w:tcPr>
          <w:p w14:paraId="0019A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0E39E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负责营养室仓库管理，食材验收入库、出库登记、台帐记录，做到三帐统一。</w:t>
            </w:r>
          </w:p>
        </w:tc>
      </w:tr>
      <w:tr w14:paraId="69736959">
        <w:tblPrEx>
          <w:tblCellMar>
            <w:top w:w="0" w:type="dxa"/>
            <w:left w:w="108" w:type="dxa"/>
            <w:bottom w:w="0" w:type="dxa"/>
            <w:right w:w="108" w:type="dxa"/>
          </w:tblCellMar>
        </w:tblPrEx>
        <w:trPr>
          <w:trHeight w:val="272"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05B79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57917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8</w:t>
            </w:r>
          </w:p>
        </w:tc>
        <w:tc>
          <w:tcPr>
            <w:tcW w:w="721" w:type="pct"/>
            <w:tcBorders>
              <w:top w:val="nil"/>
              <w:left w:val="nil"/>
              <w:bottom w:val="single" w:color="auto" w:sz="4" w:space="0"/>
              <w:right w:val="single" w:color="auto" w:sz="4" w:space="0"/>
            </w:tcBorders>
            <w:shd w:val="clear" w:color="000000" w:fill="FFFFFF"/>
            <w:noWrap/>
            <w:vAlign w:val="top"/>
          </w:tcPr>
          <w:p w14:paraId="09A88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财务人员</w:t>
            </w:r>
          </w:p>
        </w:tc>
        <w:tc>
          <w:tcPr>
            <w:tcW w:w="970" w:type="pct"/>
            <w:tcBorders>
              <w:top w:val="nil"/>
              <w:left w:val="nil"/>
              <w:bottom w:val="single" w:color="auto" w:sz="4" w:space="0"/>
              <w:right w:val="single" w:color="auto" w:sz="4" w:space="0"/>
            </w:tcBorders>
            <w:shd w:val="clear" w:color="000000" w:fill="FFFFFF"/>
            <w:noWrap/>
            <w:vAlign w:val="top"/>
          </w:tcPr>
          <w:p w14:paraId="7CF3D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noWrap/>
            <w:vAlign w:val="top"/>
          </w:tcPr>
          <w:p w14:paraId="50768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负责医院营养室相关财务工作、就餐卡充值、资金结算工作等。</w:t>
            </w:r>
          </w:p>
        </w:tc>
      </w:tr>
      <w:tr w14:paraId="730B8ECB">
        <w:tblPrEx>
          <w:tblCellMar>
            <w:top w:w="0" w:type="dxa"/>
            <w:left w:w="108" w:type="dxa"/>
            <w:bottom w:w="0" w:type="dxa"/>
            <w:right w:w="108" w:type="dxa"/>
          </w:tblCellMar>
        </w:tblPrEx>
        <w:trPr>
          <w:trHeight w:val="255"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7BBD1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46AF1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9</w:t>
            </w:r>
          </w:p>
        </w:tc>
        <w:tc>
          <w:tcPr>
            <w:tcW w:w="721" w:type="pct"/>
            <w:tcBorders>
              <w:top w:val="nil"/>
              <w:left w:val="nil"/>
              <w:bottom w:val="single" w:color="auto" w:sz="4" w:space="0"/>
              <w:right w:val="single" w:color="auto" w:sz="4" w:space="0"/>
            </w:tcBorders>
            <w:shd w:val="clear" w:color="000000" w:fill="FFFFFF"/>
            <w:noWrap/>
            <w:vAlign w:val="top"/>
          </w:tcPr>
          <w:p w14:paraId="2A999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厨师</w:t>
            </w:r>
          </w:p>
        </w:tc>
        <w:tc>
          <w:tcPr>
            <w:tcW w:w="970" w:type="pct"/>
            <w:tcBorders>
              <w:top w:val="nil"/>
              <w:left w:val="nil"/>
              <w:bottom w:val="single" w:color="auto" w:sz="4" w:space="0"/>
              <w:right w:val="single" w:color="auto" w:sz="4" w:space="0"/>
            </w:tcBorders>
            <w:shd w:val="clear" w:color="000000" w:fill="FFFFFF"/>
            <w:noWrap/>
            <w:vAlign w:val="top"/>
          </w:tcPr>
          <w:p w14:paraId="4BB36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≥9</w:t>
            </w:r>
          </w:p>
        </w:tc>
        <w:tc>
          <w:tcPr>
            <w:tcW w:w="2794" w:type="pct"/>
            <w:tcBorders>
              <w:top w:val="nil"/>
              <w:left w:val="nil"/>
              <w:bottom w:val="single" w:color="auto" w:sz="4" w:space="0"/>
              <w:right w:val="single" w:color="auto" w:sz="4" w:space="0"/>
            </w:tcBorders>
            <w:shd w:val="clear" w:color="000000" w:fill="FFFFFF"/>
            <w:vAlign w:val="top"/>
          </w:tcPr>
          <w:p w14:paraId="050F2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负责餐品烹饪、本区域工作卫生清洁及执行厨部工作标准；</w:t>
            </w:r>
          </w:p>
        </w:tc>
      </w:tr>
      <w:tr w14:paraId="41BDB64B">
        <w:tblPrEx>
          <w:tblCellMar>
            <w:top w:w="0" w:type="dxa"/>
            <w:left w:w="108" w:type="dxa"/>
            <w:bottom w:w="0" w:type="dxa"/>
            <w:right w:w="108" w:type="dxa"/>
          </w:tblCellMar>
        </w:tblPrEx>
        <w:trPr>
          <w:trHeight w:val="48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3635E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12E8C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10</w:t>
            </w:r>
          </w:p>
        </w:tc>
        <w:tc>
          <w:tcPr>
            <w:tcW w:w="721" w:type="pct"/>
            <w:tcBorders>
              <w:top w:val="nil"/>
              <w:left w:val="nil"/>
              <w:bottom w:val="single" w:color="auto" w:sz="4" w:space="0"/>
              <w:right w:val="single" w:color="auto" w:sz="4" w:space="0"/>
            </w:tcBorders>
            <w:shd w:val="clear" w:color="000000" w:fill="FFFFFF"/>
            <w:noWrap/>
            <w:vAlign w:val="top"/>
          </w:tcPr>
          <w:p w14:paraId="06269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点心主管</w:t>
            </w:r>
          </w:p>
        </w:tc>
        <w:tc>
          <w:tcPr>
            <w:tcW w:w="970" w:type="pct"/>
            <w:tcBorders>
              <w:top w:val="nil"/>
              <w:left w:val="nil"/>
              <w:bottom w:val="single" w:color="auto" w:sz="4" w:space="0"/>
              <w:right w:val="single" w:color="auto" w:sz="4" w:space="0"/>
            </w:tcBorders>
            <w:shd w:val="clear" w:color="000000" w:fill="FFFFFF"/>
            <w:noWrap/>
            <w:vAlign w:val="top"/>
          </w:tcPr>
          <w:p w14:paraId="38C77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08916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1、负责点心部工作的统筹安排，负责点心师的培训；</w:t>
            </w:r>
            <w:r>
              <w:rPr>
                <w:rFonts w:hint="eastAsia" w:asciiTheme="majorEastAsia" w:hAnsiTheme="majorEastAsia" w:eastAsiaTheme="majorEastAsia" w:cstheme="majorEastAsia"/>
                <w:color w:val="auto"/>
                <w:kern w:val="0"/>
                <w:sz w:val="21"/>
                <w:szCs w:val="21"/>
                <w:highlight w:val="none"/>
              </w:rPr>
              <w:br w:type="textWrapping"/>
            </w:r>
            <w:r>
              <w:rPr>
                <w:rFonts w:hint="eastAsia" w:asciiTheme="majorEastAsia" w:hAnsiTheme="majorEastAsia" w:eastAsiaTheme="majorEastAsia" w:cstheme="majorEastAsia"/>
                <w:color w:val="auto"/>
                <w:kern w:val="0"/>
                <w:sz w:val="21"/>
                <w:szCs w:val="21"/>
                <w:highlight w:val="none"/>
              </w:rPr>
              <w:t>2、点心部菜单制作及成本管控，技术培训、执行点心部工作标准；</w:t>
            </w:r>
          </w:p>
        </w:tc>
      </w:tr>
      <w:tr w14:paraId="05DD9418">
        <w:tblPrEx>
          <w:tblCellMar>
            <w:top w:w="0" w:type="dxa"/>
            <w:left w:w="108" w:type="dxa"/>
            <w:bottom w:w="0" w:type="dxa"/>
            <w:right w:w="108" w:type="dxa"/>
          </w:tblCellMar>
        </w:tblPrEx>
        <w:trPr>
          <w:trHeight w:val="248"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4FECB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5F23C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11</w:t>
            </w:r>
          </w:p>
        </w:tc>
        <w:tc>
          <w:tcPr>
            <w:tcW w:w="721" w:type="pct"/>
            <w:tcBorders>
              <w:top w:val="nil"/>
              <w:left w:val="nil"/>
              <w:bottom w:val="single" w:color="auto" w:sz="4" w:space="0"/>
              <w:right w:val="single" w:color="auto" w:sz="4" w:space="0"/>
            </w:tcBorders>
            <w:shd w:val="clear" w:color="000000" w:fill="FFFFFF"/>
            <w:noWrap/>
            <w:vAlign w:val="top"/>
          </w:tcPr>
          <w:p w14:paraId="5AB45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点心师</w:t>
            </w:r>
          </w:p>
        </w:tc>
        <w:tc>
          <w:tcPr>
            <w:tcW w:w="970" w:type="pct"/>
            <w:tcBorders>
              <w:top w:val="nil"/>
              <w:left w:val="nil"/>
              <w:bottom w:val="single" w:color="auto" w:sz="4" w:space="0"/>
              <w:right w:val="single" w:color="auto" w:sz="4" w:space="0"/>
            </w:tcBorders>
            <w:shd w:val="clear" w:color="000000" w:fill="FFFFFF"/>
            <w:noWrap/>
            <w:vAlign w:val="top"/>
          </w:tcPr>
          <w:p w14:paraId="6BAAE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≥6</w:t>
            </w:r>
          </w:p>
        </w:tc>
        <w:tc>
          <w:tcPr>
            <w:tcW w:w="2794" w:type="pct"/>
            <w:tcBorders>
              <w:top w:val="nil"/>
              <w:left w:val="nil"/>
              <w:bottom w:val="single" w:color="auto" w:sz="4" w:space="0"/>
              <w:right w:val="single" w:color="auto" w:sz="4" w:space="0"/>
            </w:tcBorders>
            <w:shd w:val="clear" w:color="000000" w:fill="FFFFFF"/>
            <w:vAlign w:val="top"/>
          </w:tcPr>
          <w:p w14:paraId="28426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负责点心部产品的制作、本区域工作卫生清洁，执行点心部工作标准；</w:t>
            </w:r>
          </w:p>
        </w:tc>
      </w:tr>
      <w:tr w14:paraId="696EDD12">
        <w:tblPrEx>
          <w:tblCellMar>
            <w:top w:w="0" w:type="dxa"/>
            <w:left w:w="108" w:type="dxa"/>
            <w:bottom w:w="0" w:type="dxa"/>
            <w:right w:w="108" w:type="dxa"/>
          </w:tblCellMar>
        </w:tblPrEx>
        <w:trPr>
          <w:trHeight w:val="48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556E6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32F6A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w:t>
            </w:r>
            <w:r>
              <w:rPr>
                <w:rFonts w:hint="eastAsia" w:asciiTheme="majorEastAsia" w:hAnsiTheme="majorEastAsia" w:eastAsiaTheme="majorEastAsia" w:cstheme="majorEastAsia"/>
                <w:color w:val="auto"/>
                <w:kern w:val="0"/>
                <w:sz w:val="21"/>
                <w:szCs w:val="21"/>
                <w:highlight w:val="none"/>
              </w:rPr>
              <w:t>2</w:t>
            </w:r>
          </w:p>
        </w:tc>
        <w:tc>
          <w:tcPr>
            <w:tcW w:w="721" w:type="pct"/>
            <w:tcBorders>
              <w:top w:val="nil"/>
              <w:left w:val="nil"/>
              <w:bottom w:val="single" w:color="auto" w:sz="4" w:space="0"/>
              <w:right w:val="single" w:color="auto" w:sz="4" w:space="0"/>
            </w:tcBorders>
            <w:shd w:val="clear" w:color="000000" w:fill="FFFFFF"/>
            <w:noWrap/>
            <w:vAlign w:val="top"/>
          </w:tcPr>
          <w:p w14:paraId="1DE3F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厨工班长</w:t>
            </w:r>
          </w:p>
        </w:tc>
        <w:tc>
          <w:tcPr>
            <w:tcW w:w="970" w:type="pct"/>
            <w:tcBorders>
              <w:top w:val="nil"/>
              <w:left w:val="nil"/>
              <w:bottom w:val="single" w:color="auto" w:sz="4" w:space="0"/>
              <w:right w:val="single" w:color="auto" w:sz="4" w:space="0"/>
            </w:tcBorders>
            <w:shd w:val="clear" w:color="000000" w:fill="FFFFFF"/>
            <w:noWrap/>
            <w:vAlign w:val="top"/>
          </w:tcPr>
          <w:p w14:paraId="5C551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w:t>
            </w:r>
          </w:p>
        </w:tc>
        <w:tc>
          <w:tcPr>
            <w:tcW w:w="2794" w:type="pct"/>
            <w:tcBorders>
              <w:top w:val="nil"/>
              <w:left w:val="nil"/>
              <w:bottom w:val="single" w:color="auto" w:sz="4" w:space="0"/>
              <w:right w:val="single" w:color="auto" w:sz="4" w:space="0"/>
            </w:tcBorders>
            <w:shd w:val="clear" w:color="000000" w:fill="FFFFFF"/>
            <w:vAlign w:val="top"/>
          </w:tcPr>
          <w:p w14:paraId="64793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1、负责统筹厨工组工作安排、人员调配、厨工培训；                                     2、完成对食材的清洗、切配，执行切配工作标准。</w:t>
            </w:r>
          </w:p>
        </w:tc>
      </w:tr>
      <w:tr w14:paraId="5305A986">
        <w:tblPrEx>
          <w:tblCellMar>
            <w:top w:w="0" w:type="dxa"/>
            <w:left w:w="108" w:type="dxa"/>
            <w:bottom w:w="0" w:type="dxa"/>
            <w:right w:w="108" w:type="dxa"/>
          </w:tblCellMar>
        </w:tblPrEx>
        <w:trPr>
          <w:trHeight w:val="48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5A45D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027C3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13</w:t>
            </w:r>
          </w:p>
        </w:tc>
        <w:tc>
          <w:tcPr>
            <w:tcW w:w="721" w:type="pct"/>
            <w:tcBorders>
              <w:top w:val="nil"/>
              <w:left w:val="nil"/>
              <w:bottom w:val="single" w:color="auto" w:sz="4" w:space="0"/>
              <w:right w:val="single" w:color="auto" w:sz="4" w:space="0"/>
            </w:tcBorders>
            <w:shd w:val="clear" w:color="000000" w:fill="FFFFFF"/>
            <w:noWrap/>
            <w:vAlign w:val="top"/>
          </w:tcPr>
          <w:p w14:paraId="67989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厨工</w:t>
            </w:r>
          </w:p>
        </w:tc>
        <w:tc>
          <w:tcPr>
            <w:tcW w:w="970" w:type="pct"/>
            <w:tcBorders>
              <w:top w:val="nil"/>
              <w:left w:val="nil"/>
              <w:bottom w:val="single" w:color="auto" w:sz="4" w:space="0"/>
              <w:right w:val="single" w:color="auto" w:sz="4" w:space="0"/>
            </w:tcBorders>
            <w:shd w:val="clear" w:color="000000" w:fill="FFFFFF"/>
            <w:vAlign w:val="top"/>
          </w:tcPr>
          <w:p w14:paraId="27825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1</w:t>
            </w: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027A0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1、负责对食材的清洗、切配，执行切配工作标准；                                        2、完成窗口售餐、配送餐、清洁、洗消的工作。</w:t>
            </w:r>
          </w:p>
        </w:tc>
      </w:tr>
      <w:tr w14:paraId="2E6BB274">
        <w:tblPrEx>
          <w:tblCellMar>
            <w:top w:w="0" w:type="dxa"/>
            <w:left w:w="108" w:type="dxa"/>
            <w:bottom w:w="0" w:type="dxa"/>
            <w:right w:w="108" w:type="dxa"/>
          </w:tblCellMar>
        </w:tblPrEx>
        <w:trPr>
          <w:trHeight w:val="487"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663DC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4CC27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14</w:t>
            </w:r>
          </w:p>
        </w:tc>
        <w:tc>
          <w:tcPr>
            <w:tcW w:w="721" w:type="pct"/>
            <w:tcBorders>
              <w:top w:val="nil"/>
              <w:left w:val="nil"/>
              <w:bottom w:val="single" w:color="auto" w:sz="4" w:space="0"/>
              <w:right w:val="single" w:color="auto" w:sz="4" w:space="0"/>
            </w:tcBorders>
            <w:shd w:val="clear" w:color="000000" w:fill="FFFFFF"/>
            <w:noWrap/>
            <w:vAlign w:val="top"/>
          </w:tcPr>
          <w:p w14:paraId="7C7A4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配餐班长</w:t>
            </w:r>
          </w:p>
        </w:tc>
        <w:tc>
          <w:tcPr>
            <w:tcW w:w="970" w:type="pct"/>
            <w:tcBorders>
              <w:top w:val="nil"/>
              <w:left w:val="nil"/>
              <w:bottom w:val="single" w:color="auto" w:sz="4" w:space="0"/>
              <w:right w:val="single" w:color="auto" w:sz="4" w:space="0"/>
            </w:tcBorders>
            <w:shd w:val="clear" w:color="000000" w:fill="FFFFFF"/>
            <w:noWrap/>
            <w:vAlign w:val="top"/>
          </w:tcPr>
          <w:p w14:paraId="64273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≥2</w:t>
            </w:r>
          </w:p>
        </w:tc>
        <w:tc>
          <w:tcPr>
            <w:tcW w:w="2794" w:type="pct"/>
            <w:tcBorders>
              <w:top w:val="nil"/>
              <w:left w:val="nil"/>
              <w:bottom w:val="single" w:color="auto" w:sz="4" w:space="0"/>
              <w:right w:val="single" w:color="auto" w:sz="4" w:space="0"/>
            </w:tcBorders>
            <w:shd w:val="clear" w:color="000000" w:fill="FFFFFF"/>
            <w:vAlign w:val="top"/>
          </w:tcPr>
          <w:p w14:paraId="4A3BA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1、负责职工送餐组工作安排、排班、送餐员技能培训；                                        2、完成送配餐问题协调、处理及反馈。</w:t>
            </w:r>
          </w:p>
        </w:tc>
      </w:tr>
      <w:tr w14:paraId="1C70430D">
        <w:tblPrEx>
          <w:tblCellMar>
            <w:top w:w="0" w:type="dxa"/>
            <w:left w:w="108" w:type="dxa"/>
            <w:bottom w:w="0" w:type="dxa"/>
            <w:right w:w="108" w:type="dxa"/>
          </w:tblCellMar>
        </w:tblPrEx>
        <w:trPr>
          <w:trHeight w:val="283"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19AB8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1B5B3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15</w:t>
            </w:r>
          </w:p>
        </w:tc>
        <w:tc>
          <w:tcPr>
            <w:tcW w:w="721" w:type="pct"/>
            <w:tcBorders>
              <w:top w:val="nil"/>
              <w:left w:val="nil"/>
              <w:bottom w:val="single" w:color="auto" w:sz="4" w:space="0"/>
              <w:right w:val="single" w:color="auto" w:sz="4" w:space="0"/>
            </w:tcBorders>
            <w:shd w:val="clear" w:color="000000" w:fill="FFFFFF"/>
            <w:noWrap/>
            <w:vAlign w:val="top"/>
          </w:tcPr>
          <w:p w14:paraId="5229CF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配餐员</w:t>
            </w:r>
          </w:p>
        </w:tc>
        <w:tc>
          <w:tcPr>
            <w:tcW w:w="970" w:type="pct"/>
            <w:tcBorders>
              <w:top w:val="nil"/>
              <w:left w:val="nil"/>
              <w:bottom w:val="single" w:color="auto" w:sz="4" w:space="0"/>
              <w:right w:val="single" w:color="auto" w:sz="4" w:space="0"/>
            </w:tcBorders>
            <w:shd w:val="clear" w:color="000000" w:fill="FFFFFF"/>
            <w:noWrap/>
            <w:vAlign w:val="top"/>
          </w:tcPr>
          <w:p w14:paraId="72951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≥6</w:t>
            </w:r>
          </w:p>
        </w:tc>
        <w:tc>
          <w:tcPr>
            <w:tcW w:w="2794" w:type="pct"/>
            <w:tcBorders>
              <w:top w:val="nil"/>
              <w:left w:val="nil"/>
              <w:bottom w:val="single" w:color="auto" w:sz="4" w:space="0"/>
              <w:right w:val="single" w:color="auto" w:sz="4" w:space="0"/>
            </w:tcBorders>
            <w:shd w:val="clear" w:color="000000" w:fill="FFFFFF"/>
            <w:noWrap/>
            <w:vAlign w:val="top"/>
          </w:tcPr>
          <w:p w14:paraId="404D5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负责病人餐和职工餐配送工作，收集订餐信息，协调订餐问题。</w:t>
            </w:r>
          </w:p>
        </w:tc>
      </w:tr>
      <w:tr w14:paraId="57D2BB1D">
        <w:tblPrEx>
          <w:tblCellMar>
            <w:top w:w="0" w:type="dxa"/>
            <w:left w:w="108" w:type="dxa"/>
            <w:bottom w:w="0" w:type="dxa"/>
            <w:right w:w="108" w:type="dxa"/>
          </w:tblCellMar>
        </w:tblPrEx>
        <w:trPr>
          <w:trHeight w:val="506"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152EE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1B5F7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16</w:t>
            </w:r>
          </w:p>
        </w:tc>
        <w:tc>
          <w:tcPr>
            <w:tcW w:w="721" w:type="pct"/>
            <w:tcBorders>
              <w:top w:val="nil"/>
              <w:left w:val="nil"/>
              <w:bottom w:val="single" w:color="auto" w:sz="4" w:space="0"/>
              <w:right w:val="single" w:color="auto" w:sz="4" w:space="0"/>
            </w:tcBorders>
            <w:shd w:val="clear" w:color="000000" w:fill="FFFFFF"/>
            <w:noWrap/>
            <w:vAlign w:val="top"/>
          </w:tcPr>
          <w:p w14:paraId="1DA57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小餐厅接待餐厨师</w:t>
            </w:r>
          </w:p>
        </w:tc>
        <w:tc>
          <w:tcPr>
            <w:tcW w:w="970" w:type="pct"/>
            <w:tcBorders>
              <w:top w:val="nil"/>
              <w:left w:val="nil"/>
              <w:bottom w:val="single" w:color="auto" w:sz="4" w:space="0"/>
              <w:right w:val="single" w:color="auto" w:sz="4" w:space="0"/>
            </w:tcBorders>
            <w:shd w:val="clear" w:color="000000" w:fill="FFFFFF"/>
            <w:noWrap/>
            <w:vAlign w:val="top"/>
          </w:tcPr>
          <w:p w14:paraId="0BB7E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≥3</w:t>
            </w:r>
          </w:p>
        </w:tc>
        <w:tc>
          <w:tcPr>
            <w:tcW w:w="2794" w:type="pct"/>
            <w:tcBorders>
              <w:top w:val="nil"/>
              <w:left w:val="nil"/>
              <w:bottom w:val="single" w:color="auto" w:sz="4" w:space="0"/>
              <w:right w:val="single" w:color="auto" w:sz="4" w:space="0"/>
            </w:tcBorders>
            <w:shd w:val="clear" w:color="000000" w:fill="FFFFFF"/>
            <w:vAlign w:val="top"/>
          </w:tcPr>
          <w:p w14:paraId="22E81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1、接待餐及工作餐的制作，执行本岗位工作标准；</w:t>
            </w:r>
            <w:r>
              <w:rPr>
                <w:rFonts w:hint="eastAsia" w:asciiTheme="majorEastAsia" w:hAnsiTheme="majorEastAsia" w:eastAsiaTheme="majorEastAsia" w:cstheme="majorEastAsia"/>
                <w:color w:val="auto"/>
                <w:kern w:val="0"/>
                <w:sz w:val="21"/>
                <w:szCs w:val="21"/>
                <w:highlight w:val="none"/>
              </w:rPr>
              <w:br w:type="textWrapping"/>
            </w:r>
            <w:r>
              <w:rPr>
                <w:rFonts w:hint="eastAsia" w:asciiTheme="majorEastAsia" w:hAnsiTheme="majorEastAsia" w:eastAsiaTheme="majorEastAsia" w:cstheme="majorEastAsia"/>
                <w:color w:val="auto"/>
                <w:kern w:val="0"/>
                <w:sz w:val="21"/>
                <w:szCs w:val="21"/>
                <w:highlight w:val="none"/>
              </w:rPr>
              <w:t>2、无接待餐任务时，负责中厨餐品的制作及中厨的其它工作。</w:t>
            </w:r>
          </w:p>
        </w:tc>
      </w:tr>
      <w:tr w14:paraId="74EDCD58">
        <w:tblPrEx>
          <w:tblCellMar>
            <w:top w:w="0" w:type="dxa"/>
            <w:left w:w="108" w:type="dxa"/>
            <w:bottom w:w="0" w:type="dxa"/>
            <w:right w:w="108" w:type="dxa"/>
          </w:tblCellMar>
        </w:tblPrEx>
        <w:trPr>
          <w:trHeight w:val="248"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5766F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25DC9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17</w:t>
            </w:r>
          </w:p>
        </w:tc>
        <w:tc>
          <w:tcPr>
            <w:tcW w:w="721" w:type="pct"/>
            <w:tcBorders>
              <w:top w:val="nil"/>
              <w:left w:val="nil"/>
              <w:bottom w:val="single" w:color="auto" w:sz="4" w:space="0"/>
              <w:right w:val="single" w:color="auto" w:sz="4" w:space="0"/>
            </w:tcBorders>
            <w:shd w:val="clear" w:color="000000" w:fill="FFFFFF"/>
            <w:noWrap/>
            <w:vAlign w:val="top"/>
          </w:tcPr>
          <w:p w14:paraId="4AA9F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制单员</w:t>
            </w:r>
          </w:p>
        </w:tc>
        <w:tc>
          <w:tcPr>
            <w:tcW w:w="970" w:type="pct"/>
            <w:tcBorders>
              <w:top w:val="nil"/>
              <w:left w:val="nil"/>
              <w:bottom w:val="single" w:color="auto" w:sz="4" w:space="0"/>
              <w:right w:val="single" w:color="auto" w:sz="4" w:space="0"/>
            </w:tcBorders>
            <w:shd w:val="clear" w:color="000000" w:fill="FFFFFF"/>
            <w:noWrap/>
            <w:vAlign w:val="top"/>
          </w:tcPr>
          <w:p w14:paraId="3DF27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p>
        </w:tc>
        <w:tc>
          <w:tcPr>
            <w:tcW w:w="2794" w:type="pct"/>
            <w:tcBorders>
              <w:top w:val="nil"/>
              <w:left w:val="nil"/>
              <w:bottom w:val="single" w:color="auto" w:sz="4" w:space="0"/>
              <w:right w:val="single" w:color="auto" w:sz="4" w:space="0"/>
            </w:tcBorders>
            <w:shd w:val="clear" w:color="000000" w:fill="FFFFFF"/>
            <w:vAlign w:val="top"/>
          </w:tcPr>
          <w:p w14:paraId="600CD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负责本院区营养室的订餐收集、打单、制单工作。</w:t>
            </w:r>
          </w:p>
        </w:tc>
      </w:tr>
      <w:tr w14:paraId="600A3F1A">
        <w:tblPrEx>
          <w:tblCellMar>
            <w:top w:w="0" w:type="dxa"/>
            <w:left w:w="108" w:type="dxa"/>
            <w:bottom w:w="0" w:type="dxa"/>
            <w:right w:w="108" w:type="dxa"/>
          </w:tblCellMar>
        </w:tblPrEx>
        <w:trPr>
          <w:trHeight w:val="965"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6C21B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49829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rPr>
              <w:t>18</w:t>
            </w:r>
          </w:p>
        </w:tc>
        <w:tc>
          <w:tcPr>
            <w:tcW w:w="721" w:type="pct"/>
            <w:tcBorders>
              <w:top w:val="nil"/>
              <w:left w:val="nil"/>
              <w:bottom w:val="single" w:color="auto" w:sz="4" w:space="0"/>
              <w:right w:val="single" w:color="auto" w:sz="4" w:space="0"/>
            </w:tcBorders>
            <w:shd w:val="clear" w:color="000000" w:fill="FFFFFF"/>
            <w:noWrap/>
            <w:vAlign w:val="top"/>
          </w:tcPr>
          <w:p w14:paraId="34555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文员</w:t>
            </w:r>
          </w:p>
        </w:tc>
        <w:tc>
          <w:tcPr>
            <w:tcW w:w="970" w:type="pct"/>
            <w:tcBorders>
              <w:top w:val="nil"/>
              <w:left w:val="nil"/>
              <w:bottom w:val="single" w:color="auto" w:sz="4" w:space="0"/>
              <w:right w:val="single" w:color="auto" w:sz="4" w:space="0"/>
            </w:tcBorders>
            <w:shd w:val="clear" w:color="000000" w:fill="FFFFFF"/>
            <w:noWrap/>
            <w:vAlign w:val="top"/>
          </w:tcPr>
          <w:p w14:paraId="6F19C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w:t>
            </w:r>
          </w:p>
        </w:tc>
        <w:tc>
          <w:tcPr>
            <w:tcW w:w="2794" w:type="pct"/>
            <w:tcBorders>
              <w:top w:val="nil"/>
              <w:left w:val="nil"/>
              <w:bottom w:val="single" w:color="auto" w:sz="4" w:space="0"/>
              <w:right w:val="single" w:color="auto" w:sz="4" w:space="0"/>
            </w:tcBorders>
            <w:shd w:val="clear" w:color="000000" w:fill="FFFFFF"/>
            <w:noWrap/>
            <w:vAlign w:val="top"/>
          </w:tcPr>
          <w:p w14:paraId="5FBF9EF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w:t>
            </w:r>
            <w:r>
              <w:rPr>
                <w:rFonts w:hint="eastAsia" w:asciiTheme="majorEastAsia" w:hAnsiTheme="majorEastAsia" w:eastAsiaTheme="majorEastAsia" w:cstheme="majorEastAsia"/>
                <w:color w:val="auto"/>
                <w:kern w:val="0"/>
                <w:sz w:val="21"/>
                <w:szCs w:val="21"/>
                <w:highlight w:val="none"/>
                <w:lang w:eastAsia="zh-CN"/>
              </w:rPr>
              <w:t>、</w:t>
            </w:r>
            <w:r>
              <w:rPr>
                <w:rFonts w:hint="eastAsia" w:asciiTheme="majorEastAsia" w:hAnsiTheme="majorEastAsia" w:eastAsiaTheme="majorEastAsia" w:cstheme="majorEastAsia"/>
                <w:color w:val="auto"/>
                <w:kern w:val="0"/>
                <w:sz w:val="21"/>
                <w:szCs w:val="21"/>
                <w:highlight w:val="none"/>
              </w:rPr>
              <w:t>日常行政事务</w:t>
            </w:r>
          </w:p>
          <w:p w14:paraId="4F4C7550">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Lines="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2、数据统计与报表</w:t>
            </w:r>
          </w:p>
          <w:p w14:paraId="4EF73BE8">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Lines="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3、医院投诉服务处理</w:t>
            </w:r>
          </w:p>
          <w:p w14:paraId="0F858296">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Lines="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4、三甲相关工作配合</w:t>
            </w:r>
          </w:p>
        </w:tc>
      </w:tr>
      <w:tr w14:paraId="32049F71">
        <w:tblPrEx>
          <w:tblCellMar>
            <w:top w:w="0" w:type="dxa"/>
            <w:left w:w="108" w:type="dxa"/>
            <w:bottom w:w="0" w:type="dxa"/>
            <w:right w:w="108" w:type="dxa"/>
          </w:tblCellMar>
        </w:tblPrEx>
        <w:trPr>
          <w:trHeight w:val="249"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5400E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4B3E5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19</w:t>
            </w:r>
          </w:p>
        </w:tc>
        <w:tc>
          <w:tcPr>
            <w:tcW w:w="721" w:type="pct"/>
            <w:tcBorders>
              <w:top w:val="nil"/>
              <w:left w:val="nil"/>
              <w:bottom w:val="single" w:color="auto" w:sz="4" w:space="0"/>
              <w:right w:val="single" w:color="auto" w:sz="4" w:space="0"/>
            </w:tcBorders>
            <w:shd w:val="clear" w:color="000000" w:fill="FFFFFF"/>
            <w:noWrap/>
            <w:vAlign w:val="top"/>
          </w:tcPr>
          <w:p w14:paraId="7BFA0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营养膳食厨师</w:t>
            </w:r>
          </w:p>
        </w:tc>
        <w:tc>
          <w:tcPr>
            <w:tcW w:w="970" w:type="pct"/>
            <w:tcBorders>
              <w:top w:val="nil"/>
              <w:left w:val="nil"/>
              <w:bottom w:val="single" w:color="auto" w:sz="4" w:space="0"/>
              <w:right w:val="single" w:color="auto" w:sz="4" w:space="0"/>
            </w:tcBorders>
            <w:shd w:val="clear" w:color="000000" w:fill="FFFFFF"/>
            <w:noWrap/>
            <w:vAlign w:val="top"/>
          </w:tcPr>
          <w:p w14:paraId="5D78C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eastAsia="zh-CN"/>
              </w:rPr>
            </w:pPr>
            <w:r>
              <w:rPr>
                <w:rFonts w:hint="eastAsia" w:asciiTheme="majorEastAsia" w:hAnsiTheme="majorEastAsia" w:eastAsiaTheme="majorEastAsia" w:cstheme="majorEastAsia"/>
                <w:color w:val="auto"/>
                <w:kern w:val="0"/>
                <w:sz w:val="21"/>
                <w:szCs w:val="21"/>
                <w:highlight w:val="none"/>
                <w:lang w:val="en-US" w:eastAsia="zh-CN"/>
              </w:rPr>
              <w:t>4</w:t>
            </w:r>
          </w:p>
        </w:tc>
        <w:tc>
          <w:tcPr>
            <w:tcW w:w="2794" w:type="pct"/>
            <w:tcBorders>
              <w:top w:val="nil"/>
              <w:left w:val="nil"/>
              <w:bottom w:val="single" w:color="auto" w:sz="4" w:space="0"/>
              <w:right w:val="single" w:color="auto" w:sz="4" w:space="0"/>
            </w:tcBorders>
            <w:shd w:val="clear" w:color="000000" w:fill="FFFFFF"/>
            <w:noWrap/>
            <w:vAlign w:val="top"/>
          </w:tcPr>
          <w:p w14:paraId="3FD64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负责营养治疗膳食的制作</w:t>
            </w:r>
          </w:p>
        </w:tc>
      </w:tr>
      <w:tr w14:paraId="7B34667E">
        <w:tblPrEx>
          <w:tblCellMar>
            <w:top w:w="0" w:type="dxa"/>
            <w:left w:w="108" w:type="dxa"/>
            <w:bottom w:w="0" w:type="dxa"/>
            <w:right w:w="108" w:type="dxa"/>
          </w:tblCellMar>
        </w:tblPrEx>
        <w:trPr>
          <w:trHeight w:val="248"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567B4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194" w:type="pct"/>
            <w:tcBorders>
              <w:top w:val="nil"/>
              <w:left w:val="nil"/>
              <w:bottom w:val="single" w:color="auto" w:sz="4" w:space="0"/>
              <w:right w:val="single" w:color="auto" w:sz="4" w:space="0"/>
            </w:tcBorders>
            <w:shd w:val="clear" w:color="000000" w:fill="FFFFFF"/>
            <w:vAlign w:val="top"/>
          </w:tcPr>
          <w:p w14:paraId="317EA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20</w:t>
            </w:r>
          </w:p>
        </w:tc>
        <w:tc>
          <w:tcPr>
            <w:tcW w:w="721" w:type="pct"/>
            <w:tcBorders>
              <w:top w:val="nil"/>
              <w:left w:val="nil"/>
              <w:bottom w:val="single" w:color="auto" w:sz="4" w:space="0"/>
              <w:right w:val="single" w:color="auto" w:sz="4" w:space="0"/>
            </w:tcBorders>
            <w:shd w:val="clear" w:color="000000" w:fill="FFFFFF"/>
            <w:noWrap/>
            <w:vAlign w:val="top"/>
          </w:tcPr>
          <w:p w14:paraId="6CC90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机动帮厨</w:t>
            </w:r>
          </w:p>
        </w:tc>
        <w:tc>
          <w:tcPr>
            <w:tcW w:w="970" w:type="pct"/>
            <w:tcBorders>
              <w:top w:val="nil"/>
              <w:left w:val="nil"/>
              <w:bottom w:val="single" w:color="auto" w:sz="4" w:space="0"/>
              <w:right w:val="single" w:color="auto" w:sz="4" w:space="0"/>
            </w:tcBorders>
            <w:shd w:val="clear" w:color="000000" w:fill="FFFFFF"/>
            <w:noWrap/>
            <w:vAlign w:val="top"/>
          </w:tcPr>
          <w:p w14:paraId="437C9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3</w:t>
            </w:r>
          </w:p>
        </w:tc>
        <w:tc>
          <w:tcPr>
            <w:tcW w:w="2794" w:type="pct"/>
            <w:tcBorders>
              <w:top w:val="nil"/>
              <w:left w:val="nil"/>
              <w:bottom w:val="single" w:color="auto" w:sz="4" w:space="0"/>
              <w:right w:val="single" w:color="auto" w:sz="4" w:space="0"/>
            </w:tcBorders>
            <w:shd w:val="clear" w:color="000000" w:fill="FFFFFF"/>
            <w:noWrap/>
            <w:vAlign w:val="top"/>
          </w:tcPr>
          <w:p w14:paraId="45349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p>
        </w:tc>
      </w:tr>
      <w:tr w14:paraId="24AD767E">
        <w:tblPrEx>
          <w:tblCellMar>
            <w:top w:w="0" w:type="dxa"/>
            <w:left w:w="108" w:type="dxa"/>
            <w:bottom w:w="0" w:type="dxa"/>
            <w:right w:w="108" w:type="dxa"/>
          </w:tblCellMar>
        </w:tblPrEx>
        <w:trPr>
          <w:trHeight w:val="256" w:hRule="atLeast"/>
          <w:jc w:val="center"/>
        </w:trPr>
        <w:tc>
          <w:tcPr>
            <w:tcW w:w="319" w:type="pct"/>
            <w:vMerge w:val="continue"/>
            <w:tcBorders>
              <w:top w:val="nil"/>
              <w:left w:val="single" w:color="auto" w:sz="4" w:space="0"/>
              <w:bottom w:val="single" w:color="auto" w:sz="4" w:space="0"/>
              <w:right w:val="single" w:color="auto" w:sz="4" w:space="0"/>
            </w:tcBorders>
            <w:vAlign w:val="top"/>
          </w:tcPr>
          <w:p w14:paraId="776A0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p>
        </w:tc>
        <w:tc>
          <w:tcPr>
            <w:tcW w:w="915" w:type="pct"/>
            <w:gridSpan w:val="2"/>
            <w:tcBorders>
              <w:top w:val="single" w:color="auto" w:sz="4" w:space="0"/>
              <w:left w:val="nil"/>
              <w:bottom w:val="single" w:color="auto" w:sz="4" w:space="0"/>
              <w:right w:val="single" w:color="000000" w:sz="4" w:space="0"/>
            </w:tcBorders>
            <w:shd w:val="clear" w:color="000000" w:fill="FFFFFF"/>
            <w:noWrap/>
            <w:vAlign w:val="top"/>
          </w:tcPr>
          <w:p w14:paraId="6F8A4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小计（人）</w:t>
            </w:r>
          </w:p>
        </w:tc>
        <w:tc>
          <w:tcPr>
            <w:tcW w:w="970" w:type="pct"/>
            <w:tcBorders>
              <w:top w:val="nil"/>
              <w:left w:val="nil"/>
              <w:bottom w:val="single" w:color="auto" w:sz="4" w:space="0"/>
              <w:right w:val="single" w:color="auto" w:sz="4" w:space="0"/>
            </w:tcBorders>
            <w:shd w:val="clear" w:color="000000" w:fill="FFFFFF"/>
            <w:noWrap/>
            <w:vAlign w:val="top"/>
          </w:tcPr>
          <w:p w14:paraId="2604D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rPr>
              <w:t>≥</w:t>
            </w:r>
            <w:r>
              <w:rPr>
                <w:rFonts w:hint="eastAsia" w:asciiTheme="majorEastAsia" w:hAnsiTheme="majorEastAsia" w:eastAsiaTheme="majorEastAsia" w:cstheme="majorEastAsia"/>
                <w:color w:val="auto"/>
                <w:kern w:val="0"/>
                <w:sz w:val="21"/>
                <w:szCs w:val="21"/>
                <w:highlight w:val="none"/>
                <w:lang w:val="en-US" w:eastAsia="zh-CN"/>
              </w:rPr>
              <w:t>60</w:t>
            </w:r>
          </w:p>
        </w:tc>
        <w:tc>
          <w:tcPr>
            <w:tcW w:w="2794" w:type="pct"/>
            <w:tcBorders>
              <w:top w:val="nil"/>
              <w:left w:val="nil"/>
              <w:bottom w:val="single" w:color="auto" w:sz="4" w:space="0"/>
              <w:right w:val="single" w:color="auto" w:sz="4" w:space="0"/>
            </w:tcBorders>
            <w:shd w:val="clear" w:color="000000" w:fill="FFFFFF"/>
            <w:noWrap/>
            <w:vAlign w:val="top"/>
          </w:tcPr>
          <w:p w14:paraId="46B46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b/>
                <w:bCs/>
                <w:color w:val="auto"/>
                <w:kern w:val="0"/>
                <w:sz w:val="21"/>
                <w:szCs w:val="21"/>
                <w:highlight w:val="none"/>
              </w:rPr>
            </w:pPr>
          </w:p>
        </w:tc>
      </w:tr>
    </w:tbl>
    <w:p w14:paraId="3BB7E76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b w:val="0"/>
          <w:bCs w:val="0"/>
          <w:color w:val="auto"/>
          <w:sz w:val="21"/>
          <w:szCs w:val="21"/>
          <w:highlight w:val="none"/>
          <w:lang w:val="en-US" w:eastAsia="zh-CN"/>
        </w:rPr>
        <w:t>乙方须在合同签订时向甲方提交</w:t>
      </w:r>
      <w:r>
        <w:rPr>
          <w:rFonts w:hint="eastAsia" w:asciiTheme="majorEastAsia" w:hAnsiTheme="majorEastAsia" w:eastAsiaTheme="majorEastAsia" w:cstheme="majorEastAsia"/>
          <w:b w:val="0"/>
          <w:bCs w:val="0"/>
          <w:color w:val="auto"/>
          <w:sz w:val="21"/>
          <w:szCs w:val="21"/>
          <w:highlight w:val="none"/>
        </w:rPr>
        <w:t>驻场服务人员（项目经理、</w:t>
      </w:r>
      <w:r>
        <w:rPr>
          <w:rFonts w:hint="eastAsia" w:asciiTheme="majorEastAsia" w:hAnsiTheme="majorEastAsia" w:eastAsiaTheme="majorEastAsia" w:cstheme="majorEastAsia"/>
          <w:b w:val="0"/>
          <w:bCs w:val="0"/>
          <w:color w:val="auto"/>
          <w:sz w:val="21"/>
          <w:szCs w:val="21"/>
          <w:highlight w:val="none"/>
          <w:lang w:val="en-US" w:eastAsia="zh-CN"/>
        </w:rPr>
        <w:t>厨师长</w:t>
      </w:r>
      <w:r>
        <w:rPr>
          <w:rFonts w:hint="eastAsia" w:asciiTheme="majorEastAsia" w:hAnsiTheme="majorEastAsia" w:eastAsiaTheme="majorEastAsia" w:cstheme="majorEastAsia"/>
          <w:b w:val="0"/>
          <w:bCs w:val="0"/>
          <w:color w:val="auto"/>
          <w:sz w:val="21"/>
          <w:szCs w:val="21"/>
          <w:highlight w:val="none"/>
        </w:rPr>
        <w:t>、面点厨师</w:t>
      </w:r>
      <w:r>
        <w:rPr>
          <w:rFonts w:hint="eastAsia" w:asciiTheme="majorEastAsia" w:hAnsiTheme="majorEastAsia" w:eastAsiaTheme="majorEastAsia" w:cstheme="majorEastAsia"/>
          <w:b w:val="0"/>
          <w:bCs w:val="0"/>
          <w:color w:val="auto"/>
          <w:sz w:val="21"/>
          <w:szCs w:val="21"/>
          <w:highlight w:val="none"/>
          <w:lang w:val="en-US" w:eastAsia="zh-CN"/>
        </w:rPr>
        <w:t>除外</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的资料备案，资料包括但不限于无犯罪证明、</w:t>
      </w:r>
      <w:r>
        <w:rPr>
          <w:rFonts w:hint="eastAsia" w:asciiTheme="majorEastAsia" w:hAnsiTheme="majorEastAsia" w:eastAsiaTheme="majorEastAsia" w:cstheme="majorEastAsia"/>
          <w:b w:val="0"/>
          <w:bCs w:val="0"/>
          <w:color w:val="auto"/>
          <w:sz w:val="21"/>
          <w:szCs w:val="21"/>
          <w:highlight w:val="none"/>
        </w:rPr>
        <w:t>有效的餐饮人员健康证</w:t>
      </w:r>
      <w:r>
        <w:rPr>
          <w:rFonts w:hint="eastAsia" w:asciiTheme="majorEastAsia" w:hAnsiTheme="majorEastAsia" w:eastAsiaTheme="majorEastAsia" w:cstheme="majorEastAsia"/>
          <w:b w:val="0"/>
          <w:bCs w:val="0"/>
          <w:color w:val="auto"/>
          <w:sz w:val="21"/>
          <w:szCs w:val="21"/>
          <w:highlight w:val="none"/>
          <w:lang w:val="en-US" w:eastAsia="zh-CN"/>
        </w:rPr>
        <w:t>、</w:t>
      </w:r>
      <w:r>
        <w:rPr>
          <w:rFonts w:hint="eastAsia" w:asciiTheme="majorEastAsia" w:hAnsiTheme="majorEastAsia" w:eastAsiaTheme="majorEastAsia" w:cstheme="majorEastAsia"/>
          <w:b w:val="0"/>
          <w:bCs w:val="0"/>
          <w:color w:val="auto"/>
          <w:sz w:val="21"/>
          <w:szCs w:val="21"/>
          <w:highlight w:val="none"/>
        </w:rPr>
        <w:t>有效的</w:t>
      </w:r>
      <w:r>
        <w:rPr>
          <w:rFonts w:hint="eastAsia" w:asciiTheme="majorEastAsia" w:hAnsiTheme="majorEastAsia" w:eastAsiaTheme="majorEastAsia" w:cstheme="majorEastAsia"/>
          <w:b w:val="0"/>
          <w:bCs w:val="0"/>
          <w:color w:val="auto"/>
          <w:sz w:val="21"/>
          <w:szCs w:val="21"/>
          <w:highlight w:val="none"/>
          <w:lang w:val="en-US" w:eastAsia="zh-CN"/>
        </w:rPr>
        <w:t>身份证复印件、厨师证复印件等详见附件1。</w:t>
      </w:r>
    </w:p>
    <w:p w14:paraId="56CD97D1">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5、乙方</w:t>
      </w:r>
      <w:r>
        <w:rPr>
          <w:rFonts w:hint="eastAsia" w:asciiTheme="majorEastAsia" w:hAnsiTheme="majorEastAsia" w:eastAsiaTheme="majorEastAsia" w:cstheme="majorEastAsia"/>
          <w:b w:val="0"/>
          <w:bCs w:val="0"/>
          <w:color w:val="auto"/>
          <w:sz w:val="21"/>
          <w:szCs w:val="21"/>
          <w:highlight w:val="none"/>
        </w:rPr>
        <w:t>的所有驻场服务人员应全职驻点服务，不得同时兼任本项目外的</w:t>
      </w:r>
      <w:r>
        <w:rPr>
          <w:rFonts w:hint="eastAsia" w:asciiTheme="majorEastAsia" w:hAnsiTheme="majorEastAsia" w:eastAsiaTheme="majorEastAsia" w:cstheme="majorEastAsia"/>
          <w:b w:val="0"/>
          <w:bCs w:val="0"/>
          <w:color w:val="auto"/>
          <w:sz w:val="21"/>
          <w:szCs w:val="21"/>
          <w:highlight w:val="none"/>
          <w:lang w:val="en-US" w:eastAsia="zh-CN"/>
        </w:rPr>
        <w:t>工作</w:t>
      </w:r>
      <w:r>
        <w:rPr>
          <w:rFonts w:hint="eastAsia" w:asciiTheme="majorEastAsia" w:hAnsiTheme="majorEastAsia" w:eastAsiaTheme="majorEastAsia" w:cstheme="majorEastAsia"/>
          <w:b w:val="0"/>
          <w:bCs w:val="0"/>
          <w:color w:val="auto"/>
          <w:sz w:val="21"/>
          <w:szCs w:val="21"/>
          <w:highlight w:val="none"/>
        </w:rPr>
        <w:t>。</w:t>
      </w:r>
    </w:p>
    <w:p w14:paraId="10EA2D6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6</w:t>
      </w:r>
      <w:r>
        <w:rPr>
          <w:rFonts w:hint="eastAsia" w:asciiTheme="majorEastAsia" w:hAnsiTheme="majorEastAsia" w:eastAsiaTheme="majorEastAsia" w:cstheme="majorEastAsia"/>
          <w:b w:val="0"/>
          <w:bCs w:val="0"/>
          <w:color w:val="auto"/>
          <w:sz w:val="21"/>
          <w:szCs w:val="21"/>
          <w:highlight w:val="none"/>
        </w:rPr>
        <w:t>、上述管理团队（项目经理、</w:t>
      </w:r>
      <w:r>
        <w:rPr>
          <w:rFonts w:hint="eastAsia" w:asciiTheme="majorEastAsia" w:hAnsiTheme="majorEastAsia" w:eastAsiaTheme="majorEastAsia" w:cstheme="majorEastAsia"/>
          <w:b w:val="0"/>
          <w:bCs w:val="0"/>
          <w:color w:val="auto"/>
          <w:sz w:val="21"/>
          <w:szCs w:val="21"/>
          <w:highlight w:val="none"/>
          <w:lang w:val="en-US" w:eastAsia="zh-CN"/>
        </w:rPr>
        <w:t>厨师长</w:t>
      </w:r>
      <w:r>
        <w:rPr>
          <w:rFonts w:hint="eastAsia" w:asciiTheme="majorEastAsia" w:hAnsiTheme="majorEastAsia" w:eastAsiaTheme="majorEastAsia" w:cstheme="majorEastAsia"/>
          <w:b w:val="0"/>
          <w:bCs w:val="0"/>
          <w:color w:val="auto"/>
          <w:sz w:val="21"/>
          <w:szCs w:val="21"/>
          <w:highlight w:val="none"/>
        </w:rPr>
        <w:t>、面点厨师）需通过</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职能部门面试后方能录用。如</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需调整驻场管理</w:t>
      </w:r>
      <w:r>
        <w:rPr>
          <w:rFonts w:hint="eastAsia" w:asciiTheme="majorEastAsia" w:hAnsiTheme="majorEastAsia" w:eastAsiaTheme="majorEastAsia" w:cstheme="majorEastAsia"/>
          <w:b w:val="0"/>
          <w:bCs w:val="0"/>
          <w:color w:val="auto"/>
          <w:sz w:val="21"/>
          <w:szCs w:val="21"/>
          <w:highlight w:val="none"/>
          <w:lang w:val="en-US" w:eastAsia="zh-CN"/>
        </w:rPr>
        <w:t>团队</w:t>
      </w:r>
      <w:r>
        <w:rPr>
          <w:rFonts w:hint="eastAsia" w:asciiTheme="majorEastAsia" w:hAnsiTheme="majorEastAsia" w:eastAsiaTheme="majorEastAsia" w:cstheme="majorEastAsia"/>
          <w:b w:val="0"/>
          <w:bCs w:val="0"/>
          <w:color w:val="auto"/>
          <w:sz w:val="21"/>
          <w:szCs w:val="21"/>
          <w:highlight w:val="none"/>
        </w:rPr>
        <w:t>，需提前2个月书面通知</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同意后方可更换。</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有权对不满意的管理</w:t>
      </w:r>
      <w:r>
        <w:rPr>
          <w:rFonts w:hint="eastAsia" w:asciiTheme="majorEastAsia" w:hAnsiTheme="majorEastAsia" w:eastAsiaTheme="majorEastAsia" w:cstheme="majorEastAsia"/>
          <w:b w:val="0"/>
          <w:bCs w:val="0"/>
          <w:color w:val="auto"/>
          <w:sz w:val="21"/>
          <w:szCs w:val="21"/>
          <w:highlight w:val="none"/>
          <w:lang w:val="en-US" w:eastAsia="zh-CN"/>
        </w:rPr>
        <w:t>团队</w:t>
      </w:r>
      <w:r>
        <w:rPr>
          <w:rFonts w:hint="eastAsia" w:asciiTheme="majorEastAsia" w:hAnsiTheme="majorEastAsia" w:eastAsiaTheme="majorEastAsia" w:cstheme="majorEastAsia"/>
          <w:b w:val="0"/>
          <w:bCs w:val="0"/>
          <w:color w:val="auto"/>
          <w:sz w:val="21"/>
          <w:szCs w:val="21"/>
          <w:highlight w:val="none"/>
        </w:rPr>
        <w:t>提出人员调配或更换</w:t>
      </w:r>
      <w:r>
        <w:rPr>
          <w:rFonts w:hint="eastAsia" w:asciiTheme="majorEastAsia" w:hAnsiTheme="majorEastAsia" w:eastAsiaTheme="majorEastAsia" w:cstheme="majorEastAsia"/>
          <w:b w:val="0"/>
          <w:bCs w:val="0"/>
          <w:color w:val="auto"/>
          <w:sz w:val="21"/>
          <w:szCs w:val="21"/>
          <w:highlight w:val="none"/>
          <w:lang w:val="en-US" w:eastAsia="zh-CN"/>
        </w:rPr>
        <w:t>或补充</w:t>
      </w:r>
      <w:r>
        <w:rPr>
          <w:rFonts w:hint="eastAsia" w:asciiTheme="majorEastAsia" w:hAnsiTheme="majorEastAsia" w:eastAsiaTheme="majorEastAsia" w:cstheme="majorEastAsia"/>
          <w:b w:val="0"/>
          <w:bCs w:val="0"/>
          <w:color w:val="auto"/>
          <w:sz w:val="21"/>
          <w:szCs w:val="21"/>
          <w:highlight w:val="none"/>
        </w:rPr>
        <w:t>要求，</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在收到书面通知2个月内调配或更换或补充人员。</w:t>
      </w:r>
    </w:p>
    <w:p w14:paraId="5BBADADF">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7</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的所有驻场服务人员不得违规使用年龄不满18岁的童工。</w:t>
      </w:r>
    </w:p>
    <w:p w14:paraId="3261DEE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8</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乙方对</w:t>
      </w:r>
      <w:r>
        <w:rPr>
          <w:rFonts w:hint="eastAsia" w:asciiTheme="majorEastAsia" w:hAnsiTheme="majorEastAsia" w:eastAsiaTheme="majorEastAsia" w:cstheme="majorEastAsia"/>
          <w:b w:val="0"/>
          <w:bCs w:val="0"/>
          <w:color w:val="auto"/>
          <w:sz w:val="21"/>
          <w:szCs w:val="21"/>
          <w:highlight w:val="none"/>
        </w:rPr>
        <w:t>所有驻场服务人员需配备统一的服饰。</w:t>
      </w:r>
    </w:p>
    <w:p w14:paraId="3F985C4F">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9</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的所有驻场服务人员应按相关食品加工操作要求，在需要时戴清洁帽、口罩、手套、穿防滑水鞋/胶鞋上岗并保持干净整洁，食品加工人员不得佩戴任何首饰。员工</w:t>
      </w:r>
      <w:r>
        <w:rPr>
          <w:rFonts w:hint="eastAsia" w:asciiTheme="majorEastAsia" w:hAnsiTheme="majorEastAsia" w:eastAsiaTheme="majorEastAsia" w:cstheme="majorEastAsia"/>
          <w:b w:val="0"/>
          <w:bCs w:val="0"/>
          <w:color w:val="auto"/>
          <w:sz w:val="21"/>
          <w:szCs w:val="21"/>
          <w:highlight w:val="none"/>
          <w:lang w:val="en-US" w:eastAsia="zh-CN"/>
        </w:rPr>
        <w:t>在</w:t>
      </w:r>
      <w:r>
        <w:rPr>
          <w:rFonts w:hint="eastAsia" w:asciiTheme="majorEastAsia" w:hAnsiTheme="majorEastAsia" w:eastAsiaTheme="majorEastAsia" w:cstheme="majorEastAsia"/>
          <w:b w:val="0"/>
          <w:bCs w:val="0"/>
          <w:color w:val="auto"/>
          <w:sz w:val="21"/>
          <w:szCs w:val="21"/>
          <w:highlight w:val="none"/>
        </w:rPr>
        <w:t>熟食间、备餐间</w:t>
      </w:r>
      <w:r>
        <w:rPr>
          <w:rFonts w:hint="eastAsia" w:asciiTheme="majorEastAsia" w:hAnsiTheme="majorEastAsia" w:eastAsiaTheme="majorEastAsia" w:cstheme="majorEastAsia"/>
          <w:b w:val="0"/>
          <w:bCs w:val="0"/>
          <w:color w:val="auto"/>
          <w:sz w:val="21"/>
          <w:szCs w:val="21"/>
          <w:highlight w:val="none"/>
          <w:lang w:val="en-US" w:eastAsia="zh-CN"/>
        </w:rPr>
        <w:t>任何时候均</w:t>
      </w:r>
      <w:r>
        <w:rPr>
          <w:rFonts w:hint="eastAsia" w:asciiTheme="majorEastAsia" w:hAnsiTheme="majorEastAsia" w:eastAsiaTheme="majorEastAsia" w:cstheme="majorEastAsia"/>
          <w:b w:val="0"/>
          <w:bCs w:val="0"/>
          <w:color w:val="auto"/>
          <w:sz w:val="21"/>
          <w:szCs w:val="21"/>
          <w:highlight w:val="none"/>
        </w:rPr>
        <w:t>须佩戴手套、口罩。</w:t>
      </w:r>
    </w:p>
    <w:p w14:paraId="3D15195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0</w:t>
      </w:r>
      <w:r>
        <w:rPr>
          <w:rFonts w:hint="eastAsia" w:asciiTheme="majorEastAsia" w:hAnsiTheme="majorEastAsia" w:eastAsiaTheme="majorEastAsia" w:cstheme="majorEastAsia"/>
          <w:b w:val="0"/>
          <w:bCs w:val="0"/>
          <w:color w:val="auto"/>
          <w:sz w:val="21"/>
          <w:szCs w:val="21"/>
          <w:highlight w:val="none"/>
        </w:rPr>
        <w:t>、餐品配送人员应熟知</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各楼层各科室的分布。病人配餐员要求形象好、能熟练运用服务用语，能听懂</w:t>
      </w:r>
      <w:r>
        <w:rPr>
          <w:rFonts w:hint="eastAsia" w:asciiTheme="majorEastAsia" w:hAnsiTheme="majorEastAsia" w:eastAsiaTheme="majorEastAsia" w:cstheme="majorEastAsia"/>
          <w:b w:val="0"/>
          <w:bCs w:val="0"/>
          <w:color w:val="auto"/>
          <w:sz w:val="21"/>
          <w:szCs w:val="21"/>
          <w:highlight w:val="none"/>
          <w:lang w:val="en-US" w:eastAsia="zh-CN"/>
        </w:rPr>
        <w:t>当地方言</w:t>
      </w:r>
      <w:r>
        <w:rPr>
          <w:rFonts w:hint="eastAsia" w:asciiTheme="majorEastAsia" w:hAnsiTheme="majorEastAsia" w:eastAsiaTheme="majorEastAsia" w:cstheme="majorEastAsia"/>
          <w:b w:val="0"/>
          <w:bCs w:val="0"/>
          <w:color w:val="auto"/>
          <w:sz w:val="21"/>
          <w:szCs w:val="21"/>
          <w:highlight w:val="none"/>
        </w:rPr>
        <w:t>。</w:t>
      </w:r>
    </w:p>
    <w:p w14:paraId="4810F4E2">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1</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有权对不履行合同或多次违反</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管理规定的</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人员提出警告和拒绝使用，</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必须按</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的要求更换有关人员。</w:t>
      </w:r>
    </w:p>
    <w:p w14:paraId="2C98F7C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所有驻场服务人员</w:t>
      </w:r>
      <w:r>
        <w:rPr>
          <w:rFonts w:hint="eastAsia" w:asciiTheme="majorEastAsia" w:hAnsiTheme="majorEastAsia" w:eastAsiaTheme="majorEastAsia" w:cstheme="majorEastAsia"/>
          <w:b w:val="0"/>
          <w:bCs w:val="0"/>
          <w:color w:val="auto"/>
          <w:sz w:val="21"/>
          <w:szCs w:val="21"/>
          <w:highlight w:val="none"/>
          <w:lang w:val="en-US" w:eastAsia="zh-CN"/>
        </w:rPr>
        <w:t>的食宿薪酬等由乙方自行承担费用，甲方无需支付。乙方必须按照劳动部门的相关规定规范用工，乙方应与</w:t>
      </w:r>
      <w:r>
        <w:rPr>
          <w:rFonts w:hint="eastAsia" w:asciiTheme="majorEastAsia" w:hAnsiTheme="majorEastAsia" w:eastAsiaTheme="majorEastAsia" w:cstheme="majorEastAsia"/>
          <w:b w:val="0"/>
          <w:bCs w:val="0"/>
          <w:color w:val="auto"/>
          <w:sz w:val="21"/>
          <w:szCs w:val="21"/>
          <w:highlight w:val="none"/>
        </w:rPr>
        <w:t>所有驻场服务人员</w:t>
      </w:r>
      <w:r>
        <w:rPr>
          <w:rFonts w:hint="eastAsia" w:asciiTheme="majorEastAsia" w:hAnsiTheme="majorEastAsia" w:eastAsiaTheme="majorEastAsia" w:cstheme="majorEastAsia"/>
          <w:b w:val="0"/>
          <w:bCs w:val="0"/>
          <w:color w:val="auto"/>
          <w:sz w:val="21"/>
          <w:szCs w:val="21"/>
          <w:highlight w:val="none"/>
          <w:lang w:val="en-US" w:eastAsia="zh-CN"/>
        </w:rPr>
        <w:t>订立劳动合同关系，按国家规定要求办理各类社会保险并承担用工责任。</w:t>
      </w:r>
      <w:r>
        <w:rPr>
          <w:rFonts w:hint="eastAsia" w:asciiTheme="majorEastAsia" w:hAnsiTheme="majorEastAsia" w:eastAsiaTheme="majorEastAsia" w:cstheme="majorEastAsia"/>
          <w:b w:val="0"/>
          <w:bCs w:val="0"/>
          <w:color w:val="auto"/>
          <w:sz w:val="21"/>
          <w:szCs w:val="21"/>
          <w:highlight w:val="none"/>
        </w:rPr>
        <w:t>在服务期内，</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须承担所有驻场服务人员的意外</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工伤</w:t>
      </w:r>
      <w:r>
        <w:rPr>
          <w:rFonts w:hint="eastAsia" w:asciiTheme="majorEastAsia" w:hAnsiTheme="majorEastAsia" w:eastAsiaTheme="majorEastAsia" w:cstheme="majorEastAsia"/>
          <w:b w:val="0"/>
          <w:bCs w:val="0"/>
          <w:color w:val="auto"/>
          <w:sz w:val="21"/>
          <w:szCs w:val="21"/>
          <w:highlight w:val="none"/>
          <w:lang w:val="en-US" w:eastAsia="zh-CN"/>
        </w:rPr>
        <w:t>等</w:t>
      </w:r>
      <w:r>
        <w:rPr>
          <w:rFonts w:hint="eastAsia" w:asciiTheme="majorEastAsia" w:hAnsiTheme="majorEastAsia" w:eastAsiaTheme="majorEastAsia" w:cstheme="majorEastAsia"/>
          <w:b w:val="0"/>
          <w:bCs w:val="0"/>
          <w:color w:val="auto"/>
          <w:sz w:val="21"/>
          <w:szCs w:val="21"/>
          <w:highlight w:val="none"/>
        </w:rPr>
        <w:t>所有服务风险</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应给所有驻场服务人员购买职业保险</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若发生劳动争议或其他法律或经济纠纷的，由乙方负全责，与甲方无关。</w:t>
      </w:r>
    </w:p>
    <w:p w14:paraId="7C15D4AB">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必须要求所有驻场</w:t>
      </w:r>
      <w:r>
        <w:rPr>
          <w:rFonts w:hint="eastAsia" w:asciiTheme="majorEastAsia" w:hAnsiTheme="majorEastAsia" w:eastAsiaTheme="majorEastAsia" w:cstheme="majorEastAsia"/>
          <w:b w:val="0"/>
          <w:bCs w:val="0"/>
          <w:color w:val="auto"/>
          <w:sz w:val="21"/>
          <w:szCs w:val="21"/>
          <w:highlight w:val="none"/>
          <w:lang w:val="en-US" w:eastAsia="zh-CN"/>
        </w:rPr>
        <w:t>服务</w:t>
      </w:r>
      <w:r>
        <w:rPr>
          <w:rFonts w:hint="eastAsia" w:asciiTheme="majorEastAsia" w:hAnsiTheme="majorEastAsia" w:eastAsiaTheme="majorEastAsia" w:cstheme="majorEastAsia"/>
          <w:b w:val="0"/>
          <w:bCs w:val="0"/>
          <w:color w:val="auto"/>
          <w:sz w:val="21"/>
          <w:szCs w:val="21"/>
          <w:highlight w:val="none"/>
        </w:rPr>
        <w:t>人员服从</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的管理，严格执行</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的规章制度及工作内容，并无条件接受并配合</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对服务工作的监督和检查。</w:t>
      </w:r>
    </w:p>
    <w:p w14:paraId="4DDC587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14、乙方所有驻场服务人员必须每年进行一次与从业相关的体检，确保身体状况符合服务岗位要求，并且每年至少接受一次卫生知识培训，以提升服务过程中的卫生标准执行能力。体检报告及书面培训资料及培训记录必须及时提交给甲方备案，以证明服务团队的健康状况和专业素养。</w:t>
      </w:r>
      <w:r>
        <w:rPr>
          <w:rFonts w:hint="eastAsia" w:asciiTheme="majorEastAsia" w:hAnsiTheme="majorEastAsia" w:eastAsiaTheme="majorEastAsia" w:cstheme="majorEastAsia"/>
          <w:b w:val="0"/>
          <w:bCs w:val="0"/>
          <w:color w:val="auto"/>
          <w:sz w:val="21"/>
          <w:szCs w:val="21"/>
          <w:highlight w:val="none"/>
        </w:rPr>
        <w:t>由于</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员工健康问题而造成疾病的感染和传播，</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应负由此产生的经济和法律责任。</w:t>
      </w:r>
    </w:p>
    <w:p w14:paraId="0E3CDA4C">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eastAsia" w:asciiTheme="majorEastAsia" w:hAnsiTheme="majorEastAsia" w:eastAsiaTheme="majorEastAsia" w:cstheme="majorEastAsia"/>
          <w:b/>
          <w:bCs/>
          <w:color w:val="auto"/>
          <w:kern w:val="2"/>
          <w:sz w:val="21"/>
          <w:szCs w:val="21"/>
          <w:highlight w:val="none"/>
          <w:lang w:val="en-US" w:eastAsia="zh-Hans" w:bidi="ar-SA"/>
        </w:rPr>
      </w:pPr>
      <w:r>
        <w:rPr>
          <w:rFonts w:hint="eastAsia" w:asciiTheme="majorEastAsia" w:hAnsiTheme="majorEastAsia" w:eastAsiaTheme="majorEastAsia" w:cstheme="majorEastAsia"/>
          <w:b/>
          <w:bCs/>
          <w:color w:val="auto"/>
          <w:kern w:val="2"/>
          <w:sz w:val="21"/>
          <w:szCs w:val="21"/>
          <w:highlight w:val="none"/>
          <w:lang w:val="en-US" w:eastAsia="zh-CN" w:bidi="ar-SA"/>
        </w:rPr>
        <w:t>四、</w:t>
      </w:r>
      <w:r>
        <w:rPr>
          <w:rFonts w:hint="eastAsia" w:asciiTheme="majorEastAsia" w:hAnsiTheme="majorEastAsia" w:eastAsiaTheme="majorEastAsia" w:cstheme="majorEastAsia"/>
          <w:b/>
          <w:bCs/>
          <w:color w:val="auto"/>
          <w:kern w:val="2"/>
          <w:sz w:val="21"/>
          <w:szCs w:val="21"/>
          <w:highlight w:val="none"/>
          <w:lang w:val="en-US" w:eastAsia="zh-Hans" w:bidi="ar-SA"/>
        </w:rPr>
        <w:t>食堂管理服务工作内容以及标准</w:t>
      </w:r>
    </w:p>
    <w:p w14:paraId="40AC889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负责食堂的日常事务管理，保证</w:t>
      </w:r>
      <w:r>
        <w:rPr>
          <w:rFonts w:hint="eastAsia" w:asciiTheme="majorEastAsia" w:hAnsiTheme="majorEastAsia" w:eastAsiaTheme="majorEastAsia" w:cstheme="majorEastAsia"/>
          <w:b w:val="0"/>
          <w:bCs w:val="0"/>
          <w:color w:val="auto"/>
          <w:kern w:val="2"/>
          <w:sz w:val="21"/>
          <w:szCs w:val="21"/>
          <w:highlight w:val="none"/>
          <w:lang w:val="en-US" w:eastAsia="zh-CN" w:bidi="ar-SA"/>
        </w:rPr>
        <w:t>甲方</w:t>
      </w:r>
      <w:r>
        <w:rPr>
          <w:rFonts w:hint="eastAsia" w:asciiTheme="majorEastAsia" w:hAnsiTheme="majorEastAsia" w:eastAsiaTheme="majorEastAsia" w:cstheme="majorEastAsia"/>
          <w:b w:val="0"/>
          <w:bCs w:val="0"/>
          <w:color w:val="auto"/>
          <w:kern w:val="2"/>
          <w:sz w:val="21"/>
          <w:szCs w:val="21"/>
          <w:highlight w:val="none"/>
          <w:lang w:val="en-US" w:eastAsia="zh-Hans" w:bidi="ar-SA"/>
        </w:rPr>
        <w:t>工作日及节假日正常就餐服务。</w:t>
      </w:r>
      <w:r>
        <w:rPr>
          <w:rFonts w:hint="eastAsia" w:asciiTheme="majorEastAsia" w:hAnsiTheme="majorEastAsia" w:eastAsiaTheme="majorEastAsia" w:cstheme="majorEastAsia"/>
          <w:b w:val="0"/>
          <w:bCs w:val="0"/>
          <w:color w:val="auto"/>
          <w:kern w:val="2"/>
          <w:sz w:val="21"/>
          <w:szCs w:val="21"/>
          <w:highlight w:val="none"/>
          <w:lang w:val="en-US" w:eastAsia="zh-CN" w:bidi="ar-SA"/>
        </w:rPr>
        <w:t>甲方</w:t>
      </w:r>
      <w:r>
        <w:rPr>
          <w:rFonts w:hint="eastAsia" w:asciiTheme="majorEastAsia" w:hAnsiTheme="majorEastAsia" w:eastAsiaTheme="majorEastAsia" w:cstheme="majorEastAsia"/>
          <w:b w:val="0"/>
          <w:bCs w:val="0"/>
          <w:color w:val="auto"/>
          <w:kern w:val="2"/>
          <w:sz w:val="21"/>
          <w:szCs w:val="21"/>
          <w:highlight w:val="none"/>
          <w:lang w:val="en-US" w:eastAsia="zh-Hans" w:bidi="ar-SA"/>
        </w:rPr>
        <w:t>提供食堂场地和</w:t>
      </w:r>
      <w:r>
        <w:rPr>
          <w:rFonts w:hint="eastAsia" w:asciiTheme="majorEastAsia" w:hAnsiTheme="majorEastAsia" w:eastAsiaTheme="majorEastAsia" w:cstheme="majorEastAsia"/>
          <w:b w:val="0"/>
          <w:bCs w:val="0"/>
          <w:color w:val="auto"/>
          <w:kern w:val="2"/>
          <w:sz w:val="21"/>
          <w:szCs w:val="21"/>
          <w:highlight w:val="none"/>
          <w:lang w:val="en-US" w:eastAsia="zh-CN" w:bidi="ar-SA"/>
        </w:rPr>
        <w:t>部分</w:t>
      </w:r>
      <w:r>
        <w:rPr>
          <w:rFonts w:hint="eastAsia" w:asciiTheme="majorEastAsia" w:hAnsiTheme="majorEastAsia" w:eastAsiaTheme="majorEastAsia" w:cstheme="majorEastAsia"/>
          <w:b w:val="0"/>
          <w:bCs w:val="0"/>
          <w:color w:val="auto"/>
          <w:kern w:val="2"/>
          <w:sz w:val="21"/>
          <w:szCs w:val="21"/>
          <w:highlight w:val="none"/>
          <w:lang w:val="en-US" w:eastAsia="zh-Hans" w:bidi="ar-SA"/>
        </w:rPr>
        <w:t>餐厨设备等硬件设施，</w:t>
      </w:r>
      <w:r>
        <w:rPr>
          <w:rFonts w:hint="eastAsia" w:asciiTheme="majorEastAsia" w:hAnsiTheme="majorEastAsia" w:eastAsiaTheme="majorEastAsia" w:cstheme="majorEastAsia"/>
          <w:b w:val="0"/>
          <w:bCs w:val="0"/>
          <w:color w:val="auto"/>
          <w:kern w:val="2"/>
          <w:sz w:val="21"/>
          <w:szCs w:val="21"/>
          <w:highlight w:val="none"/>
          <w:lang w:val="en-US" w:eastAsia="zh-CN" w:bidi="ar-SA"/>
        </w:rPr>
        <w:t>但不</w:t>
      </w:r>
      <w:r>
        <w:rPr>
          <w:rFonts w:hint="eastAsia" w:asciiTheme="majorEastAsia" w:hAnsiTheme="majorEastAsia" w:eastAsiaTheme="majorEastAsia" w:cstheme="majorEastAsia"/>
          <w:b w:val="0"/>
          <w:bCs w:val="0"/>
          <w:color w:val="auto"/>
          <w:kern w:val="2"/>
          <w:sz w:val="21"/>
          <w:szCs w:val="21"/>
          <w:highlight w:val="none"/>
          <w:lang w:val="en-US" w:eastAsia="zh-Hans" w:bidi="ar-SA"/>
        </w:rPr>
        <w:t>承担硬件设施维修费用。</w:t>
      </w:r>
      <w:r>
        <w:rPr>
          <w:rFonts w:hint="eastAsia" w:asciiTheme="majorEastAsia" w:hAnsiTheme="majorEastAsia" w:eastAsiaTheme="majorEastAsia" w:cstheme="majorEastAsia"/>
          <w:b w:val="0"/>
          <w:bCs w:val="0"/>
          <w:color w:val="auto"/>
          <w:kern w:val="2"/>
          <w:sz w:val="21"/>
          <w:szCs w:val="21"/>
          <w:highlight w:val="none"/>
          <w:lang w:val="en-US" w:eastAsia="zh-CN" w:bidi="ar-SA"/>
        </w:rPr>
        <w:t>（如中央空调、食堂厨具等等）</w:t>
      </w:r>
      <w:r>
        <w:rPr>
          <w:rFonts w:hint="eastAsia" w:asciiTheme="majorEastAsia" w:hAnsiTheme="majorEastAsia" w:eastAsiaTheme="majorEastAsia" w:cstheme="majorEastAsia"/>
          <w:b w:val="0"/>
          <w:bCs w:val="0"/>
          <w:color w:val="auto"/>
          <w:kern w:val="2"/>
          <w:sz w:val="21"/>
          <w:szCs w:val="21"/>
          <w:highlight w:val="none"/>
          <w:lang w:val="en-US" w:eastAsia="zh-Hans" w:bidi="ar-SA"/>
        </w:rPr>
        <w:t>食堂管理服务工作标准详见</w:t>
      </w:r>
      <w:r>
        <w:rPr>
          <w:rFonts w:hint="eastAsia" w:asciiTheme="majorEastAsia" w:hAnsiTheme="majorEastAsia" w:eastAsiaTheme="majorEastAsia" w:cstheme="majorEastAsia"/>
          <w:b w:val="0"/>
          <w:bCs w:val="0"/>
          <w:color w:val="auto"/>
          <w:kern w:val="2"/>
          <w:sz w:val="21"/>
          <w:szCs w:val="21"/>
          <w:highlight w:val="none"/>
          <w:lang w:val="en-US" w:eastAsia="zh-CN" w:bidi="ar-SA"/>
        </w:rPr>
        <w:t>附件2</w:t>
      </w:r>
      <w:r>
        <w:rPr>
          <w:rFonts w:hint="eastAsia" w:asciiTheme="majorEastAsia" w:hAnsiTheme="majorEastAsia" w:eastAsiaTheme="majorEastAsia" w:cstheme="majorEastAsia"/>
          <w:b w:val="0"/>
          <w:bCs w:val="0"/>
          <w:color w:val="auto"/>
          <w:kern w:val="2"/>
          <w:sz w:val="21"/>
          <w:szCs w:val="21"/>
          <w:highlight w:val="none"/>
          <w:lang w:val="en-US" w:eastAsia="zh-Hans" w:bidi="ar-SA"/>
        </w:rPr>
        <w:t>《日常工作操作标准表》。</w:t>
      </w:r>
    </w:p>
    <w:p w14:paraId="73DDF4FD">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eastAsia" w:asciiTheme="majorEastAsia" w:hAnsiTheme="majorEastAsia" w:eastAsiaTheme="majorEastAsia" w:cstheme="majorEastAsia"/>
          <w:b/>
          <w:bCs/>
          <w:color w:val="auto"/>
          <w:kern w:val="2"/>
          <w:sz w:val="21"/>
          <w:szCs w:val="21"/>
          <w:highlight w:val="none"/>
          <w:lang w:val="en-US" w:eastAsia="zh-Hans" w:bidi="ar-SA"/>
        </w:rPr>
      </w:pPr>
      <w:r>
        <w:rPr>
          <w:rFonts w:hint="eastAsia" w:asciiTheme="majorEastAsia" w:hAnsiTheme="majorEastAsia" w:eastAsiaTheme="majorEastAsia" w:cstheme="majorEastAsia"/>
          <w:b/>
          <w:bCs/>
          <w:color w:val="auto"/>
          <w:kern w:val="2"/>
          <w:sz w:val="21"/>
          <w:szCs w:val="21"/>
          <w:highlight w:val="none"/>
          <w:lang w:val="en-US" w:eastAsia="zh-CN" w:bidi="ar-SA"/>
        </w:rPr>
        <w:t>五、</w:t>
      </w:r>
      <w:r>
        <w:rPr>
          <w:rFonts w:hint="eastAsia" w:asciiTheme="majorEastAsia" w:hAnsiTheme="majorEastAsia" w:eastAsiaTheme="majorEastAsia" w:cstheme="majorEastAsia"/>
          <w:b/>
          <w:bCs/>
          <w:color w:val="auto"/>
          <w:kern w:val="2"/>
          <w:sz w:val="21"/>
          <w:szCs w:val="21"/>
          <w:highlight w:val="none"/>
          <w:lang w:val="en-US" w:eastAsia="zh-Hans" w:bidi="ar-SA"/>
        </w:rPr>
        <w:t>环境卫生管理</w:t>
      </w:r>
    </w:p>
    <w:p w14:paraId="0BB7289B">
      <w:pPr>
        <w:keepNext w:val="0"/>
        <w:keepLines w:val="0"/>
        <w:pageBreakBefore w:val="0"/>
        <w:widowControl w:val="0"/>
        <w:kinsoku/>
        <w:wordWrap/>
        <w:overflowPunct/>
        <w:topLinePunct w:val="0"/>
        <w:autoSpaceDE/>
        <w:autoSpaceDN/>
        <w:bidi w:val="0"/>
        <w:adjustRightInd/>
        <w:snapToGrid/>
        <w:spacing w:line="300" w:lineRule="exact"/>
        <w:ind w:firstLine="525" w:firstLineChars="25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须制定严格的餐饮卫生管理制度和食品安全突发事故应急预案，严格执行国家《中华人民共和国食品安全法》及《餐饮服务食品安全操作规范》，规范服务，卫生防疫、就餐环境须达到省级职能部门制定的标准。</w:t>
      </w:r>
    </w:p>
    <w:p w14:paraId="5A612E41">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Hans" w:bidi="ar-SA"/>
        </w:rPr>
        <w:t>（1）就餐环境要求良好，应保证食堂通风、干净卫生、地面无积水，有剩饭剩菜等垃圾处理设施，室内温度超过26℃应开电风扇或空调等。</w:t>
      </w:r>
    </w:p>
    <w:p w14:paraId="409B0B8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Hans" w:bidi="ar-SA"/>
        </w:rPr>
        <w:t>（2）</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按照国家有关餐具卫生管理要求，做好公共餐具清洗和消毒工作。</w:t>
      </w:r>
    </w:p>
    <w:p w14:paraId="10BC13B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Hans" w:bidi="ar-SA"/>
        </w:rPr>
        <w:t>（3）</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负责打扫食堂区域的卫生，并实行门前三包。</w:t>
      </w:r>
    </w:p>
    <w:p w14:paraId="0E11FDB1">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Hans" w:bidi="ar-SA"/>
        </w:rPr>
        <w:t>（4）食堂的馊水、食材废料、纸皮等由</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负责及时处理，以保障厨房、食堂整体环境卫生。餐厨垃圾的处理应符合</w:t>
      </w:r>
      <w:r>
        <w:rPr>
          <w:rFonts w:hint="eastAsia" w:asciiTheme="majorEastAsia" w:hAnsiTheme="majorEastAsia" w:eastAsiaTheme="majorEastAsia" w:cstheme="majorEastAsia"/>
          <w:b w:val="0"/>
          <w:bCs w:val="0"/>
          <w:color w:val="auto"/>
          <w:kern w:val="2"/>
          <w:sz w:val="21"/>
          <w:szCs w:val="21"/>
          <w:highlight w:val="none"/>
          <w:lang w:val="en-US" w:eastAsia="zh-CN" w:bidi="ar-SA"/>
        </w:rPr>
        <w:t>汕尾</w:t>
      </w:r>
      <w:r>
        <w:rPr>
          <w:rFonts w:hint="eastAsia" w:asciiTheme="majorEastAsia" w:hAnsiTheme="majorEastAsia" w:eastAsiaTheme="majorEastAsia" w:cstheme="majorEastAsia"/>
          <w:b w:val="0"/>
          <w:bCs w:val="0"/>
          <w:color w:val="auto"/>
          <w:kern w:val="2"/>
          <w:sz w:val="21"/>
          <w:szCs w:val="21"/>
          <w:highlight w:val="none"/>
          <w:lang w:val="en-US" w:eastAsia="zh-Hans" w:bidi="ar-SA"/>
        </w:rPr>
        <w:t>市的有关规定。</w:t>
      </w:r>
    </w:p>
    <w:p w14:paraId="6D51C1E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Hans" w:bidi="ar-SA"/>
        </w:rPr>
        <w:t>（5）</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须做好安全用水、用火、用电、煤气等工作，须服从</w:t>
      </w:r>
      <w:r>
        <w:rPr>
          <w:rFonts w:hint="eastAsia" w:asciiTheme="majorEastAsia" w:hAnsiTheme="majorEastAsia" w:eastAsiaTheme="majorEastAsia" w:cstheme="majorEastAsia"/>
          <w:b w:val="0"/>
          <w:bCs w:val="0"/>
          <w:color w:val="auto"/>
          <w:kern w:val="2"/>
          <w:sz w:val="21"/>
          <w:szCs w:val="21"/>
          <w:highlight w:val="none"/>
          <w:lang w:val="en-US" w:eastAsia="zh-CN" w:bidi="ar-SA"/>
        </w:rPr>
        <w:t>甲方</w:t>
      </w:r>
      <w:r>
        <w:rPr>
          <w:rFonts w:hint="eastAsia" w:asciiTheme="majorEastAsia" w:hAnsiTheme="majorEastAsia" w:eastAsiaTheme="majorEastAsia" w:cstheme="majorEastAsia"/>
          <w:b w:val="0"/>
          <w:bCs w:val="0"/>
          <w:color w:val="auto"/>
          <w:kern w:val="2"/>
          <w:sz w:val="21"/>
          <w:szCs w:val="21"/>
          <w:highlight w:val="none"/>
          <w:lang w:val="en-US" w:eastAsia="zh-Hans" w:bidi="ar-SA"/>
        </w:rPr>
        <w:t>的监督和检查。因</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原因造成火灾及工伤等事故所造成的一切经济损失由</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负责。</w:t>
      </w:r>
    </w:p>
    <w:p w14:paraId="471A8B1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Hans" w:bidi="ar-SA"/>
        </w:rPr>
        <w:t>（6）</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为食品卫生安全直接责任人，须严格把好食品卫生安全关。</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须做好食品留样等常规安全手续并做好存档资料工作。服务期间，因食堂食品安全造成的且经市场监督管理部门检查认定或卫生行政部门检验鉴定确认是</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的责任所引起的食品安全事故，由</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承担相关责任和支付全部罚金及一切费用，且</w:t>
      </w:r>
      <w:r>
        <w:rPr>
          <w:rFonts w:hint="eastAsia" w:asciiTheme="majorEastAsia" w:hAnsiTheme="majorEastAsia" w:eastAsiaTheme="majorEastAsia" w:cstheme="majorEastAsia"/>
          <w:b w:val="0"/>
          <w:bCs w:val="0"/>
          <w:color w:val="auto"/>
          <w:kern w:val="2"/>
          <w:sz w:val="21"/>
          <w:szCs w:val="21"/>
          <w:highlight w:val="none"/>
          <w:lang w:val="en-US" w:eastAsia="zh-CN" w:bidi="ar-SA"/>
        </w:rPr>
        <w:t>甲方</w:t>
      </w:r>
      <w:r>
        <w:rPr>
          <w:rFonts w:hint="eastAsia" w:asciiTheme="majorEastAsia" w:hAnsiTheme="majorEastAsia" w:eastAsiaTheme="majorEastAsia" w:cstheme="majorEastAsia"/>
          <w:b w:val="0"/>
          <w:bCs w:val="0"/>
          <w:color w:val="auto"/>
          <w:kern w:val="2"/>
          <w:sz w:val="21"/>
          <w:szCs w:val="21"/>
          <w:highlight w:val="none"/>
          <w:lang w:val="en-US" w:eastAsia="zh-Hans" w:bidi="ar-SA"/>
        </w:rPr>
        <w:t>有权立即取消</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的服务资格。</w:t>
      </w:r>
    </w:p>
    <w:p w14:paraId="63D65D0D">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eastAsia" w:asciiTheme="majorEastAsia" w:hAnsiTheme="majorEastAsia" w:eastAsiaTheme="majorEastAsia" w:cstheme="majorEastAsia"/>
          <w:b/>
          <w:bCs/>
          <w:color w:val="auto"/>
          <w:kern w:val="2"/>
          <w:sz w:val="21"/>
          <w:szCs w:val="21"/>
          <w:highlight w:val="none"/>
          <w:lang w:val="en-US" w:eastAsia="zh-Hans" w:bidi="ar-SA"/>
        </w:rPr>
      </w:pPr>
      <w:r>
        <w:rPr>
          <w:rFonts w:hint="eastAsia" w:asciiTheme="majorEastAsia" w:hAnsiTheme="majorEastAsia" w:eastAsiaTheme="majorEastAsia" w:cstheme="majorEastAsia"/>
          <w:b/>
          <w:bCs/>
          <w:color w:val="auto"/>
          <w:kern w:val="2"/>
          <w:sz w:val="21"/>
          <w:szCs w:val="21"/>
          <w:highlight w:val="none"/>
          <w:lang w:val="en-US" w:eastAsia="zh-CN" w:bidi="ar-SA"/>
        </w:rPr>
        <w:t>六、</w:t>
      </w:r>
      <w:r>
        <w:rPr>
          <w:rFonts w:hint="eastAsia" w:asciiTheme="majorEastAsia" w:hAnsiTheme="majorEastAsia" w:eastAsiaTheme="majorEastAsia" w:cstheme="majorEastAsia"/>
          <w:b/>
          <w:bCs/>
          <w:color w:val="auto"/>
          <w:kern w:val="2"/>
          <w:sz w:val="21"/>
          <w:szCs w:val="21"/>
          <w:highlight w:val="none"/>
          <w:lang w:val="en-US" w:eastAsia="zh-Hans" w:bidi="ar-SA"/>
        </w:rPr>
        <w:t>食材供应服务</w:t>
      </w:r>
    </w:p>
    <w:p w14:paraId="0FDCCE34">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CN" w:bidi="ar-SA"/>
        </w:rPr>
        <w:t>一、</w:t>
      </w:r>
      <w:r>
        <w:rPr>
          <w:rFonts w:hint="eastAsia" w:asciiTheme="majorEastAsia" w:hAnsiTheme="majorEastAsia" w:eastAsiaTheme="majorEastAsia" w:cstheme="majorEastAsia"/>
          <w:b w:val="0"/>
          <w:bCs w:val="0"/>
          <w:color w:val="auto"/>
          <w:kern w:val="2"/>
          <w:sz w:val="21"/>
          <w:szCs w:val="21"/>
          <w:highlight w:val="none"/>
          <w:lang w:val="en-US" w:eastAsia="zh-Hans" w:bidi="ar-SA"/>
        </w:rPr>
        <w:t>基本要求</w:t>
      </w:r>
    </w:p>
    <w:p w14:paraId="58B3CC58">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供应的食材必须向有合法资质的</w:t>
      </w:r>
      <w:r>
        <w:rPr>
          <w:rFonts w:hint="eastAsia" w:asciiTheme="majorEastAsia" w:hAnsiTheme="majorEastAsia" w:eastAsiaTheme="majorEastAsia" w:cstheme="majorEastAsia"/>
          <w:b w:val="0"/>
          <w:bCs w:val="0"/>
          <w:color w:val="auto"/>
          <w:kern w:val="2"/>
          <w:sz w:val="21"/>
          <w:szCs w:val="21"/>
          <w:highlight w:val="none"/>
          <w:lang w:val="en-US" w:eastAsia="zh-CN" w:bidi="ar-SA"/>
        </w:rPr>
        <w:t>食材供应商</w:t>
      </w:r>
      <w:r>
        <w:rPr>
          <w:rFonts w:hint="eastAsia" w:asciiTheme="majorEastAsia" w:hAnsiTheme="majorEastAsia" w:eastAsiaTheme="majorEastAsia" w:cstheme="majorEastAsia"/>
          <w:b w:val="0"/>
          <w:bCs w:val="0"/>
          <w:color w:val="auto"/>
          <w:kern w:val="2"/>
          <w:sz w:val="21"/>
          <w:szCs w:val="21"/>
          <w:highlight w:val="none"/>
          <w:lang w:val="en-US" w:eastAsia="zh-Hans" w:bidi="ar-SA"/>
        </w:rPr>
        <w:t>采购。</w:t>
      </w:r>
    </w:p>
    <w:p w14:paraId="0BCF86F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Hans"/>
        </w:rPr>
      </w:pPr>
      <w:r>
        <w:rPr>
          <w:rFonts w:hint="eastAsia" w:asciiTheme="majorEastAsia" w:hAnsiTheme="majorEastAsia" w:eastAsiaTheme="majorEastAsia" w:cstheme="majorEastAsia"/>
          <w:b w:val="0"/>
          <w:bCs w:val="0"/>
          <w:color w:val="auto"/>
          <w:sz w:val="21"/>
          <w:szCs w:val="21"/>
          <w:highlight w:val="none"/>
          <w:lang w:val="en-US" w:eastAsia="zh-CN"/>
        </w:rPr>
        <w:t>二、</w:t>
      </w:r>
      <w:r>
        <w:rPr>
          <w:rFonts w:hint="eastAsia" w:asciiTheme="majorEastAsia" w:hAnsiTheme="majorEastAsia" w:eastAsiaTheme="majorEastAsia" w:cstheme="majorEastAsia"/>
          <w:b w:val="0"/>
          <w:bCs w:val="0"/>
          <w:color w:val="auto"/>
          <w:sz w:val="21"/>
          <w:szCs w:val="21"/>
          <w:highlight w:val="none"/>
          <w:lang w:val="en-US" w:eastAsia="zh-Hans"/>
        </w:rPr>
        <w:t>食材标准</w:t>
      </w:r>
    </w:p>
    <w:p w14:paraId="53BDB08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sz w:val="21"/>
          <w:szCs w:val="21"/>
          <w:highlight w:val="none"/>
          <w:lang w:val="en-US" w:eastAsia="zh-CN"/>
        </w:rPr>
        <w:t>详见附件3</w:t>
      </w:r>
      <w:r>
        <w:rPr>
          <w:rFonts w:hint="eastAsia" w:asciiTheme="majorEastAsia" w:hAnsiTheme="majorEastAsia" w:eastAsiaTheme="majorEastAsia" w:cstheme="majorEastAsia"/>
          <w:b w:val="0"/>
          <w:bCs w:val="0"/>
          <w:color w:val="auto"/>
          <w:sz w:val="21"/>
          <w:szCs w:val="21"/>
          <w:highlight w:val="none"/>
          <w:lang w:val="en-US" w:eastAsia="zh-Hans"/>
        </w:rPr>
        <w:t>常用食材列表</w:t>
      </w:r>
      <w:r>
        <w:rPr>
          <w:rFonts w:hint="eastAsia" w:asciiTheme="majorEastAsia" w:hAnsiTheme="majorEastAsia" w:eastAsiaTheme="majorEastAsia" w:cstheme="majorEastAsia"/>
          <w:b w:val="0"/>
          <w:bCs w:val="0"/>
          <w:color w:val="auto"/>
          <w:sz w:val="21"/>
          <w:szCs w:val="21"/>
          <w:highlight w:val="none"/>
          <w:lang w:val="en-US" w:eastAsia="zh-CN"/>
        </w:rPr>
        <w:t>：</w:t>
      </w:r>
    </w:p>
    <w:p w14:paraId="72CC183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kern w:val="2"/>
          <w:sz w:val="21"/>
          <w:szCs w:val="21"/>
          <w:highlight w:val="none"/>
          <w:lang w:val="en-US" w:eastAsia="zh-CN" w:bidi="ar-SA"/>
        </w:rPr>
        <w:t>七、</w:t>
      </w:r>
      <w:r>
        <w:rPr>
          <w:rFonts w:hint="eastAsia" w:asciiTheme="majorEastAsia" w:hAnsiTheme="majorEastAsia" w:eastAsiaTheme="majorEastAsia" w:cstheme="majorEastAsia"/>
          <w:b/>
          <w:bCs/>
          <w:color w:val="auto"/>
          <w:sz w:val="21"/>
          <w:szCs w:val="21"/>
          <w:highlight w:val="none"/>
        </w:rPr>
        <w:t>管理目标要求</w:t>
      </w:r>
    </w:p>
    <w:p w14:paraId="390C84EA">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1、每年配合</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完成指定的扶贫农副产品采购指标。</w:t>
      </w:r>
    </w:p>
    <w:p w14:paraId="6ACD0B77">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①负责食堂的升级优化，包括食堂内部环境优化，设备设施、订餐系统等投入，乙方需制定详细的食堂升级优化方案；②优化期内保证甲方的正常的餐饮服务，乙方须针对食堂升级优化方案制定优化期间的供餐保障方案，须充分考虑保障供餐的重点难点，明确可能出现的因优化影响供餐的因素（例如设备设施更换、停水、停电、噪音）以及对应的解决措施。</w:t>
      </w:r>
    </w:p>
    <w:p w14:paraId="0B1AF94E">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color w:val="auto"/>
          <w:sz w:val="21"/>
          <w:szCs w:val="21"/>
          <w:highlight w:val="none"/>
        </w:rPr>
        <w:t>乙方所安排到甲方处提供餐饮服务的员工必须与乙方建立劳动关系并签订合同，</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的员工一切劳动保险及其它福利待遇由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承担费用和自行办理。不得因与员工的劳动纠纷影响向</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提供正常服务，如造成食堂无法按时、足量供应餐食的，</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有权终止合同，并追究</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的违约责任。</w:t>
      </w:r>
    </w:p>
    <w:p w14:paraId="58F35324">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w:t>
      </w:r>
      <w:r>
        <w:rPr>
          <w:rFonts w:hint="eastAsia" w:asciiTheme="majorEastAsia" w:hAnsiTheme="majorEastAsia" w:eastAsiaTheme="majorEastAsia" w:cstheme="majorEastAsia"/>
          <w:b w:val="0"/>
          <w:bCs w:val="0"/>
          <w:color w:val="auto"/>
          <w:sz w:val="21"/>
          <w:szCs w:val="21"/>
          <w:highlight w:val="none"/>
        </w:rPr>
        <w:t>、日常餐饮服务运作过程中产生的水费、电费、燃气费、垃圾费、网络费、通讯费等所有费用</w:t>
      </w:r>
      <w:r>
        <w:rPr>
          <w:rFonts w:hint="eastAsia" w:asciiTheme="majorEastAsia" w:hAnsiTheme="majorEastAsia" w:eastAsiaTheme="majorEastAsia" w:cstheme="majorEastAsia"/>
          <w:b w:val="0"/>
          <w:bCs w:val="0"/>
          <w:color w:val="auto"/>
          <w:sz w:val="21"/>
          <w:szCs w:val="21"/>
          <w:highlight w:val="none"/>
          <w:lang w:val="en-US" w:eastAsia="zh-CN"/>
        </w:rPr>
        <w:t>食堂自行支付。（如</w:t>
      </w:r>
      <w:r>
        <w:rPr>
          <w:rFonts w:hint="eastAsia" w:asciiTheme="majorEastAsia" w:hAnsiTheme="majorEastAsia" w:eastAsiaTheme="majorEastAsia" w:cstheme="majorEastAsia"/>
          <w:color w:val="auto"/>
          <w:sz w:val="21"/>
          <w:szCs w:val="21"/>
          <w:highlight w:val="none"/>
        </w:rPr>
        <w:t>医院先垫付的电费水费应由食堂根据医院开具的清单补还给医院</w:t>
      </w:r>
      <w:r>
        <w:rPr>
          <w:rFonts w:hint="eastAsia" w:asciiTheme="majorEastAsia" w:hAnsiTheme="majorEastAsia" w:eastAsiaTheme="majorEastAsia" w:cstheme="majorEastAsia"/>
          <w:b w:val="0"/>
          <w:bCs w:val="0"/>
          <w:color w:val="auto"/>
          <w:sz w:val="21"/>
          <w:szCs w:val="21"/>
          <w:highlight w:val="none"/>
          <w:lang w:val="en-US" w:eastAsia="zh-CN"/>
        </w:rPr>
        <w:t>）</w:t>
      </w:r>
    </w:p>
    <w:p w14:paraId="215BDCFB">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5</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必须按照《中华人民共和国食品安全法》《食品生产许可管理办法》《餐饮服务食品安全操作规范》《餐饮服务食品采购索证索票管理规定》《食品添加剂新品种管理办法》等相关法律、法规、制度及政策，通过规范的管理流程和严格的内部监察机制来确保高标准的食品卫生安全。</w:t>
      </w:r>
    </w:p>
    <w:p w14:paraId="20BB22D6">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6</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必须通过有效的</w:t>
      </w:r>
      <w:r>
        <w:rPr>
          <w:rFonts w:hint="eastAsia" w:asciiTheme="majorEastAsia" w:hAnsiTheme="majorEastAsia" w:eastAsiaTheme="majorEastAsia" w:cstheme="majorEastAsia"/>
          <w:b w:val="0"/>
          <w:bCs w:val="0"/>
          <w:color w:val="auto"/>
          <w:sz w:val="21"/>
          <w:szCs w:val="21"/>
          <w:highlight w:val="none"/>
          <w:lang w:val="en-US" w:eastAsia="zh-CN"/>
        </w:rPr>
        <w:t>措施</w:t>
      </w:r>
      <w:r>
        <w:rPr>
          <w:rFonts w:hint="eastAsia" w:asciiTheme="majorEastAsia" w:hAnsiTheme="majorEastAsia" w:eastAsiaTheme="majorEastAsia" w:cstheme="majorEastAsia"/>
          <w:b w:val="0"/>
          <w:bCs w:val="0"/>
          <w:color w:val="auto"/>
          <w:sz w:val="21"/>
          <w:szCs w:val="21"/>
          <w:highlight w:val="none"/>
        </w:rPr>
        <w:t>提高</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餐饮的服务质量，达到并维持较高的满意度。应有具体的满意度跟进措施以及定期反馈与改进措施。</w:t>
      </w:r>
    </w:p>
    <w:p w14:paraId="7921C472">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7</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必须通过完善的管理体制和专业的人员，减少</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管理层在餐饮方面的精力投入。</w:t>
      </w:r>
    </w:p>
    <w:p w14:paraId="7C09E6B8">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8</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必须知晓</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为医疗行业的特殊性，服从</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制定的管理规定。</w:t>
      </w:r>
    </w:p>
    <w:p w14:paraId="653DED03">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9</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出品质量以及食材采购质量和验收标准</w:t>
      </w:r>
      <w:r>
        <w:rPr>
          <w:rFonts w:hint="eastAsia" w:asciiTheme="majorEastAsia" w:hAnsiTheme="majorEastAsia" w:eastAsiaTheme="majorEastAsia" w:cstheme="majorEastAsia"/>
          <w:b w:val="0"/>
          <w:bCs w:val="0"/>
          <w:color w:val="auto"/>
          <w:sz w:val="21"/>
          <w:szCs w:val="21"/>
          <w:highlight w:val="none"/>
          <w:lang w:val="en-US" w:eastAsia="zh-CN"/>
        </w:rPr>
        <w:t>应按照</w:t>
      </w:r>
      <w:r>
        <w:rPr>
          <w:rFonts w:hint="eastAsia" w:asciiTheme="majorEastAsia" w:hAnsiTheme="majorEastAsia" w:eastAsiaTheme="majorEastAsia" w:cstheme="majorEastAsia"/>
          <w:b w:val="0"/>
          <w:bCs w:val="0"/>
          <w:color w:val="auto"/>
          <w:sz w:val="21"/>
          <w:szCs w:val="21"/>
          <w:highlight w:val="none"/>
          <w:lang w:eastAsia="zh-CN"/>
        </w:rPr>
        <w:t>招标</w:t>
      </w:r>
      <w:r>
        <w:rPr>
          <w:rFonts w:hint="eastAsia" w:asciiTheme="majorEastAsia" w:hAnsiTheme="majorEastAsia" w:eastAsiaTheme="majorEastAsia" w:cstheme="majorEastAsia"/>
          <w:b w:val="0"/>
          <w:bCs w:val="0"/>
          <w:color w:val="auto"/>
          <w:sz w:val="21"/>
          <w:szCs w:val="21"/>
          <w:highlight w:val="none"/>
        </w:rPr>
        <w:t>文件中的具体要求。</w:t>
      </w:r>
    </w:p>
    <w:p w14:paraId="126DDACD">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0</w:t>
      </w:r>
      <w:r>
        <w:rPr>
          <w:rFonts w:hint="eastAsia" w:asciiTheme="majorEastAsia" w:hAnsiTheme="majorEastAsia" w:eastAsiaTheme="majorEastAsia" w:cstheme="majorEastAsia"/>
          <w:b w:val="0"/>
          <w:bCs w:val="0"/>
          <w:color w:val="auto"/>
          <w:sz w:val="21"/>
          <w:szCs w:val="21"/>
          <w:highlight w:val="none"/>
        </w:rPr>
        <w:t>、原则上当天所有餐次的出品应是当次制作，保证新鲜，保证口感，因制作复杂所需的个别菜品经</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审批同意后可放宽至提前1天制作（未售完但保存完好并加热后能正常食用的个别菜品仅可再售卖1次）。除个别菜品的特殊需求外，应采用新鲜食材，并尽量减少使用冷冻品。</w:t>
      </w:r>
    </w:p>
    <w:p w14:paraId="423B3655">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1</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全部员工要按行业标准进行专业素质培训，以优质的服务进行规范化管理，做到形象良好、礼貌待客、微笑服务，并做好服务跟踪，为每一位职工和病患提供良好的就餐体验。</w:t>
      </w:r>
    </w:p>
    <w:p w14:paraId="782361AA">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rPr>
        <w:t>、确保</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每餐的正常膳食供应，并根据需要提供网络订餐及送餐服务，对</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提出的接待餐、会议供餐、过时餐等无条件服从，并按时、按质完成，保证饭热菜香。</w:t>
      </w:r>
    </w:p>
    <w:p w14:paraId="7236D761">
      <w:pPr>
        <w:keepNext w:val="0"/>
        <w:keepLines w:val="0"/>
        <w:pageBreakBefore w:val="0"/>
        <w:widowControl w:val="0"/>
        <w:kinsoku/>
        <w:wordWrap/>
        <w:overflowPunct/>
        <w:topLinePunct w:val="0"/>
        <w:autoSpaceDE/>
        <w:autoSpaceDN/>
        <w:bidi w:val="0"/>
        <w:adjustRightInd/>
        <w:snapToGrid/>
        <w:spacing w:line="300" w:lineRule="exact"/>
        <w:ind w:left="0" w:firstLine="0" w:firstLineChars="0"/>
        <w:jc w:val="left"/>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须严格执行国家食品安全法以及食品加工、销售、饮食卫生“五四制”和有关部门对餐饮业的有关规定，合理守法地开展服务。服务期间，确保无事故发生，</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因服务期间管理不当发生食物安全问题或中毒、因人为或其他因素引发的事故及所造成的人员伤亡、财产损失等，其经济责任、法律责任全部由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承担，视情况严重程度，</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有权终止合同，且对</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造成财产或声誉损害的，</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应承担赔偿责任。</w:t>
      </w:r>
    </w:p>
    <w:p w14:paraId="6A0F94D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4</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在清洁餐具时，必须保证餐具干净卫生，</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不定期监督检查。</w:t>
      </w:r>
    </w:p>
    <w:p w14:paraId="5EE8219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5</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要加强食品卫生</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食品质量的管理，确保食品质量，所有原材料与制成品必须符合食品卫生检疫标准。同时，必须接受市场监督管理局、消防部门等各级单位的卫生及消防监督检查，并按检查结果进行整改。</w:t>
      </w:r>
    </w:p>
    <w:p w14:paraId="7A97461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6</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进场前需提供以下详细的资料：接场计划书、个人卫生标准、环境卫生标准、各岗位工作安排表、各岗位职责、各岗位作业指导书、关键岗位考核表、应急预案（包括食物中毒应急预案、紧急供餐应急预案等），具体要求为：</w:t>
      </w:r>
    </w:p>
    <w:p w14:paraId="29B6416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需针对可能出现的食物中毒或其他食源性疾患事故，结合</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的实际情况提供详细可行的应对方案。</w:t>
      </w:r>
    </w:p>
    <w:p w14:paraId="2A7B7BF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rPr>
        <w:t>（2）应设立应急工作小组并明确人员的组织架构</w:t>
      </w:r>
      <w:r>
        <w:rPr>
          <w:rFonts w:hint="eastAsia" w:asciiTheme="majorEastAsia" w:hAnsiTheme="majorEastAsia" w:eastAsiaTheme="majorEastAsia" w:cstheme="majorEastAsia"/>
          <w:b w:val="0"/>
          <w:bCs w:val="0"/>
          <w:color w:val="auto"/>
          <w:sz w:val="21"/>
          <w:szCs w:val="21"/>
          <w:highlight w:val="none"/>
          <w:lang w:val="en-US" w:eastAsia="zh-CN"/>
        </w:rPr>
        <w:t>。</w:t>
      </w:r>
    </w:p>
    <w:p w14:paraId="500C227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（3）对于临时退货、补货</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加工时停水（停电）应急处理等应急情况要有对应的应急措施保障食材的正常供应。</w:t>
      </w:r>
    </w:p>
    <w:p w14:paraId="53621B0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（4）</w:t>
      </w:r>
      <w:r>
        <w:rPr>
          <w:rFonts w:hint="eastAsia" w:asciiTheme="majorEastAsia" w:hAnsiTheme="majorEastAsia" w:eastAsiaTheme="majorEastAsia" w:cstheme="majorEastAsia"/>
          <w:b w:val="0"/>
          <w:bCs w:val="0"/>
          <w:color w:val="auto"/>
          <w:sz w:val="21"/>
          <w:szCs w:val="21"/>
          <w:highlight w:val="none"/>
          <w:lang w:val="en-US" w:eastAsia="zh-CN"/>
        </w:rPr>
        <w:t>对</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lang w:val="en-US" w:eastAsia="zh-CN"/>
        </w:rPr>
        <w:t>可能的</w:t>
      </w:r>
      <w:r>
        <w:rPr>
          <w:rFonts w:hint="eastAsia" w:asciiTheme="majorEastAsia" w:hAnsiTheme="majorEastAsia" w:eastAsiaTheme="majorEastAsia" w:cstheme="majorEastAsia"/>
          <w:b w:val="0"/>
          <w:bCs w:val="0"/>
          <w:color w:val="auto"/>
          <w:sz w:val="21"/>
          <w:szCs w:val="21"/>
          <w:highlight w:val="none"/>
        </w:rPr>
        <w:t>食材紧急配送的需求，</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需结合</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的实际情况制定可行性强的紧急配送方案，确保及时供货。</w:t>
      </w:r>
    </w:p>
    <w:p w14:paraId="67DC0A6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7</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负责对食堂进行环境布置，所产生的费用由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支出，包括用餐</w:t>
      </w:r>
      <w:r>
        <w:rPr>
          <w:rFonts w:hint="eastAsia" w:asciiTheme="majorEastAsia" w:hAnsiTheme="majorEastAsia" w:eastAsiaTheme="majorEastAsia" w:cstheme="majorEastAsia"/>
          <w:b w:val="0"/>
          <w:bCs w:val="0"/>
          <w:color w:val="auto"/>
          <w:sz w:val="21"/>
          <w:szCs w:val="21"/>
          <w:highlight w:val="none"/>
          <w:lang w:val="en-US" w:eastAsia="zh-CN"/>
        </w:rPr>
        <w:t>文明相关</w:t>
      </w:r>
      <w:r>
        <w:rPr>
          <w:rFonts w:hint="eastAsia" w:asciiTheme="majorEastAsia" w:hAnsiTheme="majorEastAsia" w:eastAsiaTheme="majorEastAsia" w:cstheme="majorEastAsia"/>
          <w:b w:val="0"/>
          <w:bCs w:val="0"/>
          <w:color w:val="auto"/>
          <w:sz w:val="21"/>
          <w:szCs w:val="21"/>
          <w:highlight w:val="none"/>
        </w:rPr>
        <w:t>宣传的布置、节日氛围的烘托布置</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活动场地布置</w:t>
      </w:r>
      <w:r>
        <w:rPr>
          <w:rFonts w:hint="eastAsia" w:asciiTheme="majorEastAsia" w:hAnsiTheme="majorEastAsia" w:eastAsiaTheme="majorEastAsia" w:cstheme="majorEastAsia"/>
          <w:b w:val="0"/>
          <w:bCs w:val="0"/>
          <w:color w:val="auto"/>
          <w:sz w:val="21"/>
          <w:szCs w:val="21"/>
          <w:highlight w:val="none"/>
        </w:rPr>
        <w:t>等。</w:t>
      </w:r>
    </w:p>
    <w:p w14:paraId="1E14790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w:t>
      </w:r>
      <w:r>
        <w:rPr>
          <w:rFonts w:hint="eastAsia" w:asciiTheme="majorEastAsia" w:hAnsiTheme="majorEastAsia" w:eastAsiaTheme="majorEastAsia" w:cstheme="majorEastAsia"/>
          <w:b w:val="0"/>
          <w:bCs w:val="0"/>
          <w:color w:val="auto"/>
          <w:sz w:val="21"/>
          <w:szCs w:val="21"/>
          <w:highlight w:val="none"/>
          <w:lang w:val="en-US" w:eastAsia="zh-CN"/>
        </w:rPr>
        <w:t>8</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应保证采用符合《中华人民共和国食品安全法》及相关餐饮行业的相关规定的食材制作餐食，应尽量采用新鲜食材，少用冷冻品。</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有权不定期到厨房巡查，并有权查阅食材来源资料及相关进货凭证。</w:t>
      </w:r>
    </w:p>
    <w:p w14:paraId="1B43C6A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19</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应保证出品质量，菜单</w:t>
      </w:r>
      <w:r>
        <w:rPr>
          <w:rFonts w:hint="eastAsia" w:asciiTheme="majorEastAsia" w:hAnsiTheme="majorEastAsia" w:eastAsiaTheme="majorEastAsia" w:cstheme="majorEastAsia"/>
          <w:b w:val="0"/>
          <w:bCs w:val="0"/>
          <w:color w:val="auto"/>
          <w:sz w:val="21"/>
          <w:szCs w:val="21"/>
          <w:highlight w:val="none"/>
          <w:lang w:val="en-US" w:eastAsia="zh-CN"/>
        </w:rPr>
        <w:t>及定价</w:t>
      </w:r>
      <w:r>
        <w:rPr>
          <w:rFonts w:hint="eastAsia" w:asciiTheme="majorEastAsia" w:hAnsiTheme="majorEastAsia" w:eastAsiaTheme="majorEastAsia" w:cstheme="majorEastAsia"/>
          <w:b w:val="0"/>
          <w:bCs w:val="0"/>
          <w:color w:val="auto"/>
          <w:sz w:val="21"/>
          <w:szCs w:val="21"/>
          <w:highlight w:val="none"/>
        </w:rPr>
        <w:t>每</w:t>
      </w:r>
      <w:r>
        <w:rPr>
          <w:rFonts w:hint="eastAsia" w:asciiTheme="majorEastAsia" w:hAnsiTheme="majorEastAsia" w:eastAsiaTheme="majorEastAsia" w:cstheme="majorEastAsia"/>
          <w:b w:val="0"/>
          <w:bCs w:val="0"/>
          <w:color w:val="auto"/>
          <w:sz w:val="21"/>
          <w:szCs w:val="21"/>
          <w:highlight w:val="none"/>
          <w:lang w:val="en-US" w:eastAsia="zh-CN"/>
        </w:rPr>
        <w:t>月</w:t>
      </w:r>
      <w:r>
        <w:rPr>
          <w:rFonts w:hint="eastAsia" w:asciiTheme="majorEastAsia" w:hAnsiTheme="majorEastAsia" w:eastAsiaTheme="majorEastAsia" w:cstheme="majorEastAsia"/>
          <w:b w:val="0"/>
          <w:bCs w:val="0"/>
          <w:color w:val="auto"/>
          <w:sz w:val="21"/>
          <w:szCs w:val="21"/>
          <w:highlight w:val="none"/>
        </w:rPr>
        <w:t>变动</w:t>
      </w:r>
      <w:r>
        <w:rPr>
          <w:rFonts w:hint="eastAsia" w:asciiTheme="majorEastAsia" w:hAnsiTheme="majorEastAsia" w:eastAsiaTheme="majorEastAsia" w:cstheme="majorEastAsia"/>
          <w:b w:val="0"/>
          <w:bCs w:val="0"/>
          <w:color w:val="auto"/>
          <w:sz w:val="21"/>
          <w:szCs w:val="21"/>
          <w:highlight w:val="none"/>
          <w:lang w:val="en-US" w:eastAsia="zh-CN"/>
        </w:rPr>
        <w:t>须</w:t>
      </w:r>
      <w:r>
        <w:rPr>
          <w:rFonts w:hint="eastAsia" w:asciiTheme="majorEastAsia" w:hAnsiTheme="majorEastAsia" w:eastAsiaTheme="majorEastAsia" w:cstheme="majorEastAsia"/>
          <w:b w:val="0"/>
          <w:bCs w:val="0"/>
          <w:color w:val="auto"/>
          <w:sz w:val="21"/>
          <w:szCs w:val="21"/>
          <w:highlight w:val="none"/>
        </w:rPr>
        <w:t>提前向</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沟通和报备</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并得到甲方同意</w:t>
      </w:r>
      <w:r>
        <w:rPr>
          <w:rFonts w:hint="eastAsia" w:asciiTheme="majorEastAsia" w:hAnsiTheme="majorEastAsia" w:eastAsiaTheme="majorEastAsia" w:cstheme="majorEastAsia"/>
          <w:b w:val="0"/>
          <w:bCs w:val="0"/>
          <w:color w:val="auto"/>
          <w:sz w:val="21"/>
          <w:szCs w:val="21"/>
          <w:highlight w:val="none"/>
        </w:rPr>
        <w:t>。</w:t>
      </w:r>
    </w:p>
    <w:p w14:paraId="5EE1F7B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w:t>
      </w:r>
      <w:r>
        <w:rPr>
          <w:rFonts w:hint="eastAsia" w:asciiTheme="majorEastAsia" w:hAnsiTheme="majorEastAsia" w:eastAsiaTheme="majorEastAsia" w:cstheme="majorEastAsia"/>
          <w:b w:val="0"/>
          <w:bCs w:val="0"/>
          <w:color w:val="auto"/>
          <w:sz w:val="21"/>
          <w:szCs w:val="21"/>
          <w:highlight w:val="none"/>
          <w:lang w:val="en-US" w:eastAsia="zh-CN"/>
        </w:rPr>
        <w:t>0</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应配备足够的资源以保证准时送餐，病人餐均需配送至病床前，职工餐需送到科室。</w:t>
      </w:r>
    </w:p>
    <w:p w14:paraId="1C4B1BA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w:t>
      </w:r>
      <w:r>
        <w:rPr>
          <w:rFonts w:hint="eastAsia" w:asciiTheme="majorEastAsia" w:hAnsiTheme="majorEastAsia" w:eastAsiaTheme="majorEastAsia" w:cstheme="majorEastAsia"/>
          <w:b w:val="0"/>
          <w:bCs w:val="0"/>
          <w:color w:val="auto"/>
          <w:sz w:val="21"/>
          <w:szCs w:val="21"/>
          <w:highlight w:val="none"/>
          <w:lang w:val="en-US" w:eastAsia="zh-CN"/>
        </w:rPr>
        <w:t>1</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应保证餐饮的配送规范应符合《中华人民共和国食品安全法》及相关餐饮行业的相关规定。应使用专用的保温设备运输，并保证送达时食品的表面温度不低于40℃。运输与配送期间应做足有效措施</w:t>
      </w:r>
      <w:r>
        <w:rPr>
          <w:rFonts w:hint="eastAsia" w:asciiTheme="majorEastAsia" w:hAnsiTheme="majorEastAsia" w:eastAsiaTheme="majorEastAsia" w:cstheme="majorEastAsia"/>
          <w:b w:val="0"/>
          <w:bCs w:val="0"/>
          <w:color w:val="auto"/>
          <w:sz w:val="21"/>
          <w:szCs w:val="21"/>
          <w:highlight w:val="none"/>
          <w:lang w:val="en-US" w:eastAsia="zh-CN"/>
        </w:rPr>
        <w:t>以</w:t>
      </w:r>
      <w:r>
        <w:rPr>
          <w:rFonts w:hint="eastAsia" w:asciiTheme="majorEastAsia" w:hAnsiTheme="majorEastAsia" w:eastAsiaTheme="majorEastAsia" w:cstheme="majorEastAsia"/>
          <w:b w:val="0"/>
          <w:bCs w:val="0"/>
          <w:color w:val="auto"/>
          <w:sz w:val="21"/>
          <w:szCs w:val="21"/>
          <w:highlight w:val="none"/>
        </w:rPr>
        <w:t>预防食物受污物或环境的污染。</w:t>
      </w:r>
    </w:p>
    <w:p w14:paraId="0028620F">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w:t>
      </w: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rPr>
        <w:t>、如食用由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配送的</w:t>
      </w:r>
      <w:r>
        <w:rPr>
          <w:rFonts w:hint="eastAsia" w:asciiTheme="majorEastAsia" w:hAnsiTheme="majorEastAsia" w:eastAsiaTheme="majorEastAsia" w:cstheme="majorEastAsia"/>
          <w:b w:val="0"/>
          <w:bCs w:val="0"/>
          <w:color w:val="auto"/>
          <w:sz w:val="21"/>
          <w:szCs w:val="21"/>
          <w:highlight w:val="none"/>
          <w:lang w:val="en-US" w:eastAsia="zh-CN"/>
        </w:rPr>
        <w:t>餐食</w:t>
      </w:r>
      <w:r>
        <w:rPr>
          <w:rFonts w:hint="eastAsia" w:asciiTheme="majorEastAsia" w:hAnsiTheme="majorEastAsia" w:eastAsiaTheme="majorEastAsia" w:cstheme="majorEastAsia"/>
          <w:b w:val="0"/>
          <w:bCs w:val="0"/>
          <w:color w:val="auto"/>
          <w:sz w:val="21"/>
          <w:szCs w:val="21"/>
          <w:highlight w:val="none"/>
        </w:rPr>
        <w:t>造成腹泻、过敏、食物中毒等食品安全事故，所有的法律责任和经济损失由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全部负责。若由于饮食安全问题导致</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牵连受损，</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有权要求</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进行相应的赔偿。</w:t>
      </w:r>
    </w:p>
    <w:p w14:paraId="1ABDFE9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w:t>
      </w: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在服务期内，由于原材料、烹调过程引发的食品安全、消防、人员伤亡等大小事故，应承担全部责任及费用</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需与</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签订《消防安全责任书》。</w:t>
      </w:r>
    </w:p>
    <w:p w14:paraId="785CA6E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w:t>
      </w:r>
      <w:r>
        <w:rPr>
          <w:rFonts w:hint="eastAsia" w:asciiTheme="majorEastAsia" w:hAnsiTheme="majorEastAsia" w:eastAsiaTheme="majorEastAsia" w:cstheme="majorEastAsia"/>
          <w:b w:val="0"/>
          <w:bCs w:val="0"/>
          <w:color w:val="auto"/>
          <w:sz w:val="21"/>
          <w:szCs w:val="21"/>
          <w:highlight w:val="none"/>
          <w:lang w:val="en-US" w:eastAsia="zh-CN"/>
        </w:rPr>
        <w:t>4</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需每月对员工进行至少1次的培训，并有书面培训资料及培训记录。</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每年对驻场管理团队（项目经理、</w:t>
      </w:r>
      <w:r>
        <w:rPr>
          <w:rFonts w:hint="eastAsia" w:asciiTheme="majorEastAsia" w:hAnsiTheme="majorEastAsia" w:eastAsiaTheme="majorEastAsia" w:cstheme="majorEastAsia"/>
          <w:b w:val="0"/>
          <w:bCs w:val="0"/>
          <w:color w:val="auto"/>
          <w:sz w:val="21"/>
          <w:szCs w:val="21"/>
          <w:highlight w:val="none"/>
          <w:lang w:val="en-US" w:eastAsia="zh-CN"/>
        </w:rPr>
        <w:t>厨师长、</w:t>
      </w:r>
      <w:r>
        <w:rPr>
          <w:rFonts w:hint="eastAsia" w:asciiTheme="majorEastAsia" w:hAnsiTheme="majorEastAsia" w:eastAsiaTheme="majorEastAsia" w:cstheme="majorEastAsia"/>
          <w:b w:val="0"/>
          <w:bCs w:val="0"/>
          <w:color w:val="auto"/>
          <w:sz w:val="21"/>
          <w:szCs w:val="21"/>
          <w:highlight w:val="none"/>
        </w:rPr>
        <w:t>面点厨师、食品安全员）进行4次以上岗位相关工作培训，并提交培训记录及</w:t>
      </w:r>
      <w:r>
        <w:rPr>
          <w:rFonts w:hint="eastAsia" w:asciiTheme="majorEastAsia" w:hAnsiTheme="majorEastAsia" w:eastAsiaTheme="majorEastAsia" w:cstheme="majorEastAsia"/>
          <w:color w:val="auto"/>
          <w:sz w:val="21"/>
          <w:szCs w:val="21"/>
          <w:highlight w:val="none"/>
        </w:rPr>
        <w:t>主管职能科室</w:t>
      </w:r>
      <w:r>
        <w:rPr>
          <w:rFonts w:hint="eastAsia" w:asciiTheme="majorEastAsia" w:hAnsiTheme="majorEastAsia" w:eastAsiaTheme="majorEastAsia" w:cstheme="majorEastAsia"/>
          <w:b w:val="0"/>
          <w:bCs w:val="0"/>
          <w:color w:val="auto"/>
          <w:sz w:val="21"/>
          <w:szCs w:val="21"/>
          <w:highlight w:val="none"/>
        </w:rPr>
        <w:t>确认等相关资料。</w:t>
      </w:r>
    </w:p>
    <w:p w14:paraId="6D31E23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w:t>
      </w:r>
      <w:r>
        <w:rPr>
          <w:rFonts w:hint="eastAsia" w:asciiTheme="majorEastAsia" w:hAnsiTheme="majorEastAsia" w:eastAsiaTheme="majorEastAsia" w:cstheme="majorEastAsia"/>
          <w:b w:val="0"/>
          <w:bCs w:val="0"/>
          <w:color w:val="auto"/>
          <w:sz w:val="21"/>
          <w:szCs w:val="21"/>
          <w:highlight w:val="none"/>
          <w:lang w:val="en-US" w:eastAsia="zh-CN"/>
        </w:rPr>
        <w:t>5</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应配合</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落实上级有关部门的要求，包括但不限于日常安全监督检查、现场检查、数据上报等工作。</w:t>
      </w:r>
    </w:p>
    <w:p w14:paraId="7AC3990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26、乙方为食品卫生安全直接责任人，必须严格把好食品卫生安全关。乙方必须做好食品留样等常规安全手续并做好资料存档工作。服务期间，因食堂食品安全造成的且经食品药品监督部门检查认定或卫生行政部门检验鉴定确认是乙方的责任所引起的食品安全事故，由乙方承担相关责任和支付全部罚金及一切费用，且甲方有权立即取消乙方的服务资格。</w:t>
      </w:r>
    </w:p>
    <w:p w14:paraId="749A8B8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27、乙方为职工食堂消防第一责任人，必须做好安全用水、用火、用电、用煤气等工作，必须服从甲方的监督和检查。因乙方原因造成火灾及工伤等事故所造成的一切经济损失由乙方负责。</w:t>
      </w:r>
    </w:p>
    <w:p w14:paraId="74F2514C">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28、乙方须建立完善的管理制度及应急预案。确保饮食卫生安全前提下，完成甲方餐饮保障服务。根据甲方提出的问题和要求，及时提出整改方案并实施整改。</w:t>
      </w:r>
    </w:p>
    <w:p w14:paraId="7DD6300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29、乙方须定期聘请天然气公司进行安全检测，范围包括燃气管道和燃气泄露装置等燃气设施设备。</w:t>
      </w:r>
    </w:p>
    <w:p w14:paraId="3BF0568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30、乙方应按甲方需求提供职工餐、手术餐、病患餐、工作餐服务。满足职工、病患的订、配、送餐需求，积极响应甲方特需特定的就餐服务（职工的送餐需由甲方自备自动刷卡机）。需要特殊营养餐的，接受甲方营养师对营养、治疗膳食的配餐指导和监督，按营养师的要求制作。</w:t>
      </w:r>
    </w:p>
    <w:p w14:paraId="129ED1C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31、乙方须制定食品安全应急预案，落实应急预案机制，保证食品安全及食品卫生，建立食品留样登记记录，发生食物中毒时，及时启动应急预案，妥善处理相关事宜。每年有不少于一次的食品中毒演练，并做好相关记录。</w:t>
      </w:r>
    </w:p>
    <w:p w14:paraId="07E7D18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32、乙方接受甲方对物价上调的监督和指导，同意按甲方要求反馈有关食品及副食品的进价、售价。售卖饭菜实行明码标价制度，乙方对售卖饭菜的价格及份量必须事前经甲方审定同意后，在食堂实行明码标价售卖。如遇物价等因素影响，需要调整餐费标准，需提前二周书面报甲方后勤部门审核确认后方可调价。乙方不得随意更改价格。</w:t>
      </w:r>
    </w:p>
    <w:p w14:paraId="4B697B8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33、应急情况下，乙方接到甲方通知补充食材，货物的送达时间应控制在1小时内。</w:t>
      </w:r>
    </w:p>
    <w:p w14:paraId="795093F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34、乙方要加强节流管理，做到人离关水、关电、关气，杜绝长流水、长明灯、漏气等现象，爱护餐具、厨具、设备等，尽最大努力减少人为或自然损耗。乙方每月第一个工作日清点餐具、厨具并做好记录，甲方监督管理。</w:t>
      </w:r>
    </w:p>
    <w:p w14:paraId="32F47A7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35、针对公务接待的用餐，如甲方职工提出需开具发票，乙方应提供发票。围餐、工作餐、公务接待餐须及时提供等额发票。</w:t>
      </w:r>
    </w:p>
    <w:p w14:paraId="6D41F70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36、按照甲方及上级食品卫生部门的要求搞好内外环境卫生，特别是厨房内的卫生，包括但不限于食堂周边及通道，必须保持整洁，禁止摆放杂物及废旧物品，生活垃圾应围蔽存放并及时清运，保持良好的就餐环境和食品加工环境。</w:t>
      </w:r>
    </w:p>
    <w:p w14:paraId="006001F3">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八、</w:t>
      </w:r>
      <w:r>
        <w:rPr>
          <w:rFonts w:hint="eastAsia" w:asciiTheme="majorEastAsia" w:hAnsiTheme="majorEastAsia" w:eastAsiaTheme="majorEastAsia" w:cstheme="majorEastAsia"/>
          <w:b/>
          <w:bCs/>
          <w:color w:val="auto"/>
          <w:sz w:val="21"/>
          <w:szCs w:val="21"/>
          <w:highlight w:val="none"/>
        </w:rPr>
        <w:t>履约监管</w:t>
      </w:r>
    </w:p>
    <w:p w14:paraId="1B0F869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1</w:t>
      </w:r>
      <w:r>
        <w:rPr>
          <w:rFonts w:hint="eastAsia" w:asciiTheme="majorEastAsia" w:hAnsiTheme="majorEastAsia" w:eastAsiaTheme="majorEastAsia" w:cstheme="majorEastAsia"/>
          <w:b w:val="0"/>
          <w:bCs w:val="0"/>
          <w:color w:val="auto"/>
          <w:sz w:val="21"/>
          <w:szCs w:val="21"/>
          <w:highlight w:val="none"/>
        </w:rPr>
        <w:t>、违反</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管理规定发生影响</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声誉形象的现象，导致安全事件或其他不良事件发生，影响</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正常工作和声誉的，须</w:t>
      </w:r>
      <w:r>
        <w:rPr>
          <w:rFonts w:hint="eastAsia" w:asciiTheme="majorEastAsia" w:hAnsiTheme="majorEastAsia" w:eastAsiaTheme="majorEastAsia" w:cstheme="majorEastAsia"/>
          <w:b w:val="0"/>
          <w:bCs w:val="0"/>
          <w:color w:val="auto"/>
          <w:sz w:val="21"/>
          <w:szCs w:val="21"/>
          <w:highlight w:val="none"/>
          <w:lang w:val="en-US" w:eastAsia="zh-CN"/>
        </w:rPr>
        <w:t>扣除</w:t>
      </w:r>
      <w:r>
        <w:rPr>
          <w:rFonts w:hint="eastAsia" w:asciiTheme="majorEastAsia" w:hAnsiTheme="majorEastAsia" w:eastAsiaTheme="majorEastAsia" w:cstheme="majorEastAsia"/>
          <w:b w:val="0"/>
          <w:bCs w:val="0"/>
          <w:color w:val="auto"/>
          <w:sz w:val="21"/>
          <w:szCs w:val="21"/>
          <w:highlight w:val="none"/>
        </w:rPr>
        <w:t>当月</w:t>
      </w:r>
      <w:r>
        <w:rPr>
          <w:rFonts w:hint="eastAsia" w:asciiTheme="majorEastAsia" w:hAnsiTheme="majorEastAsia" w:eastAsiaTheme="majorEastAsia" w:cstheme="majorEastAsia"/>
          <w:b w:val="0"/>
          <w:bCs w:val="0"/>
          <w:color w:val="auto"/>
          <w:sz w:val="21"/>
          <w:szCs w:val="21"/>
          <w:highlight w:val="none"/>
          <w:lang w:val="en-US" w:eastAsia="zh-CN"/>
        </w:rPr>
        <w:t>营业额的1000元</w:t>
      </w:r>
      <w:r>
        <w:rPr>
          <w:rFonts w:hint="eastAsia" w:asciiTheme="majorEastAsia" w:hAnsiTheme="majorEastAsia" w:eastAsiaTheme="majorEastAsia" w:cstheme="majorEastAsia"/>
          <w:b w:val="0"/>
          <w:bCs w:val="0"/>
          <w:color w:val="auto"/>
          <w:sz w:val="21"/>
          <w:szCs w:val="21"/>
          <w:highlight w:val="none"/>
        </w:rPr>
        <w:t>作为违约金，严重事件要承担由此导致一切后果并移交公安机关处置。</w:t>
      </w:r>
    </w:p>
    <w:p w14:paraId="081077C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员工发生如下违反</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规定行为的每次</w:t>
      </w:r>
      <w:r>
        <w:rPr>
          <w:rFonts w:hint="eastAsia" w:asciiTheme="majorEastAsia" w:hAnsiTheme="majorEastAsia" w:eastAsiaTheme="majorEastAsia" w:cstheme="majorEastAsia"/>
          <w:b w:val="0"/>
          <w:bCs w:val="0"/>
          <w:color w:val="auto"/>
          <w:sz w:val="21"/>
          <w:szCs w:val="21"/>
          <w:highlight w:val="none"/>
          <w:lang w:val="en-US" w:eastAsia="zh-CN"/>
        </w:rPr>
        <w:t>须缴纳50</w:t>
      </w:r>
      <w:r>
        <w:rPr>
          <w:rFonts w:hint="eastAsia" w:asciiTheme="majorEastAsia" w:hAnsiTheme="majorEastAsia" w:eastAsiaTheme="majorEastAsia" w:cstheme="majorEastAsia"/>
          <w:b w:val="0"/>
          <w:bCs w:val="0"/>
          <w:color w:val="auto"/>
          <w:sz w:val="21"/>
          <w:szCs w:val="21"/>
          <w:highlight w:val="none"/>
        </w:rPr>
        <w:t>元</w:t>
      </w:r>
      <w:r>
        <w:rPr>
          <w:rFonts w:hint="eastAsia" w:asciiTheme="majorEastAsia" w:hAnsiTheme="majorEastAsia" w:eastAsiaTheme="majorEastAsia" w:cstheme="majorEastAsia"/>
          <w:b w:val="0"/>
          <w:bCs w:val="0"/>
          <w:color w:val="auto"/>
          <w:sz w:val="21"/>
          <w:szCs w:val="21"/>
          <w:highlight w:val="none"/>
          <w:lang w:val="en-US" w:eastAsia="zh-CN"/>
        </w:rPr>
        <w:t>作为违约金</w:t>
      </w:r>
      <w:r>
        <w:rPr>
          <w:rFonts w:hint="eastAsia" w:asciiTheme="majorEastAsia" w:hAnsiTheme="majorEastAsia" w:eastAsiaTheme="majorEastAsia" w:cstheme="majorEastAsia"/>
          <w:b w:val="0"/>
          <w:bCs w:val="0"/>
          <w:color w:val="auto"/>
          <w:sz w:val="21"/>
          <w:szCs w:val="21"/>
          <w:highlight w:val="none"/>
        </w:rPr>
        <w:t>：</w:t>
      </w:r>
    </w:p>
    <w:p w14:paraId="5482D178">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（1）不按要求穿戴工衣帽鞋、手套等不符合仪容仪表要求。</w:t>
      </w:r>
    </w:p>
    <w:p w14:paraId="6646013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（2）不按要求进行各项操作。</w:t>
      </w:r>
    </w:p>
    <w:p w14:paraId="18BD670E">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（3）一般服务态度投诉属实。</w:t>
      </w:r>
    </w:p>
    <w:p w14:paraId="562A06A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（4）员工在院内吵架。</w:t>
      </w:r>
    </w:p>
    <w:p w14:paraId="20449CF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（5）电池车在院内充电，如因此发生安全事故，移交公安机关并追究法律责任。</w:t>
      </w:r>
    </w:p>
    <w:p w14:paraId="747D0C44">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（6）不按</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要求使用电梯。</w:t>
      </w:r>
    </w:p>
    <w:p w14:paraId="30EF221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rPr>
        <w:t>、</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员工不服从</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管理人员工作安排，出现辱骂、恐吓、殴打</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管理人员、病人、家属等行为，按情节严重程度缴纳200—500元违约金，该员工调离该项目工作场所，</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并承担相应责任，涉及违法行为移交公安机关追究法律责任。</w:t>
      </w:r>
    </w:p>
    <w:p w14:paraId="014DF89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4、以上违约金由甲方主管部门当场记录在案，随管理费一同按季度缴纳。</w:t>
      </w:r>
    </w:p>
    <w:p w14:paraId="69A643B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bCs/>
          <w:color w:val="auto"/>
          <w:kern w:val="2"/>
          <w:sz w:val="21"/>
          <w:szCs w:val="21"/>
          <w:highlight w:val="none"/>
          <w:lang w:val="en-US" w:eastAsia="zh-Hans" w:bidi="ar-SA"/>
        </w:rPr>
      </w:pPr>
      <w:r>
        <w:rPr>
          <w:rFonts w:hint="eastAsia" w:asciiTheme="majorEastAsia" w:hAnsiTheme="majorEastAsia" w:eastAsiaTheme="majorEastAsia" w:cstheme="majorEastAsia"/>
          <w:b/>
          <w:bCs/>
          <w:color w:val="auto"/>
          <w:kern w:val="2"/>
          <w:sz w:val="21"/>
          <w:szCs w:val="21"/>
          <w:highlight w:val="none"/>
          <w:lang w:val="en-US" w:eastAsia="zh-CN" w:bidi="ar-SA"/>
        </w:rPr>
        <w:t>九、</w:t>
      </w:r>
      <w:r>
        <w:rPr>
          <w:rFonts w:hint="eastAsia" w:asciiTheme="majorEastAsia" w:hAnsiTheme="majorEastAsia" w:eastAsiaTheme="majorEastAsia" w:cstheme="majorEastAsia"/>
          <w:b/>
          <w:bCs/>
          <w:color w:val="auto"/>
          <w:kern w:val="2"/>
          <w:sz w:val="21"/>
          <w:szCs w:val="21"/>
          <w:highlight w:val="none"/>
          <w:lang w:val="en-US" w:eastAsia="zh-Hans" w:bidi="ar-SA"/>
        </w:rPr>
        <w:t>食堂运营管理考核机制</w:t>
      </w:r>
    </w:p>
    <w:p w14:paraId="06BC240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Hans" w:bidi="ar-SA"/>
        </w:rPr>
      </w:pPr>
      <w:r>
        <w:rPr>
          <w:rFonts w:hint="eastAsia" w:asciiTheme="majorEastAsia" w:hAnsiTheme="majorEastAsia" w:eastAsiaTheme="majorEastAsia" w:cstheme="majorEastAsia"/>
          <w:b w:val="0"/>
          <w:bCs w:val="0"/>
          <w:color w:val="auto"/>
          <w:kern w:val="2"/>
          <w:sz w:val="21"/>
          <w:szCs w:val="21"/>
          <w:highlight w:val="none"/>
          <w:lang w:val="en-US" w:eastAsia="zh-CN" w:bidi="ar-SA"/>
        </w:rPr>
        <w:t>甲方</w:t>
      </w:r>
      <w:r>
        <w:rPr>
          <w:rFonts w:hint="eastAsia" w:asciiTheme="majorEastAsia" w:hAnsiTheme="majorEastAsia" w:eastAsiaTheme="majorEastAsia" w:cstheme="majorEastAsia"/>
          <w:b w:val="0"/>
          <w:bCs w:val="0"/>
          <w:color w:val="auto"/>
          <w:kern w:val="2"/>
          <w:sz w:val="21"/>
          <w:szCs w:val="21"/>
          <w:highlight w:val="none"/>
          <w:lang w:val="en-US" w:eastAsia="zh-Hans" w:bidi="ar-SA"/>
        </w:rPr>
        <w:t>每季度组织考核验收小组对</w:t>
      </w:r>
      <w:r>
        <w:rPr>
          <w:rFonts w:hint="eastAsia" w:asciiTheme="majorEastAsia" w:hAnsiTheme="majorEastAsia" w:eastAsiaTheme="majorEastAsia" w:cstheme="majorEastAsia"/>
          <w:b w:val="0"/>
          <w:bCs w:val="0"/>
          <w:color w:val="auto"/>
          <w:kern w:val="2"/>
          <w:sz w:val="21"/>
          <w:szCs w:val="21"/>
          <w:highlight w:val="none"/>
          <w:lang w:val="en-US" w:eastAsia="zh-CN" w:bidi="ar-SA"/>
        </w:rPr>
        <w:t>乙方</w:t>
      </w:r>
      <w:r>
        <w:rPr>
          <w:rFonts w:hint="eastAsia" w:asciiTheme="majorEastAsia" w:hAnsiTheme="majorEastAsia" w:eastAsiaTheme="majorEastAsia" w:cstheme="majorEastAsia"/>
          <w:b w:val="0"/>
          <w:bCs w:val="0"/>
          <w:color w:val="auto"/>
          <w:kern w:val="2"/>
          <w:sz w:val="21"/>
          <w:szCs w:val="21"/>
          <w:highlight w:val="none"/>
          <w:lang w:val="en-US" w:eastAsia="zh-Hans" w:bidi="ar-SA"/>
        </w:rPr>
        <w:t>食堂运营管理服务保障工作质量进行考核，采取不计名评分，具体内容见</w:t>
      </w:r>
      <w:r>
        <w:rPr>
          <w:rFonts w:hint="eastAsia" w:asciiTheme="majorEastAsia" w:hAnsiTheme="majorEastAsia" w:eastAsiaTheme="majorEastAsia" w:cstheme="majorEastAsia"/>
          <w:b w:val="0"/>
          <w:bCs w:val="0"/>
          <w:color w:val="auto"/>
          <w:kern w:val="2"/>
          <w:sz w:val="21"/>
          <w:szCs w:val="21"/>
          <w:highlight w:val="none"/>
          <w:lang w:val="en-US" w:eastAsia="zh-CN" w:bidi="ar-SA"/>
        </w:rPr>
        <w:t>附件4</w:t>
      </w:r>
      <w:r>
        <w:rPr>
          <w:rFonts w:hint="eastAsia" w:asciiTheme="majorEastAsia" w:hAnsiTheme="majorEastAsia" w:eastAsiaTheme="majorEastAsia" w:cstheme="majorEastAsia"/>
          <w:b w:val="0"/>
          <w:bCs w:val="0"/>
          <w:color w:val="auto"/>
          <w:kern w:val="2"/>
          <w:sz w:val="21"/>
          <w:szCs w:val="21"/>
          <w:highlight w:val="none"/>
          <w:lang w:val="en-US" w:eastAsia="zh-Hans" w:bidi="ar-SA"/>
        </w:rPr>
        <w:t>《季度食堂运营管理服务考核评分表》。</w:t>
      </w:r>
    </w:p>
    <w:p w14:paraId="032E012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color w:val="auto"/>
          <w:sz w:val="21"/>
          <w:szCs w:val="21"/>
          <w:highlight w:val="none"/>
          <w:lang w:val="en-US" w:eastAsia="zh-Hans"/>
        </w:rPr>
      </w:pPr>
      <w:r>
        <w:rPr>
          <w:rFonts w:hint="eastAsia" w:asciiTheme="majorEastAsia" w:hAnsiTheme="majorEastAsia" w:eastAsiaTheme="majorEastAsia" w:cstheme="majorEastAsia"/>
          <w:color w:val="auto"/>
          <w:sz w:val="21"/>
          <w:szCs w:val="21"/>
          <w:highlight w:val="none"/>
          <w:lang w:val="en-US" w:eastAsia="zh-Hans"/>
        </w:rPr>
        <w:t>食材供应服务考核机制</w:t>
      </w:r>
    </w:p>
    <w:p w14:paraId="1B184110">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val="en-US" w:eastAsia="zh-Hans"/>
        </w:rPr>
        <w:t>每月组织考核验收小组对</w:t>
      </w:r>
      <w:r>
        <w:rPr>
          <w:rFonts w:hint="eastAsia" w:asciiTheme="majorEastAsia" w:hAnsiTheme="majorEastAsia" w:eastAsiaTheme="majorEastAsia" w:cstheme="majorEastAsia"/>
          <w:color w:val="auto"/>
          <w:sz w:val="21"/>
          <w:szCs w:val="21"/>
          <w:highlight w:val="none"/>
          <w:lang w:val="en-US" w:eastAsia="zh-CN"/>
        </w:rPr>
        <w:t>乙方</w:t>
      </w:r>
      <w:r>
        <w:rPr>
          <w:rFonts w:hint="eastAsia" w:asciiTheme="majorEastAsia" w:hAnsiTheme="majorEastAsia" w:eastAsiaTheme="majorEastAsia" w:cstheme="majorEastAsia"/>
          <w:color w:val="auto"/>
          <w:sz w:val="21"/>
          <w:szCs w:val="21"/>
          <w:highlight w:val="none"/>
          <w:lang w:val="en-US" w:eastAsia="zh-Hans"/>
        </w:rPr>
        <w:t>食材供应服务进行1次履约的考核、评估，评估采取市场调查、货品比较、现场考察服务质量等方式进行，具体内容见</w:t>
      </w:r>
      <w:r>
        <w:rPr>
          <w:rFonts w:hint="eastAsia" w:asciiTheme="majorEastAsia" w:hAnsiTheme="majorEastAsia" w:eastAsiaTheme="majorEastAsia" w:cstheme="majorEastAsia"/>
          <w:color w:val="auto"/>
          <w:sz w:val="21"/>
          <w:szCs w:val="21"/>
          <w:highlight w:val="none"/>
          <w:lang w:val="en-US" w:eastAsia="zh-CN"/>
        </w:rPr>
        <w:t>附件5</w:t>
      </w:r>
      <w:r>
        <w:rPr>
          <w:rFonts w:hint="eastAsia" w:asciiTheme="majorEastAsia" w:hAnsiTheme="majorEastAsia" w:eastAsiaTheme="majorEastAsia" w:cstheme="majorEastAsia"/>
          <w:color w:val="auto"/>
          <w:sz w:val="21"/>
          <w:szCs w:val="21"/>
          <w:highlight w:val="none"/>
          <w:lang w:val="en-US" w:eastAsia="zh-Hans"/>
        </w:rPr>
        <w:t>《月度食材供应服务考核评分表》。</w:t>
      </w:r>
    </w:p>
    <w:p w14:paraId="2FAFD57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1"/>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十、食品安全责任险</w:t>
      </w:r>
    </w:p>
    <w:p w14:paraId="433CD9E9">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在服务期内，由于原料加工、烹调过程引发的食品安全事故，由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承全部责任及费用。</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须在收到中选通知书后合同签订前购买食品安全责任险（</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在服务期内，由于原料加工、烹调过程引发的食品安全事故，由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承全部责任及费用。</w:t>
      </w:r>
      <w:r>
        <w:rPr>
          <w:rFonts w:hint="eastAsia" w:asciiTheme="majorEastAsia" w:hAnsiTheme="majorEastAsia" w:eastAsiaTheme="majorEastAsia" w:cstheme="majorEastAsia"/>
          <w:b w:val="0"/>
          <w:bCs w:val="0"/>
          <w:color w:val="auto"/>
          <w:sz w:val="21"/>
          <w:szCs w:val="21"/>
          <w:highlight w:val="none"/>
          <w:lang w:eastAsia="zh-CN"/>
        </w:rPr>
        <w:t>中标人</w:t>
      </w:r>
      <w:r>
        <w:rPr>
          <w:rFonts w:hint="eastAsia" w:asciiTheme="majorEastAsia" w:hAnsiTheme="majorEastAsia" w:eastAsiaTheme="majorEastAsia" w:cstheme="majorEastAsia"/>
          <w:b w:val="0"/>
          <w:bCs w:val="0"/>
          <w:color w:val="auto"/>
          <w:sz w:val="21"/>
          <w:szCs w:val="21"/>
          <w:highlight w:val="none"/>
        </w:rPr>
        <w:t>须在收到中选通知书后合同签订前购买食品安全责任险</w:t>
      </w:r>
      <w:r>
        <w:rPr>
          <w:rFonts w:hint="eastAsia" w:asciiTheme="majorEastAsia" w:hAnsiTheme="majorEastAsia" w:eastAsiaTheme="majorEastAsia" w:cstheme="majorEastAsia"/>
          <w:b/>
          <w:bCs/>
          <w:color w:val="auto"/>
          <w:sz w:val="21"/>
          <w:szCs w:val="21"/>
          <w:highlight w:val="none"/>
          <w:u w:val="single"/>
          <w:lang w:val="en-US" w:eastAsia="zh-CN"/>
        </w:rPr>
        <w:t xml:space="preserve">保费金额   </w:t>
      </w:r>
      <w:r>
        <w:rPr>
          <w:rFonts w:hint="eastAsia" w:asciiTheme="majorEastAsia" w:hAnsiTheme="majorEastAsia" w:eastAsiaTheme="majorEastAsia" w:cstheme="majorEastAsia"/>
          <w:b w:val="0"/>
          <w:bCs w:val="0"/>
          <w:color w:val="auto"/>
          <w:sz w:val="21"/>
          <w:szCs w:val="21"/>
          <w:highlight w:val="none"/>
        </w:rPr>
        <w:t>，购买的保单复印件交由</w:t>
      </w:r>
      <w:r>
        <w:rPr>
          <w:rFonts w:hint="eastAsia" w:asciiTheme="majorEastAsia" w:hAnsiTheme="majorEastAsia" w:eastAsiaTheme="majorEastAsia" w:cstheme="majorEastAsia"/>
          <w:b w:val="0"/>
          <w:bCs w:val="0"/>
          <w:color w:val="auto"/>
          <w:sz w:val="21"/>
          <w:szCs w:val="21"/>
          <w:highlight w:val="none"/>
          <w:lang w:eastAsia="zh-CN"/>
        </w:rPr>
        <w:t>招标人</w:t>
      </w:r>
      <w:r>
        <w:rPr>
          <w:rFonts w:hint="eastAsia" w:asciiTheme="majorEastAsia" w:hAnsiTheme="majorEastAsia" w:eastAsiaTheme="majorEastAsia" w:cstheme="majorEastAsia"/>
          <w:b w:val="0"/>
          <w:bCs w:val="0"/>
          <w:color w:val="auto"/>
          <w:sz w:val="21"/>
          <w:szCs w:val="21"/>
          <w:highlight w:val="none"/>
        </w:rPr>
        <w:t>存档，如未能按时购买，视为</w:t>
      </w:r>
      <w:r>
        <w:rPr>
          <w:rFonts w:hint="eastAsia" w:asciiTheme="majorEastAsia" w:hAnsiTheme="majorEastAsia" w:eastAsiaTheme="majorEastAsia" w:cstheme="majorEastAsia"/>
          <w:b w:val="0"/>
          <w:bCs w:val="0"/>
          <w:color w:val="auto"/>
          <w:sz w:val="21"/>
          <w:szCs w:val="21"/>
          <w:highlight w:val="none"/>
          <w:lang w:eastAsia="zh-CN"/>
        </w:rPr>
        <w:t>中标人</w:t>
      </w:r>
      <w:r>
        <w:rPr>
          <w:rFonts w:hint="eastAsia" w:asciiTheme="majorEastAsia" w:hAnsiTheme="majorEastAsia" w:eastAsiaTheme="majorEastAsia" w:cstheme="majorEastAsia"/>
          <w:b w:val="0"/>
          <w:bCs w:val="0"/>
          <w:color w:val="auto"/>
          <w:sz w:val="21"/>
          <w:szCs w:val="21"/>
          <w:highlight w:val="none"/>
        </w:rPr>
        <w:t>自愿放弃成交资格、拒绝与</w:t>
      </w:r>
      <w:r>
        <w:rPr>
          <w:rFonts w:hint="eastAsia" w:asciiTheme="majorEastAsia" w:hAnsiTheme="majorEastAsia" w:eastAsiaTheme="majorEastAsia" w:cstheme="majorEastAsia"/>
          <w:b w:val="0"/>
          <w:bCs w:val="0"/>
          <w:color w:val="auto"/>
          <w:sz w:val="21"/>
          <w:szCs w:val="21"/>
          <w:highlight w:val="none"/>
          <w:lang w:eastAsia="zh-CN"/>
        </w:rPr>
        <w:t>招标人</w:t>
      </w:r>
      <w:r>
        <w:rPr>
          <w:rFonts w:hint="eastAsia" w:asciiTheme="majorEastAsia" w:hAnsiTheme="majorEastAsia" w:eastAsiaTheme="majorEastAsia" w:cstheme="majorEastAsia"/>
          <w:b w:val="0"/>
          <w:bCs w:val="0"/>
          <w:color w:val="auto"/>
          <w:sz w:val="21"/>
          <w:szCs w:val="21"/>
          <w:highlight w:val="none"/>
        </w:rPr>
        <w:t>签订合同，一切经济损失由</w:t>
      </w:r>
      <w:r>
        <w:rPr>
          <w:rFonts w:hint="eastAsia" w:asciiTheme="majorEastAsia" w:hAnsiTheme="majorEastAsia" w:eastAsiaTheme="majorEastAsia" w:cstheme="majorEastAsia"/>
          <w:b w:val="0"/>
          <w:bCs w:val="0"/>
          <w:color w:val="auto"/>
          <w:sz w:val="21"/>
          <w:szCs w:val="21"/>
          <w:highlight w:val="none"/>
          <w:lang w:eastAsia="zh-CN"/>
        </w:rPr>
        <w:t>中标人</w:t>
      </w:r>
      <w:r>
        <w:rPr>
          <w:rFonts w:hint="eastAsia" w:asciiTheme="majorEastAsia" w:hAnsiTheme="majorEastAsia" w:eastAsiaTheme="majorEastAsia" w:cstheme="majorEastAsia"/>
          <w:b w:val="0"/>
          <w:bCs w:val="0"/>
          <w:color w:val="auto"/>
          <w:sz w:val="21"/>
          <w:szCs w:val="21"/>
          <w:highlight w:val="none"/>
        </w:rPr>
        <w:t>承担。</w:t>
      </w:r>
      <w:r>
        <w:rPr>
          <w:rFonts w:hint="eastAsia" w:asciiTheme="majorEastAsia" w:hAnsiTheme="majorEastAsia" w:eastAsiaTheme="majorEastAsia" w:cstheme="majorEastAsia"/>
          <w:b w:val="0"/>
          <w:bCs w:val="0"/>
          <w:color w:val="auto"/>
          <w:sz w:val="21"/>
          <w:szCs w:val="21"/>
          <w:highlight w:val="none"/>
          <w:lang w:eastAsia="zh-CN"/>
        </w:rPr>
        <w:t>招标人</w:t>
      </w:r>
      <w:r>
        <w:rPr>
          <w:rFonts w:hint="eastAsia" w:asciiTheme="majorEastAsia" w:hAnsiTheme="majorEastAsia" w:eastAsiaTheme="majorEastAsia" w:cstheme="majorEastAsia"/>
          <w:b w:val="0"/>
          <w:bCs w:val="0"/>
          <w:color w:val="auto"/>
          <w:sz w:val="21"/>
          <w:szCs w:val="21"/>
          <w:highlight w:val="none"/>
        </w:rPr>
        <w:t>可以重新开展</w:t>
      </w:r>
      <w:r>
        <w:rPr>
          <w:rFonts w:hint="eastAsia" w:asciiTheme="majorEastAsia" w:hAnsiTheme="majorEastAsia" w:eastAsiaTheme="majorEastAsia" w:cstheme="majorEastAsia"/>
          <w:b w:val="0"/>
          <w:bCs w:val="0"/>
          <w:color w:val="auto"/>
          <w:sz w:val="21"/>
          <w:szCs w:val="21"/>
          <w:highlight w:val="none"/>
          <w:lang w:eastAsia="zh-CN"/>
        </w:rPr>
        <w:t>采购</w:t>
      </w:r>
      <w:r>
        <w:rPr>
          <w:rFonts w:hint="eastAsia" w:asciiTheme="majorEastAsia" w:hAnsiTheme="majorEastAsia" w:eastAsiaTheme="majorEastAsia" w:cstheme="majorEastAsia"/>
          <w:b w:val="0"/>
          <w:bCs w:val="0"/>
          <w:color w:val="auto"/>
          <w:sz w:val="21"/>
          <w:szCs w:val="21"/>
          <w:highlight w:val="none"/>
        </w:rPr>
        <w:t>活动，也可以按照评审报告推荐的中选候选人名单排序，确定序列的下一候选人为</w:t>
      </w:r>
      <w:r>
        <w:rPr>
          <w:rFonts w:hint="eastAsia" w:asciiTheme="majorEastAsia" w:hAnsiTheme="majorEastAsia" w:eastAsiaTheme="majorEastAsia" w:cstheme="majorEastAsia"/>
          <w:b w:val="0"/>
          <w:bCs w:val="0"/>
          <w:color w:val="auto"/>
          <w:sz w:val="21"/>
          <w:szCs w:val="21"/>
          <w:highlight w:val="none"/>
          <w:lang w:eastAsia="zh-CN"/>
        </w:rPr>
        <w:t>中标人</w:t>
      </w:r>
      <w:r>
        <w:rPr>
          <w:rFonts w:hint="eastAsia" w:asciiTheme="majorEastAsia" w:hAnsiTheme="majorEastAsia" w:eastAsiaTheme="majorEastAsia" w:cstheme="majorEastAsia"/>
          <w:b w:val="0"/>
          <w:bCs w:val="0"/>
          <w:color w:val="auto"/>
          <w:sz w:val="21"/>
          <w:szCs w:val="21"/>
          <w:highlight w:val="none"/>
        </w:rPr>
        <w:t>。若遇特殊情况须延后购买的，</w:t>
      </w:r>
      <w:r>
        <w:rPr>
          <w:rFonts w:hint="eastAsia" w:asciiTheme="majorEastAsia" w:hAnsiTheme="majorEastAsia" w:eastAsiaTheme="majorEastAsia" w:cstheme="majorEastAsia"/>
          <w:b w:val="0"/>
          <w:bCs w:val="0"/>
          <w:color w:val="auto"/>
          <w:sz w:val="21"/>
          <w:szCs w:val="21"/>
          <w:highlight w:val="none"/>
          <w:lang w:eastAsia="zh-CN"/>
        </w:rPr>
        <w:t>中标人</w:t>
      </w:r>
      <w:r>
        <w:rPr>
          <w:rFonts w:hint="eastAsia" w:asciiTheme="majorEastAsia" w:hAnsiTheme="majorEastAsia" w:eastAsiaTheme="majorEastAsia" w:cstheme="majorEastAsia"/>
          <w:b w:val="0"/>
          <w:bCs w:val="0"/>
          <w:color w:val="auto"/>
          <w:sz w:val="21"/>
          <w:szCs w:val="21"/>
          <w:highlight w:val="none"/>
        </w:rPr>
        <w:t>应提早向</w:t>
      </w:r>
      <w:r>
        <w:rPr>
          <w:rFonts w:hint="eastAsia" w:asciiTheme="majorEastAsia" w:hAnsiTheme="majorEastAsia" w:eastAsiaTheme="majorEastAsia" w:cstheme="majorEastAsia"/>
          <w:b w:val="0"/>
          <w:bCs w:val="0"/>
          <w:color w:val="auto"/>
          <w:sz w:val="21"/>
          <w:szCs w:val="21"/>
          <w:highlight w:val="none"/>
          <w:lang w:eastAsia="zh-CN"/>
        </w:rPr>
        <w:t>招标人</w:t>
      </w:r>
      <w:r>
        <w:rPr>
          <w:rFonts w:hint="eastAsia" w:asciiTheme="majorEastAsia" w:hAnsiTheme="majorEastAsia" w:eastAsiaTheme="majorEastAsia" w:cstheme="majorEastAsia"/>
          <w:b w:val="0"/>
          <w:bCs w:val="0"/>
          <w:color w:val="auto"/>
          <w:sz w:val="21"/>
          <w:szCs w:val="21"/>
          <w:highlight w:val="none"/>
        </w:rPr>
        <w:t>书面申请并经</w:t>
      </w:r>
      <w:r>
        <w:rPr>
          <w:rFonts w:hint="eastAsia" w:asciiTheme="majorEastAsia" w:hAnsiTheme="majorEastAsia" w:eastAsiaTheme="majorEastAsia" w:cstheme="majorEastAsia"/>
          <w:b w:val="0"/>
          <w:bCs w:val="0"/>
          <w:color w:val="auto"/>
          <w:sz w:val="21"/>
          <w:szCs w:val="21"/>
          <w:highlight w:val="none"/>
          <w:lang w:eastAsia="zh-CN"/>
        </w:rPr>
        <w:t>招标人</w:t>
      </w:r>
      <w:r>
        <w:rPr>
          <w:rFonts w:hint="eastAsia" w:asciiTheme="majorEastAsia" w:hAnsiTheme="majorEastAsia" w:eastAsiaTheme="majorEastAsia" w:cstheme="majorEastAsia"/>
          <w:b w:val="0"/>
          <w:bCs w:val="0"/>
          <w:color w:val="auto"/>
          <w:sz w:val="21"/>
          <w:szCs w:val="21"/>
          <w:highlight w:val="none"/>
        </w:rPr>
        <w:t>同意后方可延期。</w:t>
      </w:r>
    </w:p>
    <w:p w14:paraId="738D18A1">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十一、验收标准</w:t>
      </w:r>
    </w:p>
    <w:p w14:paraId="371CEDE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rPr>
        <w:t>（1）价格方面，包括</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是否按照合同约定套餐价格标准供应饭菜，是否根据</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的需求调整菜式；</w:t>
      </w:r>
    </w:p>
    <w:p w14:paraId="0765C16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rPr>
        <w:t>（2）时间方面，包括</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是否在规定的时间内提供</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所需数量的食品，能否及时提供应急预案应对突发状况，能否按时按索票验证的要求提供票证等；</w:t>
      </w:r>
    </w:p>
    <w:p w14:paraId="38AC449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rPr>
        <w:t>（3）供餐质量方面，包括</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供应的</w:t>
      </w:r>
      <w:r>
        <w:rPr>
          <w:rFonts w:hint="eastAsia" w:asciiTheme="majorEastAsia" w:hAnsiTheme="majorEastAsia" w:eastAsiaTheme="majorEastAsia" w:cstheme="majorEastAsia"/>
          <w:b w:val="0"/>
          <w:bCs w:val="0"/>
          <w:color w:val="auto"/>
          <w:sz w:val="21"/>
          <w:szCs w:val="21"/>
          <w:highlight w:val="none"/>
          <w:lang w:val="en-US" w:eastAsia="zh-CN"/>
        </w:rPr>
        <w:t>餐食</w:t>
      </w:r>
      <w:r>
        <w:rPr>
          <w:rFonts w:hint="eastAsia" w:asciiTheme="majorEastAsia" w:hAnsiTheme="majorEastAsia" w:eastAsiaTheme="majorEastAsia" w:cstheme="majorEastAsia"/>
          <w:b w:val="0"/>
          <w:bCs w:val="0"/>
          <w:color w:val="auto"/>
          <w:sz w:val="21"/>
          <w:szCs w:val="21"/>
          <w:highlight w:val="none"/>
        </w:rPr>
        <w:t>是否完全符合</w:t>
      </w:r>
      <w:r>
        <w:rPr>
          <w:rFonts w:hint="eastAsia" w:asciiTheme="majorEastAsia" w:hAnsiTheme="majorEastAsia" w:eastAsiaTheme="majorEastAsia" w:cstheme="majorEastAsia"/>
          <w:b w:val="0"/>
          <w:bCs w:val="0"/>
          <w:color w:val="auto"/>
          <w:sz w:val="21"/>
          <w:szCs w:val="21"/>
          <w:highlight w:val="none"/>
          <w:lang w:val="en-US" w:eastAsia="zh-CN"/>
        </w:rPr>
        <w:t>招标</w:t>
      </w:r>
      <w:r>
        <w:rPr>
          <w:rFonts w:hint="eastAsia" w:asciiTheme="majorEastAsia" w:hAnsiTheme="majorEastAsia" w:eastAsiaTheme="majorEastAsia" w:cstheme="majorEastAsia"/>
          <w:b w:val="0"/>
          <w:bCs w:val="0"/>
          <w:color w:val="auto"/>
          <w:sz w:val="21"/>
          <w:szCs w:val="21"/>
          <w:highlight w:val="none"/>
        </w:rPr>
        <w:t>文件及合同规定的份量、质量、规格、新鲜度；就餐环境卫生是否符合要求；饭菜卫生安全是否严控等等；</w:t>
      </w:r>
    </w:p>
    <w:p w14:paraId="713900F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rPr>
        <w:t>（4）服务态度方面，包括</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是否按</w:t>
      </w:r>
      <w:r>
        <w:rPr>
          <w:rFonts w:hint="eastAsia" w:asciiTheme="majorEastAsia" w:hAnsiTheme="majorEastAsia" w:eastAsiaTheme="majorEastAsia" w:cstheme="majorEastAsia"/>
          <w:b w:val="0"/>
          <w:bCs w:val="0"/>
          <w:color w:val="auto"/>
          <w:sz w:val="21"/>
          <w:szCs w:val="21"/>
          <w:highlight w:val="none"/>
          <w:lang w:val="en-US" w:eastAsia="zh-CN"/>
        </w:rPr>
        <w:t>所中选</w:t>
      </w:r>
      <w:r>
        <w:rPr>
          <w:rFonts w:hint="eastAsia" w:asciiTheme="majorEastAsia" w:hAnsiTheme="majorEastAsia" w:eastAsiaTheme="majorEastAsia" w:cstheme="majorEastAsia"/>
          <w:b w:val="0"/>
          <w:bCs w:val="0"/>
          <w:color w:val="auto"/>
          <w:sz w:val="21"/>
          <w:szCs w:val="21"/>
          <w:highlight w:val="none"/>
        </w:rPr>
        <w:t>项目或</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批复同意的范围内供应，服务是否及时、周到、良好等内容；开餐时间内是否足量供应并根据环境供应饭菜等内容；</w:t>
      </w:r>
    </w:p>
    <w:p w14:paraId="6B6675D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（5）其他，包括但不限于</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认为应当对</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进行考核的其他内容。</w:t>
      </w:r>
    </w:p>
    <w:p w14:paraId="1CE70ACA">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9"/>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十二、监督管理</w:t>
      </w:r>
    </w:p>
    <w:p w14:paraId="792F6D40">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积极配合</w:t>
      </w:r>
      <w:r>
        <w:rPr>
          <w:rFonts w:hint="eastAsia" w:asciiTheme="majorEastAsia" w:hAnsiTheme="majorEastAsia" w:eastAsiaTheme="majorEastAsia" w:cstheme="majorEastAsia"/>
          <w:b w:val="0"/>
          <w:bCs w:val="0"/>
          <w:color w:val="auto"/>
          <w:sz w:val="21"/>
          <w:szCs w:val="21"/>
          <w:highlight w:val="none"/>
          <w:lang w:val="en-US" w:eastAsia="zh-CN"/>
        </w:rPr>
        <w:t>甲方</w:t>
      </w:r>
      <w:r>
        <w:rPr>
          <w:rFonts w:hint="eastAsia" w:asciiTheme="majorEastAsia" w:hAnsiTheme="majorEastAsia" w:eastAsiaTheme="majorEastAsia" w:cstheme="majorEastAsia"/>
          <w:b w:val="0"/>
          <w:bCs w:val="0"/>
          <w:color w:val="auto"/>
          <w:sz w:val="21"/>
          <w:szCs w:val="21"/>
          <w:highlight w:val="none"/>
        </w:rPr>
        <w:t>的监督管理工作，接受各有关部门和病患和家属组织的对原材料采购、生产流程、消毒保洁、饭菜价格及质量、服务规范等方面的全面监控，接受上级卫生部门的抽检要求和</w:t>
      </w:r>
      <w:r>
        <w:rPr>
          <w:rFonts w:hint="eastAsia" w:asciiTheme="majorEastAsia" w:hAnsiTheme="majorEastAsia" w:eastAsiaTheme="majorEastAsia" w:cstheme="majorEastAsia"/>
          <w:b w:val="0"/>
          <w:bCs w:val="0"/>
          <w:color w:val="auto"/>
          <w:sz w:val="21"/>
          <w:szCs w:val="21"/>
          <w:highlight w:val="none"/>
          <w:lang w:eastAsia="zh-CN"/>
        </w:rPr>
        <w:t>招标人</w:t>
      </w:r>
      <w:r>
        <w:rPr>
          <w:rFonts w:hint="eastAsia" w:asciiTheme="majorEastAsia" w:hAnsiTheme="majorEastAsia" w:eastAsiaTheme="majorEastAsia" w:cstheme="majorEastAsia"/>
          <w:b w:val="0"/>
          <w:bCs w:val="0"/>
          <w:color w:val="auto"/>
          <w:sz w:val="21"/>
          <w:szCs w:val="21"/>
          <w:highlight w:val="none"/>
        </w:rPr>
        <w:t>的送检要求（</w:t>
      </w:r>
      <w:r>
        <w:rPr>
          <w:rFonts w:hint="eastAsia" w:asciiTheme="majorEastAsia" w:hAnsiTheme="majorEastAsia" w:eastAsiaTheme="majorEastAsia" w:cstheme="majorEastAsia"/>
          <w:b w:val="0"/>
          <w:bCs w:val="0"/>
          <w:color w:val="auto"/>
          <w:sz w:val="21"/>
          <w:szCs w:val="21"/>
          <w:highlight w:val="none"/>
          <w:lang w:val="en-US" w:eastAsia="zh-CN"/>
        </w:rPr>
        <w:t>包括但不限于</w:t>
      </w:r>
      <w:r>
        <w:rPr>
          <w:rFonts w:hint="eastAsia" w:asciiTheme="majorEastAsia" w:hAnsiTheme="majorEastAsia" w:eastAsiaTheme="majorEastAsia" w:cstheme="majorEastAsia"/>
          <w:b w:val="0"/>
          <w:bCs w:val="0"/>
          <w:color w:val="auto"/>
          <w:sz w:val="21"/>
          <w:szCs w:val="21"/>
          <w:highlight w:val="none"/>
        </w:rPr>
        <w:t>餐具每年随机抽样</w:t>
      </w:r>
      <w:r>
        <w:rPr>
          <w:rFonts w:hint="eastAsia" w:asciiTheme="majorEastAsia" w:hAnsiTheme="majorEastAsia" w:eastAsiaTheme="majorEastAsia" w:cstheme="majorEastAsia"/>
          <w:b w:val="0"/>
          <w:bCs w:val="0"/>
          <w:color w:val="auto"/>
          <w:sz w:val="21"/>
          <w:szCs w:val="21"/>
          <w:highlight w:val="none"/>
          <w:lang w:val="en-US" w:eastAsia="zh-CN"/>
        </w:rPr>
        <w:t>送国家认可的有资质第三方检测，</w:t>
      </w:r>
      <w:r>
        <w:rPr>
          <w:rFonts w:hint="eastAsia" w:asciiTheme="majorEastAsia" w:hAnsiTheme="majorEastAsia" w:eastAsiaTheme="majorEastAsia" w:cstheme="majorEastAsia"/>
          <w:b w:val="0"/>
          <w:bCs w:val="0"/>
          <w:color w:val="auto"/>
          <w:sz w:val="21"/>
          <w:szCs w:val="21"/>
          <w:highlight w:val="none"/>
        </w:rPr>
        <w:t>送检两次，送检过程中发生的一切费用由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承担），</w:t>
      </w:r>
      <w:r>
        <w:rPr>
          <w:rFonts w:hint="eastAsia" w:asciiTheme="majorEastAsia" w:hAnsiTheme="majorEastAsia" w:eastAsiaTheme="majorEastAsia" w:cstheme="majorEastAsia"/>
          <w:b w:val="0"/>
          <w:bCs w:val="0"/>
          <w:color w:val="auto"/>
          <w:sz w:val="21"/>
          <w:szCs w:val="21"/>
          <w:highlight w:val="none"/>
          <w:lang w:val="en-US" w:eastAsia="zh-CN"/>
        </w:rPr>
        <w:t>乙方</w:t>
      </w:r>
      <w:r>
        <w:rPr>
          <w:rFonts w:hint="eastAsia" w:asciiTheme="majorEastAsia" w:hAnsiTheme="majorEastAsia" w:eastAsiaTheme="majorEastAsia" w:cstheme="majorEastAsia"/>
          <w:b w:val="0"/>
          <w:bCs w:val="0"/>
          <w:color w:val="auto"/>
          <w:sz w:val="21"/>
          <w:szCs w:val="21"/>
          <w:highlight w:val="none"/>
        </w:rPr>
        <w:t>对检验结果负责。</w:t>
      </w:r>
    </w:p>
    <w:p w14:paraId="4F041AA7">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9"/>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十三、名誉保障</w:t>
      </w:r>
    </w:p>
    <w:p w14:paraId="356FCDD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9"/>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val="en-US" w:eastAsia="zh-CN"/>
        </w:rPr>
        <w:t>任何时候乙方均不得使用“中山大学孙逸仙纪念医院深汕中心医院”或采甲方的任何部门的名义对外发生任何业务关系。乙方对其开展的一切业务独立承担相关法律责任，本项目服务期内乙方的所有商业纠纷、劳动纠纷等均与甲方无关。</w:t>
      </w:r>
    </w:p>
    <w:p w14:paraId="1685BF76">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1"/>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十四、</w:t>
      </w:r>
      <w:r>
        <w:rPr>
          <w:rFonts w:hint="eastAsia" w:asciiTheme="majorEastAsia" w:hAnsiTheme="majorEastAsia" w:eastAsiaTheme="majorEastAsia" w:cstheme="majorEastAsia"/>
          <w:b/>
          <w:bCs/>
          <w:color w:val="auto"/>
          <w:sz w:val="21"/>
          <w:szCs w:val="21"/>
          <w:highlight w:val="none"/>
        </w:rPr>
        <w:t>以下费用由</w:t>
      </w:r>
      <w:r>
        <w:rPr>
          <w:rFonts w:hint="eastAsia" w:asciiTheme="majorEastAsia" w:hAnsiTheme="majorEastAsia" w:eastAsiaTheme="majorEastAsia" w:cstheme="majorEastAsia"/>
          <w:b/>
          <w:bCs/>
          <w:color w:val="auto"/>
          <w:sz w:val="21"/>
          <w:szCs w:val="21"/>
          <w:highlight w:val="none"/>
          <w:lang w:eastAsia="zh-CN"/>
        </w:rPr>
        <w:t>乙方</w:t>
      </w:r>
      <w:r>
        <w:rPr>
          <w:rFonts w:hint="eastAsia" w:asciiTheme="majorEastAsia" w:hAnsiTheme="majorEastAsia" w:eastAsiaTheme="majorEastAsia" w:cstheme="majorEastAsia"/>
          <w:b/>
          <w:bCs/>
          <w:color w:val="auto"/>
          <w:sz w:val="21"/>
          <w:szCs w:val="21"/>
          <w:highlight w:val="none"/>
        </w:rPr>
        <w:t>承担：</w:t>
      </w:r>
    </w:p>
    <w:p w14:paraId="17D1AD5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1</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食材（如肉类、家禽、水产、粮油、调料、副食等烹饪所需食材）、一次性餐盒、餐具、机用清洗液、洗洁精、保鲜膜（袋）、纸杯、纸巾等。</w:t>
      </w:r>
    </w:p>
    <w:p w14:paraId="5B982EF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聘请驻场职工的薪资、住宿费、培训费、健康证、工作服饰购置费、劳保用品及其他福利津贴待遇等费用。</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对食堂的经营管理、职工工资发放、社保福利、工伤保险等必须严格执行国家、省、市的劳动法规；保持安全团结，防止矛盾激发引起的投毒事故发生；确保职工的权益不受侵犯。在经营过程中与职工发生的一切纠纷均与</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无关。</w:t>
      </w:r>
    </w:p>
    <w:p w14:paraId="7F44A2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3</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厨房所需的消耗品，如：文具、纸张、帽子、口罩、围裙、手套、水鞋、百洁布、垃圾袋、砧板、刀具、刀架、剪刀、笊篱、锅铲、滤油器、擀面棍、食物夹、量杯、裱花嘴、裱花袋、网纹胶管、清洁用具、洗菜装菜篮子、锅铲、蒸笼、蒸笼盖、蒸笼垫、刀架等相关厨房所需消耗品。</w:t>
      </w:r>
    </w:p>
    <w:p w14:paraId="7770A1F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4</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企业经营所需的相关设备、办公用品与耗材，如：电脑、路由器、打印机、墨盒、文具、纸张、宣传所需软硬设施、社保资料、入职资料等。</w:t>
      </w:r>
    </w:p>
    <w:p w14:paraId="0563C0F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5</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举办饮食文化活动所需的额外人力资源、装饰与宣传的相关设计与物料购置。</w:t>
      </w:r>
    </w:p>
    <w:p w14:paraId="0865540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6</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提供给</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使用的设备（</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现场实际为准），维修保养费用由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承担。</w:t>
      </w:r>
    </w:p>
    <w:p w14:paraId="6172F33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7</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中标人需配合医院完成医院订餐收费系统与医院统一门户对接和后勤信息化系统的建设。</w:t>
      </w:r>
    </w:p>
    <w:p w14:paraId="58E12A2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8</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rPr>
        <w:t>所有食材的配送由</w:t>
      </w: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rPr>
        <w:t>自行解决，</w:t>
      </w:r>
      <w:r>
        <w:rPr>
          <w:rFonts w:hint="eastAsia" w:asciiTheme="majorEastAsia" w:hAnsiTheme="majorEastAsia" w:eastAsiaTheme="majorEastAsia" w:cstheme="majorEastAsia"/>
          <w:b w:val="0"/>
          <w:bCs w:val="0"/>
          <w:color w:val="auto"/>
          <w:sz w:val="21"/>
          <w:szCs w:val="21"/>
          <w:highlight w:val="none"/>
          <w:lang w:eastAsia="zh-CN"/>
        </w:rPr>
        <w:t>甲方</w:t>
      </w:r>
      <w:r>
        <w:rPr>
          <w:rFonts w:hint="eastAsia" w:asciiTheme="majorEastAsia" w:hAnsiTheme="majorEastAsia" w:eastAsiaTheme="majorEastAsia" w:cstheme="majorEastAsia"/>
          <w:b w:val="0"/>
          <w:bCs w:val="0"/>
          <w:color w:val="auto"/>
          <w:sz w:val="21"/>
          <w:szCs w:val="21"/>
          <w:highlight w:val="none"/>
        </w:rPr>
        <w:t>不支付任何费用。</w:t>
      </w:r>
    </w:p>
    <w:p w14:paraId="16C6887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9）乙方根据实际需要自行配置设备设施，投入费用由乙方承担。</w:t>
      </w:r>
    </w:p>
    <w:p w14:paraId="3DAAD68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1"/>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（10）本项目二期后勤信息化建设（含软件系统开发、升级、维保以及硬件设备），由乙方负责提供，具体金额、数量、及参数要求需与甲方商议。上述软硬件系统费用已包含在合同中，甲方不再另行支付</w:t>
      </w:r>
    </w:p>
    <w:p w14:paraId="1D3E591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left"/>
        <w:textAlignment w:val="auto"/>
        <w:outlineLvl w:val="9"/>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（11）乙方负责经营所产生的二次装修费用及设备购置费用，包括但不限于新建、拆改、垃圾清运、验收等</w:t>
      </w:r>
    </w:p>
    <w:p w14:paraId="796F1A7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十五、管理费</w:t>
      </w:r>
    </w:p>
    <w:p w14:paraId="62FFED6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1、乙方向甲方缴纳管理费为：______元/m²</w:t>
      </w:r>
    </w:p>
    <w:p w14:paraId="55C6FAB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2、本项目乙方需向甲方缴纳管理费。管理费金额是按照医院实际使用面积2852平方米报价。</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2"/>
        <w:gridCol w:w="1806"/>
        <w:gridCol w:w="1754"/>
        <w:gridCol w:w="2853"/>
        <w:gridCol w:w="3639"/>
      </w:tblGrid>
      <w:tr w14:paraId="29CF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4" w:hRule="atLeast"/>
        </w:trPr>
        <w:tc>
          <w:tcPr>
            <w:tcW w:w="108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247A4D">
            <w:pPr>
              <w:keepNext w:val="0"/>
              <w:keepLines w:val="0"/>
              <w:widowControl w:val="0"/>
              <w:suppressLineNumbers w:val="0"/>
              <w:autoSpaceDE w:val="0"/>
              <w:autoSpaceDN/>
              <w:spacing w:before="0" w:beforeAutospacing="0" w:after="0" w:afterAutospacing="0" w:line="360" w:lineRule="auto"/>
              <w:ind w:left="0" w:right="0" w:firstLine="420" w:firstLineChars="200"/>
              <w:jc w:val="center"/>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食堂按面积收取管理费方案报价（元/月）</w:t>
            </w:r>
          </w:p>
        </w:tc>
      </w:tr>
      <w:tr w14:paraId="7CCF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303829C2">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序号</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14:paraId="65C0A62A">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承包范围</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4A8426D0">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实用面积(m²)</w:t>
            </w:r>
          </w:p>
        </w:tc>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14:paraId="2259F30C">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乙方填写元/m²(≥15元)</w:t>
            </w:r>
          </w:p>
        </w:tc>
        <w:tc>
          <w:tcPr>
            <w:tcW w:w="3639" w:type="dxa"/>
            <w:tcBorders>
              <w:top w:val="single" w:color="auto" w:sz="4" w:space="0"/>
              <w:left w:val="single" w:color="auto" w:sz="4" w:space="0"/>
              <w:bottom w:val="single" w:color="auto" w:sz="4" w:space="0"/>
              <w:right w:val="single" w:color="auto" w:sz="4" w:space="0"/>
            </w:tcBorders>
            <w:shd w:val="clear" w:color="auto" w:fill="auto"/>
            <w:vAlign w:val="center"/>
          </w:tcPr>
          <w:p w14:paraId="7DCA9058">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合计</w:t>
            </w:r>
          </w:p>
        </w:tc>
      </w:tr>
      <w:tr w14:paraId="6E93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5" w:hRule="atLeast"/>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AAE18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firstLine="0" w:firstLineChars="0"/>
              <w:jc w:val="left"/>
              <w:textAlignment w:val="auto"/>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租赁范围</w:t>
            </w:r>
          </w:p>
        </w:tc>
        <w:tc>
          <w:tcPr>
            <w:tcW w:w="1806" w:type="dxa"/>
            <w:tcBorders>
              <w:top w:val="single" w:color="auto" w:sz="4" w:space="0"/>
              <w:left w:val="single" w:color="auto" w:sz="4" w:space="0"/>
              <w:bottom w:val="single" w:color="auto" w:sz="4" w:space="0"/>
              <w:right w:val="single" w:color="auto" w:sz="4" w:space="0"/>
            </w:tcBorders>
            <w:shd w:val="clear" w:color="auto" w:fill="auto"/>
            <w:vAlign w:val="center"/>
          </w:tcPr>
          <w:p w14:paraId="64A368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firstLine="420" w:firstLineChars="200"/>
              <w:jc w:val="left"/>
              <w:textAlignment w:val="auto"/>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二期食堂+</w:t>
            </w:r>
          </w:p>
          <w:p w14:paraId="49D01B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firstLine="420" w:firstLineChars="200"/>
              <w:jc w:val="left"/>
              <w:textAlignment w:val="auto"/>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一期1F食堂</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02682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00" w:lineRule="exact"/>
              <w:ind w:left="0" w:right="0" w:firstLine="420" w:firstLineChars="200"/>
              <w:jc w:val="left"/>
              <w:textAlignment w:val="auto"/>
              <w:rPr>
                <w:rFonts w:hint="eastAsia" w:asciiTheme="majorEastAsia" w:hAnsiTheme="majorEastAsia" w:eastAsiaTheme="majorEastAsia" w:cstheme="majorEastAsia"/>
                <w:b w:val="0"/>
                <w:bCs w:val="0"/>
                <w:kern w:val="2"/>
                <w:sz w:val="21"/>
                <w:szCs w:val="21"/>
                <w:highlight w:val="none"/>
              </w:rPr>
            </w:pPr>
            <w:r>
              <w:rPr>
                <w:rFonts w:hint="eastAsia" w:asciiTheme="majorEastAsia" w:hAnsiTheme="majorEastAsia" w:eastAsiaTheme="majorEastAsia" w:cstheme="majorEastAsia"/>
                <w:b w:val="0"/>
                <w:bCs w:val="0"/>
                <w:kern w:val="2"/>
                <w:sz w:val="21"/>
                <w:szCs w:val="21"/>
                <w:highlight w:val="none"/>
                <w:lang w:val="en-US" w:eastAsia="zh-CN" w:bidi="ar"/>
              </w:rPr>
              <w:t>2852</w:t>
            </w:r>
          </w:p>
        </w:tc>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14:paraId="20EAB9D5">
            <w:pPr>
              <w:keepNext w:val="0"/>
              <w:keepLines w:val="0"/>
              <w:widowControl w:val="0"/>
              <w:suppressLineNumbers w:val="0"/>
              <w:autoSpaceDE w:val="0"/>
              <w:autoSpaceDN/>
              <w:spacing w:before="0" w:beforeAutospacing="0" w:after="0" w:afterAutospacing="0" w:line="360" w:lineRule="auto"/>
              <w:ind w:left="0" w:right="0" w:firstLine="420" w:firstLineChars="200"/>
              <w:jc w:val="center"/>
              <w:rPr>
                <w:rFonts w:hint="eastAsia" w:asciiTheme="majorEastAsia" w:hAnsiTheme="majorEastAsia" w:eastAsiaTheme="majorEastAsia" w:cstheme="majorEastAsia"/>
                <w:b w:val="0"/>
                <w:bCs w:val="0"/>
                <w:kern w:val="2"/>
                <w:sz w:val="21"/>
                <w:szCs w:val="21"/>
                <w:highlight w:val="none"/>
              </w:rPr>
            </w:pPr>
          </w:p>
        </w:tc>
        <w:tc>
          <w:tcPr>
            <w:tcW w:w="3639" w:type="dxa"/>
            <w:tcBorders>
              <w:top w:val="single" w:color="auto" w:sz="4" w:space="0"/>
              <w:left w:val="single" w:color="auto" w:sz="4" w:space="0"/>
              <w:bottom w:val="single" w:color="auto" w:sz="4" w:space="0"/>
              <w:right w:val="single" w:color="auto" w:sz="4" w:space="0"/>
            </w:tcBorders>
            <w:shd w:val="clear" w:color="auto" w:fill="auto"/>
            <w:vAlign w:val="center"/>
          </w:tcPr>
          <w:p w14:paraId="18713365">
            <w:pPr>
              <w:keepNext w:val="0"/>
              <w:keepLines w:val="0"/>
              <w:widowControl w:val="0"/>
              <w:suppressLineNumbers w:val="0"/>
              <w:autoSpaceDE w:val="0"/>
              <w:autoSpaceDN/>
              <w:spacing w:before="0" w:beforeAutospacing="0" w:after="0" w:afterAutospacing="0" w:line="360" w:lineRule="auto"/>
              <w:ind w:left="0" w:right="0" w:firstLine="420" w:firstLineChars="200"/>
              <w:jc w:val="center"/>
              <w:rPr>
                <w:rFonts w:hint="eastAsia" w:asciiTheme="majorEastAsia" w:hAnsiTheme="majorEastAsia" w:eastAsiaTheme="majorEastAsia" w:cstheme="majorEastAsia"/>
                <w:b w:val="0"/>
                <w:bCs w:val="0"/>
                <w:kern w:val="2"/>
                <w:sz w:val="21"/>
                <w:szCs w:val="21"/>
                <w:highlight w:val="none"/>
              </w:rPr>
            </w:pPr>
          </w:p>
        </w:tc>
      </w:tr>
    </w:tbl>
    <w:p w14:paraId="564C615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3、甲方按照乙方实际缴纳管理费开具发票。</w:t>
      </w:r>
    </w:p>
    <w:p w14:paraId="34E7F70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4、每月甲方根据乙方服务情况按评分表进行评分，每季度统计一次季度内月平均分，并按规则计算违约金金额（如有）。日常违约金（如有）与季度评分违约金（如有）与管理费一同缴纳。</w:t>
      </w:r>
    </w:p>
    <w:p w14:paraId="190E1BA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jc w:val="both"/>
        <w:textAlignment w:val="auto"/>
        <w:rPr>
          <w:rFonts w:hint="eastAsia" w:asciiTheme="majorEastAsia" w:hAnsiTheme="majorEastAsia" w:eastAsiaTheme="majorEastAsia" w:cstheme="majorEastAsia"/>
          <w:b/>
          <w:bCs/>
          <w:i w:val="0"/>
          <w:iCs w:val="0"/>
          <w:color w:val="auto"/>
          <w:sz w:val="21"/>
          <w:szCs w:val="21"/>
          <w:highlight w:val="none"/>
          <w:lang w:val="en-US" w:eastAsia="zh-CN"/>
        </w:rPr>
      </w:pPr>
      <w:r>
        <w:rPr>
          <w:rFonts w:hint="eastAsia" w:asciiTheme="majorEastAsia" w:hAnsiTheme="majorEastAsia" w:eastAsiaTheme="majorEastAsia" w:cstheme="majorEastAsia"/>
          <w:b/>
          <w:bCs/>
          <w:i w:val="0"/>
          <w:iCs w:val="0"/>
          <w:color w:val="auto"/>
          <w:sz w:val="21"/>
          <w:szCs w:val="21"/>
          <w:highlight w:val="none"/>
          <w:lang w:val="en-US" w:eastAsia="zh-CN"/>
        </w:rPr>
        <w:t>十六、履约保证金</w:t>
      </w:r>
    </w:p>
    <w:p w14:paraId="7CDE1E2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1、履约保证金金额：10万元（人民币大写：拾万元整）</w:t>
      </w:r>
    </w:p>
    <w:p w14:paraId="53C5D8A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2、缴纳方式：银行转账</w:t>
      </w:r>
    </w:p>
    <w:p w14:paraId="29EE829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3、未按要求缴纳履约保证金的责任</w:t>
      </w:r>
    </w:p>
    <w:p w14:paraId="2B6AF14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乙方如未按要求缴纳履约保证金，甲方将根据《民法典》的相关规定，追诉乙方的相关法律责任。</w:t>
      </w:r>
    </w:p>
    <w:p w14:paraId="5081065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 xml:space="preserve">4、退还说明： </w:t>
      </w:r>
    </w:p>
    <w:p w14:paraId="558EB17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时间、方式和条件：由于甲方的原因提前终止合同，或者合同期结束且合同项下全部服务事项均履行完毕后，由乙方向甲方提出退还履约保证金申请，甲方在30日内向乙方退还履约保证金（履约保证金不计利息）。</w:t>
      </w:r>
    </w:p>
    <w:p w14:paraId="79D54EF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（2）甲方有权直接从履约保证金扣除乙方应当承担的违约金、赔偿金、维修费等相关款项，该部分不予退还。</w:t>
      </w:r>
    </w:p>
    <w:p w14:paraId="40D62EC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5、不予退还的情形：</w:t>
      </w:r>
    </w:p>
    <w:p w14:paraId="2A84EE9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（1）未经甲方同意，乙方将本项目进行分包或转包给他人；</w:t>
      </w:r>
    </w:p>
    <w:p w14:paraId="336EB60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（2）在履行合同期间，乙方未经甲方同意提前终止本项目合同；</w:t>
      </w:r>
    </w:p>
    <w:p w14:paraId="6F6C280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（3）在履行合同期间，乙方因违法被吊销营业执照或相关许可，导致本项目合同无法继续履行的。</w:t>
      </w:r>
    </w:p>
    <w:p w14:paraId="1246313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（4）《违约责任》所述情形。</w:t>
      </w:r>
    </w:p>
    <w:p w14:paraId="7E843C1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6、履约保证金扣罚后补全说明：</w:t>
      </w:r>
    </w:p>
    <w:p w14:paraId="7A72CF9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在履约过程中，如出现扣罚履约保证金的情况，乙方应在扣罚发生的下月内补齐被扣罚的金额，使履约保证金在合同执行期间保持足额。</w:t>
      </w:r>
    </w:p>
    <w:p w14:paraId="5BBB8B2F">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eastAsia="zh-CN"/>
        </w:rPr>
      </w:pPr>
      <w:r>
        <w:rPr>
          <w:rFonts w:hint="eastAsia" w:asciiTheme="majorEastAsia" w:hAnsiTheme="majorEastAsia" w:eastAsiaTheme="majorEastAsia" w:cstheme="majorEastAsia"/>
          <w:b/>
          <w:bCs/>
          <w:color w:val="auto"/>
          <w:sz w:val="21"/>
          <w:szCs w:val="21"/>
          <w:highlight w:val="none"/>
          <w:lang w:val="en-US" w:eastAsia="zh-CN"/>
        </w:rPr>
        <w:t>十七、</w:t>
      </w:r>
      <w:r>
        <w:rPr>
          <w:rFonts w:hint="eastAsia" w:asciiTheme="majorEastAsia" w:hAnsiTheme="majorEastAsia" w:eastAsiaTheme="majorEastAsia" w:cstheme="majorEastAsia"/>
          <w:b/>
          <w:bCs/>
          <w:color w:val="auto"/>
          <w:sz w:val="21"/>
          <w:szCs w:val="21"/>
          <w:highlight w:val="none"/>
        </w:rPr>
        <w:t>餐费结算</w:t>
      </w:r>
      <w:r>
        <w:rPr>
          <w:rFonts w:hint="eastAsia" w:asciiTheme="majorEastAsia" w:hAnsiTheme="majorEastAsia" w:eastAsiaTheme="majorEastAsia" w:cstheme="majorEastAsia"/>
          <w:b/>
          <w:bCs/>
          <w:color w:val="auto"/>
          <w:sz w:val="21"/>
          <w:szCs w:val="21"/>
          <w:highlight w:val="none"/>
          <w:lang w:eastAsia="zh-CN"/>
        </w:rPr>
        <w:t>：</w:t>
      </w:r>
    </w:p>
    <w:p w14:paraId="64F8180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乙方每月5日前报送上月职工就餐情况（包括使用甲方餐卡的甲方职工、第三方人员早中晚用餐及接待餐、加时餐、手术室餐、节日活动餐等），经甲方相关部门审核。乙方需与甲方各个科室签认后再与后勤科进行汇总签认。双方以最终签认的当月结算单据为结算依据。职工用餐金额收费标准不受职工支付方式（包括但不限于使用实体饭卡或虚拟卡支付）的影响。甲方与乙方双方每月根据职工IC卡消费金额及接待餐、过时餐、手术室餐、节日活动餐等的供应数量及已签认的当月结算单据，结合职工就餐满意度调查情况、饭堂服务月度考核结果、日常监督处罚情况进行结算。双方确认无误后，甲方自收到乙方开具的合法正确的发票并完成院内审核流程后的5个工作日内办理费用结算手续。</w:t>
      </w:r>
    </w:p>
    <w:p w14:paraId="4E1E36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（2）病人及其家属的餐费由乙方通过订餐系统直接收取。</w:t>
      </w:r>
    </w:p>
    <w:p w14:paraId="59534B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jc w:val="both"/>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十八、违约责任</w:t>
      </w:r>
    </w:p>
    <w:p w14:paraId="5AE12F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乙方在经营期内出现下列情况之一者，甲方有权取消其经营资格，责令其限期退出，扣罚全部履约保证金。</w:t>
      </w:r>
    </w:p>
    <w:p w14:paraId="27B89D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（1）出现落实食品安全主体责任不到位并多次发生食品安全事故（件）、发生重大食品安全事故等情形的；</w:t>
      </w:r>
    </w:p>
    <w:p w14:paraId="402377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（2）经营期间发生安全生产责任事故，且造成严重后果的；</w:t>
      </w:r>
    </w:p>
    <w:p w14:paraId="3DB2FA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（3）因食品价格、质量、卫生和服务态度等而引发罢餐、静坐、游行等群发事件，影响恶劣的；</w:t>
      </w:r>
    </w:p>
    <w:p w14:paraId="64ECF6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（4）因乙方过失导致一方或双方被行政处分或违反法律法规导致严重后果的；</w:t>
      </w:r>
    </w:p>
    <w:p w14:paraId="1AD27D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（5）严重违反国家、省市《消防安全条例》等的有关规定，造成严重后果，或者未能限期整改或整改后依然违规的；</w:t>
      </w:r>
    </w:p>
    <w:p w14:paraId="2D814F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b w:val="0"/>
          <w:bCs w:val="0"/>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sz w:val="21"/>
          <w:szCs w:val="21"/>
          <w:highlight w:val="none"/>
          <w:lang w:val="en-US" w:eastAsia="zh-CN"/>
        </w:rPr>
        <w:t>（6）在经营过程中，存在掺杂做假、销售无证食品、未按规定经营范围经营等违规行为，经甲方警告、要求限期整改依然再犯且情节严重的。</w:t>
      </w:r>
    </w:p>
    <w:p w14:paraId="737FAF0A">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十九、</w:t>
      </w:r>
      <w:r>
        <w:rPr>
          <w:rFonts w:hint="eastAsia" w:asciiTheme="majorEastAsia" w:hAnsiTheme="majorEastAsia" w:eastAsiaTheme="majorEastAsia" w:cstheme="majorEastAsia"/>
          <w:b/>
          <w:bCs/>
          <w:color w:val="auto"/>
          <w:sz w:val="21"/>
          <w:szCs w:val="21"/>
          <w:highlight w:val="none"/>
        </w:rPr>
        <w:t>增值服务</w:t>
      </w:r>
    </w:p>
    <w:p w14:paraId="2DCA359E">
      <w:pPr>
        <w:pageBreakBefore w:val="0"/>
        <w:kinsoku/>
        <w:wordWrap w:val="0"/>
        <w:overflowPunct/>
        <w:topLinePunct w:val="0"/>
        <w:autoSpaceDE/>
        <w:autoSpaceDN/>
        <w:bidi w:val="0"/>
        <w:spacing w:line="240" w:lineRule="auto"/>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eastAsia="zh-CN"/>
        </w:rPr>
        <w:t>乙方</w:t>
      </w:r>
      <w:r>
        <w:rPr>
          <w:rFonts w:hint="eastAsia" w:asciiTheme="majorEastAsia" w:hAnsiTheme="majorEastAsia" w:eastAsiaTheme="majorEastAsia" w:cstheme="majorEastAsia"/>
          <w:b w:val="0"/>
          <w:bCs w:val="0"/>
          <w:color w:val="auto"/>
          <w:sz w:val="21"/>
          <w:szCs w:val="21"/>
          <w:highlight w:val="none"/>
          <w:lang w:val="en-US" w:eastAsia="zh-CN"/>
        </w:rPr>
        <w:t>同意向甲方提供如下增值服务：_______________________________________</w:t>
      </w:r>
      <w:r>
        <w:rPr>
          <w:rFonts w:hint="eastAsia" w:asciiTheme="majorEastAsia" w:hAnsiTheme="majorEastAsia" w:eastAsiaTheme="majorEastAsia" w:cstheme="majorEastAsia"/>
          <w:b w:val="0"/>
          <w:bCs w:val="0"/>
          <w:color w:val="auto"/>
          <w:sz w:val="21"/>
          <w:szCs w:val="21"/>
          <w:highlight w:val="none"/>
        </w:rPr>
        <w:t>。</w:t>
      </w:r>
    </w:p>
    <w:p w14:paraId="10102524">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二十、其他约定</w:t>
      </w:r>
    </w:p>
    <w:p w14:paraId="7DB7549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1、乙方所经营的餐饮企业从2022年至今（至提交投标文件截止时间前）没有安全、消防、卫生、群体性事件等的不良记录。同时，乙方还须承诺未拖欠其他食材供应商货款或员工工资。</w:t>
      </w:r>
    </w:p>
    <w:p w14:paraId="1FDCDE0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乙方在甲方场地内的所有经营项目需符合相关政策文件要求和甲方单位内部的管理要求，并书面报甲方批准同意后方可经营。未经得甲方书面批准同意，不得开展其他销售业务。对于甲方认为有食品安全隐患的项目，甲方有权不予批准或随时关停。</w:t>
      </w:r>
    </w:p>
    <w:p w14:paraId="7B0C70F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乙方的一切经营活动必须严格按照“优先保障用餐”的原则，不允许出现病患及家属、或者甲方认为乙方以谋利为目的进行的一些不利于服务病患及家属的活动，包括但不限于以各种手段推销与饮食无关的商品和服务，否则，将被认定为未能履行“优先保障用餐”的义务，甲方有权无条件解除合同，对乙方造成的损失由乙方自行承担。</w:t>
      </w:r>
    </w:p>
    <w:p w14:paraId="2436FB6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4、除不可抗力事件外，乙方不得以任何理由擅自停止、不及时或不充足供应膳食，否则视为违反合同，甲方有权根据具体事件决定是否解除服务经营合同，并不予退还履约保证金。</w:t>
      </w:r>
    </w:p>
    <w:p w14:paraId="2CDA86A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5、乙方需要根据甲方需求提供一套食堂管理信息化系统并配合与甲方其他系统的对接及功能开发，费用均由乙方负责。</w:t>
      </w:r>
    </w:p>
    <w:p w14:paraId="1B22837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p>
    <w:p w14:paraId="798BDA8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6、撤场管理：</w:t>
      </w:r>
    </w:p>
    <w:p w14:paraId="7B2D228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（1）因乙方原因造成协议终止，乙方应在终止之日起十天内按以下（3）-（6）条款的要求做好撤场工作。</w:t>
      </w:r>
    </w:p>
    <w:p w14:paraId="38AA8C6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（2）非乙方原因造成协议终止的，乙方应在终止之日起十五天内按以下（3）-（6）条款的要求做好撤场工作。</w:t>
      </w:r>
    </w:p>
    <w:p w14:paraId="404E8FB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（3）乙方应及时将临时项目经营场所清理干净，并在规定的时间内，撤出项目经营场所。</w:t>
      </w:r>
    </w:p>
    <w:p w14:paraId="12999AA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（4）乙方应将招标人所提供的临时场地良好、清洁和能正常使用的状态下交还甲方。</w:t>
      </w:r>
    </w:p>
    <w:p w14:paraId="3ADB8E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（5）如因乙方未清理干净而产生垃圾清理费用，或者甲方因乙方不按要求撤场而需要付出的清洁服务费用、维修费用等，甲方将在乙方的履约保证金内扣除。</w:t>
      </w:r>
    </w:p>
    <w:p w14:paraId="29E916C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（6）如乙方未能在规定的时限内撤场完毕，每逾期一天，甲方有权从其履约保证金中扣罚1000元。</w:t>
      </w:r>
    </w:p>
    <w:p w14:paraId="7F059A6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7、资产处理</w:t>
      </w:r>
    </w:p>
    <w:p w14:paraId="4995A3B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经营期满后，本次由乙方所投入的所有装修、设施设备及后续经营期间投入的装修和设施设备等形成的固定资产连同设备清单无条件无偿移交给甲方，乙方应在规定时间内清理好除固定资产之外的设备、物品，打扫好卫生，将食堂无条件腾空退还，办好相关交接手续。</w:t>
      </w:r>
    </w:p>
    <w:p w14:paraId="192D060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8、乙方作为独立法人严格按照劳动法规招聘和管理食堂员工,涉及食堂员工的工资、保险、卫生检疫、人员体检、伤残疾病等一切费用均由乙方负责，一切劳资纠纷与甲方无关，概由乙方负责</w:t>
      </w:r>
    </w:p>
    <w:p w14:paraId="1C89AC99">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二十一、保密条款</w:t>
      </w:r>
    </w:p>
    <w:p w14:paraId="03AED600">
      <w:pPr>
        <w:keepNext w:val="0"/>
        <w:keepLines w:val="0"/>
        <w:pageBreakBefore w:val="0"/>
        <w:widowControl/>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rPr>
        <w:t>乙方在</w:t>
      </w:r>
      <w:r>
        <w:rPr>
          <w:rFonts w:hint="eastAsia" w:asciiTheme="majorEastAsia" w:hAnsiTheme="majorEastAsia" w:eastAsiaTheme="majorEastAsia" w:cstheme="majorEastAsia"/>
          <w:color w:val="auto"/>
          <w:sz w:val="21"/>
          <w:szCs w:val="21"/>
          <w:highlight w:val="none"/>
          <w:lang w:val="en-US" w:eastAsia="zh-CN"/>
        </w:rPr>
        <w:t>履行合同</w:t>
      </w:r>
      <w:r>
        <w:rPr>
          <w:rFonts w:hint="eastAsia" w:asciiTheme="majorEastAsia" w:hAnsiTheme="majorEastAsia" w:eastAsiaTheme="majorEastAsia" w:cstheme="majorEastAsia"/>
          <w:color w:val="auto"/>
          <w:sz w:val="21"/>
          <w:szCs w:val="21"/>
          <w:highlight w:val="none"/>
        </w:rPr>
        <w:t>期间，不得将供货的实际数量及供货地点泄露给其他企业或者个人</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乙方必须指派相对固定的人员完成货物配送服务</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货物配送人员必须遵纪守法、品行良好，无违法犯罪记录</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且在合同履行完毕后的3年内，未经甲方允许，亦不得将涉及本项目的相关资料或数据以任何方式或者形式泄露给其他企业或者个人。</w:t>
      </w:r>
    </w:p>
    <w:p w14:paraId="4DC88556">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二十二、双方的权利和义务</w:t>
      </w:r>
    </w:p>
    <w:p w14:paraId="77614175">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1、甲方的权利和义务</w:t>
      </w:r>
    </w:p>
    <w:p w14:paraId="49A723CF">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（1）甲方有权随时检查乙方的服务履行情况，并向乙方提出修改。</w:t>
      </w:r>
    </w:p>
    <w:p w14:paraId="478C3215">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（2）当发生服务违约时，则甲方有权在履约保证金中进行扣款 。</w:t>
      </w:r>
    </w:p>
    <w:p w14:paraId="5DE9690B">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（3）在乙方提供服务时，如对甲方的设备造成了损坏，甲方有权要求乙方赔偿。</w:t>
      </w:r>
    </w:p>
    <w:p w14:paraId="67639B1D">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（4）甲方应按合同规定向乙方支付职工就餐费用（如有）。</w:t>
      </w:r>
    </w:p>
    <w:p w14:paraId="7E5540CC">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2、乙方的权利和义务</w:t>
      </w:r>
    </w:p>
    <w:p w14:paraId="5E909D4D">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（1）乙方应按招标文件的要求、投标文件的承诺和本合同要求进行服务，发生任何服务的变更均须向甲方提交书面报审报告。</w:t>
      </w:r>
    </w:p>
    <w:p w14:paraId="58D2CAD2">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kern w:val="2"/>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（2）乙方有权要求甲方按时支付职工就餐费用（如有）。如甲方未按时支付乙方有权要求甲方支付滞纳金。</w:t>
      </w:r>
    </w:p>
    <w:p w14:paraId="2A48702E">
      <w:pPr>
        <w:keepNext w:val="0"/>
        <w:keepLines w:val="0"/>
        <w:pageBreakBefore w:val="0"/>
        <w:widowControl/>
        <w:suppressLineNumbers w:val="0"/>
        <w:kinsoku/>
        <w:wordWrap w:val="0"/>
        <w:overflowPunct/>
        <w:topLinePunct w:val="0"/>
        <w:autoSpaceDE w:val="0"/>
        <w:autoSpaceDN/>
        <w:bidi w:val="0"/>
        <w:adjustRightInd w:val="0"/>
        <w:snapToGrid w:val="0"/>
        <w:spacing w:before="0" w:beforeAutospacing="0" w:after="0" w:afterAutospacing="0" w:line="300" w:lineRule="exact"/>
        <w:ind w:left="0" w:leftChars="0" w:right="0" w:firstLine="420" w:firstLineChars="20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kern w:val="2"/>
          <w:sz w:val="21"/>
          <w:szCs w:val="21"/>
          <w:highlight w:val="none"/>
          <w:lang w:val="en-US" w:eastAsia="zh-CN" w:bidi="ar"/>
        </w:rPr>
        <w:t>（3）乙方在提供服务时如损坏了甲方的设备，乙方应照价赔偿或更换同等设备。若因设备的损坏而引起其它损失的，乙方应作出合理赔偿（以甲乙双方协商或行政仲裁的结果赔偿）。</w:t>
      </w:r>
    </w:p>
    <w:p w14:paraId="118A673F">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二十三、合同转让与分包</w:t>
      </w:r>
    </w:p>
    <w:p w14:paraId="47F009C6">
      <w:pPr>
        <w:keepNext w:val="0"/>
        <w:keepLines w:val="0"/>
        <w:pageBreakBefore w:val="0"/>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本合同乙方在任何情况下都不得转让其应履行的合同义务。</w:t>
      </w:r>
    </w:p>
    <w:p w14:paraId="631F66FC">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二十四、合同终止</w:t>
      </w:r>
    </w:p>
    <w:p w14:paraId="42E3B71A">
      <w:pPr>
        <w:keepNext w:val="0"/>
        <w:keepLines w:val="0"/>
        <w:pageBreakBefore w:val="0"/>
        <w:widowControl/>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如果一方严重违反合同，并在收到对方违约通知书后在30天内仍未能改正违约的，另一方可立即终止本合同。</w:t>
      </w:r>
    </w:p>
    <w:p w14:paraId="146C0864">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二十五、不可抗力</w:t>
      </w:r>
    </w:p>
    <w:p w14:paraId="24BF8772">
      <w:pPr>
        <w:keepNext w:val="0"/>
        <w:keepLines w:val="0"/>
        <w:pageBreakBefore w:val="0"/>
        <w:widowControl/>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不可抗力指战争、严重火灾、洪水、台风、地震等或其它双方认定的不可抗力事件。</w:t>
      </w:r>
    </w:p>
    <w:p w14:paraId="72E2F9AB">
      <w:pPr>
        <w:keepNext w:val="0"/>
        <w:keepLines w:val="0"/>
        <w:pageBreakBefore w:val="0"/>
        <w:widowControl/>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72920300">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二十六、法律诉讼</w:t>
      </w:r>
    </w:p>
    <w:p w14:paraId="3594F654">
      <w:pPr>
        <w:keepNext w:val="0"/>
        <w:keepLines w:val="0"/>
        <w:pageBreakBefore w:val="0"/>
        <w:widowControl/>
        <w:kinsoku/>
        <w:wordWrap w:val="0"/>
        <w:overflowPunct/>
        <w:topLinePunct w:val="0"/>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签约双方在履约中发生争执和分歧，双方应通过友好协商解决，若经协商不能达成协议时，则</w:t>
      </w:r>
      <w:r>
        <w:rPr>
          <w:rFonts w:hint="eastAsia" w:asciiTheme="majorEastAsia" w:hAnsiTheme="majorEastAsia" w:eastAsiaTheme="majorEastAsia" w:cstheme="majorEastAsia"/>
          <w:color w:val="auto"/>
          <w:sz w:val="21"/>
          <w:szCs w:val="21"/>
          <w:highlight w:val="none"/>
          <w:lang w:val="en-US" w:eastAsia="zh-CN"/>
        </w:rPr>
        <w:t>向甲方</w:t>
      </w:r>
      <w:r>
        <w:rPr>
          <w:rFonts w:hint="eastAsia" w:asciiTheme="majorEastAsia" w:hAnsiTheme="majorEastAsia" w:eastAsiaTheme="majorEastAsia" w:cstheme="majorEastAsia"/>
          <w:color w:val="auto"/>
          <w:sz w:val="21"/>
          <w:szCs w:val="21"/>
          <w:highlight w:val="none"/>
        </w:rPr>
        <w:t>所在地人民法院提起诉讼。受理期间，双方应继续执行合同其余部分。</w:t>
      </w:r>
    </w:p>
    <w:p w14:paraId="2A1FDA82">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二十七、合同生效</w:t>
      </w:r>
    </w:p>
    <w:p w14:paraId="1D4F582B">
      <w:pPr>
        <w:keepNext w:val="0"/>
        <w:keepLines w:val="0"/>
        <w:pageBreakBefore w:val="0"/>
        <w:widowControl/>
        <w:kinsoku/>
        <w:wordWrap w:val="0"/>
        <w:overflowPunct/>
        <w:topLinePunct w:val="0"/>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合同生效日期以甲方书面进场通知为准。</w:t>
      </w:r>
      <w:r>
        <w:rPr>
          <w:rFonts w:hint="eastAsia" w:asciiTheme="majorEastAsia" w:hAnsiTheme="majorEastAsia" w:eastAsiaTheme="majorEastAsia" w:cstheme="majorEastAsia"/>
          <w:color w:val="auto"/>
          <w:sz w:val="21"/>
          <w:szCs w:val="21"/>
          <w:highlight w:val="none"/>
        </w:rPr>
        <w:t>合同有效期随服务期结束</w:t>
      </w:r>
      <w:r>
        <w:rPr>
          <w:rFonts w:hint="eastAsia" w:asciiTheme="majorEastAsia" w:hAnsiTheme="majorEastAsia" w:eastAsiaTheme="majorEastAsia" w:cstheme="majorEastAsia"/>
          <w:color w:val="auto"/>
          <w:sz w:val="21"/>
          <w:szCs w:val="21"/>
          <w:highlight w:val="none"/>
          <w:lang w:eastAsia="zh-CN"/>
        </w:rPr>
        <w:t>且合同项下全部服务事项均履行完毕后</w:t>
      </w:r>
      <w:r>
        <w:rPr>
          <w:rFonts w:hint="eastAsia" w:asciiTheme="majorEastAsia" w:hAnsiTheme="majorEastAsia" w:eastAsiaTheme="majorEastAsia" w:cstheme="majorEastAsia"/>
          <w:color w:val="auto"/>
          <w:sz w:val="21"/>
          <w:szCs w:val="21"/>
          <w:highlight w:val="none"/>
        </w:rPr>
        <w:t>终止</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或在合同终止时结束</w:t>
      </w:r>
      <w:r>
        <w:rPr>
          <w:rFonts w:hint="eastAsia" w:asciiTheme="majorEastAsia" w:hAnsiTheme="majorEastAsia" w:eastAsiaTheme="majorEastAsia" w:cstheme="majorEastAsia"/>
          <w:color w:val="auto"/>
          <w:sz w:val="21"/>
          <w:szCs w:val="21"/>
          <w:highlight w:val="none"/>
        </w:rPr>
        <w:t>。本合同一式</w:t>
      </w:r>
      <w:r>
        <w:rPr>
          <w:rFonts w:hint="eastAsia" w:asciiTheme="majorEastAsia" w:hAnsiTheme="majorEastAsia" w:eastAsiaTheme="majorEastAsia" w:cstheme="majorEastAsia"/>
          <w:color w:val="auto"/>
          <w:sz w:val="21"/>
          <w:szCs w:val="21"/>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rPr>
        <w:t>份，具有同等法律效力，甲方执</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份，乙方执</w:t>
      </w:r>
      <w:r>
        <w:rPr>
          <w:rFonts w:hint="eastAsia" w:asciiTheme="majorEastAsia" w:hAnsiTheme="majorEastAsia" w:eastAsiaTheme="majorEastAsia" w:cstheme="majorEastAsia"/>
          <w:color w:val="auto"/>
          <w:sz w:val="21"/>
          <w:szCs w:val="21"/>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rPr>
        <w:t>份。</w:t>
      </w:r>
    </w:p>
    <w:p w14:paraId="3C860683">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outlineLvl w:val="1"/>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二十八、其它</w:t>
      </w:r>
    </w:p>
    <w:p w14:paraId="08050EB5">
      <w:pPr>
        <w:keepNext w:val="0"/>
        <w:keepLines w:val="0"/>
        <w:pageBreakBefore w:val="0"/>
        <w:widowControl/>
        <w:kinsoku/>
        <w:wordWrap w:val="0"/>
        <w:overflowPunct/>
        <w:topLinePunct w:val="0"/>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bCs/>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1、本合同未尽事宜，双方签订补充合同。</w:t>
      </w:r>
      <w:r>
        <w:rPr>
          <w:rFonts w:hint="eastAsia" w:asciiTheme="majorEastAsia" w:hAnsiTheme="majorEastAsia" w:eastAsiaTheme="majorEastAsia" w:cstheme="majorEastAsia"/>
          <w:color w:val="auto"/>
          <w:sz w:val="21"/>
          <w:szCs w:val="21"/>
          <w:highlight w:val="none"/>
          <w:lang w:val="en-US" w:eastAsia="zh-CN"/>
        </w:rPr>
        <w:t>经双方</w:t>
      </w:r>
      <w:r>
        <w:rPr>
          <w:rFonts w:hint="eastAsia" w:asciiTheme="majorEastAsia" w:hAnsiTheme="majorEastAsia" w:eastAsiaTheme="majorEastAsia" w:cstheme="majorEastAsia"/>
          <w:color w:val="auto"/>
          <w:sz w:val="21"/>
          <w:szCs w:val="21"/>
          <w:highlight w:val="none"/>
        </w:rPr>
        <w:t>签</w:t>
      </w:r>
      <w:r>
        <w:rPr>
          <w:rFonts w:hint="eastAsia" w:asciiTheme="majorEastAsia" w:hAnsiTheme="majorEastAsia" w:eastAsiaTheme="majorEastAsia" w:cstheme="majorEastAsia"/>
          <w:color w:val="auto"/>
          <w:sz w:val="21"/>
          <w:szCs w:val="21"/>
          <w:highlight w:val="none"/>
          <w:lang w:val="en-US" w:eastAsia="zh-CN"/>
        </w:rPr>
        <w:t>署的</w:t>
      </w:r>
      <w:r>
        <w:rPr>
          <w:rFonts w:hint="eastAsia" w:asciiTheme="majorEastAsia" w:hAnsiTheme="majorEastAsia" w:eastAsiaTheme="majorEastAsia" w:cstheme="majorEastAsia"/>
          <w:color w:val="auto"/>
          <w:sz w:val="21"/>
          <w:szCs w:val="21"/>
          <w:highlight w:val="none"/>
        </w:rPr>
        <w:t>补充合同与本合同具有同等法律效力。</w:t>
      </w:r>
    </w:p>
    <w:p w14:paraId="5B218F8D">
      <w:pPr>
        <w:keepNext w:val="0"/>
        <w:keepLines w:val="0"/>
        <w:pageBreakBefore w:val="0"/>
        <w:widowControl/>
        <w:kinsoku/>
        <w:wordWrap w:val="0"/>
        <w:overflowPunct/>
        <w:topLinePunct w:val="0"/>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bCs/>
          <w:color w:val="auto"/>
          <w:kern w:val="2"/>
          <w:sz w:val="21"/>
          <w:szCs w:val="21"/>
          <w:highlight w:val="none"/>
        </w:rPr>
      </w:pPr>
    </w:p>
    <w:p w14:paraId="17FEE453">
      <w:pPr>
        <w:keepNext w:val="0"/>
        <w:keepLines w:val="0"/>
        <w:pageBreakBefore w:val="0"/>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bCs/>
          <w:color w:val="auto"/>
          <w:kern w:val="2"/>
          <w:sz w:val="21"/>
          <w:szCs w:val="21"/>
          <w:highlight w:val="none"/>
          <w:u w:val="single"/>
        </w:rPr>
      </w:pPr>
      <w:r>
        <w:rPr>
          <w:rFonts w:hint="eastAsia" w:asciiTheme="majorEastAsia" w:hAnsiTheme="majorEastAsia" w:eastAsiaTheme="majorEastAsia" w:cstheme="majorEastAsia"/>
          <w:bCs/>
          <w:color w:val="auto"/>
          <w:kern w:val="2"/>
          <w:sz w:val="21"/>
          <w:szCs w:val="21"/>
          <w:highlight w:val="none"/>
        </w:rPr>
        <w:t>甲方：                                    乙方：</w:t>
      </w:r>
      <w:r>
        <w:rPr>
          <w:rFonts w:hint="eastAsia" w:asciiTheme="majorEastAsia" w:hAnsiTheme="majorEastAsia" w:eastAsiaTheme="majorEastAsia" w:cstheme="majorEastAsia"/>
          <w:bCs/>
          <w:color w:val="auto"/>
          <w:kern w:val="2"/>
          <w:sz w:val="21"/>
          <w:szCs w:val="21"/>
          <w:highlight w:val="none"/>
          <w:u w:val="single"/>
        </w:rPr>
        <w:t xml:space="preserve"> </w:t>
      </w:r>
    </w:p>
    <w:p w14:paraId="6E42B0D0">
      <w:pPr>
        <w:keepNext w:val="0"/>
        <w:keepLines w:val="0"/>
        <w:pageBreakBefore w:val="0"/>
        <w:kinsoku/>
        <w:wordWrap w:val="0"/>
        <w:overflowPunct/>
        <w:topLinePunct w:val="0"/>
        <w:autoSpaceDE/>
        <w:autoSpaceDN/>
        <w:bidi w:val="0"/>
        <w:adjustRightInd w:val="0"/>
        <w:snapToGrid w:val="0"/>
        <w:spacing w:line="300" w:lineRule="exact"/>
        <w:ind w:left="0" w:leftChars="0" w:firstLine="210" w:firstLineChars="100"/>
        <w:jc w:val="both"/>
        <w:textAlignment w:val="auto"/>
        <w:rPr>
          <w:rFonts w:hint="eastAsia" w:asciiTheme="majorEastAsia" w:hAnsiTheme="majorEastAsia" w:eastAsiaTheme="majorEastAsia" w:cstheme="majorEastAsia"/>
          <w:bCs/>
          <w:color w:val="auto"/>
          <w:kern w:val="2"/>
          <w:sz w:val="21"/>
          <w:szCs w:val="21"/>
          <w:highlight w:val="none"/>
        </w:rPr>
      </w:pPr>
      <w:r>
        <w:rPr>
          <w:rFonts w:hint="eastAsia" w:asciiTheme="majorEastAsia" w:hAnsiTheme="majorEastAsia" w:eastAsiaTheme="majorEastAsia" w:cstheme="majorEastAsia"/>
          <w:bCs/>
          <w:color w:val="auto"/>
          <w:kern w:val="2"/>
          <w:sz w:val="21"/>
          <w:szCs w:val="21"/>
          <w:highlight w:val="none"/>
        </w:rPr>
        <w:t xml:space="preserve">（盖章）                                 （盖章） </w:t>
      </w:r>
    </w:p>
    <w:p w14:paraId="06C3457B">
      <w:pPr>
        <w:keepNext w:val="0"/>
        <w:keepLines w:val="0"/>
        <w:pageBreakBefore w:val="0"/>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b/>
          <w:color w:val="auto"/>
          <w:kern w:val="2"/>
          <w:sz w:val="21"/>
          <w:szCs w:val="21"/>
          <w:highlight w:val="none"/>
        </w:rPr>
      </w:pPr>
      <w:r>
        <w:rPr>
          <w:rFonts w:hint="eastAsia" w:asciiTheme="majorEastAsia" w:hAnsiTheme="majorEastAsia" w:eastAsiaTheme="majorEastAsia" w:cstheme="majorEastAsia"/>
          <w:bCs/>
          <w:color w:val="auto"/>
          <w:kern w:val="2"/>
          <w:sz w:val="21"/>
          <w:szCs w:val="21"/>
          <w:highlight w:val="none"/>
        </w:rPr>
        <w:t>甲方法定代表人或授权委托人                乙方法定代表人或授权委托人</w:t>
      </w:r>
      <w:r>
        <w:rPr>
          <w:rFonts w:hint="eastAsia" w:asciiTheme="majorEastAsia" w:hAnsiTheme="majorEastAsia" w:eastAsiaTheme="majorEastAsia" w:cstheme="majorEastAsia"/>
          <w:b/>
          <w:color w:val="auto"/>
          <w:kern w:val="2"/>
          <w:sz w:val="21"/>
          <w:szCs w:val="21"/>
          <w:highlight w:val="none"/>
        </w:rPr>
        <w:t xml:space="preserve"> </w:t>
      </w:r>
    </w:p>
    <w:p w14:paraId="299096E9">
      <w:pPr>
        <w:keepNext w:val="0"/>
        <w:keepLines w:val="0"/>
        <w:pageBreakBefore w:val="0"/>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Theme="majorEastAsia" w:hAnsiTheme="majorEastAsia" w:eastAsiaTheme="majorEastAsia" w:cstheme="majorEastAsia"/>
          <w:bCs/>
          <w:color w:val="auto"/>
          <w:kern w:val="2"/>
          <w:sz w:val="21"/>
          <w:szCs w:val="21"/>
          <w:highlight w:val="none"/>
        </w:rPr>
      </w:pPr>
      <w:r>
        <w:rPr>
          <w:rFonts w:hint="eastAsia" w:asciiTheme="majorEastAsia" w:hAnsiTheme="majorEastAsia" w:eastAsiaTheme="majorEastAsia" w:cstheme="majorEastAsia"/>
          <w:bCs/>
          <w:color w:val="auto"/>
          <w:kern w:val="2"/>
          <w:sz w:val="21"/>
          <w:szCs w:val="21"/>
          <w:highlight w:val="none"/>
        </w:rPr>
        <w:t xml:space="preserve">通讯地址：                                通讯地址： </w:t>
      </w:r>
    </w:p>
    <w:p w14:paraId="525FA31A">
      <w:pPr>
        <w:keepNext w:val="0"/>
        <w:keepLines w:val="0"/>
        <w:pageBreakBefore w:val="0"/>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联系电话：                                联系电话：</w:t>
      </w:r>
    </w:p>
    <w:p w14:paraId="000039F8">
      <w:pPr>
        <w:keepNext w:val="0"/>
        <w:keepLines w:val="0"/>
        <w:pageBreakBefore w:val="0"/>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传真：                                    传真：</w:t>
      </w:r>
    </w:p>
    <w:p w14:paraId="5EE0A553">
      <w:pPr>
        <w:keepNext w:val="0"/>
        <w:keepLines w:val="0"/>
        <w:pageBreakBefore w:val="0"/>
        <w:kinsoku/>
        <w:wordWrap w:val="0"/>
        <w:overflowPunct/>
        <w:topLinePunct w:val="0"/>
        <w:autoSpaceDN/>
        <w:bidi w:val="0"/>
        <w:adjustRightInd w:val="0"/>
        <w:snapToGrid w:val="0"/>
        <w:spacing w:line="300" w:lineRule="exact"/>
        <w:ind w:left="0" w:leftChars="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日期：     年    月    日                 日期：     年    月    日</w:t>
      </w:r>
    </w:p>
    <w:p w14:paraId="49927709">
      <w:pPr>
        <w:keepNext w:val="0"/>
        <w:keepLines w:val="0"/>
        <w:pageBreakBefore w:val="0"/>
        <w:kinsoku/>
        <w:wordWrap w:val="0"/>
        <w:overflowPunct/>
        <w:topLinePunct w:val="0"/>
        <w:autoSpaceDN/>
        <w:bidi w:val="0"/>
        <w:adjustRightInd w:val="0"/>
        <w:snapToGrid w:val="0"/>
        <w:spacing w:line="300" w:lineRule="exact"/>
        <w:ind w:left="0" w:leftChars="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开户银行：                                开户银行： </w:t>
      </w:r>
    </w:p>
    <w:p w14:paraId="015F13E9">
      <w:pPr>
        <w:keepNext w:val="0"/>
        <w:keepLines w:val="0"/>
        <w:pageBreakBefore w:val="0"/>
        <w:widowControl/>
        <w:kinsoku/>
        <w:wordWrap w:val="0"/>
        <w:overflowPunct/>
        <w:topLinePunct w:val="0"/>
        <w:autoSpaceDE/>
        <w:autoSpaceDN/>
        <w:bidi w:val="0"/>
        <w:adjustRightInd w:val="0"/>
        <w:snapToGrid w:val="0"/>
        <w:spacing w:line="300" w:lineRule="exact"/>
        <w:ind w:left="0" w:leftChars="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rPr>
        <w:t xml:space="preserve">账号：                                    账号： </w:t>
      </w:r>
    </w:p>
    <w:p w14:paraId="3B39350F">
      <w:pPr>
        <w:keepNext w:val="0"/>
        <w:keepLines w:val="0"/>
        <w:pageBreakBefore w:val="0"/>
        <w:widowControl/>
        <w:kinsoku/>
        <w:wordWrap w:val="0"/>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附件1：</w:t>
      </w:r>
      <w:r>
        <w:rPr>
          <w:rFonts w:hint="eastAsia" w:ascii="宋体" w:hAnsi="宋体" w:eastAsia="宋体" w:cs="宋体"/>
          <w:b/>
          <w:color w:val="auto"/>
          <w:sz w:val="21"/>
          <w:szCs w:val="21"/>
          <w:highlight w:val="none"/>
          <w:lang w:val="en-US" w:eastAsia="zh-CN"/>
        </w:rPr>
        <w:t>驻场服务人员资料备案表</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2815"/>
        <w:gridCol w:w="1999"/>
        <w:gridCol w:w="1999"/>
        <w:gridCol w:w="2000"/>
      </w:tblGrid>
      <w:tr w14:paraId="60F2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noWrap w:val="0"/>
            <w:vAlign w:val="top"/>
          </w:tcPr>
          <w:p w14:paraId="50FFDBA3">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姓名</w:t>
            </w:r>
          </w:p>
        </w:tc>
        <w:tc>
          <w:tcPr>
            <w:tcW w:w="1408" w:type="pct"/>
            <w:noWrap w:val="0"/>
            <w:vAlign w:val="top"/>
          </w:tcPr>
          <w:p w14:paraId="47B2C147">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身份证号码</w:t>
            </w:r>
          </w:p>
        </w:tc>
        <w:tc>
          <w:tcPr>
            <w:tcW w:w="1000" w:type="pct"/>
            <w:noWrap w:val="0"/>
            <w:vAlign w:val="top"/>
          </w:tcPr>
          <w:p w14:paraId="37BAC7F9">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健康证有效期</w:t>
            </w:r>
          </w:p>
        </w:tc>
        <w:tc>
          <w:tcPr>
            <w:tcW w:w="1000" w:type="pct"/>
            <w:noWrap w:val="0"/>
            <w:vAlign w:val="top"/>
          </w:tcPr>
          <w:p w14:paraId="74C68199">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工种</w:t>
            </w:r>
          </w:p>
        </w:tc>
        <w:tc>
          <w:tcPr>
            <w:tcW w:w="1000" w:type="pct"/>
            <w:noWrap w:val="0"/>
            <w:vAlign w:val="top"/>
          </w:tcPr>
          <w:p w14:paraId="5515069E">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岗位</w:t>
            </w:r>
          </w:p>
        </w:tc>
      </w:tr>
      <w:tr w14:paraId="1798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noWrap w:val="0"/>
            <w:vAlign w:val="top"/>
          </w:tcPr>
          <w:p w14:paraId="51571C13">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w:t>
            </w:r>
          </w:p>
        </w:tc>
        <w:tc>
          <w:tcPr>
            <w:tcW w:w="1408" w:type="pct"/>
            <w:noWrap w:val="0"/>
            <w:vAlign w:val="top"/>
          </w:tcPr>
          <w:p w14:paraId="1FA23759">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13C378D5">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429F6866">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4E4987E6">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r>
      <w:tr w14:paraId="5FCF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noWrap w:val="0"/>
            <w:vAlign w:val="top"/>
          </w:tcPr>
          <w:p w14:paraId="3C2D109E">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408" w:type="pct"/>
            <w:noWrap w:val="0"/>
            <w:vAlign w:val="top"/>
          </w:tcPr>
          <w:p w14:paraId="7D591B6C">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715043E9">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2BC08A45">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7AFDBA53">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r>
      <w:tr w14:paraId="2CFB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pct"/>
            <w:noWrap w:val="0"/>
            <w:vAlign w:val="top"/>
          </w:tcPr>
          <w:p w14:paraId="3B961EFE">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408" w:type="pct"/>
            <w:noWrap w:val="0"/>
            <w:vAlign w:val="top"/>
          </w:tcPr>
          <w:p w14:paraId="5BF520F7">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17C3E966">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6A431C1A">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c>
          <w:tcPr>
            <w:tcW w:w="1000" w:type="pct"/>
            <w:noWrap w:val="0"/>
            <w:vAlign w:val="top"/>
          </w:tcPr>
          <w:p w14:paraId="0A4EF6AF">
            <w:pPr>
              <w:keepNext w:val="0"/>
              <w:keepLines w:val="0"/>
              <w:pageBreakBefore w:val="0"/>
              <w:suppressLineNumbers w:val="0"/>
              <w:tabs>
                <w:tab w:val="left" w:pos="1134"/>
              </w:tabs>
              <w:kinsoku/>
              <w:wordWrap w:val="0"/>
              <w:overflowPunct/>
              <w:topLinePunct w:val="0"/>
              <w:autoSpaceDE/>
              <w:autoSpaceDN/>
              <w:bidi w:val="0"/>
              <w:snapToGrid w:val="0"/>
              <w:spacing w:before="0" w:beforeAutospacing="0" w:after="0" w:afterAutospacing="0" w:line="300" w:lineRule="exact"/>
              <w:ind w:left="0" w:right="0" w:firstLine="0" w:firstLineChars="0"/>
              <w:jc w:val="both"/>
              <w:textAlignment w:val="auto"/>
              <w:rPr>
                <w:rFonts w:hint="eastAsia" w:ascii="宋体" w:hAnsi="宋体" w:eastAsia="宋体" w:cs="宋体"/>
                <w:b w:val="0"/>
                <w:bCs/>
                <w:color w:val="auto"/>
                <w:sz w:val="21"/>
                <w:szCs w:val="21"/>
                <w:highlight w:val="none"/>
                <w:vertAlign w:val="baseline"/>
                <w:lang w:val="en-US" w:eastAsia="zh-CN"/>
              </w:rPr>
            </w:pPr>
          </w:p>
        </w:tc>
      </w:tr>
    </w:tbl>
    <w:p w14:paraId="3148DBED">
      <w:pPr>
        <w:keepNext w:val="0"/>
        <w:keepLines w:val="0"/>
        <w:pageBreakBefore w:val="0"/>
        <w:tabs>
          <w:tab w:val="left" w:pos="1134"/>
        </w:tabs>
        <w:kinsoku/>
        <w:wordWrap w:val="0"/>
        <w:overflowPunct/>
        <w:topLinePunct w:val="0"/>
        <w:autoSpaceDE/>
        <w:autoSpaceDN/>
        <w:bidi w:val="0"/>
        <w:snapToGrid w:val="0"/>
        <w:spacing w:line="300" w:lineRule="exact"/>
        <w:ind w:firstLine="0" w:firstLineChars="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备注：须提供身份证复印件、无犯罪证明、健康证复印件等必要证明文件留存备案。</w:t>
      </w:r>
    </w:p>
    <w:p w14:paraId="520B1733">
      <w:pPr>
        <w:keepNext w:val="0"/>
        <w:keepLines w:val="0"/>
        <w:pageBreakBefore w:val="0"/>
        <w:tabs>
          <w:tab w:val="left" w:pos="1134"/>
        </w:tabs>
        <w:kinsoku/>
        <w:wordWrap w:val="0"/>
        <w:overflowPunct/>
        <w:topLinePunct w:val="0"/>
        <w:autoSpaceDE/>
        <w:autoSpaceDN/>
        <w:bidi w:val="0"/>
        <w:snapToGrid w:val="0"/>
        <w:spacing w:line="300" w:lineRule="exact"/>
        <w:ind w:firstLine="0" w:firstLineChars="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日常工作操作标准表</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1"/>
        <w:gridCol w:w="759"/>
        <w:gridCol w:w="1446"/>
        <w:gridCol w:w="7091"/>
      </w:tblGrid>
      <w:tr w14:paraId="6627D6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67" w:type="dxa"/>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17945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日常工作操作标准表</w:t>
            </w:r>
          </w:p>
        </w:tc>
      </w:tr>
      <w:tr w14:paraId="17051F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0B668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序号</w:t>
            </w:r>
          </w:p>
        </w:tc>
        <w:tc>
          <w:tcPr>
            <w:tcW w:w="75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05830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类别</w:t>
            </w:r>
          </w:p>
        </w:tc>
        <w:tc>
          <w:tcPr>
            <w:tcW w:w="144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03F1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项目</w:t>
            </w:r>
          </w:p>
        </w:tc>
        <w:tc>
          <w:tcPr>
            <w:tcW w:w="709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55329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工作标准内容</w:t>
            </w:r>
          </w:p>
        </w:tc>
      </w:tr>
      <w:tr w14:paraId="5FC71D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30C55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75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11E4C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物品管理</w:t>
            </w: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709D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物品清理</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1FA7C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各功能间无多余物品</w:t>
            </w:r>
          </w:p>
        </w:tc>
      </w:tr>
      <w:tr w14:paraId="633AD6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ACDB2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759" w:type="dxa"/>
            <w:vMerge w:val="continue"/>
            <w:tcBorders>
              <w:top w:val="nil"/>
              <w:left w:val="single" w:color="000000" w:sz="4" w:space="0"/>
              <w:bottom w:val="single" w:color="000000" w:sz="4" w:space="0"/>
              <w:right w:val="single" w:color="000000" w:sz="4" w:space="0"/>
            </w:tcBorders>
          </w:tcPr>
          <w:p w14:paraId="3ACA2C9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5373A4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566A29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破损设施、器具及时维修、清理</w:t>
            </w:r>
          </w:p>
        </w:tc>
      </w:tr>
      <w:tr w14:paraId="14BB23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9F805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759" w:type="dxa"/>
            <w:vMerge w:val="continue"/>
            <w:tcBorders>
              <w:top w:val="nil"/>
              <w:left w:val="single" w:color="000000" w:sz="4" w:space="0"/>
              <w:bottom w:val="single" w:color="000000" w:sz="4" w:space="0"/>
              <w:right w:val="single" w:color="000000" w:sz="4" w:space="0"/>
            </w:tcBorders>
          </w:tcPr>
          <w:p w14:paraId="4A7974E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43E5E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个人物品</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43D5D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个人物品集中摆放</w:t>
            </w:r>
          </w:p>
        </w:tc>
      </w:tr>
      <w:tr w14:paraId="751F7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9D93A0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759" w:type="dxa"/>
            <w:vMerge w:val="continue"/>
            <w:tcBorders>
              <w:top w:val="nil"/>
              <w:left w:val="single" w:color="000000" w:sz="4" w:space="0"/>
              <w:bottom w:val="single" w:color="000000" w:sz="4" w:space="0"/>
              <w:right w:val="single" w:color="000000" w:sz="4" w:space="0"/>
            </w:tcBorders>
          </w:tcPr>
          <w:p w14:paraId="1EAF6E1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83BB63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8136C7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个人水杯、毛巾统一存放于指定位置</w:t>
            </w:r>
          </w:p>
        </w:tc>
      </w:tr>
      <w:tr w14:paraId="7B5B28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916FC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759" w:type="dxa"/>
            <w:vMerge w:val="continue"/>
            <w:tcBorders>
              <w:top w:val="nil"/>
              <w:left w:val="single" w:color="000000" w:sz="4" w:space="0"/>
              <w:bottom w:val="single" w:color="000000" w:sz="4" w:space="0"/>
              <w:right w:val="single" w:color="000000" w:sz="4" w:space="0"/>
            </w:tcBorders>
          </w:tcPr>
          <w:p w14:paraId="5C31D7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49072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物品分层存放</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2F21A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各功能区内物品按使用频率分低中高用量合理放置</w:t>
            </w:r>
          </w:p>
        </w:tc>
      </w:tr>
      <w:tr w14:paraId="6204E1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5CA68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759" w:type="dxa"/>
            <w:vMerge w:val="continue"/>
            <w:tcBorders>
              <w:top w:val="nil"/>
              <w:left w:val="single" w:color="000000" w:sz="4" w:space="0"/>
              <w:bottom w:val="single" w:color="000000" w:sz="4" w:space="0"/>
              <w:right w:val="single" w:color="000000" w:sz="4" w:space="0"/>
            </w:tcBorders>
          </w:tcPr>
          <w:p w14:paraId="615C317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D2A3F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物品标识标签</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630A9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待加工食品与直接入口食品的加工工具和容器有明显区分标识</w:t>
            </w:r>
          </w:p>
        </w:tc>
      </w:tr>
      <w:tr w14:paraId="406E8E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DE4C6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759" w:type="dxa"/>
            <w:vMerge w:val="continue"/>
            <w:tcBorders>
              <w:top w:val="nil"/>
              <w:left w:val="single" w:color="000000" w:sz="4" w:space="0"/>
              <w:bottom w:val="single" w:color="000000" w:sz="4" w:space="0"/>
              <w:right w:val="single" w:color="000000" w:sz="4" w:space="0"/>
            </w:tcBorders>
          </w:tcPr>
          <w:p w14:paraId="75D325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A4DC4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E100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所有食品/化学物品需有标识或标签，其规格和样式统一、齐整、无模糊现象</w:t>
            </w:r>
          </w:p>
        </w:tc>
      </w:tr>
      <w:tr w14:paraId="6AE348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F2C84C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759" w:type="dxa"/>
            <w:vMerge w:val="continue"/>
            <w:tcBorders>
              <w:top w:val="nil"/>
              <w:left w:val="single" w:color="000000" w:sz="4" w:space="0"/>
              <w:bottom w:val="single" w:color="000000" w:sz="4" w:space="0"/>
              <w:right w:val="single" w:color="000000" w:sz="4" w:space="0"/>
            </w:tcBorders>
          </w:tcPr>
          <w:p w14:paraId="0302335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61CB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物品摆放</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01F2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无使用有颜色胶袋盛装食品</w:t>
            </w:r>
          </w:p>
        </w:tc>
      </w:tr>
      <w:tr w14:paraId="3D64CC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8FA4F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759" w:type="dxa"/>
            <w:vMerge w:val="continue"/>
            <w:tcBorders>
              <w:top w:val="nil"/>
              <w:left w:val="single" w:color="000000" w:sz="4" w:space="0"/>
              <w:bottom w:val="single" w:color="000000" w:sz="4" w:space="0"/>
              <w:right w:val="single" w:color="000000" w:sz="4" w:space="0"/>
            </w:tcBorders>
          </w:tcPr>
          <w:p w14:paraId="24491BD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02FCC7D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D8048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纸箱、纸皮、鸡蛋纸托不能进入食品加工区及仓库</w:t>
            </w:r>
          </w:p>
        </w:tc>
      </w:tr>
      <w:tr w14:paraId="4456A4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49C30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759" w:type="dxa"/>
            <w:vMerge w:val="continue"/>
            <w:tcBorders>
              <w:top w:val="nil"/>
              <w:left w:val="single" w:color="000000" w:sz="4" w:space="0"/>
              <w:bottom w:val="single" w:color="000000" w:sz="4" w:space="0"/>
              <w:right w:val="single" w:color="000000" w:sz="4" w:space="0"/>
            </w:tcBorders>
          </w:tcPr>
          <w:p w14:paraId="25FD3F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96995B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75A72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食品与非食品，分区隔离存放</w:t>
            </w:r>
          </w:p>
        </w:tc>
      </w:tr>
      <w:tr w14:paraId="368527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D4A4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759" w:type="dxa"/>
            <w:vMerge w:val="continue"/>
            <w:tcBorders>
              <w:top w:val="nil"/>
              <w:left w:val="single" w:color="000000" w:sz="4" w:space="0"/>
              <w:bottom w:val="single" w:color="000000" w:sz="4" w:space="0"/>
              <w:right w:val="single" w:color="000000" w:sz="4" w:space="0"/>
            </w:tcBorders>
          </w:tcPr>
          <w:p w14:paraId="48794F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682C852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E70E8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各功能间内物品按标签、划线规定摆放</w:t>
            </w:r>
          </w:p>
        </w:tc>
      </w:tr>
      <w:tr w14:paraId="47CC66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9E2FE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759" w:type="dxa"/>
            <w:vMerge w:val="continue"/>
            <w:tcBorders>
              <w:top w:val="nil"/>
              <w:left w:val="single" w:color="000000" w:sz="4" w:space="0"/>
              <w:bottom w:val="single" w:color="000000" w:sz="4" w:space="0"/>
              <w:right w:val="single" w:color="000000" w:sz="4" w:space="0"/>
            </w:tcBorders>
          </w:tcPr>
          <w:p w14:paraId="529AEE4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4AAC6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27B9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操作区域内的散装食品放入统一规格的容器</w:t>
            </w:r>
          </w:p>
        </w:tc>
      </w:tr>
      <w:tr w14:paraId="7EEA6A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61993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759" w:type="dxa"/>
            <w:vMerge w:val="continue"/>
            <w:tcBorders>
              <w:top w:val="nil"/>
              <w:left w:val="single" w:color="000000" w:sz="4" w:space="0"/>
              <w:bottom w:val="single" w:color="000000" w:sz="4" w:space="0"/>
              <w:right w:val="single" w:color="000000" w:sz="4" w:space="0"/>
            </w:tcBorders>
          </w:tcPr>
          <w:p w14:paraId="683EDE4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BD3293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5B1F8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用于清扫清洗和消毒的设备、用具，用毕放置在专用的场所或区域</w:t>
            </w:r>
          </w:p>
        </w:tc>
      </w:tr>
      <w:tr w14:paraId="0F166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B40A1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75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4B9D9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食品加工管理</w:t>
            </w: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60852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作业规程</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92164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食品加工过程中不能用水冲地或台面</w:t>
            </w:r>
          </w:p>
        </w:tc>
      </w:tr>
      <w:tr w14:paraId="77CC7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E251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759" w:type="dxa"/>
            <w:vMerge w:val="continue"/>
            <w:tcBorders>
              <w:top w:val="nil"/>
              <w:left w:val="single" w:color="000000" w:sz="4" w:space="0"/>
              <w:bottom w:val="single" w:color="000000" w:sz="4" w:space="0"/>
              <w:right w:val="single" w:color="000000" w:sz="4" w:space="0"/>
            </w:tcBorders>
          </w:tcPr>
          <w:p w14:paraId="0608DE0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A765C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4A5E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厨师不能直接用菜勺试味，应采用专用的碗筷试味</w:t>
            </w:r>
          </w:p>
        </w:tc>
      </w:tr>
      <w:tr w14:paraId="4B4713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5875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759" w:type="dxa"/>
            <w:vMerge w:val="continue"/>
            <w:tcBorders>
              <w:top w:val="nil"/>
              <w:left w:val="single" w:color="000000" w:sz="4" w:space="0"/>
              <w:bottom w:val="single" w:color="000000" w:sz="4" w:space="0"/>
              <w:right w:val="single" w:color="000000" w:sz="4" w:space="0"/>
            </w:tcBorders>
          </w:tcPr>
          <w:p w14:paraId="10944DA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FF1FAE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24445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盛装食品的容器不直接置于地上，以防止食品污染</w:t>
            </w:r>
          </w:p>
        </w:tc>
      </w:tr>
      <w:tr w14:paraId="2063B9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BA0E9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17</w:t>
            </w:r>
          </w:p>
        </w:tc>
        <w:tc>
          <w:tcPr>
            <w:tcW w:w="759" w:type="dxa"/>
            <w:vMerge w:val="continue"/>
            <w:tcBorders>
              <w:top w:val="nil"/>
              <w:left w:val="single" w:color="000000" w:sz="4" w:space="0"/>
              <w:bottom w:val="single" w:color="000000" w:sz="4" w:space="0"/>
              <w:right w:val="single" w:color="000000" w:sz="4" w:space="0"/>
            </w:tcBorders>
          </w:tcPr>
          <w:p w14:paraId="302598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6B82C58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8AA1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待加工食品与直接入口食品的加工工具和容器按标示规定的用途使用</w:t>
            </w:r>
          </w:p>
        </w:tc>
      </w:tr>
      <w:tr w14:paraId="29797B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6468B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18</w:t>
            </w:r>
          </w:p>
        </w:tc>
        <w:tc>
          <w:tcPr>
            <w:tcW w:w="759" w:type="dxa"/>
            <w:vMerge w:val="continue"/>
            <w:tcBorders>
              <w:top w:val="nil"/>
              <w:left w:val="single" w:color="000000" w:sz="4" w:space="0"/>
              <w:bottom w:val="single" w:color="000000" w:sz="4" w:space="0"/>
              <w:right w:val="single" w:color="000000" w:sz="4" w:space="0"/>
            </w:tcBorders>
          </w:tcPr>
          <w:p w14:paraId="14396AA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5FE6F29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5D095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清洗肉类、蔬菜、水产，按照清洗水池标示功能清洗</w:t>
            </w:r>
          </w:p>
        </w:tc>
      </w:tr>
      <w:tr w14:paraId="1C4101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9264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19</w:t>
            </w:r>
          </w:p>
        </w:tc>
        <w:tc>
          <w:tcPr>
            <w:tcW w:w="759" w:type="dxa"/>
            <w:vMerge w:val="continue"/>
            <w:tcBorders>
              <w:top w:val="nil"/>
              <w:left w:val="single" w:color="000000" w:sz="4" w:space="0"/>
              <w:bottom w:val="single" w:color="000000" w:sz="4" w:space="0"/>
              <w:right w:val="single" w:color="000000" w:sz="4" w:space="0"/>
            </w:tcBorders>
          </w:tcPr>
          <w:p w14:paraId="1F2044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FED210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C3D04F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直接入口食品则全部存放在熟食间，熟食间内保证没有非直接入口食品，</w:t>
            </w:r>
          </w:p>
        </w:tc>
      </w:tr>
      <w:tr w14:paraId="014915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26152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20</w:t>
            </w:r>
          </w:p>
        </w:tc>
        <w:tc>
          <w:tcPr>
            <w:tcW w:w="759" w:type="dxa"/>
            <w:vMerge w:val="continue"/>
            <w:tcBorders>
              <w:top w:val="nil"/>
              <w:left w:val="single" w:color="000000" w:sz="4" w:space="0"/>
              <w:bottom w:val="single" w:color="000000" w:sz="4" w:space="0"/>
              <w:right w:val="single" w:color="000000" w:sz="4" w:space="0"/>
            </w:tcBorders>
          </w:tcPr>
          <w:p w14:paraId="4BB7CF3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1D42CD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BF108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用于食品加工操作的设备及工具不得用于食品加工无关的用途</w:t>
            </w:r>
          </w:p>
        </w:tc>
      </w:tr>
      <w:tr w14:paraId="7C4DE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1202E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21</w:t>
            </w:r>
          </w:p>
        </w:tc>
        <w:tc>
          <w:tcPr>
            <w:tcW w:w="75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E2526FE">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环境卫生管理</w:t>
            </w:r>
          </w:p>
          <w:p w14:paraId="2F5BEEFE">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7107A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烹调间与食品处理区域清洁要求</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A8928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制定清洁值日表</w:t>
            </w:r>
          </w:p>
        </w:tc>
      </w:tr>
      <w:tr w14:paraId="00488A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1A8F9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22</w:t>
            </w:r>
          </w:p>
        </w:tc>
        <w:tc>
          <w:tcPr>
            <w:tcW w:w="759" w:type="dxa"/>
            <w:vMerge w:val="continue"/>
            <w:tcBorders>
              <w:top w:val="nil"/>
              <w:left w:val="single" w:color="000000" w:sz="4" w:space="0"/>
              <w:bottom w:val="single" w:color="000000" w:sz="4" w:space="0"/>
              <w:right w:val="single" w:color="000000" w:sz="4" w:space="0"/>
            </w:tcBorders>
          </w:tcPr>
          <w:p w14:paraId="3C750A2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2E9B35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3DF5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各区域有明确清洁责任人</w:t>
            </w:r>
          </w:p>
        </w:tc>
      </w:tr>
      <w:tr w14:paraId="72216F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FE65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23</w:t>
            </w:r>
          </w:p>
        </w:tc>
        <w:tc>
          <w:tcPr>
            <w:tcW w:w="759" w:type="dxa"/>
            <w:vMerge w:val="continue"/>
            <w:tcBorders>
              <w:top w:val="nil"/>
              <w:left w:val="single" w:color="000000" w:sz="4" w:space="0"/>
              <w:bottom w:val="single" w:color="000000" w:sz="4" w:space="0"/>
              <w:right w:val="single" w:color="000000" w:sz="4" w:space="0"/>
            </w:tcBorders>
          </w:tcPr>
          <w:p w14:paraId="4B1F6E0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2ECC6FF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7655A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墙面、屋顶、墙角无积尘，无蜘蛛网</w:t>
            </w:r>
          </w:p>
        </w:tc>
      </w:tr>
      <w:tr w14:paraId="540E49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AD6B90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24</w:t>
            </w:r>
          </w:p>
        </w:tc>
        <w:tc>
          <w:tcPr>
            <w:tcW w:w="759" w:type="dxa"/>
            <w:vMerge w:val="continue"/>
            <w:tcBorders>
              <w:top w:val="nil"/>
              <w:left w:val="single" w:color="000000" w:sz="4" w:space="0"/>
              <w:bottom w:val="single" w:color="000000" w:sz="4" w:space="0"/>
              <w:right w:val="single" w:color="000000" w:sz="4" w:space="0"/>
            </w:tcBorders>
          </w:tcPr>
          <w:p w14:paraId="393B6E6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63577B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DBAE1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墙面、屋顶、门窗等无破损，无发霉、发黑现象</w:t>
            </w:r>
          </w:p>
        </w:tc>
      </w:tr>
      <w:tr w14:paraId="7972F2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8C73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25</w:t>
            </w:r>
          </w:p>
        </w:tc>
        <w:tc>
          <w:tcPr>
            <w:tcW w:w="759" w:type="dxa"/>
            <w:vMerge w:val="continue"/>
            <w:tcBorders>
              <w:top w:val="nil"/>
              <w:left w:val="single" w:color="000000" w:sz="4" w:space="0"/>
              <w:bottom w:val="single" w:color="000000" w:sz="4" w:space="0"/>
              <w:right w:val="single" w:color="000000" w:sz="4" w:space="0"/>
            </w:tcBorders>
          </w:tcPr>
          <w:p w14:paraId="5980F3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6F97B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E6C64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工作台面、物品架（柜）、仓库物品摆放整齐清洁</w:t>
            </w:r>
          </w:p>
        </w:tc>
      </w:tr>
      <w:tr w14:paraId="754F6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C079F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26</w:t>
            </w:r>
          </w:p>
        </w:tc>
        <w:tc>
          <w:tcPr>
            <w:tcW w:w="759" w:type="dxa"/>
            <w:vMerge w:val="continue"/>
            <w:tcBorders>
              <w:top w:val="nil"/>
              <w:left w:val="single" w:color="000000" w:sz="4" w:space="0"/>
              <w:bottom w:val="single" w:color="000000" w:sz="4" w:space="0"/>
              <w:right w:val="single" w:color="000000" w:sz="4" w:space="0"/>
            </w:tcBorders>
          </w:tcPr>
          <w:p w14:paraId="61D9F1F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07CD3A5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91D76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除粗加工、餐具洗消间外，地面应无水渍，保持干燥</w:t>
            </w:r>
          </w:p>
        </w:tc>
      </w:tr>
      <w:tr w14:paraId="70B563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77459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27</w:t>
            </w:r>
          </w:p>
        </w:tc>
        <w:tc>
          <w:tcPr>
            <w:tcW w:w="759" w:type="dxa"/>
            <w:vMerge w:val="continue"/>
            <w:tcBorders>
              <w:top w:val="nil"/>
              <w:left w:val="single" w:color="000000" w:sz="4" w:space="0"/>
              <w:bottom w:val="single" w:color="000000" w:sz="4" w:space="0"/>
              <w:right w:val="single" w:color="000000" w:sz="4" w:space="0"/>
            </w:tcBorders>
          </w:tcPr>
          <w:p w14:paraId="324515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AFA953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0D5E9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墙面、地面无油腻，走路不沾脚</w:t>
            </w:r>
          </w:p>
        </w:tc>
      </w:tr>
      <w:tr w14:paraId="0E4907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0340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28</w:t>
            </w:r>
          </w:p>
        </w:tc>
        <w:tc>
          <w:tcPr>
            <w:tcW w:w="759" w:type="dxa"/>
            <w:vMerge w:val="continue"/>
            <w:tcBorders>
              <w:top w:val="nil"/>
              <w:left w:val="single" w:color="000000" w:sz="4" w:space="0"/>
              <w:bottom w:val="single" w:color="000000" w:sz="4" w:space="0"/>
              <w:right w:val="single" w:color="000000" w:sz="4" w:space="0"/>
            </w:tcBorders>
          </w:tcPr>
          <w:p w14:paraId="2B90265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67763BA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8E503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固体废弃物分类整理、当日清运</w:t>
            </w:r>
          </w:p>
        </w:tc>
      </w:tr>
      <w:tr w14:paraId="32E9DA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826A4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29</w:t>
            </w:r>
          </w:p>
        </w:tc>
        <w:tc>
          <w:tcPr>
            <w:tcW w:w="759" w:type="dxa"/>
            <w:vMerge w:val="continue"/>
            <w:tcBorders>
              <w:top w:val="nil"/>
              <w:left w:val="single" w:color="000000" w:sz="4" w:space="0"/>
              <w:bottom w:val="single" w:color="000000" w:sz="4" w:space="0"/>
              <w:right w:val="single" w:color="000000" w:sz="4" w:space="0"/>
            </w:tcBorders>
          </w:tcPr>
          <w:p w14:paraId="4B7F06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53644E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27E3A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工作现场垃圾桶加盖、表面清洁</w:t>
            </w:r>
          </w:p>
        </w:tc>
      </w:tr>
      <w:tr w14:paraId="6C3DB7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B0234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30</w:t>
            </w:r>
          </w:p>
        </w:tc>
        <w:tc>
          <w:tcPr>
            <w:tcW w:w="759" w:type="dxa"/>
            <w:vMerge w:val="continue"/>
            <w:tcBorders>
              <w:top w:val="nil"/>
              <w:left w:val="single" w:color="000000" w:sz="4" w:space="0"/>
              <w:bottom w:val="single" w:color="000000" w:sz="4" w:space="0"/>
              <w:right w:val="single" w:color="000000" w:sz="4" w:space="0"/>
            </w:tcBorders>
          </w:tcPr>
          <w:p w14:paraId="346F947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764FF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粗加工和切配区域</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366878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水池内外壁清洁，无残留物、无污垢</w:t>
            </w:r>
          </w:p>
        </w:tc>
      </w:tr>
      <w:tr w14:paraId="39E06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5F4B5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31</w:t>
            </w:r>
          </w:p>
        </w:tc>
        <w:tc>
          <w:tcPr>
            <w:tcW w:w="759" w:type="dxa"/>
            <w:vMerge w:val="continue"/>
            <w:tcBorders>
              <w:top w:val="nil"/>
              <w:left w:val="single" w:color="000000" w:sz="4" w:space="0"/>
              <w:bottom w:val="single" w:color="000000" w:sz="4" w:space="0"/>
              <w:right w:val="single" w:color="000000" w:sz="4" w:space="0"/>
            </w:tcBorders>
          </w:tcPr>
          <w:p w14:paraId="43DF647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340E38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690B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切配工具、墩头及时清洗、归位、侧立存放</w:t>
            </w:r>
          </w:p>
        </w:tc>
      </w:tr>
      <w:tr w14:paraId="12A563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926EF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32</w:t>
            </w:r>
          </w:p>
        </w:tc>
        <w:tc>
          <w:tcPr>
            <w:tcW w:w="759" w:type="dxa"/>
            <w:vMerge w:val="continue"/>
            <w:tcBorders>
              <w:top w:val="nil"/>
              <w:left w:val="single" w:color="000000" w:sz="4" w:space="0"/>
              <w:bottom w:val="single" w:color="000000" w:sz="4" w:space="0"/>
              <w:right w:val="single" w:color="000000" w:sz="4" w:space="0"/>
            </w:tcBorders>
          </w:tcPr>
          <w:p w14:paraId="05123B3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DA1938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0D6C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废弃物及时清理，废弃物容器及时加盖</w:t>
            </w:r>
          </w:p>
        </w:tc>
      </w:tr>
      <w:tr w14:paraId="51EE42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C44B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33</w:t>
            </w:r>
          </w:p>
        </w:tc>
        <w:tc>
          <w:tcPr>
            <w:tcW w:w="759" w:type="dxa"/>
            <w:vMerge w:val="continue"/>
            <w:tcBorders>
              <w:top w:val="nil"/>
              <w:left w:val="single" w:color="000000" w:sz="4" w:space="0"/>
              <w:bottom w:val="single" w:color="000000" w:sz="4" w:space="0"/>
              <w:right w:val="single" w:color="000000" w:sz="4" w:space="0"/>
            </w:tcBorders>
          </w:tcPr>
          <w:p w14:paraId="788463E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27BA511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AFC04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盛放已经清洗净菜的箩筐不着地堆放</w:t>
            </w:r>
          </w:p>
        </w:tc>
      </w:tr>
      <w:tr w14:paraId="28111B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E8956B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34</w:t>
            </w:r>
          </w:p>
        </w:tc>
        <w:tc>
          <w:tcPr>
            <w:tcW w:w="759" w:type="dxa"/>
            <w:vMerge w:val="continue"/>
            <w:tcBorders>
              <w:top w:val="nil"/>
              <w:left w:val="single" w:color="000000" w:sz="4" w:space="0"/>
              <w:bottom w:val="single" w:color="000000" w:sz="4" w:space="0"/>
              <w:right w:val="single" w:color="000000" w:sz="4" w:space="0"/>
            </w:tcBorders>
          </w:tcPr>
          <w:p w14:paraId="5247B2D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C8312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烹调间</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0D3B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油烟罩、排烟管表面光亮、无油污</w:t>
            </w:r>
          </w:p>
        </w:tc>
      </w:tr>
      <w:tr w14:paraId="1B4212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A1A36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35</w:t>
            </w:r>
          </w:p>
        </w:tc>
        <w:tc>
          <w:tcPr>
            <w:tcW w:w="759" w:type="dxa"/>
            <w:vMerge w:val="continue"/>
            <w:tcBorders>
              <w:top w:val="nil"/>
              <w:left w:val="single" w:color="000000" w:sz="4" w:space="0"/>
              <w:bottom w:val="single" w:color="000000" w:sz="4" w:space="0"/>
              <w:right w:val="single" w:color="000000" w:sz="4" w:space="0"/>
            </w:tcBorders>
          </w:tcPr>
          <w:p w14:paraId="7644183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D0126F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FA99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调味品排列整齐有序、容器表面清洁</w:t>
            </w:r>
          </w:p>
        </w:tc>
      </w:tr>
      <w:tr w14:paraId="7E728D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E68B6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36</w:t>
            </w:r>
          </w:p>
        </w:tc>
        <w:tc>
          <w:tcPr>
            <w:tcW w:w="759" w:type="dxa"/>
            <w:vMerge w:val="continue"/>
            <w:tcBorders>
              <w:top w:val="nil"/>
              <w:left w:val="single" w:color="000000" w:sz="4" w:space="0"/>
              <w:bottom w:val="single" w:color="000000" w:sz="4" w:space="0"/>
              <w:right w:val="single" w:color="000000" w:sz="4" w:space="0"/>
            </w:tcBorders>
          </w:tcPr>
          <w:p w14:paraId="19E91B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2B42F1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313102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生熟需分开、不存在交叉污染</w:t>
            </w:r>
          </w:p>
        </w:tc>
      </w:tr>
      <w:tr w14:paraId="156C9C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40BFE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37</w:t>
            </w:r>
          </w:p>
        </w:tc>
        <w:tc>
          <w:tcPr>
            <w:tcW w:w="759" w:type="dxa"/>
            <w:vMerge w:val="continue"/>
            <w:tcBorders>
              <w:top w:val="nil"/>
              <w:left w:val="single" w:color="000000" w:sz="4" w:space="0"/>
              <w:bottom w:val="single" w:color="000000" w:sz="4" w:space="0"/>
              <w:right w:val="single" w:color="000000" w:sz="4" w:space="0"/>
            </w:tcBorders>
          </w:tcPr>
          <w:p w14:paraId="1A2F6B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7C2EA4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EB47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无使用配菜盘直接盛放烹饪后的成品菜</w:t>
            </w:r>
          </w:p>
        </w:tc>
      </w:tr>
      <w:tr w14:paraId="0A2C4D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606572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38</w:t>
            </w:r>
          </w:p>
        </w:tc>
        <w:tc>
          <w:tcPr>
            <w:tcW w:w="759" w:type="dxa"/>
            <w:vMerge w:val="continue"/>
            <w:tcBorders>
              <w:top w:val="nil"/>
              <w:left w:val="single" w:color="000000" w:sz="4" w:space="0"/>
              <w:bottom w:val="single" w:color="000000" w:sz="4" w:space="0"/>
              <w:right w:val="single" w:color="000000" w:sz="4" w:space="0"/>
            </w:tcBorders>
          </w:tcPr>
          <w:p w14:paraId="1A0C04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976EE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餐具</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3AD8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餐具清洗后表面无残渣</w:t>
            </w:r>
          </w:p>
        </w:tc>
      </w:tr>
      <w:tr w14:paraId="1854D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4AE17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39</w:t>
            </w:r>
          </w:p>
        </w:tc>
        <w:tc>
          <w:tcPr>
            <w:tcW w:w="759" w:type="dxa"/>
            <w:vMerge w:val="continue"/>
            <w:tcBorders>
              <w:top w:val="nil"/>
              <w:left w:val="single" w:color="000000" w:sz="4" w:space="0"/>
              <w:bottom w:val="single" w:color="000000" w:sz="4" w:space="0"/>
              <w:right w:val="single" w:color="000000" w:sz="4" w:space="0"/>
            </w:tcBorders>
          </w:tcPr>
          <w:p w14:paraId="15D73B7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5CBE1BD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71EA0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餐具表面无油腻、热力消毒后餐具表面无水渍</w:t>
            </w:r>
          </w:p>
        </w:tc>
      </w:tr>
      <w:tr w14:paraId="75D3B9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6D164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40</w:t>
            </w:r>
          </w:p>
        </w:tc>
        <w:tc>
          <w:tcPr>
            <w:tcW w:w="759" w:type="dxa"/>
            <w:vMerge w:val="continue"/>
            <w:tcBorders>
              <w:top w:val="nil"/>
              <w:left w:val="single" w:color="000000" w:sz="4" w:space="0"/>
              <w:bottom w:val="single" w:color="000000" w:sz="4" w:space="0"/>
              <w:right w:val="single" w:color="000000" w:sz="4" w:space="0"/>
            </w:tcBorders>
          </w:tcPr>
          <w:p w14:paraId="2B2E88C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69C56F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6790F8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消毒餐具及时放置保洁柜，内部整洁，与标识相符</w:t>
            </w:r>
          </w:p>
        </w:tc>
      </w:tr>
      <w:tr w14:paraId="1739AD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CB4C3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41</w:t>
            </w:r>
          </w:p>
        </w:tc>
        <w:tc>
          <w:tcPr>
            <w:tcW w:w="759" w:type="dxa"/>
            <w:vMerge w:val="continue"/>
            <w:tcBorders>
              <w:top w:val="nil"/>
              <w:left w:val="single" w:color="000000" w:sz="4" w:space="0"/>
              <w:bottom w:val="single" w:color="000000" w:sz="4" w:space="0"/>
              <w:right w:val="single" w:color="000000" w:sz="4" w:space="0"/>
            </w:tcBorders>
          </w:tcPr>
          <w:p w14:paraId="154570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3047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熟食和配餐间</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E0D7D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空气新鲜、台面无残渣</w:t>
            </w:r>
          </w:p>
        </w:tc>
      </w:tr>
      <w:tr w14:paraId="17E7FC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382AD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42</w:t>
            </w:r>
          </w:p>
        </w:tc>
        <w:tc>
          <w:tcPr>
            <w:tcW w:w="759" w:type="dxa"/>
            <w:vMerge w:val="continue"/>
            <w:tcBorders>
              <w:top w:val="nil"/>
              <w:left w:val="single" w:color="000000" w:sz="4" w:space="0"/>
              <w:bottom w:val="single" w:color="000000" w:sz="4" w:space="0"/>
              <w:right w:val="single" w:color="000000" w:sz="4" w:space="0"/>
            </w:tcBorders>
          </w:tcPr>
          <w:p w14:paraId="67A1DE2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AF9DFD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B45A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消毒灯有定期开与关</w:t>
            </w:r>
          </w:p>
        </w:tc>
      </w:tr>
      <w:tr w14:paraId="2ABBB0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911B6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43</w:t>
            </w:r>
          </w:p>
        </w:tc>
        <w:tc>
          <w:tcPr>
            <w:tcW w:w="759" w:type="dxa"/>
            <w:vMerge w:val="continue"/>
            <w:tcBorders>
              <w:top w:val="nil"/>
              <w:left w:val="single" w:color="000000" w:sz="4" w:space="0"/>
              <w:bottom w:val="single" w:color="000000" w:sz="4" w:space="0"/>
              <w:right w:val="single" w:color="000000" w:sz="4" w:space="0"/>
            </w:tcBorders>
          </w:tcPr>
          <w:p w14:paraId="4F8CD0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094836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44CCA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每天清洁空调，运转正常、温度显示25°C以下</w:t>
            </w:r>
          </w:p>
        </w:tc>
      </w:tr>
      <w:tr w14:paraId="168B79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B3A5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44</w:t>
            </w:r>
          </w:p>
        </w:tc>
        <w:tc>
          <w:tcPr>
            <w:tcW w:w="759" w:type="dxa"/>
            <w:vMerge w:val="continue"/>
            <w:tcBorders>
              <w:top w:val="nil"/>
              <w:left w:val="single" w:color="000000" w:sz="4" w:space="0"/>
              <w:bottom w:val="single" w:color="000000" w:sz="4" w:space="0"/>
              <w:right w:val="single" w:color="000000" w:sz="4" w:space="0"/>
            </w:tcBorders>
          </w:tcPr>
          <w:p w14:paraId="3487913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0531772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80B49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履行洗手及消毒制度</w:t>
            </w:r>
          </w:p>
        </w:tc>
      </w:tr>
      <w:tr w14:paraId="689837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2F359C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45</w:t>
            </w:r>
          </w:p>
        </w:tc>
        <w:tc>
          <w:tcPr>
            <w:tcW w:w="759" w:type="dxa"/>
            <w:vMerge w:val="continue"/>
            <w:tcBorders>
              <w:top w:val="nil"/>
              <w:left w:val="single" w:color="000000" w:sz="4" w:space="0"/>
              <w:bottom w:val="single" w:color="000000" w:sz="4" w:space="0"/>
              <w:right w:val="single" w:color="000000" w:sz="4" w:space="0"/>
            </w:tcBorders>
          </w:tcPr>
          <w:p w14:paraId="08AFF71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5F1C58">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洗手消毒</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6BA762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合理配置洗手消毒液，消毒液浓度为50PPM</w:t>
            </w:r>
          </w:p>
        </w:tc>
      </w:tr>
      <w:tr w14:paraId="0BA5F0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E3335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46</w:t>
            </w:r>
          </w:p>
        </w:tc>
        <w:tc>
          <w:tcPr>
            <w:tcW w:w="759" w:type="dxa"/>
            <w:vMerge w:val="continue"/>
            <w:tcBorders>
              <w:top w:val="nil"/>
              <w:left w:val="single" w:color="000000" w:sz="4" w:space="0"/>
              <w:bottom w:val="single" w:color="000000" w:sz="4" w:space="0"/>
              <w:right w:val="single" w:color="000000" w:sz="4" w:space="0"/>
            </w:tcBorders>
          </w:tcPr>
          <w:p w14:paraId="3016D4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F87237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03CE3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有洗手标准图解</w:t>
            </w:r>
          </w:p>
        </w:tc>
      </w:tr>
      <w:tr w14:paraId="75113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60F641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47</w:t>
            </w:r>
          </w:p>
        </w:tc>
        <w:tc>
          <w:tcPr>
            <w:tcW w:w="759" w:type="dxa"/>
            <w:vMerge w:val="continue"/>
            <w:tcBorders>
              <w:top w:val="nil"/>
              <w:left w:val="single" w:color="000000" w:sz="4" w:space="0"/>
              <w:bottom w:val="single" w:color="000000" w:sz="4" w:space="0"/>
              <w:right w:val="single" w:color="000000" w:sz="4" w:space="0"/>
            </w:tcBorders>
          </w:tcPr>
          <w:p w14:paraId="302106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373AB2">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食堂楼面</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CB8308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桌椅整洁、定位放置、桌椅表面无灰尘</w:t>
            </w:r>
          </w:p>
        </w:tc>
      </w:tr>
      <w:tr w14:paraId="77B82A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D0CD2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48</w:t>
            </w:r>
          </w:p>
        </w:tc>
        <w:tc>
          <w:tcPr>
            <w:tcW w:w="759" w:type="dxa"/>
            <w:vMerge w:val="continue"/>
            <w:tcBorders>
              <w:top w:val="nil"/>
              <w:left w:val="single" w:color="000000" w:sz="4" w:space="0"/>
              <w:bottom w:val="single" w:color="000000" w:sz="4" w:space="0"/>
              <w:right w:val="single" w:color="000000" w:sz="4" w:space="0"/>
            </w:tcBorders>
          </w:tcPr>
          <w:p w14:paraId="073871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0D92C24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8EDC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室内绿化定期更换</w:t>
            </w:r>
          </w:p>
        </w:tc>
      </w:tr>
      <w:tr w14:paraId="7272F8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F15118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49</w:t>
            </w:r>
          </w:p>
        </w:tc>
        <w:tc>
          <w:tcPr>
            <w:tcW w:w="759" w:type="dxa"/>
            <w:vMerge w:val="continue"/>
            <w:tcBorders>
              <w:top w:val="nil"/>
              <w:left w:val="single" w:color="000000" w:sz="4" w:space="0"/>
              <w:bottom w:val="single" w:color="000000" w:sz="4" w:space="0"/>
              <w:right w:val="single" w:color="000000" w:sz="4" w:space="0"/>
            </w:tcBorders>
          </w:tcPr>
          <w:p w14:paraId="2DB581A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3A16051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BE42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制定清洁操作要求，保持窗帘、地毯整洁，无污渍、无异味</w:t>
            </w:r>
          </w:p>
        </w:tc>
      </w:tr>
      <w:tr w14:paraId="1644D1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E79C85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50</w:t>
            </w:r>
          </w:p>
        </w:tc>
        <w:tc>
          <w:tcPr>
            <w:tcW w:w="759" w:type="dxa"/>
            <w:vMerge w:val="continue"/>
            <w:tcBorders>
              <w:top w:val="nil"/>
              <w:left w:val="single" w:color="000000" w:sz="4" w:space="0"/>
              <w:bottom w:val="single" w:color="000000" w:sz="4" w:space="0"/>
              <w:right w:val="single" w:color="000000" w:sz="4" w:space="0"/>
            </w:tcBorders>
          </w:tcPr>
          <w:p w14:paraId="77DDFF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95FDE4">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冰箱冷库</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B61D2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水产品类、畜禽肉类、果蔬类需独立分开存放</w:t>
            </w:r>
          </w:p>
        </w:tc>
      </w:tr>
      <w:tr w14:paraId="208830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4E46C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51</w:t>
            </w:r>
          </w:p>
        </w:tc>
        <w:tc>
          <w:tcPr>
            <w:tcW w:w="759" w:type="dxa"/>
            <w:vMerge w:val="continue"/>
            <w:tcBorders>
              <w:top w:val="nil"/>
              <w:left w:val="single" w:color="000000" w:sz="4" w:space="0"/>
              <w:bottom w:val="single" w:color="000000" w:sz="4" w:space="0"/>
              <w:right w:val="single" w:color="000000" w:sz="4" w:space="0"/>
            </w:tcBorders>
          </w:tcPr>
          <w:p w14:paraId="072735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5CC8B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699E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所有食品需上盖或上保鲜膜进行防护</w:t>
            </w:r>
          </w:p>
        </w:tc>
      </w:tr>
      <w:tr w14:paraId="7B34B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47423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52</w:t>
            </w:r>
          </w:p>
        </w:tc>
        <w:tc>
          <w:tcPr>
            <w:tcW w:w="759" w:type="dxa"/>
            <w:vMerge w:val="continue"/>
            <w:tcBorders>
              <w:top w:val="nil"/>
              <w:left w:val="single" w:color="000000" w:sz="4" w:space="0"/>
              <w:bottom w:val="single" w:color="000000" w:sz="4" w:space="0"/>
              <w:right w:val="single" w:color="000000" w:sz="4" w:space="0"/>
            </w:tcBorders>
          </w:tcPr>
          <w:p w14:paraId="02E6743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74BA29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0E1BC9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生熟需分开存放（原料、半成品、熟制品需分开）</w:t>
            </w:r>
          </w:p>
        </w:tc>
      </w:tr>
      <w:tr w14:paraId="10D62E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F6D535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53</w:t>
            </w:r>
          </w:p>
        </w:tc>
        <w:tc>
          <w:tcPr>
            <w:tcW w:w="759" w:type="dxa"/>
            <w:vMerge w:val="continue"/>
            <w:tcBorders>
              <w:top w:val="nil"/>
              <w:left w:val="single" w:color="000000" w:sz="4" w:space="0"/>
              <w:bottom w:val="single" w:color="000000" w:sz="4" w:space="0"/>
              <w:right w:val="single" w:color="000000" w:sz="4" w:space="0"/>
            </w:tcBorders>
          </w:tcPr>
          <w:p w14:paraId="2F4894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304357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DA8EC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门的胶圈无水渍、无污渍</w:t>
            </w:r>
          </w:p>
        </w:tc>
      </w:tr>
      <w:tr w14:paraId="13B051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240C2E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54</w:t>
            </w:r>
          </w:p>
        </w:tc>
        <w:tc>
          <w:tcPr>
            <w:tcW w:w="759" w:type="dxa"/>
            <w:vMerge w:val="continue"/>
            <w:tcBorders>
              <w:top w:val="nil"/>
              <w:left w:val="single" w:color="000000" w:sz="4" w:space="0"/>
              <w:bottom w:val="single" w:color="000000" w:sz="4" w:space="0"/>
              <w:right w:val="single" w:color="000000" w:sz="4" w:space="0"/>
            </w:tcBorders>
          </w:tcPr>
          <w:p w14:paraId="25B62F3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7C5C1F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586E9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冷藏（保鲜）温度0-10°C；冷冻（急冻）温度为-18°C以下</w:t>
            </w:r>
          </w:p>
        </w:tc>
      </w:tr>
      <w:tr w14:paraId="7DD03F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B3A545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55</w:t>
            </w:r>
          </w:p>
        </w:tc>
        <w:tc>
          <w:tcPr>
            <w:tcW w:w="759" w:type="dxa"/>
            <w:vMerge w:val="continue"/>
            <w:tcBorders>
              <w:top w:val="nil"/>
              <w:left w:val="single" w:color="000000" w:sz="4" w:space="0"/>
              <w:bottom w:val="single" w:color="000000" w:sz="4" w:space="0"/>
              <w:right w:val="single" w:color="000000" w:sz="4" w:space="0"/>
            </w:tcBorders>
          </w:tcPr>
          <w:p w14:paraId="3B4772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E918F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下水道</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1D615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下水道每日清理，无沉积污水、污物</w:t>
            </w:r>
          </w:p>
        </w:tc>
      </w:tr>
      <w:tr w14:paraId="374EEC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A251C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56</w:t>
            </w:r>
          </w:p>
        </w:tc>
        <w:tc>
          <w:tcPr>
            <w:tcW w:w="759" w:type="dxa"/>
            <w:vMerge w:val="continue"/>
            <w:tcBorders>
              <w:top w:val="nil"/>
              <w:left w:val="single" w:color="000000" w:sz="4" w:space="0"/>
              <w:bottom w:val="single" w:color="000000" w:sz="4" w:space="0"/>
              <w:right w:val="single" w:color="000000" w:sz="4" w:space="0"/>
            </w:tcBorders>
          </w:tcPr>
          <w:p w14:paraId="5B80405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743D50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除“四害”</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4982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各功能区域内及时消除“四害”</w:t>
            </w:r>
          </w:p>
        </w:tc>
      </w:tr>
      <w:tr w14:paraId="7D5960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F4D1C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57</w:t>
            </w:r>
          </w:p>
        </w:tc>
        <w:tc>
          <w:tcPr>
            <w:tcW w:w="75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FB50C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VI管理</w:t>
            </w: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EFAAB3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公告栏宣传</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E97EB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有“五常”管理宣传版面</w:t>
            </w:r>
          </w:p>
        </w:tc>
      </w:tr>
      <w:tr w14:paraId="62F2E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58589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58</w:t>
            </w:r>
          </w:p>
        </w:tc>
        <w:tc>
          <w:tcPr>
            <w:tcW w:w="759" w:type="dxa"/>
            <w:vMerge w:val="continue"/>
            <w:tcBorders>
              <w:top w:val="nil"/>
              <w:left w:val="single" w:color="000000" w:sz="4" w:space="0"/>
              <w:bottom w:val="single" w:color="000000" w:sz="4" w:space="0"/>
              <w:right w:val="single" w:color="000000" w:sz="4" w:space="0"/>
            </w:tcBorders>
          </w:tcPr>
          <w:p w14:paraId="43726B7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BEB83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D10D1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内容定期更换，保持版面清洁</w:t>
            </w:r>
          </w:p>
        </w:tc>
      </w:tr>
      <w:tr w14:paraId="60468B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F5740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59</w:t>
            </w:r>
          </w:p>
        </w:tc>
        <w:tc>
          <w:tcPr>
            <w:tcW w:w="75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CD88E3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食品安全管理</w:t>
            </w:r>
          </w:p>
        </w:tc>
        <w:tc>
          <w:tcPr>
            <w:tcW w:w="14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FCA96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索证以及资料</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58A1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食品台账资料完整（有管理组织文件、人员名单、管理制度、管理表格、索证、人员健康证资料、</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资质、餐具消毒/食品留样等）</w:t>
            </w:r>
          </w:p>
        </w:tc>
      </w:tr>
      <w:tr w14:paraId="1EFF41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61416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60</w:t>
            </w:r>
          </w:p>
        </w:tc>
        <w:tc>
          <w:tcPr>
            <w:tcW w:w="759" w:type="dxa"/>
            <w:vMerge w:val="continue"/>
            <w:tcBorders>
              <w:top w:val="nil"/>
              <w:left w:val="single" w:color="000000" w:sz="4" w:space="0"/>
              <w:bottom w:val="single" w:color="000000" w:sz="4" w:space="0"/>
              <w:right w:val="single" w:color="000000" w:sz="4" w:space="0"/>
            </w:tcBorders>
          </w:tcPr>
          <w:p w14:paraId="4473AB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CDF26C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安全生产操作</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4B82D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电路电线无外露，开关、电控箱保持良好</w:t>
            </w:r>
          </w:p>
        </w:tc>
      </w:tr>
      <w:tr w14:paraId="28585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7F750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61</w:t>
            </w:r>
          </w:p>
        </w:tc>
        <w:tc>
          <w:tcPr>
            <w:tcW w:w="759" w:type="dxa"/>
            <w:vMerge w:val="continue"/>
            <w:tcBorders>
              <w:top w:val="nil"/>
              <w:left w:val="single" w:color="000000" w:sz="4" w:space="0"/>
              <w:bottom w:val="single" w:color="000000" w:sz="4" w:space="0"/>
              <w:right w:val="single" w:color="000000" w:sz="4" w:space="0"/>
            </w:tcBorders>
          </w:tcPr>
          <w:p w14:paraId="050144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A3C549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5ED300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消防设施维护良好，无损坏现象</w:t>
            </w:r>
          </w:p>
        </w:tc>
      </w:tr>
      <w:tr w14:paraId="381788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B7FF4B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62</w:t>
            </w:r>
          </w:p>
        </w:tc>
        <w:tc>
          <w:tcPr>
            <w:tcW w:w="759" w:type="dxa"/>
            <w:vMerge w:val="continue"/>
            <w:tcBorders>
              <w:top w:val="nil"/>
              <w:left w:val="single" w:color="000000" w:sz="4" w:space="0"/>
              <w:bottom w:val="single" w:color="000000" w:sz="4" w:space="0"/>
              <w:right w:val="single" w:color="000000" w:sz="4" w:space="0"/>
            </w:tcBorders>
          </w:tcPr>
          <w:p w14:paraId="7CE2243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29D5AAA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56FC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设备清洁时应关闭电源再清洁</w:t>
            </w:r>
          </w:p>
        </w:tc>
      </w:tr>
      <w:tr w14:paraId="6F65E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9F722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63</w:t>
            </w:r>
          </w:p>
        </w:tc>
        <w:tc>
          <w:tcPr>
            <w:tcW w:w="759" w:type="dxa"/>
            <w:vMerge w:val="continue"/>
            <w:tcBorders>
              <w:top w:val="nil"/>
              <w:left w:val="single" w:color="000000" w:sz="4" w:space="0"/>
              <w:bottom w:val="single" w:color="000000" w:sz="4" w:space="0"/>
              <w:right w:val="single" w:color="000000" w:sz="4" w:space="0"/>
            </w:tcBorders>
          </w:tcPr>
          <w:p w14:paraId="023493E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43746F4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7AC05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设备操作人员需经过培训，应提供培训记录</w:t>
            </w:r>
          </w:p>
        </w:tc>
      </w:tr>
      <w:tr w14:paraId="1457F5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0E850C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64</w:t>
            </w:r>
          </w:p>
        </w:tc>
        <w:tc>
          <w:tcPr>
            <w:tcW w:w="759" w:type="dxa"/>
            <w:vMerge w:val="continue"/>
            <w:tcBorders>
              <w:top w:val="nil"/>
              <w:left w:val="single" w:color="000000" w:sz="4" w:space="0"/>
              <w:bottom w:val="single" w:color="000000" w:sz="4" w:space="0"/>
              <w:right w:val="single" w:color="000000" w:sz="4" w:space="0"/>
            </w:tcBorders>
          </w:tcPr>
          <w:p w14:paraId="3E1D428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9F36B0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D3D8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不使用违禁食品、违禁食品添加剂和违禁化学品</w:t>
            </w:r>
          </w:p>
        </w:tc>
      </w:tr>
      <w:tr w14:paraId="11CB24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8F17DF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65</w:t>
            </w:r>
          </w:p>
        </w:tc>
        <w:tc>
          <w:tcPr>
            <w:tcW w:w="75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75DAE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个人卫生管理</w:t>
            </w: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F14D5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仪容仪表</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137F2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制订各部门员工的制服标准及仪表仪容标准</w:t>
            </w:r>
          </w:p>
        </w:tc>
      </w:tr>
      <w:tr w14:paraId="52129B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2DE58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66</w:t>
            </w:r>
          </w:p>
        </w:tc>
        <w:tc>
          <w:tcPr>
            <w:tcW w:w="759" w:type="dxa"/>
            <w:vMerge w:val="continue"/>
            <w:tcBorders>
              <w:top w:val="nil"/>
              <w:left w:val="single" w:color="000000" w:sz="4" w:space="0"/>
              <w:bottom w:val="single" w:color="000000" w:sz="4" w:space="0"/>
              <w:right w:val="single" w:color="000000" w:sz="4" w:space="0"/>
            </w:tcBorders>
          </w:tcPr>
          <w:p w14:paraId="32B0CE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0043CDB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1CF5DD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在更衣室设有标准仪容仪表图示，有穿衣镜</w:t>
            </w:r>
          </w:p>
        </w:tc>
      </w:tr>
      <w:tr w14:paraId="5CF0D4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B2ADE2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67</w:t>
            </w:r>
          </w:p>
        </w:tc>
        <w:tc>
          <w:tcPr>
            <w:tcW w:w="759" w:type="dxa"/>
            <w:vMerge w:val="continue"/>
            <w:tcBorders>
              <w:top w:val="nil"/>
              <w:left w:val="single" w:color="000000" w:sz="4" w:space="0"/>
              <w:bottom w:val="single" w:color="000000" w:sz="4" w:space="0"/>
              <w:right w:val="single" w:color="000000" w:sz="4" w:space="0"/>
            </w:tcBorders>
          </w:tcPr>
          <w:p w14:paraId="7E280E1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44E56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员工</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C59DD3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人员健康证持证率100%</w:t>
            </w:r>
          </w:p>
        </w:tc>
      </w:tr>
      <w:tr w14:paraId="584A52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B051B7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68</w:t>
            </w:r>
          </w:p>
        </w:tc>
        <w:tc>
          <w:tcPr>
            <w:tcW w:w="759" w:type="dxa"/>
            <w:vMerge w:val="continue"/>
            <w:tcBorders>
              <w:top w:val="nil"/>
              <w:left w:val="single" w:color="000000" w:sz="4" w:space="0"/>
              <w:bottom w:val="single" w:color="000000" w:sz="4" w:space="0"/>
              <w:right w:val="single" w:color="000000" w:sz="4" w:space="0"/>
            </w:tcBorders>
          </w:tcPr>
          <w:p w14:paraId="65A3B03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30817C7">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个人卫生</w:t>
            </w: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FF638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人员上岗时穿戴工作衣帽、工作鞋，着装符合要求</w:t>
            </w:r>
          </w:p>
        </w:tc>
      </w:tr>
      <w:tr w14:paraId="08C274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8A53C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69</w:t>
            </w:r>
          </w:p>
        </w:tc>
        <w:tc>
          <w:tcPr>
            <w:tcW w:w="759" w:type="dxa"/>
            <w:vMerge w:val="continue"/>
            <w:tcBorders>
              <w:top w:val="nil"/>
              <w:left w:val="single" w:color="000000" w:sz="4" w:space="0"/>
              <w:bottom w:val="single" w:color="000000" w:sz="4" w:space="0"/>
              <w:right w:val="single" w:color="000000" w:sz="4" w:space="0"/>
            </w:tcBorders>
          </w:tcPr>
          <w:p w14:paraId="0A2E48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1A64B84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1BF12A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人员上洗手间后需洗手消毒</w:t>
            </w:r>
          </w:p>
        </w:tc>
      </w:tr>
      <w:tr w14:paraId="161DE0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56A5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70</w:t>
            </w:r>
          </w:p>
        </w:tc>
        <w:tc>
          <w:tcPr>
            <w:tcW w:w="759" w:type="dxa"/>
            <w:vMerge w:val="continue"/>
            <w:tcBorders>
              <w:top w:val="nil"/>
              <w:left w:val="single" w:color="000000" w:sz="4" w:space="0"/>
              <w:bottom w:val="single" w:color="000000" w:sz="4" w:space="0"/>
              <w:right w:val="single" w:color="000000" w:sz="4" w:space="0"/>
            </w:tcBorders>
          </w:tcPr>
          <w:p w14:paraId="1D21CA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64D35E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BE101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人员无留长指甲，指甲无污垢，无戴首饰</w:t>
            </w:r>
          </w:p>
        </w:tc>
      </w:tr>
      <w:tr w14:paraId="41D708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0718F6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71</w:t>
            </w:r>
          </w:p>
        </w:tc>
        <w:tc>
          <w:tcPr>
            <w:tcW w:w="759" w:type="dxa"/>
            <w:vMerge w:val="continue"/>
            <w:tcBorders>
              <w:top w:val="nil"/>
              <w:left w:val="single" w:color="000000" w:sz="4" w:space="0"/>
              <w:bottom w:val="single" w:color="000000" w:sz="4" w:space="0"/>
              <w:right w:val="single" w:color="000000" w:sz="4" w:space="0"/>
            </w:tcBorders>
          </w:tcPr>
          <w:p w14:paraId="25F7A92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446" w:type="dxa"/>
            <w:vMerge w:val="continue"/>
            <w:tcBorders>
              <w:top w:val="nil"/>
              <w:left w:val="single" w:color="000000" w:sz="4" w:space="0"/>
              <w:bottom w:val="single" w:color="000000" w:sz="4" w:space="0"/>
              <w:right w:val="single" w:color="000000" w:sz="4" w:space="0"/>
            </w:tcBorders>
          </w:tcPr>
          <w:p w14:paraId="506CBC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709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1933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人员进入专间需戴一次性口罩、一次性手套</w:t>
            </w:r>
          </w:p>
        </w:tc>
      </w:tr>
    </w:tbl>
    <w:p w14:paraId="327A89E3">
      <w:pPr>
        <w:keepNext w:val="0"/>
        <w:keepLines w:val="0"/>
        <w:pageBreakBefore w:val="0"/>
        <w:tabs>
          <w:tab w:val="left" w:pos="840"/>
        </w:tabs>
        <w:kinsoku/>
        <w:wordWrap w:val="0"/>
        <w:overflowPunct/>
        <w:topLinePunct w:val="0"/>
        <w:autoSpaceDE/>
        <w:autoSpaceDN/>
        <w:bidi w:val="0"/>
        <w:snapToGrid w:val="0"/>
        <w:spacing w:line="300" w:lineRule="exact"/>
        <w:ind w:firstLine="0" w:firstLineChars="0"/>
        <w:jc w:val="both"/>
        <w:textAlignment w:val="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常见食材列表</w:t>
      </w:r>
    </w:p>
    <w:p w14:paraId="354AF9EE">
      <w:pPr>
        <w:keepNext w:val="0"/>
        <w:keepLines w:val="0"/>
        <w:pageBreakBefore w:val="0"/>
        <w:widowControl w:val="0"/>
        <w:tabs>
          <w:tab w:val="left" w:pos="840"/>
        </w:tabs>
        <w:kinsoku/>
        <w:wordWrap w:val="0"/>
        <w:overflowPunct/>
        <w:topLinePunct w:val="0"/>
        <w:autoSpaceDE/>
        <w:autoSpaceDN/>
        <w:bidi w:val="0"/>
        <w:adjustRightInd/>
        <w:snapToGrid w:val="0"/>
        <w:spacing w:line="300" w:lineRule="exact"/>
        <w:ind w:firstLine="0" w:firstLineChars="0"/>
        <w:jc w:val="both"/>
        <w:textAlignment w:val="auto"/>
        <w:outlineLvl w:val="3"/>
        <w:rPr>
          <w:rFonts w:hint="eastAsia" w:ascii="宋体" w:hAnsi="宋体" w:eastAsia="宋体" w:cs="宋体"/>
          <w:b w:val="0"/>
          <w:bCs w:val="0"/>
          <w:color w:val="auto"/>
          <w:sz w:val="21"/>
          <w:szCs w:val="21"/>
          <w:highlight w:val="none"/>
          <w:lang w:val="en-US" w:eastAsia="zh-Hans"/>
        </w:rPr>
      </w:pPr>
      <w:r>
        <w:rPr>
          <w:rFonts w:hint="eastAsia" w:ascii="宋体" w:hAnsi="宋体" w:eastAsia="宋体" w:cs="宋体"/>
          <w:b w:val="0"/>
          <w:bCs w:val="0"/>
          <w:color w:val="auto"/>
          <w:sz w:val="21"/>
          <w:szCs w:val="21"/>
          <w:highlight w:val="none"/>
          <w:lang w:val="en-US" w:eastAsia="zh-Hans"/>
        </w:rPr>
        <w:t>a．鲜猪肉</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8"/>
        <w:gridCol w:w="1627"/>
        <w:gridCol w:w="1027"/>
        <w:gridCol w:w="1798"/>
        <w:gridCol w:w="940"/>
        <w:gridCol w:w="1713"/>
      </w:tblGrid>
      <w:tr w14:paraId="64D51F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52E40A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69F0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10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60E67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7C616D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59F02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BA52F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2F1EF3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57D6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D8CF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带皮上肉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8DCB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7D1E8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带皮花肉</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7AB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2BA06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去皮上肉</w:t>
            </w:r>
          </w:p>
        </w:tc>
      </w:tr>
      <w:tr w14:paraId="5A2141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3DA87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80A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去皮花肉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08BBE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560F3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带皮猪踭</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ED691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F883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去皮猪踭</w:t>
            </w:r>
          </w:p>
        </w:tc>
      </w:tr>
      <w:tr w14:paraId="58CEAD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272C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0C3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赤肉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9E94F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DE2C7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枚肉</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D4E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5DB6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枚柳</w:t>
            </w:r>
          </w:p>
        </w:tc>
      </w:tr>
      <w:tr w14:paraId="1374AD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6DAA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CD78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一字枚</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649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90D8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肉眼</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5838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4F1C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猪展</w:t>
            </w:r>
          </w:p>
        </w:tc>
      </w:tr>
      <w:tr w14:paraId="49FEA7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E5B44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0606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鲜排骨</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1B9B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752A7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肋排</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C03E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3CFA7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肉排</w:t>
            </w:r>
          </w:p>
        </w:tc>
      </w:tr>
      <w:tr w14:paraId="3C92BB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6646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3422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猪手、脚</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1D156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17.</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44FBB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龙骨</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74BFD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18.</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A1AE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筒骨</w:t>
            </w:r>
          </w:p>
        </w:tc>
      </w:tr>
      <w:tr w14:paraId="27E1F7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72A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19.</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5D069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尾脊骨</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5BB15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20.</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9A3A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猪头骨</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36FE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21.</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5BD4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扇骨</w:t>
            </w:r>
          </w:p>
        </w:tc>
      </w:tr>
      <w:tr w14:paraId="642784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0F70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22.</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9CA18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肥肉</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735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23.</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CEEC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猪颈肉</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4B84D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24.</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70AA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圆蹄</w:t>
            </w:r>
          </w:p>
        </w:tc>
      </w:tr>
      <w:tr w14:paraId="0C16B4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9793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25.</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5342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蹄筋</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A6D97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26.</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5CCF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猪肝</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314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27.</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4ADC3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猪心</w:t>
            </w:r>
          </w:p>
        </w:tc>
      </w:tr>
      <w:tr w14:paraId="14B58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4BD5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28.</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92FD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猪肚</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EE5B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29.</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A5130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猪腰</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CD23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30.</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EF93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猪脷</w:t>
            </w:r>
          </w:p>
        </w:tc>
      </w:tr>
      <w:tr w14:paraId="5C750C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DC76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31.</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9DCF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猪尾</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7CA9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32.</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869E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小肚</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1843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33.</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91B4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大肠</w:t>
            </w:r>
          </w:p>
        </w:tc>
      </w:tr>
      <w:tr w14:paraId="2E1AC3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A7C7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34.</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B4D91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大肠头</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948B6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35.</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1B2A3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粉肠</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53E34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36.</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F664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猪皮</w:t>
            </w:r>
          </w:p>
        </w:tc>
      </w:tr>
      <w:tr w14:paraId="6C3F45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374D8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37.</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E2953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猪肺</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2B92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38.</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0255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生肠</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080C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39.</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3508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猪红</w:t>
            </w:r>
          </w:p>
        </w:tc>
      </w:tr>
      <w:tr w14:paraId="78854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146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40.</w:t>
            </w:r>
          </w:p>
        </w:tc>
        <w:tc>
          <w:tcPr>
            <w:tcW w:w="16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C202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大油</w:t>
            </w:r>
          </w:p>
        </w:tc>
        <w:tc>
          <w:tcPr>
            <w:tcW w:w="102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58E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41.</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F6283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猪肉滑</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58483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42.</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7CD4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r>
    </w:tbl>
    <w:p w14:paraId="36DE7B42">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b．牛肉</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7"/>
        <w:gridCol w:w="1626"/>
        <w:gridCol w:w="942"/>
        <w:gridCol w:w="1883"/>
        <w:gridCol w:w="942"/>
        <w:gridCol w:w="1712"/>
      </w:tblGrid>
      <w:tr w14:paraId="2F2A4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0E155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2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D388C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C6BD7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A176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8266E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E1A88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13C320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93EDB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5A150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牛肉</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290F1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22AD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牛霖</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18351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4326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牛百叶</w:t>
            </w:r>
          </w:p>
        </w:tc>
      </w:tr>
      <w:tr w14:paraId="6BE0B7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2993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61E0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牛展</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DB8B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6F681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牛柳</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C4DAE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2C22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牛坑腩</w:t>
            </w:r>
          </w:p>
        </w:tc>
      </w:tr>
      <w:tr w14:paraId="2F3B78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1F84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34E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牛碎腩</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B805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544CB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牛肉滑</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79F0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9EC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腌牛肉片</w:t>
            </w:r>
          </w:p>
        </w:tc>
      </w:tr>
      <w:tr w14:paraId="6A8CE0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689B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62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5F4F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牛心</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801BF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8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9B2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牛骨头</w:t>
            </w:r>
          </w:p>
        </w:tc>
        <w:tc>
          <w:tcPr>
            <w:tcW w:w="9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DBDE0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7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D3484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r>
    </w:tbl>
    <w:p w14:paraId="3C821BF1">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c．禽鸟</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5"/>
        <w:gridCol w:w="1730"/>
        <w:gridCol w:w="950"/>
        <w:gridCol w:w="1904"/>
        <w:gridCol w:w="864"/>
        <w:gridCol w:w="1730"/>
      </w:tblGrid>
      <w:tr w14:paraId="39322C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F539C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8BC9DC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81119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9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9611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8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83E86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EB0E0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6D61A3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8DBC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5426D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光鸡</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222F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14ED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清远麻鸡</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0A46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CC276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江西鸡</w:t>
            </w:r>
          </w:p>
        </w:tc>
      </w:tr>
      <w:tr w14:paraId="2B9E0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1A5C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14898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老鸡</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688F0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8466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竹丝鸡</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12163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44D3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正宗走地鸡</w:t>
            </w:r>
          </w:p>
        </w:tc>
      </w:tr>
      <w:tr w14:paraId="695A71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571D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DA6DE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水鸭</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B953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A217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番鸭</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8E68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61E1A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光鸭</w:t>
            </w:r>
          </w:p>
        </w:tc>
      </w:tr>
      <w:tr w14:paraId="498A3C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C86F4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353F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鹌鹑</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EE828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ADB8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乳鸽</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065D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E12FA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光鹅</w:t>
            </w:r>
          </w:p>
        </w:tc>
      </w:tr>
      <w:tr w14:paraId="7D90DC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50FC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6AF7D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狮头鹅</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91FD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19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8D972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E0B75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593A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r>
    </w:tbl>
    <w:p w14:paraId="22C69BE0">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d．鲜活鱼</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3"/>
        <w:gridCol w:w="1730"/>
        <w:gridCol w:w="950"/>
        <w:gridCol w:w="1818"/>
        <w:gridCol w:w="864"/>
        <w:gridCol w:w="1818"/>
      </w:tblGrid>
      <w:tr w14:paraId="17AE75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1F390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3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64226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61E24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03CA98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8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96B40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B33A8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7890B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064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68EBC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硬边鲩鱼</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244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7022A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生鱼／活</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BB470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6396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大鱼滑</w:t>
            </w:r>
          </w:p>
        </w:tc>
      </w:tr>
      <w:tr w14:paraId="6B4A2E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814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65721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鲩鱼肉片腩</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B90C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3187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金鲳鱼／活</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1F7B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565F4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大鱼骨</w:t>
            </w:r>
          </w:p>
        </w:tc>
      </w:tr>
      <w:tr w14:paraId="24532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54FD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4041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大头鱼／活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9E457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29C7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塘虱鱼／活</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993C0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24AF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大鱼尾</w:t>
            </w:r>
          </w:p>
        </w:tc>
      </w:tr>
      <w:tr w14:paraId="779145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DDFF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342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大福寿鱼／活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948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4CA3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江鲶鱼</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90387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9E2C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净大鱼头</w:t>
            </w:r>
          </w:p>
        </w:tc>
      </w:tr>
      <w:tr w14:paraId="79F26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5490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0912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大鱼头／带肉</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63CC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2A4C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塘鲶鱼</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DB9F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CDAE4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原条鲩鱼</w:t>
            </w:r>
          </w:p>
        </w:tc>
      </w:tr>
      <w:tr w14:paraId="06E3B2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E2A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86AE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鲫鱼／活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B96B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17.</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41BF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鲮鱼滑</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B1D8E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18.</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3E7D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原条大鱼</w:t>
            </w:r>
          </w:p>
        </w:tc>
      </w:tr>
      <w:tr w14:paraId="5E9AB2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6DEC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19.</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74CB8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鲈鱼／活</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7958A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20.</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C77D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鲮鱼肉</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38C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21.</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A713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基围虾</w:t>
            </w:r>
          </w:p>
        </w:tc>
      </w:tr>
      <w:tr w14:paraId="35D9E2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4583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22.</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40804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九节虾</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71A0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23.</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5CAF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罗氏虾</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7CAB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24.</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19F05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鲍鱼</w:t>
            </w:r>
          </w:p>
        </w:tc>
      </w:tr>
      <w:tr w14:paraId="2551BE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1F4E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25.</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D31E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花斑鱼</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75537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26.</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C24B6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白贝</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31D84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27.</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E3DEA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元贝</w:t>
            </w:r>
          </w:p>
        </w:tc>
      </w:tr>
      <w:tr w14:paraId="6271DF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A5A5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28.</w:t>
            </w:r>
          </w:p>
        </w:tc>
        <w:tc>
          <w:tcPr>
            <w:tcW w:w="173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7E085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盲槽鱼</w:t>
            </w:r>
          </w:p>
        </w:tc>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A5143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29.</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788F6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甲鱼/水鱼</w:t>
            </w:r>
          </w:p>
        </w:tc>
        <w:tc>
          <w:tcPr>
            <w:tcW w:w="8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597E7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30.</w:t>
            </w:r>
          </w:p>
        </w:tc>
        <w:tc>
          <w:tcPr>
            <w:tcW w:w="1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8CA69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花蟹</w:t>
            </w:r>
          </w:p>
        </w:tc>
      </w:tr>
    </w:tbl>
    <w:p w14:paraId="20338664">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e．冻品</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7"/>
        <w:gridCol w:w="1626"/>
        <w:gridCol w:w="942"/>
        <w:gridCol w:w="1883"/>
        <w:gridCol w:w="703"/>
        <w:gridCol w:w="1950"/>
      </w:tblGrid>
      <w:tr w14:paraId="4BEC6E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A04AA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478C8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01F1C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1833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70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CA70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A310F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2859CA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BC53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D5C1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冻鸡胸肉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DC73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7D33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冻牛黄喉</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1B134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AE0F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冻鱿鱼</w:t>
            </w:r>
          </w:p>
        </w:tc>
      </w:tr>
      <w:tr w14:paraId="4A8269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AF98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FD77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鸡中翅</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C6794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434B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冻黑毛肚</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AF0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94664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冻南鲳鱼（中）</w:t>
            </w:r>
          </w:p>
        </w:tc>
      </w:tr>
      <w:tr w14:paraId="45346B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EA1F3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0C06F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冻鸡壳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598B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5D9EF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冻猪耳</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87E24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9B015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冻带鱼</w:t>
            </w:r>
          </w:p>
        </w:tc>
      </w:tr>
      <w:tr w14:paraId="641C4A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25B59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5387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冻鸡肾</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6EB04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D878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黄金鱼蛋</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408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CFD4B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冻鱿鱼须</w:t>
            </w:r>
          </w:p>
        </w:tc>
      </w:tr>
      <w:tr w14:paraId="19A1E7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1404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404A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冻肥牛片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2D90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8FEB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冻虾仁</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9685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966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冻红三鱼</w:t>
            </w:r>
          </w:p>
        </w:tc>
      </w:tr>
      <w:tr w14:paraId="2532BE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3E719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AA24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冻鸡脚</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BA29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0A980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冻牛肉丸</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5BC8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18.</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DB9EA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冻鱿鱼亦</w:t>
            </w:r>
          </w:p>
        </w:tc>
      </w:tr>
      <w:tr w14:paraId="3962C9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7DD5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19.</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8B8C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小鸡腿</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2BBD0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1EE12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冰鲜赤划鱼</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85BEE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21.</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9B23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冰鲜秋刀鱼</w:t>
            </w:r>
          </w:p>
        </w:tc>
      </w:tr>
      <w:tr w14:paraId="1B7554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CA69D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22.</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77E7A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大鸡腿</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D65B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23.</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8C0C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冻青豆／粒</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40AFF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24.</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D983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冻墨鱼丸</w:t>
            </w:r>
          </w:p>
        </w:tc>
      </w:tr>
      <w:tr w14:paraId="770CB9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C56F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25.</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C26E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冻猪舌</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EB99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26.</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07EA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冻玉米／粒</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4F18B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27.</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989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冻猪肉丸</w:t>
            </w:r>
          </w:p>
        </w:tc>
      </w:tr>
      <w:tr w14:paraId="40DC08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2EBB0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28.</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3350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冻炸凤爪</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77AA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29.</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0A990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冰鲜白划鱼</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E8D3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30.</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8C4E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冰鲜马头鱼</w:t>
            </w:r>
          </w:p>
        </w:tc>
      </w:tr>
      <w:tr w14:paraId="6E2432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186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31.</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DDC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冰鲜马友鱼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BFEE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23A47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冰鲜红珊鱼</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E00E8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33.</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4F8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冰</w:t>
            </w:r>
            <w:r>
              <w:rPr>
                <w:rFonts w:hint="eastAsia" w:ascii="宋体" w:hAnsi="宋体" w:eastAsia="宋体" w:cs="宋体"/>
                <w:color w:val="auto"/>
                <w:sz w:val="21"/>
                <w:szCs w:val="21"/>
                <w:highlight w:val="none"/>
                <w:lang w:val="en-US" w:eastAsia="zh-Hans"/>
              </w:rPr>
              <w:t>鲜乌头鱼</w:t>
            </w:r>
          </w:p>
        </w:tc>
      </w:tr>
      <w:tr w14:paraId="49C63E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B57BE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34.</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CA764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冰鲜黄花鱼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352C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9991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冰鲜金鲳鱼（大）</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435FE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36.</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70916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冰鲜黄立鱼/黄脚立</w:t>
            </w:r>
          </w:p>
        </w:tc>
      </w:tr>
      <w:tr w14:paraId="020549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96A0F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37.</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96BC2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冰鲜巴浪鱼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D8CA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300F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灌汤水饺</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A8E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39.</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49B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汤圆</w:t>
            </w:r>
          </w:p>
        </w:tc>
      </w:tr>
      <w:tr w14:paraId="6E9E97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9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7069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40.</w:t>
            </w:r>
          </w:p>
        </w:tc>
        <w:tc>
          <w:tcPr>
            <w:tcW w:w="16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6C124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蛋挞皮</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B816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5DB1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冻薯条</w:t>
            </w:r>
          </w:p>
        </w:tc>
        <w:tc>
          <w:tcPr>
            <w:tcW w:w="7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16D9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42.</w:t>
            </w:r>
          </w:p>
        </w:tc>
        <w:tc>
          <w:tcPr>
            <w:tcW w:w="1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971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冰鲜金鼓鱼</w:t>
            </w:r>
          </w:p>
        </w:tc>
      </w:tr>
    </w:tbl>
    <w:p w14:paraId="149D3B87">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f．干货调料类</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3"/>
        <w:gridCol w:w="1711"/>
        <w:gridCol w:w="942"/>
        <w:gridCol w:w="1883"/>
        <w:gridCol w:w="942"/>
        <w:gridCol w:w="1711"/>
      </w:tblGrid>
      <w:tr w14:paraId="750645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AC1A9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DE4EF8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5C03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227F9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59AF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1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ED32DB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566EB2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8BD5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0F8D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大花生米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8021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C3810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黑木耳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11F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4F3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干辣椒粉</w:t>
            </w:r>
          </w:p>
        </w:tc>
      </w:tr>
      <w:tr w14:paraId="5E4212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47EE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7474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黄豆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77F4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87B7B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散装粉丝</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93C2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3D25E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茴香</w:t>
            </w:r>
          </w:p>
        </w:tc>
      </w:tr>
      <w:tr w14:paraId="560244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D2EA8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271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眉豆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B0684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338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薏</w:t>
            </w:r>
            <w:r>
              <w:rPr>
                <w:rFonts w:hint="eastAsia" w:ascii="宋体" w:hAnsi="宋体" w:eastAsia="宋体" w:cs="宋体"/>
                <w:color w:val="auto"/>
                <w:sz w:val="21"/>
                <w:szCs w:val="21"/>
                <w:highlight w:val="none"/>
                <w:lang w:val="en-US" w:eastAsia="zh-Hans"/>
              </w:rPr>
              <w:t>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C72E8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813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云耳</w:t>
            </w:r>
          </w:p>
        </w:tc>
      </w:tr>
      <w:tr w14:paraId="4660BD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605F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90F8F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扁豆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6342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752A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干淮山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A357A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92830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蜜枣</w:t>
            </w:r>
          </w:p>
        </w:tc>
      </w:tr>
      <w:tr w14:paraId="6FA775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FBDB1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0487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乌豆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3192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1C85F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莲子</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562EB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92625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白芝麻</w:t>
            </w:r>
          </w:p>
        </w:tc>
      </w:tr>
      <w:tr w14:paraId="3A5185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8D52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EF67C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绿豆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6CF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7953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红豆</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3B177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4BBDF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椰蓉</w:t>
            </w:r>
          </w:p>
        </w:tc>
      </w:tr>
      <w:tr w14:paraId="7F9733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3BDB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6865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无沙紫菜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9A16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C388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霸王花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CD56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B1AD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干尖椒</w:t>
            </w:r>
          </w:p>
        </w:tc>
      </w:tr>
      <w:tr w14:paraId="7E6074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205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B8A5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白木耳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56BE4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23.</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2ADB6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金针菜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872A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8EB53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马蹄粉</w:t>
            </w:r>
          </w:p>
        </w:tc>
      </w:tr>
      <w:tr w14:paraId="6439FE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2EA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4C56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胡椒粉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9E4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26.</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63DB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干海带</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3B6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11333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生地</w:t>
            </w:r>
          </w:p>
        </w:tc>
      </w:tr>
      <w:tr w14:paraId="7B0BE0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ECD9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265EA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花椒</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C0A4E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29.</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6539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当归片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906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251FA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熟地</w:t>
            </w:r>
          </w:p>
        </w:tc>
      </w:tr>
      <w:tr w14:paraId="00F285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E6167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FD20F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干香菇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D2B17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E0B08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红枣</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1DAD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F2EA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白冰糖</w:t>
            </w:r>
          </w:p>
        </w:tc>
      </w:tr>
      <w:tr w14:paraId="02BE36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CC4DF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0D3C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支竹</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60B9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792D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党参</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B04E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C4CC5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黄、红片糖</w:t>
            </w:r>
          </w:p>
        </w:tc>
      </w:tr>
      <w:tr w14:paraId="1C4349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1AE11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A88CF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白果肉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39F7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4D74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草果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5095B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45C7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胡椒粒</w:t>
            </w:r>
          </w:p>
        </w:tc>
      </w:tr>
      <w:tr w14:paraId="300D80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293F7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D47B7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虾米</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3610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3FA6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丁香</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60E7F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BD65E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桂皮</w:t>
            </w:r>
          </w:p>
        </w:tc>
      </w:tr>
      <w:tr w14:paraId="7EAF51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D0BF5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C81D8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陈皮</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57F5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4024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枸杞子</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A597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2ECD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香叶</w:t>
            </w:r>
          </w:p>
        </w:tc>
      </w:tr>
      <w:tr w14:paraId="18B6AF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F1D97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57CCF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南北杏</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A0D67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4B85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干腐皮</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A7A0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A0F4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国产食粉</w:t>
            </w:r>
          </w:p>
        </w:tc>
      </w:tr>
      <w:tr w14:paraId="507446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DD3B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7460F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干沙姜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FCC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33AF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无花果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C6C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691B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食粉／盒</w:t>
            </w:r>
          </w:p>
        </w:tc>
      </w:tr>
      <w:tr w14:paraId="49C208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361B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4D4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干瑶柱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2192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53.</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E6BC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甘草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DDBF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241AF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黄姜粉</w:t>
            </w:r>
          </w:p>
        </w:tc>
      </w:tr>
      <w:tr w14:paraId="124DF7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A60D3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8D57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沙参</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E47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56.</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A676D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豆蔻</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821E4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2BA0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沙姜粉</w:t>
            </w:r>
          </w:p>
        </w:tc>
      </w:tr>
      <w:tr w14:paraId="584F71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7C3B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E1C16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南姜粉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640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59.</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3C461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冬菜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ECB45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FB86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豆沙／桶</w:t>
            </w:r>
          </w:p>
        </w:tc>
      </w:tr>
      <w:tr w14:paraId="22ADF9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0002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63C5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莲蓉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0FE87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404B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椰子酱／汁</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539F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0D335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蛋糕油</w:t>
            </w:r>
          </w:p>
        </w:tc>
      </w:tr>
      <w:tr w14:paraId="3A1BD3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4986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64.</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A64EF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辣椒酱</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D41E6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6CE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依仕</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E5908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70DB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香麻油</w:t>
            </w:r>
          </w:p>
        </w:tc>
      </w:tr>
      <w:tr w14:paraId="1BE1D1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5A706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67.</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6DA5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花椒油</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FBF5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D1D2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橄榄菜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01C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3228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白菜干</w:t>
            </w:r>
          </w:p>
        </w:tc>
      </w:tr>
      <w:tr w14:paraId="232360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27E25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70.</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29C7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罗汉果</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5723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FBB8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榄角</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D43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72.</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1210A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八角</w:t>
            </w:r>
          </w:p>
        </w:tc>
      </w:tr>
      <w:tr w14:paraId="4472DC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6F8D0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73.</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924FC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冬菇</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F715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74.</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10C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鱿鱼</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4B6D8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75.</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F5E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生抽</w:t>
            </w:r>
          </w:p>
        </w:tc>
      </w:tr>
      <w:tr w14:paraId="22283C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32A9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76.</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EEF0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老抽</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B51C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77.</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948E7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白砂糖</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03D7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78.</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13F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食用盐</w:t>
            </w:r>
          </w:p>
        </w:tc>
      </w:tr>
      <w:tr w14:paraId="3FFE9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D38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79.</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6077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蚝油</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3AE1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80.</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818D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生粉</w:t>
            </w:r>
          </w:p>
        </w:tc>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1D7C4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81.</w:t>
            </w:r>
          </w:p>
        </w:tc>
        <w:tc>
          <w:tcPr>
            <w:tcW w:w="17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C2EE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陈醋</w:t>
            </w:r>
          </w:p>
        </w:tc>
      </w:tr>
    </w:tbl>
    <w:p w14:paraId="412E1B4C">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g．腊味</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6"/>
        <w:gridCol w:w="1610"/>
        <w:gridCol w:w="1017"/>
        <w:gridCol w:w="1864"/>
        <w:gridCol w:w="932"/>
        <w:gridCol w:w="1694"/>
      </w:tblGrid>
      <w:tr w14:paraId="5595B0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B13C6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7E4AA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10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18674E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CD21F1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77D81E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277CA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72B3E3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7AFD6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D242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腊肠</w:t>
            </w:r>
          </w:p>
        </w:tc>
        <w:tc>
          <w:tcPr>
            <w:tcW w:w="101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6353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3B4BE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腊肉</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4A0AF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1AFD4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湖南烟肉</w:t>
            </w:r>
          </w:p>
        </w:tc>
      </w:tr>
    </w:tbl>
    <w:p w14:paraId="40D383B7">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h．瓜果、蔬菜类</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2"/>
        <w:gridCol w:w="1384"/>
        <w:gridCol w:w="1384"/>
        <w:gridCol w:w="1384"/>
        <w:gridCol w:w="1384"/>
        <w:gridCol w:w="1385"/>
      </w:tblGrid>
      <w:tr w14:paraId="60F859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6B6B1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A3ADE4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948181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A7C56D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13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931835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3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AC08C6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147D1E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044C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38421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潺菜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8246F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3FE13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红尖椒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6EBF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AA8FC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雪里红</w:t>
            </w:r>
          </w:p>
        </w:tc>
      </w:tr>
      <w:tr w14:paraId="0D37D5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F2891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35C20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苋菜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E2028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625DA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鲜淮山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DE470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E91BD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榨菜丝</w:t>
            </w:r>
          </w:p>
        </w:tc>
      </w:tr>
      <w:tr w14:paraId="512FCE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9E21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9838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通心菜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073D0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FF6D4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土豆</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DB881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E4EE0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什锦菜</w:t>
            </w:r>
          </w:p>
        </w:tc>
      </w:tr>
      <w:tr w14:paraId="6C2774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BAE84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0E117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春菜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4865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876DF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莲藕</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3AC9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87007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无叶酸菜</w:t>
            </w:r>
          </w:p>
        </w:tc>
      </w:tr>
      <w:tr w14:paraId="52AC84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C0A8E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E6DA8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小白菜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F6CE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34224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西红柿</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9119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4126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酸笋片</w:t>
            </w:r>
          </w:p>
        </w:tc>
      </w:tr>
      <w:tr w14:paraId="227E09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F61FB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7939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小塘菜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5D64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9869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白萝卜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F97D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0CCC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鲜木耳</w:t>
            </w:r>
          </w:p>
        </w:tc>
      </w:tr>
      <w:tr w14:paraId="15A0CB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C1E01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EAD62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菜心</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89E7D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78D39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红萝卜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88769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21.</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80B88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绿色海带丝</w:t>
            </w:r>
          </w:p>
        </w:tc>
      </w:tr>
      <w:tr w14:paraId="4F10BF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E22A0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B8797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奶白菜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8B3E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BC334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青萝卜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9AA59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24.</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83A9F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带皮玉米棒</w:t>
            </w:r>
          </w:p>
        </w:tc>
      </w:tr>
      <w:tr w14:paraId="656F4D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97AE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BE8C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菠菜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35831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ACFC4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冬瓜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B20D3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27.</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8DDF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去皮玉米棒</w:t>
            </w:r>
          </w:p>
        </w:tc>
      </w:tr>
      <w:tr w14:paraId="00D193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7E849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D0B67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芥菜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F762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18DB1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苦瓜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67612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30.</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6CEBE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荷兰豆</w:t>
            </w:r>
          </w:p>
        </w:tc>
      </w:tr>
      <w:tr w14:paraId="6EBC16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E754E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C2AD1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芥兰菜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EE08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91BC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4693B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F287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甜豆</w:t>
            </w:r>
          </w:p>
        </w:tc>
      </w:tr>
      <w:tr w14:paraId="7D240B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3333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19CF7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西洋菜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A42B6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9DAB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青瓜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C84BD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20DB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玉豆</w:t>
            </w:r>
          </w:p>
        </w:tc>
      </w:tr>
      <w:tr w14:paraId="071A4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E66B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AD979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1B833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42982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茄瓜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E1B4D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616F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白豆角</w:t>
            </w:r>
          </w:p>
        </w:tc>
      </w:tr>
      <w:tr w14:paraId="514F59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2D6C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34C8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油麦菜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15519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57ECF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青木瓜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D28BB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D5EBF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青豆角</w:t>
            </w:r>
          </w:p>
        </w:tc>
      </w:tr>
      <w:tr w14:paraId="0E05AE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DB7F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F4251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枸杞叶</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6097E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DB774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半生熟木瓜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F2A00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F8CB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番薯</w:t>
            </w:r>
          </w:p>
        </w:tc>
      </w:tr>
      <w:tr w14:paraId="156966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328A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4642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椰菜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2FB04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0E9E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节瓜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E272B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B25A3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蒜苔</w:t>
            </w:r>
          </w:p>
        </w:tc>
      </w:tr>
      <w:tr w14:paraId="0F4588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B258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EBE2C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苦麦菜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2EA6B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44B6E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水瓜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683E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51.</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C490B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青蒜</w:t>
            </w:r>
          </w:p>
        </w:tc>
      </w:tr>
      <w:tr w14:paraId="41F96A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9501D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7DC2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枸杞菜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CEFAC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FC90C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丝瓜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432F1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54.</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48272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干葱头</w:t>
            </w:r>
          </w:p>
        </w:tc>
      </w:tr>
      <w:tr w14:paraId="62FA4B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12C41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A06E6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28324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161F0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南瓜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C230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57.</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93C7A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马蹄肉</w:t>
            </w:r>
          </w:p>
        </w:tc>
      </w:tr>
      <w:tr w14:paraId="61A5EC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E63A8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0C840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潮州白菜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1EAA2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B7D83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云南小瓜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053A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60.</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98A08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鲜玉米粒</w:t>
            </w:r>
          </w:p>
        </w:tc>
      </w:tr>
      <w:tr w14:paraId="032A0A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3F4C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26C5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长白菜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22EAE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805F9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浦瓜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624C5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5A68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鲜笋</w:t>
            </w:r>
          </w:p>
        </w:tc>
      </w:tr>
      <w:tr w14:paraId="7F8DA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D821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9FD80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京包菜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BAD8D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C130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鲜草菇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AA5F8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78615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洋葱</w:t>
            </w:r>
          </w:p>
        </w:tc>
      </w:tr>
      <w:tr w14:paraId="1E3DC0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11AD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7940A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菜花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4493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B8905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鲜冬菇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7911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6FF54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香芋</w:t>
            </w:r>
          </w:p>
        </w:tc>
      </w:tr>
      <w:tr w14:paraId="0F8AF0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63E4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18CEB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西芹</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3489A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3A948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茶树菇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B1807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B1D5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蒜头</w:t>
            </w:r>
          </w:p>
        </w:tc>
      </w:tr>
      <w:tr w14:paraId="54BD93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3BDB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F0F24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正宗香芹</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B7E17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BD06B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鸡腿菇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31930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EDFC0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蒜米</w:t>
            </w:r>
          </w:p>
        </w:tc>
      </w:tr>
      <w:tr w14:paraId="3B683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54895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C989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椰子／个</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E529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1E242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鲜平菇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097FE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5944C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姜肉</w:t>
            </w:r>
          </w:p>
        </w:tc>
      </w:tr>
      <w:tr w14:paraId="58D74A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F6BFB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6D64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香菜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78CA6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130BB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金针菇</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2134D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81.</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3BA41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生姜</w:t>
            </w:r>
          </w:p>
        </w:tc>
      </w:tr>
      <w:tr w14:paraId="4593D9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613BD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A6936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韭菜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C500B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4DF2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百合／包</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60EE6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84.</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8423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鲜沙姜</w:t>
            </w:r>
          </w:p>
        </w:tc>
      </w:tr>
      <w:tr w14:paraId="0086E5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2DEEC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B83CA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韭黄</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ADC3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A1536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酸豆角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392DD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87.</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1CB25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绿豆芽</w:t>
            </w:r>
          </w:p>
        </w:tc>
      </w:tr>
      <w:tr w14:paraId="546BE8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74F68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51C4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韭菜花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19A1F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89.</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5437F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萝卜干</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E93A0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90.</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D10F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黄豆芽</w:t>
            </w:r>
          </w:p>
        </w:tc>
      </w:tr>
      <w:tr w14:paraId="7BEE61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533DA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9C955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生葱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F565B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92.</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46EF6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萝卜条</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C51A5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93.</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EF42D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本地新土豆</w:t>
            </w:r>
          </w:p>
        </w:tc>
      </w:tr>
      <w:tr w14:paraId="0582A1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7F4D3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BBEF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北方京葱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33CE7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95.</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238AC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榨菜粒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AFBFC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96.</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16A30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无土番茄</w:t>
            </w:r>
          </w:p>
        </w:tc>
      </w:tr>
      <w:tr w14:paraId="1BBEF5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690F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8DC64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莴笋</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36484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98.</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736B3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有叶酸菜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C7147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99.</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1F6D6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茅根／湿</w:t>
            </w:r>
          </w:p>
        </w:tc>
      </w:tr>
      <w:tr w14:paraId="06918F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D5C9A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100.</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D1B1A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西兰花</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A6773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101.</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9D94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咸梅菜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6F11B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102.</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38512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竹蔗</w:t>
            </w:r>
          </w:p>
        </w:tc>
      </w:tr>
      <w:tr w14:paraId="492610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0552A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103.</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22C8F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圆椒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F2795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104.</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AA0F3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甜梅菜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F1C6F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105.</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F0172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沙葛</w:t>
            </w:r>
          </w:p>
        </w:tc>
      </w:tr>
      <w:tr w14:paraId="112220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823A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106.</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57341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尖椒</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9AC56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107.</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089D4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榨菜</w:t>
            </w:r>
          </w:p>
        </w:tc>
        <w:tc>
          <w:tcPr>
            <w:tcW w:w="138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DE272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108.</w:t>
            </w:r>
          </w:p>
        </w:tc>
        <w:tc>
          <w:tcPr>
            <w:tcW w:w="138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2EF0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粉葛</w:t>
            </w:r>
          </w:p>
        </w:tc>
      </w:tr>
    </w:tbl>
    <w:p w14:paraId="21E316C7">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i．豆制品</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3"/>
        <w:gridCol w:w="1713"/>
        <w:gridCol w:w="940"/>
        <w:gridCol w:w="1883"/>
        <w:gridCol w:w="856"/>
        <w:gridCol w:w="1798"/>
      </w:tblGrid>
      <w:tr w14:paraId="288E13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8EF67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5E9CA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88F3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460FE9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8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FF1B67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7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D678F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01DFC3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A2BC0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47E21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豆腐／板</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1121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5A30E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香干</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8753C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3DBB7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豆腐皮</w:t>
            </w:r>
          </w:p>
        </w:tc>
      </w:tr>
      <w:tr w14:paraId="4AD415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985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F14F6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白豆干</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361B2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7B2CE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大豆卜</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F0DC7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5ECCE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客家豆腐</w:t>
            </w:r>
          </w:p>
        </w:tc>
      </w:tr>
      <w:tr w14:paraId="703147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524D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A2937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黄豆干</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6609C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C113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小豆卜</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CE83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443B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炸面筋</w:t>
            </w:r>
          </w:p>
        </w:tc>
      </w:tr>
      <w:tr w14:paraId="093921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B3521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1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A10BF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千叶豆腐</w:t>
            </w:r>
          </w:p>
        </w:tc>
        <w:tc>
          <w:tcPr>
            <w:tcW w:w="94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BFDB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18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516EC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日本豆腐</w:t>
            </w:r>
          </w:p>
        </w:tc>
        <w:tc>
          <w:tcPr>
            <w:tcW w:w="8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6FBA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17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2B4A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r>
    </w:tbl>
    <w:p w14:paraId="35472245">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j.乳制品</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6"/>
        <w:gridCol w:w="1694"/>
        <w:gridCol w:w="932"/>
        <w:gridCol w:w="1864"/>
        <w:gridCol w:w="932"/>
        <w:gridCol w:w="1694"/>
      </w:tblGrid>
      <w:tr w14:paraId="4F28AE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752EC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C97FE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8D25C0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879FB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2C9F1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550C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37A372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8AE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437FF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牛奶</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9E868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8D6B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酸奶</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4A734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BF3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r>
    </w:tbl>
    <w:p w14:paraId="360D6CD6">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k．蛋类</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86"/>
        <w:gridCol w:w="1694"/>
        <w:gridCol w:w="932"/>
        <w:gridCol w:w="1864"/>
        <w:gridCol w:w="932"/>
        <w:gridCol w:w="1694"/>
      </w:tblGrid>
      <w:tr w14:paraId="07B05A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7ACDFA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82256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B4DB66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8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0E3D0C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c>
          <w:tcPr>
            <w:tcW w:w="9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F66B6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序号</w:t>
            </w:r>
          </w:p>
        </w:tc>
        <w:tc>
          <w:tcPr>
            <w:tcW w:w="169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B95E40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名称</w:t>
            </w:r>
          </w:p>
        </w:tc>
      </w:tr>
      <w:tr w14:paraId="071C61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7EA3B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3D42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咸蛋</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34A79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18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5E34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皮蛋</w:t>
            </w:r>
          </w:p>
        </w:tc>
        <w:tc>
          <w:tcPr>
            <w:tcW w:w="93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3303B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169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8D0B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鸡蛋</w:t>
            </w:r>
          </w:p>
        </w:tc>
      </w:tr>
    </w:tbl>
    <w:p w14:paraId="1F5A4432">
      <w:pPr>
        <w:keepNext w:val="0"/>
        <w:keepLines w:val="0"/>
        <w:pageBreakBefore w:val="0"/>
        <w:kinsoku/>
        <w:overflowPunct/>
        <w:topLinePunct w:val="0"/>
        <w:autoSpaceDE/>
        <w:autoSpaceDN/>
        <w:bidi w:val="0"/>
        <w:spacing w:line="300" w:lineRule="exact"/>
        <w:ind w:left="0" w:leftChars="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附件4季度食堂运营管理服务考核评分表</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3"/>
        <w:gridCol w:w="981"/>
        <w:gridCol w:w="3860"/>
        <w:gridCol w:w="3391"/>
        <w:gridCol w:w="734"/>
      </w:tblGrid>
      <w:tr w14:paraId="4E360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1" w:type="dxa"/>
            <w:gridSpan w:val="5"/>
            <w:tcBorders>
              <w:tl2br w:val="nil"/>
              <w:tr2bl w:val="nil"/>
            </w:tcBorders>
            <w:tcMar>
              <w:top w:w="0" w:type="dxa"/>
              <w:left w:w="105" w:type="dxa"/>
              <w:bottom w:w="0" w:type="dxa"/>
              <w:right w:w="105" w:type="dxa"/>
            </w:tcMar>
            <w:vAlign w:val="top"/>
          </w:tcPr>
          <w:p w14:paraId="09DD1AD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季度食堂运营管理服务考核评分表</w:t>
            </w:r>
          </w:p>
        </w:tc>
      </w:tr>
      <w:tr w14:paraId="173F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47071AFB">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项目</w:t>
            </w:r>
          </w:p>
        </w:tc>
        <w:tc>
          <w:tcPr>
            <w:tcW w:w="5280" w:type="dxa"/>
            <w:gridSpan w:val="2"/>
            <w:tcBorders>
              <w:tl2br w:val="nil"/>
              <w:tr2bl w:val="nil"/>
            </w:tcBorders>
            <w:tcMar>
              <w:top w:w="0" w:type="dxa"/>
              <w:left w:w="105" w:type="dxa"/>
              <w:bottom w:w="0" w:type="dxa"/>
              <w:right w:w="105" w:type="dxa"/>
            </w:tcMar>
            <w:vAlign w:val="top"/>
          </w:tcPr>
          <w:p w14:paraId="48FBAC0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内容与标准</w:t>
            </w:r>
          </w:p>
        </w:tc>
        <w:tc>
          <w:tcPr>
            <w:tcW w:w="3683" w:type="dxa"/>
            <w:tcBorders>
              <w:tl2br w:val="nil"/>
              <w:tr2bl w:val="nil"/>
            </w:tcBorders>
            <w:tcMar>
              <w:top w:w="0" w:type="dxa"/>
              <w:left w:w="105" w:type="dxa"/>
              <w:bottom w:w="0" w:type="dxa"/>
              <w:right w:w="105" w:type="dxa"/>
            </w:tcMar>
            <w:vAlign w:val="top"/>
          </w:tcPr>
          <w:p w14:paraId="38CF56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扣分方法</w:t>
            </w:r>
          </w:p>
        </w:tc>
        <w:tc>
          <w:tcPr>
            <w:tcW w:w="767" w:type="dxa"/>
            <w:tcBorders>
              <w:tl2br w:val="nil"/>
              <w:tr2bl w:val="nil"/>
            </w:tcBorders>
            <w:tcMar>
              <w:top w:w="0" w:type="dxa"/>
              <w:left w:w="105" w:type="dxa"/>
              <w:bottom w:w="0" w:type="dxa"/>
              <w:right w:w="105" w:type="dxa"/>
            </w:tcMar>
            <w:vAlign w:val="top"/>
          </w:tcPr>
          <w:p w14:paraId="1D8DA847">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扣分值</w:t>
            </w:r>
          </w:p>
        </w:tc>
      </w:tr>
      <w:tr w14:paraId="06A75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3AE48C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制度</w:t>
            </w:r>
          </w:p>
          <w:p w14:paraId="28CBF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健全</w:t>
            </w:r>
          </w:p>
        </w:tc>
        <w:tc>
          <w:tcPr>
            <w:tcW w:w="5280" w:type="dxa"/>
            <w:gridSpan w:val="2"/>
            <w:tcBorders>
              <w:tl2br w:val="nil"/>
              <w:tr2bl w:val="nil"/>
            </w:tcBorders>
            <w:tcMar>
              <w:top w:w="0" w:type="dxa"/>
              <w:left w:w="105" w:type="dxa"/>
              <w:bottom w:w="0" w:type="dxa"/>
              <w:right w:w="105" w:type="dxa"/>
            </w:tcMar>
            <w:vAlign w:val="top"/>
          </w:tcPr>
          <w:p w14:paraId="0CBED1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 食堂卫生管理制度。</w:t>
            </w:r>
          </w:p>
          <w:p w14:paraId="1C0780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 各岗位职责。</w:t>
            </w:r>
          </w:p>
          <w:p w14:paraId="5A1F5F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 仓储保管制度。</w:t>
            </w:r>
          </w:p>
          <w:p w14:paraId="04126C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 卫生责任划分制度。</w:t>
            </w:r>
          </w:p>
          <w:p w14:paraId="63625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 粗加工管理制度。</w:t>
            </w:r>
          </w:p>
          <w:p w14:paraId="6DC504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 清洁消毒制度。</w:t>
            </w:r>
          </w:p>
          <w:p w14:paraId="7CBDA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 烹调加工管理制度。</w:t>
            </w:r>
          </w:p>
          <w:p w14:paraId="3DD4D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 面点操作管理制度。</w:t>
            </w:r>
          </w:p>
          <w:p w14:paraId="12BD7B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 安全防范制度与措施。</w:t>
            </w:r>
          </w:p>
          <w:p w14:paraId="4026B7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 食堂人员个人卫生制度。</w:t>
            </w:r>
          </w:p>
        </w:tc>
        <w:tc>
          <w:tcPr>
            <w:tcW w:w="3683" w:type="dxa"/>
            <w:tcBorders>
              <w:tl2br w:val="nil"/>
              <w:tr2bl w:val="nil"/>
            </w:tcBorders>
            <w:tcMar>
              <w:top w:w="0" w:type="dxa"/>
              <w:left w:w="105" w:type="dxa"/>
              <w:bottom w:w="0" w:type="dxa"/>
              <w:right w:w="105" w:type="dxa"/>
            </w:tcMar>
            <w:vAlign w:val="top"/>
          </w:tcPr>
          <w:p w14:paraId="1A7DEB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管理制度上墙公布，每缺少一项扣1分，未按制度执行扣1分∕项次。</w:t>
            </w:r>
          </w:p>
        </w:tc>
        <w:tc>
          <w:tcPr>
            <w:tcW w:w="767" w:type="dxa"/>
            <w:tcBorders>
              <w:tl2br w:val="nil"/>
              <w:tr2bl w:val="nil"/>
            </w:tcBorders>
            <w:tcMar>
              <w:top w:w="0" w:type="dxa"/>
              <w:left w:w="105" w:type="dxa"/>
              <w:bottom w:w="0" w:type="dxa"/>
              <w:right w:w="105" w:type="dxa"/>
            </w:tcMar>
            <w:vAlign w:val="top"/>
          </w:tcPr>
          <w:p w14:paraId="51C8EB6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042FE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50A29B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品质</w:t>
            </w:r>
          </w:p>
          <w:p w14:paraId="78A0D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保障</w:t>
            </w:r>
          </w:p>
        </w:tc>
        <w:tc>
          <w:tcPr>
            <w:tcW w:w="5280" w:type="dxa"/>
            <w:gridSpan w:val="2"/>
            <w:tcBorders>
              <w:tl2br w:val="nil"/>
              <w:tr2bl w:val="nil"/>
            </w:tcBorders>
            <w:tcMar>
              <w:top w:w="0" w:type="dxa"/>
              <w:left w:w="105" w:type="dxa"/>
              <w:bottom w:w="0" w:type="dxa"/>
              <w:right w:w="105" w:type="dxa"/>
            </w:tcMar>
            <w:vAlign w:val="top"/>
          </w:tcPr>
          <w:p w14:paraId="142287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kern w:val="2"/>
                <w:sz w:val="21"/>
                <w:szCs w:val="21"/>
                <w:highlight w:val="none"/>
                <w:lang w:val="en-US" w:eastAsia="zh-Hans" w:bidi="ar-SA"/>
              </w:rPr>
              <w:t>1.</w:t>
            </w:r>
            <w:r>
              <w:rPr>
                <w:rFonts w:hint="eastAsia" w:ascii="宋体" w:hAnsi="宋体" w:eastAsia="宋体" w:cs="宋体"/>
                <w:color w:val="auto"/>
                <w:sz w:val="21"/>
                <w:szCs w:val="21"/>
                <w:highlight w:val="none"/>
                <w:lang w:val="en-US" w:eastAsia="zh-Hans"/>
              </w:rPr>
              <w:t>不得有霉烂、变质、老化的蔬菜食品入库。</w:t>
            </w:r>
          </w:p>
          <w:p w14:paraId="63B194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 拣菜人员必须将不合格的菜品分出来。</w:t>
            </w:r>
          </w:p>
          <w:p w14:paraId="4EC77D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 成品、半成品、调料必须有厂商、生产日期、合格证。</w:t>
            </w:r>
          </w:p>
          <w:p w14:paraId="26CFC9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 烹饪加工品质控制有指定的专业责任人。</w:t>
            </w:r>
          </w:p>
        </w:tc>
        <w:tc>
          <w:tcPr>
            <w:tcW w:w="3683" w:type="dxa"/>
            <w:tcBorders>
              <w:tl2br w:val="nil"/>
              <w:tr2bl w:val="nil"/>
            </w:tcBorders>
            <w:tcMar>
              <w:top w:w="0" w:type="dxa"/>
              <w:left w:w="105" w:type="dxa"/>
              <w:bottom w:w="0" w:type="dxa"/>
              <w:right w:w="105" w:type="dxa"/>
            </w:tcMar>
            <w:vAlign w:val="top"/>
          </w:tcPr>
          <w:p w14:paraId="3F060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现场随机抽查，违反一项扣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Hans"/>
              </w:rPr>
              <w:t>分。</w:t>
            </w:r>
          </w:p>
        </w:tc>
        <w:tc>
          <w:tcPr>
            <w:tcW w:w="767" w:type="dxa"/>
            <w:tcBorders>
              <w:tl2br w:val="nil"/>
              <w:tr2bl w:val="nil"/>
            </w:tcBorders>
            <w:tcMar>
              <w:top w:w="0" w:type="dxa"/>
              <w:left w:w="105" w:type="dxa"/>
              <w:bottom w:w="0" w:type="dxa"/>
              <w:right w:w="105" w:type="dxa"/>
            </w:tcMar>
            <w:vAlign w:val="top"/>
          </w:tcPr>
          <w:p w14:paraId="4FD9B87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7E841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2552CB61">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品质口味</w:t>
            </w:r>
          </w:p>
        </w:tc>
        <w:tc>
          <w:tcPr>
            <w:tcW w:w="5280" w:type="dxa"/>
            <w:gridSpan w:val="2"/>
            <w:tcBorders>
              <w:tl2br w:val="nil"/>
              <w:tr2bl w:val="nil"/>
            </w:tcBorders>
            <w:tcMar>
              <w:top w:w="0" w:type="dxa"/>
              <w:left w:w="105" w:type="dxa"/>
              <w:bottom w:w="0" w:type="dxa"/>
              <w:right w:w="105" w:type="dxa"/>
            </w:tcMar>
            <w:vAlign w:val="top"/>
          </w:tcPr>
          <w:p w14:paraId="08F71386">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 每周是否按菜谱按时按量进行供应。</w:t>
            </w:r>
          </w:p>
        </w:tc>
        <w:tc>
          <w:tcPr>
            <w:tcW w:w="3683" w:type="dxa"/>
            <w:tcBorders>
              <w:tl2br w:val="nil"/>
              <w:tr2bl w:val="nil"/>
            </w:tcBorders>
            <w:tcMar>
              <w:top w:w="0" w:type="dxa"/>
              <w:left w:w="105" w:type="dxa"/>
              <w:bottom w:w="0" w:type="dxa"/>
              <w:right w:w="105" w:type="dxa"/>
            </w:tcMar>
            <w:vAlign w:val="top"/>
          </w:tcPr>
          <w:p w14:paraId="75A2CCCB">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查看每餐记录，每违反一次扣0.5分。</w:t>
            </w:r>
          </w:p>
        </w:tc>
        <w:tc>
          <w:tcPr>
            <w:tcW w:w="767" w:type="dxa"/>
            <w:tcBorders>
              <w:tl2br w:val="nil"/>
              <w:tr2bl w:val="nil"/>
            </w:tcBorders>
            <w:tcMar>
              <w:top w:w="0" w:type="dxa"/>
              <w:left w:w="105" w:type="dxa"/>
              <w:bottom w:w="0" w:type="dxa"/>
              <w:right w:w="105" w:type="dxa"/>
            </w:tcMar>
            <w:vAlign w:val="top"/>
          </w:tcPr>
          <w:p w14:paraId="3D550F2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01861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38327242">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清洁</w:t>
            </w:r>
          </w:p>
          <w:p w14:paraId="6C3595BB">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卫生</w:t>
            </w:r>
          </w:p>
        </w:tc>
        <w:tc>
          <w:tcPr>
            <w:tcW w:w="5280" w:type="dxa"/>
            <w:gridSpan w:val="2"/>
            <w:tcBorders>
              <w:tl2br w:val="nil"/>
              <w:tr2bl w:val="nil"/>
            </w:tcBorders>
            <w:tcMar>
              <w:top w:w="0" w:type="dxa"/>
              <w:left w:w="105" w:type="dxa"/>
              <w:bottom w:w="0" w:type="dxa"/>
              <w:right w:w="105" w:type="dxa"/>
            </w:tcMar>
            <w:vAlign w:val="top"/>
          </w:tcPr>
          <w:p w14:paraId="48754813">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kern w:val="2"/>
                <w:sz w:val="21"/>
                <w:szCs w:val="21"/>
                <w:highlight w:val="none"/>
                <w:lang w:val="en-US" w:eastAsia="zh-Hans" w:bidi="ar-SA"/>
              </w:rPr>
              <w:t>1.</w:t>
            </w:r>
            <w:r>
              <w:rPr>
                <w:rFonts w:hint="eastAsia" w:ascii="宋体" w:hAnsi="宋体" w:eastAsia="宋体" w:cs="宋体"/>
                <w:color w:val="auto"/>
                <w:sz w:val="21"/>
                <w:szCs w:val="21"/>
                <w:highlight w:val="none"/>
                <w:lang w:val="en-US" w:eastAsia="zh-Hans"/>
              </w:rPr>
              <w:t>熟食品、面点、酱菜等有防蚊蝇措施。</w:t>
            </w:r>
          </w:p>
          <w:p w14:paraId="3CB8D4F9">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 操作间地板、墙壁无油污、水渍，厨具、设备清洁，定位整齐。</w:t>
            </w:r>
          </w:p>
          <w:p w14:paraId="4220C7FD">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 就餐大厅地面、门窗清洁，无积尘、蛛网，铺设整齐。</w:t>
            </w:r>
          </w:p>
          <w:p w14:paraId="7DFA9B3A">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 厨具、餐具按规定消毒，摆放于固定位置，无污物、无水渍。</w:t>
            </w:r>
          </w:p>
          <w:p w14:paraId="584684B7">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 食堂人员个人服装整洁，正确穿戴工作衣帽，无长指甲，无不良卫生习惯，且每年提供健康证。</w:t>
            </w:r>
          </w:p>
          <w:p w14:paraId="479F61EE">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 生熟分开存放于固定位置、标识明确。</w:t>
            </w:r>
          </w:p>
          <w:p w14:paraId="15CB38AD">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 定期疏通排水沟和管网，确保畅通。</w:t>
            </w:r>
          </w:p>
          <w:p w14:paraId="50EB1071">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 无闲杂人员在烹饪间内。</w:t>
            </w:r>
          </w:p>
          <w:p w14:paraId="39C740AE">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 每餐用洗涤剂擦洗餐桌、椅。</w:t>
            </w:r>
          </w:p>
          <w:p w14:paraId="0705AF2A">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 每餐用洗涤剂擦洗大厅地面和地毯。</w:t>
            </w:r>
          </w:p>
          <w:p w14:paraId="41271C4B">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11.食品级一次性餐具，发生质量问题。（如发霉一次扣一分累计3次扣5分）</w:t>
            </w:r>
          </w:p>
        </w:tc>
        <w:tc>
          <w:tcPr>
            <w:tcW w:w="3683" w:type="dxa"/>
            <w:tcBorders>
              <w:tl2br w:val="nil"/>
              <w:tr2bl w:val="nil"/>
            </w:tcBorders>
            <w:tcMar>
              <w:top w:w="0" w:type="dxa"/>
              <w:left w:w="105" w:type="dxa"/>
              <w:bottom w:w="0" w:type="dxa"/>
              <w:right w:w="105" w:type="dxa"/>
            </w:tcMar>
            <w:vAlign w:val="top"/>
          </w:tcPr>
          <w:p w14:paraId="6F87DA6F">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现场抽查，违反一项扣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767" w:type="dxa"/>
            <w:tcBorders>
              <w:tl2br w:val="nil"/>
              <w:tr2bl w:val="nil"/>
            </w:tcBorders>
            <w:tcMar>
              <w:top w:w="0" w:type="dxa"/>
              <w:left w:w="105" w:type="dxa"/>
              <w:bottom w:w="0" w:type="dxa"/>
              <w:right w:w="105" w:type="dxa"/>
            </w:tcMar>
            <w:vAlign w:val="top"/>
          </w:tcPr>
          <w:p w14:paraId="2D43F2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5A311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10C27ACB">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楼面</w:t>
            </w:r>
          </w:p>
          <w:p w14:paraId="14014F49">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服务</w:t>
            </w:r>
          </w:p>
        </w:tc>
        <w:tc>
          <w:tcPr>
            <w:tcW w:w="5280" w:type="dxa"/>
            <w:gridSpan w:val="2"/>
            <w:tcBorders>
              <w:tl2br w:val="nil"/>
              <w:tr2bl w:val="nil"/>
            </w:tcBorders>
            <w:tcMar>
              <w:top w:w="0" w:type="dxa"/>
              <w:left w:w="105" w:type="dxa"/>
              <w:bottom w:w="0" w:type="dxa"/>
              <w:right w:w="105" w:type="dxa"/>
            </w:tcMar>
            <w:vAlign w:val="top"/>
          </w:tcPr>
          <w:p w14:paraId="70CE9638">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kern w:val="2"/>
                <w:sz w:val="21"/>
                <w:szCs w:val="21"/>
                <w:highlight w:val="none"/>
                <w:lang w:val="en-US" w:eastAsia="zh-Hans" w:bidi="ar-SA"/>
              </w:rPr>
              <w:t>1.</w:t>
            </w:r>
            <w:r>
              <w:rPr>
                <w:rFonts w:hint="eastAsia" w:ascii="宋体" w:hAnsi="宋体" w:eastAsia="宋体" w:cs="宋体"/>
                <w:color w:val="auto"/>
                <w:sz w:val="21"/>
                <w:szCs w:val="21"/>
                <w:highlight w:val="none"/>
                <w:lang w:val="en-US" w:eastAsia="zh-Hans"/>
              </w:rPr>
              <w:t>楼面服务态度是否热情，发生与员工争吵每次扣2分。</w:t>
            </w:r>
          </w:p>
          <w:p w14:paraId="09362CC8">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 发生有效投诉每次扣2分。</w:t>
            </w:r>
          </w:p>
        </w:tc>
        <w:tc>
          <w:tcPr>
            <w:tcW w:w="3683" w:type="dxa"/>
            <w:tcBorders>
              <w:tl2br w:val="nil"/>
              <w:tr2bl w:val="nil"/>
            </w:tcBorders>
            <w:tcMar>
              <w:top w:w="0" w:type="dxa"/>
              <w:left w:w="105" w:type="dxa"/>
              <w:bottom w:w="0" w:type="dxa"/>
              <w:right w:w="105" w:type="dxa"/>
            </w:tcMar>
            <w:vAlign w:val="top"/>
          </w:tcPr>
          <w:p w14:paraId="43A0E975">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现场抽查和员工投诉，违反每次扣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767" w:type="dxa"/>
            <w:tcBorders>
              <w:tl2br w:val="nil"/>
              <w:tr2bl w:val="nil"/>
            </w:tcBorders>
            <w:tcMar>
              <w:top w:w="0" w:type="dxa"/>
              <w:left w:w="105" w:type="dxa"/>
              <w:bottom w:w="0" w:type="dxa"/>
              <w:right w:w="105" w:type="dxa"/>
            </w:tcMar>
            <w:vAlign w:val="top"/>
          </w:tcPr>
          <w:p w14:paraId="6B593E0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23BFB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557A1233">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安全</w:t>
            </w:r>
          </w:p>
          <w:p w14:paraId="37591C5E">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防范</w:t>
            </w:r>
          </w:p>
        </w:tc>
        <w:tc>
          <w:tcPr>
            <w:tcW w:w="5280" w:type="dxa"/>
            <w:gridSpan w:val="2"/>
            <w:tcBorders>
              <w:tl2br w:val="nil"/>
              <w:tr2bl w:val="nil"/>
            </w:tcBorders>
            <w:tcMar>
              <w:top w:w="0" w:type="dxa"/>
              <w:left w:w="105" w:type="dxa"/>
              <w:bottom w:w="0" w:type="dxa"/>
              <w:right w:w="105" w:type="dxa"/>
            </w:tcMar>
            <w:vAlign w:val="top"/>
          </w:tcPr>
          <w:p w14:paraId="2655CC5A">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kern w:val="2"/>
                <w:sz w:val="21"/>
                <w:szCs w:val="21"/>
                <w:highlight w:val="none"/>
                <w:lang w:val="en-US" w:eastAsia="zh-Hans" w:bidi="ar-SA"/>
              </w:rPr>
              <w:t>1.</w:t>
            </w:r>
            <w:r>
              <w:rPr>
                <w:rFonts w:hint="eastAsia" w:ascii="宋体" w:hAnsi="宋体" w:eastAsia="宋体" w:cs="宋体"/>
                <w:color w:val="auto"/>
                <w:sz w:val="21"/>
                <w:szCs w:val="21"/>
                <w:highlight w:val="none"/>
                <w:lang w:val="en-US" w:eastAsia="zh-Hans"/>
              </w:rPr>
              <w:t>食品、储藏室专人管理、钥匙专管。</w:t>
            </w:r>
          </w:p>
          <w:p w14:paraId="5AFC5438">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 餐具消毒清洗有流程、方法和责任人。</w:t>
            </w:r>
          </w:p>
          <w:p w14:paraId="31587D90">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 食堂人员会使用灭火器，有预防措施和安全责任人。</w:t>
            </w:r>
          </w:p>
          <w:p w14:paraId="55EF24AF">
            <w:pPr>
              <w:keepNext w:val="0"/>
              <w:keepLines w:val="0"/>
              <w:pageBreakBefore w:val="0"/>
              <w:numPr>
                <w:ilvl w:val="0"/>
                <w:numId w:val="0"/>
              </w:numPr>
              <w:suppressLineNumbers w:val="0"/>
              <w:kinsoku/>
              <w:overflowPunct/>
              <w:topLinePunct w:val="0"/>
              <w:autoSpaceDE/>
              <w:autoSpaceDN/>
              <w:bidi w:val="0"/>
              <w:spacing w:before="0" w:beforeAutospacing="0" w:after="0" w:afterAutospacing="0" w:line="300" w:lineRule="exact"/>
              <w:ind w:left="0" w:leftChars="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 餐样留存48小时，有食物中毒预案。</w:t>
            </w:r>
          </w:p>
        </w:tc>
        <w:tc>
          <w:tcPr>
            <w:tcW w:w="3683" w:type="dxa"/>
            <w:tcBorders>
              <w:tl2br w:val="nil"/>
              <w:tr2bl w:val="nil"/>
            </w:tcBorders>
            <w:tcMar>
              <w:top w:w="0" w:type="dxa"/>
              <w:left w:w="105" w:type="dxa"/>
              <w:bottom w:w="0" w:type="dxa"/>
              <w:right w:w="105" w:type="dxa"/>
            </w:tcMar>
            <w:vAlign w:val="top"/>
          </w:tcPr>
          <w:p w14:paraId="0BC86CE6">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现场抽查，违反一项扣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Hans"/>
              </w:rPr>
              <w:t>分。</w:t>
            </w:r>
          </w:p>
        </w:tc>
        <w:tc>
          <w:tcPr>
            <w:tcW w:w="767" w:type="dxa"/>
            <w:tcBorders>
              <w:tl2br w:val="nil"/>
              <w:tr2bl w:val="nil"/>
            </w:tcBorders>
            <w:tcMar>
              <w:top w:w="0" w:type="dxa"/>
              <w:left w:w="105" w:type="dxa"/>
              <w:bottom w:w="0" w:type="dxa"/>
              <w:right w:w="105" w:type="dxa"/>
            </w:tcMar>
            <w:vAlign w:val="top"/>
          </w:tcPr>
          <w:p w14:paraId="785318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5BE9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1C3F643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反馈整改</w:t>
            </w:r>
          </w:p>
        </w:tc>
        <w:tc>
          <w:tcPr>
            <w:tcW w:w="5280" w:type="dxa"/>
            <w:gridSpan w:val="2"/>
            <w:tcBorders>
              <w:tl2br w:val="nil"/>
              <w:tr2bl w:val="nil"/>
            </w:tcBorders>
            <w:tcMar>
              <w:top w:w="0" w:type="dxa"/>
              <w:left w:w="105" w:type="dxa"/>
              <w:bottom w:w="0" w:type="dxa"/>
              <w:right w:w="105" w:type="dxa"/>
            </w:tcMar>
            <w:vAlign w:val="top"/>
          </w:tcPr>
          <w:p w14:paraId="511DE708">
            <w:pPr>
              <w:keepNext w:val="0"/>
              <w:keepLines w:val="0"/>
              <w:pageBreakBefore w:val="0"/>
              <w:suppressLineNumbers w:val="0"/>
              <w:kinsoku/>
              <w:overflowPunct/>
              <w:topLinePunct w:val="0"/>
              <w:autoSpaceDE/>
              <w:autoSpaceDN/>
              <w:bidi w:val="0"/>
              <w:spacing w:before="0" w:beforeAutospacing="0" w:after="0" w:afterAutospacing="0" w:line="300" w:lineRule="exact"/>
              <w:ind w:left="0" w:leftChars="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在约定期限内未按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要求整改或整改不到位的情形。</w:t>
            </w:r>
          </w:p>
        </w:tc>
        <w:tc>
          <w:tcPr>
            <w:tcW w:w="3683" w:type="dxa"/>
            <w:tcBorders>
              <w:tl2br w:val="nil"/>
              <w:tr2bl w:val="nil"/>
            </w:tcBorders>
            <w:tcMar>
              <w:top w:w="0" w:type="dxa"/>
              <w:left w:w="105" w:type="dxa"/>
              <w:bottom w:w="0" w:type="dxa"/>
              <w:right w:w="105" w:type="dxa"/>
            </w:tcMar>
            <w:vAlign w:val="top"/>
          </w:tcPr>
          <w:p w14:paraId="6BC9C2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每次扣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767" w:type="dxa"/>
            <w:tcBorders>
              <w:tl2br w:val="nil"/>
              <w:tr2bl w:val="nil"/>
            </w:tcBorders>
            <w:tcMar>
              <w:top w:w="0" w:type="dxa"/>
              <w:left w:w="105" w:type="dxa"/>
              <w:bottom w:w="0" w:type="dxa"/>
              <w:right w:w="105" w:type="dxa"/>
            </w:tcMar>
            <w:vAlign w:val="top"/>
          </w:tcPr>
          <w:p w14:paraId="096D309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59B24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4" w:type="dxa"/>
            <w:gridSpan w:val="4"/>
            <w:tcBorders>
              <w:tl2br w:val="nil"/>
              <w:tr2bl w:val="nil"/>
            </w:tcBorders>
            <w:tcMar>
              <w:top w:w="0" w:type="dxa"/>
              <w:left w:w="105" w:type="dxa"/>
              <w:bottom w:w="0" w:type="dxa"/>
              <w:right w:w="105" w:type="dxa"/>
            </w:tcMar>
            <w:vAlign w:val="top"/>
          </w:tcPr>
          <w:p w14:paraId="23110FD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合计扣分：</w:t>
            </w:r>
          </w:p>
        </w:tc>
        <w:tc>
          <w:tcPr>
            <w:tcW w:w="767" w:type="dxa"/>
            <w:tcBorders>
              <w:tl2br w:val="nil"/>
              <w:tr2bl w:val="nil"/>
            </w:tcBorders>
            <w:tcMar>
              <w:top w:w="0" w:type="dxa"/>
              <w:left w:w="105" w:type="dxa"/>
              <w:bottom w:w="0" w:type="dxa"/>
              <w:right w:w="105" w:type="dxa"/>
            </w:tcMar>
            <w:vAlign w:val="top"/>
          </w:tcPr>
          <w:p w14:paraId="471ADB3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r>
      <w:tr w14:paraId="5A169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34" w:type="dxa"/>
            <w:gridSpan w:val="4"/>
            <w:tcBorders>
              <w:tl2br w:val="nil"/>
              <w:tr2bl w:val="nil"/>
            </w:tcBorders>
            <w:tcMar>
              <w:top w:w="0" w:type="dxa"/>
              <w:left w:w="105" w:type="dxa"/>
              <w:bottom w:w="0" w:type="dxa"/>
              <w:right w:w="105" w:type="dxa"/>
            </w:tcMar>
            <w:vAlign w:val="top"/>
          </w:tcPr>
          <w:p w14:paraId="4210C5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合计得分：</w:t>
            </w:r>
          </w:p>
        </w:tc>
        <w:tc>
          <w:tcPr>
            <w:tcW w:w="767" w:type="dxa"/>
            <w:tcBorders>
              <w:tl2br w:val="nil"/>
              <w:tr2bl w:val="nil"/>
            </w:tcBorders>
            <w:tcMar>
              <w:top w:w="0" w:type="dxa"/>
              <w:left w:w="105" w:type="dxa"/>
              <w:bottom w:w="0" w:type="dxa"/>
              <w:right w:w="105" w:type="dxa"/>
            </w:tcMar>
            <w:vAlign w:val="top"/>
          </w:tcPr>
          <w:p w14:paraId="70BA799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r>
      <w:tr w14:paraId="65375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49" w:type="dxa"/>
            <w:gridSpan w:val="2"/>
            <w:tcBorders>
              <w:tl2br w:val="nil"/>
              <w:tr2bl w:val="nil"/>
            </w:tcBorders>
            <w:tcMar>
              <w:top w:w="0" w:type="dxa"/>
              <w:left w:w="105" w:type="dxa"/>
              <w:bottom w:w="0" w:type="dxa"/>
              <w:right w:w="105" w:type="dxa"/>
            </w:tcMar>
            <w:vAlign w:val="top"/>
          </w:tcPr>
          <w:p w14:paraId="53B898A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检查人：</w:t>
            </w:r>
          </w:p>
        </w:tc>
        <w:tc>
          <w:tcPr>
            <w:tcW w:w="4202" w:type="dxa"/>
            <w:tcBorders>
              <w:tl2br w:val="nil"/>
              <w:tr2bl w:val="nil"/>
            </w:tcBorders>
            <w:tcMar>
              <w:top w:w="0" w:type="dxa"/>
              <w:left w:w="105" w:type="dxa"/>
              <w:bottom w:w="0" w:type="dxa"/>
              <w:right w:w="105" w:type="dxa"/>
            </w:tcMar>
            <w:vAlign w:val="top"/>
          </w:tcPr>
          <w:p w14:paraId="256D1D2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被检查人：</w:t>
            </w:r>
          </w:p>
        </w:tc>
        <w:tc>
          <w:tcPr>
            <w:tcW w:w="4450" w:type="dxa"/>
            <w:gridSpan w:val="2"/>
            <w:tcBorders>
              <w:tl2br w:val="nil"/>
              <w:tr2bl w:val="nil"/>
            </w:tcBorders>
            <w:tcMar>
              <w:top w:w="0" w:type="dxa"/>
              <w:left w:w="105" w:type="dxa"/>
              <w:bottom w:w="0" w:type="dxa"/>
              <w:right w:w="105" w:type="dxa"/>
            </w:tcMar>
            <w:vAlign w:val="top"/>
          </w:tcPr>
          <w:p w14:paraId="14214C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检查日期：</w:t>
            </w:r>
          </w:p>
        </w:tc>
      </w:tr>
      <w:tr w14:paraId="37C3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1" w:type="dxa"/>
            <w:tcBorders>
              <w:tl2br w:val="nil"/>
              <w:tr2bl w:val="nil"/>
            </w:tcBorders>
            <w:tcMar>
              <w:top w:w="0" w:type="dxa"/>
              <w:left w:w="105" w:type="dxa"/>
              <w:bottom w:w="0" w:type="dxa"/>
              <w:right w:w="105" w:type="dxa"/>
            </w:tcMar>
            <w:vAlign w:val="top"/>
          </w:tcPr>
          <w:p w14:paraId="116159B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整改意见</w:t>
            </w:r>
          </w:p>
        </w:tc>
        <w:tc>
          <w:tcPr>
            <w:tcW w:w="9730" w:type="dxa"/>
            <w:gridSpan w:val="4"/>
            <w:tcBorders>
              <w:tl2br w:val="nil"/>
              <w:tr2bl w:val="nil"/>
            </w:tcBorders>
            <w:tcMar>
              <w:top w:w="0" w:type="dxa"/>
              <w:left w:w="105" w:type="dxa"/>
              <w:bottom w:w="0" w:type="dxa"/>
              <w:right w:w="105" w:type="dxa"/>
            </w:tcMar>
            <w:vAlign w:val="top"/>
          </w:tcPr>
          <w:p w14:paraId="2A0A29A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r>
    </w:tbl>
    <w:p w14:paraId="332B4631">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注：1.考核评分采用百分制，扣罚标准如下：</w:t>
      </w:r>
    </w:p>
    <w:p w14:paraId="5657F603">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（1）考核得分在90分(含)以上时，不扣减费用；</w:t>
      </w:r>
    </w:p>
    <w:p w14:paraId="419E2637">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（2）80分≤考核得分≤89分，扣减【(100-考核得分)×300】元；</w:t>
      </w:r>
    </w:p>
    <w:p w14:paraId="5AA15275">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（3）70分≤考核得分≤79分，扣减【(100-考核得分)×500】元；</w:t>
      </w:r>
    </w:p>
    <w:p w14:paraId="0421B4A2">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（4）60分≤考核得分≤69分，扣减【(100-考核得分)×1000+2000】元；</w:t>
      </w:r>
    </w:p>
    <w:p w14:paraId="0844B5C1">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（5）低于60分（不含）扣减当月货款的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0%；</w:t>
      </w:r>
    </w:p>
    <w:p w14:paraId="7581FB69">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（6）合同期内累计三个季度低于60分（不含），</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有权终止合同。所发生的一切损失由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负责。</w:t>
      </w:r>
    </w:p>
    <w:p w14:paraId="095A08E8">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Hans"/>
        </w:rPr>
        <w:t>2.季度食堂运营管理服务考核评分表的解释权归</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也可根据实际情况对季度食堂运营管理服务考核评分表的内容进行调整，但要与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进行协商</w:t>
      </w:r>
    </w:p>
    <w:p w14:paraId="68587DB8">
      <w:pPr>
        <w:keepNext w:val="0"/>
        <w:keepLines w:val="0"/>
        <w:pageBreakBefore w:val="0"/>
        <w:kinsoku/>
        <w:overflowPunct/>
        <w:topLinePunct w:val="0"/>
        <w:autoSpaceDE/>
        <w:autoSpaceDN/>
        <w:bidi w:val="0"/>
        <w:spacing w:line="300" w:lineRule="exact"/>
        <w:ind w:left="0" w:leftChars="0" w:firstLine="422" w:firstLineChars="20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附件5月度食材供应服务考核评分表</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79"/>
        <w:gridCol w:w="1780"/>
        <w:gridCol w:w="1481"/>
        <w:gridCol w:w="3893"/>
        <w:gridCol w:w="930"/>
        <w:gridCol w:w="1126"/>
      </w:tblGrid>
      <w:tr w14:paraId="6E0961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834"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63A93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月度食材供应服务考核评分表</w:t>
            </w:r>
          </w:p>
        </w:tc>
      </w:tr>
      <w:tr w14:paraId="1708BC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62731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序号</w:t>
            </w:r>
          </w:p>
        </w:tc>
        <w:tc>
          <w:tcPr>
            <w:tcW w:w="7834"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46CC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考核细则</w:t>
            </w:r>
          </w:p>
        </w:tc>
        <w:tc>
          <w:tcPr>
            <w:tcW w:w="98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BDA6ED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扣分值</w:t>
            </w:r>
          </w:p>
        </w:tc>
        <w:tc>
          <w:tcPr>
            <w:tcW w:w="12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B49DE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备注</w:t>
            </w:r>
          </w:p>
        </w:tc>
      </w:tr>
      <w:tr w14:paraId="155A10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E8FE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AC03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违反</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要求和合同的规定，擅自更改供应货物品牌、规格和质量的，每次扣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E299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6996A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1B949D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C918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A3EFE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未按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采购计划的品种、数量、时间供货的，每发生一次扣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BC10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10102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066B81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22F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1839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违反</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要求和合同的规定，擅自更改运送人员的，每次扣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9482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93318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1C5C32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DE69A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C508A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需要使用冷链车辆进行配送的产品，未按要求使用冷链车辆进行配送的，每发生一次扣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511CE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213F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557DD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06B8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51AA1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同一品种货物一次（含本数）以上发现质量不合格产品的，扣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4E4EA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83FDB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2D9897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0F24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0694B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产品验收不合格，每拒收一批次扣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55463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2600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61558E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F2A13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7</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689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把</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验收不合格退货的货物重新配送给</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的，每发现一次扣5分；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5E504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626F5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7FFAA2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2AE37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8</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AF78A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在包装、运输、装卸等环节不符合食品卫生要求的，每发现一次扣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784F8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7EFB1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6903A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C05D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9</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3E82B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滥用或过量使用食品添加剂、发现使用劣质原料、抗生素、激素等有害物质，每次扣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9662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03B86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607CD9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4E595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10</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1D968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有效投诉关于餐食出现虫、杂物等情况或</w:t>
            </w:r>
            <w:r>
              <w:rPr>
                <w:rFonts w:hint="eastAsia" w:ascii="宋体" w:hAnsi="宋体" w:eastAsia="宋体" w:cs="宋体"/>
                <w:color w:val="auto"/>
                <w:sz w:val="21"/>
                <w:szCs w:val="21"/>
                <w:highlight w:val="none"/>
                <w:lang w:val="en-US" w:eastAsia="zh-Hans"/>
              </w:rPr>
              <w:t>商品由他人代送</w:t>
            </w:r>
            <w:r>
              <w:rPr>
                <w:rFonts w:hint="eastAsia" w:ascii="宋体" w:hAnsi="宋体" w:eastAsia="宋体" w:cs="宋体"/>
                <w:color w:val="auto"/>
                <w:sz w:val="21"/>
                <w:szCs w:val="21"/>
                <w:highlight w:val="none"/>
                <w:lang w:val="en-US" w:eastAsia="zh-CN"/>
              </w:rPr>
              <w:t>且质量出现问题</w:t>
            </w:r>
            <w:r>
              <w:rPr>
                <w:rFonts w:hint="eastAsia" w:ascii="宋体" w:hAnsi="宋体" w:eastAsia="宋体" w:cs="宋体"/>
                <w:color w:val="auto"/>
                <w:sz w:val="21"/>
                <w:szCs w:val="21"/>
                <w:highlight w:val="none"/>
                <w:lang w:val="en-US" w:eastAsia="zh-Hans"/>
              </w:rPr>
              <w:t>，每次扣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382E6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17C25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0ADD1D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BCEF8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11</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4C7A4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没有建立健全安全生产规章制度、安全生产操作规程、应急预案，或违反制度操作的，每次扣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99190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80F96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6E35B3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FB965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12</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49ADC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货物出现质量问题，</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不积极配合查找原因，不及时反馈处理结果的，每次扣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F15E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368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611AA0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9CF70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13</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CBEFF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对</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提出的合理建议未能在约定期限内整改落实的，每次扣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367DAB">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EBE02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42774C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DF803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14</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F6A9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组织机构发生调整，或经营场所、联系人、联系方式变更，未及时通知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，造成无法及时联系的，每次扣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ABF5F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BEC47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34DBB2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A1F85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15</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20908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未按时发货或发生退换货情况，造成</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无法按时供餐的，每发生一次扣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11A5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7AF71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2976A7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55809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16</w:t>
            </w:r>
          </w:p>
        </w:tc>
        <w:tc>
          <w:tcPr>
            <w:tcW w:w="783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24257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未及时按要求随货提供相关票证的，每次扣1分；</w:t>
            </w:r>
          </w:p>
        </w:tc>
        <w:tc>
          <w:tcPr>
            <w:tcW w:w="9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57913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c>
          <w:tcPr>
            <w:tcW w:w="12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CFF53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1E0D5A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388"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1AF7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扣分项合计</w:t>
            </w:r>
          </w:p>
        </w:tc>
        <w:tc>
          <w:tcPr>
            <w:tcW w:w="644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8619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p>
        </w:tc>
      </w:tr>
      <w:tr w14:paraId="18AE6A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D6BBA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一票否决项</w:t>
            </w:r>
          </w:p>
        </w:tc>
        <w:tc>
          <w:tcPr>
            <w:tcW w:w="806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4AA31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若出现下述情况，</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有权不支付当月货款，所发生的一切损失由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负责：</w:t>
            </w:r>
          </w:p>
          <w:p w14:paraId="6231FFA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1、以贿赂或类似贿赂的形式讨好</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、货物验收人等利害关系人的行为。</w:t>
            </w:r>
          </w:p>
          <w:p w14:paraId="5065A661">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2、要求检测的商品未经检测，且未按要求限时整改。</w:t>
            </w:r>
          </w:p>
          <w:p w14:paraId="19297AE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3、食品原料质量问题而引起的食物中毒事件。</w:t>
            </w:r>
          </w:p>
          <w:p w14:paraId="7053933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4、提供虚假资料、如检测报告、发票、货物入库单。</w:t>
            </w:r>
          </w:p>
        </w:tc>
      </w:tr>
      <w:tr w14:paraId="79E0AF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76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7873D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考核人</w:t>
            </w:r>
          </w:p>
        </w:tc>
        <w:tc>
          <w:tcPr>
            <w:tcW w:w="8068" w:type="dxa"/>
            <w:gridSpan w:val="4"/>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CC794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r>
    </w:tbl>
    <w:p w14:paraId="30E5766D">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注：1.考核评分采用百分制，扣罚标准如下：</w:t>
      </w:r>
    </w:p>
    <w:p w14:paraId="33F3A633">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（1）考核得分在90分(含)以上时，不扣减费用；</w:t>
      </w:r>
    </w:p>
    <w:p w14:paraId="66E205BB">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（2）80分≤考核得分≤89分，扣减【(100-考核得分)×300】元；</w:t>
      </w:r>
    </w:p>
    <w:p w14:paraId="4FB7088F">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（3）70分≤考核得分≤79分，扣减【(100-考核得分)×500】元；</w:t>
      </w:r>
    </w:p>
    <w:p w14:paraId="7661E252">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eastAsia="zh-Hans"/>
        </w:rPr>
        <w:t>（4）60分≤考核得分≤69分，扣减【(100-考核得分)×1000+2000】元；</w:t>
      </w:r>
    </w:p>
    <w:p w14:paraId="61C8D8DC">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（5）低于60分（不含）扣减当月货款的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Hans"/>
        </w:rPr>
        <w:t>0%；</w:t>
      </w:r>
    </w:p>
    <w:p w14:paraId="76AFF4CB">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（6）合同期内累计三个季度低于60分（不含），</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有权终止合同。所发生的一切损失由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负责。</w:t>
      </w:r>
    </w:p>
    <w:p w14:paraId="400067A3">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2.各项指标分值说明见《食材供应考核分值说明》。</w:t>
      </w:r>
    </w:p>
    <w:p w14:paraId="54CE1092">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3.月度食材供应服务考核评分表的解释权归</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Hans"/>
        </w:rPr>
        <w:t>也可根据实际情况对月度食材供应服务考核评分表的内容进行调整，但要与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进行协商。</w:t>
      </w:r>
    </w:p>
    <w:p w14:paraId="32DAD0C1">
      <w:pPr>
        <w:keepNext w:val="0"/>
        <w:keepLines w:val="0"/>
        <w:pageBreakBefore w:val="0"/>
        <w:kinsoku/>
        <w:overflowPunct/>
        <w:topLinePunct w:val="0"/>
        <w:autoSpaceDE/>
        <w:autoSpaceDN/>
        <w:bidi w:val="0"/>
        <w:spacing w:line="300" w:lineRule="exact"/>
        <w:ind w:firstLine="422"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b/>
          <w:color w:val="auto"/>
          <w:sz w:val="21"/>
          <w:szCs w:val="21"/>
          <w:highlight w:val="none"/>
          <w:lang w:val="en-US" w:eastAsia="zh-Hans"/>
        </w:rPr>
        <w:t>食材供应考核分值说明</w:t>
      </w:r>
    </w:p>
    <w:p w14:paraId="073227BA">
      <w:pPr>
        <w:keepNext w:val="0"/>
        <w:keepLines w:val="0"/>
        <w:pageBreakBefore w:val="0"/>
        <w:kinsoku/>
        <w:overflowPunct/>
        <w:topLinePunct w:val="0"/>
        <w:autoSpaceDE/>
        <w:autoSpaceDN/>
        <w:bidi w:val="0"/>
        <w:spacing w:line="300" w:lineRule="exact"/>
        <w:ind w:firstLine="420" w:firstLineChars="20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考核日期：   年  月  日</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75"/>
        <w:gridCol w:w="2573"/>
        <w:gridCol w:w="1422"/>
        <w:gridCol w:w="1166"/>
        <w:gridCol w:w="1166"/>
      </w:tblGrid>
      <w:tr w14:paraId="435FA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DEC63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Hans"/>
              </w:rPr>
              <w:t>名称</w:t>
            </w:r>
          </w:p>
        </w:tc>
        <w:tc>
          <w:tcPr>
            <w:tcW w:w="25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50290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left"/>
              <w:textAlignment w:val="auto"/>
              <w:rPr>
                <w:rFonts w:hint="eastAsia" w:ascii="宋体" w:hAnsi="宋体" w:eastAsia="宋体" w:cs="宋体"/>
                <w:color w:val="auto"/>
                <w:sz w:val="21"/>
                <w:szCs w:val="21"/>
                <w:highlight w:val="none"/>
                <w:lang w:val="en-US" w:eastAsia="zh-Hans"/>
              </w:rPr>
            </w:pPr>
          </w:p>
        </w:tc>
        <w:tc>
          <w:tcPr>
            <w:tcW w:w="14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712A4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left"/>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供应项目</w:t>
            </w:r>
          </w:p>
        </w:tc>
        <w:tc>
          <w:tcPr>
            <w:tcW w:w="2332"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F4449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left"/>
              <w:textAlignment w:val="auto"/>
              <w:rPr>
                <w:rFonts w:hint="eastAsia" w:ascii="宋体" w:hAnsi="宋体" w:eastAsia="宋体" w:cs="宋体"/>
                <w:color w:val="auto"/>
                <w:sz w:val="21"/>
                <w:szCs w:val="21"/>
                <w:highlight w:val="none"/>
                <w:lang w:val="en-US" w:eastAsia="zh-Hans"/>
              </w:rPr>
            </w:pPr>
          </w:p>
        </w:tc>
      </w:tr>
      <w:tr w14:paraId="4E244B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754B0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考核评分表序号</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88A14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扣分事由</w:t>
            </w: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278E30">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扣分值</w:t>
            </w: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FD505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备注</w:t>
            </w:r>
          </w:p>
        </w:tc>
      </w:tr>
      <w:tr w14:paraId="5AC1CE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AA96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1</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D6567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AD4AD9">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1E33C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6624A4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968B7F">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2</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376C93">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AE97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41D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7C3C82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E76AF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3</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0D95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8E76C">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121BAE">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5EBACF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E2E09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4</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3DDB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FB672A">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1219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4728A9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19827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5</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CAB45">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1DCA5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EB5B28">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4427AF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A94E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w:t>
            </w:r>
          </w:p>
        </w:tc>
        <w:tc>
          <w:tcPr>
            <w:tcW w:w="3995"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B009F2">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lang w:val="en-US" w:eastAsia="zh-Hans"/>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46776">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c>
          <w:tcPr>
            <w:tcW w:w="1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BB267">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both"/>
              <w:textAlignment w:val="auto"/>
              <w:rPr>
                <w:rFonts w:hint="eastAsia" w:ascii="宋体" w:hAnsi="宋体" w:eastAsia="宋体" w:cs="宋体"/>
                <w:color w:val="auto"/>
                <w:sz w:val="21"/>
                <w:szCs w:val="21"/>
                <w:highlight w:val="none"/>
              </w:rPr>
            </w:pPr>
          </w:p>
        </w:tc>
      </w:tr>
      <w:tr w14:paraId="78ACE2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7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8B1FC4">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center"/>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考核得分</w:t>
            </w:r>
          </w:p>
        </w:tc>
        <w:tc>
          <w:tcPr>
            <w:tcW w:w="2332"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430AFD">
            <w:pPr>
              <w:keepNext w:val="0"/>
              <w:keepLines w:val="0"/>
              <w:pageBreakBefore w:val="0"/>
              <w:suppressLineNumbers w:val="0"/>
              <w:kinsoku/>
              <w:overflowPunct/>
              <w:topLinePunct w:val="0"/>
              <w:autoSpaceDE/>
              <w:autoSpaceDN/>
              <w:bidi w:val="0"/>
              <w:spacing w:before="0" w:beforeAutospacing="0" w:after="0" w:afterAutospacing="0" w:line="300" w:lineRule="exact"/>
              <w:ind w:left="0" w:right="0" w:firstLine="0" w:firstLineChars="0"/>
              <w:jc w:val="left"/>
              <w:textAlignment w:val="auto"/>
              <w:rPr>
                <w:rFonts w:hint="eastAsia" w:ascii="宋体" w:hAnsi="宋体" w:eastAsia="宋体" w:cs="宋体"/>
                <w:color w:val="auto"/>
                <w:sz w:val="21"/>
                <w:szCs w:val="21"/>
                <w:highlight w:val="none"/>
                <w:lang w:val="en-US" w:eastAsia="zh-Hans"/>
              </w:rPr>
            </w:pPr>
          </w:p>
        </w:tc>
      </w:tr>
    </w:tbl>
    <w:p w14:paraId="65360AAC">
      <w:pPr>
        <w:keepNext w:val="0"/>
        <w:keepLines w:val="0"/>
        <w:pageBreakBefore w:val="0"/>
        <w:kinsoku/>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Hans"/>
        </w:rPr>
      </w:pPr>
      <w:r>
        <w:rPr>
          <w:rFonts w:hint="eastAsia" w:ascii="宋体" w:hAnsi="宋体" w:eastAsia="宋体" w:cs="宋体"/>
          <w:color w:val="auto"/>
          <w:sz w:val="21"/>
          <w:szCs w:val="21"/>
          <w:highlight w:val="none"/>
          <w:lang w:val="en-US" w:eastAsia="zh-Hans"/>
        </w:rPr>
        <w:t>经办人：</w:t>
      </w:r>
    </w:p>
    <w:p w14:paraId="1EBFED8A">
      <w:pPr>
        <w:ind w:left="0" w:leftChars="0" w:firstLine="0" w:firstLineChars="0"/>
        <w:jc w:val="both"/>
        <w:rPr>
          <w:rFonts w:hint="eastAsia" w:ascii="宋体" w:hAnsi="宋体" w:eastAsia="宋体" w:cs="宋体"/>
          <w:sz w:val="21"/>
          <w:szCs w:val="21"/>
          <w:highlight w:val="none"/>
          <w:lang w:val="en-US" w:eastAsia="zh-CN"/>
        </w:rPr>
      </w:pPr>
    </w:p>
    <w:p w14:paraId="06019796">
      <w:pPr>
        <w:rPr>
          <w:rFonts w:hint="eastAsia" w:ascii="宋体" w:hAnsi="宋体" w:eastAsia="宋体" w:cs="宋体"/>
          <w:sz w:val="21"/>
          <w:szCs w:val="21"/>
          <w:highlight w:val="none"/>
        </w:rPr>
      </w:pPr>
    </w:p>
    <w:p w14:paraId="0C5BF93F">
      <w:pPr>
        <w:snapToGrid w:val="0"/>
        <w:spacing w:beforeAutospacing="1"/>
        <w:jc w:val="center"/>
        <w:rPr>
          <w:rFonts w:hint="eastAsia" w:ascii="宋体" w:hAnsi="宋体" w:eastAsia="宋体" w:cs="宋体"/>
          <w:b/>
          <w:bCs/>
          <w:color w:val="FF0000"/>
          <w:position w:val="-60"/>
          <w:sz w:val="72"/>
          <w:szCs w:val="72"/>
          <w:highlight w:val="none"/>
        </w:rPr>
      </w:pPr>
      <w:r>
        <w:rPr>
          <w:rFonts w:hint="eastAsia" w:ascii="宋体" w:hAnsi="宋体" w:eastAsia="宋体" w:cs="宋体"/>
          <w:highlight w:val="none"/>
        </w:rPr>
        <w:br w:type="page"/>
      </w:r>
      <w:r>
        <w:rPr>
          <w:rFonts w:hint="eastAsia" w:ascii="宋体" w:hAnsi="宋体" w:eastAsia="宋体" w:cs="宋体"/>
          <w:b/>
          <w:bCs/>
          <w:color w:val="FF0000"/>
          <w:position w:val="-60"/>
          <w:sz w:val="72"/>
          <w:szCs w:val="72"/>
          <w:highlight w:val="none"/>
        </w:rPr>
        <w:t>中山大学孙逸仙纪念医院</w:t>
      </w:r>
    </w:p>
    <w:p w14:paraId="67B4A538">
      <w:pPr>
        <w:snapToGrid w:val="0"/>
        <w:spacing w:beforeAutospacing="1"/>
        <w:jc w:val="center"/>
        <w:rPr>
          <w:rFonts w:hint="eastAsia" w:ascii="宋体" w:hAnsi="宋体" w:eastAsia="宋体" w:cs="宋体"/>
          <w:b/>
          <w:bCs/>
          <w:color w:val="FF0000"/>
          <w:position w:val="-60"/>
          <w:sz w:val="72"/>
          <w:szCs w:val="72"/>
          <w:highlight w:val="none"/>
        </w:rPr>
      </w:pPr>
      <w:r>
        <w:rPr>
          <w:rFonts w:hint="eastAsia" w:ascii="宋体" w:hAnsi="宋体" w:eastAsia="宋体" w:cs="宋体"/>
          <w:b/>
          <w:bCs/>
          <w:color w:val="FF0000"/>
          <w:position w:val="-60"/>
          <w:sz w:val="72"/>
          <w:szCs w:val="72"/>
          <w:highlight w:val="none"/>
        </w:rPr>
        <w:t>深汕中心医院</w:t>
      </w:r>
    </w:p>
    <w:p w14:paraId="21DFDA10">
      <w:pPr>
        <w:snapToGrid w:val="0"/>
        <w:spacing w:beforeAutospacing="1"/>
        <w:jc w:val="center"/>
        <w:rPr>
          <w:rFonts w:hint="eastAsia" w:ascii="宋体" w:hAnsi="宋体" w:eastAsia="宋体" w:cs="宋体"/>
          <w:sz w:val="36"/>
          <w:szCs w:val="36"/>
          <w:highlight w:val="none"/>
        </w:rPr>
      </w:pPr>
      <w:r>
        <w:rPr>
          <w:rFonts w:hint="eastAsia" w:ascii="宋体" w:hAnsi="宋体" w:eastAsia="宋体" w:cs="宋体"/>
          <w:b/>
          <w:sz w:val="36"/>
          <w:szCs w:val="36"/>
          <w:highlight w:val="none"/>
        </w:rPr>
        <w:t>廉洁守约承诺书</w:t>
      </w:r>
    </w:p>
    <w:p w14:paraId="48C2938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499BDE18">
      <w:pPr>
        <w:adjustRightInd w:val="0"/>
        <w:snapToGrid w:val="0"/>
        <w:spacing w:line="360" w:lineRule="auto"/>
        <w:rPr>
          <w:rFonts w:hint="eastAsia" w:ascii="宋体" w:hAnsi="宋体" w:eastAsia="宋体" w:cs="宋体"/>
          <w:sz w:val="24"/>
          <w:szCs w:val="24"/>
          <w:highlight w:val="none"/>
        </w:rPr>
      </w:pPr>
    </w:p>
    <w:p w14:paraId="0CDFD24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深汕中心医院（下称医院）的规章制度，我公司特作出以下廉洁守约承诺：</w:t>
      </w:r>
    </w:p>
    <w:p w14:paraId="5B24712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贿赂、提成、物品及以其它不正当利益等手段进行促销；不以任何名义、形式给予医院工作人员及其特殊关系人“红包”、贿赂、提成、物品以及其他不正当利益，或邀请医院工作人员及其特殊关系人参加涉及商业利益的活动等。 </w:t>
      </w:r>
    </w:p>
    <w:p w14:paraId="579AFA0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前款所称“特殊关系人”，是指医院工作人员的近亲属、特殊利害关系人等 。</w:t>
      </w:r>
    </w:p>
    <w:p w14:paraId="1D08707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0F258B6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三、我司承诺需要在医院进行产品宣传、推广工作时，一定向医院相关职能部门提出书面申请。经审批后，由医院有组织、有计划地予以安排。</w:t>
      </w:r>
    </w:p>
    <w:p w14:paraId="219C6B2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四、我司承诺遵守国家有关招标采购法律法规规章，在参加医院招标采购活动时，保证诚信投标、不串标、不陪标，严格按照有关规定及合同执行。</w:t>
      </w:r>
    </w:p>
    <w:p w14:paraId="0281CC6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五、我司承诺</w:t>
      </w:r>
    </w:p>
    <w:p w14:paraId="022D8CB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1675F83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1A8B92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44CFF4D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违反上述承诺，我司自愿接受中山大学孙逸仙纪念医院深汕中心医院以下处理：医院将我司违规行为予以曝光；医院取消我司中标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7DF0EC9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双方订立买卖合同、技术服务合同、建筑工程施工合同等合同以后，本承诺书同时作为双方合同的构成部分。</w:t>
      </w:r>
    </w:p>
    <w:p w14:paraId="6D56E42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本承诺书一式两份，一份由医院相关职能部门保存，一份由经营单位保存。</w:t>
      </w:r>
    </w:p>
    <w:p w14:paraId="512B36D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42D089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D287A83">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单位名称：</w:t>
      </w:r>
    </w:p>
    <w:p w14:paraId="66D78FFF">
      <w:pPr>
        <w:snapToGrid w:val="0"/>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（盖章）</w:t>
      </w:r>
    </w:p>
    <w:p w14:paraId="18FFCD1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单位负责人（或法定代表人）：</w:t>
      </w:r>
    </w:p>
    <w:p w14:paraId="34A3DABA">
      <w:pPr>
        <w:snapToGrid w:val="0"/>
        <w:spacing w:line="360" w:lineRule="auto"/>
        <w:ind w:firstLine="1560" w:firstLineChars="6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（签名）</w:t>
      </w:r>
    </w:p>
    <w:p w14:paraId="35F85BC6">
      <w:pPr>
        <w:snapToGrid w:val="0"/>
        <w:spacing w:line="360" w:lineRule="auto"/>
        <w:ind w:firstLine="1320" w:firstLineChars="5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        年    月    日</w:t>
      </w:r>
    </w:p>
    <w:p w14:paraId="289825AD">
      <w:pPr>
        <w:jc w:val="center"/>
        <w:rPr>
          <w:rFonts w:hint="eastAsia" w:ascii="宋体" w:hAnsi="宋体" w:eastAsia="宋体" w:cs="宋体"/>
          <w:b/>
          <w:sz w:val="28"/>
          <w:szCs w:val="28"/>
          <w:highlight w:val="none"/>
        </w:rPr>
      </w:pPr>
      <w:r>
        <w:rPr>
          <w:rFonts w:hint="eastAsia" w:ascii="宋体" w:hAnsi="宋体" w:eastAsia="宋体" w:cs="宋体"/>
          <w:highlight w:val="none"/>
        </w:rPr>
        <w:br w:type="page"/>
      </w:r>
    </w:p>
    <w:p w14:paraId="523C728E">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第五部分　投标文件</w:t>
      </w:r>
      <w:bookmarkEnd w:id="6"/>
      <w:r>
        <w:rPr>
          <w:rFonts w:hint="eastAsia" w:ascii="宋体" w:hAnsi="宋体" w:eastAsia="宋体" w:cs="宋体"/>
          <w:b/>
          <w:sz w:val="28"/>
          <w:szCs w:val="28"/>
          <w:highlight w:val="none"/>
        </w:rPr>
        <w:t>格式</w:t>
      </w:r>
    </w:p>
    <w:p w14:paraId="02A8486E">
      <w:pPr>
        <w:adjustRightInd w:val="0"/>
        <w:snapToGrid w:val="0"/>
        <w:spacing w:line="360" w:lineRule="auto"/>
        <w:jc w:val="center"/>
        <w:rPr>
          <w:rFonts w:hint="eastAsia" w:ascii="宋体" w:hAnsi="宋体" w:eastAsia="宋体" w:cs="宋体"/>
          <w:b/>
          <w:kern w:val="0"/>
          <w:sz w:val="28"/>
          <w:szCs w:val="28"/>
          <w:highlight w:val="none"/>
        </w:rPr>
      </w:pPr>
    </w:p>
    <w:p w14:paraId="31A94272">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服务类项目投标文件</w:t>
      </w:r>
    </w:p>
    <w:p w14:paraId="5EC1DC92">
      <w:pPr>
        <w:rPr>
          <w:rFonts w:hint="eastAsia" w:ascii="宋体" w:hAnsi="宋体" w:eastAsia="宋体" w:cs="宋体"/>
          <w:highlight w:val="none"/>
        </w:rPr>
      </w:pPr>
    </w:p>
    <w:p w14:paraId="65DE6BAD">
      <w:pPr>
        <w:numPr>
          <w:ilvl w:val="0"/>
          <w:numId w:val="7"/>
        </w:numPr>
        <w:rPr>
          <w:rFonts w:hint="eastAsia" w:ascii="宋体" w:hAnsi="宋体" w:eastAsia="宋体" w:cs="宋体"/>
          <w:sz w:val="24"/>
          <w:szCs w:val="28"/>
          <w:highlight w:val="none"/>
        </w:rPr>
      </w:pPr>
      <w:r>
        <w:rPr>
          <w:rFonts w:hint="eastAsia" w:ascii="宋体" w:hAnsi="宋体" w:eastAsia="宋体" w:cs="宋体"/>
          <w:sz w:val="24"/>
          <w:szCs w:val="28"/>
          <w:highlight w:val="none"/>
        </w:rPr>
        <w:t>自查表（适用于纸质招标文件）</w:t>
      </w:r>
    </w:p>
    <w:p w14:paraId="67EDDEC5">
      <w:pPr>
        <w:ind w:left="720"/>
        <w:rPr>
          <w:rFonts w:hint="eastAsia" w:ascii="宋体" w:hAnsi="宋体" w:eastAsia="宋体" w:cs="宋体"/>
          <w:sz w:val="24"/>
          <w:szCs w:val="28"/>
          <w:highlight w:val="none"/>
        </w:rPr>
      </w:pPr>
    </w:p>
    <w:p w14:paraId="23E4865A">
      <w:pPr>
        <w:rPr>
          <w:rFonts w:hint="eastAsia" w:ascii="宋体" w:hAnsi="宋体" w:eastAsia="宋体" w:cs="宋体"/>
          <w:sz w:val="24"/>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"_Toc175110017" </w:instrText>
      </w:r>
      <w:r>
        <w:rPr>
          <w:rFonts w:hint="eastAsia" w:ascii="宋体" w:hAnsi="宋体" w:eastAsia="宋体" w:cs="宋体"/>
          <w:highlight w:val="none"/>
        </w:rPr>
        <w:fldChar w:fldCharType="separate"/>
      </w:r>
      <w:r>
        <w:rPr>
          <w:rFonts w:hint="eastAsia" w:ascii="宋体" w:hAnsi="宋体" w:eastAsia="宋体" w:cs="宋体"/>
          <w:sz w:val="24"/>
          <w:szCs w:val="28"/>
          <w:highlight w:val="none"/>
        </w:rPr>
        <w:t xml:space="preserve">二、  </w:t>
      </w:r>
      <w:r>
        <w:rPr>
          <w:rFonts w:hint="eastAsia" w:ascii="宋体" w:hAnsi="宋体" w:eastAsia="宋体" w:cs="宋体"/>
          <w:sz w:val="24"/>
          <w:szCs w:val="28"/>
          <w:highlight w:val="none"/>
        </w:rPr>
        <w:fldChar w:fldCharType="end"/>
      </w:r>
      <w:r>
        <w:rPr>
          <w:rFonts w:hint="eastAsia" w:ascii="宋体" w:hAnsi="宋体" w:eastAsia="宋体" w:cs="宋体"/>
          <w:sz w:val="24"/>
          <w:szCs w:val="28"/>
          <w:highlight w:val="none"/>
        </w:rPr>
        <w:t>资格性文件（国e平台投标文件商务文件）</w:t>
      </w:r>
    </w:p>
    <w:p w14:paraId="50F8B611">
      <w:pPr>
        <w:rPr>
          <w:rFonts w:hint="eastAsia" w:ascii="宋体" w:hAnsi="宋体" w:eastAsia="宋体" w:cs="宋体"/>
          <w:sz w:val="24"/>
          <w:szCs w:val="28"/>
          <w:highlight w:val="none"/>
        </w:rPr>
      </w:pPr>
    </w:p>
    <w:p w14:paraId="687437DE">
      <w:pPr>
        <w:rPr>
          <w:rFonts w:hint="eastAsia" w:ascii="宋体" w:hAnsi="宋体" w:eastAsia="宋体" w:cs="宋体"/>
          <w:sz w:val="24"/>
          <w:szCs w:val="28"/>
          <w:highlight w:val="none"/>
        </w:rPr>
      </w:pPr>
      <w:r>
        <w:rPr>
          <w:rFonts w:hint="eastAsia" w:ascii="宋体" w:hAnsi="宋体" w:eastAsia="宋体" w:cs="宋体"/>
          <w:sz w:val="24"/>
          <w:szCs w:val="28"/>
          <w:highlight w:val="none"/>
        </w:rPr>
        <w:t>三、  商务部分（国e平台投标文件商务文件）</w:t>
      </w:r>
    </w:p>
    <w:p w14:paraId="33FC32CC">
      <w:pPr>
        <w:rPr>
          <w:rFonts w:hint="eastAsia" w:ascii="宋体" w:hAnsi="宋体" w:eastAsia="宋体" w:cs="宋体"/>
          <w:sz w:val="24"/>
          <w:szCs w:val="28"/>
          <w:highlight w:val="none"/>
        </w:rPr>
      </w:pPr>
    </w:p>
    <w:p w14:paraId="5A107AE2">
      <w:pPr>
        <w:rPr>
          <w:rFonts w:hint="eastAsia" w:ascii="宋体" w:hAnsi="宋体" w:eastAsia="宋体" w:cs="宋体"/>
          <w:sz w:val="24"/>
          <w:szCs w:val="28"/>
          <w:highlight w:val="none"/>
        </w:rPr>
      </w:pPr>
      <w:r>
        <w:rPr>
          <w:rFonts w:hint="eastAsia" w:ascii="宋体" w:hAnsi="宋体" w:eastAsia="宋体" w:cs="宋体"/>
          <w:sz w:val="24"/>
          <w:szCs w:val="28"/>
          <w:highlight w:val="none"/>
        </w:rPr>
        <w:t>四、  技术部分（国e平台投标文件技术文件）</w:t>
      </w:r>
    </w:p>
    <w:p w14:paraId="6E3D2145">
      <w:pPr>
        <w:rPr>
          <w:rFonts w:hint="eastAsia" w:ascii="宋体" w:hAnsi="宋体" w:eastAsia="宋体" w:cs="宋体"/>
          <w:sz w:val="24"/>
          <w:szCs w:val="28"/>
          <w:highlight w:val="none"/>
        </w:rPr>
      </w:pPr>
    </w:p>
    <w:p w14:paraId="11657EC9">
      <w:pPr>
        <w:rPr>
          <w:rFonts w:hint="eastAsia" w:ascii="宋体" w:hAnsi="宋体" w:eastAsia="宋体" w:cs="宋体"/>
          <w:sz w:val="24"/>
          <w:szCs w:val="28"/>
          <w:highlight w:val="none"/>
        </w:rPr>
      </w:pPr>
      <w:r>
        <w:rPr>
          <w:rFonts w:hint="eastAsia" w:ascii="宋体" w:hAnsi="宋体" w:eastAsia="宋体" w:cs="宋体"/>
          <w:sz w:val="24"/>
          <w:szCs w:val="28"/>
          <w:highlight w:val="none"/>
        </w:rPr>
        <w:t>五、  价格部分（国e平台投标文件价格文件）</w:t>
      </w:r>
    </w:p>
    <w:p w14:paraId="34EA98DA">
      <w:pPr>
        <w:rPr>
          <w:rFonts w:hint="eastAsia" w:ascii="宋体" w:hAnsi="宋体" w:eastAsia="宋体" w:cs="宋体"/>
          <w:sz w:val="28"/>
          <w:szCs w:val="28"/>
          <w:highlight w:val="none"/>
        </w:rPr>
      </w:pPr>
    </w:p>
    <w:p w14:paraId="4CD6912B">
      <w:pPr>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注：1. 请投标人按照以下文件的要求格式、内容，顺序制作投标文件，并请编制目录及页码，否则可能将影响对投标文件的评价。</w:t>
      </w:r>
    </w:p>
    <w:p w14:paraId="5847AD44">
      <w:pPr>
        <w:rPr>
          <w:rFonts w:hint="eastAsia" w:ascii="宋体" w:hAnsi="宋体" w:eastAsia="宋体" w:cs="宋体"/>
          <w:sz w:val="28"/>
          <w:szCs w:val="28"/>
          <w:highlight w:val="none"/>
        </w:rPr>
      </w:pPr>
      <w:r>
        <w:rPr>
          <w:rFonts w:hint="eastAsia" w:ascii="宋体" w:hAnsi="宋体" w:eastAsia="宋体" w:cs="宋体"/>
          <w:sz w:val="28"/>
          <w:szCs w:val="28"/>
          <w:highlight w:val="none"/>
        </w:rPr>
        <w:t>2. 《开标一览表》应单独封装在唱标信封中。</w:t>
      </w:r>
    </w:p>
    <w:p w14:paraId="0CA87CF8">
      <w:pPr>
        <w:rPr>
          <w:rFonts w:hint="eastAsia" w:ascii="宋体" w:hAnsi="宋体" w:eastAsia="宋体" w:cs="宋体"/>
          <w:highlight w:val="none"/>
        </w:rPr>
      </w:pPr>
      <w:r>
        <w:rPr>
          <w:rFonts w:hint="eastAsia" w:ascii="宋体" w:hAnsi="宋体" w:eastAsia="宋体" w:cs="宋体"/>
          <w:highlight w:val="none"/>
        </w:rPr>
        <w:br w:type="page"/>
      </w:r>
    </w:p>
    <w:p w14:paraId="6C6EBDE6">
      <w:pPr>
        <w:pStyle w:val="21"/>
        <w:tabs>
          <w:tab w:val="left" w:pos="1260"/>
        </w:tabs>
        <w:jc w:val="right"/>
        <w:rPr>
          <w:rFonts w:hint="eastAsia" w:ascii="宋体" w:hAnsi="宋体" w:eastAsia="宋体" w:cs="宋体"/>
          <w:b/>
          <w:spacing w:val="100"/>
          <w:w w:val="110"/>
          <w:sz w:val="48"/>
          <w:szCs w:val="48"/>
          <w:highlight w:val="none"/>
          <w:u w:val="single"/>
        </w:rPr>
      </w:pPr>
    </w:p>
    <w:p w14:paraId="3B3E4762">
      <w:pPr>
        <w:pStyle w:val="21"/>
        <w:tabs>
          <w:tab w:val="left" w:pos="1260"/>
        </w:tabs>
        <w:jc w:val="center"/>
        <w:rPr>
          <w:rFonts w:hint="eastAsia" w:ascii="宋体" w:hAnsi="宋体" w:eastAsia="宋体" w:cs="宋体"/>
          <w:b/>
          <w:spacing w:val="100"/>
          <w:w w:val="110"/>
          <w:sz w:val="48"/>
          <w:szCs w:val="48"/>
          <w:highlight w:val="none"/>
          <w:u w:val="single"/>
        </w:rPr>
      </w:pPr>
      <w:r>
        <w:rPr>
          <w:rFonts w:hint="eastAsia" w:ascii="宋体" w:hAnsi="宋体" w:eastAsia="宋体" w:cs="宋体"/>
          <w:b/>
          <w:spacing w:val="100"/>
          <w:w w:val="110"/>
          <w:sz w:val="48"/>
          <w:szCs w:val="48"/>
          <w:highlight w:val="none"/>
          <w:u w:val="single"/>
        </w:rPr>
        <w:t>(项目名称)</w:t>
      </w:r>
    </w:p>
    <w:p w14:paraId="34F64ECF">
      <w:pPr>
        <w:pStyle w:val="21"/>
        <w:jc w:val="center"/>
        <w:rPr>
          <w:rFonts w:hint="eastAsia" w:ascii="宋体" w:hAnsi="宋体" w:eastAsia="宋体" w:cs="宋体"/>
          <w:b/>
          <w:sz w:val="48"/>
          <w:szCs w:val="48"/>
          <w:highlight w:val="none"/>
        </w:rPr>
      </w:pPr>
    </w:p>
    <w:p w14:paraId="1FA79045">
      <w:pPr>
        <w:pStyle w:val="21"/>
        <w:tabs>
          <w:tab w:val="left" w:pos="1260"/>
        </w:tabs>
        <w:jc w:val="center"/>
        <w:rPr>
          <w:rFonts w:hint="eastAsia" w:ascii="宋体" w:hAnsi="宋体" w:eastAsia="宋体" w:cs="宋体"/>
          <w:b/>
          <w:spacing w:val="100"/>
          <w:w w:val="110"/>
          <w:sz w:val="48"/>
          <w:szCs w:val="48"/>
          <w:highlight w:val="none"/>
        </w:rPr>
      </w:pPr>
      <w:r>
        <w:rPr>
          <w:rFonts w:hint="eastAsia" w:ascii="宋体" w:hAnsi="宋体" w:eastAsia="宋体" w:cs="宋体"/>
          <w:b/>
          <w:spacing w:val="100"/>
          <w:w w:val="110"/>
          <w:sz w:val="48"/>
          <w:szCs w:val="48"/>
          <w:highlight w:val="none"/>
        </w:rPr>
        <w:t>投标文件</w:t>
      </w:r>
    </w:p>
    <w:p w14:paraId="7D1E30EC">
      <w:pPr>
        <w:pStyle w:val="21"/>
        <w:ind w:firstLine="2891" w:firstLineChars="600"/>
        <w:rPr>
          <w:rFonts w:hint="eastAsia" w:ascii="宋体" w:hAnsi="宋体" w:eastAsia="宋体" w:cs="宋体"/>
          <w:b/>
          <w:sz w:val="48"/>
          <w:szCs w:val="48"/>
          <w:highlight w:val="none"/>
        </w:rPr>
      </w:pPr>
      <w:r>
        <w:rPr>
          <w:rFonts w:hint="eastAsia" w:ascii="宋体" w:hAnsi="宋体" w:eastAsia="宋体" w:cs="宋体"/>
          <w:b/>
          <w:sz w:val="48"/>
          <w:szCs w:val="48"/>
          <w:highlight w:val="none"/>
        </w:rPr>
        <w:t>（正本/副本）</w:t>
      </w:r>
    </w:p>
    <w:p w14:paraId="494A5BAD">
      <w:pPr>
        <w:pStyle w:val="21"/>
        <w:jc w:val="center"/>
        <w:rPr>
          <w:rFonts w:hint="eastAsia" w:ascii="宋体" w:hAnsi="宋体" w:eastAsia="宋体" w:cs="宋体"/>
          <w:b/>
          <w:sz w:val="28"/>
          <w:szCs w:val="28"/>
          <w:highlight w:val="none"/>
        </w:rPr>
      </w:pPr>
    </w:p>
    <w:p w14:paraId="66A50913">
      <w:pPr>
        <w:pStyle w:val="21"/>
        <w:jc w:val="center"/>
        <w:rPr>
          <w:rFonts w:hint="eastAsia" w:ascii="宋体" w:hAnsi="宋体" w:eastAsia="宋体" w:cs="宋体"/>
          <w:b/>
          <w:sz w:val="28"/>
          <w:szCs w:val="28"/>
          <w:highlight w:val="none"/>
        </w:rPr>
      </w:pPr>
    </w:p>
    <w:p w14:paraId="318DF6C2">
      <w:pPr>
        <w:pStyle w:val="21"/>
        <w:spacing w:line="360" w:lineRule="auto"/>
        <w:ind w:firstLine="967" w:firstLineChars="344"/>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项目编号：</w:t>
      </w:r>
    </w:p>
    <w:p w14:paraId="4606C954">
      <w:pPr>
        <w:pStyle w:val="18"/>
        <w:spacing w:line="360" w:lineRule="auto"/>
        <w:ind w:firstLine="967" w:firstLineChars="344"/>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项目名称：</w:t>
      </w:r>
    </w:p>
    <w:p w14:paraId="39664168">
      <w:pPr>
        <w:pStyle w:val="21"/>
        <w:ind w:firstLine="843" w:firstLineChars="300"/>
        <w:rPr>
          <w:rFonts w:hint="eastAsia" w:ascii="宋体" w:hAnsi="宋体" w:eastAsia="宋体" w:cs="宋体"/>
          <w:b/>
          <w:sz w:val="28"/>
          <w:szCs w:val="28"/>
          <w:highlight w:val="none"/>
        </w:rPr>
      </w:pPr>
    </w:p>
    <w:p w14:paraId="4194B74A">
      <w:pPr>
        <w:pStyle w:val="21"/>
        <w:ind w:firstLine="843" w:firstLineChars="300"/>
        <w:rPr>
          <w:rFonts w:hint="eastAsia" w:ascii="宋体" w:hAnsi="宋体" w:eastAsia="宋体" w:cs="宋体"/>
          <w:b/>
          <w:sz w:val="28"/>
          <w:szCs w:val="28"/>
          <w:highlight w:val="none"/>
        </w:rPr>
      </w:pPr>
    </w:p>
    <w:p w14:paraId="3244C290">
      <w:pPr>
        <w:pStyle w:val="21"/>
        <w:ind w:firstLine="843" w:firstLineChars="300"/>
        <w:rPr>
          <w:rFonts w:hint="eastAsia" w:ascii="宋体" w:hAnsi="宋体" w:eastAsia="宋体" w:cs="宋体"/>
          <w:b/>
          <w:sz w:val="28"/>
          <w:szCs w:val="28"/>
          <w:highlight w:val="none"/>
        </w:rPr>
      </w:pPr>
    </w:p>
    <w:p w14:paraId="1CB68EEB">
      <w:pPr>
        <w:pStyle w:val="21"/>
        <w:ind w:firstLine="843" w:firstLineChars="300"/>
        <w:rPr>
          <w:rFonts w:hint="eastAsia" w:ascii="宋体" w:hAnsi="宋体" w:eastAsia="宋体" w:cs="宋体"/>
          <w:b/>
          <w:sz w:val="28"/>
          <w:szCs w:val="28"/>
          <w:highlight w:val="none"/>
        </w:rPr>
      </w:pPr>
    </w:p>
    <w:p w14:paraId="7F540884">
      <w:pPr>
        <w:pStyle w:val="21"/>
        <w:ind w:firstLine="843" w:firstLineChars="300"/>
        <w:rPr>
          <w:rFonts w:hint="eastAsia" w:ascii="宋体" w:hAnsi="宋体" w:eastAsia="宋体" w:cs="宋体"/>
          <w:b/>
          <w:sz w:val="28"/>
          <w:szCs w:val="28"/>
          <w:highlight w:val="none"/>
        </w:rPr>
      </w:pPr>
    </w:p>
    <w:p w14:paraId="33402EAD">
      <w:pPr>
        <w:pStyle w:val="21"/>
        <w:spacing w:line="360" w:lineRule="auto"/>
        <w:ind w:firstLine="3117" w:firstLineChars="1109"/>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投标人名称：</w:t>
      </w:r>
    </w:p>
    <w:p w14:paraId="3130CD7C">
      <w:pPr>
        <w:autoSpaceDE w:val="0"/>
        <w:autoSpaceDN w:val="0"/>
        <w:spacing w:line="240" w:lineRule="atLeast"/>
        <w:ind w:firstLine="3117" w:firstLineChars="1109"/>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日期：  年   月   日</w:t>
      </w:r>
    </w:p>
    <w:p w14:paraId="53078CA3">
      <w:pPr>
        <w:jc w:val="center"/>
        <w:rPr>
          <w:rFonts w:hint="eastAsia" w:ascii="宋体" w:hAnsi="宋体" w:eastAsia="宋体" w:cs="宋体"/>
          <w:b/>
          <w:sz w:val="32"/>
          <w:szCs w:val="32"/>
          <w:highlight w:val="none"/>
        </w:rPr>
      </w:pPr>
      <w:bookmarkStart w:id="7" w:name="_Toc202816995"/>
      <w:bookmarkStart w:id="8" w:name="_Toc202251074"/>
      <w:bookmarkStart w:id="9" w:name="_Toc202252033"/>
      <w:bookmarkStart w:id="10" w:name="_Toc202254104"/>
      <w:bookmarkStart w:id="11" w:name="_Toc202819877"/>
      <w:bookmarkStart w:id="12" w:name="_Toc202820350"/>
      <w:bookmarkStart w:id="13" w:name="_Toc202251699"/>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一、自查表</w:t>
      </w:r>
      <w:bookmarkEnd w:id="7"/>
      <w:bookmarkEnd w:id="8"/>
      <w:bookmarkEnd w:id="9"/>
      <w:bookmarkEnd w:id="10"/>
      <w:bookmarkEnd w:id="11"/>
      <w:bookmarkEnd w:id="12"/>
      <w:bookmarkEnd w:id="13"/>
    </w:p>
    <w:p w14:paraId="7B81519D">
      <w:pPr>
        <w:rPr>
          <w:rFonts w:hint="eastAsia" w:ascii="宋体" w:hAnsi="宋体" w:eastAsia="宋体" w:cs="宋体"/>
          <w:b/>
          <w:bCs/>
          <w:sz w:val="24"/>
          <w:highlight w:val="none"/>
        </w:rPr>
      </w:pPr>
      <w:r>
        <w:rPr>
          <w:rFonts w:hint="eastAsia" w:ascii="宋体" w:hAnsi="宋体" w:eastAsia="宋体" w:cs="宋体"/>
          <w:b/>
          <w:bCs/>
          <w:sz w:val="24"/>
          <w:highlight w:val="none"/>
        </w:rPr>
        <w:t>1.1资格性/符合性自查表(该表适用于纸质投标文件)</w:t>
      </w:r>
    </w:p>
    <w:tbl>
      <w:tblPr>
        <w:tblStyle w:val="43"/>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4544"/>
        <w:gridCol w:w="1158"/>
        <w:gridCol w:w="2112"/>
      </w:tblGrid>
      <w:tr w14:paraId="0EBA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5C4378CA">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评审内容</w:t>
            </w:r>
          </w:p>
        </w:tc>
        <w:tc>
          <w:tcPr>
            <w:tcW w:w="4544" w:type="dxa"/>
            <w:noWrap w:val="0"/>
            <w:vAlign w:val="center"/>
          </w:tcPr>
          <w:p w14:paraId="172A352C">
            <w:pPr>
              <w:ind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158" w:type="dxa"/>
            <w:noWrap w:val="0"/>
            <w:vAlign w:val="center"/>
          </w:tcPr>
          <w:p w14:paraId="5C3811B0">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112" w:type="dxa"/>
            <w:noWrap w:val="0"/>
            <w:vAlign w:val="center"/>
          </w:tcPr>
          <w:p w14:paraId="2566AB8A">
            <w:pPr>
              <w:ind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6A1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497CFB4D">
            <w:pPr>
              <w:rPr>
                <w:rFonts w:hint="eastAsia" w:ascii="宋体" w:hAnsi="宋体" w:eastAsia="宋体" w:cs="宋体"/>
                <w:szCs w:val="21"/>
                <w:highlight w:val="none"/>
              </w:rPr>
            </w:pPr>
            <w:r>
              <w:rPr>
                <w:rFonts w:hint="eastAsia" w:ascii="宋体" w:hAnsi="宋体" w:eastAsia="宋体" w:cs="宋体"/>
                <w:kern w:val="0"/>
                <w:szCs w:val="21"/>
                <w:highlight w:val="none"/>
              </w:rPr>
              <w:t>投标报价</w:t>
            </w:r>
          </w:p>
        </w:tc>
        <w:tc>
          <w:tcPr>
            <w:tcW w:w="4544" w:type="dxa"/>
            <w:noWrap w:val="0"/>
            <w:vAlign w:val="top"/>
          </w:tcPr>
          <w:p w14:paraId="76998C36">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b w:val="0"/>
                <w:bCs w:val="0"/>
                <w:kern w:val="0"/>
                <w:szCs w:val="21"/>
                <w:highlight w:val="none"/>
              </w:rPr>
              <w:t>①</w:t>
            </w:r>
            <w:r>
              <w:rPr>
                <w:rFonts w:hint="eastAsia" w:ascii="宋体" w:hAnsi="宋体" w:eastAsia="宋体" w:cs="宋体"/>
                <w:b w:val="0"/>
                <w:bCs w:val="0"/>
                <w:kern w:val="0"/>
                <w:szCs w:val="21"/>
                <w:highlight w:val="none"/>
                <w:lang w:val="en-US" w:eastAsia="zh-CN"/>
              </w:rPr>
              <w:t>投</w:t>
            </w:r>
            <w:r>
              <w:rPr>
                <w:rFonts w:hint="eastAsia" w:ascii="宋体" w:hAnsi="宋体" w:eastAsia="宋体" w:cs="宋体"/>
                <w:b w:val="0"/>
                <w:bCs w:val="0"/>
                <w:kern w:val="0"/>
                <w:szCs w:val="21"/>
                <w:highlight w:val="none"/>
              </w:rPr>
              <w:t>标报价是唯一确定的</w:t>
            </w:r>
          </w:p>
        </w:tc>
        <w:tc>
          <w:tcPr>
            <w:tcW w:w="1158" w:type="dxa"/>
            <w:noWrap w:val="0"/>
            <w:vAlign w:val="center"/>
          </w:tcPr>
          <w:p w14:paraId="1EC08617">
            <w:pPr>
              <w:rPr>
                <w:rFonts w:hint="eastAsia" w:ascii="宋体" w:hAnsi="宋体" w:eastAsia="宋体" w:cs="宋体"/>
                <w:szCs w:val="21"/>
                <w:highlight w:val="none"/>
              </w:rPr>
            </w:pPr>
            <w:r>
              <w:rPr>
                <w:rFonts w:hint="eastAsia" w:ascii="宋体" w:hAnsi="宋体" w:eastAsia="宋体" w:cs="宋体"/>
                <w:szCs w:val="21"/>
                <w:highlight w:val="none"/>
              </w:rPr>
              <w:t>□通过</w:t>
            </w:r>
          </w:p>
          <w:p w14:paraId="127BC4C0">
            <w:pPr>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112" w:type="dxa"/>
            <w:noWrap w:val="0"/>
            <w:vAlign w:val="center"/>
          </w:tcPr>
          <w:p w14:paraId="3596AF58">
            <w:pPr>
              <w:ind w:right="-178" w:rightChars="-85"/>
              <w:jc w:val="center"/>
              <w:rPr>
                <w:rFonts w:hint="eastAsia" w:ascii="宋体" w:hAnsi="宋体" w:eastAsia="宋体" w:cs="宋体"/>
                <w:szCs w:val="21"/>
                <w:highlight w:val="none"/>
              </w:rPr>
            </w:pPr>
            <w:r>
              <w:rPr>
                <w:rFonts w:hint="eastAsia" w:ascii="宋体" w:hAnsi="宋体" w:eastAsia="宋体" w:cs="宋体"/>
                <w:szCs w:val="21"/>
                <w:highlight w:val="none"/>
              </w:rPr>
              <w:t>/</w:t>
            </w:r>
          </w:p>
        </w:tc>
      </w:tr>
      <w:tr w14:paraId="010B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49794613">
            <w:pPr>
              <w:rPr>
                <w:rFonts w:hint="eastAsia" w:ascii="宋体" w:hAnsi="宋体" w:eastAsia="宋体" w:cs="宋体"/>
                <w:szCs w:val="21"/>
                <w:highlight w:val="none"/>
              </w:rPr>
            </w:pPr>
            <w:r>
              <w:rPr>
                <w:rFonts w:hint="eastAsia" w:ascii="宋体" w:hAnsi="宋体" w:eastAsia="宋体" w:cs="宋体"/>
                <w:szCs w:val="21"/>
                <w:highlight w:val="none"/>
              </w:rPr>
              <w:t>准入条件</w:t>
            </w:r>
          </w:p>
        </w:tc>
        <w:tc>
          <w:tcPr>
            <w:tcW w:w="4544" w:type="dxa"/>
            <w:noWrap w:val="0"/>
            <w:vAlign w:val="top"/>
          </w:tcPr>
          <w:p w14:paraId="1E7D87A0">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准入条件：</w:t>
            </w:r>
          </w:p>
          <w:p w14:paraId="234D1CE3">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（1）提供《投标函》，投标有效期为自提交投标文件的截止之日起90日</w:t>
            </w:r>
          </w:p>
          <w:p w14:paraId="5A067AE2">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rPr>
              <w:t>（2）提供《关于资格的声明函》</w:t>
            </w:r>
          </w:p>
          <w:p w14:paraId="2FFD0230">
            <w:pPr>
              <w:autoSpaceDE w:val="0"/>
              <w:autoSpaceDN w:val="0"/>
              <w:adjustRightInd w:val="0"/>
              <w:snapToGri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投标人必须是来自中华人民共和国（以下简称“合格来源国”）的法人或其他组织。</w:t>
            </w:r>
          </w:p>
          <w:p w14:paraId="305A5BAB">
            <w:pPr>
              <w:autoSpaceDE w:val="0"/>
              <w:autoSpaceDN w:val="0"/>
              <w:adjustRightInd w:val="0"/>
              <w:snapToGri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4</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投标人只允许为独立法人或其他组织，不接受联合体投标。</w:t>
            </w:r>
          </w:p>
          <w:p w14:paraId="1B7A2974">
            <w:pPr>
              <w:autoSpaceDE w:val="0"/>
              <w:autoSpaceDN w:val="0"/>
              <w:adjustRightInd w:val="0"/>
              <w:snapToGrid w:val="0"/>
              <w:rPr>
                <w:rFonts w:hint="eastAsia" w:ascii="宋体" w:hAnsi="宋体" w:eastAsia="宋体" w:cs="宋体"/>
                <w:kern w:val="0"/>
                <w:szCs w:val="21"/>
                <w:highlight w:val="none"/>
                <w:lang w:val="zh-CN" w:eastAsia="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投标人须具有有效的《食品经营许可证》或者经市场监督管理部门批准的食品经营许可文件。</w:t>
            </w:r>
          </w:p>
          <w:p w14:paraId="61862809">
            <w:pPr>
              <w:autoSpaceDE w:val="0"/>
              <w:autoSpaceDN w:val="0"/>
              <w:adjustRightInd w:val="0"/>
              <w:snapToGri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单位负责人为同一人或者存在控股、管理关系的不同单位，不得参加同一招标项目包投标。(投标人出具声明函)。</w:t>
            </w:r>
          </w:p>
          <w:p w14:paraId="3A0B2FF5">
            <w:pPr>
              <w:autoSpaceDE w:val="0"/>
              <w:autoSpaceDN w:val="0"/>
              <w:adjustRightInd w:val="0"/>
              <w:snapToGri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7</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为</w:t>
            </w:r>
            <w:r>
              <w:rPr>
                <w:rFonts w:hint="eastAsia" w:ascii="宋体" w:hAnsi="宋体" w:eastAsia="宋体" w:cs="宋体"/>
                <w:kern w:val="0"/>
                <w:szCs w:val="21"/>
                <w:highlight w:val="none"/>
                <w:lang w:val="zh-CN" w:eastAsia="zh-CN"/>
              </w:rPr>
              <w:t>本</w:t>
            </w:r>
            <w:r>
              <w:rPr>
                <w:rFonts w:hint="eastAsia" w:ascii="宋体" w:hAnsi="宋体" w:eastAsia="宋体" w:cs="宋体"/>
                <w:kern w:val="0"/>
                <w:szCs w:val="21"/>
                <w:highlight w:val="none"/>
                <w:lang w:val="zh-CN"/>
              </w:rPr>
              <w:t>项目提供整体设计、规范编制或者项目管理、监理、检测等服务的投标人，不得再参加</w:t>
            </w:r>
            <w:r>
              <w:rPr>
                <w:rFonts w:hint="eastAsia" w:ascii="宋体" w:hAnsi="宋体" w:eastAsia="宋体" w:cs="宋体"/>
                <w:kern w:val="0"/>
                <w:szCs w:val="21"/>
                <w:highlight w:val="none"/>
                <w:lang w:val="zh-CN" w:eastAsia="zh-CN"/>
              </w:rPr>
              <w:t>本</w:t>
            </w:r>
            <w:r>
              <w:rPr>
                <w:rFonts w:hint="eastAsia" w:ascii="宋体" w:hAnsi="宋体" w:eastAsia="宋体" w:cs="宋体"/>
                <w:kern w:val="0"/>
                <w:szCs w:val="21"/>
                <w:highlight w:val="none"/>
                <w:lang w:val="zh-CN"/>
              </w:rPr>
              <w:t>项目的其他采购活动(投标人出具声明函)。</w:t>
            </w:r>
          </w:p>
          <w:p w14:paraId="2EA4E647">
            <w:pPr>
              <w:autoSpaceDE w:val="0"/>
              <w:autoSpaceDN w:val="0"/>
              <w:adjustRightInd w:val="0"/>
              <w:snapToGrid w:val="0"/>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投标人没有被列入失信被执行人、重大税收违法案件当事人名单（即税收违法黑名单）、政府采购严重违法失信行为记录名单及其他不符合规定条件的投标人。[根据信用中国网站（www.creditchina.gov.cn）、中国政府采购网（www.ccgp.gov.cn）主体信用记录信息进行查询]。</w:t>
            </w:r>
          </w:p>
          <w:p w14:paraId="68695299">
            <w:pPr>
              <w:autoSpaceDE w:val="0"/>
              <w:autoSpaceDN w:val="0"/>
              <w:adjustRightInd w:val="0"/>
              <w:snapToGrid w:val="0"/>
              <w:rPr>
                <w:rFonts w:hint="eastAsia" w:ascii="宋体" w:hAnsi="宋体" w:eastAsia="宋体" w:cs="宋体"/>
                <w:kern w:val="0"/>
                <w:szCs w:val="21"/>
                <w:highlight w:val="none"/>
                <w:lang w:val="zh-CN" w:eastAsia="zh-CN"/>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9</w:t>
            </w:r>
            <w:r>
              <w:rPr>
                <w:rFonts w:hint="eastAsia" w:ascii="宋体" w:hAnsi="宋体" w:eastAsia="宋体" w:cs="宋体"/>
                <w:kern w:val="0"/>
                <w:szCs w:val="21"/>
                <w:highlight w:val="none"/>
                <w:lang w:val="zh-CN" w:eastAsia="zh-CN"/>
              </w:rPr>
              <w:t>）本项目不允许转包。如合同有约定，可以对本项目的部分非主体、非关键性工作进行分包,投标人应当就分包项目向招标人负责。</w:t>
            </w:r>
          </w:p>
          <w:p w14:paraId="571C220C">
            <w:pPr>
              <w:autoSpaceDE w:val="0"/>
              <w:autoSpaceDN w:val="0"/>
              <w:adjustRightInd w:val="0"/>
              <w:snapToGrid w:val="0"/>
              <w:rPr>
                <w:rFonts w:hint="eastAsia" w:ascii="宋体" w:hAnsi="宋体" w:eastAsia="宋体" w:cs="宋体"/>
                <w:kern w:val="0"/>
                <w:szCs w:val="21"/>
                <w:highlight w:val="none"/>
              </w:rPr>
            </w:pP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en-US" w:eastAsia="zh-CN"/>
              </w:rPr>
              <w:t>10</w:t>
            </w:r>
            <w:r>
              <w:rPr>
                <w:rFonts w:hint="eastAsia" w:ascii="宋体" w:hAnsi="宋体" w:eastAsia="宋体" w:cs="宋体"/>
                <w:kern w:val="0"/>
                <w:szCs w:val="21"/>
                <w:highlight w:val="none"/>
                <w:lang w:val="zh-CN" w:eastAsia="zh-CN"/>
              </w:rPr>
              <w:t>）</w:t>
            </w:r>
            <w:r>
              <w:rPr>
                <w:rFonts w:hint="eastAsia" w:ascii="宋体" w:hAnsi="宋体" w:eastAsia="宋体" w:cs="宋体"/>
                <w:kern w:val="0"/>
                <w:szCs w:val="21"/>
                <w:highlight w:val="none"/>
                <w:lang w:val="zh-CN"/>
              </w:rPr>
              <w:t xml:space="preserve">已领购本次招标文件。 </w:t>
            </w:r>
          </w:p>
        </w:tc>
        <w:tc>
          <w:tcPr>
            <w:tcW w:w="1158" w:type="dxa"/>
            <w:noWrap w:val="0"/>
            <w:vAlign w:val="center"/>
          </w:tcPr>
          <w:p w14:paraId="716E4CAB">
            <w:pPr>
              <w:ind w:left="36" w:leftChars="17"/>
              <w:rPr>
                <w:rFonts w:hint="eastAsia" w:ascii="宋体" w:hAnsi="宋体" w:eastAsia="宋体" w:cs="宋体"/>
                <w:szCs w:val="21"/>
                <w:highlight w:val="none"/>
              </w:rPr>
            </w:pPr>
            <w:r>
              <w:rPr>
                <w:rFonts w:hint="eastAsia" w:ascii="宋体" w:hAnsi="宋体" w:eastAsia="宋体" w:cs="宋体"/>
                <w:szCs w:val="21"/>
                <w:highlight w:val="none"/>
              </w:rPr>
              <w:t>□通过</w:t>
            </w:r>
          </w:p>
          <w:p w14:paraId="5E726E50">
            <w:pPr>
              <w:ind w:left="36" w:leftChars="17"/>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112" w:type="dxa"/>
            <w:noWrap w:val="0"/>
            <w:vAlign w:val="center"/>
          </w:tcPr>
          <w:p w14:paraId="0CC5EB09">
            <w:pPr>
              <w:ind w:right="-178" w:rightChars="-85"/>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9B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67D87A2B">
            <w:pPr>
              <w:rPr>
                <w:rFonts w:hint="eastAsia" w:ascii="宋体" w:hAnsi="宋体" w:eastAsia="宋体" w:cs="宋体"/>
                <w:szCs w:val="21"/>
                <w:highlight w:val="none"/>
              </w:rPr>
            </w:pPr>
            <w:r>
              <w:rPr>
                <w:rFonts w:hint="eastAsia" w:ascii="宋体" w:hAnsi="宋体" w:eastAsia="宋体" w:cs="宋体"/>
                <w:szCs w:val="21"/>
                <w:highlight w:val="none"/>
              </w:rPr>
              <w:t>法定代表人资格证明书及授权委托书</w:t>
            </w:r>
          </w:p>
        </w:tc>
        <w:tc>
          <w:tcPr>
            <w:tcW w:w="4544" w:type="dxa"/>
            <w:noWrap w:val="0"/>
            <w:vAlign w:val="top"/>
          </w:tcPr>
          <w:p w14:paraId="4F14E565">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kern w:val="0"/>
                <w:szCs w:val="21"/>
                <w:highlight w:val="none"/>
              </w:rPr>
              <w:t>提供法定代表人资格证明书及法定代表人授权委托书(原件)</w:t>
            </w:r>
          </w:p>
        </w:tc>
        <w:tc>
          <w:tcPr>
            <w:tcW w:w="1158" w:type="dxa"/>
            <w:noWrap w:val="0"/>
            <w:vAlign w:val="center"/>
          </w:tcPr>
          <w:p w14:paraId="539C68D7">
            <w:pPr>
              <w:ind w:left="36" w:leftChars="17"/>
              <w:rPr>
                <w:rFonts w:hint="eastAsia" w:ascii="宋体" w:hAnsi="宋体" w:eastAsia="宋体" w:cs="宋体"/>
                <w:szCs w:val="21"/>
                <w:highlight w:val="none"/>
              </w:rPr>
            </w:pPr>
            <w:r>
              <w:rPr>
                <w:rFonts w:hint="eastAsia" w:ascii="宋体" w:hAnsi="宋体" w:eastAsia="宋体" w:cs="宋体"/>
                <w:szCs w:val="21"/>
                <w:highlight w:val="none"/>
              </w:rPr>
              <w:t>□通过</w:t>
            </w:r>
          </w:p>
          <w:p w14:paraId="52875AD5">
            <w:pPr>
              <w:ind w:left="36" w:leftChars="17"/>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112" w:type="dxa"/>
            <w:noWrap w:val="0"/>
            <w:vAlign w:val="center"/>
          </w:tcPr>
          <w:p w14:paraId="276846E6">
            <w:pPr>
              <w:ind w:right="-178" w:rightChars="-85"/>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0D7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45DF866C">
            <w:pPr>
              <w:rPr>
                <w:rFonts w:hint="eastAsia" w:ascii="宋体" w:hAnsi="宋体" w:eastAsia="宋体" w:cs="宋体"/>
                <w:szCs w:val="21"/>
                <w:highlight w:val="none"/>
              </w:rPr>
            </w:pPr>
            <w:r>
              <w:rPr>
                <w:rFonts w:hint="eastAsia" w:ascii="宋体" w:hAnsi="宋体" w:eastAsia="宋体" w:cs="宋体"/>
                <w:szCs w:val="21"/>
                <w:highlight w:val="none"/>
              </w:rPr>
              <w:t>投标文件签署、盖章</w:t>
            </w:r>
          </w:p>
        </w:tc>
        <w:tc>
          <w:tcPr>
            <w:tcW w:w="4544" w:type="dxa"/>
            <w:noWrap w:val="0"/>
            <w:vAlign w:val="top"/>
          </w:tcPr>
          <w:p w14:paraId="7AF800D1">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kern w:val="0"/>
                <w:szCs w:val="21"/>
                <w:highlight w:val="none"/>
              </w:rPr>
              <w:t>按照招标文件规定要求签署、盖章</w:t>
            </w:r>
          </w:p>
        </w:tc>
        <w:tc>
          <w:tcPr>
            <w:tcW w:w="1158" w:type="dxa"/>
            <w:noWrap w:val="0"/>
            <w:vAlign w:val="center"/>
          </w:tcPr>
          <w:p w14:paraId="640E4B53">
            <w:pPr>
              <w:ind w:left="40" w:leftChars="19"/>
              <w:rPr>
                <w:rFonts w:hint="eastAsia" w:ascii="宋体" w:hAnsi="宋体" w:eastAsia="宋体" w:cs="宋体"/>
                <w:szCs w:val="21"/>
                <w:highlight w:val="none"/>
              </w:rPr>
            </w:pPr>
            <w:r>
              <w:rPr>
                <w:rFonts w:hint="eastAsia" w:ascii="宋体" w:hAnsi="宋体" w:eastAsia="宋体" w:cs="宋体"/>
                <w:szCs w:val="21"/>
                <w:highlight w:val="none"/>
              </w:rPr>
              <w:t>□通过</w:t>
            </w:r>
          </w:p>
          <w:p w14:paraId="08C4C9CF">
            <w:pPr>
              <w:ind w:left="40" w:leftChars="19"/>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112" w:type="dxa"/>
            <w:noWrap w:val="0"/>
            <w:vAlign w:val="center"/>
          </w:tcPr>
          <w:p w14:paraId="3DCF48C5">
            <w:pPr>
              <w:ind w:left="40" w:leftChars="19"/>
              <w:rPr>
                <w:rFonts w:hint="eastAsia" w:ascii="宋体" w:hAnsi="宋体" w:eastAsia="宋体" w:cs="宋体"/>
                <w:szCs w:val="21"/>
                <w:highlight w:val="none"/>
              </w:rPr>
            </w:pPr>
            <w:r>
              <w:rPr>
                <w:rFonts w:hint="eastAsia" w:ascii="宋体" w:hAnsi="宋体" w:eastAsia="宋体" w:cs="宋体"/>
                <w:szCs w:val="21"/>
                <w:highlight w:val="none"/>
              </w:rPr>
              <w:t>/</w:t>
            </w:r>
          </w:p>
        </w:tc>
      </w:tr>
      <w:tr w14:paraId="6F7E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42BD38FB">
            <w:pPr>
              <w:tabs>
                <w:tab w:val="left" w:pos="2880"/>
              </w:tabs>
              <w:rPr>
                <w:rFonts w:hint="eastAsia" w:ascii="宋体" w:hAnsi="宋体" w:eastAsia="宋体" w:cs="宋体"/>
                <w:szCs w:val="21"/>
                <w:highlight w:val="none"/>
              </w:rPr>
            </w:pPr>
            <w:r>
              <w:rPr>
                <w:rFonts w:hint="eastAsia" w:ascii="宋体" w:hAnsi="宋体" w:eastAsia="宋体" w:cs="宋体"/>
                <w:szCs w:val="21"/>
                <w:highlight w:val="none"/>
              </w:rPr>
              <w:t>实质性响应招标文件中“★”号条款的技术、商务要求</w:t>
            </w:r>
          </w:p>
        </w:tc>
        <w:tc>
          <w:tcPr>
            <w:tcW w:w="4544" w:type="dxa"/>
            <w:noWrap w:val="0"/>
            <w:vAlign w:val="top"/>
          </w:tcPr>
          <w:p w14:paraId="049636F0">
            <w:pPr>
              <w:autoSpaceDE w:val="0"/>
              <w:autoSpaceDN w:val="0"/>
              <w:adjustRightInd w:val="0"/>
              <w:snapToGrid w:val="0"/>
              <w:rPr>
                <w:rFonts w:hint="eastAsia" w:ascii="宋体" w:hAnsi="宋体" w:eastAsia="宋体" w:cs="宋体"/>
                <w:kern w:val="2"/>
                <w:sz w:val="21"/>
                <w:szCs w:val="21"/>
                <w:highlight w:val="none"/>
              </w:rPr>
            </w:pPr>
            <w:r>
              <w:rPr>
                <w:rFonts w:hint="eastAsia" w:ascii="宋体" w:hAnsi="宋体" w:eastAsia="宋体" w:cs="宋体"/>
                <w:kern w:val="0"/>
                <w:szCs w:val="21"/>
                <w:highlight w:val="none"/>
              </w:rPr>
              <w:t>投标文件对招标文件的实质性技术与商务的（即标注★号条款）条款不产生偏离（投标文件中技术参数、功能或其他内容优于招标要求部分不视作偏离）</w:t>
            </w:r>
          </w:p>
        </w:tc>
        <w:tc>
          <w:tcPr>
            <w:tcW w:w="1158" w:type="dxa"/>
            <w:noWrap w:val="0"/>
            <w:vAlign w:val="center"/>
          </w:tcPr>
          <w:p w14:paraId="33584B3E">
            <w:pPr>
              <w:ind w:left="40" w:leftChars="19"/>
              <w:rPr>
                <w:rFonts w:hint="eastAsia" w:ascii="宋体" w:hAnsi="宋体" w:eastAsia="宋体" w:cs="宋体"/>
                <w:szCs w:val="21"/>
                <w:highlight w:val="none"/>
              </w:rPr>
            </w:pPr>
            <w:r>
              <w:rPr>
                <w:rFonts w:hint="eastAsia" w:ascii="宋体" w:hAnsi="宋体" w:eastAsia="宋体" w:cs="宋体"/>
                <w:szCs w:val="21"/>
                <w:highlight w:val="none"/>
              </w:rPr>
              <w:t>□通过</w:t>
            </w:r>
          </w:p>
          <w:p w14:paraId="692BFD7F">
            <w:pPr>
              <w:pStyle w:val="16"/>
              <w:spacing w:line="360" w:lineRule="exact"/>
              <w:ind w:left="36" w:leftChars="17"/>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□不通过</w:t>
            </w:r>
          </w:p>
        </w:tc>
        <w:tc>
          <w:tcPr>
            <w:tcW w:w="2112" w:type="dxa"/>
            <w:noWrap w:val="0"/>
            <w:vAlign w:val="center"/>
          </w:tcPr>
          <w:p w14:paraId="62066360">
            <w:pPr>
              <w:pStyle w:val="16"/>
              <w:spacing w:line="360" w:lineRule="exac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见投标文件第( )页</w:t>
            </w:r>
          </w:p>
        </w:tc>
      </w:tr>
      <w:tr w14:paraId="1A0D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1E996D5D">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其它</w:t>
            </w:r>
          </w:p>
        </w:tc>
        <w:tc>
          <w:tcPr>
            <w:tcW w:w="4544" w:type="dxa"/>
            <w:noWrap w:val="0"/>
            <w:vAlign w:val="center"/>
          </w:tcPr>
          <w:p w14:paraId="09DA78AC">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kern w:val="0"/>
                <w:szCs w:val="21"/>
                <w:highlight w:val="none"/>
              </w:rPr>
              <w:t>符</w:t>
            </w:r>
            <w:r>
              <w:rPr>
                <w:rFonts w:hint="eastAsia" w:ascii="宋体" w:hAnsi="宋体" w:eastAsia="宋体" w:cs="宋体"/>
                <w:szCs w:val="21"/>
                <w:highlight w:val="none"/>
              </w:rPr>
              <w:t>合招标文件中规定的其他实质性要求</w:t>
            </w:r>
          </w:p>
        </w:tc>
        <w:tc>
          <w:tcPr>
            <w:tcW w:w="1158" w:type="dxa"/>
            <w:noWrap w:val="0"/>
            <w:vAlign w:val="center"/>
          </w:tcPr>
          <w:p w14:paraId="0F22E70E">
            <w:pPr>
              <w:ind w:left="40" w:leftChars="19"/>
              <w:rPr>
                <w:rFonts w:hint="eastAsia" w:ascii="宋体" w:hAnsi="宋体" w:eastAsia="宋体" w:cs="宋体"/>
                <w:szCs w:val="21"/>
                <w:highlight w:val="none"/>
              </w:rPr>
            </w:pPr>
            <w:r>
              <w:rPr>
                <w:rFonts w:hint="eastAsia" w:ascii="宋体" w:hAnsi="宋体" w:eastAsia="宋体" w:cs="宋体"/>
                <w:szCs w:val="21"/>
                <w:highlight w:val="none"/>
              </w:rPr>
              <w:t>□通过</w:t>
            </w:r>
          </w:p>
          <w:p w14:paraId="029775C1">
            <w:pPr>
              <w:pStyle w:val="16"/>
              <w:spacing w:line="360" w:lineRule="exact"/>
              <w:ind w:left="36" w:leftChars="17"/>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□不通过</w:t>
            </w:r>
          </w:p>
        </w:tc>
        <w:tc>
          <w:tcPr>
            <w:tcW w:w="2112" w:type="dxa"/>
            <w:noWrap w:val="0"/>
            <w:vAlign w:val="center"/>
          </w:tcPr>
          <w:p w14:paraId="3338B341">
            <w:pPr>
              <w:pStyle w:val="16"/>
              <w:spacing w:line="360" w:lineRule="exac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见投标文件第( )页</w:t>
            </w:r>
          </w:p>
        </w:tc>
      </w:tr>
    </w:tbl>
    <w:p w14:paraId="6D31F985">
      <w:pPr>
        <w:pStyle w:val="16"/>
        <w:rPr>
          <w:rFonts w:hint="eastAsia" w:ascii="宋体" w:hAnsi="宋体" w:eastAsia="宋体" w:cs="宋体"/>
          <w:sz w:val="24"/>
          <w:szCs w:val="24"/>
          <w:highlight w:val="none"/>
        </w:rPr>
      </w:pPr>
      <w:r>
        <w:rPr>
          <w:rFonts w:hint="eastAsia" w:ascii="宋体" w:hAnsi="宋体" w:eastAsia="宋体" w:cs="宋体"/>
          <w:sz w:val="24"/>
          <w:szCs w:val="24"/>
          <w:highlight w:val="none"/>
        </w:rPr>
        <w:t>注：以上材料将作为投标人合格性和有效性审核的重要内容之一，投标人必须严格按照其内容及序列要求在投标文件中对应如实提供，对缺漏和不符合项将会直接导致无效投标！在对应的□打“√”。</w:t>
      </w:r>
    </w:p>
    <w:p w14:paraId="4A8C0D2D">
      <w:pPr>
        <w:adjustRightInd w:val="0"/>
        <w:snapToGrid w:val="0"/>
        <w:rPr>
          <w:rFonts w:hint="eastAsia" w:ascii="宋体" w:hAnsi="宋体" w:eastAsia="宋体" w:cs="宋体"/>
          <w:sz w:val="24"/>
          <w:highlight w:val="none"/>
          <w:u w:val="single"/>
        </w:rPr>
      </w:pPr>
      <w:r>
        <w:rPr>
          <w:rFonts w:hint="eastAsia" w:ascii="宋体" w:hAnsi="宋体" w:eastAsia="宋体" w:cs="宋体"/>
          <w:sz w:val="24"/>
          <w:highlight w:val="none"/>
        </w:rPr>
        <w:t>投标人法定代表人（或法定代表人授权代表）签字：</w:t>
      </w:r>
    </w:p>
    <w:p w14:paraId="112C8E27">
      <w:pPr>
        <w:adjustRightInd w:val="0"/>
        <w:snapToGrid w:val="0"/>
        <w:rPr>
          <w:rFonts w:hint="eastAsia" w:ascii="宋体" w:hAnsi="宋体" w:eastAsia="宋体" w:cs="宋体"/>
          <w:sz w:val="24"/>
          <w:highlight w:val="none"/>
          <w:u w:val="single"/>
        </w:rPr>
      </w:pPr>
      <w:r>
        <w:rPr>
          <w:rFonts w:hint="eastAsia" w:ascii="宋体" w:hAnsi="宋体" w:eastAsia="宋体" w:cs="宋体"/>
          <w:sz w:val="24"/>
          <w:highlight w:val="none"/>
        </w:rPr>
        <w:t>投标人名称（加盖公章）：</w:t>
      </w:r>
    </w:p>
    <w:p w14:paraId="754ED939">
      <w:pPr>
        <w:adjustRightInd w:val="0"/>
        <w:snapToGrid w:val="0"/>
        <w:rPr>
          <w:rFonts w:hint="eastAsia" w:ascii="宋体" w:hAnsi="宋体" w:eastAsia="宋体" w:cs="宋体"/>
          <w:b/>
          <w:bCs/>
          <w:sz w:val="28"/>
          <w:highlight w:val="none"/>
        </w:rPr>
      </w:pPr>
      <w:r>
        <w:rPr>
          <w:rFonts w:hint="eastAsia" w:ascii="宋体" w:hAnsi="宋体" w:eastAsia="宋体" w:cs="宋体"/>
          <w:sz w:val="24"/>
          <w:highlight w:val="none"/>
        </w:rPr>
        <w:t>日期：   年   月   日</w:t>
      </w:r>
    </w:p>
    <w:p w14:paraId="1929E346">
      <w:pPr>
        <w:rPr>
          <w:rFonts w:hint="eastAsia" w:ascii="宋体" w:hAnsi="宋体" w:eastAsia="宋体" w:cs="宋体"/>
          <w:b/>
          <w:bCs/>
          <w:sz w:val="24"/>
          <w:highlight w:val="none"/>
        </w:rPr>
      </w:pPr>
      <w:r>
        <w:rPr>
          <w:rFonts w:hint="eastAsia" w:ascii="宋体" w:hAnsi="宋体" w:eastAsia="宋体" w:cs="宋体"/>
          <w:b/>
          <w:bCs/>
          <w:sz w:val="28"/>
          <w:highlight w:val="none"/>
        </w:rPr>
        <w:br w:type="page"/>
      </w:r>
      <w:r>
        <w:rPr>
          <w:rFonts w:hint="eastAsia" w:ascii="宋体" w:hAnsi="宋体" w:eastAsia="宋体" w:cs="宋体"/>
          <w:b/>
          <w:bCs/>
          <w:sz w:val="24"/>
          <w:highlight w:val="none"/>
        </w:rPr>
        <w:t xml:space="preserve">1.2评审项目投标资料表(该表适用于纸质投标文件)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7C7D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noWrap w:val="0"/>
            <w:vAlign w:val="center"/>
          </w:tcPr>
          <w:p w14:paraId="0CE12B00">
            <w:pPr>
              <w:pStyle w:val="145"/>
              <w:adjustRightInd/>
              <w:spacing w:before="0" w:after="0" w:line="240" w:lineRule="auto"/>
              <w:textAlignment w:val="auto"/>
              <w:rPr>
                <w:rFonts w:hint="eastAsia" w:ascii="宋体" w:hAnsi="宋体" w:eastAsia="宋体" w:cs="宋体"/>
                <w:b/>
                <w:bCs/>
                <w:spacing w:val="0"/>
                <w:kern w:val="2"/>
                <w:szCs w:val="24"/>
                <w:highlight w:val="none"/>
              </w:rPr>
            </w:pPr>
            <w:r>
              <w:rPr>
                <w:rFonts w:hint="eastAsia" w:ascii="宋体" w:hAnsi="宋体" w:eastAsia="宋体" w:cs="宋体"/>
                <w:b/>
                <w:bCs/>
                <w:spacing w:val="0"/>
                <w:kern w:val="2"/>
                <w:szCs w:val="24"/>
                <w:highlight w:val="none"/>
              </w:rPr>
              <w:t>评审分项</w:t>
            </w:r>
          </w:p>
        </w:tc>
        <w:tc>
          <w:tcPr>
            <w:tcW w:w="5580" w:type="dxa"/>
            <w:noWrap w:val="0"/>
            <w:vAlign w:val="center"/>
          </w:tcPr>
          <w:p w14:paraId="6237B0C2">
            <w:pPr>
              <w:pStyle w:val="145"/>
              <w:adjustRightInd/>
              <w:spacing w:before="0" w:after="0" w:line="240" w:lineRule="auto"/>
              <w:textAlignment w:val="auto"/>
              <w:rPr>
                <w:rFonts w:hint="eastAsia" w:ascii="宋体" w:hAnsi="宋体" w:eastAsia="宋体" w:cs="宋体"/>
                <w:b/>
                <w:bCs/>
                <w:spacing w:val="0"/>
                <w:kern w:val="2"/>
                <w:szCs w:val="24"/>
                <w:highlight w:val="none"/>
              </w:rPr>
            </w:pPr>
            <w:r>
              <w:rPr>
                <w:rFonts w:hint="eastAsia" w:ascii="宋体" w:hAnsi="宋体" w:eastAsia="宋体" w:cs="宋体"/>
                <w:b/>
                <w:bCs/>
                <w:spacing w:val="0"/>
                <w:kern w:val="2"/>
                <w:szCs w:val="24"/>
                <w:highlight w:val="none"/>
              </w:rPr>
              <w:t>评审细则</w:t>
            </w:r>
          </w:p>
        </w:tc>
        <w:tc>
          <w:tcPr>
            <w:tcW w:w="1978" w:type="dxa"/>
            <w:noWrap w:val="0"/>
            <w:vAlign w:val="center"/>
          </w:tcPr>
          <w:p w14:paraId="2EFEE8C3">
            <w:pPr>
              <w:pStyle w:val="145"/>
              <w:adjustRightInd/>
              <w:spacing w:before="0" w:after="0" w:line="240" w:lineRule="auto"/>
              <w:textAlignment w:val="auto"/>
              <w:rPr>
                <w:rFonts w:hint="eastAsia" w:ascii="宋体" w:hAnsi="宋体" w:eastAsia="宋体" w:cs="宋体"/>
                <w:b/>
                <w:bCs/>
                <w:spacing w:val="0"/>
                <w:kern w:val="2"/>
                <w:szCs w:val="24"/>
                <w:highlight w:val="none"/>
              </w:rPr>
            </w:pPr>
            <w:r>
              <w:rPr>
                <w:rFonts w:hint="eastAsia" w:ascii="宋体" w:hAnsi="宋体" w:eastAsia="宋体" w:cs="宋体"/>
                <w:b/>
                <w:bCs/>
                <w:spacing w:val="0"/>
                <w:kern w:val="2"/>
                <w:szCs w:val="24"/>
                <w:highlight w:val="none"/>
              </w:rPr>
              <w:t>证明文件</w:t>
            </w:r>
          </w:p>
        </w:tc>
      </w:tr>
      <w:tr w14:paraId="512C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4E2D977C">
            <w:pPr>
              <w:rPr>
                <w:rFonts w:hint="eastAsia" w:ascii="宋体" w:hAnsi="宋体" w:eastAsia="宋体" w:cs="宋体"/>
                <w:highlight w:val="none"/>
              </w:rPr>
            </w:pPr>
          </w:p>
        </w:tc>
        <w:tc>
          <w:tcPr>
            <w:tcW w:w="5580" w:type="dxa"/>
            <w:noWrap w:val="0"/>
            <w:vAlign w:val="top"/>
          </w:tcPr>
          <w:p w14:paraId="27510472">
            <w:pPr>
              <w:rPr>
                <w:rFonts w:hint="eastAsia" w:ascii="宋体" w:hAnsi="宋体" w:eastAsia="宋体" w:cs="宋体"/>
                <w:highlight w:val="none"/>
              </w:rPr>
            </w:pPr>
          </w:p>
        </w:tc>
        <w:tc>
          <w:tcPr>
            <w:tcW w:w="1978" w:type="dxa"/>
            <w:noWrap w:val="0"/>
            <w:vAlign w:val="center"/>
          </w:tcPr>
          <w:p w14:paraId="2904E536">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166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B18073A">
            <w:pPr>
              <w:rPr>
                <w:rFonts w:hint="eastAsia" w:ascii="宋体" w:hAnsi="宋体" w:eastAsia="宋体" w:cs="宋体"/>
                <w:highlight w:val="none"/>
              </w:rPr>
            </w:pPr>
          </w:p>
        </w:tc>
        <w:tc>
          <w:tcPr>
            <w:tcW w:w="5580" w:type="dxa"/>
            <w:noWrap w:val="0"/>
            <w:vAlign w:val="top"/>
          </w:tcPr>
          <w:p w14:paraId="54EC705B">
            <w:pPr>
              <w:rPr>
                <w:rFonts w:hint="eastAsia" w:ascii="宋体" w:hAnsi="宋体" w:eastAsia="宋体" w:cs="宋体"/>
                <w:highlight w:val="none"/>
              </w:rPr>
            </w:pPr>
          </w:p>
        </w:tc>
        <w:tc>
          <w:tcPr>
            <w:tcW w:w="1978" w:type="dxa"/>
            <w:noWrap w:val="0"/>
            <w:vAlign w:val="center"/>
          </w:tcPr>
          <w:p w14:paraId="39F54618">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9A6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3456BE72">
            <w:pPr>
              <w:rPr>
                <w:rFonts w:hint="eastAsia" w:ascii="宋体" w:hAnsi="宋体" w:eastAsia="宋体" w:cs="宋体"/>
                <w:highlight w:val="none"/>
              </w:rPr>
            </w:pPr>
          </w:p>
        </w:tc>
        <w:tc>
          <w:tcPr>
            <w:tcW w:w="5580" w:type="dxa"/>
            <w:noWrap w:val="0"/>
            <w:vAlign w:val="top"/>
          </w:tcPr>
          <w:p w14:paraId="00B3D53F">
            <w:pPr>
              <w:rPr>
                <w:rFonts w:hint="eastAsia" w:ascii="宋体" w:hAnsi="宋体" w:eastAsia="宋体" w:cs="宋体"/>
                <w:highlight w:val="none"/>
              </w:rPr>
            </w:pPr>
          </w:p>
        </w:tc>
        <w:tc>
          <w:tcPr>
            <w:tcW w:w="1978" w:type="dxa"/>
            <w:noWrap w:val="0"/>
            <w:vAlign w:val="center"/>
          </w:tcPr>
          <w:p w14:paraId="2FD43525">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67B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44AA9F34">
            <w:pPr>
              <w:rPr>
                <w:rFonts w:hint="eastAsia" w:ascii="宋体" w:hAnsi="宋体" w:eastAsia="宋体" w:cs="宋体"/>
                <w:highlight w:val="none"/>
              </w:rPr>
            </w:pPr>
          </w:p>
        </w:tc>
        <w:tc>
          <w:tcPr>
            <w:tcW w:w="5580" w:type="dxa"/>
            <w:noWrap w:val="0"/>
            <w:vAlign w:val="top"/>
          </w:tcPr>
          <w:p w14:paraId="6D975B03">
            <w:pPr>
              <w:rPr>
                <w:rFonts w:hint="eastAsia" w:ascii="宋体" w:hAnsi="宋体" w:eastAsia="宋体" w:cs="宋体"/>
                <w:highlight w:val="none"/>
              </w:rPr>
            </w:pPr>
          </w:p>
        </w:tc>
        <w:tc>
          <w:tcPr>
            <w:tcW w:w="1978" w:type="dxa"/>
            <w:noWrap w:val="0"/>
            <w:vAlign w:val="center"/>
          </w:tcPr>
          <w:p w14:paraId="539961E6">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FD6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D8EBCF8">
            <w:pPr>
              <w:rPr>
                <w:rFonts w:hint="eastAsia" w:ascii="宋体" w:hAnsi="宋体" w:eastAsia="宋体" w:cs="宋体"/>
                <w:highlight w:val="none"/>
              </w:rPr>
            </w:pPr>
          </w:p>
        </w:tc>
        <w:tc>
          <w:tcPr>
            <w:tcW w:w="5580" w:type="dxa"/>
            <w:noWrap w:val="0"/>
            <w:vAlign w:val="top"/>
          </w:tcPr>
          <w:p w14:paraId="63CAF884">
            <w:pPr>
              <w:rPr>
                <w:rFonts w:hint="eastAsia" w:ascii="宋体" w:hAnsi="宋体" w:eastAsia="宋体" w:cs="宋体"/>
                <w:highlight w:val="none"/>
              </w:rPr>
            </w:pPr>
          </w:p>
        </w:tc>
        <w:tc>
          <w:tcPr>
            <w:tcW w:w="1978" w:type="dxa"/>
            <w:noWrap w:val="0"/>
            <w:vAlign w:val="center"/>
          </w:tcPr>
          <w:p w14:paraId="790699D3">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9B5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27850CCD">
            <w:pPr>
              <w:rPr>
                <w:rFonts w:hint="eastAsia" w:ascii="宋体" w:hAnsi="宋体" w:eastAsia="宋体" w:cs="宋体"/>
                <w:highlight w:val="none"/>
              </w:rPr>
            </w:pPr>
          </w:p>
        </w:tc>
        <w:tc>
          <w:tcPr>
            <w:tcW w:w="5580" w:type="dxa"/>
            <w:noWrap w:val="0"/>
            <w:vAlign w:val="top"/>
          </w:tcPr>
          <w:p w14:paraId="1FF94EFD">
            <w:pPr>
              <w:rPr>
                <w:rFonts w:hint="eastAsia" w:ascii="宋体" w:hAnsi="宋体" w:eastAsia="宋体" w:cs="宋体"/>
                <w:highlight w:val="none"/>
              </w:rPr>
            </w:pPr>
          </w:p>
        </w:tc>
        <w:tc>
          <w:tcPr>
            <w:tcW w:w="1978" w:type="dxa"/>
            <w:noWrap w:val="0"/>
            <w:vAlign w:val="center"/>
          </w:tcPr>
          <w:p w14:paraId="00145228">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2F9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9AEFEA2">
            <w:pPr>
              <w:rPr>
                <w:rFonts w:hint="eastAsia" w:ascii="宋体" w:hAnsi="宋体" w:eastAsia="宋体" w:cs="宋体"/>
                <w:highlight w:val="none"/>
              </w:rPr>
            </w:pPr>
          </w:p>
        </w:tc>
        <w:tc>
          <w:tcPr>
            <w:tcW w:w="5580" w:type="dxa"/>
            <w:noWrap w:val="0"/>
            <w:vAlign w:val="top"/>
          </w:tcPr>
          <w:p w14:paraId="7F973A0D">
            <w:pPr>
              <w:rPr>
                <w:rFonts w:hint="eastAsia" w:ascii="宋体" w:hAnsi="宋体" w:eastAsia="宋体" w:cs="宋体"/>
                <w:highlight w:val="none"/>
              </w:rPr>
            </w:pPr>
          </w:p>
        </w:tc>
        <w:tc>
          <w:tcPr>
            <w:tcW w:w="1978" w:type="dxa"/>
            <w:noWrap w:val="0"/>
            <w:vAlign w:val="center"/>
          </w:tcPr>
          <w:p w14:paraId="121BBD80">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F00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51C9162A">
            <w:pPr>
              <w:rPr>
                <w:rFonts w:hint="eastAsia" w:ascii="宋体" w:hAnsi="宋体" w:eastAsia="宋体" w:cs="宋体"/>
                <w:highlight w:val="none"/>
              </w:rPr>
            </w:pPr>
          </w:p>
        </w:tc>
        <w:tc>
          <w:tcPr>
            <w:tcW w:w="5580" w:type="dxa"/>
            <w:noWrap w:val="0"/>
            <w:vAlign w:val="top"/>
          </w:tcPr>
          <w:p w14:paraId="08F19D23">
            <w:pPr>
              <w:rPr>
                <w:rFonts w:hint="eastAsia" w:ascii="宋体" w:hAnsi="宋体" w:eastAsia="宋体" w:cs="宋体"/>
                <w:highlight w:val="none"/>
              </w:rPr>
            </w:pPr>
          </w:p>
        </w:tc>
        <w:tc>
          <w:tcPr>
            <w:tcW w:w="1978" w:type="dxa"/>
            <w:noWrap w:val="0"/>
            <w:vAlign w:val="center"/>
          </w:tcPr>
          <w:p w14:paraId="307E5DC8">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F03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7802599">
            <w:pPr>
              <w:rPr>
                <w:rFonts w:hint="eastAsia" w:ascii="宋体" w:hAnsi="宋体" w:eastAsia="宋体" w:cs="宋体"/>
                <w:highlight w:val="none"/>
              </w:rPr>
            </w:pPr>
          </w:p>
        </w:tc>
        <w:tc>
          <w:tcPr>
            <w:tcW w:w="5580" w:type="dxa"/>
            <w:noWrap w:val="0"/>
            <w:vAlign w:val="top"/>
          </w:tcPr>
          <w:p w14:paraId="16D53965">
            <w:pPr>
              <w:rPr>
                <w:rFonts w:hint="eastAsia" w:ascii="宋体" w:hAnsi="宋体" w:eastAsia="宋体" w:cs="宋体"/>
                <w:highlight w:val="none"/>
              </w:rPr>
            </w:pPr>
          </w:p>
        </w:tc>
        <w:tc>
          <w:tcPr>
            <w:tcW w:w="1978" w:type="dxa"/>
            <w:noWrap w:val="0"/>
            <w:vAlign w:val="center"/>
          </w:tcPr>
          <w:p w14:paraId="4F03A711">
            <w:pPr>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674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57D109D5">
            <w:pPr>
              <w:rPr>
                <w:rFonts w:hint="eastAsia" w:ascii="宋体" w:hAnsi="宋体" w:eastAsia="宋体" w:cs="宋体"/>
                <w:highlight w:val="none"/>
              </w:rPr>
            </w:pPr>
          </w:p>
        </w:tc>
        <w:tc>
          <w:tcPr>
            <w:tcW w:w="5580" w:type="dxa"/>
            <w:noWrap w:val="0"/>
            <w:vAlign w:val="top"/>
          </w:tcPr>
          <w:p w14:paraId="109578DA">
            <w:pPr>
              <w:rPr>
                <w:rFonts w:hint="eastAsia" w:ascii="宋体" w:hAnsi="宋体" w:eastAsia="宋体" w:cs="宋体"/>
                <w:highlight w:val="none"/>
              </w:rPr>
            </w:pPr>
          </w:p>
        </w:tc>
        <w:tc>
          <w:tcPr>
            <w:tcW w:w="1978" w:type="dxa"/>
            <w:noWrap w:val="0"/>
            <w:vAlign w:val="center"/>
          </w:tcPr>
          <w:p w14:paraId="32E7F1BD">
            <w:pPr>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7F6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43D40D18">
            <w:pPr>
              <w:rPr>
                <w:rFonts w:hint="eastAsia" w:ascii="宋体" w:hAnsi="宋体" w:eastAsia="宋体" w:cs="宋体"/>
                <w:highlight w:val="none"/>
              </w:rPr>
            </w:pPr>
          </w:p>
        </w:tc>
        <w:tc>
          <w:tcPr>
            <w:tcW w:w="5580" w:type="dxa"/>
            <w:noWrap w:val="0"/>
            <w:vAlign w:val="top"/>
          </w:tcPr>
          <w:p w14:paraId="3DBA6B5F">
            <w:pPr>
              <w:rPr>
                <w:rFonts w:hint="eastAsia" w:ascii="宋体" w:hAnsi="宋体" w:eastAsia="宋体" w:cs="宋体"/>
                <w:highlight w:val="none"/>
              </w:rPr>
            </w:pPr>
          </w:p>
        </w:tc>
        <w:tc>
          <w:tcPr>
            <w:tcW w:w="1978" w:type="dxa"/>
            <w:noWrap w:val="0"/>
            <w:vAlign w:val="center"/>
          </w:tcPr>
          <w:p w14:paraId="1BB421EB">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942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6965FFD8">
            <w:pPr>
              <w:rPr>
                <w:rFonts w:hint="eastAsia" w:ascii="宋体" w:hAnsi="宋体" w:eastAsia="宋体" w:cs="宋体"/>
                <w:highlight w:val="none"/>
              </w:rPr>
            </w:pPr>
          </w:p>
        </w:tc>
        <w:tc>
          <w:tcPr>
            <w:tcW w:w="5580" w:type="dxa"/>
            <w:noWrap w:val="0"/>
            <w:vAlign w:val="top"/>
          </w:tcPr>
          <w:p w14:paraId="15297F31">
            <w:pPr>
              <w:rPr>
                <w:rFonts w:hint="eastAsia" w:ascii="宋体" w:hAnsi="宋体" w:eastAsia="宋体" w:cs="宋体"/>
                <w:highlight w:val="none"/>
              </w:rPr>
            </w:pPr>
          </w:p>
        </w:tc>
        <w:tc>
          <w:tcPr>
            <w:tcW w:w="1978" w:type="dxa"/>
            <w:noWrap w:val="0"/>
            <w:vAlign w:val="center"/>
          </w:tcPr>
          <w:p w14:paraId="173AB9C3">
            <w:pPr>
              <w:pStyle w:val="31"/>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F42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6157FD50">
            <w:pPr>
              <w:rPr>
                <w:rFonts w:hint="eastAsia" w:ascii="宋体" w:hAnsi="宋体" w:eastAsia="宋体" w:cs="宋体"/>
                <w:highlight w:val="none"/>
              </w:rPr>
            </w:pPr>
          </w:p>
        </w:tc>
        <w:tc>
          <w:tcPr>
            <w:tcW w:w="5580" w:type="dxa"/>
            <w:noWrap w:val="0"/>
            <w:vAlign w:val="top"/>
          </w:tcPr>
          <w:p w14:paraId="2C84228D">
            <w:pPr>
              <w:rPr>
                <w:rFonts w:hint="eastAsia" w:ascii="宋体" w:hAnsi="宋体" w:eastAsia="宋体" w:cs="宋体"/>
                <w:highlight w:val="none"/>
              </w:rPr>
            </w:pPr>
          </w:p>
        </w:tc>
        <w:tc>
          <w:tcPr>
            <w:tcW w:w="1978" w:type="dxa"/>
            <w:noWrap w:val="0"/>
            <w:vAlign w:val="center"/>
          </w:tcPr>
          <w:p w14:paraId="49A9C138">
            <w:pPr>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C2A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1768B5C2">
            <w:pPr>
              <w:rPr>
                <w:rFonts w:hint="eastAsia" w:ascii="宋体" w:hAnsi="宋体" w:eastAsia="宋体" w:cs="宋体"/>
                <w:highlight w:val="none"/>
              </w:rPr>
            </w:pPr>
          </w:p>
        </w:tc>
        <w:tc>
          <w:tcPr>
            <w:tcW w:w="5580" w:type="dxa"/>
            <w:noWrap w:val="0"/>
            <w:vAlign w:val="top"/>
          </w:tcPr>
          <w:p w14:paraId="63CE4634">
            <w:pPr>
              <w:rPr>
                <w:rFonts w:hint="eastAsia" w:ascii="宋体" w:hAnsi="宋体" w:eastAsia="宋体" w:cs="宋体"/>
                <w:highlight w:val="none"/>
              </w:rPr>
            </w:pPr>
          </w:p>
        </w:tc>
        <w:tc>
          <w:tcPr>
            <w:tcW w:w="1978" w:type="dxa"/>
            <w:noWrap w:val="0"/>
            <w:vAlign w:val="center"/>
          </w:tcPr>
          <w:p w14:paraId="769CC12D">
            <w:pPr>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1D6E3318">
      <w:pPr>
        <w:rPr>
          <w:rFonts w:hint="eastAsia" w:ascii="宋体" w:hAnsi="宋体" w:eastAsia="宋体" w:cs="宋体"/>
          <w:highlight w:val="none"/>
        </w:rPr>
      </w:pPr>
    </w:p>
    <w:p w14:paraId="775442D9">
      <w:pPr>
        <w:rPr>
          <w:rFonts w:hint="eastAsia" w:ascii="宋体" w:hAnsi="宋体" w:eastAsia="宋体" w:cs="宋体"/>
          <w:sz w:val="24"/>
          <w:highlight w:val="none"/>
        </w:rPr>
      </w:pPr>
      <w:r>
        <w:rPr>
          <w:rFonts w:hint="eastAsia" w:ascii="宋体" w:hAnsi="宋体" w:eastAsia="宋体" w:cs="宋体"/>
          <w:sz w:val="24"/>
          <w:highlight w:val="none"/>
        </w:rPr>
        <w:t>注：投标人应当根据技术及商务评审打分内容提供相应的证明材料，如未提供，评委有权认为不具备或不符合，并影响投标人的得分。</w:t>
      </w:r>
    </w:p>
    <w:p w14:paraId="509AC970">
      <w:pPr>
        <w:rPr>
          <w:rFonts w:hint="eastAsia" w:ascii="宋体" w:hAnsi="宋体" w:eastAsia="宋体" w:cs="宋体"/>
          <w:highlight w:val="none"/>
        </w:rPr>
      </w:pPr>
    </w:p>
    <w:p w14:paraId="3FF58DDC">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投标人法定代表人（或法定代表人授权代表）签字：</w:t>
      </w:r>
    </w:p>
    <w:p w14:paraId="086C3B26">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投标人名称（加盖公章）：</w:t>
      </w:r>
    </w:p>
    <w:p w14:paraId="3886C008">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5ADB9A21">
      <w:pPr>
        <w:adjustRightInd w:val="0"/>
        <w:snapToGrid w:val="0"/>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57782EBF">
      <w:pPr>
        <w:adjustRightInd w:val="0"/>
        <w:snapToGrid w:val="0"/>
        <w:spacing w:line="360" w:lineRule="auto"/>
        <w:rPr>
          <w:rFonts w:hint="eastAsia" w:ascii="宋体" w:hAnsi="宋体" w:eastAsia="宋体" w:cs="宋体"/>
          <w:sz w:val="28"/>
          <w:szCs w:val="28"/>
          <w:highlight w:val="none"/>
        </w:rPr>
      </w:pPr>
    </w:p>
    <w:p w14:paraId="44A9A20C">
      <w:pPr>
        <w:adjustRightInd w:val="0"/>
        <w:snapToGrid w:val="0"/>
        <w:spacing w:line="360" w:lineRule="auto"/>
        <w:rPr>
          <w:rFonts w:hint="eastAsia" w:ascii="宋体" w:hAnsi="宋体" w:eastAsia="宋体" w:cs="宋体"/>
          <w:sz w:val="28"/>
          <w:szCs w:val="28"/>
          <w:highlight w:val="none"/>
        </w:rPr>
      </w:pPr>
    </w:p>
    <w:p w14:paraId="1EA1DC11">
      <w:pPr>
        <w:adjustRightInd w:val="0"/>
        <w:snapToGrid w:val="0"/>
        <w:spacing w:line="360" w:lineRule="auto"/>
        <w:rPr>
          <w:rFonts w:hint="eastAsia" w:ascii="宋体" w:hAnsi="宋体" w:eastAsia="宋体" w:cs="宋体"/>
          <w:sz w:val="28"/>
          <w:szCs w:val="28"/>
          <w:highlight w:val="none"/>
        </w:rPr>
      </w:pPr>
    </w:p>
    <w:p w14:paraId="4CE66BEA">
      <w:pPr>
        <w:adjustRightInd w:val="0"/>
        <w:snapToGrid w:val="0"/>
        <w:spacing w:line="360" w:lineRule="auto"/>
        <w:rPr>
          <w:rFonts w:hint="eastAsia" w:ascii="宋体" w:hAnsi="宋体" w:eastAsia="宋体" w:cs="宋体"/>
          <w:sz w:val="28"/>
          <w:szCs w:val="28"/>
          <w:highlight w:val="none"/>
        </w:rPr>
      </w:pPr>
    </w:p>
    <w:p w14:paraId="6AC99497">
      <w:pPr>
        <w:adjustRightInd w:val="0"/>
        <w:snapToGrid w:val="0"/>
        <w:spacing w:line="360" w:lineRule="auto"/>
        <w:rPr>
          <w:rFonts w:hint="eastAsia" w:ascii="宋体" w:hAnsi="宋体" w:eastAsia="宋体" w:cs="宋体"/>
          <w:sz w:val="28"/>
          <w:szCs w:val="28"/>
          <w:highlight w:val="none"/>
        </w:rPr>
      </w:pPr>
    </w:p>
    <w:p w14:paraId="599EE612">
      <w:pPr>
        <w:adjustRightInd w:val="0"/>
        <w:snapToGrid w:val="0"/>
        <w:spacing w:line="360" w:lineRule="auto"/>
        <w:rPr>
          <w:rFonts w:hint="eastAsia" w:ascii="宋体" w:hAnsi="宋体" w:eastAsia="宋体" w:cs="宋体"/>
          <w:sz w:val="28"/>
          <w:szCs w:val="28"/>
          <w:highlight w:val="none"/>
        </w:rPr>
      </w:pPr>
    </w:p>
    <w:p w14:paraId="05135B6B">
      <w:pPr>
        <w:adjustRightInd w:val="0"/>
        <w:snapToGrid w:val="0"/>
        <w:spacing w:line="360" w:lineRule="auto"/>
        <w:rPr>
          <w:rFonts w:hint="eastAsia" w:ascii="宋体" w:hAnsi="宋体" w:eastAsia="宋体" w:cs="宋体"/>
          <w:sz w:val="28"/>
          <w:szCs w:val="28"/>
          <w:highlight w:val="none"/>
        </w:rPr>
      </w:pPr>
    </w:p>
    <w:p w14:paraId="270C13BD">
      <w:pPr>
        <w:adjustRightInd w:val="0"/>
        <w:snapToGrid w:val="0"/>
        <w:spacing w:line="360" w:lineRule="auto"/>
        <w:jc w:val="center"/>
        <w:rPr>
          <w:rFonts w:hint="eastAsia" w:ascii="宋体" w:hAnsi="宋体" w:eastAsia="宋体" w:cs="宋体"/>
          <w:sz w:val="28"/>
          <w:szCs w:val="28"/>
          <w:highlight w:val="none"/>
        </w:rPr>
      </w:pPr>
      <w:r>
        <w:rPr>
          <w:rFonts w:hint="eastAsia" w:ascii="宋体" w:hAnsi="宋体" w:eastAsia="宋体" w:cs="宋体"/>
          <w:b/>
          <w:sz w:val="44"/>
          <w:szCs w:val="44"/>
          <w:highlight w:val="none"/>
        </w:rPr>
        <w:t>国e平台投标文件商务文件</w:t>
      </w:r>
    </w:p>
    <w:p w14:paraId="56747680">
      <w:pPr>
        <w:jc w:val="center"/>
        <w:rPr>
          <w:rFonts w:hint="eastAsia" w:ascii="宋体" w:hAnsi="宋体" w:eastAsia="宋体" w:cs="宋体"/>
          <w:highlight w:val="none"/>
        </w:rPr>
      </w:pPr>
      <w:bookmarkStart w:id="14" w:name="_Toc202816996"/>
      <w:bookmarkStart w:id="15" w:name="_Toc202251700"/>
      <w:bookmarkStart w:id="16" w:name="_Toc202254105"/>
      <w:bookmarkStart w:id="17" w:name="_Toc202252034"/>
      <w:bookmarkStart w:id="18" w:name="_Toc202819878"/>
      <w:bookmarkStart w:id="19" w:name="_Toc202820351"/>
      <w:bookmarkStart w:id="20" w:name="_Toc202251075"/>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二、资格性文件</w:t>
      </w:r>
      <w:bookmarkEnd w:id="14"/>
      <w:bookmarkEnd w:id="15"/>
      <w:bookmarkEnd w:id="16"/>
      <w:bookmarkEnd w:id="17"/>
      <w:bookmarkEnd w:id="18"/>
      <w:bookmarkEnd w:id="19"/>
      <w:bookmarkEnd w:id="20"/>
    </w:p>
    <w:p w14:paraId="6F1D2972">
      <w:pPr>
        <w:rPr>
          <w:rFonts w:hint="eastAsia" w:ascii="宋体" w:hAnsi="宋体" w:eastAsia="宋体" w:cs="宋体"/>
          <w:b/>
          <w:sz w:val="24"/>
          <w:highlight w:val="none"/>
        </w:rPr>
      </w:pPr>
      <w:r>
        <w:rPr>
          <w:rFonts w:hint="eastAsia" w:ascii="宋体" w:hAnsi="宋体" w:eastAsia="宋体" w:cs="宋体"/>
          <w:b/>
          <w:sz w:val="24"/>
          <w:highlight w:val="none"/>
        </w:rPr>
        <w:t>2.1 投标函</w:t>
      </w:r>
    </w:p>
    <w:p w14:paraId="0C81BC7C">
      <w:pPr>
        <w:rPr>
          <w:rFonts w:hint="eastAsia" w:ascii="宋体" w:hAnsi="宋体" w:eastAsia="宋体" w:cs="宋体"/>
          <w:b/>
          <w:sz w:val="24"/>
          <w:highlight w:val="none"/>
        </w:rPr>
      </w:pPr>
    </w:p>
    <w:p w14:paraId="22886165">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u w:val="single"/>
        </w:rPr>
        <w:t>（招标人/招标代理机构）</w:t>
      </w:r>
      <w:r>
        <w:rPr>
          <w:rFonts w:hint="eastAsia" w:ascii="宋体" w:hAnsi="宋体" w:eastAsia="宋体" w:cs="宋体"/>
          <w:szCs w:val="21"/>
          <w:highlight w:val="none"/>
        </w:rPr>
        <w:t>：</w:t>
      </w:r>
    </w:p>
    <w:p w14:paraId="42C4B043">
      <w:pPr>
        <w:autoSpaceDE w:val="0"/>
        <w:autoSpaceDN w:val="0"/>
        <w:adjustRightInd w:val="0"/>
        <w:ind w:right="26"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依据贵方</w:t>
      </w: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（项目编号) </w:t>
      </w:r>
      <w:r>
        <w:rPr>
          <w:rFonts w:hint="eastAsia" w:ascii="宋体" w:hAnsi="宋体" w:eastAsia="宋体" w:cs="宋体"/>
          <w:kern w:val="0"/>
          <w:szCs w:val="21"/>
          <w:highlight w:val="none"/>
        </w:rPr>
        <w:t>项目的投标邀请，我方代表</w:t>
      </w:r>
      <w:r>
        <w:rPr>
          <w:rFonts w:hint="eastAsia" w:ascii="宋体" w:hAnsi="宋体" w:eastAsia="宋体" w:cs="宋体"/>
          <w:szCs w:val="21"/>
          <w:highlight w:val="none"/>
          <w:u w:val="single"/>
        </w:rPr>
        <w:t>（姓名、职务）</w:t>
      </w:r>
      <w:r>
        <w:rPr>
          <w:rFonts w:hint="eastAsia" w:ascii="宋体" w:hAnsi="宋体" w:eastAsia="宋体" w:cs="宋体"/>
          <w:kern w:val="0"/>
          <w:szCs w:val="21"/>
          <w:highlight w:val="none"/>
        </w:rPr>
        <w:t>经正式授权并代表</w:t>
      </w:r>
      <w:r>
        <w:rPr>
          <w:rFonts w:hint="eastAsia" w:ascii="宋体" w:hAnsi="宋体" w:eastAsia="宋体" w:cs="宋体"/>
          <w:szCs w:val="21"/>
          <w:highlight w:val="none"/>
          <w:u w:val="single"/>
        </w:rPr>
        <w:t>（投标人名称、地址）</w:t>
      </w:r>
      <w:r>
        <w:rPr>
          <w:rFonts w:hint="eastAsia" w:ascii="宋体" w:hAnsi="宋体" w:eastAsia="宋体" w:cs="宋体"/>
          <w:kern w:val="0"/>
          <w:szCs w:val="21"/>
          <w:highlight w:val="none"/>
        </w:rPr>
        <w:t>提交下述文件正本份，副本份。</w:t>
      </w:r>
    </w:p>
    <w:p w14:paraId="3C9A495A">
      <w:pPr>
        <w:autoSpaceDE w:val="0"/>
        <w:autoSpaceDN w:val="0"/>
        <w:adjustRightInd w:val="0"/>
        <w:ind w:right="246"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1. </w:t>
      </w:r>
      <w:r>
        <w:rPr>
          <w:rFonts w:hint="eastAsia" w:ascii="宋体" w:hAnsi="宋体" w:eastAsia="宋体" w:cs="宋体"/>
          <w:szCs w:val="21"/>
          <w:highlight w:val="none"/>
        </w:rPr>
        <w:t>自查表</w:t>
      </w:r>
      <w:r>
        <w:rPr>
          <w:rFonts w:hint="eastAsia" w:ascii="宋体" w:hAnsi="宋体" w:eastAsia="宋体" w:cs="宋体"/>
          <w:kern w:val="0"/>
          <w:szCs w:val="21"/>
          <w:highlight w:val="none"/>
        </w:rPr>
        <w:t>；</w:t>
      </w:r>
    </w:p>
    <w:p w14:paraId="5E93692A">
      <w:pPr>
        <w:autoSpaceDE w:val="0"/>
        <w:autoSpaceDN w:val="0"/>
        <w:adjustRightInd w:val="0"/>
        <w:ind w:right="246"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2. </w:t>
      </w:r>
      <w:r>
        <w:rPr>
          <w:rFonts w:hint="eastAsia" w:ascii="宋体" w:hAnsi="宋体" w:eastAsia="宋体" w:cs="宋体"/>
          <w:szCs w:val="21"/>
          <w:highlight w:val="none"/>
        </w:rPr>
        <w:t>资格性文件</w:t>
      </w:r>
      <w:r>
        <w:rPr>
          <w:rFonts w:hint="eastAsia" w:ascii="宋体" w:hAnsi="宋体" w:eastAsia="宋体" w:cs="宋体"/>
          <w:kern w:val="0"/>
          <w:szCs w:val="21"/>
          <w:highlight w:val="none"/>
        </w:rPr>
        <w:t>；</w:t>
      </w:r>
    </w:p>
    <w:p w14:paraId="2C4AEC5A">
      <w:pPr>
        <w:autoSpaceDE w:val="0"/>
        <w:autoSpaceDN w:val="0"/>
        <w:adjustRightInd w:val="0"/>
        <w:ind w:right="246"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3. </w:t>
      </w:r>
      <w:r>
        <w:rPr>
          <w:rFonts w:hint="eastAsia" w:ascii="宋体" w:hAnsi="宋体" w:eastAsia="宋体" w:cs="宋体"/>
          <w:szCs w:val="21"/>
          <w:highlight w:val="none"/>
        </w:rPr>
        <w:t>商务部分</w:t>
      </w:r>
      <w:r>
        <w:rPr>
          <w:rFonts w:hint="eastAsia" w:ascii="宋体" w:hAnsi="宋体" w:eastAsia="宋体" w:cs="宋体"/>
          <w:kern w:val="0"/>
          <w:szCs w:val="21"/>
          <w:highlight w:val="none"/>
        </w:rPr>
        <w:t>；</w:t>
      </w:r>
    </w:p>
    <w:p w14:paraId="60FB4B16">
      <w:pPr>
        <w:autoSpaceDE w:val="0"/>
        <w:autoSpaceDN w:val="0"/>
        <w:adjustRightInd w:val="0"/>
        <w:ind w:right="246"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4. 技术部分；</w:t>
      </w:r>
    </w:p>
    <w:p w14:paraId="6908F600">
      <w:pPr>
        <w:autoSpaceDE w:val="0"/>
        <w:autoSpaceDN w:val="0"/>
        <w:adjustRightInd w:val="0"/>
        <w:ind w:right="32"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5. </w:t>
      </w:r>
      <w:r>
        <w:rPr>
          <w:rFonts w:hint="eastAsia" w:ascii="宋体" w:hAnsi="宋体" w:eastAsia="宋体" w:cs="宋体"/>
          <w:szCs w:val="21"/>
          <w:highlight w:val="none"/>
        </w:rPr>
        <w:t>价格部分。</w:t>
      </w:r>
    </w:p>
    <w:p w14:paraId="6DC8E8B8">
      <w:pPr>
        <w:autoSpaceDE w:val="0"/>
        <w:autoSpaceDN w:val="0"/>
        <w:adjustRightInd w:val="0"/>
        <w:ind w:right="246"/>
        <w:rPr>
          <w:rFonts w:hint="eastAsia" w:ascii="宋体" w:hAnsi="宋体" w:eastAsia="宋体" w:cs="宋体"/>
          <w:kern w:val="0"/>
          <w:szCs w:val="21"/>
          <w:highlight w:val="none"/>
        </w:rPr>
      </w:pPr>
      <w:r>
        <w:rPr>
          <w:rFonts w:hint="eastAsia" w:ascii="宋体" w:hAnsi="宋体" w:eastAsia="宋体" w:cs="宋体"/>
          <w:kern w:val="0"/>
          <w:szCs w:val="21"/>
          <w:highlight w:val="none"/>
        </w:rPr>
        <w:t>在此，我方声明如下：</w:t>
      </w:r>
    </w:p>
    <w:p w14:paraId="4098AE63">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1.同意并接受招标文件的各项要求，遵守招标文件中的各项规定，按招标文件的要求提供报价。</w:t>
      </w:r>
    </w:p>
    <w:p w14:paraId="28CFBBDF">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highlight w:val="none"/>
        </w:rPr>
        <w:t xml:space="preserve"> </w:t>
      </w:r>
      <w:r>
        <w:rPr>
          <w:rFonts w:hint="eastAsia" w:ascii="宋体" w:hAnsi="宋体" w:eastAsia="宋体" w:cs="宋体"/>
          <w:szCs w:val="21"/>
          <w:highlight w:val="none"/>
        </w:rPr>
        <w:t>投标有效期为自提交投标文件的截止之日起90日，中标人投标有效期延至合同验收之日。</w:t>
      </w:r>
    </w:p>
    <w:p w14:paraId="48A5DD8B">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3.我方已经详细地阅读了全部招标文件及其附件，包括澄清及参考文件(如果有的话)。我方已完全清晰理解招标文件的要求，不存在任何含糊不清和误解之处，同意放弃对这些文件提出异议的权利。</w:t>
      </w:r>
    </w:p>
    <w:p w14:paraId="75E40798">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4.我方已毫无保留地向贵方提供一切所需的证明材料。</w:t>
      </w:r>
    </w:p>
    <w:p w14:paraId="2D479901">
      <w:pPr>
        <w:ind w:left="388" w:leftChars="185"/>
        <w:rPr>
          <w:rFonts w:hint="eastAsia" w:ascii="宋体" w:hAnsi="宋体" w:eastAsia="宋体" w:cs="宋体"/>
          <w:szCs w:val="21"/>
          <w:highlight w:val="none"/>
        </w:rPr>
      </w:pPr>
      <w:r>
        <w:rPr>
          <w:rFonts w:hint="eastAsia" w:ascii="宋体" w:hAnsi="宋体" w:eastAsia="宋体" w:cs="宋体"/>
          <w:szCs w:val="21"/>
          <w:highlight w:val="none"/>
        </w:rPr>
        <w:t>5.我方承诺在本次投标中提供的一切文件，无论是原件还是复印件均为真实和准确的，绝无任何虚假、伪造和夸大的成份，否则，愿承担相应的后果和法律责任。</w:t>
      </w:r>
    </w:p>
    <w:p w14:paraId="6B4BAEF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 经我方核实，我司不存在以下情况：单位负责人为同一人或者存在控股、管理关系的不同单位，参加同一包号投标或者未划分包号的同一招标项目投标。</w:t>
      </w:r>
    </w:p>
    <w:p w14:paraId="30EDECD9">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7.我方完全服从和尊重评委会所作的评定结果，同时清楚理解到报价最低并非意味着必定获得中标资格。</w:t>
      </w:r>
    </w:p>
    <w:p w14:paraId="494643BE">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8.我方同意按招标文件规定向招标代理机构缴纳中标服务费。</w:t>
      </w:r>
    </w:p>
    <w:p w14:paraId="10EC7B8B">
      <w:pPr>
        <w:autoSpaceDE w:val="0"/>
        <w:autoSpaceDN w:val="0"/>
        <w:adjustRightInd w:val="0"/>
        <w:ind w:right="246" w:firstLine="420" w:firstLineChars="200"/>
        <w:rPr>
          <w:rFonts w:hint="eastAsia" w:ascii="宋体" w:hAnsi="宋体" w:eastAsia="宋体" w:cs="宋体"/>
          <w:szCs w:val="21"/>
          <w:highlight w:val="none"/>
        </w:rPr>
      </w:pPr>
      <w:r>
        <w:rPr>
          <w:rFonts w:hint="eastAsia" w:ascii="宋体" w:hAnsi="宋体" w:cs="宋体"/>
          <w:szCs w:val="21"/>
          <w:highlight w:val="none"/>
          <w:lang w:val="en-US" w:eastAsia="zh-CN"/>
        </w:rPr>
        <w:t>9.</w:t>
      </w:r>
      <w:r>
        <w:rPr>
          <w:rFonts w:hint="eastAsia" w:ascii="宋体" w:hAnsi="宋体" w:eastAsia="宋体" w:cs="宋体"/>
          <w:szCs w:val="21"/>
          <w:highlight w:val="none"/>
        </w:rPr>
        <w:t>关于我方信用情况，经对“信用中国”网站（www.creditchina.gov.cn）、“中国政府采购网”（ www.ccgp.gov.cn）信用记录信息的查询，截至规定的投标截止时间，我司没有被列入失信被执行人、</w:t>
      </w:r>
      <w:r>
        <w:rPr>
          <w:rFonts w:hint="eastAsia" w:ascii="宋体" w:hAnsi="宋体" w:eastAsia="宋体" w:cs="宋体"/>
          <w:szCs w:val="21"/>
          <w:highlight w:val="none"/>
          <w:lang w:val="zh-CN"/>
        </w:rPr>
        <w:t>重大税收违法案件当事人名单</w:t>
      </w:r>
      <w:r>
        <w:rPr>
          <w:rFonts w:hint="eastAsia" w:ascii="宋体" w:hAnsi="宋体" w:eastAsia="宋体" w:cs="宋体"/>
          <w:szCs w:val="21"/>
          <w:highlight w:val="none"/>
          <w:lang w:val="en-US"/>
        </w:rPr>
        <w:t>（</w:t>
      </w:r>
      <w:r>
        <w:rPr>
          <w:rFonts w:hint="eastAsia" w:ascii="宋体" w:hAnsi="宋体" w:eastAsia="宋体" w:cs="宋体"/>
          <w:szCs w:val="21"/>
          <w:highlight w:val="none"/>
          <w:lang w:val="zh-CN"/>
        </w:rPr>
        <w:t>即税收违法黑名单</w:t>
      </w:r>
      <w:r>
        <w:rPr>
          <w:rFonts w:hint="eastAsia" w:ascii="宋体" w:hAnsi="宋体" w:eastAsia="宋体" w:cs="宋体"/>
          <w:szCs w:val="21"/>
          <w:highlight w:val="none"/>
          <w:lang w:val="en-US"/>
        </w:rPr>
        <w:t>）</w:t>
      </w:r>
      <w:r>
        <w:rPr>
          <w:rFonts w:hint="eastAsia" w:ascii="宋体" w:hAnsi="宋体" w:eastAsia="宋体" w:cs="宋体"/>
          <w:szCs w:val="21"/>
          <w:highlight w:val="none"/>
        </w:rPr>
        <w:t>、政府采购严重违法失信行为记录名单及其他不符合规定条件的供应商名单中。</w:t>
      </w:r>
    </w:p>
    <w:p w14:paraId="7F62DC23">
      <w:pPr>
        <w:autoSpaceDE w:val="0"/>
        <w:autoSpaceDN w:val="0"/>
        <w:adjustRightInd w:val="0"/>
        <w:ind w:right="246"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14.</w:t>
      </w:r>
      <w:r>
        <w:rPr>
          <w:rFonts w:hint="eastAsia" w:ascii="宋体" w:hAnsi="宋体" w:eastAsia="宋体" w:cs="宋体"/>
          <w:szCs w:val="21"/>
          <w:highlight w:val="none"/>
          <w:lang w:val="en-US" w:eastAsia="zh-CN"/>
        </w:rPr>
        <w:t>我方有依法缴纳税收和社会保障资金的良好记录</w:t>
      </w:r>
    </w:p>
    <w:p w14:paraId="0DD09D38">
      <w:pPr>
        <w:ind w:firstLine="420" w:firstLineChars="200"/>
        <w:rPr>
          <w:rFonts w:hint="eastAsia" w:ascii="宋体" w:hAnsi="宋体" w:eastAsia="宋体" w:cs="宋体"/>
          <w:szCs w:val="21"/>
          <w:highlight w:val="none"/>
        </w:rPr>
      </w:pPr>
      <w:r>
        <w:rPr>
          <w:rFonts w:hint="eastAsia" w:ascii="宋体" w:hAnsi="宋体" w:cs="宋体"/>
          <w:szCs w:val="21"/>
          <w:highlight w:val="none"/>
          <w:lang w:val="en-US" w:eastAsia="zh-CN"/>
        </w:rPr>
        <w:t>15.</w:t>
      </w:r>
      <w:r>
        <w:rPr>
          <w:rFonts w:hint="eastAsia" w:ascii="宋体" w:hAnsi="宋体" w:eastAsia="宋体" w:cs="宋体"/>
          <w:szCs w:val="21"/>
          <w:highlight w:val="none"/>
        </w:rPr>
        <w:t>我方不存在以下情况：为采购项目提供整体设计、规范编制或者项目管理、监理、检测等服务的供应商，再参加本采购项目的其他采购活动。</w:t>
      </w:r>
    </w:p>
    <w:p w14:paraId="7AF8BD13">
      <w:pPr>
        <w:spacing w:line="360" w:lineRule="auto"/>
        <w:ind w:firstLine="420"/>
        <w:jc w:val="both"/>
        <w:rPr>
          <w:rFonts w:hint="eastAsia" w:ascii="宋体" w:hAnsi="宋体" w:eastAsia="宋体" w:cs="宋体"/>
          <w:b/>
          <w:highlight w:val="none"/>
        </w:rPr>
      </w:pPr>
      <w:r>
        <w:rPr>
          <w:rFonts w:hint="eastAsia" w:ascii="宋体" w:hAnsi="宋体" w:eastAsia="宋体" w:cs="宋体"/>
          <w:b/>
          <w:highlight w:val="none"/>
        </w:rPr>
        <w:t>特此声明！</w:t>
      </w:r>
    </w:p>
    <w:p w14:paraId="10711003">
      <w:pPr>
        <w:spacing w:line="360" w:lineRule="auto"/>
        <w:jc w:val="both"/>
        <w:rPr>
          <w:rFonts w:hint="eastAsia" w:ascii="宋体" w:hAnsi="宋体" w:eastAsia="宋体" w:cs="宋体"/>
          <w:b/>
          <w:highlight w:val="none"/>
        </w:rPr>
      </w:pPr>
      <w:r>
        <w:rPr>
          <w:rFonts w:hint="eastAsia" w:ascii="宋体" w:hAnsi="宋体" w:eastAsia="宋体" w:cs="宋体"/>
          <w:b/>
          <w:highlight w:val="none"/>
        </w:rPr>
        <w:t>附件：</w:t>
      </w:r>
    </w:p>
    <w:p w14:paraId="45B31564">
      <w:pPr>
        <w:numPr>
          <w:ilvl w:val="0"/>
          <w:numId w:val="0"/>
        </w:numPr>
        <w:snapToGrid w:val="0"/>
        <w:spacing w:line="240" w:lineRule="auto"/>
        <w:jc w:val="both"/>
        <w:rPr>
          <w:rFonts w:hint="eastAsia" w:ascii="宋体" w:hAnsi="宋体" w:eastAsia="宋体" w:cs="宋体"/>
          <w:highlight w:val="none"/>
        </w:rPr>
      </w:pPr>
      <w:r>
        <w:rPr>
          <w:rFonts w:hint="eastAsia" w:ascii="宋体" w:hAnsi="宋体" w:eastAsia="宋体" w:cs="宋体"/>
          <w:kern w:val="2"/>
          <w:sz w:val="21"/>
          <w:szCs w:val="24"/>
          <w:highlight w:val="none"/>
          <w:lang w:val="en-US" w:eastAsia="zh-CN" w:bidi="ar-SA"/>
        </w:rPr>
        <w:t>1.</w:t>
      </w:r>
      <w:r>
        <w:rPr>
          <w:rFonts w:hint="eastAsia" w:ascii="宋体" w:hAnsi="宋体" w:eastAsia="宋体" w:cs="宋体"/>
          <w:highlight w:val="none"/>
          <w:lang w:val="en-US" w:eastAsia="zh-CN"/>
        </w:rPr>
        <w:t>提供有有效的《食品经营许可证》或者经市场监督管理部门批准的食品经营许可文件</w:t>
      </w:r>
    </w:p>
    <w:p w14:paraId="17E220AE">
      <w:pPr>
        <w:autoSpaceDE w:val="0"/>
        <w:autoSpaceDN w:val="0"/>
        <w:adjustRightInd w:val="0"/>
        <w:ind w:right="246"/>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2.提供不存在为采购项目提供整体设计、规范编制或者项目管理、监理、检测等服务的声明函（加盖公章）</w:t>
      </w:r>
    </w:p>
    <w:p w14:paraId="31B8A97D">
      <w:pPr>
        <w:autoSpaceDE w:val="0"/>
        <w:autoSpaceDN w:val="0"/>
        <w:adjustRightInd w:val="0"/>
        <w:ind w:right="246"/>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3.提供不存在单位负责人为同一人或者存在控股、管理关系的不同单位，参加同一包号投标或者未划分包号的同一招标项目投标的声明函（加盖公章）</w:t>
      </w:r>
    </w:p>
    <w:p w14:paraId="06CFD023">
      <w:pPr>
        <w:autoSpaceDE w:val="0"/>
        <w:autoSpaceDN w:val="0"/>
        <w:adjustRightInd w:val="0"/>
        <w:ind w:right="246"/>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4.提供信用中国”网站（www.creditchina.gov.cn）、“中国政府采购网”（ www.ccgp.gov.cn）信用记录信息的查询截图</w:t>
      </w:r>
    </w:p>
    <w:p w14:paraId="1C6BA16F">
      <w:pPr>
        <w:autoSpaceDE w:val="0"/>
        <w:autoSpaceDN w:val="0"/>
        <w:adjustRightInd w:val="0"/>
        <w:ind w:right="246"/>
        <w:rPr>
          <w:rFonts w:hint="default" w:ascii="宋体" w:hAnsi="宋体" w:eastAsia="宋体" w:cs="宋体"/>
          <w:kern w:val="0"/>
          <w:szCs w:val="21"/>
          <w:highlight w:val="none"/>
          <w:lang w:val="en-US" w:eastAsia="zh-CN"/>
        </w:rPr>
      </w:pPr>
    </w:p>
    <w:p w14:paraId="5BB792DB">
      <w:pPr>
        <w:autoSpaceDE w:val="0"/>
        <w:autoSpaceDN w:val="0"/>
        <w:adjustRightInd w:val="0"/>
        <w:ind w:right="246"/>
        <w:rPr>
          <w:rFonts w:hint="eastAsia" w:ascii="宋体" w:hAnsi="宋体" w:eastAsia="宋体" w:cs="宋体"/>
          <w:kern w:val="0"/>
          <w:szCs w:val="21"/>
          <w:highlight w:val="none"/>
        </w:rPr>
      </w:pPr>
      <w:r>
        <w:rPr>
          <w:rFonts w:hint="eastAsia" w:ascii="宋体" w:hAnsi="宋体" w:eastAsia="宋体" w:cs="宋体"/>
          <w:kern w:val="0"/>
          <w:szCs w:val="21"/>
          <w:highlight w:val="none"/>
        </w:rPr>
        <w:t>投标人：</w:t>
      </w:r>
    </w:p>
    <w:p w14:paraId="5FD09B9F">
      <w:pPr>
        <w:autoSpaceDE w:val="0"/>
        <w:autoSpaceDN w:val="0"/>
        <w:adjustRightInd w:val="0"/>
        <w:ind w:right="246"/>
        <w:rPr>
          <w:rFonts w:hint="eastAsia" w:ascii="宋体" w:hAnsi="宋体" w:eastAsia="宋体" w:cs="宋体"/>
          <w:kern w:val="0"/>
          <w:szCs w:val="21"/>
          <w:highlight w:val="none"/>
        </w:rPr>
      </w:pPr>
      <w:r>
        <w:rPr>
          <w:rFonts w:hint="eastAsia" w:ascii="宋体" w:hAnsi="宋体" w:eastAsia="宋体" w:cs="宋体"/>
          <w:kern w:val="0"/>
          <w:szCs w:val="21"/>
          <w:highlight w:val="none"/>
        </w:rPr>
        <w:t>地址：</w:t>
      </w:r>
    </w:p>
    <w:p w14:paraId="49D1D93B">
      <w:pPr>
        <w:autoSpaceDE w:val="0"/>
        <w:autoSpaceDN w:val="0"/>
        <w:adjustRightInd w:val="0"/>
        <w:ind w:right="246"/>
        <w:rPr>
          <w:rFonts w:hint="eastAsia" w:ascii="宋体" w:hAnsi="宋体" w:eastAsia="宋体" w:cs="宋体"/>
          <w:kern w:val="0"/>
          <w:szCs w:val="21"/>
          <w:highlight w:val="none"/>
        </w:rPr>
      </w:pPr>
      <w:r>
        <w:rPr>
          <w:rFonts w:hint="eastAsia" w:ascii="宋体" w:hAnsi="宋体" w:eastAsia="宋体" w:cs="宋体"/>
          <w:kern w:val="0"/>
          <w:szCs w:val="21"/>
          <w:highlight w:val="none"/>
        </w:rPr>
        <w:t>传真：</w:t>
      </w:r>
    </w:p>
    <w:p w14:paraId="3533CB80">
      <w:pPr>
        <w:autoSpaceDE w:val="0"/>
        <w:autoSpaceDN w:val="0"/>
        <w:adjustRightInd w:val="0"/>
        <w:ind w:right="33"/>
        <w:rPr>
          <w:rFonts w:hint="eastAsia" w:ascii="宋体" w:hAnsi="宋体" w:eastAsia="宋体" w:cs="宋体"/>
          <w:kern w:val="0"/>
          <w:szCs w:val="21"/>
          <w:highlight w:val="none"/>
        </w:rPr>
      </w:pPr>
      <w:r>
        <w:rPr>
          <w:rFonts w:hint="eastAsia" w:ascii="宋体" w:hAnsi="宋体" w:eastAsia="宋体" w:cs="宋体"/>
          <w:kern w:val="0"/>
          <w:szCs w:val="21"/>
          <w:highlight w:val="none"/>
        </w:rPr>
        <w:t>电话：</w:t>
      </w:r>
    </w:p>
    <w:p w14:paraId="2D037133">
      <w:pPr>
        <w:autoSpaceDE w:val="0"/>
        <w:autoSpaceDN w:val="0"/>
        <w:adjustRightInd w:val="0"/>
        <w:ind w:right="246"/>
        <w:rPr>
          <w:rFonts w:hint="eastAsia" w:ascii="宋体" w:hAnsi="宋体" w:eastAsia="宋体" w:cs="宋体"/>
          <w:kern w:val="0"/>
          <w:szCs w:val="21"/>
          <w:highlight w:val="none"/>
        </w:rPr>
      </w:pPr>
      <w:r>
        <w:rPr>
          <w:rFonts w:hint="eastAsia" w:ascii="宋体" w:hAnsi="宋体" w:eastAsia="宋体" w:cs="宋体"/>
          <w:kern w:val="0"/>
          <w:szCs w:val="21"/>
          <w:highlight w:val="none"/>
        </w:rPr>
        <w:t>电子邮件：</w:t>
      </w:r>
    </w:p>
    <w:p w14:paraId="2518277E">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投标人（法定代表人授权代表）代表签字：</w:t>
      </w:r>
    </w:p>
    <w:p w14:paraId="7A4363F9">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 xml:space="preserve">投标人名称(公章)： </w:t>
      </w:r>
    </w:p>
    <w:p w14:paraId="094633E0">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开户银行：</w:t>
      </w:r>
    </w:p>
    <w:p w14:paraId="0FD5C08B">
      <w:pPr>
        <w:tabs>
          <w:tab w:val="left" w:pos="5250"/>
        </w:tabs>
        <w:autoSpaceDE w:val="0"/>
        <w:autoSpaceDN w:val="0"/>
        <w:rPr>
          <w:rFonts w:hint="eastAsia" w:ascii="宋体" w:hAnsi="宋体" w:eastAsia="宋体" w:cs="宋体"/>
          <w:szCs w:val="21"/>
          <w:highlight w:val="none"/>
          <w:u w:val="single"/>
        </w:rPr>
      </w:pPr>
      <w:r>
        <w:rPr>
          <w:rFonts w:hint="eastAsia" w:ascii="宋体" w:hAnsi="宋体" w:eastAsia="宋体" w:cs="宋体"/>
          <w:szCs w:val="21"/>
          <w:highlight w:val="none"/>
        </w:rPr>
        <w:t>账号：</w:t>
      </w:r>
    </w:p>
    <w:p w14:paraId="6429D603">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日期：</w:t>
      </w:r>
    </w:p>
    <w:p w14:paraId="4D79E22C">
      <w:pPr>
        <w:adjustRightInd w:val="0"/>
        <w:snapToGrid w:val="0"/>
        <w:rPr>
          <w:rFonts w:hint="eastAsia" w:ascii="宋体" w:hAnsi="宋体" w:eastAsia="宋体" w:cs="宋体"/>
          <w:szCs w:val="21"/>
          <w:highlight w:val="none"/>
          <w:u w:val="single"/>
        </w:rPr>
      </w:pPr>
    </w:p>
    <w:p w14:paraId="0E974FF9">
      <w:pPr>
        <w:adjustRightInd w:val="0"/>
        <w:snapToGrid w:val="0"/>
        <w:spacing w:line="400" w:lineRule="exact"/>
        <w:rPr>
          <w:rFonts w:hint="eastAsia" w:ascii="宋体" w:hAnsi="宋体" w:eastAsia="宋体" w:cs="宋体"/>
          <w:sz w:val="28"/>
          <w:szCs w:val="28"/>
          <w:highlight w:val="none"/>
          <w:u w:val="single"/>
        </w:rPr>
      </w:pPr>
    </w:p>
    <w:p w14:paraId="262E15EF">
      <w:pPr>
        <w:adjustRightInd w:val="0"/>
        <w:snapToGrid w:val="0"/>
        <w:spacing w:line="400" w:lineRule="exact"/>
        <w:rPr>
          <w:rFonts w:hint="eastAsia" w:ascii="宋体" w:hAnsi="宋体" w:eastAsia="宋体" w:cs="宋体"/>
          <w:sz w:val="28"/>
          <w:szCs w:val="28"/>
          <w:highlight w:val="none"/>
          <w:u w:val="single"/>
        </w:rPr>
      </w:pPr>
    </w:p>
    <w:p w14:paraId="6F620FC8">
      <w:pPr>
        <w:adjustRightInd w:val="0"/>
        <w:snapToGrid w:val="0"/>
        <w:spacing w:line="400" w:lineRule="exact"/>
        <w:rPr>
          <w:rFonts w:hint="eastAsia" w:ascii="宋体" w:hAnsi="宋体" w:eastAsia="宋体" w:cs="宋体"/>
          <w:sz w:val="28"/>
          <w:szCs w:val="28"/>
          <w:highlight w:val="none"/>
          <w:u w:val="single"/>
        </w:rPr>
      </w:pPr>
    </w:p>
    <w:p w14:paraId="7127A4C4">
      <w:pPr>
        <w:jc w:val="center"/>
        <w:rPr>
          <w:rFonts w:hint="eastAsia" w:ascii="宋体" w:hAnsi="宋体" w:eastAsia="宋体" w:cs="宋体"/>
          <w:b/>
          <w:sz w:val="28"/>
          <w:szCs w:val="28"/>
          <w:highlight w:val="none"/>
        </w:rPr>
      </w:pPr>
      <w:r>
        <w:rPr>
          <w:rFonts w:hint="eastAsia" w:ascii="宋体" w:hAnsi="宋体" w:eastAsia="宋体" w:cs="宋体"/>
          <w:highlight w:val="none"/>
        </w:rPr>
        <w:br w:type="page"/>
      </w:r>
      <w:r>
        <w:rPr>
          <w:rFonts w:hint="eastAsia" w:ascii="宋体" w:hAnsi="宋体" w:eastAsia="宋体" w:cs="宋体"/>
          <w:b/>
          <w:sz w:val="28"/>
          <w:szCs w:val="28"/>
          <w:highlight w:val="none"/>
        </w:rPr>
        <w:t>企业股东构成情况表</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4BBB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F0A86B6">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12A43E00">
            <w:pPr>
              <w:topLinePunct/>
              <w:spacing w:line="440" w:lineRule="exact"/>
              <w:jc w:val="center"/>
              <w:rPr>
                <w:rFonts w:hint="eastAsia" w:ascii="宋体" w:hAnsi="宋体" w:eastAsia="宋体" w:cs="宋体"/>
                <w:szCs w:val="21"/>
                <w:highlight w:val="none"/>
              </w:rPr>
            </w:pPr>
          </w:p>
        </w:tc>
      </w:tr>
      <w:tr w14:paraId="6217B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18FF487">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77BD094D">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60CD2508">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1E1A20CC">
            <w:pPr>
              <w:topLinePunct/>
              <w:spacing w:line="440" w:lineRule="exact"/>
              <w:jc w:val="center"/>
              <w:rPr>
                <w:rFonts w:hint="eastAsia" w:ascii="宋体" w:hAnsi="宋体" w:eastAsia="宋体" w:cs="宋体"/>
                <w:szCs w:val="21"/>
                <w:highlight w:val="none"/>
              </w:rPr>
            </w:pPr>
          </w:p>
        </w:tc>
      </w:tr>
      <w:tr w14:paraId="524AA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2E04ECDE">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0B8C78F0">
            <w:pPr>
              <w:topLinePunct/>
              <w:spacing w:line="440" w:lineRule="exact"/>
              <w:jc w:val="center"/>
              <w:rPr>
                <w:rFonts w:hint="eastAsia" w:ascii="宋体" w:hAnsi="宋体" w:eastAsia="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425E1CFC">
            <w:pPr>
              <w:topLinePunct/>
              <w:spacing w:line="440" w:lineRule="exact"/>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0E79F0C4">
            <w:pPr>
              <w:topLinePunct/>
              <w:spacing w:line="440" w:lineRule="exact"/>
              <w:jc w:val="center"/>
              <w:rPr>
                <w:rFonts w:hint="eastAsia" w:ascii="宋体" w:hAnsi="宋体" w:eastAsia="宋体" w:cs="宋体"/>
                <w:szCs w:val="21"/>
                <w:highlight w:val="none"/>
              </w:rPr>
            </w:pPr>
          </w:p>
        </w:tc>
      </w:tr>
      <w:tr w14:paraId="789F7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3295F82E">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股东及出资信息</w:t>
            </w:r>
          </w:p>
        </w:tc>
      </w:tr>
      <w:tr w14:paraId="0980B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EBB6DFB">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807A7E9">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117FBEF">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股东类型</w:t>
            </w:r>
          </w:p>
          <w:p w14:paraId="066091DE">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E2AB4A5">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身份证号</w:t>
            </w:r>
          </w:p>
          <w:p w14:paraId="7EF67EAD">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38A403D7">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4644B0">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2EDEBD">
            <w:pPr>
              <w:topLinePunct/>
              <w:spacing w:line="44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占全部股份比例</w:t>
            </w:r>
          </w:p>
        </w:tc>
      </w:tr>
      <w:tr w14:paraId="75A0F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35365C0">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0C47C03">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E689A3D">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79CB92D">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37B2C5B">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9ADC62">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1C9E43">
            <w:pPr>
              <w:topLinePunct/>
              <w:spacing w:line="440" w:lineRule="exact"/>
              <w:jc w:val="center"/>
              <w:rPr>
                <w:rFonts w:hint="eastAsia" w:ascii="宋体" w:hAnsi="宋体" w:eastAsia="宋体" w:cs="宋体"/>
                <w:szCs w:val="21"/>
                <w:highlight w:val="none"/>
              </w:rPr>
            </w:pPr>
          </w:p>
        </w:tc>
      </w:tr>
      <w:tr w14:paraId="231C9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CA750B7">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342915D">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F9A6B93">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322062C">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53C1E52A">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B3AFF3">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00D6BD">
            <w:pPr>
              <w:topLinePunct/>
              <w:spacing w:line="440" w:lineRule="exact"/>
              <w:jc w:val="center"/>
              <w:rPr>
                <w:rFonts w:hint="eastAsia" w:ascii="宋体" w:hAnsi="宋体" w:eastAsia="宋体" w:cs="宋体"/>
                <w:szCs w:val="21"/>
                <w:highlight w:val="none"/>
              </w:rPr>
            </w:pPr>
          </w:p>
        </w:tc>
      </w:tr>
      <w:tr w14:paraId="287A3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F23B602">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B9E4A4">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87D3D17">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53CDF29">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536CF0EA">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F4A2D5">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480223">
            <w:pPr>
              <w:topLinePunct/>
              <w:spacing w:line="440" w:lineRule="exact"/>
              <w:jc w:val="center"/>
              <w:rPr>
                <w:rFonts w:hint="eastAsia" w:ascii="宋体" w:hAnsi="宋体" w:eastAsia="宋体" w:cs="宋体"/>
                <w:szCs w:val="21"/>
                <w:highlight w:val="none"/>
              </w:rPr>
            </w:pPr>
          </w:p>
        </w:tc>
      </w:tr>
      <w:tr w14:paraId="47323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A93F691">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617EA18">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7405011">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6091219">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E6CEC38">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07CEC5">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E02CA9">
            <w:pPr>
              <w:topLinePunct/>
              <w:spacing w:line="440" w:lineRule="exact"/>
              <w:jc w:val="center"/>
              <w:rPr>
                <w:rFonts w:hint="eastAsia" w:ascii="宋体" w:hAnsi="宋体" w:eastAsia="宋体" w:cs="宋体"/>
                <w:szCs w:val="21"/>
                <w:highlight w:val="none"/>
              </w:rPr>
            </w:pPr>
          </w:p>
        </w:tc>
      </w:tr>
      <w:tr w14:paraId="4B664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7260620">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AC73714">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7DA33E6">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629BED1">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3AA10F6">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E12EAF">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097B7C">
            <w:pPr>
              <w:topLinePunct/>
              <w:spacing w:line="440" w:lineRule="exact"/>
              <w:jc w:val="center"/>
              <w:rPr>
                <w:rFonts w:hint="eastAsia" w:ascii="宋体" w:hAnsi="宋体" w:eastAsia="宋体" w:cs="宋体"/>
                <w:szCs w:val="21"/>
                <w:highlight w:val="none"/>
              </w:rPr>
            </w:pPr>
          </w:p>
        </w:tc>
      </w:tr>
      <w:tr w14:paraId="709BF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2F242CF">
            <w:pPr>
              <w:topLinePunct/>
              <w:spacing w:line="440" w:lineRule="exact"/>
              <w:jc w:val="center"/>
              <w:rPr>
                <w:rFonts w:hint="eastAsia" w:ascii="宋体" w:hAnsi="宋体" w:eastAsia="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B6DDFAD">
            <w:pPr>
              <w:topLinePunct/>
              <w:spacing w:line="440" w:lineRule="exact"/>
              <w:jc w:val="center"/>
              <w:rPr>
                <w:rFonts w:hint="eastAsia" w:ascii="宋体" w:hAnsi="宋体" w:eastAsia="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EDEF411">
            <w:pPr>
              <w:topLinePunct/>
              <w:spacing w:line="440" w:lineRule="exact"/>
              <w:jc w:val="center"/>
              <w:rPr>
                <w:rFonts w:hint="eastAsia" w:ascii="宋体" w:hAnsi="宋体" w:eastAsia="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8EE3256">
            <w:pPr>
              <w:topLinePunct/>
              <w:spacing w:line="440" w:lineRule="exact"/>
              <w:jc w:val="center"/>
              <w:rPr>
                <w:rFonts w:hint="eastAsia" w:ascii="宋体" w:hAnsi="宋体" w:eastAsia="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5D48EA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09A167">
            <w:pPr>
              <w:topLinePunct/>
              <w:spacing w:line="440" w:lineRule="exact"/>
              <w:jc w:val="center"/>
              <w:rPr>
                <w:rFonts w:hint="eastAsia" w:ascii="宋体" w:hAnsi="宋体" w:eastAsia="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CF46AE">
            <w:pPr>
              <w:topLinePunct/>
              <w:spacing w:line="440" w:lineRule="exact"/>
              <w:jc w:val="center"/>
              <w:rPr>
                <w:rFonts w:hint="eastAsia" w:ascii="宋体" w:hAnsi="宋体" w:eastAsia="宋体" w:cs="宋体"/>
                <w:szCs w:val="21"/>
                <w:highlight w:val="none"/>
              </w:rPr>
            </w:pPr>
          </w:p>
        </w:tc>
      </w:tr>
    </w:tbl>
    <w:p w14:paraId="42A07E81">
      <w:pPr>
        <w:jc w:val="left"/>
        <w:rPr>
          <w:rFonts w:hint="eastAsia" w:ascii="宋体" w:hAnsi="宋体" w:eastAsia="宋体" w:cs="宋体"/>
          <w:szCs w:val="21"/>
          <w:highlight w:val="none"/>
        </w:rPr>
      </w:pPr>
      <w:r>
        <w:rPr>
          <w:rFonts w:hint="eastAsia" w:ascii="宋体" w:hAnsi="宋体" w:eastAsia="宋体" w:cs="宋体"/>
          <w:szCs w:val="21"/>
          <w:highlight w:val="none"/>
        </w:rPr>
        <w:t>备注：</w:t>
      </w:r>
    </w:p>
    <w:p w14:paraId="130B57F7">
      <w:pPr>
        <w:jc w:val="left"/>
        <w:rPr>
          <w:rFonts w:hint="eastAsia" w:ascii="宋体" w:hAnsi="宋体" w:eastAsia="宋体" w:cs="宋体"/>
          <w:szCs w:val="21"/>
          <w:highlight w:val="none"/>
        </w:rPr>
      </w:pPr>
      <w:r>
        <w:rPr>
          <w:rFonts w:hint="eastAsia" w:ascii="宋体" w:hAnsi="宋体" w:eastAsia="宋体" w:cs="宋体"/>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62B2CA7A">
      <w:pPr>
        <w:jc w:val="left"/>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 w:val="20"/>
          <w:szCs w:val="18"/>
          <w:highlight w:val="none"/>
        </w:rPr>
        <w:t>投标人必须如实填写股东构成情况</w:t>
      </w:r>
      <w:r>
        <w:rPr>
          <w:rFonts w:hint="eastAsia" w:ascii="宋体" w:hAnsi="宋体" w:eastAsia="宋体" w:cs="宋体"/>
          <w:szCs w:val="21"/>
          <w:highlight w:val="none"/>
        </w:rPr>
        <w:t>，同时打印“国家企业信用信息公示系统” (网站：https://www.gsxt.gov.cn/)网页查询的信息截图。</w:t>
      </w:r>
    </w:p>
    <w:p w14:paraId="411120C9">
      <w:pPr>
        <w:rPr>
          <w:rFonts w:hint="eastAsia" w:ascii="宋体" w:hAnsi="宋体" w:eastAsia="宋体" w:cs="宋体"/>
          <w:b/>
          <w:sz w:val="24"/>
          <w:highlight w:val="none"/>
        </w:rPr>
      </w:pPr>
      <w:r>
        <w:rPr>
          <w:rFonts w:hint="eastAsia" w:ascii="宋体" w:hAnsi="宋体" w:eastAsia="宋体" w:cs="宋体"/>
          <w:sz w:val="20"/>
          <w:szCs w:val="18"/>
          <w:highlight w:val="none"/>
        </w:rPr>
        <w:t>3.本表格如有虚假或与事实不符，作无效投标处理。</w:t>
      </w:r>
      <w:r>
        <w:rPr>
          <w:rFonts w:hint="eastAsia" w:ascii="宋体" w:hAnsi="宋体" w:eastAsia="宋体" w:cs="宋体"/>
          <w:highlight w:val="none"/>
        </w:rPr>
        <w:br w:type="page"/>
      </w:r>
      <w:r>
        <w:rPr>
          <w:rFonts w:hint="eastAsia" w:ascii="宋体" w:hAnsi="宋体" w:eastAsia="宋体" w:cs="宋体"/>
          <w:b/>
          <w:sz w:val="24"/>
          <w:highlight w:val="none"/>
        </w:rPr>
        <w:t>2.2法定代表人/负责人资格证明书及授权委托书</w:t>
      </w:r>
    </w:p>
    <w:p w14:paraId="1AAFCFD1">
      <w:pPr>
        <w:spacing w:line="480" w:lineRule="exact"/>
        <w:jc w:val="center"/>
        <w:rPr>
          <w:rFonts w:hint="eastAsia" w:ascii="宋体" w:hAnsi="宋体" w:eastAsia="宋体" w:cs="宋体"/>
          <w:b/>
          <w:sz w:val="28"/>
          <w:szCs w:val="28"/>
          <w:highlight w:val="none"/>
        </w:rPr>
      </w:pPr>
    </w:p>
    <w:p w14:paraId="750BC1B1">
      <w:pPr>
        <w:spacing w:line="48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（1）法定代表人/负责人资格证明书</w:t>
      </w:r>
    </w:p>
    <w:p w14:paraId="6F08AE27">
      <w:pPr>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招标人</w:t>
      </w:r>
      <w:r>
        <w:rPr>
          <w:rFonts w:hint="eastAsia" w:ascii="宋体" w:hAnsi="宋体" w:eastAsia="宋体" w:cs="宋体"/>
          <w:szCs w:val="21"/>
          <w:highlight w:val="none"/>
        </w:rPr>
        <w:t>/</w:t>
      </w:r>
      <w:r>
        <w:rPr>
          <w:rFonts w:hint="eastAsia" w:ascii="宋体" w:hAnsi="宋体" w:eastAsia="宋体" w:cs="宋体"/>
          <w:szCs w:val="21"/>
          <w:highlight w:val="none"/>
          <w:u w:val="single"/>
        </w:rPr>
        <w:t>招标代理机构</w:t>
      </w:r>
      <w:r>
        <w:rPr>
          <w:rFonts w:hint="eastAsia" w:ascii="宋体" w:hAnsi="宋体" w:eastAsia="宋体" w:cs="宋体"/>
          <w:szCs w:val="21"/>
          <w:highlight w:val="none"/>
        </w:rPr>
        <w:t>：</w:t>
      </w:r>
    </w:p>
    <w:p w14:paraId="1106A9C6">
      <w:pPr>
        <w:rPr>
          <w:rFonts w:hint="eastAsia" w:ascii="宋体" w:hAnsi="宋体" w:eastAsia="宋体" w:cs="宋体"/>
          <w:szCs w:val="21"/>
          <w:highlight w:val="none"/>
        </w:rPr>
      </w:pPr>
    </w:p>
    <w:p w14:paraId="4E4DC5ED">
      <w:pPr>
        <w:rPr>
          <w:rFonts w:hint="eastAsia" w:ascii="宋体" w:hAnsi="宋体" w:eastAsia="宋体" w:cs="宋体"/>
          <w:szCs w:val="21"/>
          <w:highlight w:val="none"/>
        </w:rPr>
      </w:pPr>
      <w:r>
        <w:rPr>
          <w:rFonts w:hint="eastAsia" w:ascii="宋体" w:hAnsi="宋体" w:eastAsia="宋体" w:cs="宋体"/>
          <w:szCs w:val="21"/>
          <w:highlight w:val="none"/>
        </w:rPr>
        <w:t>同志，现任我单位职务，为法定代表人，特此证明。</w:t>
      </w:r>
    </w:p>
    <w:p w14:paraId="764B563D">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签发日期：           单位：           （单位公章）</w:t>
      </w:r>
    </w:p>
    <w:p w14:paraId="554BB389">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附：代表人性别：            年龄：           身份证号码：</w:t>
      </w:r>
    </w:p>
    <w:p w14:paraId="33274410">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联系电话：</w:t>
      </w:r>
    </w:p>
    <w:p w14:paraId="57D7E7DE">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营业执照号码：                       经济性质：</w:t>
      </w:r>
    </w:p>
    <w:p w14:paraId="1FB910B0">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主营：</w:t>
      </w:r>
    </w:p>
    <w:p w14:paraId="33B2D9C4">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兼营：</w:t>
      </w:r>
    </w:p>
    <w:p w14:paraId="1CCDA85A">
      <w:pPr>
        <w:ind w:firstLine="210" w:firstLineChars="100"/>
        <w:rPr>
          <w:rFonts w:hint="eastAsia" w:ascii="宋体" w:hAnsi="宋体" w:eastAsia="宋体" w:cs="宋体"/>
          <w:szCs w:val="21"/>
          <w:highlight w:val="none"/>
        </w:rPr>
      </w:pPr>
    </w:p>
    <w:p w14:paraId="744430A7">
      <w:pPr>
        <w:rPr>
          <w:rFonts w:hint="eastAsia" w:ascii="宋体" w:hAnsi="宋体" w:eastAsia="宋体" w:cs="宋体"/>
          <w:szCs w:val="21"/>
          <w:highlight w:val="none"/>
        </w:rPr>
      </w:pPr>
      <w:r>
        <w:rPr>
          <w:rFonts w:hint="eastAsia" w:ascii="宋体" w:hAnsi="宋体" w:eastAsia="宋体" w:cs="宋体"/>
          <w:szCs w:val="21"/>
          <w:highlight w:val="none"/>
        </w:rPr>
        <w:t>说明：1.法定代表人为企业事业单位、国家机关、社会团体的主要行政负责人。</w:t>
      </w:r>
    </w:p>
    <w:p w14:paraId="16B734DB">
      <w:pPr>
        <w:rPr>
          <w:rFonts w:hint="eastAsia" w:ascii="宋体" w:hAnsi="宋体" w:eastAsia="宋体" w:cs="宋体"/>
          <w:szCs w:val="21"/>
          <w:highlight w:val="none"/>
        </w:rPr>
      </w:pPr>
      <w:r>
        <w:rPr>
          <w:rFonts w:hint="eastAsia" w:ascii="宋体" w:hAnsi="宋体" w:eastAsia="宋体" w:cs="宋体"/>
          <w:szCs w:val="21"/>
          <w:highlight w:val="none"/>
        </w:rPr>
        <w:t xml:space="preserve">      2.内容必须填写真实、清楚、涂改无效，不得转让、买卖。</w:t>
      </w:r>
    </w:p>
    <w:p w14:paraId="45824008">
      <w:pPr>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3.将此证明书提交对方作为合同附件</w:t>
      </w:r>
      <w:r>
        <w:rPr>
          <w:rFonts w:hint="eastAsia" w:ascii="宋体" w:hAnsi="宋体" w:eastAsia="宋体" w:cs="宋体"/>
          <w:b/>
          <w:szCs w:val="21"/>
          <w:highlight w:val="none"/>
        </w:rPr>
        <w:t>。</w:t>
      </w:r>
    </w:p>
    <w:p w14:paraId="2569DC42">
      <w:pPr>
        <w:rPr>
          <w:rFonts w:hint="eastAsia" w:ascii="宋体" w:hAnsi="宋体" w:eastAsia="宋体" w:cs="宋体"/>
          <w:sz w:val="28"/>
          <w:szCs w:val="28"/>
          <w:highlight w:val="non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55A5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9287" w:type="dxa"/>
            <w:noWrap w:val="0"/>
            <w:vAlign w:val="center"/>
          </w:tcPr>
          <w:p w14:paraId="21A5F05C">
            <w:pPr>
              <w:jc w:val="center"/>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粘贴法定代表人身份证复印件</w:t>
            </w:r>
          </w:p>
        </w:tc>
      </w:tr>
    </w:tbl>
    <w:p w14:paraId="233E5748">
      <w:pPr>
        <w:rPr>
          <w:rFonts w:hint="eastAsia" w:ascii="宋体" w:hAnsi="宋体" w:eastAsia="宋体" w:cs="宋体"/>
          <w:b/>
          <w:sz w:val="28"/>
          <w:szCs w:val="28"/>
          <w:highlight w:val="none"/>
        </w:rPr>
      </w:pPr>
    </w:p>
    <w:p w14:paraId="541A375F">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b/>
          <w:sz w:val="28"/>
          <w:szCs w:val="28"/>
          <w:highlight w:val="none"/>
        </w:rPr>
        <w:t>（2）法定代表人/负责人授权委托书</w:t>
      </w:r>
    </w:p>
    <w:p w14:paraId="3ED3FA07">
      <w:pPr>
        <w:spacing w:line="360" w:lineRule="auto"/>
        <w:rPr>
          <w:rFonts w:hint="eastAsia" w:ascii="宋体" w:hAnsi="宋体" w:eastAsia="宋体" w:cs="宋体"/>
          <w:sz w:val="28"/>
          <w:szCs w:val="28"/>
          <w:highlight w:val="none"/>
        </w:rPr>
      </w:pPr>
    </w:p>
    <w:p w14:paraId="42B86834">
      <w:pPr>
        <w:rPr>
          <w:rFonts w:hint="eastAsia" w:ascii="宋体" w:hAnsi="宋体" w:eastAsia="宋体" w:cs="宋体"/>
          <w:sz w:val="24"/>
          <w:highlight w:val="none"/>
        </w:rPr>
      </w:pPr>
      <w:r>
        <w:rPr>
          <w:rFonts w:hint="eastAsia" w:ascii="宋体" w:hAnsi="宋体" w:eastAsia="宋体" w:cs="宋体"/>
          <w:sz w:val="24"/>
          <w:highlight w:val="none"/>
        </w:rPr>
        <w:t>致：招标人/招标代理机构：</w:t>
      </w:r>
    </w:p>
    <w:p w14:paraId="4363035A">
      <w:pPr>
        <w:rPr>
          <w:rFonts w:hint="eastAsia" w:ascii="宋体" w:hAnsi="宋体" w:eastAsia="宋体" w:cs="宋体"/>
          <w:sz w:val="24"/>
          <w:highlight w:val="none"/>
        </w:rPr>
      </w:pPr>
    </w:p>
    <w:p w14:paraId="0B8CD55A">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兹授权同志，为我方签订经济合同及办理其他事务代理人，其权限是：</w:t>
      </w:r>
    </w:p>
    <w:p w14:paraId="5B7BB74B">
      <w:pPr>
        <w:rPr>
          <w:rFonts w:hint="eastAsia" w:ascii="宋体" w:hAnsi="宋体" w:eastAsia="宋体" w:cs="宋体"/>
          <w:sz w:val="24"/>
          <w:highlight w:val="none"/>
        </w:rPr>
      </w:pPr>
      <w:r>
        <w:rPr>
          <w:rFonts w:hint="eastAsia" w:ascii="宋体" w:hAnsi="宋体" w:eastAsia="宋体" w:cs="宋体"/>
          <w:sz w:val="24"/>
          <w:highlight w:val="none"/>
        </w:rPr>
        <w:t>。</w:t>
      </w:r>
    </w:p>
    <w:p w14:paraId="7906B5FC">
      <w:pPr>
        <w:rPr>
          <w:rFonts w:hint="eastAsia" w:ascii="宋体" w:hAnsi="宋体" w:eastAsia="宋体" w:cs="宋体"/>
          <w:sz w:val="24"/>
          <w:highlight w:val="none"/>
        </w:rPr>
      </w:pPr>
      <w:r>
        <w:rPr>
          <w:rFonts w:hint="eastAsia" w:ascii="宋体" w:hAnsi="宋体" w:eastAsia="宋体" w:cs="宋体"/>
          <w:sz w:val="24"/>
          <w:highlight w:val="none"/>
        </w:rPr>
        <w:t>授权单位：          （盖章）     法定代表人              （签名或盖私章）</w:t>
      </w:r>
    </w:p>
    <w:p w14:paraId="5B23EE1B">
      <w:pPr>
        <w:rPr>
          <w:rFonts w:hint="eastAsia" w:ascii="宋体" w:hAnsi="宋体" w:eastAsia="宋体" w:cs="宋体"/>
          <w:sz w:val="24"/>
          <w:highlight w:val="none"/>
        </w:rPr>
      </w:pPr>
      <w:r>
        <w:rPr>
          <w:rFonts w:hint="eastAsia" w:ascii="宋体" w:hAnsi="宋体" w:eastAsia="宋体" w:cs="宋体"/>
          <w:sz w:val="24"/>
          <w:highlight w:val="none"/>
        </w:rPr>
        <w:t>有效期限：至        年       月      日       签发日期：</w:t>
      </w:r>
    </w:p>
    <w:p w14:paraId="16EF6D02">
      <w:pPr>
        <w:rPr>
          <w:rFonts w:hint="eastAsia" w:ascii="宋体" w:hAnsi="宋体" w:eastAsia="宋体" w:cs="宋体"/>
          <w:sz w:val="24"/>
          <w:highlight w:val="none"/>
        </w:rPr>
      </w:pPr>
      <w:r>
        <w:rPr>
          <w:rFonts w:hint="eastAsia" w:ascii="宋体" w:hAnsi="宋体" w:eastAsia="宋体" w:cs="宋体"/>
          <w:sz w:val="24"/>
          <w:highlight w:val="none"/>
        </w:rPr>
        <w:t>附：代理人性别：        年龄：       职务：         身份证号码：</w:t>
      </w:r>
    </w:p>
    <w:p w14:paraId="53D22920">
      <w:pPr>
        <w:rPr>
          <w:rFonts w:hint="eastAsia" w:ascii="宋体" w:hAnsi="宋体" w:eastAsia="宋体" w:cs="宋体"/>
          <w:sz w:val="24"/>
          <w:highlight w:val="none"/>
        </w:rPr>
      </w:pPr>
      <w:r>
        <w:rPr>
          <w:rFonts w:hint="eastAsia" w:ascii="宋体" w:hAnsi="宋体" w:eastAsia="宋体" w:cs="宋体"/>
          <w:sz w:val="24"/>
          <w:highlight w:val="none"/>
        </w:rPr>
        <w:t xml:space="preserve">  联系电话：</w:t>
      </w:r>
    </w:p>
    <w:p w14:paraId="31665A7E">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营业执照号码：                         经济性质：</w:t>
      </w:r>
    </w:p>
    <w:p w14:paraId="4BD40486">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主营（产）：</w:t>
      </w:r>
    </w:p>
    <w:p w14:paraId="404B0ED0">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兼营（产）：</w:t>
      </w:r>
    </w:p>
    <w:p w14:paraId="698C8422">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进口物品经营许可证号码：</w:t>
      </w:r>
    </w:p>
    <w:p w14:paraId="233B8198">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主营：</w:t>
      </w:r>
    </w:p>
    <w:p w14:paraId="411144F9">
      <w:pPr>
        <w:ind w:firstLine="240" w:firstLineChars="100"/>
        <w:rPr>
          <w:rFonts w:hint="eastAsia" w:ascii="宋体" w:hAnsi="宋体" w:eastAsia="宋体" w:cs="宋体"/>
          <w:sz w:val="24"/>
          <w:highlight w:val="none"/>
        </w:rPr>
      </w:pPr>
      <w:r>
        <w:rPr>
          <w:rFonts w:hint="eastAsia" w:ascii="宋体" w:hAnsi="宋体" w:eastAsia="宋体" w:cs="宋体"/>
          <w:sz w:val="24"/>
          <w:highlight w:val="none"/>
        </w:rPr>
        <w:t>兼营：</w:t>
      </w:r>
    </w:p>
    <w:p w14:paraId="20802E08">
      <w:pPr>
        <w:ind w:left="1"/>
        <w:rPr>
          <w:rFonts w:hint="eastAsia" w:ascii="宋体" w:hAnsi="宋体" w:eastAsia="宋体" w:cs="宋体"/>
          <w:sz w:val="24"/>
          <w:highlight w:val="none"/>
        </w:rPr>
      </w:pPr>
    </w:p>
    <w:p w14:paraId="336ED489">
      <w:pPr>
        <w:ind w:left="1"/>
        <w:rPr>
          <w:rFonts w:hint="eastAsia" w:ascii="宋体" w:hAnsi="宋体" w:eastAsia="宋体" w:cs="宋体"/>
          <w:sz w:val="24"/>
          <w:highlight w:val="none"/>
        </w:rPr>
      </w:pPr>
      <w:r>
        <w:rPr>
          <w:rFonts w:hint="eastAsia" w:ascii="宋体" w:hAnsi="宋体" w:eastAsia="宋体" w:cs="宋体"/>
          <w:sz w:val="24"/>
          <w:highlight w:val="none"/>
        </w:rPr>
        <w:t>说明：</w:t>
      </w:r>
    </w:p>
    <w:p w14:paraId="3348A870">
      <w:pPr>
        <w:ind w:left="1" w:firstLine="537" w:firstLineChars="224"/>
        <w:rPr>
          <w:rFonts w:hint="eastAsia" w:ascii="宋体" w:hAnsi="宋体" w:eastAsia="宋体" w:cs="宋体"/>
          <w:sz w:val="24"/>
          <w:highlight w:val="none"/>
        </w:rPr>
      </w:pPr>
      <w:r>
        <w:rPr>
          <w:rFonts w:hint="eastAsia" w:ascii="宋体" w:hAnsi="宋体" w:eastAsia="宋体" w:cs="宋体"/>
          <w:sz w:val="24"/>
          <w:highlight w:val="none"/>
        </w:rPr>
        <w:t>1.法定代表人为企业事业单位、国家机关、社会团体的主要行政负责人。</w:t>
      </w:r>
    </w:p>
    <w:p w14:paraId="315F0607">
      <w:pPr>
        <w:ind w:firstLine="537" w:firstLineChars="224"/>
        <w:rPr>
          <w:rFonts w:hint="eastAsia" w:ascii="宋体" w:hAnsi="宋体" w:eastAsia="宋体" w:cs="宋体"/>
          <w:sz w:val="24"/>
          <w:highlight w:val="none"/>
        </w:rPr>
      </w:pPr>
      <w:r>
        <w:rPr>
          <w:rFonts w:hint="eastAsia" w:ascii="宋体" w:hAnsi="宋体" w:eastAsia="宋体" w:cs="宋体"/>
          <w:sz w:val="24"/>
          <w:highlight w:val="none"/>
        </w:rPr>
        <w:t>2.内容必须填写真实、清楚、涂改无效，不得转让、买卖。</w:t>
      </w:r>
    </w:p>
    <w:p w14:paraId="6D923797">
      <w:pPr>
        <w:ind w:firstLine="537" w:firstLineChars="224"/>
        <w:rPr>
          <w:rFonts w:hint="eastAsia" w:ascii="宋体" w:hAnsi="宋体" w:eastAsia="宋体" w:cs="宋体"/>
          <w:b/>
          <w:sz w:val="24"/>
          <w:highlight w:val="none"/>
        </w:rPr>
      </w:pPr>
      <w:r>
        <w:rPr>
          <w:rFonts w:hint="eastAsia" w:ascii="宋体" w:hAnsi="宋体" w:eastAsia="宋体" w:cs="宋体"/>
          <w:sz w:val="24"/>
          <w:highlight w:val="none"/>
        </w:rPr>
        <w:t>3.将此证明书提交对方作为合同附件</w:t>
      </w:r>
      <w:r>
        <w:rPr>
          <w:rFonts w:hint="eastAsia" w:ascii="宋体" w:hAnsi="宋体" w:eastAsia="宋体" w:cs="宋体"/>
          <w:b/>
          <w:sz w:val="24"/>
          <w:highlight w:val="none"/>
        </w:rPr>
        <w:t>。</w:t>
      </w:r>
    </w:p>
    <w:p w14:paraId="7633E8E8">
      <w:pPr>
        <w:ind w:firstLine="537" w:firstLineChars="224"/>
        <w:rPr>
          <w:rFonts w:hint="eastAsia" w:ascii="宋体" w:hAnsi="宋体" w:eastAsia="宋体" w:cs="宋体"/>
          <w:sz w:val="24"/>
          <w:highlight w:val="none"/>
        </w:rPr>
      </w:pPr>
      <w:r>
        <w:rPr>
          <w:rFonts w:hint="eastAsia" w:ascii="宋体" w:hAnsi="宋体" w:eastAsia="宋体" w:cs="宋体"/>
          <w:sz w:val="24"/>
          <w:highlight w:val="none"/>
        </w:rPr>
        <w:t>4.授权权限：全权代表本公司参与上述项目的投标响应，负责提供与签署确认一切文书资料，以及向贵方递交的任何补充承诺。</w:t>
      </w:r>
    </w:p>
    <w:p w14:paraId="6FA5CFE4">
      <w:pPr>
        <w:ind w:firstLine="537" w:firstLineChars="224"/>
        <w:rPr>
          <w:rFonts w:hint="eastAsia" w:ascii="宋体" w:hAnsi="宋体" w:eastAsia="宋体" w:cs="宋体"/>
          <w:sz w:val="24"/>
          <w:highlight w:val="none"/>
        </w:rPr>
      </w:pPr>
      <w:r>
        <w:rPr>
          <w:rFonts w:hint="eastAsia" w:ascii="宋体" w:hAnsi="宋体" w:eastAsia="宋体" w:cs="宋体"/>
          <w:sz w:val="24"/>
          <w:highlight w:val="none"/>
        </w:rPr>
        <w:t>5.有效期限：与本公司投标文件中标注的投标有效期相同，自本单位盖公章之日起生效。</w:t>
      </w:r>
    </w:p>
    <w:p w14:paraId="56E45941">
      <w:pPr>
        <w:ind w:left="1" w:firstLine="537" w:firstLineChars="224"/>
        <w:rPr>
          <w:rFonts w:hint="eastAsia" w:ascii="宋体" w:hAnsi="宋体" w:eastAsia="宋体" w:cs="宋体"/>
          <w:sz w:val="24"/>
          <w:highlight w:val="none"/>
        </w:rPr>
      </w:pPr>
      <w:r>
        <w:rPr>
          <w:rFonts w:hint="eastAsia" w:ascii="宋体" w:hAnsi="宋体" w:eastAsia="宋体" w:cs="宋体"/>
          <w:sz w:val="24"/>
          <w:highlight w:val="none"/>
        </w:rPr>
        <w:t>6.投标签字代表为法定代表人，则本表不适用。</w:t>
      </w:r>
    </w:p>
    <w:p w14:paraId="4762AD59">
      <w:pPr>
        <w:ind w:left="1" w:firstLine="537" w:firstLineChars="224"/>
        <w:rPr>
          <w:rFonts w:hint="eastAsia" w:ascii="宋体" w:hAnsi="宋体" w:eastAsia="宋体" w:cs="宋体"/>
          <w:sz w:val="24"/>
          <w:highlight w:val="non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12B9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9287" w:type="dxa"/>
            <w:noWrap w:val="0"/>
            <w:vAlign w:val="center"/>
          </w:tcPr>
          <w:p w14:paraId="359D3BBA">
            <w:pPr>
              <w:spacing w:line="360" w:lineRule="auto"/>
              <w:jc w:val="center"/>
              <w:rPr>
                <w:rFonts w:hint="eastAsia" w:ascii="宋体" w:hAnsi="宋体" w:eastAsia="宋体" w:cs="宋体"/>
                <w:sz w:val="28"/>
                <w:szCs w:val="28"/>
                <w:highlight w:val="none"/>
                <w:u w:val="single"/>
              </w:rPr>
            </w:pPr>
            <w:r>
              <w:rPr>
                <w:rFonts w:hint="eastAsia" w:ascii="宋体" w:hAnsi="宋体" w:eastAsia="宋体" w:cs="宋体"/>
                <w:sz w:val="28"/>
                <w:szCs w:val="28"/>
                <w:highlight w:val="none"/>
                <w:u w:val="single"/>
              </w:rPr>
              <w:t>粘贴代理人身份证复印件</w:t>
            </w:r>
          </w:p>
        </w:tc>
      </w:tr>
    </w:tbl>
    <w:p w14:paraId="50836CA2">
      <w:pPr>
        <w:spacing w:line="360" w:lineRule="auto"/>
        <w:ind w:firstLine="420"/>
        <w:rPr>
          <w:rFonts w:hint="eastAsia" w:ascii="宋体" w:hAnsi="宋体" w:eastAsia="宋体" w:cs="宋体"/>
          <w:sz w:val="28"/>
          <w:szCs w:val="28"/>
          <w:highlight w:val="none"/>
          <w:u w:val="single"/>
        </w:rPr>
      </w:pPr>
    </w:p>
    <w:p w14:paraId="667FB263">
      <w:pPr>
        <w:rPr>
          <w:rFonts w:hint="eastAsia" w:ascii="宋体" w:hAnsi="宋体" w:eastAsia="宋体" w:cs="宋体"/>
          <w:b/>
          <w:sz w:val="24"/>
          <w:highlight w:val="none"/>
        </w:rPr>
      </w:pPr>
      <w:r>
        <w:rPr>
          <w:rFonts w:hint="eastAsia" w:ascii="宋体" w:hAnsi="宋体" w:eastAsia="宋体" w:cs="宋体"/>
          <w:sz w:val="28"/>
          <w:szCs w:val="28"/>
          <w:highlight w:val="none"/>
          <w:u w:val="single"/>
        </w:rPr>
        <w:br w:type="page"/>
      </w:r>
      <w:r>
        <w:rPr>
          <w:rFonts w:hint="eastAsia" w:ascii="宋体" w:hAnsi="宋体" w:eastAsia="宋体" w:cs="宋体"/>
          <w:b/>
          <w:sz w:val="24"/>
          <w:highlight w:val="none"/>
        </w:rPr>
        <w:t>2.</w:t>
      </w:r>
      <w:r>
        <w:rPr>
          <w:rFonts w:hint="eastAsia" w:ascii="宋体" w:hAnsi="宋体" w:eastAsia="宋体" w:cs="宋体"/>
          <w:b/>
          <w:sz w:val="24"/>
          <w:highlight w:val="none"/>
          <w:lang w:val="en-US" w:eastAsia="zh-CN"/>
        </w:rPr>
        <w:t>3</w:t>
      </w:r>
      <w:r>
        <w:rPr>
          <w:rFonts w:hint="eastAsia" w:ascii="宋体" w:hAnsi="宋体" w:eastAsia="宋体" w:cs="宋体"/>
          <w:b/>
          <w:sz w:val="24"/>
          <w:highlight w:val="none"/>
        </w:rPr>
        <w:t>关于资格的声明函</w:t>
      </w:r>
    </w:p>
    <w:p w14:paraId="6ED82730">
      <w:pPr>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（招标人/招标代理机构）</w:t>
      </w:r>
    </w:p>
    <w:p w14:paraId="23CC8D38">
      <w:pPr>
        <w:rPr>
          <w:rFonts w:hint="eastAsia" w:ascii="宋体" w:hAnsi="宋体" w:eastAsia="宋体" w:cs="宋体"/>
          <w:sz w:val="24"/>
          <w:highlight w:val="none"/>
        </w:rPr>
      </w:pPr>
      <w:r>
        <w:rPr>
          <w:rFonts w:hint="eastAsia" w:ascii="宋体" w:hAnsi="宋体" w:eastAsia="宋体" w:cs="宋体"/>
          <w:sz w:val="24"/>
          <w:highlight w:val="none"/>
        </w:rPr>
        <w:t xml:space="preserve">    关于贵方项目名称:（项目编号：）投标邀请，本签字人愿意参加投标响应，提供招标文件中规定的货物、工程及服务，并证明提交的下列文件和说明是准确的和真实的。</w:t>
      </w:r>
    </w:p>
    <w:p w14:paraId="4A34123A">
      <w:pPr>
        <w:numPr>
          <w:ilvl w:val="3"/>
          <w:numId w:val="0"/>
        </w:numPr>
        <w:autoSpaceDE w:val="0"/>
        <w:autoSpaceDN w:val="0"/>
        <w:adjustRightInd w:val="0"/>
        <w:ind w:left="850" w:leftChars="0" w:hanging="340" w:firstLineChars="0"/>
        <w:jc w:val="left"/>
        <w:textAlignment w:val="baseline"/>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1、</w:t>
      </w:r>
    </w:p>
    <w:p w14:paraId="26E1B3A0">
      <w:pPr>
        <w:numPr>
          <w:ilvl w:val="3"/>
          <w:numId w:val="0"/>
        </w:numPr>
        <w:autoSpaceDE w:val="0"/>
        <w:autoSpaceDN w:val="0"/>
        <w:adjustRightInd w:val="0"/>
        <w:ind w:left="850" w:leftChars="0" w:hanging="340" w:firstLineChars="0"/>
        <w:jc w:val="left"/>
        <w:textAlignment w:val="baseline"/>
        <w:rPr>
          <w:rFonts w:hint="eastAsia" w:ascii="宋体" w:hAnsi="宋体" w:eastAsia="宋体" w:cs="宋体"/>
          <w:sz w:val="24"/>
          <w:highlight w:val="none"/>
        </w:rPr>
      </w:pPr>
      <w:r>
        <w:rPr>
          <w:rFonts w:hint="eastAsia" w:ascii="宋体" w:hAnsi="宋体" w:eastAsia="宋体" w:cs="宋体"/>
          <w:kern w:val="2"/>
          <w:sz w:val="24"/>
          <w:szCs w:val="24"/>
          <w:highlight w:val="none"/>
          <w:lang w:val="en-US" w:eastAsia="zh-CN" w:bidi="ar-SA"/>
        </w:rPr>
        <w:t>2、</w:t>
      </w:r>
    </w:p>
    <w:p w14:paraId="2EF65316">
      <w:pPr>
        <w:rPr>
          <w:rFonts w:hint="eastAsia" w:ascii="宋体" w:hAnsi="宋体" w:eastAsia="宋体" w:cs="宋体"/>
          <w:sz w:val="24"/>
          <w:highlight w:val="none"/>
        </w:rPr>
      </w:pPr>
      <w:r>
        <w:rPr>
          <w:rFonts w:hint="eastAsia" w:ascii="宋体" w:hAnsi="宋体" w:eastAsia="宋体" w:cs="宋体"/>
          <w:sz w:val="24"/>
          <w:highlight w:val="none"/>
        </w:rPr>
        <w:t>（相关证明文件附后）</w:t>
      </w:r>
    </w:p>
    <w:p w14:paraId="4C371368">
      <w:pPr>
        <w:adjustRightInd w:val="0"/>
        <w:snapToGrid w:val="0"/>
        <w:ind w:firstLine="420" w:firstLineChars="200"/>
        <w:rPr>
          <w:rFonts w:hint="eastAsia" w:ascii="宋体" w:hAnsi="宋体" w:eastAsia="宋体" w:cs="宋体"/>
          <w:szCs w:val="21"/>
          <w:highlight w:val="none"/>
        </w:rPr>
      </w:pPr>
    </w:p>
    <w:p w14:paraId="7D0A7AB3">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本单位保证全部投标文件和问题的回答是真实和有效的，并对所提供资料的真实性负责。</w:t>
      </w:r>
    </w:p>
    <w:p w14:paraId="278422F4">
      <w:pPr>
        <w:adjustRightInd w:val="0"/>
        <w:snapToGrid w:val="0"/>
        <w:rPr>
          <w:rFonts w:hint="eastAsia" w:ascii="宋体" w:hAnsi="宋体" w:eastAsia="宋体" w:cs="宋体"/>
          <w:sz w:val="24"/>
          <w:highlight w:val="none"/>
        </w:rPr>
      </w:pPr>
    </w:p>
    <w:p w14:paraId="77B774E9">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投标人法定代表人（或法定代表人授权代表）签字：</w:t>
      </w:r>
    </w:p>
    <w:p w14:paraId="0157418C">
      <w:pPr>
        <w:adjustRightInd w:val="0"/>
        <w:snapToGrid w:val="0"/>
        <w:rPr>
          <w:rFonts w:hint="eastAsia" w:ascii="宋体" w:hAnsi="宋体" w:eastAsia="宋体" w:cs="宋体"/>
          <w:sz w:val="24"/>
          <w:highlight w:val="none"/>
          <w:u w:val="single"/>
        </w:rPr>
      </w:pPr>
      <w:r>
        <w:rPr>
          <w:rFonts w:hint="eastAsia" w:ascii="宋体" w:hAnsi="宋体" w:eastAsia="宋体" w:cs="宋体"/>
          <w:sz w:val="24"/>
          <w:highlight w:val="none"/>
        </w:rPr>
        <w:t>投标人名称（加盖公章）：</w:t>
      </w:r>
    </w:p>
    <w:p w14:paraId="137C481F">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日期：年 月 日</w:t>
      </w:r>
    </w:p>
    <w:p w14:paraId="76469D8E">
      <w:pPr>
        <w:spacing w:line="480" w:lineRule="exact"/>
        <w:rPr>
          <w:rFonts w:hint="eastAsia" w:ascii="宋体" w:hAnsi="宋体" w:eastAsia="宋体" w:cs="宋体"/>
          <w:sz w:val="28"/>
          <w:szCs w:val="28"/>
          <w:highlight w:val="none"/>
        </w:rPr>
      </w:pPr>
    </w:p>
    <w:p w14:paraId="7C625233">
      <w:pPr>
        <w:pStyle w:val="17"/>
        <w:rPr>
          <w:rFonts w:hint="eastAsia" w:ascii="宋体" w:hAnsi="宋体" w:eastAsia="宋体" w:cs="宋体"/>
          <w:highlight w:val="none"/>
        </w:rPr>
      </w:pPr>
      <w:bookmarkStart w:id="21" w:name="_Toc202254106"/>
      <w:bookmarkStart w:id="22" w:name="_Toc202820352"/>
      <w:bookmarkStart w:id="23" w:name="_Toc202251701"/>
      <w:bookmarkStart w:id="24" w:name="_Toc202252035"/>
      <w:bookmarkStart w:id="25" w:name="_Toc202819879"/>
      <w:bookmarkStart w:id="26" w:name="_Toc202816997"/>
      <w:bookmarkStart w:id="27" w:name="_Toc202251076"/>
    </w:p>
    <w:p w14:paraId="5B49EE59">
      <w:pPr>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eastAsia="宋体" w:cs="宋体"/>
          <w:b/>
          <w:sz w:val="24"/>
          <w:highlight w:val="none"/>
          <w:lang w:val="en-US" w:eastAsia="zh-CN"/>
        </w:rPr>
        <w:t>4</w:t>
      </w:r>
      <w:r>
        <w:rPr>
          <w:rFonts w:hint="eastAsia" w:ascii="宋体" w:hAnsi="宋体" w:eastAsia="宋体" w:cs="宋体"/>
          <w:b/>
          <w:sz w:val="24"/>
          <w:highlight w:val="none"/>
        </w:rPr>
        <w:t>其他资格证明文件</w:t>
      </w:r>
    </w:p>
    <w:p w14:paraId="7CAADE94">
      <w:pPr>
        <w:pStyle w:val="153"/>
        <w:widowControl/>
        <w:tabs>
          <w:tab w:val="left" w:pos="142"/>
          <w:tab w:val="left" w:pos="360"/>
          <w:tab w:val="left" w:pos="540"/>
        </w:tabs>
        <w:snapToGrid w:val="0"/>
        <w:spacing w:line="0" w:lineRule="atLeast"/>
        <w:ind w:firstLine="0" w:firstLineChars="0"/>
        <w:jc w:val="left"/>
        <w:rPr>
          <w:rFonts w:hint="eastAsia" w:ascii="宋体" w:hAnsi="宋体" w:eastAsia="宋体" w:cs="宋体"/>
          <w:sz w:val="24"/>
          <w:highlight w:val="none"/>
        </w:rPr>
      </w:pPr>
    </w:p>
    <w:p w14:paraId="25ECC919">
      <w:pPr>
        <w:pStyle w:val="153"/>
        <w:widowControl/>
        <w:tabs>
          <w:tab w:val="left" w:pos="142"/>
          <w:tab w:val="left" w:pos="360"/>
          <w:tab w:val="left" w:pos="540"/>
        </w:tabs>
        <w:snapToGrid w:val="0"/>
        <w:spacing w:line="0" w:lineRule="atLeast"/>
        <w:ind w:firstLine="0" w:firstLineChars="0"/>
        <w:jc w:val="left"/>
        <w:rPr>
          <w:rFonts w:hint="eastAsia" w:ascii="宋体" w:hAnsi="宋体" w:eastAsia="宋体" w:cs="宋体"/>
          <w:sz w:val="24"/>
          <w:szCs w:val="24"/>
          <w:highlight w:val="none"/>
        </w:rPr>
      </w:pPr>
      <w:r>
        <w:rPr>
          <w:rFonts w:hint="eastAsia" w:ascii="宋体" w:hAnsi="宋体" w:eastAsia="宋体" w:cs="宋体"/>
          <w:sz w:val="24"/>
          <w:highlight w:val="none"/>
        </w:rPr>
        <w:t xml:space="preserve">详见“第一部分 </w:t>
      </w: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邀请函”的“供应商资格</w:t>
      </w:r>
      <w:r>
        <w:rPr>
          <w:rFonts w:hint="eastAsia" w:ascii="宋体" w:hAnsi="宋体" w:eastAsia="宋体" w:cs="宋体"/>
          <w:sz w:val="24"/>
          <w:highlight w:val="none"/>
          <w:lang w:eastAsia="zh-CN"/>
        </w:rPr>
        <w:t>”</w:t>
      </w:r>
    </w:p>
    <w:p w14:paraId="60FFCE2A">
      <w:pPr>
        <w:rPr>
          <w:rFonts w:hint="eastAsia" w:ascii="宋体" w:hAnsi="宋体" w:eastAsia="宋体" w:cs="宋体"/>
          <w:b/>
          <w:szCs w:val="21"/>
          <w:highlight w:val="none"/>
          <w:u w:val="single"/>
        </w:rPr>
      </w:pPr>
      <w:r>
        <w:rPr>
          <w:rFonts w:hint="eastAsia" w:ascii="宋体" w:hAnsi="宋体" w:eastAsia="宋体" w:cs="宋体"/>
          <w:b/>
          <w:szCs w:val="21"/>
          <w:highlight w:val="none"/>
        </w:rPr>
        <w:br w:type="page"/>
      </w:r>
    </w:p>
    <w:p w14:paraId="38326F57">
      <w:pPr>
        <w:autoSpaceDE w:val="0"/>
        <w:autoSpaceDN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三、商务部分</w:t>
      </w:r>
      <w:bookmarkEnd w:id="21"/>
      <w:bookmarkEnd w:id="22"/>
      <w:bookmarkEnd w:id="23"/>
      <w:bookmarkEnd w:id="24"/>
      <w:bookmarkEnd w:id="25"/>
      <w:bookmarkEnd w:id="26"/>
      <w:bookmarkEnd w:id="27"/>
    </w:p>
    <w:p w14:paraId="508EBB55">
      <w:pPr>
        <w:rPr>
          <w:rFonts w:hint="eastAsia" w:ascii="宋体" w:hAnsi="宋体" w:eastAsia="宋体" w:cs="宋体"/>
          <w:b/>
          <w:sz w:val="24"/>
          <w:highlight w:val="none"/>
        </w:rPr>
      </w:pPr>
      <w:r>
        <w:rPr>
          <w:rFonts w:hint="eastAsia" w:ascii="宋体" w:hAnsi="宋体" w:eastAsia="宋体" w:cs="宋体"/>
          <w:b/>
          <w:sz w:val="24"/>
          <w:highlight w:val="none"/>
        </w:rPr>
        <w:t>3.1投标人综合概况</w:t>
      </w:r>
    </w:p>
    <w:p w14:paraId="089325BE">
      <w:pPr>
        <w:tabs>
          <w:tab w:val="left" w:pos="180"/>
        </w:tabs>
        <w:ind w:left="-240"/>
        <w:rPr>
          <w:rFonts w:hint="eastAsia" w:ascii="宋体" w:hAnsi="宋体" w:eastAsia="宋体" w:cs="宋体"/>
          <w:b/>
          <w:sz w:val="24"/>
          <w:highlight w:val="none"/>
        </w:rPr>
      </w:pPr>
      <w:r>
        <w:rPr>
          <w:rFonts w:hint="eastAsia" w:ascii="宋体" w:hAnsi="宋体" w:eastAsia="宋体" w:cs="宋体"/>
          <w:b/>
          <w:sz w:val="24"/>
          <w:highlight w:val="none"/>
        </w:rPr>
        <w:t>一、投标人情况介绍表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004"/>
        <w:gridCol w:w="788"/>
        <w:gridCol w:w="292"/>
        <w:gridCol w:w="1357"/>
      </w:tblGrid>
      <w:tr w14:paraId="408C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3A18251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单位名称</w:t>
            </w:r>
          </w:p>
        </w:tc>
        <w:tc>
          <w:tcPr>
            <w:tcW w:w="8195" w:type="dxa"/>
            <w:gridSpan w:val="9"/>
            <w:noWrap w:val="0"/>
            <w:vAlign w:val="center"/>
          </w:tcPr>
          <w:p w14:paraId="398E447A">
            <w:pPr>
              <w:tabs>
                <w:tab w:val="left" w:pos="540"/>
              </w:tabs>
              <w:ind w:left="-132" w:leftChars="-64" w:right="-105" w:rightChars="-50" w:hanging="2"/>
              <w:jc w:val="center"/>
              <w:rPr>
                <w:rFonts w:hint="eastAsia" w:ascii="宋体" w:hAnsi="宋体" w:eastAsia="宋体" w:cs="宋体"/>
                <w:szCs w:val="21"/>
                <w:highlight w:val="none"/>
              </w:rPr>
            </w:pPr>
          </w:p>
        </w:tc>
      </w:tr>
      <w:tr w14:paraId="44C4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186E22D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注册地址</w:t>
            </w:r>
          </w:p>
        </w:tc>
        <w:tc>
          <w:tcPr>
            <w:tcW w:w="8195" w:type="dxa"/>
            <w:gridSpan w:val="9"/>
            <w:noWrap w:val="0"/>
            <w:vAlign w:val="center"/>
          </w:tcPr>
          <w:p w14:paraId="039B738A">
            <w:pPr>
              <w:tabs>
                <w:tab w:val="left" w:pos="540"/>
              </w:tabs>
              <w:ind w:left="-132" w:leftChars="-64" w:right="-105" w:rightChars="-50" w:hanging="2"/>
              <w:jc w:val="center"/>
              <w:rPr>
                <w:rFonts w:hint="eastAsia" w:ascii="宋体" w:hAnsi="宋体" w:eastAsia="宋体" w:cs="宋体"/>
                <w:szCs w:val="21"/>
                <w:highlight w:val="none"/>
              </w:rPr>
            </w:pPr>
          </w:p>
        </w:tc>
      </w:tr>
      <w:tr w14:paraId="448B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noWrap w:val="0"/>
            <w:vAlign w:val="center"/>
          </w:tcPr>
          <w:p w14:paraId="46B31144">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联系方式</w:t>
            </w:r>
          </w:p>
        </w:tc>
        <w:tc>
          <w:tcPr>
            <w:tcW w:w="1418" w:type="dxa"/>
            <w:noWrap w:val="0"/>
            <w:vAlign w:val="center"/>
          </w:tcPr>
          <w:p w14:paraId="46E45C14">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法人代表姓名</w:t>
            </w:r>
          </w:p>
        </w:tc>
        <w:tc>
          <w:tcPr>
            <w:tcW w:w="1687" w:type="dxa"/>
            <w:gridSpan w:val="2"/>
            <w:noWrap w:val="0"/>
            <w:vAlign w:val="center"/>
          </w:tcPr>
          <w:p w14:paraId="7AD7E851">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noWrap w:val="0"/>
            <w:vAlign w:val="center"/>
          </w:tcPr>
          <w:p w14:paraId="61FDC29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电话/技术职称</w:t>
            </w:r>
          </w:p>
        </w:tc>
        <w:tc>
          <w:tcPr>
            <w:tcW w:w="1792" w:type="dxa"/>
            <w:gridSpan w:val="2"/>
            <w:noWrap w:val="0"/>
            <w:vAlign w:val="center"/>
          </w:tcPr>
          <w:p w14:paraId="6CF3A8EF">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noWrap w:val="0"/>
            <w:vAlign w:val="top"/>
          </w:tcPr>
          <w:p w14:paraId="6506FFE7">
            <w:pPr>
              <w:tabs>
                <w:tab w:val="left" w:pos="540"/>
              </w:tabs>
              <w:ind w:left="-132" w:leftChars="-64" w:right="-105" w:rightChars="-50" w:hanging="2"/>
              <w:jc w:val="center"/>
              <w:rPr>
                <w:rFonts w:hint="eastAsia" w:ascii="宋体" w:hAnsi="宋体" w:eastAsia="宋体" w:cs="宋体"/>
                <w:szCs w:val="21"/>
                <w:highlight w:val="none"/>
              </w:rPr>
            </w:pPr>
          </w:p>
        </w:tc>
      </w:tr>
      <w:tr w14:paraId="1729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center"/>
          </w:tcPr>
          <w:p w14:paraId="0A1963CB">
            <w:pPr>
              <w:tabs>
                <w:tab w:val="left" w:pos="540"/>
              </w:tabs>
              <w:ind w:left="-132" w:leftChars="-64" w:right="-105" w:rightChars="-50" w:hanging="2"/>
              <w:jc w:val="center"/>
              <w:rPr>
                <w:rFonts w:hint="eastAsia" w:ascii="宋体" w:hAnsi="宋体" w:eastAsia="宋体" w:cs="宋体"/>
                <w:szCs w:val="21"/>
                <w:highlight w:val="none"/>
              </w:rPr>
            </w:pPr>
          </w:p>
        </w:tc>
        <w:tc>
          <w:tcPr>
            <w:tcW w:w="1418" w:type="dxa"/>
            <w:noWrap w:val="0"/>
            <w:vAlign w:val="center"/>
          </w:tcPr>
          <w:p w14:paraId="1710B2A6">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授权代表姓名</w:t>
            </w:r>
          </w:p>
        </w:tc>
        <w:tc>
          <w:tcPr>
            <w:tcW w:w="1687" w:type="dxa"/>
            <w:gridSpan w:val="2"/>
            <w:noWrap w:val="0"/>
            <w:vAlign w:val="center"/>
          </w:tcPr>
          <w:p w14:paraId="084993BE">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noWrap w:val="0"/>
            <w:vAlign w:val="center"/>
          </w:tcPr>
          <w:p w14:paraId="1140E4DD">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电话/职务</w:t>
            </w:r>
          </w:p>
        </w:tc>
        <w:tc>
          <w:tcPr>
            <w:tcW w:w="1792" w:type="dxa"/>
            <w:gridSpan w:val="2"/>
            <w:noWrap w:val="0"/>
            <w:vAlign w:val="center"/>
          </w:tcPr>
          <w:p w14:paraId="31CAD994">
            <w:pPr>
              <w:tabs>
                <w:tab w:val="left" w:pos="540"/>
              </w:tabs>
              <w:ind w:left="-132" w:leftChars="-64" w:right="-105" w:rightChars="-50" w:hanging="2"/>
              <w:jc w:val="center"/>
              <w:rPr>
                <w:rFonts w:hint="eastAsia" w:ascii="宋体" w:hAnsi="宋体" w:eastAsia="宋体" w:cs="宋体"/>
                <w:szCs w:val="21"/>
                <w:highlight w:val="none"/>
              </w:rPr>
            </w:pPr>
          </w:p>
        </w:tc>
        <w:tc>
          <w:tcPr>
            <w:tcW w:w="1649" w:type="dxa"/>
            <w:gridSpan w:val="2"/>
            <w:noWrap w:val="0"/>
            <w:vAlign w:val="top"/>
          </w:tcPr>
          <w:p w14:paraId="14CA4C8D">
            <w:pPr>
              <w:tabs>
                <w:tab w:val="left" w:pos="540"/>
              </w:tabs>
              <w:ind w:left="-132" w:leftChars="-64" w:right="-105" w:rightChars="-50" w:hanging="2"/>
              <w:jc w:val="center"/>
              <w:rPr>
                <w:rFonts w:hint="eastAsia" w:ascii="宋体" w:hAnsi="宋体" w:eastAsia="宋体" w:cs="宋体"/>
                <w:szCs w:val="21"/>
                <w:highlight w:val="none"/>
              </w:rPr>
            </w:pPr>
          </w:p>
        </w:tc>
      </w:tr>
      <w:tr w14:paraId="00AA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1C35CD7D">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成立时间</w:t>
            </w:r>
          </w:p>
        </w:tc>
        <w:tc>
          <w:tcPr>
            <w:tcW w:w="1418" w:type="dxa"/>
            <w:noWrap w:val="0"/>
            <w:vAlign w:val="center"/>
          </w:tcPr>
          <w:p w14:paraId="241BE453">
            <w:pPr>
              <w:tabs>
                <w:tab w:val="left" w:pos="540"/>
              </w:tabs>
              <w:ind w:left="-132" w:leftChars="-64" w:right="-105" w:rightChars="-50" w:hanging="2"/>
              <w:jc w:val="center"/>
              <w:rPr>
                <w:rFonts w:hint="eastAsia" w:ascii="宋体" w:hAnsi="宋体" w:eastAsia="宋体" w:cs="宋体"/>
                <w:szCs w:val="21"/>
                <w:highlight w:val="none"/>
              </w:rPr>
            </w:pPr>
          </w:p>
        </w:tc>
        <w:tc>
          <w:tcPr>
            <w:tcW w:w="1687" w:type="dxa"/>
            <w:gridSpan w:val="2"/>
            <w:noWrap w:val="0"/>
            <w:vAlign w:val="center"/>
          </w:tcPr>
          <w:p w14:paraId="008981F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经济类型</w:t>
            </w:r>
          </w:p>
        </w:tc>
        <w:tc>
          <w:tcPr>
            <w:tcW w:w="1649" w:type="dxa"/>
            <w:gridSpan w:val="2"/>
            <w:noWrap w:val="0"/>
            <w:vAlign w:val="center"/>
          </w:tcPr>
          <w:p w14:paraId="48C8B83F">
            <w:pPr>
              <w:tabs>
                <w:tab w:val="left" w:pos="540"/>
              </w:tabs>
              <w:ind w:left="-132" w:leftChars="-64" w:right="-105" w:rightChars="-50" w:hanging="2"/>
              <w:jc w:val="center"/>
              <w:rPr>
                <w:rFonts w:hint="eastAsia" w:ascii="宋体" w:hAnsi="宋体" w:eastAsia="宋体" w:cs="宋体"/>
                <w:szCs w:val="21"/>
                <w:highlight w:val="none"/>
              </w:rPr>
            </w:pPr>
          </w:p>
        </w:tc>
        <w:tc>
          <w:tcPr>
            <w:tcW w:w="1792" w:type="dxa"/>
            <w:gridSpan w:val="2"/>
            <w:noWrap w:val="0"/>
            <w:vAlign w:val="center"/>
          </w:tcPr>
          <w:p w14:paraId="4A7C1B3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登记机关</w:t>
            </w:r>
          </w:p>
        </w:tc>
        <w:tc>
          <w:tcPr>
            <w:tcW w:w="1649" w:type="dxa"/>
            <w:gridSpan w:val="2"/>
            <w:noWrap w:val="0"/>
            <w:vAlign w:val="top"/>
          </w:tcPr>
          <w:p w14:paraId="04904C83">
            <w:pPr>
              <w:tabs>
                <w:tab w:val="left" w:pos="540"/>
              </w:tabs>
              <w:ind w:left="-132" w:leftChars="-64" w:right="-105" w:rightChars="-50" w:hanging="2"/>
              <w:jc w:val="center"/>
              <w:rPr>
                <w:rFonts w:hint="eastAsia" w:ascii="宋体" w:hAnsi="宋体" w:eastAsia="宋体" w:cs="宋体"/>
                <w:szCs w:val="21"/>
                <w:highlight w:val="none"/>
              </w:rPr>
            </w:pPr>
          </w:p>
        </w:tc>
      </w:tr>
      <w:tr w14:paraId="4368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53071651">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邮编</w:t>
            </w:r>
          </w:p>
        </w:tc>
        <w:tc>
          <w:tcPr>
            <w:tcW w:w="1418" w:type="dxa"/>
            <w:noWrap w:val="0"/>
            <w:vAlign w:val="center"/>
          </w:tcPr>
          <w:p w14:paraId="7F448070">
            <w:pPr>
              <w:tabs>
                <w:tab w:val="left" w:pos="540"/>
              </w:tabs>
              <w:ind w:left="-132" w:leftChars="-64" w:right="-105" w:rightChars="-50" w:hanging="2"/>
              <w:jc w:val="center"/>
              <w:rPr>
                <w:rFonts w:hint="eastAsia" w:ascii="宋体" w:hAnsi="宋体" w:eastAsia="宋体" w:cs="宋体"/>
                <w:szCs w:val="21"/>
                <w:highlight w:val="none"/>
              </w:rPr>
            </w:pPr>
          </w:p>
        </w:tc>
        <w:tc>
          <w:tcPr>
            <w:tcW w:w="1687" w:type="dxa"/>
            <w:gridSpan w:val="2"/>
            <w:noWrap w:val="0"/>
            <w:vAlign w:val="center"/>
          </w:tcPr>
          <w:p w14:paraId="4ED57E50">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联系人姓名电话</w:t>
            </w:r>
          </w:p>
        </w:tc>
        <w:tc>
          <w:tcPr>
            <w:tcW w:w="1649" w:type="dxa"/>
            <w:gridSpan w:val="2"/>
            <w:noWrap w:val="0"/>
            <w:vAlign w:val="center"/>
          </w:tcPr>
          <w:p w14:paraId="1C16B557">
            <w:pPr>
              <w:tabs>
                <w:tab w:val="left" w:pos="540"/>
              </w:tabs>
              <w:ind w:left="-132" w:leftChars="-64" w:right="-105" w:rightChars="-50" w:hanging="2"/>
              <w:jc w:val="center"/>
              <w:rPr>
                <w:rFonts w:hint="eastAsia" w:ascii="宋体" w:hAnsi="宋体" w:eastAsia="宋体" w:cs="宋体"/>
                <w:szCs w:val="21"/>
                <w:highlight w:val="none"/>
              </w:rPr>
            </w:pPr>
          </w:p>
        </w:tc>
        <w:tc>
          <w:tcPr>
            <w:tcW w:w="1792" w:type="dxa"/>
            <w:gridSpan w:val="2"/>
            <w:noWrap w:val="0"/>
            <w:vAlign w:val="center"/>
          </w:tcPr>
          <w:p w14:paraId="69D95DB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传真</w:t>
            </w:r>
          </w:p>
        </w:tc>
        <w:tc>
          <w:tcPr>
            <w:tcW w:w="1649" w:type="dxa"/>
            <w:gridSpan w:val="2"/>
            <w:noWrap w:val="0"/>
            <w:vAlign w:val="top"/>
          </w:tcPr>
          <w:p w14:paraId="20FC5DBD">
            <w:pPr>
              <w:tabs>
                <w:tab w:val="left" w:pos="540"/>
              </w:tabs>
              <w:ind w:left="-132" w:leftChars="-64" w:right="-105" w:rightChars="-50" w:hanging="2"/>
              <w:jc w:val="center"/>
              <w:rPr>
                <w:rFonts w:hint="eastAsia" w:ascii="宋体" w:hAnsi="宋体" w:eastAsia="宋体" w:cs="宋体"/>
                <w:szCs w:val="21"/>
                <w:highlight w:val="none"/>
              </w:rPr>
            </w:pPr>
          </w:p>
        </w:tc>
      </w:tr>
      <w:tr w14:paraId="2AA5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2244" w:type="dxa"/>
            <w:noWrap w:val="0"/>
            <w:vAlign w:val="center"/>
          </w:tcPr>
          <w:p w14:paraId="07FE8364">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单位简介及机构设置(</w:t>
            </w:r>
            <w:r>
              <w:rPr>
                <w:rFonts w:hint="eastAsia" w:ascii="宋体" w:hAnsi="宋体" w:eastAsia="宋体" w:cs="宋体"/>
                <w:szCs w:val="21"/>
                <w:highlight w:val="none"/>
                <w:lang w:val="en-GB"/>
              </w:rPr>
              <w:t>单位性质、发展历程、经营规模及服务理念、主营产品、技术力量等</w:t>
            </w:r>
            <w:r>
              <w:rPr>
                <w:rFonts w:hint="eastAsia" w:ascii="宋体" w:hAnsi="宋体" w:eastAsia="宋体" w:cs="宋体"/>
                <w:szCs w:val="21"/>
                <w:highlight w:val="none"/>
              </w:rPr>
              <w:t>)</w:t>
            </w:r>
          </w:p>
        </w:tc>
        <w:tc>
          <w:tcPr>
            <w:tcW w:w="8195" w:type="dxa"/>
            <w:gridSpan w:val="9"/>
            <w:noWrap w:val="0"/>
            <w:vAlign w:val="center"/>
          </w:tcPr>
          <w:p w14:paraId="0D683247">
            <w:pPr>
              <w:tabs>
                <w:tab w:val="left" w:pos="540"/>
              </w:tabs>
              <w:ind w:left="-132" w:leftChars="-64" w:right="-105" w:rightChars="-50" w:hanging="2"/>
              <w:jc w:val="center"/>
              <w:rPr>
                <w:rFonts w:hint="eastAsia" w:ascii="宋体" w:hAnsi="宋体" w:eastAsia="宋体" w:cs="宋体"/>
                <w:szCs w:val="21"/>
                <w:highlight w:val="none"/>
              </w:rPr>
            </w:pPr>
          </w:p>
          <w:p w14:paraId="606738B2">
            <w:pPr>
              <w:tabs>
                <w:tab w:val="left" w:pos="540"/>
              </w:tabs>
              <w:ind w:left="-132" w:leftChars="-64" w:right="-105" w:rightChars="-50" w:hanging="2"/>
              <w:jc w:val="center"/>
              <w:rPr>
                <w:rFonts w:hint="eastAsia" w:ascii="宋体" w:hAnsi="宋体" w:eastAsia="宋体" w:cs="宋体"/>
                <w:szCs w:val="21"/>
                <w:highlight w:val="none"/>
              </w:rPr>
            </w:pPr>
          </w:p>
          <w:p w14:paraId="77292273">
            <w:pPr>
              <w:tabs>
                <w:tab w:val="left" w:pos="540"/>
              </w:tabs>
              <w:ind w:left="-132" w:leftChars="-64" w:right="-105" w:rightChars="-50" w:hanging="2"/>
              <w:jc w:val="center"/>
              <w:rPr>
                <w:rFonts w:hint="eastAsia" w:ascii="宋体" w:hAnsi="宋体" w:eastAsia="宋体" w:cs="宋体"/>
                <w:szCs w:val="21"/>
                <w:highlight w:val="none"/>
              </w:rPr>
            </w:pPr>
          </w:p>
          <w:p w14:paraId="366A73BF">
            <w:pPr>
              <w:tabs>
                <w:tab w:val="left" w:pos="540"/>
              </w:tabs>
              <w:ind w:left="-132" w:leftChars="-64" w:right="-105" w:rightChars="-50" w:hanging="2"/>
              <w:jc w:val="center"/>
              <w:rPr>
                <w:rFonts w:hint="eastAsia" w:ascii="宋体" w:hAnsi="宋体" w:eastAsia="宋体" w:cs="宋体"/>
                <w:szCs w:val="21"/>
                <w:highlight w:val="none"/>
              </w:rPr>
            </w:pPr>
          </w:p>
          <w:p w14:paraId="357883B5">
            <w:pPr>
              <w:tabs>
                <w:tab w:val="left" w:pos="540"/>
              </w:tabs>
              <w:ind w:left="-132" w:leftChars="-64" w:right="-105" w:rightChars="-50" w:hanging="2"/>
              <w:jc w:val="center"/>
              <w:rPr>
                <w:rFonts w:hint="eastAsia" w:ascii="宋体" w:hAnsi="宋体" w:eastAsia="宋体" w:cs="宋体"/>
                <w:szCs w:val="21"/>
                <w:highlight w:val="none"/>
              </w:rPr>
            </w:pPr>
          </w:p>
          <w:p w14:paraId="341D08F9">
            <w:pPr>
              <w:tabs>
                <w:tab w:val="left" w:pos="540"/>
              </w:tabs>
              <w:ind w:left="-132" w:leftChars="-64" w:right="-105" w:rightChars="-50" w:hanging="2"/>
              <w:jc w:val="center"/>
              <w:rPr>
                <w:rFonts w:hint="eastAsia" w:ascii="宋体" w:hAnsi="宋体" w:eastAsia="宋体" w:cs="宋体"/>
                <w:szCs w:val="21"/>
                <w:highlight w:val="none"/>
              </w:rPr>
            </w:pPr>
          </w:p>
        </w:tc>
      </w:tr>
      <w:tr w14:paraId="11BB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noWrap w:val="0"/>
            <w:vAlign w:val="center"/>
          </w:tcPr>
          <w:p w14:paraId="0FF56514">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单位概况</w:t>
            </w:r>
          </w:p>
        </w:tc>
        <w:tc>
          <w:tcPr>
            <w:tcW w:w="1418" w:type="dxa"/>
            <w:noWrap w:val="0"/>
            <w:vAlign w:val="top"/>
          </w:tcPr>
          <w:p w14:paraId="430C19B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注册资本</w:t>
            </w:r>
          </w:p>
        </w:tc>
        <w:tc>
          <w:tcPr>
            <w:tcW w:w="1460" w:type="dxa"/>
            <w:noWrap w:val="0"/>
            <w:vAlign w:val="top"/>
          </w:tcPr>
          <w:p w14:paraId="569D7E41">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620" w:type="dxa"/>
            <w:gridSpan w:val="2"/>
            <w:noWrap w:val="0"/>
            <w:vAlign w:val="top"/>
          </w:tcPr>
          <w:p w14:paraId="17D342AC">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占地面积</w:t>
            </w:r>
          </w:p>
        </w:tc>
        <w:tc>
          <w:tcPr>
            <w:tcW w:w="3697" w:type="dxa"/>
            <w:gridSpan w:val="5"/>
            <w:noWrap w:val="0"/>
            <w:vAlign w:val="top"/>
          </w:tcPr>
          <w:p w14:paraId="3C5AFC58">
            <w:pPr>
              <w:tabs>
                <w:tab w:val="left" w:pos="540"/>
              </w:tabs>
              <w:ind w:left="-134" w:leftChars="-64" w:right="-105" w:rightChars="-50" w:firstLine="3045" w:firstLineChars="145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r w14:paraId="3BEC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0B0BF77C">
            <w:pPr>
              <w:tabs>
                <w:tab w:val="left" w:pos="540"/>
              </w:tabs>
              <w:ind w:left="-132" w:leftChars="-64" w:right="-105" w:rightChars="-50" w:hanging="2"/>
              <w:jc w:val="center"/>
              <w:rPr>
                <w:rFonts w:hint="eastAsia" w:ascii="宋体" w:hAnsi="宋体" w:eastAsia="宋体" w:cs="宋体"/>
                <w:szCs w:val="21"/>
                <w:highlight w:val="none"/>
              </w:rPr>
            </w:pPr>
          </w:p>
        </w:tc>
        <w:tc>
          <w:tcPr>
            <w:tcW w:w="1418" w:type="dxa"/>
            <w:noWrap w:val="0"/>
            <w:vAlign w:val="top"/>
          </w:tcPr>
          <w:p w14:paraId="756C0087">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职工总数</w:t>
            </w:r>
          </w:p>
        </w:tc>
        <w:tc>
          <w:tcPr>
            <w:tcW w:w="1460" w:type="dxa"/>
            <w:noWrap w:val="0"/>
            <w:vAlign w:val="top"/>
          </w:tcPr>
          <w:p w14:paraId="6E4854E8">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人</w:t>
            </w:r>
          </w:p>
        </w:tc>
        <w:tc>
          <w:tcPr>
            <w:tcW w:w="1620" w:type="dxa"/>
            <w:gridSpan w:val="2"/>
            <w:noWrap w:val="0"/>
            <w:vAlign w:val="top"/>
          </w:tcPr>
          <w:p w14:paraId="7792C0EB">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建筑面积</w:t>
            </w:r>
          </w:p>
        </w:tc>
        <w:tc>
          <w:tcPr>
            <w:tcW w:w="3697" w:type="dxa"/>
            <w:gridSpan w:val="5"/>
            <w:noWrap w:val="0"/>
            <w:vAlign w:val="top"/>
          </w:tcPr>
          <w:p w14:paraId="37F1756B">
            <w:pPr>
              <w:tabs>
                <w:tab w:val="left" w:pos="540"/>
              </w:tabs>
              <w:ind w:left="-134" w:leftChars="-64" w:right="-105" w:rightChars="-50" w:firstLine="3045" w:firstLineChars="1450"/>
              <w:jc w:val="center"/>
              <w:rPr>
                <w:rFonts w:hint="eastAsia" w:ascii="宋体" w:hAnsi="宋体" w:eastAsia="宋体" w:cs="宋体"/>
                <w:szCs w:val="21"/>
                <w:highlight w:val="none"/>
              </w:rPr>
            </w:pPr>
            <w:r>
              <w:rPr>
                <w:rFonts w:hint="eastAsia" w:ascii="宋体" w:hAnsi="宋体" w:eastAsia="宋体" w:cs="宋体"/>
                <w:szCs w:val="21"/>
                <w:highlight w:val="none"/>
              </w:rPr>
              <w:t>M</w:t>
            </w:r>
            <w:r>
              <w:rPr>
                <w:rFonts w:hint="eastAsia" w:ascii="宋体" w:hAnsi="宋体" w:eastAsia="宋体" w:cs="宋体"/>
                <w:szCs w:val="21"/>
                <w:highlight w:val="none"/>
                <w:vertAlign w:val="superscript"/>
              </w:rPr>
              <w:t>2</w:t>
            </w:r>
          </w:p>
        </w:tc>
      </w:tr>
      <w:tr w14:paraId="0FB6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73928913">
            <w:pPr>
              <w:tabs>
                <w:tab w:val="left" w:pos="540"/>
              </w:tabs>
              <w:ind w:left="-132" w:leftChars="-64" w:right="-105" w:rightChars="-50" w:hanging="2"/>
              <w:jc w:val="center"/>
              <w:rPr>
                <w:rFonts w:hint="eastAsia" w:ascii="宋体" w:hAnsi="宋体" w:eastAsia="宋体" w:cs="宋体"/>
                <w:szCs w:val="21"/>
                <w:highlight w:val="none"/>
              </w:rPr>
            </w:pPr>
          </w:p>
        </w:tc>
        <w:tc>
          <w:tcPr>
            <w:tcW w:w="1418" w:type="dxa"/>
            <w:vMerge w:val="restart"/>
            <w:noWrap w:val="0"/>
            <w:vAlign w:val="center"/>
          </w:tcPr>
          <w:p w14:paraId="24A3B68C">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资产情况</w:t>
            </w:r>
          </w:p>
        </w:tc>
        <w:tc>
          <w:tcPr>
            <w:tcW w:w="1460" w:type="dxa"/>
            <w:noWrap w:val="0"/>
            <w:vAlign w:val="top"/>
          </w:tcPr>
          <w:p w14:paraId="08BD2BB4">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净资产</w:t>
            </w:r>
          </w:p>
        </w:tc>
        <w:tc>
          <w:tcPr>
            <w:tcW w:w="1620" w:type="dxa"/>
            <w:gridSpan w:val="2"/>
            <w:noWrap w:val="0"/>
            <w:vAlign w:val="center"/>
          </w:tcPr>
          <w:p w14:paraId="24B7949A">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3697" w:type="dxa"/>
            <w:gridSpan w:val="5"/>
            <w:noWrap w:val="0"/>
            <w:vAlign w:val="top"/>
          </w:tcPr>
          <w:p w14:paraId="5299C66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固定资产原值           万元</w:t>
            </w:r>
          </w:p>
        </w:tc>
      </w:tr>
      <w:tr w14:paraId="28CC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44" w:type="dxa"/>
            <w:vMerge w:val="continue"/>
            <w:noWrap w:val="0"/>
            <w:vAlign w:val="top"/>
          </w:tcPr>
          <w:p w14:paraId="540E4CE2">
            <w:pPr>
              <w:tabs>
                <w:tab w:val="left" w:pos="540"/>
              </w:tabs>
              <w:ind w:left="-132" w:leftChars="-64" w:right="-105" w:rightChars="-50" w:hanging="2"/>
              <w:jc w:val="center"/>
              <w:rPr>
                <w:rFonts w:hint="eastAsia" w:ascii="宋体" w:hAnsi="宋体" w:eastAsia="宋体" w:cs="宋体"/>
                <w:szCs w:val="21"/>
                <w:highlight w:val="none"/>
              </w:rPr>
            </w:pPr>
          </w:p>
        </w:tc>
        <w:tc>
          <w:tcPr>
            <w:tcW w:w="1418" w:type="dxa"/>
            <w:vMerge w:val="continue"/>
            <w:noWrap w:val="0"/>
            <w:vAlign w:val="top"/>
          </w:tcPr>
          <w:p w14:paraId="2B85173B">
            <w:pPr>
              <w:tabs>
                <w:tab w:val="left" w:pos="540"/>
              </w:tabs>
              <w:ind w:left="-132" w:leftChars="-64" w:right="-105" w:rightChars="-50" w:hanging="2"/>
              <w:jc w:val="center"/>
              <w:rPr>
                <w:rFonts w:hint="eastAsia" w:ascii="宋体" w:hAnsi="宋体" w:eastAsia="宋体" w:cs="宋体"/>
                <w:szCs w:val="21"/>
                <w:highlight w:val="none"/>
              </w:rPr>
            </w:pPr>
          </w:p>
        </w:tc>
        <w:tc>
          <w:tcPr>
            <w:tcW w:w="1460" w:type="dxa"/>
            <w:noWrap w:val="0"/>
            <w:vAlign w:val="top"/>
          </w:tcPr>
          <w:p w14:paraId="330C40C7">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负债</w:t>
            </w:r>
          </w:p>
        </w:tc>
        <w:tc>
          <w:tcPr>
            <w:tcW w:w="1620" w:type="dxa"/>
            <w:gridSpan w:val="2"/>
            <w:noWrap w:val="0"/>
            <w:vAlign w:val="center"/>
          </w:tcPr>
          <w:p w14:paraId="71D047D8">
            <w:pPr>
              <w:tabs>
                <w:tab w:val="left" w:pos="540"/>
              </w:tabs>
              <w:ind w:left="-132" w:leftChars="-64" w:right="-105" w:rightChars="-50" w:hanging="2"/>
              <w:jc w:val="right"/>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3697" w:type="dxa"/>
            <w:gridSpan w:val="5"/>
            <w:noWrap w:val="0"/>
            <w:vAlign w:val="top"/>
          </w:tcPr>
          <w:p w14:paraId="7430C919">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固定资产净值           万元</w:t>
            </w:r>
          </w:p>
        </w:tc>
      </w:tr>
      <w:tr w14:paraId="278E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noWrap w:val="0"/>
            <w:vAlign w:val="center"/>
          </w:tcPr>
          <w:p w14:paraId="7332E7C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财务状况</w:t>
            </w:r>
          </w:p>
        </w:tc>
        <w:tc>
          <w:tcPr>
            <w:tcW w:w="1418" w:type="dxa"/>
            <w:noWrap w:val="0"/>
            <w:vAlign w:val="top"/>
          </w:tcPr>
          <w:p w14:paraId="4F525F26">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年度</w:t>
            </w:r>
          </w:p>
        </w:tc>
        <w:tc>
          <w:tcPr>
            <w:tcW w:w="1460" w:type="dxa"/>
            <w:noWrap w:val="0"/>
            <w:vAlign w:val="center"/>
          </w:tcPr>
          <w:p w14:paraId="668B115F">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主营收入</w:t>
            </w:r>
          </w:p>
          <w:p w14:paraId="737A85E9">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620" w:type="dxa"/>
            <w:gridSpan w:val="2"/>
            <w:noWrap w:val="0"/>
            <w:vAlign w:val="center"/>
          </w:tcPr>
          <w:p w14:paraId="2B4DDF83">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收入总额</w:t>
            </w:r>
          </w:p>
          <w:p w14:paraId="3FEFF4A5">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（万元）</w:t>
            </w:r>
          </w:p>
        </w:tc>
        <w:tc>
          <w:tcPr>
            <w:tcW w:w="1260" w:type="dxa"/>
            <w:gridSpan w:val="2"/>
            <w:noWrap w:val="0"/>
            <w:vAlign w:val="top"/>
          </w:tcPr>
          <w:p w14:paraId="376B642D">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利润总额（万元）</w:t>
            </w:r>
          </w:p>
        </w:tc>
        <w:tc>
          <w:tcPr>
            <w:tcW w:w="1080" w:type="dxa"/>
            <w:gridSpan w:val="2"/>
            <w:noWrap w:val="0"/>
            <w:vAlign w:val="top"/>
          </w:tcPr>
          <w:p w14:paraId="5532D320">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净利润（万元）</w:t>
            </w:r>
          </w:p>
        </w:tc>
        <w:tc>
          <w:tcPr>
            <w:tcW w:w="1357" w:type="dxa"/>
            <w:noWrap w:val="0"/>
            <w:vAlign w:val="top"/>
          </w:tcPr>
          <w:p w14:paraId="4184AE2A">
            <w:pPr>
              <w:tabs>
                <w:tab w:val="left" w:pos="540"/>
              </w:tabs>
              <w:ind w:left="-132" w:leftChars="-64" w:right="-105" w:rightChars="-50" w:hanging="2"/>
              <w:jc w:val="center"/>
              <w:rPr>
                <w:rFonts w:hint="eastAsia" w:ascii="宋体" w:hAnsi="宋体" w:eastAsia="宋体" w:cs="宋体"/>
                <w:szCs w:val="21"/>
                <w:highlight w:val="none"/>
              </w:rPr>
            </w:pPr>
            <w:r>
              <w:rPr>
                <w:rFonts w:hint="eastAsia" w:ascii="宋体" w:hAnsi="宋体" w:eastAsia="宋体" w:cs="宋体"/>
                <w:szCs w:val="21"/>
                <w:highlight w:val="none"/>
              </w:rPr>
              <w:t>资产负债率</w:t>
            </w:r>
          </w:p>
        </w:tc>
      </w:tr>
      <w:tr w14:paraId="44D8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56412A13">
            <w:pPr>
              <w:tabs>
                <w:tab w:val="left" w:pos="540"/>
              </w:tabs>
              <w:ind w:left="-132" w:leftChars="-64" w:right="-105" w:rightChars="-50" w:hanging="2"/>
              <w:jc w:val="center"/>
              <w:rPr>
                <w:rFonts w:hint="eastAsia" w:ascii="宋体" w:hAnsi="宋体" w:eastAsia="宋体" w:cs="宋体"/>
                <w:szCs w:val="21"/>
                <w:highlight w:val="none"/>
              </w:rPr>
            </w:pPr>
          </w:p>
        </w:tc>
        <w:tc>
          <w:tcPr>
            <w:tcW w:w="1418" w:type="dxa"/>
            <w:noWrap w:val="0"/>
            <w:vAlign w:val="top"/>
          </w:tcPr>
          <w:p w14:paraId="00CB45FC">
            <w:pPr>
              <w:tabs>
                <w:tab w:val="left" w:pos="540"/>
              </w:tabs>
              <w:ind w:left="-132" w:leftChars="-64" w:right="-105" w:rightChars="-50" w:hanging="2"/>
              <w:jc w:val="center"/>
              <w:rPr>
                <w:rFonts w:hint="eastAsia" w:ascii="宋体" w:hAnsi="宋体" w:eastAsia="宋体" w:cs="宋体"/>
                <w:szCs w:val="21"/>
                <w:highlight w:val="none"/>
              </w:rPr>
            </w:pPr>
          </w:p>
        </w:tc>
        <w:tc>
          <w:tcPr>
            <w:tcW w:w="1460" w:type="dxa"/>
            <w:noWrap w:val="0"/>
            <w:vAlign w:val="top"/>
          </w:tcPr>
          <w:p w14:paraId="2FE02010">
            <w:pPr>
              <w:tabs>
                <w:tab w:val="left" w:pos="540"/>
              </w:tabs>
              <w:ind w:left="-132" w:leftChars="-64" w:right="-105" w:rightChars="-50" w:hanging="2"/>
              <w:jc w:val="center"/>
              <w:rPr>
                <w:rFonts w:hint="eastAsia" w:ascii="宋体" w:hAnsi="宋体" w:eastAsia="宋体" w:cs="宋体"/>
                <w:szCs w:val="21"/>
                <w:highlight w:val="none"/>
              </w:rPr>
            </w:pPr>
          </w:p>
        </w:tc>
        <w:tc>
          <w:tcPr>
            <w:tcW w:w="1620" w:type="dxa"/>
            <w:gridSpan w:val="2"/>
            <w:noWrap w:val="0"/>
            <w:vAlign w:val="top"/>
          </w:tcPr>
          <w:p w14:paraId="4C54F10C">
            <w:pPr>
              <w:tabs>
                <w:tab w:val="left" w:pos="540"/>
              </w:tabs>
              <w:ind w:left="-132" w:leftChars="-64" w:right="-105" w:rightChars="-50" w:hanging="2"/>
              <w:jc w:val="center"/>
              <w:rPr>
                <w:rFonts w:hint="eastAsia" w:ascii="宋体" w:hAnsi="宋体" w:eastAsia="宋体" w:cs="宋体"/>
                <w:szCs w:val="21"/>
                <w:highlight w:val="none"/>
              </w:rPr>
            </w:pPr>
          </w:p>
        </w:tc>
        <w:tc>
          <w:tcPr>
            <w:tcW w:w="1260" w:type="dxa"/>
            <w:gridSpan w:val="2"/>
            <w:noWrap w:val="0"/>
            <w:vAlign w:val="top"/>
          </w:tcPr>
          <w:p w14:paraId="38F00B0C">
            <w:pPr>
              <w:tabs>
                <w:tab w:val="left" w:pos="540"/>
              </w:tabs>
              <w:ind w:left="-132" w:leftChars="-64" w:right="-105" w:rightChars="-50" w:hanging="2"/>
              <w:jc w:val="center"/>
              <w:rPr>
                <w:rFonts w:hint="eastAsia" w:ascii="宋体" w:hAnsi="宋体" w:eastAsia="宋体" w:cs="宋体"/>
                <w:szCs w:val="21"/>
                <w:highlight w:val="none"/>
              </w:rPr>
            </w:pPr>
          </w:p>
        </w:tc>
        <w:tc>
          <w:tcPr>
            <w:tcW w:w="1080" w:type="dxa"/>
            <w:gridSpan w:val="2"/>
            <w:noWrap w:val="0"/>
            <w:vAlign w:val="top"/>
          </w:tcPr>
          <w:p w14:paraId="05A10429">
            <w:pPr>
              <w:tabs>
                <w:tab w:val="left" w:pos="540"/>
              </w:tabs>
              <w:ind w:left="-132" w:leftChars="-64" w:right="-105" w:rightChars="-50" w:hanging="2"/>
              <w:jc w:val="center"/>
              <w:rPr>
                <w:rFonts w:hint="eastAsia" w:ascii="宋体" w:hAnsi="宋体" w:eastAsia="宋体" w:cs="宋体"/>
                <w:szCs w:val="21"/>
                <w:highlight w:val="none"/>
              </w:rPr>
            </w:pPr>
          </w:p>
        </w:tc>
        <w:tc>
          <w:tcPr>
            <w:tcW w:w="1357" w:type="dxa"/>
            <w:noWrap w:val="0"/>
            <w:vAlign w:val="top"/>
          </w:tcPr>
          <w:p w14:paraId="7C6D7751">
            <w:pPr>
              <w:tabs>
                <w:tab w:val="left" w:pos="540"/>
              </w:tabs>
              <w:ind w:left="-132" w:leftChars="-64" w:right="-105" w:rightChars="-50" w:hanging="2"/>
              <w:jc w:val="center"/>
              <w:rPr>
                <w:rFonts w:hint="eastAsia" w:ascii="宋体" w:hAnsi="宋体" w:eastAsia="宋体" w:cs="宋体"/>
                <w:szCs w:val="21"/>
                <w:highlight w:val="none"/>
              </w:rPr>
            </w:pPr>
          </w:p>
        </w:tc>
      </w:tr>
      <w:tr w14:paraId="2BFB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623FF5F8">
            <w:pPr>
              <w:tabs>
                <w:tab w:val="left" w:pos="540"/>
              </w:tabs>
              <w:ind w:left="-132" w:leftChars="-64" w:right="-105" w:rightChars="-50" w:hanging="2"/>
              <w:jc w:val="center"/>
              <w:rPr>
                <w:rFonts w:hint="eastAsia" w:ascii="宋体" w:hAnsi="宋体" w:eastAsia="宋体" w:cs="宋体"/>
                <w:szCs w:val="21"/>
                <w:highlight w:val="none"/>
              </w:rPr>
            </w:pPr>
          </w:p>
        </w:tc>
        <w:tc>
          <w:tcPr>
            <w:tcW w:w="1418" w:type="dxa"/>
            <w:noWrap w:val="0"/>
            <w:vAlign w:val="top"/>
          </w:tcPr>
          <w:p w14:paraId="4C876213">
            <w:pPr>
              <w:tabs>
                <w:tab w:val="left" w:pos="540"/>
              </w:tabs>
              <w:ind w:left="-132" w:leftChars="-64" w:right="-105" w:rightChars="-50" w:hanging="2"/>
              <w:jc w:val="center"/>
              <w:rPr>
                <w:rFonts w:hint="eastAsia" w:ascii="宋体" w:hAnsi="宋体" w:eastAsia="宋体" w:cs="宋体"/>
                <w:szCs w:val="21"/>
                <w:highlight w:val="none"/>
              </w:rPr>
            </w:pPr>
          </w:p>
        </w:tc>
        <w:tc>
          <w:tcPr>
            <w:tcW w:w="1460" w:type="dxa"/>
            <w:noWrap w:val="0"/>
            <w:vAlign w:val="top"/>
          </w:tcPr>
          <w:p w14:paraId="22F088FF">
            <w:pPr>
              <w:tabs>
                <w:tab w:val="left" w:pos="540"/>
              </w:tabs>
              <w:ind w:left="-132" w:leftChars="-64" w:right="-105" w:rightChars="-50" w:hanging="2"/>
              <w:jc w:val="center"/>
              <w:rPr>
                <w:rFonts w:hint="eastAsia" w:ascii="宋体" w:hAnsi="宋体" w:eastAsia="宋体" w:cs="宋体"/>
                <w:szCs w:val="21"/>
                <w:highlight w:val="none"/>
              </w:rPr>
            </w:pPr>
          </w:p>
        </w:tc>
        <w:tc>
          <w:tcPr>
            <w:tcW w:w="1620" w:type="dxa"/>
            <w:gridSpan w:val="2"/>
            <w:noWrap w:val="0"/>
            <w:vAlign w:val="top"/>
          </w:tcPr>
          <w:p w14:paraId="19CE1C86">
            <w:pPr>
              <w:tabs>
                <w:tab w:val="left" w:pos="540"/>
              </w:tabs>
              <w:ind w:left="-132" w:leftChars="-64" w:right="-105" w:rightChars="-50" w:hanging="2"/>
              <w:jc w:val="center"/>
              <w:rPr>
                <w:rFonts w:hint="eastAsia" w:ascii="宋体" w:hAnsi="宋体" w:eastAsia="宋体" w:cs="宋体"/>
                <w:szCs w:val="21"/>
                <w:highlight w:val="none"/>
              </w:rPr>
            </w:pPr>
          </w:p>
        </w:tc>
        <w:tc>
          <w:tcPr>
            <w:tcW w:w="1260" w:type="dxa"/>
            <w:gridSpan w:val="2"/>
            <w:noWrap w:val="0"/>
            <w:vAlign w:val="top"/>
          </w:tcPr>
          <w:p w14:paraId="1BDF0AE4">
            <w:pPr>
              <w:tabs>
                <w:tab w:val="left" w:pos="540"/>
              </w:tabs>
              <w:ind w:left="-132" w:leftChars="-64" w:right="-105" w:rightChars="-50" w:hanging="2"/>
              <w:jc w:val="center"/>
              <w:rPr>
                <w:rFonts w:hint="eastAsia" w:ascii="宋体" w:hAnsi="宋体" w:eastAsia="宋体" w:cs="宋体"/>
                <w:szCs w:val="21"/>
                <w:highlight w:val="none"/>
              </w:rPr>
            </w:pPr>
          </w:p>
        </w:tc>
        <w:tc>
          <w:tcPr>
            <w:tcW w:w="1080" w:type="dxa"/>
            <w:gridSpan w:val="2"/>
            <w:noWrap w:val="0"/>
            <w:vAlign w:val="top"/>
          </w:tcPr>
          <w:p w14:paraId="0453BFAD">
            <w:pPr>
              <w:tabs>
                <w:tab w:val="left" w:pos="540"/>
              </w:tabs>
              <w:ind w:left="-132" w:leftChars="-64" w:right="-105" w:rightChars="-50" w:hanging="2"/>
              <w:jc w:val="center"/>
              <w:rPr>
                <w:rFonts w:hint="eastAsia" w:ascii="宋体" w:hAnsi="宋体" w:eastAsia="宋体" w:cs="宋体"/>
                <w:szCs w:val="21"/>
                <w:highlight w:val="none"/>
              </w:rPr>
            </w:pPr>
          </w:p>
        </w:tc>
        <w:tc>
          <w:tcPr>
            <w:tcW w:w="1357" w:type="dxa"/>
            <w:noWrap w:val="0"/>
            <w:vAlign w:val="top"/>
          </w:tcPr>
          <w:p w14:paraId="59351429">
            <w:pPr>
              <w:tabs>
                <w:tab w:val="left" w:pos="540"/>
              </w:tabs>
              <w:ind w:left="-132" w:leftChars="-64" w:right="-105" w:rightChars="-50" w:hanging="2"/>
              <w:jc w:val="center"/>
              <w:rPr>
                <w:rFonts w:hint="eastAsia" w:ascii="宋体" w:hAnsi="宋体" w:eastAsia="宋体" w:cs="宋体"/>
                <w:szCs w:val="21"/>
                <w:highlight w:val="none"/>
              </w:rPr>
            </w:pPr>
          </w:p>
        </w:tc>
      </w:tr>
    </w:tbl>
    <w:p w14:paraId="1CE07BB4">
      <w:pPr>
        <w:rPr>
          <w:rFonts w:hint="eastAsia" w:ascii="宋体" w:hAnsi="宋体" w:eastAsia="宋体" w:cs="宋体"/>
          <w:szCs w:val="21"/>
          <w:highlight w:val="none"/>
          <w:lang w:val="en-GB"/>
        </w:rPr>
      </w:pPr>
      <w:r>
        <w:rPr>
          <w:rFonts w:hint="eastAsia" w:ascii="宋体" w:hAnsi="宋体" w:eastAsia="宋体" w:cs="宋体"/>
          <w:szCs w:val="21"/>
          <w:highlight w:val="none"/>
          <w:lang w:val="en-GB"/>
        </w:rPr>
        <w:t>注：1）文字描述：单位性质、发展历程、经营规模及服务理念、主营产品、技术力量、实施履行本项目合同所必需的设备、财务状况等。</w:t>
      </w:r>
    </w:p>
    <w:p w14:paraId="6FFDBB74">
      <w:pPr>
        <w:rPr>
          <w:rFonts w:hint="eastAsia" w:ascii="宋体" w:hAnsi="宋体" w:eastAsia="宋体" w:cs="宋体"/>
          <w:szCs w:val="21"/>
          <w:highlight w:val="none"/>
          <w:lang w:val="en-GB"/>
        </w:rPr>
      </w:pPr>
      <w:r>
        <w:rPr>
          <w:rFonts w:hint="eastAsia" w:ascii="宋体" w:hAnsi="宋体" w:eastAsia="宋体" w:cs="宋体"/>
          <w:szCs w:val="21"/>
          <w:highlight w:val="none"/>
          <w:lang w:val="en-GB"/>
        </w:rPr>
        <w:t>2) 图片描述：经营场所、主要或关键产品介绍、生产场所及工艺流程等。</w:t>
      </w:r>
    </w:p>
    <w:p w14:paraId="58C7EAAB">
      <w:pPr>
        <w:rPr>
          <w:rFonts w:hint="eastAsia" w:ascii="宋体" w:hAnsi="宋体" w:eastAsia="宋体" w:cs="宋体"/>
          <w:szCs w:val="21"/>
          <w:highlight w:val="none"/>
          <w:lang w:val="en-GB"/>
        </w:rPr>
      </w:pPr>
      <w:r>
        <w:rPr>
          <w:rFonts w:hint="eastAsia" w:ascii="宋体" w:hAnsi="宋体" w:eastAsia="宋体" w:cs="宋体"/>
          <w:szCs w:val="21"/>
          <w:highlight w:val="none"/>
          <w:lang w:val="en-GB"/>
        </w:rPr>
        <w:t>3）投标人可提供上述情况的证明材料。</w:t>
      </w:r>
    </w:p>
    <w:p w14:paraId="6B7D3458">
      <w:pPr>
        <w:rPr>
          <w:rFonts w:hint="eastAsia" w:ascii="宋体" w:hAnsi="宋体" w:eastAsia="宋体" w:cs="宋体"/>
          <w:szCs w:val="21"/>
          <w:highlight w:val="none"/>
          <w:lang w:val="en-GB"/>
        </w:rPr>
      </w:pPr>
      <w:r>
        <w:rPr>
          <w:rFonts w:hint="eastAsia" w:ascii="宋体" w:hAnsi="宋体" w:eastAsia="宋体" w:cs="宋体"/>
          <w:szCs w:val="21"/>
          <w:highlight w:val="none"/>
          <w:lang w:val="en-GB"/>
        </w:rPr>
        <w:t>4）如投标人此表数据有虚假，一经查实，自行承担相关责任。</w:t>
      </w:r>
    </w:p>
    <w:p w14:paraId="288CE553">
      <w:pPr>
        <w:tabs>
          <w:tab w:val="left" w:pos="540"/>
        </w:tabs>
        <w:rPr>
          <w:rFonts w:hint="eastAsia" w:ascii="宋体" w:hAnsi="宋体" w:eastAsia="宋体" w:cs="宋体"/>
          <w:b/>
          <w:sz w:val="24"/>
          <w:highlight w:val="none"/>
        </w:rPr>
      </w:pPr>
    </w:p>
    <w:p w14:paraId="25E2F5CF">
      <w:pPr>
        <w:tabs>
          <w:tab w:val="left" w:pos="540"/>
        </w:tabs>
        <w:rPr>
          <w:rFonts w:hint="eastAsia" w:ascii="宋体" w:hAnsi="宋体" w:eastAsia="宋体" w:cs="宋体"/>
          <w:b/>
          <w:sz w:val="24"/>
          <w:highlight w:val="none"/>
        </w:rPr>
      </w:pPr>
    </w:p>
    <w:p w14:paraId="07291283">
      <w:pPr>
        <w:tabs>
          <w:tab w:val="left" w:pos="540"/>
        </w:tabs>
        <w:rPr>
          <w:rFonts w:hint="eastAsia" w:ascii="宋体" w:hAnsi="宋体" w:eastAsia="宋体" w:cs="宋体"/>
          <w:b/>
          <w:sz w:val="24"/>
          <w:highlight w:val="none"/>
        </w:rPr>
      </w:pPr>
      <w:r>
        <w:rPr>
          <w:rFonts w:hint="eastAsia" w:ascii="宋体" w:hAnsi="宋体" w:eastAsia="宋体" w:cs="宋体"/>
          <w:b/>
          <w:sz w:val="24"/>
          <w:highlight w:val="none"/>
          <w:lang w:val="en-US" w:eastAsia="zh-CN"/>
        </w:rPr>
        <w:t>二</w:t>
      </w:r>
      <w:r>
        <w:rPr>
          <w:rFonts w:hint="eastAsia" w:ascii="宋体" w:hAnsi="宋体" w:eastAsia="宋体" w:cs="宋体"/>
          <w:b/>
          <w:sz w:val="24"/>
          <w:highlight w:val="none"/>
        </w:rPr>
        <w:t>、同类项目业绩介绍</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14:paraId="26E1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14:paraId="0EB6AA86">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38" w:type="dxa"/>
            <w:shd w:val="clear" w:color="auto" w:fill="F3F3F3"/>
            <w:noWrap w:val="0"/>
            <w:vAlign w:val="center"/>
          </w:tcPr>
          <w:p w14:paraId="20886ED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客户名称</w:t>
            </w:r>
          </w:p>
        </w:tc>
        <w:tc>
          <w:tcPr>
            <w:tcW w:w="2984" w:type="dxa"/>
            <w:shd w:val="clear" w:color="auto" w:fill="F3F3F3"/>
            <w:noWrap w:val="0"/>
            <w:vAlign w:val="center"/>
          </w:tcPr>
          <w:p w14:paraId="4B56DE71">
            <w:pPr>
              <w:rPr>
                <w:rFonts w:hint="eastAsia" w:ascii="宋体" w:hAnsi="宋体" w:eastAsia="宋体" w:cs="宋体"/>
                <w:b/>
                <w:bCs/>
                <w:szCs w:val="21"/>
                <w:highlight w:val="none"/>
              </w:rPr>
            </w:pPr>
            <w:r>
              <w:rPr>
                <w:rFonts w:hint="eastAsia" w:ascii="宋体" w:hAnsi="宋体" w:eastAsia="宋体" w:cs="宋体"/>
                <w:b/>
                <w:bCs/>
                <w:szCs w:val="21"/>
                <w:highlight w:val="none"/>
              </w:rPr>
              <w:t>项目名称及合同金额（万元）</w:t>
            </w:r>
          </w:p>
        </w:tc>
        <w:tc>
          <w:tcPr>
            <w:tcW w:w="1151" w:type="dxa"/>
            <w:shd w:val="clear" w:color="auto" w:fill="F3F3F3"/>
            <w:noWrap w:val="0"/>
            <w:vAlign w:val="center"/>
          </w:tcPr>
          <w:p w14:paraId="2553B999">
            <w:pPr>
              <w:rPr>
                <w:rFonts w:hint="eastAsia" w:ascii="宋体" w:hAnsi="宋体" w:eastAsia="宋体" w:cs="宋体"/>
                <w:b/>
                <w:bCs/>
                <w:szCs w:val="21"/>
                <w:highlight w:val="none"/>
              </w:rPr>
            </w:pPr>
            <w:r>
              <w:rPr>
                <w:rFonts w:hint="eastAsia" w:ascii="宋体" w:hAnsi="宋体" w:eastAsia="宋体" w:cs="宋体"/>
                <w:b/>
                <w:bCs/>
                <w:szCs w:val="21"/>
                <w:highlight w:val="none"/>
              </w:rPr>
              <w:t>完成时间</w:t>
            </w:r>
          </w:p>
        </w:tc>
        <w:tc>
          <w:tcPr>
            <w:tcW w:w="2083" w:type="dxa"/>
            <w:shd w:val="clear" w:color="auto" w:fill="F3F3F3"/>
            <w:noWrap w:val="0"/>
            <w:vAlign w:val="center"/>
          </w:tcPr>
          <w:p w14:paraId="3669DB0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联系人及电话</w:t>
            </w:r>
          </w:p>
        </w:tc>
      </w:tr>
      <w:tr w14:paraId="62C4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52170226">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338" w:type="dxa"/>
            <w:noWrap w:val="0"/>
            <w:vAlign w:val="center"/>
          </w:tcPr>
          <w:p w14:paraId="220A9CFD">
            <w:pPr>
              <w:jc w:val="center"/>
              <w:rPr>
                <w:rFonts w:hint="eastAsia" w:ascii="宋体" w:hAnsi="宋体" w:eastAsia="宋体" w:cs="宋体"/>
                <w:szCs w:val="21"/>
                <w:highlight w:val="none"/>
              </w:rPr>
            </w:pPr>
          </w:p>
        </w:tc>
        <w:tc>
          <w:tcPr>
            <w:tcW w:w="2984" w:type="dxa"/>
            <w:noWrap w:val="0"/>
            <w:vAlign w:val="center"/>
          </w:tcPr>
          <w:p w14:paraId="5755EF61">
            <w:pPr>
              <w:jc w:val="center"/>
              <w:rPr>
                <w:rFonts w:hint="eastAsia" w:ascii="宋体" w:hAnsi="宋体" w:eastAsia="宋体" w:cs="宋体"/>
                <w:szCs w:val="21"/>
                <w:highlight w:val="none"/>
              </w:rPr>
            </w:pPr>
          </w:p>
        </w:tc>
        <w:tc>
          <w:tcPr>
            <w:tcW w:w="1151" w:type="dxa"/>
            <w:noWrap w:val="0"/>
            <w:vAlign w:val="center"/>
          </w:tcPr>
          <w:p w14:paraId="0D8CDB1E">
            <w:pPr>
              <w:jc w:val="center"/>
              <w:rPr>
                <w:rFonts w:hint="eastAsia" w:ascii="宋体" w:hAnsi="宋体" w:eastAsia="宋体" w:cs="宋体"/>
                <w:szCs w:val="21"/>
                <w:highlight w:val="none"/>
              </w:rPr>
            </w:pPr>
          </w:p>
        </w:tc>
        <w:tc>
          <w:tcPr>
            <w:tcW w:w="2083" w:type="dxa"/>
            <w:noWrap w:val="0"/>
            <w:vAlign w:val="center"/>
          </w:tcPr>
          <w:p w14:paraId="0F2B80FE">
            <w:pPr>
              <w:jc w:val="center"/>
              <w:rPr>
                <w:rFonts w:hint="eastAsia" w:ascii="宋体" w:hAnsi="宋体" w:eastAsia="宋体" w:cs="宋体"/>
                <w:szCs w:val="21"/>
                <w:highlight w:val="none"/>
              </w:rPr>
            </w:pPr>
          </w:p>
        </w:tc>
      </w:tr>
      <w:tr w14:paraId="1B87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5A925BCF">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338" w:type="dxa"/>
            <w:noWrap w:val="0"/>
            <w:vAlign w:val="center"/>
          </w:tcPr>
          <w:p w14:paraId="04CA82B8">
            <w:pPr>
              <w:jc w:val="center"/>
              <w:rPr>
                <w:rFonts w:hint="eastAsia" w:ascii="宋体" w:hAnsi="宋体" w:eastAsia="宋体" w:cs="宋体"/>
                <w:szCs w:val="21"/>
                <w:highlight w:val="none"/>
              </w:rPr>
            </w:pPr>
          </w:p>
        </w:tc>
        <w:tc>
          <w:tcPr>
            <w:tcW w:w="2984" w:type="dxa"/>
            <w:noWrap w:val="0"/>
            <w:vAlign w:val="center"/>
          </w:tcPr>
          <w:p w14:paraId="5BC9F178">
            <w:pPr>
              <w:jc w:val="center"/>
              <w:rPr>
                <w:rFonts w:hint="eastAsia" w:ascii="宋体" w:hAnsi="宋体" w:eastAsia="宋体" w:cs="宋体"/>
                <w:szCs w:val="21"/>
                <w:highlight w:val="none"/>
              </w:rPr>
            </w:pPr>
          </w:p>
        </w:tc>
        <w:tc>
          <w:tcPr>
            <w:tcW w:w="1151" w:type="dxa"/>
            <w:noWrap w:val="0"/>
            <w:vAlign w:val="center"/>
          </w:tcPr>
          <w:p w14:paraId="4E468D58">
            <w:pPr>
              <w:pStyle w:val="132"/>
              <w:rPr>
                <w:rFonts w:hint="eastAsia" w:ascii="宋体" w:hAnsi="宋体" w:eastAsia="宋体" w:cs="宋体"/>
                <w:color w:val="auto"/>
                <w:highlight w:val="none"/>
              </w:rPr>
            </w:pPr>
          </w:p>
        </w:tc>
        <w:tc>
          <w:tcPr>
            <w:tcW w:w="2083" w:type="dxa"/>
            <w:noWrap w:val="0"/>
            <w:vAlign w:val="center"/>
          </w:tcPr>
          <w:p w14:paraId="2D9E3E1A">
            <w:pPr>
              <w:jc w:val="center"/>
              <w:rPr>
                <w:rFonts w:hint="eastAsia" w:ascii="宋体" w:hAnsi="宋体" w:eastAsia="宋体" w:cs="宋体"/>
                <w:szCs w:val="21"/>
                <w:highlight w:val="none"/>
              </w:rPr>
            </w:pPr>
          </w:p>
        </w:tc>
      </w:tr>
      <w:tr w14:paraId="73A8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52A1F75B">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338" w:type="dxa"/>
            <w:noWrap w:val="0"/>
            <w:vAlign w:val="center"/>
          </w:tcPr>
          <w:p w14:paraId="0ED3124E">
            <w:pPr>
              <w:jc w:val="center"/>
              <w:rPr>
                <w:rFonts w:hint="eastAsia" w:ascii="宋体" w:hAnsi="宋体" w:eastAsia="宋体" w:cs="宋体"/>
                <w:szCs w:val="21"/>
                <w:highlight w:val="none"/>
              </w:rPr>
            </w:pPr>
          </w:p>
        </w:tc>
        <w:tc>
          <w:tcPr>
            <w:tcW w:w="2984" w:type="dxa"/>
            <w:noWrap w:val="0"/>
            <w:vAlign w:val="center"/>
          </w:tcPr>
          <w:p w14:paraId="47D78F3F">
            <w:pPr>
              <w:jc w:val="center"/>
              <w:rPr>
                <w:rFonts w:hint="eastAsia" w:ascii="宋体" w:hAnsi="宋体" w:eastAsia="宋体" w:cs="宋体"/>
                <w:szCs w:val="21"/>
                <w:highlight w:val="none"/>
              </w:rPr>
            </w:pPr>
          </w:p>
        </w:tc>
        <w:tc>
          <w:tcPr>
            <w:tcW w:w="1151" w:type="dxa"/>
            <w:noWrap w:val="0"/>
            <w:vAlign w:val="center"/>
          </w:tcPr>
          <w:p w14:paraId="24A51CDC">
            <w:pPr>
              <w:jc w:val="center"/>
              <w:rPr>
                <w:rFonts w:hint="eastAsia" w:ascii="宋体" w:hAnsi="宋体" w:eastAsia="宋体" w:cs="宋体"/>
                <w:szCs w:val="21"/>
                <w:highlight w:val="none"/>
              </w:rPr>
            </w:pPr>
          </w:p>
        </w:tc>
        <w:tc>
          <w:tcPr>
            <w:tcW w:w="2083" w:type="dxa"/>
            <w:noWrap w:val="0"/>
            <w:vAlign w:val="center"/>
          </w:tcPr>
          <w:p w14:paraId="654C4E5E">
            <w:pPr>
              <w:jc w:val="center"/>
              <w:rPr>
                <w:rFonts w:hint="eastAsia" w:ascii="宋体" w:hAnsi="宋体" w:eastAsia="宋体" w:cs="宋体"/>
                <w:szCs w:val="21"/>
                <w:highlight w:val="none"/>
              </w:rPr>
            </w:pPr>
          </w:p>
        </w:tc>
      </w:tr>
    </w:tbl>
    <w:p w14:paraId="4A532B0E">
      <w:pPr>
        <w:rPr>
          <w:rFonts w:hint="eastAsia" w:ascii="宋体" w:hAnsi="宋体" w:eastAsia="宋体" w:cs="宋体"/>
          <w:szCs w:val="21"/>
          <w:highlight w:val="none"/>
          <w:lang w:val="en-GB"/>
        </w:rPr>
      </w:pPr>
      <w:r>
        <w:rPr>
          <w:rFonts w:hint="eastAsia" w:ascii="宋体" w:hAnsi="宋体" w:eastAsia="宋体" w:cs="宋体"/>
          <w:szCs w:val="21"/>
          <w:highlight w:val="none"/>
          <w:lang w:val="en-GB"/>
        </w:rPr>
        <w:t>注：业绩是以投标人名义完成的项目。投标人应同时提供业绩证明文件。</w:t>
      </w:r>
    </w:p>
    <w:p w14:paraId="249F2851">
      <w:pPr>
        <w:tabs>
          <w:tab w:val="left" w:pos="540"/>
        </w:tabs>
        <w:rPr>
          <w:rFonts w:hint="eastAsia" w:ascii="宋体" w:hAnsi="宋体" w:eastAsia="宋体" w:cs="宋体"/>
          <w:b/>
          <w:sz w:val="18"/>
          <w:szCs w:val="18"/>
          <w:highlight w:val="none"/>
          <w:lang w:val="en-GB"/>
        </w:rPr>
      </w:pPr>
    </w:p>
    <w:p w14:paraId="71C39115">
      <w:pPr>
        <w:tabs>
          <w:tab w:val="left" w:pos="540"/>
        </w:tabs>
        <w:rPr>
          <w:rFonts w:hint="eastAsia" w:ascii="宋体" w:hAnsi="宋体" w:eastAsia="宋体" w:cs="宋体"/>
          <w:b/>
          <w:sz w:val="24"/>
          <w:szCs w:val="18"/>
          <w:highlight w:val="none"/>
        </w:rPr>
      </w:pPr>
      <w:r>
        <w:rPr>
          <w:rFonts w:hint="eastAsia" w:ascii="宋体" w:hAnsi="宋体" w:eastAsia="宋体" w:cs="宋体"/>
          <w:b/>
          <w:sz w:val="24"/>
          <w:highlight w:val="none"/>
          <w:lang w:val="en-US" w:eastAsia="zh-CN"/>
        </w:rPr>
        <w:t>三</w:t>
      </w:r>
      <w:r>
        <w:rPr>
          <w:rFonts w:hint="eastAsia" w:ascii="宋体" w:hAnsi="宋体" w:eastAsia="宋体" w:cs="宋体"/>
          <w:b/>
          <w:sz w:val="24"/>
          <w:highlight w:val="none"/>
          <w:lang w:val="en-GB"/>
        </w:rPr>
        <w:t>、</w:t>
      </w:r>
      <w:r>
        <w:rPr>
          <w:rFonts w:hint="eastAsia" w:ascii="宋体" w:hAnsi="宋体" w:eastAsia="宋体" w:cs="宋体"/>
          <w:b/>
          <w:sz w:val="24"/>
          <w:highlight w:val="none"/>
        </w:rPr>
        <w:t>规章管理制度一览表</w:t>
      </w:r>
      <w:r>
        <w:rPr>
          <w:rFonts w:hint="eastAsia" w:ascii="宋体" w:hAnsi="宋体" w:eastAsia="宋体" w:cs="宋体"/>
          <w:sz w:val="24"/>
          <w:highlight w:val="none"/>
        </w:rPr>
        <w:t>（</w:t>
      </w:r>
      <w:r>
        <w:rPr>
          <w:rFonts w:hint="eastAsia" w:ascii="宋体" w:hAnsi="宋体" w:eastAsia="宋体" w:cs="宋体"/>
          <w:szCs w:val="21"/>
          <w:highlight w:val="none"/>
          <w:lang w:val="en-GB"/>
        </w:rPr>
        <w:t>所列制度均为目前仍在执行的制度，包括质量保证体系和操作管理制度等,提供附复印件并加盖公章</w:t>
      </w:r>
      <w:r>
        <w:rPr>
          <w:rFonts w:hint="eastAsia" w:ascii="宋体" w:hAnsi="宋体" w:eastAsia="宋体" w:cs="宋体"/>
          <w:sz w:val="24"/>
          <w:highlight w:val="none"/>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4487"/>
        <w:gridCol w:w="1801"/>
        <w:gridCol w:w="1359"/>
      </w:tblGrid>
      <w:tr w14:paraId="4775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3" w:type="dxa"/>
            <w:noWrap w:val="0"/>
            <w:vAlign w:val="center"/>
          </w:tcPr>
          <w:p w14:paraId="2A0ABE49">
            <w:pPr>
              <w:jc w:val="center"/>
              <w:rPr>
                <w:rFonts w:hint="eastAsia" w:ascii="宋体" w:hAnsi="宋体" w:eastAsia="宋体" w:cs="宋体"/>
                <w:b/>
                <w:szCs w:val="21"/>
                <w:highlight w:val="none"/>
              </w:rPr>
            </w:pPr>
            <w:r>
              <w:rPr>
                <w:rFonts w:hint="eastAsia" w:ascii="宋体" w:hAnsi="宋体" w:eastAsia="宋体" w:cs="宋体"/>
                <w:b/>
                <w:szCs w:val="21"/>
                <w:highlight w:val="none"/>
              </w:rPr>
              <w:t>序 号</w:t>
            </w:r>
          </w:p>
        </w:tc>
        <w:tc>
          <w:tcPr>
            <w:tcW w:w="4487" w:type="dxa"/>
            <w:noWrap w:val="0"/>
            <w:vAlign w:val="center"/>
          </w:tcPr>
          <w:p w14:paraId="0B9DB90A">
            <w:pPr>
              <w:jc w:val="center"/>
              <w:rPr>
                <w:rFonts w:hint="eastAsia" w:ascii="宋体" w:hAnsi="宋体" w:eastAsia="宋体" w:cs="宋体"/>
                <w:b/>
                <w:szCs w:val="21"/>
                <w:highlight w:val="none"/>
              </w:rPr>
            </w:pPr>
            <w:r>
              <w:rPr>
                <w:rFonts w:hint="eastAsia" w:ascii="宋体" w:hAnsi="宋体" w:eastAsia="宋体" w:cs="宋体"/>
                <w:b/>
                <w:szCs w:val="21"/>
                <w:highlight w:val="none"/>
              </w:rPr>
              <w:t>相关规章管理制度名称</w:t>
            </w:r>
          </w:p>
        </w:tc>
        <w:tc>
          <w:tcPr>
            <w:tcW w:w="1801" w:type="dxa"/>
            <w:noWrap w:val="0"/>
            <w:vAlign w:val="center"/>
          </w:tcPr>
          <w:p w14:paraId="768D7B0F">
            <w:pPr>
              <w:jc w:val="center"/>
              <w:rPr>
                <w:rFonts w:hint="eastAsia" w:ascii="宋体" w:hAnsi="宋体" w:eastAsia="宋体" w:cs="宋体"/>
                <w:b/>
                <w:szCs w:val="21"/>
                <w:highlight w:val="none"/>
              </w:rPr>
            </w:pPr>
            <w:r>
              <w:rPr>
                <w:rFonts w:hint="eastAsia" w:ascii="宋体" w:hAnsi="宋体" w:eastAsia="宋体" w:cs="宋体"/>
                <w:b/>
                <w:szCs w:val="21"/>
                <w:highlight w:val="none"/>
              </w:rPr>
              <w:t>开始执行时间</w:t>
            </w:r>
          </w:p>
        </w:tc>
        <w:tc>
          <w:tcPr>
            <w:tcW w:w="1359" w:type="dxa"/>
            <w:noWrap w:val="0"/>
            <w:vAlign w:val="center"/>
          </w:tcPr>
          <w:p w14:paraId="330FFDF9">
            <w:pPr>
              <w:jc w:val="center"/>
              <w:rPr>
                <w:rFonts w:hint="eastAsia" w:ascii="宋体" w:hAnsi="宋体" w:eastAsia="宋体" w:cs="宋体"/>
                <w:b/>
                <w:szCs w:val="21"/>
                <w:highlight w:val="none"/>
              </w:rPr>
            </w:pPr>
            <w:r>
              <w:rPr>
                <w:rFonts w:hint="eastAsia" w:ascii="宋体" w:hAnsi="宋体" w:eastAsia="宋体" w:cs="宋体"/>
                <w:b/>
                <w:szCs w:val="21"/>
                <w:highlight w:val="none"/>
              </w:rPr>
              <w:t>备注</w:t>
            </w:r>
          </w:p>
        </w:tc>
      </w:tr>
      <w:tr w14:paraId="033D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3" w:type="dxa"/>
            <w:noWrap w:val="0"/>
            <w:vAlign w:val="center"/>
          </w:tcPr>
          <w:p w14:paraId="542F9DCA">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4487" w:type="dxa"/>
            <w:noWrap w:val="0"/>
            <w:vAlign w:val="center"/>
          </w:tcPr>
          <w:p w14:paraId="0ABEE37A">
            <w:pPr>
              <w:jc w:val="center"/>
              <w:rPr>
                <w:rFonts w:hint="eastAsia" w:ascii="宋体" w:hAnsi="宋体" w:eastAsia="宋体" w:cs="宋体"/>
                <w:szCs w:val="21"/>
                <w:highlight w:val="none"/>
              </w:rPr>
            </w:pPr>
          </w:p>
        </w:tc>
        <w:tc>
          <w:tcPr>
            <w:tcW w:w="1801" w:type="dxa"/>
            <w:noWrap w:val="0"/>
            <w:vAlign w:val="center"/>
          </w:tcPr>
          <w:p w14:paraId="70D617F9">
            <w:pPr>
              <w:jc w:val="center"/>
              <w:rPr>
                <w:rFonts w:hint="eastAsia" w:ascii="宋体" w:hAnsi="宋体" w:eastAsia="宋体" w:cs="宋体"/>
                <w:szCs w:val="21"/>
                <w:highlight w:val="none"/>
              </w:rPr>
            </w:pPr>
          </w:p>
        </w:tc>
        <w:tc>
          <w:tcPr>
            <w:tcW w:w="1359" w:type="dxa"/>
            <w:noWrap w:val="0"/>
            <w:vAlign w:val="center"/>
          </w:tcPr>
          <w:p w14:paraId="68E24982">
            <w:pPr>
              <w:jc w:val="center"/>
              <w:rPr>
                <w:rFonts w:hint="eastAsia" w:ascii="宋体" w:hAnsi="宋体" w:eastAsia="宋体" w:cs="宋体"/>
                <w:szCs w:val="21"/>
                <w:highlight w:val="none"/>
              </w:rPr>
            </w:pPr>
          </w:p>
        </w:tc>
      </w:tr>
      <w:tr w14:paraId="16A9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3" w:type="dxa"/>
            <w:noWrap w:val="0"/>
            <w:vAlign w:val="center"/>
          </w:tcPr>
          <w:p w14:paraId="59C1E253">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4487" w:type="dxa"/>
            <w:noWrap w:val="0"/>
            <w:vAlign w:val="center"/>
          </w:tcPr>
          <w:p w14:paraId="08F8EAAD">
            <w:pPr>
              <w:jc w:val="center"/>
              <w:rPr>
                <w:rFonts w:hint="eastAsia" w:ascii="宋体" w:hAnsi="宋体" w:eastAsia="宋体" w:cs="宋体"/>
                <w:szCs w:val="21"/>
                <w:highlight w:val="none"/>
              </w:rPr>
            </w:pPr>
          </w:p>
        </w:tc>
        <w:tc>
          <w:tcPr>
            <w:tcW w:w="1801" w:type="dxa"/>
            <w:noWrap w:val="0"/>
            <w:vAlign w:val="center"/>
          </w:tcPr>
          <w:p w14:paraId="72A33643">
            <w:pPr>
              <w:jc w:val="center"/>
              <w:rPr>
                <w:rFonts w:hint="eastAsia" w:ascii="宋体" w:hAnsi="宋体" w:eastAsia="宋体" w:cs="宋体"/>
                <w:szCs w:val="21"/>
                <w:highlight w:val="none"/>
              </w:rPr>
            </w:pPr>
          </w:p>
        </w:tc>
        <w:tc>
          <w:tcPr>
            <w:tcW w:w="1359" w:type="dxa"/>
            <w:noWrap w:val="0"/>
            <w:vAlign w:val="center"/>
          </w:tcPr>
          <w:p w14:paraId="3429CDB2">
            <w:pPr>
              <w:jc w:val="center"/>
              <w:rPr>
                <w:rFonts w:hint="eastAsia" w:ascii="宋体" w:hAnsi="宋体" w:eastAsia="宋体" w:cs="宋体"/>
                <w:szCs w:val="21"/>
                <w:highlight w:val="none"/>
              </w:rPr>
            </w:pPr>
          </w:p>
        </w:tc>
      </w:tr>
      <w:tr w14:paraId="5D48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3" w:type="dxa"/>
            <w:noWrap w:val="0"/>
            <w:vAlign w:val="center"/>
          </w:tcPr>
          <w:p w14:paraId="28256634">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4487" w:type="dxa"/>
            <w:noWrap w:val="0"/>
            <w:vAlign w:val="center"/>
          </w:tcPr>
          <w:p w14:paraId="1C49311E">
            <w:pPr>
              <w:jc w:val="center"/>
              <w:rPr>
                <w:rFonts w:hint="eastAsia" w:ascii="宋体" w:hAnsi="宋体" w:eastAsia="宋体" w:cs="宋体"/>
                <w:szCs w:val="21"/>
                <w:highlight w:val="none"/>
              </w:rPr>
            </w:pPr>
          </w:p>
        </w:tc>
        <w:tc>
          <w:tcPr>
            <w:tcW w:w="1801" w:type="dxa"/>
            <w:noWrap w:val="0"/>
            <w:vAlign w:val="center"/>
          </w:tcPr>
          <w:p w14:paraId="32D5606A">
            <w:pPr>
              <w:jc w:val="center"/>
              <w:rPr>
                <w:rFonts w:hint="eastAsia" w:ascii="宋体" w:hAnsi="宋体" w:eastAsia="宋体" w:cs="宋体"/>
                <w:szCs w:val="21"/>
                <w:highlight w:val="none"/>
              </w:rPr>
            </w:pPr>
          </w:p>
        </w:tc>
        <w:tc>
          <w:tcPr>
            <w:tcW w:w="1359" w:type="dxa"/>
            <w:noWrap w:val="0"/>
            <w:vAlign w:val="center"/>
          </w:tcPr>
          <w:p w14:paraId="0FA5635D">
            <w:pPr>
              <w:jc w:val="center"/>
              <w:rPr>
                <w:rFonts w:hint="eastAsia" w:ascii="宋体" w:hAnsi="宋体" w:eastAsia="宋体" w:cs="宋体"/>
                <w:szCs w:val="21"/>
                <w:highlight w:val="none"/>
              </w:rPr>
            </w:pPr>
          </w:p>
        </w:tc>
      </w:tr>
    </w:tbl>
    <w:p w14:paraId="2FC43B26">
      <w:pPr>
        <w:tabs>
          <w:tab w:val="left" w:pos="540"/>
        </w:tabs>
        <w:rPr>
          <w:rFonts w:hint="eastAsia" w:ascii="宋体" w:hAnsi="宋体" w:eastAsia="宋体" w:cs="宋体"/>
          <w:b/>
          <w:sz w:val="24"/>
          <w:highlight w:val="none"/>
        </w:rPr>
      </w:pPr>
    </w:p>
    <w:p w14:paraId="360A3BF9">
      <w:pPr>
        <w:numPr>
          <w:ilvl w:val="0"/>
          <w:numId w:val="0"/>
        </w:numPr>
        <w:tabs>
          <w:tab w:val="left" w:pos="540"/>
        </w:tabs>
        <w:spacing w:line="240" w:lineRule="auto"/>
        <w:jc w:val="both"/>
        <w:rPr>
          <w:rFonts w:hint="eastAsia" w:ascii="宋体" w:hAnsi="宋体" w:eastAsia="宋体" w:cs="宋体"/>
          <w:b w:val="0"/>
          <w:bCs/>
          <w:sz w:val="24"/>
          <w:highlight w:val="none"/>
          <w:lang w:eastAsia="zh-CN"/>
        </w:rPr>
      </w:pPr>
      <w:r>
        <w:rPr>
          <w:rFonts w:hint="eastAsia" w:ascii="宋体" w:hAnsi="宋体" w:eastAsia="宋体" w:cs="宋体"/>
          <w:b/>
          <w:kern w:val="2"/>
          <w:sz w:val="24"/>
          <w:szCs w:val="24"/>
          <w:highlight w:val="none"/>
          <w:lang w:val="en-US" w:eastAsia="zh-CN" w:bidi="ar-SA"/>
        </w:rPr>
        <w:t>四、</w:t>
      </w:r>
      <w:r>
        <w:rPr>
          <w:rFonts w:hint="eastAsia" w:ascii="宋体" w:hAnsi="宋体" w:eastAsia="宋体" w:cs="宋体"/>
          <w:b/>
          <w:sz w:val="24"/>
          <w:highlight w:val="none"/>
          <w:lang w:eastAsia="zh-CN"/>
        </w:rPr>
        <w:t>投标人上述同类维保服务项目服务质量、评价情况比较</w:t>
      </w:r>
      <w:r>
        <w:rPr>
          <w:rFonts w:hint="eastAsia" w:ascii="宋体" w:hAnsi="宋体" w:eastAsia="宋体" w:cs="宋体"/>
          <w:b w:val="0"/>
          <w:bCs/>
          <w:sz w:val="24"/>
          <w:highlight w:val="none"/>
          <w:lang w:eastAsia="zh-CN"/>
        </w:rPr>
        <w:t>（</w:t>
      </w:r>
      <w:r>
        <w:rPr>
          <w:rFonts w:hint="eastAsia" w:ascii="宋体" w:hAnsi="宋体" w:eastAsia="宋体" w:cs="宋体"/>
          <w:b w:val="0"/>
          <w:bCs/>
          <w:sz w:val="24"/>
          <w:highlight w:val="none"/>
          <w:lang w:val="en-US" w:eastAsia="zh-CN"/>
        </w:rPr>
        <w:t>提供用户评价意见表</w:t>
      </w:r>
      <w:r>
        <w:rPr>
          <w:rFonts w:hint="eastAsia" w:ascii="宋体" w:hAnsi="宋体" w:eastAsia="宋体" w:cs="宋体"/>
          <w:b w:val="0"/>
          <w:bCs/>
          <w:sz w:val="24"/>
          <w:highlight w:val="none"/>
          <w:lang w:eastAsia="zh-CN"/>
        </w:rPr>
        <w:t>）</w:t>
      </w:r>
    </w:p>
    <w:p w14:paraId="6DE9C771">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55EA63A1">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7147D3F5">
      <w:pPr>
        <w:widowControl w:val="0"/>
        <w:numPr>
          <w:ilvl w:val="0"/>
          <w:numId w:val="0"/>
        </w:numPr>
        <w:tabs>
          <w:tab w:val="left" w:pos="540"/>
        </w:tabs>
        <w:spacing w:line="240" w:lineRule="auto"/>
        <w:jc w:val="both"/>
        <w:rPr>
          <w:rFonts w:hint="eastAsia" w:ascii="宋体" w:hAnsi="宋体" w:eastAsia="宋体" w:cs="宋体"/>
          <w:b w:val="0"/>
          <w:bCs/>
          <w:sz w:val="24"/>
          <w:highlight w:val="none"/>
          <w:lang w:eastAsia="zh-CN"/>
        </w:rPr>
      </w:pPr>
      <w:r>
        <w:rPr>
          <w:rFonts w:hint="eastAsia" w:ascii="宋体" w:hAnsi="宋体" w:eastAsia="宋体" w:cs="宋体"/>
          <w:b/>
          <w:sz w:val="24"/>
          <w:highlight w:val="none"/>
          <w:lang w:val="en-US" w:eastAsia="zh-CN"/>
        </w:rPr>
        <w:t>五、</w:t>
      </w:r>
      <w:r>
        <w:rPr>
          <w:rFonts w:hint="eastAsia" w:ascii="宋体" w:hAnsi="宋体" w:eastAsia="宋体" w:cs="宋体"/>
          <w:b/>
          <w:sz w:val="24"/>
          <w:highlight w:val="none"/>
          <w:lang w:eastAsia="zh-CN"/>
        </w:rPr>
        <w:t>投标人的履约能力</w:t>
      </w:r>
      <w:r>
        <w:rPr>
          <w:rFonts w:hint="eastAsia" w:ascii="宋体" w:hAnsi="宋体" w:eastAsia="宋体" w:cs="宋体"/>
          <w:b w:val="0"/>
          <w:bCs/>
          <w:sz w:val="24"/>
          <w:highlight w:val="none"/>
          <w:lang w:eastAsia="zh-CN"/>
        </w:rPr>
        <w:t>（</w:t>
      </w:r>
      <w:r>
        <w:rPr>
          <w:rFonts w:hint="eastAsia" w:ascii="宋体" w:hAnsi="宋体" w:eastAsia="宋体" w:cs="宋体"/>
          <w:b w:val="0"/>
          <w:bCs/>
          <w:sz w:val="24"/>
          <w:highlight w:val="none"/>
          <w:lang w:val="en-US" w:eastAsia="zh-CN"/>
        </w:rPr>
        <w:t>提供项目安装调试、验收、培训、应急预案等方案</w:t>
      </w:r>
      <w:r>
        <w:rPr>
          <w:rFonts w:hint="eastAsia" w:ascii="宋体" w:hAnsi="宋体" w:eastAsia="宋体" w:cs="宋体"/>
          <w:b w:val="0"/>
          <w:bCs/>
          <w:sz w:val="24"/>
          <w:highlight w:val="none"/>
          <w:lang w:eastAsia="zh-CN"/>
        </w:rPr>
        <w:t>）</w:t>
      </w:r>
    </w:p>
    <w:p w14:paraId="64828E68">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60B992F4">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2F3E2F9C">
      <w:pPr>
        <w:widowControl w:val="0"/>
        <w:numPr>
          <w:ilvl w:val="0"/>
          <w:numId w:val="0"/>
        </w:numPr>
        <w:tabs>
          <w:tab w:val="left" w:pos="540"/>
        </w:tabs>
        <w:spacing w:line="240" w:lineRule="auto"/>
        <w:jc w:val="both"/>
        <w:rPr>
          <w:rFonts w:hint="eastAsia" w:ascii="宋体" w:hAnsi="宋体" w:eastAsia="宋体" w:cs="宋体"/>
          <w:b w:val="0"/>
          <w:bCs/>
          <w:sz w:val="24"/>
          <w:highlight w:val="none"/>
          <w:lang w:val="en-US" w:eastAsia="zh-CN"/>
        </w:rPr>
      </w:pPr>
      <w:r>
        <w:rPr>
          <w:rFonts w:hint="eastAsia" w:ascii="宋体" w:hAnsi="宋体" w:eastAsia="宋体" w:cs="宋体"/>
          <w:b/>
          <w:kern w:val="2"/>
          <w:sz w:val="24"/>
          <w:szCs w:val="24"/>
          <w:highlight w:val="none"/>
          <w:lang w:val="en-US" w:eastAsia="zh-CN" w:bidi="ar-SA"/>
        </w:rPr>
        <w:t>六、</w:t>
      </w:r>
      <w:r>
        <w:rPr>
          <w:rFonts w:hint="eastAsia" w:ascii="宋体" w:hAnsi="宋体" w:eastAsia="宋体" w:cs="宋体"/>
          <w:b/>
          <w:sz w:val="24"/>
          <w:highlight w:val="none"/>
          <w:lang w:val="en-US" w:eastAsia="zh-CN"/>
        </w:rPr>
        <w:t>投标人的应急服务能力</w:t>
      </w:r>
      <w:r>
        <w:rPr>
          <w:rFonts w:hint="eastAsia" w:ascii="宋体" w:hAnsi="宋体" w:eastAsia="宋体" w:cs="宋体"/>
          <w:b w:val="0"/>
          <w:bCs/>
          <w:sz w:val="24"/>
          <w:highlight w:val="none"/>
          <w:lang w:val="en-US" w:eastAsia="zh-CN"/>
        </w:rPr>
        <w:t>（提供应急响应措施）</w:t>
      </w:r>
    </w:p>
    <w:p w14:paraId="15981AE7">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30A8037F">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7F5E65B1">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七、其它重要事项说明及承诺(请扼要叙述)</w:t>
      </w:r>
    </w:p>
    <w:p w14:paraId="17039820">
      <w:pPr>
        <w:widowControl w:val="0"/>
        <w:numPr>
          <w:ilvl w:val="0"/>
          <w:numId w:val="0"/>
        </w:numPr>
        <w:tabs>
          <w:tab w:val="left" w:pos="540"/>
        </w:tabs>
        <w:spacing w:line="240" w:lineRule="auto"/>
        <w:jc w:val="both"/>
        <w:rPr>
          <w:rFonts w:hint="eastAsia" w:ascii="宋体" w:hAnsi="宋体" w:eastAsia="宋体" w:cs="宋体"/>
          <w:b/>
          <w:sz w:val="24"/>
          <w:highlight w:val="none"/>
          <w:lang w:val="en-US" w:eastAsia="zh-CN"/>
        </w:rPr>
      </w:pPr>
    </w:p>
    <w:p w14:paraId="1FBCEB6B">
      <w:pPr>
        <w:rPr>
          <w:rFonts w:hint="eastAsia" w:ascii="宋体" w:hAnsi="宋体" w:eastAsia="宋体" w:cs="宋体"/>
          <w:b/>
          <w:szCs w:val="21"/>
          <w:highlight w:val="none"/>
        </w:rPr>
      </w:pPr>
      <w:r>
        <w:rPr>
          <w:rFonts w:hint="eastAsia" w:ascii="宋体" w:hAnsi="宋体" w:eastAsia="宋体" w:cs="宋体"/>
          <w:b/>
          <w:szCs w:val="21"/>
          <w:highlight w:val="none"/>
        </w:rPr>
        <w:br w:type="page"/>
      </w:r>
    </w:p>
    <w:p w14:paraId="1DA28E7A">
      <w:pPr>
        <w:tabs>
          <w:tab w:val="left" w:pos="540"/>
        </w:tabs>
        <w:rPr>
          <w:rFonts w:hint="eastAsia" w:ascii="宋体" w:hAnsi="宋体" w:eastAsia="宋体" w:cs="宋体"/>
          <w:b/>
          <w:highlight w:val="none"/>
        </w:rPr>
      </w:pPr>
      <w:r>
        <w:rPr>
          <w:rFonts w:hint="eastAsia" w:ascii="宋体" w:hAnsi="宋体" w:eastAsia="宋体" w:cs="宋体"/>
          <w:b/>
          <w:highlight w:val="none"/>
          <w:lang w:val="en-US" w:eastAsia="zh-CN"/>
        </w:rPr>
        <w:t>六</w:t>
      </w:r>
      <w:r>
        <w:rPr>
          <w:rFonts w:hint="eastAsia" w:ascii="宋体" w:hAnsi="宋体" w:eastAsia="宋体" w:cs="宋体"/>
          <w:b/>
          <w:highlight w:val="none"/>
        </w:rPr>
        <w:t>、中标服务费承诺书（格式）</w:t>
      </w:r>
    </w:p>
    <w:p w14:paraId="14188C47">
      <w:pPr>
        <w:pStyle w:val="92"/>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国义招标股份有限公司：</w:t>
      </w:r>
    </w:p>
    <w:p w14:paraId="5A21064E">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eastAsia="宋体" w:cs="宋体"/>
          <w:szCs w:val="21"/>
          <w:highlight w:val="none"/>
          <w:u w:val="single"/>
        </w:rPr>
        <w:t xml:space="preserve">   （投标人名称）   </w:t>
      </w:r>
      <w:r>
        <w:rPr>
          <w:rFonts w:hint="eastAsia" w:ascii="宋体" w:hAnsi="宋体" w:eastAsia="宋体" w:cs="宋体"/>
          <w:szCs w:val="21"/>
          <w:highlight w:val="none"/>
        </w:rPr>
        <w:t>公司在参加在贵司进行的</w:t>
      </w:r>
      <w:r>
        <w:rPr>
          <w:rFonts w:hint="eastAsia" w:ascii="宋体" w:hAnsi="宋体" w:eastAsia="宋体" w:cs="宋体"/>
          <w:szCs w:val="21"/>
          <w:highlight w:val="none"/>
          <w:u w:val="single"/>
        </w:rPr>
        <w:t xml:space="preserve">   （项目名称）  </w:t>
      </w:r>
      <w:r>
        <w:rPr>
          <w:rFonts w:hint="eastAsia" w:ascii="宋体" w:hAnsi="宋体" w:eastAsia="宋体" w:cs="宋体"/>
          <w:szCs w:val="21"/>
          <w:highlight w:val="none"/>
        </w:rPr>
        <w:t>(项目编号：)招标中如获中标，我司保证在领取“中标通知书”前，按本项目投标人须知相关规定向贵司缴纳 “中标服务费”。</w:t>
      </w:r>
    </w:p>
    <w:p w14:paraId="3A3E0242">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如我方违约，愿凭贵方开出的违约通知，按上述承付金额的200%由</w:t>
      </w:r>
      <w:r>
        <w:rPr>
          <w:rFonts w:hint="eastAsia" w:ascii="宋体" w:hAnsi="宋体" w:eastAsia="宋体" w:cs="宋体"/>
          <w:szCs w:val="21"/>
          <w:highlight w:val="none"/>
          <w:lang w:eastAsia="zh-CN"/>
        </w:rPr>
        <w:t>招标人</w:t>
      </w:r>
      <w:r>
        <w:rPr>
          <w:rFonts w:hint="eastAsia" w:ascii="宋体" w:hAnsi="宋体" w:eastAsia="宋体" w:cs="宋体"/>
          <w:szCs w:val="21"/>
          <w:highlight w:val="none"/>
        </w:rPr>
        <w:t>在支付我司的合同款中代为扣付。</w:t>
      </w:r>
    </w:p>
    <w:p w14:paraId="69EC7D3C">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特此承诺。</w:t>
      </w:r>
    </w:p>
    <w:p w14:paraId="646CB60B">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另关于我司缴纳中标服务费后开具中标服务费发票的事宜，我司声明如下：</w:t>
      </w:r>
    </w:p>
    <w:p w14:paraId="44681161">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如需开具</w:t>
      </w:r>
      <w:r>
        <w:rPr>
          <w:rFonts w:hint="eastAsia" w:ascii="宋体" w:hAnsi="宋体" w:eastAsia="宋体" w:cs="宋体"/>
          <w:b/>
          <w:kern w:val="0"/>
          <w:szCs w:val="21"/>
          <w:highlight w:val="none"/>
          <w:u w:val="single"/>
        </w:rPr>
        <w:t>增值税普通发票</w:t>
      </w:r>
      <w:r>
        <w:rPr>
          <w:rFonts w:hint="eastAsia" w:ascii="宋体" w:hAnsi="宋体" w:eastAsia="宋体" w:cs="宋体"/>
          <w:szCs w:val="21"/>
          <w:highlight w:val="none"/>
        </w:rPr>
        <w:t>，请于下方（ ）打“√”</w:t>
      </w:r>
    </w:p>
    <w:p w14:paraId="746484A5">
      <w:pPr>
        <w:adjustRightInd w:val="0"/>
        <w:snapToGrid w:val="0"/>
        <w:ind w:left="903" w:leftChars="229" w:hanging="422" w:hangingChars="200"/>
        <w:rPr>
          <w:rFonts w:hint="eastAsia" w:ascii="宋体" w:hAnsi="宋体" w:eastAsia="宋体" w:cs="宋体"/>
          <w:kern w:val="0"/>
          <w:szCs w:val="21"/>
          <w:highlight w:val="none"/>
        </w:rPr>
      </w:pPr>
      <w:r>
        <w:rPr>
          <w:rFonts w:hint="eastAsia" w:ascii="宋体" w:hAnsi="宋体" w:eastAsia="宋体" w:cs="宋体"/>
          <w:b/>
          <w:kern w:val="0"/>
          <w:szCs w:val="21"/>
          <w:highlight w:val="none"/>
        </w:rPr>
        <w:t>A：</w:t>
      </w:r>
      <w:r>
        <w:rPr>
          <w:rFonts w:hint="eastAsia" w:ascii="宋体" w:hAnsi="宋体" w:eastAsia="宋体" w:cs="宋体"/>
          <w:kern w:val="0"/>
          <w:szCs w:val="21"/>
          <w:highlight w:val="none"/>
        </w:rPr>
        <w:t>（    ）</w:t>
      </w:r>
      <w:r>
        <w:rPr>
          <w:rFonts w:hint="eastAsia" w:ascii="宋体" w:hAnsi="宋体" w:eastAsia="宋体" w:cs="宋体"/>
          <w:szCs w:val="21"/>
          <w:highlight w:val="none"/>
        </w:rPr>
        <w:t>请向我司开具中标费的“</w:t>
      </w:r>
      <w:r>
        <w:rPr>
          <w:rFonts w:hint="eastAsia" w:ascii="宋体" w:hAnsi="宋体" w:eastAsia="宋体" w:cs="宋体"/>
          <w:b/>
          <w:kern w:val="0"/>
          <w:szCs w:val="21"/>
          <w:highlight w:val="none"/>
          <w:u w:val="single"/>
        </w:rPr>
        <w:t>增值税普通发票</w:t>
      </w:r>
      <w:r>
        <w:rPr>
          <w:rFonts w:hint="eastAsia" w:ascii="宋体" w:hAnsi="宋体" w:eastAsia="宋体" w:cs="宋体"/>
          <w:b/>
          <w:kern w:val="0"/>
          <w:szCs w:val="21"/>
          <w:highlight w:val="none"/>
        </w:rPr>
        <w:t>”</w:t>
      </w:r>
      <w:r>
        <w:rPr>
          <w:rFonts w:hint="eastAsia" w:ascii="宋体" w:hAnsi="宋体" w:eastAsia="宋体" w:cs="宋体"/>
          <w:kern w:val="0"/>
          <w:szCs w:val="21"/>
          <w:highlight w:val="none"/>
        </w:rPr>
        <w:t>，我司工商注册名称为：</w:t>
      </w:r>
    </w:p>
    <w:p w14:paraId="04A119D0">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1、我司工商注册名称：    （请填写）              </w:t>
      </w:r>
    </w:p>
    <w:p w14:paraId="27D4BF48">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2、纳税人识别号（国税）/或统一社会信用代码：    （请填写）              </w:t>
      </w:r>
    </w:p>
    <w:p w14:paraId="6C51DCDB">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3、注册地址：    （请填写）              </w:t>
      </w:r>
    </w:p>
    <w:p w14:paraId="365FE769">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4、办公电话（固话）：    （请填写）              </w:t>
      </w:r>
    </w:p>
    <w:p w14:paraId="6D74EC36">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5、开户银行及账号：    （请填写）              </w:t>
      </w:r>
    </w:p>
    <w:p w14:paraId="4D884BBB">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中标单位联系人：， 手机号：            ;</w:t>
      </w:r>
    </w:p>
    <w:p w14:paraId="42AAB08D">
      <w:pPr>
        <w:adjustRightInd w:val="0"/>
        <w:snapToGrid w:val="0"/>
        <w:ind w:left="900"/>
        <w:rPr>
          <w:rFonts w:hint="eastAsia" w:ascii="宋体" w:hAnsi="宋体" w:eastAsia="宋体" w:cs="宋体"/>
          <w:szCs w:val="21"/>
          <w:highlight w:val="none"/>
        </w:rPr>
      </w:pPr>
      <w:r>
        <w:rPr>
          <w:rFonts w:hint="eastAsia" w:ascii="宋体" w:hAnsi="宋体" w:eastAsia="宋体" w:cs="宋体"/>
          <w:kern w:val="0"/>
          <w:szCs w:val="21"/>
          <w:highlight w:val="none"/>
        </w:rPr>
        <w:t>单位地址：电话：传真：  。</w:t>
      </w:r>
    </w:p>
    <w:p w14:paraId="7C0CF016">
      <w:pPr>
        <w:adjustRightInd w:val="0"/>
        <w:snapToGrid w:val="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如需开具</w:t>
      </w:r>
      <w:r>
        <w:rPr>
          <w:rFonts w:hint="eastAsia" w:ascii="宋体" w:hAnsi="宋体" w:eastAsia="宋体" w:cs="宋体"/>
          <w:b/>
          <w:kern w:val="0"/>
          <w:szCs w:val="21"/>
          <w:highlight w:val="none"/>
          <w:u w:val="single"/>
        </w:rPr>
        <w:t>增值税专用发票</w:t>
      </w:r>
      <w:r>
        <w:rPr>
          <w:rFonts w:hint="eastAsia" w:ascii="宋体" w:hAnsi="宋体" w:eastAsia="宋体" w:cs="宋体"/>
          <w:szCs w:val="21"/>
          <w:highlight w:val="none"/>
        </w:rPr>
        <w:t>，请于下方（ ）打“√”, 并提供以下相关资料（缺一不可）</w:t>
      </w:r>
    </w:p>
    <w:p w14:paraId="0FFBBEAC">
      <w:pPr>
        <w:adjustRightInd w:val="0"/>
        <w:snapToGrid w:val="0"/>
        <w:ind w:left="903" w:leftChars="229" w:right="-334" w:rightChars="-159" w:hanging="422" w:hangingChars="200"/>
        <w:rPr>
          <w:rFonts w:hint="eastAsia" w:ascii="宋体" w:hAnsi="宋体" w:eastAsia="宋体" w:cs="宋体"/>
          <w:kern w:val="0"/>
          <w:szCs w:val="21"/>
          <w:highlight w:val="none"/>
        </w:rPr>
      </w:pPr>
      <w:r>
        <w:rPr>
          <w:rFonts w:hint="eastAsia" w:ascii="宋体" w:hAnsi="宋体" w:eastAsia="宋体" w:cs="宋体"/>
          <w:b/>
          <w:kern w:val="0"/>
          <w:szCs w:val="21"/>
          <w:highlight w:val="none"/>
        </w:rPr>
        <w:t>B：</w:t>
      </w:r>
      <w:r>
        <w:rPr>
          <w:rFonts w:hint="eastAsia" w:ascii="宋体" w:hAnsi="宋体" w:eastAsia="宋体" w:cs="宋体"/>
          <w:kern w:val="0"/>
          <w:szCs w:val="21"/>
          <w:highlight w:val="none"/>
        </w:rPr>
        <w:t>（    ）</w:t>
      </w:r>
      <w:r>
        <w:rPr>
          <w:rFonts w:hint="eastAsia" w:ascii="宋体" w:hAnsi="宋体" w:eastAsia="宋体" w:cs="宋体"/>
          <w:szCs w:val="21"/>
          <w:highlight w:val="none"/>
        </w:rPr>
        <w:t>请向我司开具中标费的“</w:t>
      </w:r>
      <w:r>
        <w:rPr>
          <w:rFonts w:hint="eastAsia" w:ascii="宋体" w:hAnsi="宋体" w:eastAsia="宋体" w:cs="宋体"/>
          <w:b/>
          <w:kern w:val="0"/>
          <w:szCs w:val="21"/>
          <w:highlight w:val="none"/>
          <w:u w:val="single"/>
        </w:rPr>
        <w:t>增值税专用发票</w:t>
      </w:r>
      <w:r>
        <w:rPr>
          <w:rFonts w:hint="eastAsia" w:ascii="宋体" w:hAnsi="宋体" w:eastAsia="宋体" w:cs="宋体"/>
          <w:b/>
          <w:kern w:val="0"/>
          <w:szCs w:val="21"/>
          <w:highlight w:val="none"/>
        </w:rPr>
        <w:t>”</w:t>
      </w:r>
      <w:r>
        <w:rPr>
          <w:rFonts w:hint="eastAsia" w:ascii="宋体" w:hAnsi="宋体" w:eastAsia="宋体" w:cs="宋体"/>
          <w:kern w:val="0"/>
          <w:szCs w:val="21"/>
          <w:highlight w:val="none"/>
        </w:rPr>
        <w:t>，开票信息为：</w:t>
      </w:r>
    </w:p>
    <w:p w14:paraId="2549DBB9">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1、我司工商注册名称：</w:t>
      </w:r>
      <w:r>
        <w:rPr>
          <w:rFonts w:hint="eastAsia" w:ascii="宋体" w:hAnsi="宋体" w:eastAsia="宋体" w:cs="宋体"/>
          <w:kern w:val="0"/>
          <w:szCs w:val="21"/>
          <w:highlight w:val="none"/>
          <w:u w:val="single"/>
        </w:rPr>
        <w:t xml:space="preserve">    （请填写）              </w:t>
      </w:r>
    </w:p>
    <w:p w14:paraId="1BD4B2BD">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2、纳税人识别号（国税）/或统一社会信用代码：</w:t>
      </w:r>
      <w:r>
        <w:rPr>
          <w:rFonts w:hint="eastAsia" w:ascii="宋体" w:hAnsi="宋体" w:eastAsia="宋体" w:cs="宋体"/>
          <w:kern w:val="0"/>
          <w:szCs w:val="21"/>
          <w:highlight w:val="none"/>
          <w:u w:val="single"/>
        </w:rPr>
        <w:t xml:space="preserve">    （请填写）              </w:t>
      </w:r>
    </w:p>
    <w:p w14:paraId="517EC766">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3、注册地址：</w:t>
      </w:r>
      <w:r>
        <w:rPr>
          <w:rFonts w:hint="eastAsia" w:ascii="宋体" w:hAnsi="宋体" w:eastAsia="宋体" w:cs="宋体"/>
          <w:kern w:val="0"/>
          <w:szCs w:val="21"/>
          <w:highlight w:val="none"/>
          <w:u w:val="single"/>
        </w:rPr>
        <w:t xml:space="preserve">    （请填写）              </w:t>
      </w:r>
    </w:p>
    <w:p w14:paraId="7ECBD088">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4、办公电话（固话）：</w:t>
      </w:r>
      <w:r>
        <w:rPr>
          <w:rFonts w:hint="eastAsia" w:ascii="宋体" w:hAnsi="宋体" w:eastAsia="宋体" w:cs="宋体"/>
          <w:kern w:val="0"/>
          <w:szCs w:val="21"/>
          <w:highlight w:val="none"/>
          <w:u w:val="single"/>
        </w:rPr>
        <w:t xml:space="preserve">    （请填写）              </w:t>
      </w:r>
    </w:p>
    <w:p w14:paraId="2E6F5E0C">
      <w:pPr>
        <w:adjustRightInd w:val="0"/>
        <w:snapToGrid w:val="0"/>
        <w:ind w:left="900"/>
        <w:rPr>
          <w:rFonts w:hint="eastAsia" w:ascii="宋体" w:hAnsi="宋体" w:eastAsia="宋体" w:cs="宋体"/>
          <w:kern w:val="0"/>
          <w:szCs w:val="21"/>
          <w:highlight w:val="none"/>
        </w:rPr>
      </w:pPr>
      <w:r>
        <w:rPr>
          <w:rFonts w:hint="eastAsia" w:ascii="宋体" w:hAnsi="宋体" w:eastAsia="宋体" w:cs="宋体"/>
          <w:kern w:val="0"/>
          <w:szCs w:val="21"/>
          <w:highlight w:val="none"/>
        </w:rPr>
        <w:t>5、开户银行及账号：</w:t>
      </w:r>
      <w:r>
        <w:rPr>
          <w:rFonts w:hint="eastAsia" w:ascii="宋体" w:hAnsi="宋体" w:eastAsia="宋体" w:cs="宋体"/>
          <w:kern w:val="0"/>
          <w:szCs w:val="21"/>
          <w:highlight w:val="none"/>
          <w:u w:val="single"/>
        </w:rPr>
        <w:t xml:space="preserve">    （请填写）              </w:t>
      </w:r>
    </w:p>
    <w:p w14:paraId="0D43D11D">
      <w:pPr>
        <w:adjustRightInd w:val="0"/>
        <w:snapToGrid w:val="0"/>
        <w:ind w:left="900"/>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6、一般纳税人资格证书/或加盖了税务局“增值税一般纳税人”条章的国税登记证扫描件/或在所属国税局网站的查询结果截图</w:t>
      </w:r>
      <w:r>
        <w:rPr>
          <w:rFonts w:hint="eastAsia" w:ascii="宋体" w:hAnsi="宋体" w:eastAsia="宋体" w:cs="宋体"/>
          <w:b/>
          <w:kern w:val="0"/>
          <w:szCs w:val="21"/>
          <w:highlight w:val="none"/>
          <w:u w:val="single"/>
        </w:rPr>
        <w:t>（截图后附）</w:t>
      </w:r>
    </w:p>
    <w:p w14:paraId="3A33F45F">
      <w:pPr>
        <w:adjustRightInd w:val="0"/>
        <w:snapToGrid w:val="0"/>
        <w:ind w:firstLine="457" w:firstLineChars="218"/>
        <w:rPr>
          <w:rFonts w:hint="eastAsia" w:ascii="宋体" w:hAnsi="宋体" w:eastAsia="宋体" w:cs="宋体"/>
          <w:szCs w:val="21"/>
          <w:highlight w:val="none"/>
        </w:rPr>
      </w:pPr>
      <w:r>
        <w:rPr>
          <w:rFonts w:hint="eastAsia" w:ascii="宋体" w:hAnsi="宋体" w:eastAsia="宋体" w:cs="宋体"/>
          <w:szCs w:val="21"/>
          <w:highlight w:val="none"/>
        </w:rPr>
        <w:t>中标单位联系人：， 手机</w:t>
      </w:r>
      <w:r>
        <w:rPr>
          <w:rFonts w:hint="eastAsia" w:ascii="宋体" w:hAnsi="宋体" w:eastAsia="宋体" w:cs="宋体"/>
          <w:szCs w:val="21"/>
          <w:highlight w:val="none"/>
          <w:u w:val="single"/>
        </w:rPr>
        <w:t>号：            ;</w:t>
      </w:r>
    </w:p>
    <w:p w14:paraId="55F69469">
      <w:pPr>
        <w:adjustRightInd w:val="0"/>
        <w:snapToGrid w:val="0"/>
        <w:ind w:firstLine="457" w:firstLineChars="218"/>
        <w:rPr>
          <w:rFonts w:hint="eastAsia" w:ascii="宋体" w:hAnsi="宋体" w:eastAsia="宋体" w:cs="宋体"/>
          <w:szCs w:val="21"/>
          <w:highlight w:val="none"/>
          <w:u w:val="single"/>
        </w:rPr>
      </w:pPr>
      <w:r>
        <w:rPr>
          <w:rFonts w:hint="eastAsia" w:ascii="宋体" w:hAnsi="宋体" w:eastAsia="宋体" w:cs="宋体"/>
          <w:szCs w:val="21"/>
          <w:highlight w:val="none"/>
        </w:rPr>
        <w:t>单位地址：电话：传真：</w:t>
      </w:r>
      <w:r>
        <w:rPr>
          <w:rFonts w:hint="eastAsia" w:ascii="宋体" w:hAnsi="宋体" w:eastAsia="宋体" w:cs="宋体"/>
          <w:szCs w:val="21"/>
          <w:highlight w:val="none"/>
          <w:u w:val="single"/>
        </w:rPr>
        <w:t xml:space="preserve">  。</w:t>
      </w:r>
    </w:p>
    <w:p w14:paraId="549324DA">
      <w:pPr>
        <w:adjustRightInd w:val="0"/>
        <w:snapToGrid w:val="0"/>
        <w:ind w:firstLine="457" w:firstLineChars="218"/>
        <w:rPr>
          <w:rFonts w:hint="eastAsia" w:ascii="宋体" w:hAnsi="宋体" w:eastAsia="宋体" w:cs="宋体"/>
          <w:szCs w:val="21"/>
          <w:highlight w:val="none"/>
        </w:rPr>
      </w:pPr>
      <w:r>
        <w:rPr>
          <w:rFonts w:hint="eastAsia" w:ascii="宋体" w:hAnsi="宋体" w:eastAsia="宋体" w:cs="宋体"/>
          <w:szCs w:val="21"/>
          <w:highlight w:val="none"/>
        </w:rPr>
        <w:t>特此声明。</w:t>
      </w:r>
    </w:p>
    <w:p w14:paraId="41E9B498">
      <w:pPr>
        <w:tabs>
          <w:tab w:val="left" w:pos="540"/>
        </w:tabs>
        <w:rPr>
          <w:rFonts w:hint="eastAsia" w:ascii="宋体" w:hAnsi="宋体" w:eastAsia="宋体" w:cs="宋体"/>
          <w:szCs w:val="21"/>
          <w:highlight w:val="none"/>
          <w:lang w:val="en-GB"/>
        </w:rPr>
      </w:pPr>
      <w:r>
        <w:rPr>
          <w:rFonts w:hint="eastAsia" w:ascii="宋体" w:hAnsi="宋体" w:eastAsia="宋体" w:cs="宋体"/>
          <w:szCs w:val="21"/>
          <w:highlight w:val="none"/>
          <w:lang w:val="en-GB"/>
        </w:rPr>
        <w:t>投标人法定代表人（或法定代表人授权代表）签字：</w:t>
      </w:r>
    </w:p>
    <w:p w14:paraId="5414C3D5">
      <w:pPr>
        <w:tabs>
          <w:tab w:val="left" w:pos="540"/>
        </w:tabs>
        <w:rPr>
          <w:rFonts w:hint="eastAsia" w:ascii="宋体" w:hAnsi="宋体" w:eastAsia="宋体" w:cs="宋体"/>
          <w:szCs w:val="21"/>
          <w:highlight w:val="none"/>
          <w:lang w:val="en-GB"/>
        </w:rPr>
      </w:pPr>
      <w:r>
        <w:rPr>
          <w:rFonts w:hint="eastAsia" w:ascii="宋体" w:hAnsi="宋体" w:eastAsia="宋体" w:cs="宋体"/>
          <w:szCs w:val="21"/>
          <w:highlight w:val="none"/>
          <w:lang w:val="en-GB"/>
        </w:rPr>
        <w:t>投标人名称（加盖公章）：</w:t>
      </w:r>
    </w:p>
    <w:p w14:paraId="6EED2733">
      <w:pPr>
        <w:pStyle w:val="92"/>
        <w:rPr>
          <w:rFonts w:hint="eastAsia" w:ascii="宋体" w:hAnsi="宋体" w:eastAsia="宋体" w:cs="宋体"/>
          <w:sz w:val="21"/>
          <w:szCs w:val="21"/>
          <w:highlight w:val="none"/>
        </w:rPr>
      </w:pPr>
      <w:r>
        <w:rPr>
          <w:rFonts w:hint="eastAsia" w:ascii="宋体" w:hAnsi="宋体" w:eastAsia="宋体" w:cs="宋体"/>
          <w:sz w:val="21"/>
          <w:szCs w:val="21"/>
          <w:highlight w:val="none"/>
          <w:lang w:val="en-GB"/>
        </w:rPr>
        <w:t>日期：  年   月  日</w:t>
      </w:r>
    </w:p>
    <w:p w14:paraId="52EC8016">
      <w:pPr>
        <w:rPr>
          <w:rFonts w:hint="eastAsia" w:ascii="宋体" w:hAnsi="宋体" w:eastAsia="宋体" w:cs="宋体"/>
          <w:b/>
          <w:sz w:val="24"/>
          <w:highlight w:val="none"/>
        </w:rPr>
      </w:pPr>
      <w:r>
        <w:rPr>
          <w:rFonts w:hint="eastAsia" w:ascii="宋体" w:hAnsi="宋体" w:eastAsia="宋体" w:cs="宋体"/>
          <w:szCs w:val="21"/>
          <w:highlight w:val="none"/>
        </w:rPr>
        <w:br w:type="page"/>
      </w:r>
      <w:r>
        <w:rPr>
          <w:rFonts w:hint="eastAsia" w:ascii="宋体" w:hAnsi="宋体" w:eastAsia="宋体" w:cs="宋体"/>
          <w:b/>
          <w:sz w:val="24"/>
          <w:highlight w:val="none"/>
        </w:rPr>
        <w:t>3.2</w:t>
      </w:r>
      <w:r>
        <w:rPr>
          <w:rFonts w:hint="eastAsia" w:ascii="宋体" w:hAnsi="宋体" w:eastAsia="宋体" w:cs="宋体"/>
          <w:b/>
          <w:sz w:val="24"/>
          <w:highlight w:val="none"/>
        </w:rPr>
        <w:fldChar w:fldCharType="begin"/>
      </w:r>
      <w:r>
        <w:rPr>
          <w:rFonts w:hint="eastAsia" w:ascii="宋体" w:hAnsi="宋体" w:eastAsia="宋体" w:cs="宋体"/>
          <w:b/>
          <w:sz w:val="24"/>
          <w:highlight w:val="none"/>
        </w:rPr>
        <w:instrText xml:space="preserve"> DOCVARIABLE  商务条款响应表开始  \* MERGEFORMAT </w:instrText>
      </w:r>
      <w:r>
        <w:rPr>
          <w:rFonts w:hint="eastAsia" w:ascii="宋体" w:hAnsi="宋体" w:eastAsia="宋体" w:cs="宋体"/>
          <w:b/>
          <w:sz w:val="24"/>
          <w:highlight w:val="none"/>
        </w:rPr>
        <w:fldChar w:fldCharType="end"/>
      </w:r>
      <w:r>
        <w:rPr>
          <w:rFonts w:hint="eastAsia" w:ascii="宋体" w:hAnsi="宋体" w:eastAsia="宋体" w:cs="宋体"/>
          <w:b/>
          <w:sz w:val="24"/>
          <w:highlight w:val="none"/>
        </w:rPr>
        <w:fldChar w:fldCharType="begin"/>
      </w:r>
      <w:r>
        <w:rPr>
          <w:rFonts w:hint="eastAsia" w:ascii="宋体" w:hAnsi="宋体" w:eastAsia="宋体" w:cs="宋体"/>
          <w:b/>
          <w:sz w:val="24"/>
          <w:highlight w:val="none"/>
        </w:rPr>
        <w:instrText xml:space="preserve"> DOCVARIABLE  商务条款响应表开始  \* MERGEFORMAT </w:instrText>
      </w:r>
      <w:r>
        <w:rPr>
          <w:rFonts w:hint="eastAsia" w:ascii="宋体" w:hAnsi="宋体" w:eastAsia="宋体" w:cs="宋体"/>
          <w:b/>
          <w:sz w:val="24"/>
          <w:highlight w:val="none"/>
        </w:rPr>
        <w:fldChar w:fldCharType="end"/>
      </w:r>
      <w:r>
        <w:rPr>
          <w:rFonts w:hint="eastAsia" w:ascii="宋体" w:hAnsi="宋体" w:eastAsia="宋体" w:cs="宋体"/>
          <w:b/>
          <w:sz w:val="24"/>
          <w:highlight w:val="none"/>
        </w:rPr>
        <w:t>商务条款响应表</w:t>
      </w:r>
    </w:p>
    <w:p w14:paraId="05D03E25">
      <w:pPr>
        <w:pStyle w:val="92"/>
        <w:rPr>
          <w:rFonts w:hint="eastAsia" w:ascii="宋体" w:hAnsi="宋体" w:eastAsia="宋体" w:cs="宋体"/>
          <w:b/>
          <w:szCs w:val="24"/>
          <w:highlight w:val="none"/>
        </w:rPr>
      </w:pPr>
      <w:r>
        <w:rPr>
          <w:rFonts w:hint="eastAsia" w:ascii="宋体" w:hAnsi="宋体" w:eastAsia="宋体" w:cs="宋体"/>
          <w:b/>
          <w:szCs w:val="24"/>
          <w:highlight w:val="none"/>
        </w:rPr>
        <w:t>（1）实质性商务条款（“★”项）响应表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9"/>
        <w:gridCol w:w="758"/>
        <w:gridCol w:w="2017"/>
      </w:tblGrid>
      <w:tr w14:paraId="54DA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noWrap w:val="0"/>
            <w:vAlign w:val="center"/>
          </w:tcPr>
          <w:p w14:paraId="1D11ED7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5829" w:type="dxa"/>
            <w:shd w:val="clear" w:color="auto" w:fill="F3F3F3"/>
            <w:noWrap w:val="0"/>
            <w:vAlign w:val="center"/>
          </w:tcPr>
          <w:p w14:paraId="160FD88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实质性响应商务条款要求</w:t>
            </w:r>
          </w:p>
        </w:tc>
        <w:tc>
          <w:tcPr>
            <w:tcW w:w="758" w:type="dxa"/>
            <w:shd w:val="clear" w:color="auto" w:fill="F3F3F3"/>
            <w:noWrap w:val="0"/>
            <w:vAlign w:val="center"/>
          </w:tcPr>
          <w:p w14:paraId="6DBF7AD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是否响应</w:t>
            </w:r>
          </w:p>
        </w:tc>
        <w:tc>
          <w:tcPr>
            <w:tcW w:w="2017" w:type="dxa"/>
            <w:shd w:val="clear" w:color="auto" w:fill="F3F3F3"/>
            <w:noWrap w:val="0"/>
            <w:vAlign w:val="center"/>
          </w:tcPr>
          <w:p w14:paraId="1E113AE6">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偏离说明</w:t>
            </w:r>
          </w:p>
        </w:tc>
      </w:tr>
      <w:tr w14:paraId="0B6F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5588186D">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5829" w:type="dxa"/>
            <w:noWrap w:val="0"/>
            <w:vAlign w:val="center"/>
          </w:tcPr>
          <w:p w14:paraId="0E561A76">
            <w:pPr>
              <w:rPr>
                <w:rFonts w:hint="eastAsia" w:ascii="宋体" w:hAnsi="宋体" w:eastAsia="宋体" w:cs="宋体"/>
                <w:szCs w:val="21"/>
                <w:highlight w:val="none"/>
              </w:rPr>
            </w:pPr>
          </w:p>
        </w:tc>
        <w:tc>
          <w:tcPr>
            <w:tcW w:w="758" w:type="dxa"/>
            <w:noWrap w:val="0"/>
            <w:vAlign w:val="center"/>
          </w:tcPr>
          <w:p w14:paraId="6F888E65">
            <w:pPr>
              <w:pStyle w:val="145"/>
              <w:adjustRightInd/>
              <w:spacing w:before="0" w:after="0" w:line="240" w:lineRule="auto"/>
              <w:textAlignment w:val="auto"/>
              <w:rPr>
                <w:rFonts w:hint="eastAsia" w:ascii="宋体" w:hAnsi="宋体" w:eastAsia="宋体" w:cs="宋体"/>
                <w:spacing w:val="0"/>
                <w:kern w:val="2"/>
                <w:sz w:val="21"/>
                <w:szCs w:val="21"/>
                <w:highlight w:val="none"/>
              </w:rPr>
            </w:pPr>
          </w:p>
        </w:tc>
        <w:tc>
          <w:tcPr>
            <w:tcW w:w="2017" w:type="dxa"/>
            <w:noWrap w:val="0"/>
            <w:vAlign w:val="center"/>
          </w:tcPr>
          <w:p w14:paraId="2776F31A">
            <w:pPr>
              <w:jc w:val="center"/>
              <w:rPr>
                <w:rFonts w:hint="eastAsia" w:ascii="宋体" w:hAnsi="宋体" w:eastAsia="宋体" w:cs="宋体"/>
                <w:szCs w:val="21"/>
                <w:highlight w:val="none"/>
              </w:rPr>
            </w:pPr>
          </w:p>
        </w:tc>
      </w:tr>
      <w:tr w14:paraId="020F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55EA1A5D">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5829" w:type="dxa"/>
            <w:noWrap w:val="0"/>
            <w:vAlign w:val="center"/>
          </w:tcPr>
          <w:p w14:paraId="054DA5DD">
            <w:pPr>
              <w:rPr>
                <w:rFonts w:hint="eastAsia" w:ascii="宋体" w:hAnsi="宋体" w:eastAsia="宋体" w:cs="宋体"/>
                <w:szCs w:val="21"/>
                <w:highlight w:val="none"/>
              </w:rPr>
            </w:pPr>
          </w:p>
        </w:tc>
        <w:tc>
          <w:tcPr>
            <w:tcW w:w="758" w:type="dxa"/>
            <w:noWrap w:val="0"/>
            <w:vAlign w:val="center"/>
          </w:tcPr>
          <w:p w14:paraId="0A19C9C1">
            <w:pPr>
              <w:pStyle w:val="145"/>
              <w:adjustRightInd/>
              <w:spacing w:before="0" w:after="0" w:line="240" w:lineRule="auto"/>
              <w:textAlignment w:val="auto"/>
              <w:rPr>
                <w:rFonts w:hint="eastAsia" w:ascii="宋体" w:hAnsi="宋体" w:eastAsia="宋体" w:cs="宋体"/>
                <w:spacing w:val="0"/>
                <w:kern w:val="2"/>
                <w:sz w:val="21"/>
                <w:szCs w:val="21"/>
                <w:highlight w:val="none"/>
              </w:rPr>
            </w:pPr>
          </w:p>
        </w:tc>
        <w:tc>
          <w:tcPr>
            <w:tcW w:w="2017" w:type="dxa"/>
            <w:noWrap w:val="0"/>
            <w:vAlign w:val="center"/>
          </w:tcPr>
          <w:p w14:paraId="61E04E15">
            <w:pPr>
              <w:jc w:val="center"/>
              <w:rPr>
                <w:rFonts w:hint="eastAsia" w:ascii="宋体" w:hAnsi="宋体" w:eastAsia="宋体" w:cs="宋体"/>
                <w:szCs w:val="21"/>
                <w:highlight w:val="none"/>
              </w:rPr>
            </w:pPr>
          </w:p>
        </w:tc>
      </w:tr>
      <w:tr w14:paraId="75C0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78031150">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5829" w:type="dxa"/>
            <w:noWrap w:val="0"/>
            <w:vAlign w:val="center"/>
          </w:tcPr>
          <w:p w14:paraId="44847603">
            <w:pPr>
              <w:rPr>
                <w:rFonts w:hint="eastAsia" w:ascii="宋体" w:hAnsi="宋体" w:eastAsia="宋体" w:cs="宋体"/>
                <w:szCs w:val="21"/>
                <w:highlight w:val="none"/>
              </w:rPr>
            </w:pPr>
          </w:p>
        </w:tc>
        <w:tc>
          <w:tcPr>
            <w:tcW w:w="758" w:type="dxa"/>
            <w:noWrap w:val="0"/>
            <w:vAlign w:val="center"/>
          </w:tcPr>
          <w:p w14:paraId="7E5D2EAC">
            <w:pPr>
              <w:jc w:val="center"/>
              <w:rPr>
                <w:rFonts w:hint="eastAsia" w:ascii="宋体" w:hAnsi="宋体" w:eastAsia="宋体" w:cs="宋体"/>
                <w:szCs w:val="21"/>
                <w:highlight w:val="none"/>
              </w:rPr>
            </w:pPr>
          </w:p>
        </w:tc>
        <w:tc>
          <w:tcPr>
            <w:tcW w:w="2017" w:type="dxa"/>
            <w:noWrap w:val="0"/>
            <w:vAlign w:val="center"/>
          </w:tcPr>
          <w:p w14:paraId="2AE4C093">
            <w:pPr>
              <w:ind w:right="-35"/>
              <w:jc w:val="center"/>
              <w:rPr>
                <w:rFonts w:hint="eastAsia" w:ascii="宋体" w:hAnsi="宋体" w:eastAsia="宋体" w:cs="宋体"/>
                <w:szCs w:val="21"/>
                <w:highlight w:val="none"/>
              </w:rPr>
            </w:pPr>
          </w:p>
        </w:tc>
      </w:tr>
      <w:tr w14:paraId="357D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3C0362D8">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5829" w:type="dxa"/>
            <w:noWrap w:val="0"/>
            <w:vAlign w:val="center"/>
          </w:tcPr>
          <w:p w14:paraId="7440611A">
            <w:pPr>
              <w:rPr>
                <w:rFonts w:hint="eastAsia" w:ascii="宋体" w:hAnsi="宋体" w:eastAsia="宋体" w:cs="宋体"/>
                <w:szCs w:val="21"/>
                <w:highlight w:val="none"/>
              </w:rPr>
            </w:pPr>
          </w:p>
        </w:tc>
        <w:tc>
          <w:tcPr>
            <w:tcW w:w="758" w:type="dxa"/>
            <w:noWrap w:val="0"/>
            <w:vAlign w:val="center"/>
          </w:tcPr>
          <w:p w14:paraId="43A2425A">
            <w:pPr>
              <w:jc w:val="center"/>
              <w:rPr>
                <w:rFonts w:hint="eastAsia" w:ascii="宋体" w:hAnsi="宋体" w:eastAsia="宋体" w:cs="宋体"/>
                <w:szCs w:val="21"/>
                <w:highlight w:val="none"/>
              </w:rPr>
            </w:pPr>
          </w:p>
        </w:tc>
        <w:tc>
          <w:tcPr>
            <w:tcW w:w="2017" w:type="dxa"/>
            <w:noWrap w:val="0"/>
            <w:vAlign w:val="center"/>
          </w:tcPr>
          <w:p w14:paraId="3C2820E6">
            <w:pPr>
              <w:ind w:right="-35"/>
              <w:jc w:val="center"/>
              <w:rPr>
                <w:rFonts w:hint="eastAsia" w:ascii="宋体" w:hAnsi="宋体" w:eastAsia="宋体" w:cs="宋体"/>
                <w:szCs w:val="21"/>
                <w:highlight w:val="none"/>
              </w:rPr>
            </w:pPr>
          </w:p>
        </w:tc>
      </w:tr>
      <w:tr w14:paraId="2154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3C5D196A">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829" w:type="dxa"/>
            <w:noWrap w:val="0"/>
            <w:vAlign w:val="center"/>
          </w:tcPr>
          <w:p w14:paraId="45921B19">
            <w:pPr>
              <w:rPr>
                <w:rFonts w:hint="eastAsia" w:ascii="宋体" w:hAnsi="宋体" w:eastAsia="宋体" w:cs="宋体"/>
                <w:i/>
                <w:iCs/>
                <w:szCs w:val="21"/>
                <w:highlight w:val="none"/>
              </w:rPr>
            </w:pPr>
          </w:p>
        </w:tc>
        <w:tc>
          <w:tcPr>
            <w:tcW w:w="758" w:type="dxa"/>
            <w:noWrap w:val="0"/>
            <w:vAlign w:val="center"/>
          </w:tcPr>
          <w:p w14:paraId="1B0B1F3B">
            <w:pPr>
              <w:jc w:val="center"/>
              <w:rPr>
                <w:rFonts w:hint="eastAsia" w:ascii="宋体" w:hAnsi="宋体" w:eastAsia="宋体" w:cs="宋体"/>
                <w:szCs w:val="21"/>
                <w:highlight w:val="none"/>
              </w:rPr>
            </w:pPr>
          </w:p>
        </w:tc>
        <w:tc>
          <w:tcPr>
            <w:tcW w:w="2017" w:type="dxa"/>
            <w:noWrap w:val="0"/>
            <w:vAlign w:val="center"/>
          </w:tcPr>
          <w:p w14:paraId="7810FD3A">
            <w:pPr>
              <w:ind w:right="-35"/>
              <w:jc w:val="center"/>
              <w:rPr>
                <w:rFonts w:hint="eastAsia" w:ascii="宋体" w:hAnsi="宋体" w:eastAsia="宋体" w:cs="宋体"/>
                <w:szCs w:val="21"/>
                <w:highlight w:val="none"/>
              </w:rPr>
            </w:pPr>
          </w:p>
        </w:tc>
      </w:tr>
      <w:tr w14:paraId="449E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5870619D">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5829" w:type="dxa"/>
            <w:noWrap w:val="0"/>
            <w:vAlign w:val="center"/>
          </w:tcPr>
          <w:p w14:paraId="7874E331">
            <w:pPr>
              <w:rPr>
                <w:rFonts w:hint="eastAsia" w:ascii="宋体" w:hAnsi="宋体" w:eastAsia="宋体" w:cs="宋体"/>
                <w:szCs w:val="21"/>
                <w:highlight w:val="none"/>
              </w:rPr>
            </w:pPr>
          </w:p>
        </w:tc>
        <w:tc>
          <w:tcPr>
            <w:tcW w:w="758" w:type="dxa"/>
            <w:noWrap w:val="0"/>
            <w:vAlign w:val="center"/>
          </w:tcPr>
          <w:p w14:paraId="0B187BAB">
            <w:pPr>
              <w:jc w:val="center"/>
              <w:rPr>
                <w:rFonts w:hint="eastAsia" w:ascii="宋体" w:hAnsi="宋体" w:eastAsia="宋体" w:cs="宋体"/>
                <w:szCs w:val="21"/>
                <w:highlight w:val="none"/>
              </w:rPr>
            </w:pPr>
          </w:p>
        </w:tc>
        <w:tc>
          <w:tcPr>
            <w:tcW w:w="2017" w:type="dxa"/>
            <w:noWrap w:val="0"/>
            <w:vAlign w:val="center"/>
          </w:tcPr>
          <w:p w14:paraId="7C5BB344">
            <w:pPr>
              <w:ind w:right="-35"/>
              <w:jc w:val="center"/>
              <w:rPr>
                <w:rFonts w:hint="eastAsia" w:ascii="宋体" w:hAnsi="宋体" w:eastAsia="宋体" w:cs="宋体"/>
                <w:szCs w:val="21"/>
                <w:highlight w:val="none"/>
              </w:rPr>
            </w:pPr>
          </w:p>
        </w:tc>
      </w:tr>
      <w:tr w14:paraId="0D7A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7C9CFC8E">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5829" w:type="dxa"/>
            <w:noWrap w:val="0"/>
            <w:vAlign w:val="center"/>
          </w:tcPr>
          <w:p w14:paraId="02433A16">
            <w:pPr>
              <w:rPr>
                <w:rFonts w:hint="eastAsia" w:ascii="宋体" w:hAnsi="宋体" w:eastAsia="宋体" w:cs="宋体"/>
                <w:szCs w:val="21"/>
                <w:highlight w:val="none"/>
              </w:rPr>
            </w:pPr>
          </w:p>
        </w:tc>
        <w:tc>
          <w:tcPr>
            <w:tcW w:w="758" w:type="dxa"/>
            <w:noWrap w:val="0"/>
            <w:vAlign w:val="center"/>
          </w:tcPr>
          <w:p w14:paraId="450E8E46">
            <w:pPr>
              <w:jc w:val="center"/>
              <w:rPr>
                <w:rFonts w:hint="eastAsia" w:ascii="宋体" w:hAnsi="宋体" w:eastAsia="宋体" w:cs="宋体"/>
                <w:szCs w:val="21"/>
                <w:highlight w:val="none"/>
              </w:rPr>
            </w:pPr>
          </w:p>
        </w:tc>
        <w:tc>
          <w:tcPr>
            <w:tcW w:w="2017" w:type="dxa"/>
            <w:noWrap w:val="0"/>
            <w:vAlign w:val="center"/>
          </w:tcPr>
          <w:p w14:paraId="5A418A43">
            <w:pPr>
              <w:ind w:right="-35"/>
              <w:jc w:val="center"/>
              <w:rPr>
                <w:rFonts w:hint="eastAsia" w:ascii="宋体" w:hAnsi="宋体" w:eastAsia="宋体" w:cs="宋体"/>
                <w:szCs w:val="21"/>
                <w:highlight w:val="none"/>
              </w:rPr>
            </w:pPr>
          </w:p>
        </w:tc>
      </w:tr>
      <w:tr w14:paraId="3A0E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027A20BC">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5829" w:type="dxa"/>
            <w:noWrap w:val="0"/>
            <w:vAlign w:val="center"/>
          </w:tcPr>
          <w:p w14:paraId="1DFC7F53">
            <w:pPr>
              <w:rPr>
                <w:rFonts w:hint="eastAsia" w:ascii="宋体" w:hAnsi="宋体" w:eastAsia="宋体" w:cs="宋体"/>
                <w:szCs w:val="21"/>
                <w:highlight w:val="none"/>
              </w:rPr>
            </w:pPr>
          </w:p>
        </w:tc>
        <w:tc>
          <w:tcPr>
            <w:tcW w:w="758" w:type="dxa"/>
            <w:noWrap w:val="0"/>
            <w:vAlign w:val="center"/>
          </w:tcPr>
          <w:p w14:paraId="7D6BCE98">
            <w:pPr>
              <w:jc w:val="center"/>
              <w:rPr>
                <w:rFonts w:hint="eastAsia" w:ascii="宋体" w:hAnsi="宋体" w:eastAsia="宋体" w:cs="宋体"/>
                <w:szCs w:val="21"/>
                <w:highlight w:val="none"/>
              </w:rPr>
            </w:pPr>
          </w:p>
        </w:tc>
        <w:tc>
          <w:tcPr>
            <w:tcW w:w="2017" w:type="dxa"/>
            <w:noWrap w:val="0"/>
            <w:vAlign w:val="center"/>
          </w:tcPr>
          <w:p w14:paraId="1B0E008D">
            <w:pPr>
              <w:pStyle w:val="145"/>
              <w:adjustRightInd/>
              <w:spacing w:before="0" w:after="0" w:line="240" w:lineRule="auto"/>
              <w:textAlignment w:val="auto"/>
              <w:rPr>
                <w:rFonts w:hint="eastAsia" w:ascii="宋体" w:hAnsi="宋体" w:eastAsia="宋体" w:cs="宋体"/>
                <w:spacing w:val="0"/>
                <w:kern w:val="2"/>
                <w:sz w:val="21"/>
                <w:szCs w:val="21"/>
                <w:highlight w:val="none"/>
              </w:rPr>
            </w:pPr>
          </w:p>
        </w:tc>
      </w:tr>
      <w:tr w14:paraId="701D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4F923884">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5829" w:type="dxa"/>
            <w:noWrap w:val="0"/>
            <w:vAlign w:val="center"/>
          </w:tcPr>
          <w:p w14:paraId="0D48AD11">
            <w:pPr>
              <w:rPr>
                <w:rFonts w:hint="eastAsia" w:ascii="宋体" w:hAnsi="宋体" w:eastAsia="宋体" w:cs="宋体"/>
                <w:szCs w:val="21"/>
                <w:highlight w:val="none"/>
              </w:rPr>
            </w:pPr>
          </w:p>
        </w:tc>
        <w:tc>
          <w:tcPr>
            <w:tcW w:w="758" w:type="dxa"/>
            <w:noWrap w:val="0"/>
            <w:vAlign w:val="center"/>
          </w:tcPr>
          <w:p w14:paraId="238DFF10">
            <w:pPr>
              <w:jc w:val="center"/>
              <w:rPr>
                <w:rFonts w:hint="eastAsia" w:ascii="宋体" w:hAnsi="宋体" w:eastAsia="宋体" w:cs="宋体"/>
                <w:szCs w:val="21"/>
                <w:highlight w:val="none"/>
              </w:rPr>
            </w:pPr>
          </w:p>
        </w:tc>
        <w:tc>
          <w:tcPr>
            <w:tcW w:w="2017" w:type="dxa"/>
            <w:noWrap w:val="0"/>
            <w:vAlign w:val="center"/>
          </w:tcPr>
          <w:p w14:paraId="722EA2EE">
            <w:pPr>
              <w:jc w:val="center"/>
              <w:rPr>
                <w:rFonts w:hint="eastAsia" w:ascii="宋体" w:hAnsi="宋体" w:eastAsia="宋体" w:cs="宋体"/>
                <w:szCs w:val="21"/>
                <w:highlight w:val="none"/>
              </w:rPr>
            </w:pPr>
          </w:p>
        </w:tc>
      </w:tr>
      <w:tr w14:paraId="52CC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300C010E">
            <w:pPr>
              <w:tabs>
                <w:tab w:val="left" w:pos="7740"/>
              </w:tabs>
              <w:jc w:val="center"/>
              <w:rPr>
                <w:rFonts w:hint="eastAsia" w:ascii="宋体" w:hAnsi="宋体" w:eastAsia="宋体" w:cs="宋体"/>
                <w:szCs w:val="21"/>
                <w:highlight w:val="none"/>
              </w:rPr>
            </w:pPr>
            <w:r>
              <w:rPr>
                <w:rFonts w:hint="eastAsia" w:ascii="宋体" w:hAnsi="宋体" w:eastAsia="宋体" w:cs="宋体"/>
                <w:szCs w:val="21"/>
                <w:highlight w:val="none"/>
              </w:rPr>
              <w:t>10</w:t>
            </w:r>
          </w:p>
        </w:tc>
        <w:tc>
          <w:tcPr>
            <w:tcW w:w="5829" w:type="dxa"/>
            <w:noWrap w:val="0"/>
            <w:vAlign w:val="center"/>
          </w:tcPr>
          <w:p w14:paraId="2A272122">
            <w:pPr>
              <w:rPr>
                <w:rFonts w:hint="eastAsia" w:ascii="宋体" w:hAnsi="宋体" w:eastAsia="宋体" w:cs="宋体"/>
                <w:szCs w:val="21"/>
                <w:highlight w:val="none"/>
              </w:rPr>
            </w:pPr>
          </w:p>
        </w:tc>
        <w:tc>
          <w:tcPr>
            <w:tcW w:w="758" w:type="dxa"/>
            <w:noWrap w:val="0"/>
            <w:vAlign w:val="center"/>
          </w:tcPr>
          <w:p w14:paraId="4352A129">
            <w:pPr>
              <w:jc w:val="center"/>
              <w:rPr>
                <w:rFonts w:hint="eastAsia" w:ascii="宋体" w:hAnsi="宋体" w:eastAsia="宋体" w:cs="宋体"/>
                <w:szCs w:val="21"/>
                <w:highlight w:val="none"/>
              </w:rPr>
            </w:pPr>
          </w:p>
        </w:tc>
        <w:tc>
          <w:tcPr>
            <w:tcW w:w="2017" w:type="dxa"/>
            <w:noWrap w:val="0"/>
            <w:vAlign w:val="center"/>
          </w:tcPr>
          <w:p w14:paraId="10E7D5CF">
            <w:pPr>
              <w:jc w:val="center"/>
              <w:rPr>
                <w:rFonts w:hint="eastAsia" w:ascii="宋体" w:hAnsi="宋体" w:eastAsia="宋体" w:cs="宋体"/>
                <w:szCs w:val="21"/>
                <w:highlight w:val="none"/>
              </w:rPr>
            </w:pPr>
          </w:p>
        </w:tc>
      </w:tr>
    </w:tbl>
    <w:p w14:paraId="510FC17B">
      <w:pPr>
        <w:ind w:left="178" w:leftChars="85" w:firstLine="1"/>
        <w:rPr>
          <w:rFonts w:hint="eastAsia" w:ascii="宋体" w:hAnsi="宋体" w:eastAsia="宋体" w:cs="宋体"/>
          <w:szCs w:val="21"/>
          <w:highlight w:val="none"/>
        </w:rPr>
      </w:pPr>
      <w:r>
        <w:rPr>
          <w:rFonts w:hint="eastAsia" w:ascii="宋体" w:hAnsi="宋体" w:eastAsia="宋体" w:cs="宋体"/>
          <w:szCs w:val="21"/>
          <w:highlight w:val="none"/>
        </w:rPr>
        <w:t>注：</w:t>
      </w:r>
    </w:p>
    <w:p w14:paraId="74DC257E">
      <w:pPr>
        <w:ind w:left="178" w:leftChars="85" w:firstLine="362"/>
        <w:rPr>
          <w:rFonts w:hint="eastAsia" w:ascii="宋体" w:hAnsi="宋体" w:eastAsia="宋体" w:cs="宋体"/>
          <w:szCs w:val="21"/>
          <w:highlight w:val="none"/>
        </w:rPr>
      </w:pPr>
      <w:r>
        <w:rPr>
          <w:rFonts w:hint="eastAsia" w:ascii="宋体" w:hAnsi="宋体" w:eastAsia="宋体" w:cs="宋体"/>
          <w:szCs w:val="21"/>
          <w:highlight w:val="none"/>
        </w:rPr>
        <w:t>1.对于上述要求，如投标人完全响应，则请在“是否响应”栏内打“√”，对空白或打“×”视为偏离，请在“偏离说明”栏内扼要说明偏离情况。</w:t>
      </w:r>
    </w:p>
    <w:p w14:paraId="7F9D8581">
      <w:pPr>
        <w:ind w:left="178" w:leftChars="85" w:firstLine="362"/>
        <w:rPr>
          <w:rFonts w:hint="eastAsia" w:ascii="宋体" w:hAnsi="宋体" w:eastAsia="宋体" w:cs="宋体"/>
          <w:szCs w:val="21"/>
          <w:highlight w:val="none"/>
        </w:rPr>
      </w:pPr>
      <w:r>
        <w:rPr>
          <w:rFonts w:hint="eastAsia" w:ascii="宋体" w:hAnsi="宋体" w:eastAsia="宋体" w:cs="宋体"/>
          <w:szCs w:val="21"/>
          <w:highlight w:val="none"/>
        </w:rPr>
        <w:t>2.此表内容必须与实施方案中所介绍的内容一致，打“★”项为不可负偏离(劣于)的重要项。</w:t>
      </w:r>
    </w:p>
    <w:p w14:paraId="1F07B408">
      <w:pPr>
        <w:ind w:left="178" w:leftChars="85" w:firstLine="362"/>
        <w:rPr>
          <w:rFonts w:hint="eastAsia" w:ascii="宋体" w:hAnsi="宋体" w:eastAsia="宋体" w:cs="宋体"/>
          <w:szCs w:val="21"/>
          <w:highlight w:val="none"/>
        </w:rPr>
      </w:pPr>
      <w:r>
        <w:rPr>
          <w:rFonts w:hint="eastAsia" w:ascii="宋体" w:hAnsi="宋体" w:eastAsia="宋体" w:cs="宋体"/>
          <w:szCs w:val="21"/>
          <w:highlight w:val="none"/>
        </w:rPr>
        <w:t>3.本表内容不得擅自修改。</w:t>
      </w:r>
    </w:p>
    <w:p w14:paraId="628D79B9">
      <w:pPr>
        <w:ind w:left="178" w:leftChars="85" w:firstLine="362"/>
        <w:rPr>
          <w:rFonts w:hint="eastAsia" w:ascii="宋体" w:hAnsi="宋体" w:eastAsia="宋体" w:cs="宋体"/>
          <w:szCs w:val="21"/>
          <w:highlight w:val="none"/>
        </w:rPr>
      </w:pPr>
      <w:r>
        <w:rPr>
          <w:rFonts w:hint="eastAsia" w:ascii="宋体" w:hAnsi="宋体" w:eastAsia="宋体" w:cs="宋体"/>
          <w:szCs w:val="21"/>
          <w:highlight w:val="none"/>
        </w:rPr>
        <w:t>4.当招标文件中未设置“★”项商务条款时，应在此表中第一行直接填写：本项目未设置“★”项商务条款</w:t>
      </w:r>
      <w:r>
        <w:rPr>
          <w:rFonts w:hint="eastAsia" w:ascii="宋体" w:hAnsi="宋体" w:eastAsia="宋体" w:cs="宋体"/>
          <w:highlight w:val="none"/>
        </w:rPr>
        <w:t>。</w:t>
      </w:r>
    </w:p>
    <w:p w14:paraId="0023DD7E">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p>
    <w:p w14:paraId="0D85191D">
      <w:pPr>
        <w:adjustRightInd w:val="0"/>
        <w:snapToGrid w:val="0"/>
        <w:spacing w:line="300" w:lineRule="auto"/>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p>
    <w:p w14:paraId="23836DD2">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zCs w:val="21"/>
          <w:highlight w:val="none"/>
        </w:rPr>
        <w:t>日期：年 月 日</w:t>
      </w:r>
    </w:p>
    <w:p w14:paraId="447621A8">
      <w:pPr>
        <w:pStyle w:val="92"/>
        <w:rPr>
          <w:rFonts w:hint="eastAsia" w:ascii="宋体" w:hAnsi="宋体" w:eastAsia="宋体" w:cs="宋体"/>
          <w:b/>
          <w:szCs w:val="24"/>
          <w:highlight w:val="none"/>
        </w:rPr>
      </w:pPr>
      <w:r>
        <w:rPr>
          <w:rFonts w:hint="eastAsia" w:ascii="宋体" w:hAnsi="宋体" w:eastAsia="宋体" w:cs="宋体"/>
          <w:b/>
          <w:szCs w:val="24"/>
          <w:highlight w:val="none"/>
        </w:rPr>
        <w:br w:type="page"/>
      </w:r>
      <w:r>
        <w:rPr>
          <w:rFonts w:hint="eastAsia" w:ascii="宋体" w:hAnsi="宋体" w:eastAsia="宋体" w:cs="宋体"/>
          <w:b/>
          <w:szCs w:val="24"/>
          <w:highlight w:val="none"/>
        </w:rPr>
        <w:t>（2）非实质性</w:t>
      </w:r>
      <w:r>
        <w:rPr>
          <w:rFonts w:hint="eastAsia" w:ascii="宋体" w:hAnsi="宋体" w:eastAsia="宋体" w:cs="宋体"/>
          <w:b/>
          <w:szCs w:val="24"/>
          <w:highlight w:val="none"/>
        </w:rPr>
        <w:fldChar w:fldCharType="begin"/>
      </w:r>
      <w:r>
        <w:rPr>
          <w:rFonts w:hint="eastAsia" w:ascii="宋体" w:hAnsi="宋体" w:eastAsia="宋体" w:cs="宋体"/>
          <w:b/>
          <w:szCs w:val="24"/>
          <w:highlight w:val="none"/>
        </w:rPr>
        <w:instrText xml:space="preserve"> DOCVARIABLE  商务条款响应表开始  \* MERGEFORMAT </w:instrText>
      </w:r>
      <w:r>
        <w:rPr>
          <w:rFonts w:hint="eastAsia" w:ascii="宋体" w:hAnsi="宋体" w:eastAsia="宋体" w:cs="宋体"/>
          <w:b/>
          <w:szCs w:val="24"/>
          <w:highlight w:val="none"/>
        </w:rPr>
        <w:fldChar w:fldCharType="end"/>
      </w:r>
      <w:r>
        <w:rPr>
          <w:rFonts w:hint="eastAsia" w:ascii="宋体" w:hAnsi="宋体" w:eastAsia="宋体" w:cs="宋体"/>
          <w:b/>
          <w:szCs w:val="24"/>
          <w:highlight w:val="none"/>
        </w:rPr>
        <w:fldChar w:fldCharType="begin"/>
      </w:r>
      <w:r>
        <w:rPr>
          <w:rFonts w:hint="eastAsia" w:ascii="宋体" w:hAnsi="宋体" w:eastAsia="宋体" w:cs="宋体"/>
          <w:b/>
          <w:szCs w:val="24"/>
          <w:highlight w:val="none"/>
        </w:rPr>
        <w:instrText xml:space="preserve"> DOCVARIABLE  商务条款响应表开始  \* MERGEFORMAT </w:instrText>
      </w:r>
      <w:r>
        <w:rPr>
          <w:rFonts w:hint="eastAsia" w:ascii="宋体" w:hAnsi="宋体" w:eastAsia="宋体" w:cs="宋体"/>
          <w:b/>
          <w:szCs w:val="24"/>
          <w:highlight w:val="none"/>
        </w:rPr>
        <w:fldChar w:fldCharType="end"/>
      </w:r>
      <w:r>
        <w:rPr>
          <w:rFonts w:hint="eastAsia" w:ascii="宋体" w:hAnsi="宋体" w:eastAsia="宋体" w:cs="宋体"/>
          <w:b/>
          <w:szCs w:val="24"/>
          <w:highlight w:val="none"/>
        </w:rPr>
        <w:t>商务条款响应表</w:t>
      </w:r>
    </w:p>
    <w:tbl>
      <w:tblPr>
        <w:tblStyle w:val="43"/>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715"/>
        <w:gridCol w:w="726"/>
        <w:gridCol w:w="2018"/>
      </w:tblGrid>
      <w:tr w14:paraId="14BE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shd w:val="clear" w:color="auto" w:fill="F3F3F3"/>
            <w:noWrap w:val="0"/>
            <w:vAlign w:val="center"/>
          </w:tcPr>
          <w:p w14:paraId="5A9BD700">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6715" w:type="dxa"/>
            <w:shd w:val="clear" w:color="auto" w:fill="F3F3F3"/>
            <w:noWrap w:val="0"/>
            <w:vAlign w:val="center"/>
          </w:tcPr>
          <w:p w14:paraId="57614E6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一般商务条款要求</w:t>
            </w:r>
          </w:p>
        </w:tc>
        <w:tc>
          <w:tcPr>
            <w:tcW w:w="726" w:type="dxa"/>
            <w:shd w:val="clear" w:color="auto" w:fill="F3F3F3"/>
            <w:noWrap w:val="0"/>
            <w:vAlign w:val="center"/>
          </w:tcPr>
          <w:p w14:paraId="4B183FD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是否响应</w:t>
            </w:r>
          </w:p>
        </w:tc>
        <w:tc>
          <w:tcPr>
            <w:tcW w:w="2018" w:type="dxa"/>
            <w:shd w:val="clear" w:color="auto" w:fill="F3F3F3"/>
            <w:noWrap w:val="0"/>
            <w:vAlign w:val="center"/>
          </w:tcPr>
          <w:p w14:paraId="64945B3F">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偏离说明</w:t>
            </w:r>
          </w:p>
        </w:tc>
      </w:tr>
      <w:tr w14:paraId="676C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5858B02E">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715" w:type="dxa"/>
            <w:noWrap w:val="0"/>
            <w:vAlign w:val="center"/>
          </w:tcPr>
          <w:p w14:paraId="1D727FC1">
            <w:pPr>
              <w:rPr>
                <w:rFonts w:hint="eastAsia" w:ascii="宋体" w:hAnsi="宋体" w:eastAsia="宋体" w:cs="宋体"/>
                <w:szCs w:val="21"/>
                <w:highlight w:val="none"/>
              </w:rPr>
            </w:pPr>
            <w:r>
              <w:rPr>
                <w:rFonts w:hint="eastAsia" w:ascii="宋体" w:hAnsi="宋体" w:eastAsia="宋体" w:cs="宋体"/>
                <w:szCs w:val="21"/>
                <w:highlight w:val="none"/>
              </w:rPr>
              <w:t>完全理解并接受合同条款要求</w:t>
            </w:r>
          </w:p>
        </w:tc>
        <w:tc>
          <w:tcPr>
            <w:tcW w:w="726" w:type="dxa"/>
            <w:noWrap w:val="0"/>
            <w:vAlign w:val="center"/>
          </w:tcPr>
          <w:p w14:paraId="6D9589E7">
            <w:pPr>
              <w:pStyle w:val="145"/>
              <w:adjustRightInd/>
              <w:spacing w:before="0" w:after="0" w:line="240" w:lineRule="auto"/>
              <w:textAlignment w:val="auto"/>
              <w:rPr>
                <w:rFonts w:hint="eastAsia" w:ascii="宋体" w:hAnsi="宋体" w:eastAsia="宋体" w:cs="宋体"/>
                <w:spacing w:val="0"/>
                <w:kern w:val="2"/>
                <w:sz w:val="21"/>
                <w:szCs w:val="21"/>
                <w:highlight w:val="none"/>
              </w:rPr>
            </w:pPr>
          </w:p>
        </w:tc>
        <w:tc>
          <w:tcPr>
            <w:tcW w:w="2018" w:type="dxa"/>
            <w:noWrap w:val="0"/>
            <w:vAlign w:val="center"/>
          </w:tcPr>
          <w:p w14:paraId="6C0503A0">
            <w:pPr>
              <w:jc w:val="center"/>
              <w:rPr>
                <w:rFonts w:hint="eastAsia" w:ascii="宋体" w:hAnsi="宋体" w:eastAsia="宋体" w:cs="宋体"/>
                <w:szCs w:val="21"/>
                <w:highlight w:val="none"/>
              </w:rPr>
            </w:pPr>
          </w:p>
        </w:tc>
      </w:tr>
      <w:tr w14:paraId="7706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3743173A">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715" w:type="dxa"/>
            <w:noWrap w:val="0"/>
            <w:vAlign w:val="center"/>
          </w:tcPr>
          <w:p w14:paraId="30C02BFA">
            <w:pPr>
              <w:rPr>
                <w:rFonts w:hint="eastAsia" w:ascii="宋体" w:hAnsi="宋体" w:eastAsia="宋体" w:cs="宋体"/>
                <w:szCs w:val="21"/>
                <w:highlight w:val="none"/>
              </w:rPr>
            </w:pPr>
            <w:r>
              <w:rPr>
                <w:rFonts w:hint="eastAsia" w:ascii="宋体" w:hAnsi="宋体" w:eastAsia="宋体" w:cs="宋体"/>
                <w:szCs w:val="21"/>
                <w:highlight w:val="none"/>
              </w:rPr>
              <w:t>完全理解并接受对合格投标人、合格的货物、工程和服务要求</w:t>
            </w:r>
          </w:p>
        </w:tc>
        <w:tc>
          <w:tcPr>
            <w:tcW w:w="726" w:type="dxa"/>
            <w:noWrap w:val="0"/>
            <w:vAlign w:val="center"/>
          </w:tcPr>
          <w:p w14:paraId="1075D064">
            <w:pPr>
              <w:pStyle w:val="145"/>
              <w:adjustRightInd/>
              <w:spacing w:before="0" w:after="0" w:line="240" w:lineRule="auto"/>
              <w:textAlignment w:val="auto"/>
              <w:rPr>
                <w:rFonts w:hint="eastAsia" w:ascii="宋体" w:hAnsi="宋体" w:eastAsia="宋体" w:cs="宋体"/>
                <w:spacing w:val="0"/>
                <w:kern w:val="2"/>
                <w:sz w:val="21"/>
                <w:szCs w:val="21"/>
                <w:highlight w:val="none"/>
              </w:rPr>
            </w:pPr>
          </w:p>
        </w:tc>
        <w:tc>
          <w:tcPr>
            <w:tcW w:w="2018" w:type="dxa"/>
            <w:noWrap w:val="0"/>
            <w:vAlign w:val="center"/>
          </w:tcPr>
          <w:p w14:paraId="76919ACD">
            <w:pPr>
              <w:jc w:val="center"/>
              <w:rPr>
                <w:rFonts w:hint="eastAsia" w:ascii="宋体" w:hAnsi="宋体" w:eastAsia="宋体" w:cs="宋体"/>
                <w:szCs w:val="21"/>
                <w:highlight w:val="none"/>
              </w:rPr>
            </w:pPr>
          </w:p>
        </w:tc>
      </w:tr>
      <w:tr w14:paraId="10F4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6F5A1025">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715" w:type="dxa"/>
            <w:noWrap w:val="0"/>
            <w:vAlign w:val="center"/>
          </w:tcPr>
          <w:p w14:paraId="395BA991">
            <w:pPr>
              <w:rPr>
                <w:rFonts w:hint="eastAsia" w:ascii="宋体" w:hAnsi="宋体" w:eastAsia="宋体" w:cs="宋体"/>
                <w:szCs w:val="21"/>
                <w:highlight w:val="none"/>
              </w:rPr>
            </w:pPr>
            <w:r>
              <w:rPr>
                <w:rFonts w:hint="eastAsia" w:ascii="宋体" w:hAnsi="宋体" w:eastAsia="宋体" w:cs="宋体"/>
                <w:szCs w:val="21"/>
                <w:highlight w:val="none"/>
              </w:rPr>
              <w:t>完全理解并接受对投标人的各项须知、规约要求和责任义务</w:t>
            </w:r>
          </w:p>
        </w:tc>
        <w:tc>
          <w:tcPr>
            <w:tcW w:w="726" w:type="dxa"/>
            <w:noWrap w:val="0"/>
            <w:vAlign w:val="center"/>
          </w:tcPr>
          <w:p w14:paraId="6718D8E3">
            <w:pPr>
              <w:jc w:val="center"/>
              <w:rPr>
                <w:rFonts w:hint="eastAsia" w:ascii="宋体" w:hAnsi="宋体" w:eastAsia="宋体" w:cs="宋体"/>
                <w:szCs w:val="21"/>
                <w:highlight w:val="none"/>
              </w:rPr>
            </w:pPr>
          </w:p>
        </w:tc>
        <w:tc>
          <w:tcPr>
            <w:tcW w:w="2018" w:type="dxa"/>
            <w:noWrap w:val="0"/>
            <w:vAlign w:val="center"/>
          </w:tcPr>
          <w:p w14:paraId="5B4D6762">
            <w:pPr>
              <w:ind w:right="-35"/>
              <w:jc w:val="center"/>
              <w:rPr>
                <w:rFonts w:hint="eastAsia" w:ascii="宋体" w:hAnsi="宋体" w:eastAsia="宋体" w:cs="宋体"/>
                <w:szCs w:val="21"/>
                <w:highlight w:val="none"/>
              </w:rPr>
            </w:pPr>
          </w:p>
        </w:tc>
      </w:tr>
      <w:tr w14:paraId="7793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47B397C3">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715" w:type="dxa"/>
            <w:noWrap w:val="0"/>
            <w:vAlign w:val="top"/>
          </w:tcPr>
          <w:p w14:paraId="7B3AFF37">
            <w:pPr>
              <w:rPr>
                <w:rFonts w:hint="eastAsia" w:ascii="宋体" w:hAnsi="宋体" w:eastAsia="宋体" w:cs="宋体"/>
                <w:szCs w:val="21"/>
                <w:highlight w:val="none"/>
              </w:rPr>
            </w:pPr>
            <w:r>
              <w:rPr>
                <w:rFonts w:hint="eastAsia" w:ascii="宋体" w:hAnsi="宋体" w:eastAsia="宋体" w:cs="宋体"/>
                <w:szCs w:val="21"/>
                <w:highlight w:val="none"/>
              </w:rPr>
              <w:t>经验要求：投标人企业在经营范围内投标，且近年来资信良好，履约能力强，没有违法记录</w:t>
            </w:r>
          </w:p>
        </w:tc>
        <w:tc>
          <w:tcPr>
            <w:tcW w:w="726" w:type="dxa"/>
            <w:noWrap w:val="0"/>
            <w:vAlign w:val="center"/>
          </w:tcPr>
          <w:p w14:paraId="7976B0EA">
            <w:pPr>
              <w:jc w:val="center"/>
              <w:rPr>
                <w:rFonts w:hint="eastAsia" w:ascii="宋体" w:hAnsi="宋体" w:eastAsia="宋体" w:cs="宋体"/>
                <w:szCs w:val="21"/>
                <w:highlight w:val="none"/>
              </w:rPr>
            </w:pPr>
          </w:p>
        </w:tc>
        <w:tc>
          <w:tcPr>
            <w:tcW w:w="2018" w:type="dxa"/>
            <w:noWrap w:val="0"/>
            <w:vAlign w:val="center"/>
          </w:tcPr>
          <w:p w14:paraId="3C4BC125">
            <w:pPr>
              <w:ind w:right="-35"/>
              <w:jc w:val="center"/>
              <w:rPr>
                <w:rFonts w:hint="eastAsia" w:ascii="宋体" w:hAnsi="宋体" w:eastAsia="宋体" w:cs="宋体"/>
                <w:szCs w:val="21"/>
                <w:highlight w:val="none"/>
              </w:rPr>
            </w:pPr>
          </w:p>
        </w:tc>
      </w:tr>
      <w:tr w14:paraId="25DD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2307E568">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w:t>
            </w:r>
          </w:p>
        </w:tc>
        <w:tc>
          <w:tcPr>
            <w:tcW w:w="6715" w:type="dxa"/>
            <w:noWrap w:val="0"/>
            <w:vAlign w:val="top"/>
          </w:tcPr>
          <w:p w14:paraId="60293091">
            <w:pPr>
              <w:rPr>
                <w:rFonts w:hint="eastAsia" w:ascii="宋体" w:hAnsi="宋体" w:eastAsia="宋体" w:cs="宋体"/>
                <w:szCs w:val="21"/>
                <w:highlight w:val="none"/>
              </w:rPr>
            </w:pPr>
            <w:r>
              <w:rPr>
                <w:rFonts w:hint="eastAsia" w:ascii="宋体" w:hAnsi="宋体" w:eastAsia="宋体" w:cs="宋体"/>
                <w:szCs w:val="21"/>
                <w:highlight w:val="none"/>
                <w:lang w:val="en-US" w:eastAsia="zh-CN"/>
              </w:rPr>
              <w:t>报价要求：</w:t>
            </w:r>
            <w:r>
              <w:rPr>
                <w:rFonts w:hint="eastAsia" w:ascii="宋体" w:hAnsi="宋体" w:eastAsia="宋体" w:cs="宋体"/>
                <w:szCs w:val="21"/>
                <w:highlight w:val="none"/>
              </w:rPr>
              <w:t>完成本项目全部内容所需费用的含税价，不高于本项目最高采购限价，且符合国家有关的价格规定。</w:t>
            </w:r>
          </w:p>
        </w:tc>
        <w:tc>
          <w:tcPr>
            <w:tcW w:w="726" w:type="dxa"/>
            <w:noWrap w:val="0"/>
            <w:vAlign w:val="center"/>
          </w:tcPr>
          <w:p w14:paraId="2484E379">
            <w:pPr>
              <w:jc w:val="center"/>
              <w:rPr>
                <w:rFonts w:hint="eastAsia" w:ascii="宋体" w:hAnsi="宋体" w:eastAsia="宋体" w:cs="宋体"/>
                <w:szCs w:val="21"/>
                <w:highlight w:val="none"/>
              </w:rPr>
            </w:pPr>
          </w:p>
        </w:tc>
        <w:tc>
          <w:tcPr>
            <w:tcW w:w="2018" w:type="dxa"/>
            <w:noWrap w:val="0"/>
            <w:vAlign w:val="center"/>
          </w:tcPr>
          <w:p w14:paraId="4ADDF4DF">
            <w:pPr>
              <w:ind w:right="-35"/>
              <w:jc w:val="center"/>
              <w:rPr>
                <w:rFonts w:hint="eastAsia" w:ascii="宋体" w:hAnsi="宋体" w:eastAsia="宋体" w:cs="宋体"/>
                <w:szCs w:val="21"/>
                <w:highlight w:val="none"/>
              </w:rPr>
            </w:pPr>
          </w:p>
        </w:tc>
      </w:tr>
      <w:tr w14:paraId="1E62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69758589">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6</w:t>
            </w:r>
          </w:p>
        </w:tc>
        <w:tc>
          <w:tcPr>
            <w:tcW w:w="6715" w:type="dxa"/>
            <w:noWrap w:val="0"/>
            <w:vAlign w:val="top"/>
          </w:tcPr>
          <w:p w14:paraId="1E6E420C">
            <w:pPr>
              <w:rPr>
                <w:rFonts w:hint="eastAsia" w:ascii="宋体" w:hAnsi="宋体" w:eastAsia="宋体" w:cs="宋体"/>
                <w:szCs w:val="21"/>
                <w:highlight w:val="none"/>
              </w:rPr>
            </w:pPr>
            <w:r>
              <w:rPr>
                <w:rFonts w:hint="eastAsia" w:ascii="宋体" w:hAnsi="宋体" w:eastAsia="宋体" w:cs="宋体"/>
                <w:color w:val="000000"/>
                <w:szCs w:val="21"/>
                <w:highlight w:val="none"/>
              </w:rPr>
              <w:t>其他“商务要求”中的非实质性</w:t>
            </w:r>
            <w:r>
              <w:rPr>
                <w:rFonts w:hint="eastAsia" w:ascii="宋体" w:hAnsi="宋体" w:eastAsia="宋体" w:cs="宋体"/>
                <w:color w:val="000000"/>
                <w:szCs w:val="21"/>
                <w:highlight w:val="none"/>
              </w:rPr>
              <w:fldChar w:fldCharType="begin"/>
            </w:r>
            <w:r>
              <w:rPr>
                <w:rFonts w:hint="eastAsia" w:ascii="宋体" w:hAnsi="宋体" w:eastAsia="宋体" w:cs="宋体"/>
                <w:color w:val="000000"/>
                <w:szCs w:val="21"/>
                <w:highlight w:val="none"/>
              </w:rPr>
              <w:instrText xml:space="preserve"> DOCVARIABLE  商务条款响应表开始  \* MERGEFORMAT </w:instrText>
            </w:r>
            <w:r>
              <w:rPr>
                <w:rFonts w:hint="eastAsia" w:ascii="宋体" w:hAnsi="宋体" w:eastAsia="宋体" w:cs="宋体"/>
                <w:color w:val="000000"/>
                <w:szCs w:val="21"/>
                <w:highlight w:val="none"/>
              </w:rPr>
              <w:fldChar w:fldCharType="end"/>
            </w:r>
            <w:r>
              <w:rPr>
                <w:rFonts w:hint="eastAsia" w:ascii="宋体" w:hAnsi="宋体" w:eastAsia="宋体" w:cs="宋体"/>
                <w:color w:val="000000"/>
                <w:szCs w:val="21"/>
                <w:highlight w:val="none"/>
              </w:rPr>
              <w:fldChar w:fldCharType="begin"/>
            </w:r>
            <w:r>
              <w:rPr>
                <w:rFonts w:hint="eastAsia" w:ascii="宋体" w:hAnsi="宋体" w:eastAsia="宋体" w:cs="宋体"/>
                <w:color w:val="000000"/>
                <w:szCs w:val="21"/>
                <w:highlight w:val="none"/>
              </w:rPr>
              <w:instrText xml:space="preserve"> DOCVARIABLE  商务条款响应表开始  \* MERGEFORMAT </w:instrText>
            </w:r>
            <w:r>
              <w:rPr>
                <w:rFonts w:hint="eastAsia" w:ascii="宋体" w:hAnsi="宋体" w:eastAsia="宋体" w:cs="宋体"/>
                <w:color w:val="000000"/>
                <w:szCs w:val="21"/>
                <w:highlight w:val="none"/>
              </w:rPr>
              <w:fldChar w:fldCharType="end"/>
            </w:r>
            <w:r>
              <w:rPr>
                <w:rFonts w:hint="eastAsia" w:ascii="宋体" w:hAnsi="宋体" w:eastAsia="宋体" w:cs="宋体"/>
                <w:color w:val="000000"/>
                <w:szCs w:val="21"/>
                <w:highlight w:val="none"/>
              </w:rPr>
              <w:t>商务条款响应情况</w:t>
            </w:r>
          </w:p>
        </w:tc>
        <w:tc>
          <w:tcPr>
            <w:tcW w:w="726" w:type="dxa"/>
            <w:noWrap w:val="0"/>
            <w:vAlign w:val="center"/>
          </w:tcPr>
          <w:p w14:paraId="37836932">
            <w:pPr>
              <w:jc w:val="center"/>
              <w:rPr>
                <w:rFonts w:hint="eastAsia" w:ascii="宋体" w:hAnsi="宋体" w:eastAsia="宋体" w:cs="宋体"/>
                <w:szCs w:val="21"/>
                <w:highlight w:val="none"/>
              </w:rPr>
            </w:pPr>
          </w:p>
        </w:tc>
        <w:tc>
          <w:tcPr>
            <w:tcW w:w="2018" w:type="dxa"/>
            <w:noWrap w:val="0"/>
            <w:vAlign w:val="center"/>
          </w:tcPr>
          <w:p w14:paraId="014D2549">
            <w:pPr>
              <w:ind w:right="-35"/>
              <w:jc w:val="center"/>
              <w:rPr>
                <w:rFonts w:hint="eastAsia" w:ascii="宋体" w:hAnsi="宋体" w:eastAsia="宋体" w:cs="宋体"/>
                <w:szCs w:val="21"/>
                <w:highlight w:val="none"/>
              </w:rPr>
            </w:pPr>
          </w:p>
        </w:tc>
      </w:tr>
      <w:tr w14:paraId="0018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6D0DF826">
            <w:pPr>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7</w:t>
            </w:r>
          </w:p>
        </w:tc>
        <w:tc>
          <w:tcPr>
            <w:tcW w:w="6715" w:type="dxa"/>
            <w:noWrap w:val="0"/>
            <w:vAlign w:val="top"/>
          </w:tcPr>
          <w:p w14:paraId="35BC1CD6">
            <w:pPr>
              <w:rPr>
                <w:rFonts w:hint="eastAsia" w:ascii="宋体" w:hAnsi="宋体" w:eastAsia="宋体" w:cs="宋体"/>
                <w:szCs w:val="21"/>
                <w:highlight w:val="none"/>
              </w:rPr>
            </w:pPr>
            <w:r>
              <w:rPr>
                <w:rFonts w:hint="eastAsia" w:ascii="宋体" w:hAnsi="宋体" w:eastAsia="宋体" w:cs="宋体"/>
                <w:szCs w:val="21"/>
                <w:highlight w:val="none"/>
              </w:rPr>
              <w:t>同意招标采购单位及监管部门以任何形式对我方投标文件内容及招标采购单位及监管部门认为有必要的相关资料的真实性和有效性进行审查、验证</w:t>
            </w:r>
          </w:p>
        </w:tc>
        <w:tc>
          <w:tcPr>
            <w:tcW w:w="726" w:type="dxa"/>
            <w:noWrap w:val="0"/>
            <w:vAlign w:val="center"/>
          </w:tcPr>
          <w:p w14:paraId="6377C43A">
            <w:pPr>
              <w:jc w:val="center"/>
              <w:rPr>
                <w:rFonts w:hint="eastAsia" w:ascii="宋体" w:hAnsi="宋体" w:eastAsia="宋体" w:cs="宋体"/>
                <w:szCs w:val="21"/>
                <w:highlight w:val="none"/>
              </w:rPr>
            </w:pPr>
          </w:p>
        </w:tc>
        <w:tc>
          <w:tcPr>
            <w:tcW w:w="2018" w:type="dxa"/>
            <w:noWrap w:val="0"/>
            <w:vAlign w:val="center"/>
          </w:tcPr>
          <w:p w14:paraId="065F7A90">
            <w:pPr>
              <w:jc w:val="center"/>
              <w:rPr>
                <w:rFonts w:hint="eastAsia" w:ascii="宋体" w:hAnsi="宋体" w:eastAsia="宋体" w:cs="宋体"/>
                <w:szCs w:val="21"/>
                <w:highlight w:val="none"/>
              </w:rPr>
            </w:pPr>
          </w:p>
        </w:tc>
      </w:tr>
    </w:tbl>
    <w:p w14:paraId="61572FC9">
      <w:pPr>
        <w:rPr>
          <w:rFonts w:hint="eastAsia" w:ascii="宋体" w:hAnsi="宋体" w:eastAsia="宋体" w:cs="宋体"/>
          <w:szCs w:val="21"/>
          <w:highlight w:val="none"/>
        </w:rPr>
      </w:pPr>
      <w:r>
        <w:rPr>
          <w:rFonts w:hint="eastAsia" w:ascii="宋体" w:hAnsi="宋体" w:eastAsia="宋体" w:cs="宋体"/>
          <w:szCs w:val="21"/>
          <w:highlight w:val="none"/>
        </w:rPr>
        <w:t xml:space="preserve">注： </w:t>
      </w:r>
    </w:p>
    <w:p w14:paraId="5F9A204F">
      <w:pPr>
        <w:rPr>
          <w:rFonts w:hint="eastAsia" w:ascii="宋体" w:hAnsi="宋体" w:eastAsia="宋体" w:cs="宋体"/>
          <w:szCs w:val="21"/>
          <w:highlight w:val="none"/>
        </w:rPr>
      </w:pPr>
      <w:r>
        <w:rPr>
          <w:rFonts w:hint="eastAsia" w:ascii="宋体" w:hAnsi="宋体" w:eastAsia="宋体" w:cs="宋体"/>
          <w:szCs w:val="21"/>
          <w:highlight w:val="none"/>
        </w:rPr>
        <w:t>1.对于上述要求，如投标人完全响应，则请在“是否响应”栏内打“√”，对空白或打“×”视为偏离，请在“偏离说明”栏内扼要说明偏离情况。</w:t>
      </w:r>
    </w:p>
    <w:p w14:paraId="79D85BE2">
      <w:pPr>
        <w:rPr>
          <w:rFonts w:hint="eastAsia" w:ascii="宋体" w:hAnsi="宋体" w:eastAsia="宋体" w:cs="宋体"/>
          <w:szCs w:val="21"/>
          <w:highlight w:val="none"/>
        </w:rPr>
      </w:pPr>
      <w:r>
        <w:rPr>
          <w:rFonts w:hint="eastAsia" w:ascii="宋体" w:hAnsi="宋体" w:eastAsia="宋体" w:cs="宋体"/>
          <w:szCs w:val="21"/>
          <w:highlight w:val="none"/>
        </w:rPr>
        <w:t>2.本表内容不得擅自修改。</w:t>
      </w:r>
    </w:p>
    <w:p w14:paraId="50F34CB1">
      <w:pPr>
        <w:adjustRightInd w:val="0"/>
        <w:snapToGrid w:val="0"/>
        <w:spacing w:line="300" w:lineRule="auto"/>
        <w:rPr>
          <w:rFonts w:hint="eastAsia" w:ascii="宋体" w:hAnsi="宋体" w:eastAsia="宋体" w:cs="宋体"/>
          <w:szCs w:val="21"/>
          <w:highlight w:val="none"/>
        </w:rPr>
      </w:pPr>
    </w:p>
    <w:p w14:paraId="14E9BD0F">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p>
    <w:p w14:paraId="0A4E92AF">
      <w:pPr>
        <w:adjustRightInd w:val="0"/>
        <w:snapToGrid w:val="0"/>
        <w:spacing w:line="300" w:lineRule="auto"/>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p>
    <w:p w14:paraId="2BB0AB5F">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zCs w:val="21"/>
          <w:highlight w:val="none"/>
        </w:rPr>
        <w:t>日期：年 月 日</w:t>
      </w:r>
    </w:p>
    <w:p w14:paraId="21FCAB0B">
      <w:pPr>
        <w:rPr>
          <w:rFonts w:hint="eastAsia" w:ascii="宋体" w:hAnsi="宋体" w:eastAsia="宋体" w:cs="宋体"/>
          <w:b/>
          <w:sz w:val="24"/>
          <w:highlight w:val="none"/>
        </w:rPr>
      </w:pPr>
    </w:p>
    <w:p w14:paraId="3721C6D6">
      <w:pPr>
        <w:rPr>
          <w:rFonts w:hint="eastAsia" w:ascii="宋体" w:hAnsi="宋体" w:eastAsia="宋体" w:cs="宋体"/>
          <w:b/>
          <w:sz w:val="24"/>
          <w:highlight w:val="none"/>
        </w:rPr>
      </w:pPr>
    </w:p>
    <w:p w14:paraId="4851093D">
      <w:pPr>
        <w:rPr>
          <w:rFonts w:hint="eastAsia" w:ascii="宋体" w:hAnsi="宋体" w:eastAsia="宋体" w:cs="宋体"/>
          <w:b/>
          <w:sz w:val="24"/>
          <w:highlight w:val="none"/>
        </w:rPr>
      </w:pPr>
      <w:r>
        <w:rPr>
          <w:rFonts w:hint="eastAsia" w:ascii="宋体" w:hAnsi="宋体" w:eastAsia="宋体" w:cs="宋体"/>
          <w:b/>
          <w:sz w:val="24"/>
          <w:highlight w:val="none"/>
        </w:rPr>
        <w:br w:type="page"/>
      </w:r>
    </w:p>
    <w:p w14:paraId="630E136B">
      <w:pPr>
        <w:pStyle w:val="92"/>
        <w:jc w:val="both"/>
        <w:rPr>
          <w:rFonts w:hint="eastAsia" w:ascii="宋体" w:hAnsi="宋体" w:eastAsia="宋体" w:cs="宋体"/>
          <w:b/>
          <w:sz w:val="28"/>
          <w:szCs w:val="28"/>
          <w:highlight w:val="none"/>
        </w:rPr>
      </w:pPr>
      <w:bookmarkStart w:id="28" w:name="_Toc202820353"/>
      <w:bookmarkStart w:id="29" w:name="_Toc202819880"/>
      <w:bookmarkStart w:id="30" w:name="_Toc202251702"/>
      <w:bookmarkStart w:id="31" w:name="_Toc202254107"/>
      <w:bookmarkStart w:id="32" w:name="_Toc202251077"/>
      <w:bookmarkStart w:id="33" w:name="_Toc202252036"/>
      <w:bookmarkStart w:id="34" w:name="_Toc202816998"/>
    </w:p>
    <w:p w14:paraId="5DC7D21D">
      <w:pPr>
        <w:pStyle w:val="92"/>
        <w:jc w:val="center"/>
        <w:rPr>
          <w:rFonts w:hint="eastAsia" w:ascii="宋体" w:hAnsi="宋体" w:eastAsia="宋体" w:cs="宋体"/>
          <w:b/>
          <w:sz w:val="28"/>
          <w:szCs w:val="28"/>
          <w:highlight w:val="none"/>
        </w:rPr>
      </w:pPr>
    </w:p>
    <w:p w14:paraId="6322FF00">
      <w:pPr>
        <w:pStyle w:val="92"/>
        <w:jc w:val="center"/>
        <w:rPr>
          <w:rFonts w:hint="eastAsia" w:ascii="宋体" w:hAnsi="宋体" w:eastAsia="宋体" w:cs="宋体"/>
          <w:b/>
          <w:sz w:val="28"/>
          <w:szCs w:val="28"/>
          <w:highlight w:val="none"/>
        </w:rPr>
      </w:pPr>
    </w:p>
    <w:p w14:paraId="7E476A19">
      <w:pPr>
        <w:pStyle w:val="92"/>
        <w:jc w:val="center"/>
        <w:rPr>
          <w:rFonts w:hint="eastAsia" w:ascii="宋体" w:hAnsi="宋体" w:eastAsia="宋体" w:cs="宋体"/>
          <w:b/>
          <w:sz w:val="28"/>
          <w:szCs w:val="28"/>
          <w:highlight w:val="none"/>
        </w:rPr>
      </w:pPr>
    </w:p>
    <w:p w14:paraId="0B9B34FF">
      <w:pPr>
        <w:pStyle w:val="92"/>
        <w:jc w:val="center"/>
        <w:rPr>
          <w:rFonts w:hint="eastAsia" w:ascii="宋体" w:hAnsi="宋体" w:eastAsia="宋体" w:cs="宋体"/>
          <w:b/>
          <w:sz w:val="44"/>
          <w:szCs w:val="44"/>
          <w:highlight w:val="none"/>
        </w:rPr>
      </w:pPr>
    </w:p>
    <w:p w14:paraId="26AD243B">
      <w:pPr>
        <w:pStyle w:val="92"/>
        <w:jc w:val="center"/>
        <w:rPr>
          <w:rFonts w:hint="eastAsia" w:ascii="宋体" w:hAnsi="宋体" w:eastAsia="宋体" w:cs="宋体"/>
          <w:b/>
          <w:sz w:val="44"/>
          <w:szCs w:val="44"/>
          <w:highlight w:val="none"/>
        </w:rPr>
      </w:pPr>
    </w:p>
    <w:p w14:paraId="4F692865">
      <w:pPr>
        <w:pStyle w:val="92"/>
        <w:jc w:val="center"/>
        <w:rPr>
          <w:rFonts w:hint="eastAsia" w:ascii="宋体" w:hAnsi="宋体" w:eastAsia="宋体" w:cs="宋体"/>
          <w:b/>
          <w:sz w:val="32"/>
          <w:szCs w:val="32"/>
          <w:highlight w:val="none"/>
        </w:rPr>
      </w:pPr>
      <w:r>
        <w:rPr>
          <w:rFonts w:hint="eastAsia" w:ascii="宋体" w:hAnsi="宋体" w:eastAsia="宋体" w:cs="宋体"/>
          <w:b/>
          <w:sz w:val="44"/>
          <w:szCs w:val="44"/>
          <w:highlight w:val="none"/>
        </w:rPr>
        <w:t>国e平台投标文件技术文件</w:t>
      </w:r>
      <w:r>
        <w:rPr>
          <w:rFonts w:hint="eastAsia" w:ascii="宋体" w:hAnsi="宋体" w:eastAsia="宋体" w:cs="宋体"/>
          <w:b/>
          <w:sz w:val="28"/>
          <w:szCs w:val="28"/>
          <w:highlight w:val="none"/>
        </w:rPr>
        <w:br w:type="page"/>
      </w:r>
      <w:r>
        <w:rPr>
          <w:rFonts w:hint="eastAsia" w:ascii="宋体" w:hAnsi="宋体" w:eastAsia="宋体" w:cs="宋体"/>
          <w:b/>
          <w:sz w:val="32"/>
          <w:szCs w:val="32"/>
          <w:highlight w:val="none"/>
        </w:rPr>
        <w:t>四、技术部分</w:t>
      </w:r>
      <w:bookmarkEnd w:id="28"/>
      <w:bookmarkEnd w:id="29"/>
      <w:bookmarkEnd w:id="30"/>
      <w:bookmarkEnd w:id="31"/>
      <w:bookmarkEnd w:id="32"/>
      <w:bookmarkEnd w:id="33"/>
      <w:bookmarkEnd w:id="34"/>
    </w:p>
    <w:p w14:paraId="2580273A">
      <w:pPr>
        <w:rPr>
          <w:rFonts w:hint="eastAsia" w:ascii="宋体" w:hAnsi="宋体" w:eastAsia="宋体" w:cs="宋体"/>
          <w:b/>
          <w:sz w:val="24"/>
          <w:highlight w:val="none"/>
        </w:rPr>
      </w:pPr>
      <w:r>
        <w:rPr>
          <w:rFonts w:hint="eastAsia" w:ascii="宋体" w:hAnsi="宋体" w:eastAsia="宋体" w:cs="宋体"/>
          <w:b/>
          <w:sz w:val="24"/>
          <w:highlight w:val="none"/>
        </w:rPr>
        <w:t>4.</w:t>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技术条款响应表</w:t>
      </w:r>
    </w:p>
    <w:p w14:paraId="05FB78ED">
      <w:pPr>
        <w:pStyle w:val="92"/>
        <w:rPr>
          <w:rFonts w:hint="eastAsia" w:ascii="宋体" w:hAnsi="宋体" w:eastAsia="宋体" w:cs="宋体"/>
          <w:b/>
          <w:szCs w:val="24"/>
          <w:highlight w:val="none"/>
        </w:rPr>
      </w:pPr>
      <w:r>
        <w:rPr>
          <w:rFonts w:hint="eastAsia" w:ascii="宋体" w:hAnsi="宋体" w:eastAsia="宋体" w:cs="宋体"/>
          <w:b/>
          <w:szCs w:val="24"/>
          <w:highlight w:val="none"/>
        </w:rPr>
        <w:t>（1）实质性响应技术条款（“★” 项）响应表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41FD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1221F575">
            <w:pPr>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716" w:type="dxa"/>
            <w:noWrap w:val="0"/>
            <w:vAlign w:val="center"/>
          </w:tcPr>
          <w:p w14:paraId="24AFA42B">
            <w:pPr>
              <w:jc w:val="center"/>
              <w:rPr>
                <w:rFonts w:hint="eastAsia" w:ascii="宋体" w:hAnsi="宋体" w:eastAsia="宋体" w:cs="宋体"/>
                <w:b/>
                <w:szCs w:val="21"/>
                <w:highlight w:val="none"/>
              </w:rPr>
            </w:pPr>
            <w:r>
              <w:rPr>
                <w:rFonts w:hint="eastAsia" w:ascii="宋体" w:hAnsi="宋体" w:eastAsia="宋体" w:cs="宋体"/>
                <w:b/>
                <w:szCs w:val="21"/>
                <w:highlight w:val="none"/>
              </w:rPr>
              <w:t>服务要求</w:t>
            </w:r>
          </w:p>
        </w:tc>
        <w:tc>
          <w:tcPr>
            <w:tcW w:w="3207" w:type="dxa"/>
            <w:noWrap w:val="0"/>
            <w:vAlign w:val="center"/>
          </w:tcPr>
          <w:p w14:paraId="791B6650">
            <w:pPr>
              <w:jc w:val="center"/>
              <w:rPr>
                <w:rFonts w:hint="eastAsia" w:ascii="宋体" w:hAnsi="宋体" w:eastAsia="宋体" w:cs="宋体"/>
                <w:b/>
                <w:szCs w:val="21"/>
                <w:highlight w:val="none"/>
              </w:rPr>
            </w:pPr>
            <w:r>
              <w:rPr>
                <w:rFonts w:hint="eastAsia" w:ascii="宋体" w:hAnsi="宋体" w:eastAsia="宋体" w:cs="宋体"/>
                <w:b/>
                <w:szCs w:val="21"/>
                <w:highlight w:val="none"/>
              </w:rPr>
              <w:t>投标实际参数</w:t>
            </w:r>
          </w:p>
          <w:p w14:paraId="527C369A">
            <w:pPr>
              <w:jc w:val="center"/>
              <w:rPr>
                <w:rFonts w:hint="eastAsia" w:ascii="宋体" w:hAnsi="宋体" w:eastAsia="宋体" w:cs="宋体"/>
                <w:b/>
                <w:szCs w:val="21"/>
                <w:highlight w:val="none"/>
              </w:rPr>
            </w:pPr>
            <w:r>
              <w:rPr>
                <w:rFonts w:hint="eastAsia" w:ascii="宋体" w:hAnsi="宋体" w:eastAsia="宋体" w:cs="宋体"/>
                <w:b/>
                <w:bCs/>
                <w:szCs w:val="21"/>
                <w:highlight w:val="none"/>
              </w:rPr>
              <w:t>(投标人应按投标货物/服务实际数据填写，不能照抄招标要求)</w:t>
            </w:r>
          </w:p>
        </w:tc>
        <w:tc>
          <w:tcPr>
            <w:tcW w:w="1890" w:type="dxa"/>
            <w:noWrap w:val="0"/>
            <w:vAlign w:val="center"/>
          </w:tcPr>
          <w:p w14:paraId="279530AE">
            <w:pPr>
              <w:jc w:val="center"/>
              <w:rPr>
                <w:rFonts w:hint="eastAsia" w:ascii="宋体" w:hAnsi="宋体" w:eastAsia="宋体" w:cs="宋体"/>
                <w:b/>
                <w:szCs w:val="21"/>
                <w:highlight w:val="none"/>
              </w:rPr>
            </w:pPr>
            <w:r>
              <w:rPr>
                <w:rFonts w:hint="eastAsia" w:ascii="宋体" w:hAnsi="宋体" w:eastAsia="宋体" w:cs="宋体"/>
                <w:b/>
                <w:szCs w:val="21"/>
                <w:highlight w:val="none"/>
              </w:rPr>
              <w:t>是否偏离（无偏离/正偏离/负偏离）</w:t>
            </w:r>
          </w:p>
        </w:tc>
        <w:tc>
          <w:tcPr>
            <w:tcW w:w="1157" w:type="dxa"/>
            <w:noWrap w:val="0"/>
            <w:vAlign w:val="center"/>
          </w:tcPr>
          <w:p w14:paraId="62953E43">
            <w:pPr>
              <w:jc w:val="center"/>
              <w:rPr>
                <w:rFonts w:hint="eastAsia" w:ascii="宋体" w:hAnsi="宋体" w:eastAsia="宋体" w:cs="宋体"/>
                <w:b/>
                <w:szCs w:val="21"/>
                <w:highlight w:val="none"/>
              </w:rPr>
            </w:pPr>
            <w:r>
              <w:rPr>
                <w:rFonts w:hint="eastAsia" w:ascii="宋体" w:hAnsi="宋体" w:eastAsia="宋体" w:cs="宋体"/>
                <w:b/>
                <w:szCs w:val="21"/>
                <w:highlight w:val="none"/>
              </w:rPr>
              <w:t>偏离简述</w:t>
            </w:r>
          </w:p>
        </w:tc>
      </w:tr>
      <w:tr w14:paraId="1E03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BCCA397">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716" w:type="dxa"/>
            <w:noWrap w:val="0"/>
            <w:vAlign w:val="top"/>
          </w:tcPr>
          <w:p w14:paraId="4460F955">
            <w:pPr>
              <w:jc w:val="center"/>
              <w:rPr>
                <w:rFonts w:hint="eastAsia" w:ascii="宋体" w:hAnsi="宋体" w:eastAsia="宋体" w:cs="宋体"/>
                <w:szCs w:val="21"/>
                <w:highlight w:val="none"/>
              </w:rPr>
            </w:pPr>
          </w:p>
        </w:tc>
        <w:tc>
          <w:tcPr>
            <w:tcW w:w="3207" w:type="dxa"/>
            <w:noWrap w:val="0"/>
            <w:vAlign w:val="top"/>
          </w:tcPr>
          <w:p w14:paraId="14DF31D8">
            <w:pPr>
              <w:rPr>
                <w:rFonts w:hint="eastAsia" w:ascii="宋体" w:hAnsi="宋体" w:eastAsia="宋体" w:cs="宋体"/>
                <w:szCs w:val="21"/>
                <w:highlight w:val="none"/>
              </w:rPr>
            </w:pPr>
          </w:p>
        </w:tc>
        <w:tc>
          <w:tcPr>
            <w:tcW w:w="1890" w:type="dxa"/>
            <w:noWrap w:val="0"/>
            <w:vAlign w:val="top"/>
          </w:tcPr>
          <w:p w14:paraId="77055311">
            <w:pPr>
              <w:rPr>
                <w:rFonts w:hint="eastAsia" w:ascii="宋体" w:hAnsi="宋体" w:eastAsia="宋体" w:cs="宋体"/>
                <w:szCs w:val="21"/>
                <w:highlight w:val="none"/>
              </w:rPr>
            </w:pPr>
          </w:p>
        </w:tc>
        <w:tc>
          <w:tcPr>
            <w:tcW w:w="1157" w:type="dxa"/>
            <w:noWrap w:val="0"/>
            <w:vAlign w:val="top"/>
          </w:tcPr>
          <w:p w14:paraId="5D3942BC">
            <w:pPr>
              <w:rPr>
                <w:rFonts w:hint="eastAsia" w:ascii="宋体" w:hAnsi="宋体" w:eastAsia="宋体" w:cs="宋体"/>
                <w:szCs w:val="21"/>
                <w:highlight w:val="none"/>
              </w:rPr>
            </w:pPr>
          </w:p>
        </w:tc>
      </w:tr>
      <w:tr w14:paraId="466C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583E296">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716" w:type="dxa"/>
            <w:noWrap w:val="0"/>
            <w:vAlign w:val="top"/>
          </w:tcPr>
          <w:p w14:paraId="41405087">
            <w:pPr>
              <w:jc w:val="center"/>
              <w:rPr>
                <w:rFonts w:hint="eastAsia" w:ascii="宋体" w:hAnsi="宋体" w:eastAsia="宋体" w:cs="宋体"/>
                <w:szCs w:val="21"/>
                <w:highlight w:val="none"/>
              </w:rPr>
            </w:pPr>
          </w:p>
        </w:tc>
        <w:tc>
          <w:tcPr>
            <w:tcW w:w="3207" w:type="dxa"/>
            <w:noWrap w:val="0"/>
            <w:vAlign w:val="top"/>
          </w:tcPr>
          <w:p w14:paraId="42E68501">
            <w:pPr>
              <w:rPr>
                <w:rFonts w:hint="eastAsia" w:ascii="宋体" w:hAnsi="宋体" w:eastAsia="宋体" w:cs="宋体"/>
                <w:szCs w:val="21"/>
                <w:highlight w:val="none"/>
              </w:rPr>
            </w:pPr>
          </w:p>
        </w:tc>
        <w:tc>
          <w:tcPr>
            <w:tcW w:w="1890" w:type="dxa"/>
            <w:noWrap w:val="0"/>
            <w:vAlign w:val="top"/>
          </w:tcPr>
          <w:p w14:paraId="07EDB4C7">
            <w:pPr>
              <w:rPr>
                <w:rFonts w:hint="eastAsia" w:ascii="宋体" w:hAnsi="宋体" w:eastAsia="宋体" w:cs="宋体"/>
                <w:szCs w:val="21"/>
                <w:highlight w:val="none"/>
              </w:rPr>
            </w:pPr>
          </w:p>
        </w:tc>
        <w:tc>
          <w:tcPr>
            <w:tcW w:w="1157" w:type="dxa"/>
            <w:noWrap w:val="0"/>
            <w:vAlign w:val="top"/>
          </w:tcPr>
          <w:p w14:paraId="3E9F4E8B">
            <w:pPr>
              <w:rPr>
                <w:rFonts w:hint="eastAsia" w:ascii="宋体" w:hAnsi="宋体" w:eastAsia="宋体" w:cs="宋体"/>
                <w:szCs w:val="21"/>
                <w:highlight w:val="none"/>
              </w:rPr>
            </w:pPr>
          </w:p>
        </w:tc>
      </w:tr>
      <w:tr w14:paraId="7E37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0751B63">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716" w:type="dxa"/>
            <w:noWrap w:val="0"/>
            <w:vAlign w:val="top"/>
          </w:tcPr>
          <w:p w14:paraId="5143CA0A">
            <w:pPr>
              <w:jc w:val="center"/>
              <w:rPr>
                <w:rFonts w:hint="eastAsia" w:ascii="宋体" w:hAnsi="宋体" w:eastAsia="宋体" w:cs="宋体"/>
                <w:szCs w:val="21"/>
                <w:highlight w:val="none"/>
              </w:rPr>
            </w:pPr>
          </w:p>
        </w:tc>
        <w:tc>
          <w:tcPr>
            <w:tcW w:w="3207" w:type="dxa"/>
            <w:noWrap w:val="0"/>
            <w:vAlign w:val="top"/>
          </w:tcPr>
          <w:p w14:paraId="355B8C80">
            <w:pPr>
              <w:rPr>
                <w:rFonts w:hint="eastAsia" w:ascii="宋体" w:hAnsi="宋体" w:eastAsia="宋体" w:cs="宋体"/>
                <w:szCs w:val="21"/>
                <w:highlight w:val="none"/>
              </w:rPr>
            </w:pPr>
          </w:p>
        </w:tc>
        <w:tc>
          <w:tcPr>
            <w:tcW w:w="1890" w:type="dxa"/>
            <w:noWrap w:val="0"/>
            <w:vAlign w:val="top"/>
          </w:tcPr>
          <w:p w14:paraId="1C8DE420">
            <w:pPr>
              <w:rPr>
                <w:rFonts w:hint="eastAsia" w:ascii="宋体" w:hAnsi="宋体" w:eastAsia="宋体" w:cs="宋体"/>
                <w:szCs w:val="21"/>
                <w:highlight w:val="none"/>
              </w:rPr>
            </w:pPr>
          </w:p>
        </w:tc>
        <w:tc>
          <w:tcPr>
            <w:tcW w:w="1157" w:type="dxa"/>
            <w:noWrap w:val="0"/>
            <w:vAlign w:val="top"/>
          </w:tcPr>
          <w:p w14:paraId="2AACECF1">
            <w:pPr>
              <w:rPr>
                <w:rFonts w:hint="eastAsia" w:ascii="宋体" w:hAnsi="宋体" w:eastAsia="宋体" w:cs="宋体"/>
                <w:szCs w:val="21"/>
                <w:highlight w:val="none"/>
              </w:rPr>
            </w:pPr>
          </w:p>
        </w:tc>
      </w:tr>
      <w:tr w14:paraId="45EA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DBB1932">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716" w:type="dxa"/>
            <w:noWrap w:val="0"/>
            <w:vAlign w:val="top"/>
          </w:tcPr>
          <w:p w14:paraId="49891BF4">
            <w:pPr>
              <w:jc w:val="center"/>
              <w:rPr>
                <w:rFonts w:hint="eastAsia" w:ascii="宋体" w:hAnsi="宋体" w:eastAsia="宋体" w:cs="宋体"/>
                <w:szCs w:val="21"/>
                <w:highlight w:val="none"/>
              </w:rPr>
            </w:pPr>
          </w:p>
        </w:tc>
        <w:tc>
          <w:tcPr>
            <w:tcW w:w="3207" w:type="dxa"/>
            <w:noWrap w:val="0"/>
            <w:vAlign w:val="top"/>
          </w:tcPr>
          <w:p w14:paraId="53A69368">
            <w:pPr>
              <w:rPr>
                <w:rFonts w:hint="eastAsia" w:ascii="宋体" w:hAnsi="宋体" w:eastAsia="宋体" w:cs="宋体"/>
                <w:szCs w:val="21"/>
                <w:highlight w:val="none"/>
              </w:rPr>
            </w:pPr>
          </w:p>
        </w:tc>
        <w:tc>
          <w:tcPr>
            <w:tcW w:w="1890" w:type="dxa"/>
            <w:noWrap w:val="0"/>
            <w:vAlign w:val="top"/>
          </w:tcPr>
          <w:p w14:paraId="61C07C4F">
            <w:pPr>
              <w:rPr>
                <w:rFonts w:hint="eastAsia" w:ascii="宋体" w:hAnsi="宋体" w:eastAsia="宋体" w:cs="宋体"/>
                <w:szCs w:val="21"/>
                <w:highlight w:val="none"/>
              </w:rPr>
            </w:pPr>
          </w:p>
        </w:tc>
        <w:tc>
          <w:tcPr>
            <w:tcW w:w="1157" w:type="dxa"/>
            <w:noWrap w:val="0"/>
            <w:vAlign w:val="top"/>
          </w:tcPr>
          <w:p w14:paraId="0B1230E5">
            <w:pPr>
              <w:rPr>
                <w:rFonts w:hint="eastAsia" w:ascii="宋体" w:hAnsi="宋体" w:eastAsia="宋体" w:cs="宋体"/>
                <w:szCs w:val="21"/>
                <w:highlight w:val="none"/>
              </w:rPr>
            </w:pPr>
          </w:p>
        </w:tc>
      </w:tr>
      <w:tr w14:paraId="2E74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20E6408">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1716" w:type="dxa"/>
            <w:noWrap w:val="0"/>
            <w:vAlign w:val="top"/>
          </w:tcPr>
          <w:p w14:paraId="3ABEC5F0">
            <w:pPr>
              <w:jc w:val="center"/>
              <w:rPr>
                <w:rFonts w:hint="eastAsia" w:ascii="宋体" w:hAnsi="宋体" w:eastAsia="宋体" w:cs="宋体"/>
                <w:szCs w:val="21"/>
                <w:highlight w:val="none"/>
              </w:rPr>
            </w:pPr>
          </w:p>
        </w:tc>
        <w:tc>
          <w:tcPr>
            <w:tcW w:w="3207" w:type="dxa"/>
            <w:noWrap w:val="0"/>
            <w:vAlign w:val="top"/>
          </w:tcPr>
          <w:p w14:paraId="54355F42">
            <w:pPr>
              <w:rPr>
                <w:rFonts w:hint="eastAsia" w:ascii="宋体" w:hAnsi="宋体" w:eastAsia="宋体" w:cs="宋体"/>
                <w:szCs w:val="21"/>
                <w:highlight w:val="none"/>
              </w:rPr>
            </w:pPr>
          </w:p>
        </w:tc>
        <w:tc>
          <w:tcPr>
            <w:tcW w:w="1890" w:type="dxa"/>
            <w:noWrap w:val="0"/>
            <w:vAlign w:val="top"/>
          </w:tcPr>
          <w:p w14:paraId="06F85CD9">
            <w:pPr>
              <w:rPr>
                <w:rFonts w:hint="eastAsia" w:ascii="宋体" w:hAnsi="宋体" w:eastAsia="宋体" w:cs="宋体"/>
                <w:szCs w:val="21"/>
                <w:highlight w:val="none"/>
              </w:rPr>
            </w:pPr>
          </w:p>
        </w:tc>
        <w:tc>
          <w:tcPr>
            <w:tcW w:w="1157" w:type="dxa"/>
            <w:noWrap w:val="0"/>
            <w:vAlign w:val="top"/>
          </w:tcPr>
          <w:p w14:paraId="7C1172AC">
            <w:pPr>
              <w:rPr>
                <w:rFonts w:hint="eastAsia" w:ascii="宋体" w:hAnsi="宋体" w:eastAsia="宋体" w:cs="宋体"/>
                <w:szCs w:val="21"/>
                <w:highlight w:val="none"/>
              </w:rPr>
            </w:pPr>
          </w:p>
        </w:tc>
      </w:tr>
    </w:tbl>
    <w:p w14:paraId="4C19902B">
      <w:pPr>
        <w:ind w:left="2" w:hanging="2"/>
        <w:rPr>
          <w:rFonts w:hint="eastAsia" w:ascii="宋体" w:hAnsi="宋体" w:eastAsia="宋体" w:cs="宋体"/>
          <w:sz w:val="24"/>
          <w:highlight w:val="none"/>
        </w:rPr>
      </w:pPr>
      <w:r>
        <w:rPr>
          <w:rFonts w:hint="eastAsia" w:ascii="宋体" w:hAnsi="宋体" w:eastAsia="宋体" w:cs="宋体"/>
          <w:sz w:val="24"/>
          <w:highlight w:val="none"/>
        </w:rPr>
        <w:t>注：</w:t>
      </w:r>
    </w:p>
    <w:p w14:paraId="5A4CB8FE">
      <w:pPr>
        <w:ind w:left="2" w:leftChars="1" w:firstLine="315" w:firstLineChars="150"/>
        <w:rPr>
          <w:rFonts w:hint="eastAsia" w:ascii="宋体" w:hAnsi="宋体" w:eastAsia="宋体" w:cs="宋体"/>
          <w:szCs w:val="21"/>
          <w:highlight w:val="none"/>
        </w:rPr>
      </w:pPr>
      <w:r>
        <w:rPr>
          <w:rFonts w:hint="eastAsia" w:ascii="宋体" w:hAnsi="宋体" w:eastAsia="宋体" w:cs="宋体"/>
          <w:szCs w:val="21"/>
          <w:highlight w:val="none"/>
        </w:rPr>
        <w:t>1.投标人必须对应招标文件“用户需求书”的“★” 项内容逐条响应。如有缺漏，缺漏项视同不符合招标要求。打“★” 项为不可负偏离(劣于)的重要项。</w:t>
      </w:r>
    </w:p>
    <w:p w14:paraId="2CBE2E0E">
      <w:pPr>
        <w:ind w:left="2" w:leftChars="1" w:firstLine="315" w:firstLineChars="150"/>
        <w:rPr>
          <w:rFonts w:hint="eastAsia" w:ascii="宋体" w:hAnsi="宋体" w:eastAsia="宋体" w:cs="宋体"/>
          <w:szCs w:val="21"/>
          <w:highlight w:val="none"/>
        </w:rPr>
      </w:pPr>
      <w:r>
        <w:rPr>
          <w:rFonts w:hint="eastAsia" w:ascii="宋体" w:hAnsi="宋体" w:eastAsia="宋体" w:cs="宋体"/>
          <w:szCs w:val="21"/>
          <w:highlight w:val="none"/>
        </w:rPr>
        <w:t>2.投标人响应招标需求应具体、明确，含糊不清、不确切或伪造、变造证明材料的，按照不完全响应或者完全不响应处理。构成提供虚假材料的，移送监管部门查处。</w:t>
      </w:r>
    </w:p>
    <w:p w14:paraId="13795E9E">
      <w:pPr>
        <w:ind w:left="2" w:leftChars="1" w:firstLine="315" w:firstLineChars="150"/>
        <w:rPr>
          <w:rFonts w:hint="eastAsia" w:ascii="宋体" w:hAnsi="宋体" w:eastAsia="宋体" w:cs="宋体"/>
          <w:szCs w:val="21"/>
          <w:highlight w:val="none"/>
        </w:rPr>
      </w:pPr>
      <w:r>
        <w:rPr>
          <w:rFonts w:hint="eastAsia" w:ascii="宋体" w:hAnsi="宋体" w:eastAsia="宋体" w:cs="宋体"/>
          <w:szCs w:val="21"/>
          <w:highlight w:val="none"/>
        </w:rPr>
        <w:t>3.本表内容不得擅自修改。</w:t>
      </w:r>
    </w:p>
    <w:p w14:paraId="6A503428">
      <w:pPr>
        <w:ind w:firstLine="315" w:firstLineChars="150"/>
        <w:rPr>
          <w:rFonts w:hint="eastAsia" w:ascii="宋体" w:hAnsi="宋体" w:eastAsia="宋体" w:cs="宋体"/>
          <w:szCs w:val="21"/>
          <w:highlight w:val="none"/>
        </w:rPr>
      </w:pPr>
      <w:r>
        <w:rPr>
          <w:rFonts w:hint="eastAsia" w:ascii="宋体" w:hAnsi="宋体" w:eastAsia="宋体" w:cs="宋体"/>
          <w:szCs w:val="21"/>
          <w:highlight w:val="none"/>
        </w:rPr>
        <w:t>4.当招标文件中未设置“★”项技术条款时，应在此表中直接填写：本项目未设置“★”项技术条款。</w:t>
      </w:r>
    </w:p>
    <w:p w14:paraId="7CB8854C">
      <w:pPr>
        <w:adjustRightInd w:val="0"/>
        <w:snapToGrid w:val="0"/>
        <w:spacing w:line="300" w:lineRule="auto"/>
        <w:ind w:firstLine="537" w:firstLineChars="224"/>
        <w:rPr>
          <w:rFonts w:hint="eastAsia" w:ascii="宋体" w:hAnsi="宋体" w:eastAsia="宋体" w:cs="宋体"/>
          <w:sz w:val="24"/>
          <w:highlight w:val="none"/>
        </w:rPr>
      </w:pPr>
      <w:r>
        <w:rPr>
          <w:rFonts w:hint="eastAsia" w:ascii="宋体" w:hAnsi="宋体" w:eastAsia="宋体" w:cs="宋体"/>
          <w:sz w:val="24"/>
          <w:highlight w:val="none"/>
        </w:rPr>
        <w:t>投标人法定代表人（或法定代表人授权代表）签字：</w:t>
      </w:r>
    </w:p>
    <w:p w14:paraId="05D470EE">
      <w:pPr>
        <w:adjustRightInd w:val="0"/>
        <w:snapToGrid w:val="0"/>
        <w:spacing w:line="300" w:lineRule="auto"/>
        <w:ind w:firstLine="537" w:firstLineChars="224"/>
        <w:rPr>
          <w:rFonts w:hint="eastAsia" w:ascii="宋体" w:hAnsi="宋体" w:eastAsia="宋体" w:cs="宋体"/>
          <w:sz w:val="24"/>
          <w:highlight w:val="none"/>
          <w:u w:val="single"/>
        </w:rPr>
      </w:pPr>
      <w:r>
        <w:rPr>
          <w:rFonts w:hint="eastAsia" w:ascii="宋体" w:hAnsi="宋体" w:eastAsia="宋体" w:cs="宋体"/>
          <w:sz w:val="24"/>
          <w:highlight w:val="none"/>
        </w:rPr>
        <w:t>投标人名称（加盖公章）：</w:t>
      </w:r>
    </w:p>
    <w:p w14:paraId="00043736">
      <w:pPr>
        <w:ind w:left="2" w:firstLine="537" w:firstLineChars="224"/>
        <w:rPr>
          <w:rFonts w:hint="eastAsia" w:ascii="宋体" w:hAnsi="宋体" w:eastAsia="宋体" w:cs="宋体"/>
          <w:sz w:val="24"/>
          <w:highlight w:val="none"/>
        </w:rPr>
      </w:pPr>
      <w:r>
        <w:rPr>
          <w:rFonts w:hint="eastAsia" w:ascii="宋体" w:hAnsi="宋体" w:eastAsia="宋体" w:cs="宋体"/>
          <w:sz w:val="24"/>
          <w:highlight w:val="none"/>
        </w:rPr>
        <w:t>日期：   年   月   日</w:t>
      </w:r>
    </w:p>
    <w:p w14:paraId="3ED0DFDA">
      <w:pPr>
        <w:pStyle w:val="92"/>
        <w:rPr>
          <w:rFonts w:hint="eastAsia" w:ascii="宋体" w:hAnsi="宋体" w:eastAsia="宋体" w:cs="宋体"/>
          <w:b/>
          <w:szCs w:val="24"/>
          <w:highlight w:val="none"/>
        </w:rPr>
      </w:pPr>
      <w:r>
        <w:rPr>
          <w:rFonts w:hint="eastAsia" w:ascii="宋体" w:hAnsi="宋体" w:eastAsia="宋体" w:cs="宋体"/>
          <w:b/>
          <w:szCs w:val="24"/>
          <w:highlight w:val="none"/>
        </w:rPr>
        <w:br w:type="page"/>
      </w:r>
      <w:r>
        <w:rPr>
          <w:rFonts w:hint="eastAsia" w:ascii="宋体" w:hAnsi="宋体" w:eastAsia="宋体" w:cs="宋体"/>
          <w:b/>
          <w:szCs w:val="24"/>
          <w:highlight w:val="none"/>
        </w:rPr>
        <w:t>（2）非实质性技术条款响应表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070E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744D7F31">
            <w:pPr>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1716" w:type="dxa"/>
            <w:noWrap w:val="0"/>
            <w:vAlign w:val="center"/>
          </w:tcPr>
          <w:p w14:paraId="69A81CE7">
            <w:pPr>
              <w:jc w:val="center"/>
              <w:rPr>
                <w:rFonts w:hint="eastAsia" w:ascii="宋体" w:hAnsi="宋体" w:eastAsia="宋体" w:cs="宋体"/>
                <w:b/>
                <w:szCs w:val="21"/>
                <w:highlight w:val="none"/>
              </w:rPr>
            </w:pPr>
            <w:r>
              <w:rPr>
                <w:rFonts w:hint="eastAsia" w:ascii="宋体" w:hAnsi="宋体" w:eastAsia="宋体" w:cs="宋体"/>
                <w:b/>
                <w:szCs w:val="21"/>
                <w:highlight w:val="none"/>
              </w:rPr>
              <w:t>服务要求</w:t>
            </w:r>
          </w:p>
        </w:tc>
        <w:tc>
          <w:tcPr>
            <w:tcW w:w="3207" w:type="dxa"/>
            <w:noWrap w:val="0"/>
            <w:vAlign w:val="center"/>
          </w:tcPr>
          <w:p w14:paraId="17526814">
            <w:pPr>
              <w:jc w:val="center"/>
              <w:rPr>
                <w:rFonts w:hint="eastAsia" w:ascii="宋体" w:hAnsi="宋体" w:eastAsia="宋体" w:cs="宋体"/>
                <w:b/>
                <w:szCs w:val="21"/>
                <w:highlight w:val="none"/>
              </w:rPr>
            </w:pPr>
            <w:r>
              <w:rPr>
                <w:rFonts w:hint="eastAsia" w:ascii="宋体" w:hAnsi="宋体" w:eastAsia="宋体" w:cs="宋体"/>
                <w:b/>
                <w:szCs w:val="21"/>
                <w:highlight w:val="none"/>
              </w:rPr>
              <w:t>投标实际参数</w:t>
            </w:r>
          </w:p>
          <w:p w14:paraId="19F878B0">
            <w:pPr>
              <w:jc w:val="center"/>
              <w:rPr>
                <w:rFonts w:hint="eastAsia" w:ascii="宋体" w:hAnsi="宋体" w:eastAsia="宋体" w:cs="宋体"/>
                <w:b/>
                <w:szCs w:val="21"/>
                <w:highlight w:val="none"/>
              </w:rPr>
            </w:pPr>
            <w:r>
              <w:rPr>
                <w:rFonts w:hint="eastAsia" w:ascii="宋体" w:hAnsi="宋体" w:eastAsia="宋体" w:cs="宋体"/>
                <w:b/>
                <w:bCs/>
                <w:szCs w:val="21"/>
                <w:highlight w:val="none"/>
              </w:rPr>
              <w:t>(投标人应按投标货物/服务实际数据填写，不能照抄招标要求)</w:t>
            </w:r>
          </w:p>
        </w:tc>
        <w:tc>
          <w:tcPr>
            <w:tcW w:w="1890" w:type="dxa"/>
            <w:noWrap w:val="0"/>
            <w:vAlign w:val="center"/>
          </w:tcPr>
          <w:p w14:paraId="18ADC568">
            <w:pPr>
              <w:jc w:val="center"/>
              <w:rPr>
                <w:rFonts w:hint="eastAsia" w:ascii="宋体" w:hAnsi="宋体" w:eastAsia="宋体" w:cs="宋体"/>
                <w:b/>
                <w:szCs w:val="21"/>
                <w:highlight w:val="none"/>
              </w:rPr>
            </w:pPr>
            <w:r>
              <w:rPr>
                <w:rFonts w:hint="eastAsia" w:ascii="宋体" w:hAnsi="宋体" w:eastAsia="宋体" w:cs="宋体"/>
                <w:b/>
                <w:szCs w:val="21"/>
                <w:highlight w:val="none"/>
              </w:rPr>
              <w:t>是否偏离（无偏离/正偏离/负偏离）</w:t>
            </w:r>
          </w:p>
        </w:tc>
        <w:tc>
          <w:tcPr>
            <w:tcW w:w="1157" w:type="dxa"/>
            <w:noWrap w:val="0"/>
            <w:vAlign w:val="center"/>
          </w:tcPr>
          <w:p w14:paraId="7443CB6E">
            <w:pPr>
              <w:jc w:val="center"/>
              <w:rPr>
                <w:rFonts w:hint="eastAsia" w:ascii="宋体" w:hAnsi="宋体" w:eastAsia="宋体" w:cs="宋体"/>
                <w:b/>
                <w:szCs w:val="21"/>
                <w:highlight w:val="none"/>
              </w:rPr>
            </w:pPr>
            <w:r>
              <w:rPr>
                <w:rFonts w:hint="eastAsia" w:ascii="宋体" w:hAnsi="宋体" w:eastAsia="宋体" w:cs="宋体"/>
                <w:b/>
                <w:szCs w:val="21"/>
                <w:highlight w:val="none"/>
              </w:rPr>
              <w:t>偏离简述</w:t>
            </w:r>
          </w:p>
        </w:tc>
      </w:tr>
      <w:tr w14:paraId="4F02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7501FF98">
            <w:pPr>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716" w:type="dxa"/>
            <w:noWrap w:val="0"/>
            <w:vAlign w:val="top"/>
          </w:tcPr>
          <w:p w14:paraId="34C4065F">
            <w:pPr>
              <w:jc w:val="center"/>
              <w:rPr>
                <w:rFonts w:hint="eastAsia" w:ascii="宋体" w:hAnsi="宋体" w:eastAsia="宋体" w:cs="宋体"/>
                <w:szCs w:val="21"/>
                <w:highlight w:val="none"/>
              </w:rPr>
            </w:pPr>
          </w:p>
        </w:tc>
        <w:tc>
          <w:tcPr>
            <w:tcW w:w="3207" w:type="dxa"/>
            <w:noWrap w:val="0"/>
            <w:vAlign w:val="top"/>
          </w:tcPr>
          <w:p w14:paraId="1DC432E1">
            <w:pPr>
              <w:rPr>
                <w:rFonts w:hint="eastAsia" w:ascii="宋体" w:hAnsi="宋体" w:eastAsia="宋体" w:cs="宋体"/>
                <w:szCs w:val="21"/>
                <w:highlight w:val="none"/>
              </w:rPr>
            </w:pPr>
          </w:p>
        </w:tc>
        <w:tc>
          <w:tcPr>
            <w:tcW w:w="1890" w:type="dxa"/>
            <w:noWrap w:val="0"/>
            <w:vAlign w:val="top"/>
          </w:tcPr>
          <w:p w14:paraId="2A09CB09">
            <w:pPr>
              <w:rPr>
                <w:rFonts w:hint="eastAsia" w:ascii="宋体" w:hAnsi="宋体" w:eastAsia="宋体" w:cs="宋体"/>
                <w:szCs w:val="21"/>
                <w:highlight w:val="none"/>
              </w:rPr>
            </w:pPr>
          </w:p>
        </w:tc>
        <w:tc>
          <w:tcPr>
            <w:tcW w:w="1157" w:type="dxa"/>
            <w:noWrap w:val="0"/>
            <w:vAlign w:val="top"/>
          </w:tcPr>
          <w:p w14:paraId="368100F2">
            <w:pPr>
              <w:rPr>
                <w:rFonts w:hint="eastAsia" w:ascii="宋体" w:hAnsi="宋体" w:eastAsia="宋体" w:cs="宋体"/>
                <w:szCs w:val="21"/>
                <w:highlight w:val="none"/>
              </w:rPr>
            </w:pPr>
          </w:p>
        </w:tc>
      </w:tr>
      <w:tr w14:paraId="592F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8B8743C">
            <w:pPr>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716" w:type="dxa"/>
            <w:noWrap w:val="0"/>
            <w:vAlign w:val="top"/>
          </w:tcPr>
          <w:p w14:paraId="7085FB5D">
            <w:pPr>
              <w:jc w:val="center"/>
              <w:rPr>
                <w:rFonts w:hint="eastAsia" w:ascii="宋体" w:hAnsi="宋体" w:eastAsia="宋体" w:cs="宋体"/>
                <w:szCs w:val="21"/>
                <w:highlight w:val="none"/>
              </w:rPr>
            </w:pPr>
          </w:p>
        </w:tc>
        <w:tc>
          <w:tcPr>
            <w:tcW w:w="3207" w:type="dxa"/>
            <w:noWrap w:val="0"/>
            <w:vAlign w:val="top"/>
          </w:tcPr>
          <w:p w14:paraId="1CD1CD62">
            <w:pPr>
              <w:rPr>
                <w:rFonts w:hint="eastAsia" w:ascii="宋体" w:hAnsi="宋体" w:eastAsia="宋体" w:cs="宋体"/>
                <w:szCs w:val="21"/>
                <w:highlight w:val="none"/>
              </w:rPr>
            </w:pPr>
          </w:p>
        </w:tc>
        <w:tc>
          <w:tcPr>
            <w:tcW w:w="1890" w:type="dxa"/>
            <w:noWrap w:val="0"/>
            <w:vAlign w:val="top"/>
          </w:tcPr>
          <w:p w14:paraId="3ED78A02">
            <w:pPr>
              <w:rPr>
                <w:rFonts w:hint="eastAsia" w:ascii="宋体" w:hAnsi="宋体" w:eastAsia="宋体" w:cs="宋体"/>
                <w:szCs w:val="21"/>
                <w:highlight w:val="none"/>
              </w:rPr>
            </w:pPr>
          </w:p>
        </w:tc>
        <w:tc>
          <w:tcPr>
            <w:tcW w:w="1157" w:type="dxa"/>
            <w:noWrap w:val="0"/>
            <w:vAlign w:val="top"/>
          </w:tcPr>
          <w:p w14:paraId="18FD0487">
            <w:pPr>
              <w:rPr>
                <w:rFonts w:hint="eastAsia" w:ascii="宋体" w:hAnsi="宋体" w:eastAsia="宋体" w:cs="宋体"/>
                <w:szCs w:val="21"/>
                <w:highlight w:val="none"/>
              </w:rPr>
            </w:pPr>
          </w:p>
        </w:tc>
      </w:tr>
      <w:tr w14:paraId="398C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7A6681F">
            <w:pPr>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716" w:type="dxa"/>
            <w:noWrap w:val="0"/>
            <w:vAlign w:val="top"/>
          </w:tcPr>
          <w:p w14:paraId="182572F3">
            <w:pPr>
              <w:jc w:val="center"/>
              <w:rPr>
                <w:rFonts w:hint="eastAsia" w:ascii="宋体" w:hAnsi="宋体" w:eastAsia="宋体" w:cs="宋体"/>
                <w:szCs w:val="21"/>
                <w:highlight w:val="none"/>
              </w:rPr>
            </w:pPr>
          </w:p>
        </w:tc>
        <w:tc>
          <w:tcPr>
            <w:tcW w:w="3207" w:type="dxa"/>
            <w:noWrap w:val="0"/>
            <w:vAlign w:val="top"/>
          </w:tcPr>
          <w:p w14:paraId="55F70272">
            <w:pPr>
              <w:rPr>
                <w:rFonts w:hint="eastAsia" w:ascii="宋体" w:hAnsi="宋体" w:eastAsia="宋体" w:cs="宋体"/>
                <w:szCs w:val="21"/>
                <w:highlight w:val="none"/>
              </w:rPr>
            </w:pPr>
          </w:p>
        </w:tc>
        <w:tc>
          <w:tcPr>
            <w:tcW w:w="1890" w:type="dxa"/>
            <w:noWrap w:val="0"/>
            <w:vAlign w:val="top"/>
          </w:tcPr>
          <w:p w14:paraId="4324904F">
            <w:pPr>
              <w:rPr>
                <w:rFonts w:hint="eastAsia" w:ascii="宋体" w:hAnsi="宋体" w:eastAsia="宋体" w:cs="宋体"/>
                <w:szCs w:val="21"/>
                <w:highlight w:val="none"/>
              </w:rPr>
            </w:pPr>
          </w:p>
        </w:tc>
        <w:tc>
          <w:tcPr>
            <w:tcW w:w="1157" w:type="dxa"/>
            <w:noWrap w:val="0"/>
            <w:vAlign w:val="top"/>
          </w:tcPr>
          <w:p w14:paraId="60BC2A63">
            <w:pPr>
              <w:rPr>
                <w:rFonts w:hint="eastAsia" w:ascii="宋体" w:hAnsi="宋体" w:eastAsia="宋体" w:cs="宋体"/>
                <w:szCs w:val="21"/>
                <w:highlight w:val="none"/>
              </w:rPr>
            </w:pPr>
          </w:p>
        </w:tc>
      </w:tr>
      <w:tr w14:paraId="74C3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493C7DDC">
            <w:pPr>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716" w:type="dxa"/>
            <w:noWrap w:val="0"/>
            <w:vAlign w:val="top"/>
          </w:tcPr>
          <w:p w14:paraId="70DD278A">
            <w:pPr>
              <w:jc w:val="center"/>
              <w:rPr>
                <w:rFonts w:hint="eastAsia" w:ascii="宋体" w:hAnsi="宋体" w:eastAsia="宋体" w:cs="宋体"/>
                <w:szCs w:val="21"/>
                <w:highlight w:val="none"/>
              </w:rPr>
            </w:pPr>
          </w:p>
        </w:tc>
        <w:tc>
          <w:tcPr>
            <w:tcW w:w="3207" w:type="dxa"/>
            <w:noWrap w:val="0"/>
            <w:vAlign w:val="top"/>
          </w:tcPr>
          <w:p w14:paraId="6A16F5DA">
            <w:pPr>
              <w:rPr>
                <w:rFonts w:hint="eastAsia" w:ascii="宋体" w:hAnsi="宋体" w:eastAsia="宋体" w:cs="宋体"/>
                <w:szCs w:val="21"/>
                <w:highlight w:val="none"/>
              </w:rPr>
            </w:pPr>
          </w:p>
        </w:tc>
        <w:tc>
          <w:tcPr>
            <w:tcW w:w="1890" w:type="dxa"/>
            <w:noWrap w:val="0"/>
            <w:vAlign w:val="top"/>
          </w:tcPr>
          <w:p w14:paraId="1A5A386D">
            <w:pPr>
              <w:rPr>
                <w:rFonts w:hint="eastAsia" w:ascii="宋体" w:hAnsi="宋体" w:eastAsia="宋体" w:cs="宋体"/>
                <w:szCs w:val="21"/>
                <w:highlight w:val="none"/>
              </w:rPr>
            </w:pPr>
          </w:p>
        </w:tc>
        <w:tc>
          <w:tcPr>
            <w:tcW w:w="1157" w:type="dxa"/>
            <w:noWrap w:val="0"/>
            <w:vAlign w:val="top"/>
          </w:tcPr>
          <w:p w14:paraId="021A944B">
            <w:pPr>
              <w:rPr>
                <w:rFonts w:hint="eastAsia" w:ascii="宋体" w:hAnsi="宋体" w:eastAsia="宋体" w:cs="宋体"/>
                <w:szCs w:val="21"/>
                <w:highlight w:val="none"/>
              </w:rPr>
            </w:pPr>
          </w:p>
        </w:tc>
      </w:tr>
      <w:tr w14:paraId="4F9B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1A13EB7">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1716" w:type="dxa"/>
            <w:noWrap w:val="0"/>
            <w:vAlign w:val="top"/>
          </w:tcPr>
          <w:p w14:paraId="45E91CDC">
            <w:pPr>
              <w:jc w:val="center"/>
              <w:rPr>
                <w:rFonts w:hint="eastAsia" w:ascii="宋体" w:hAnsi="宋体" w:eastAsia="宋体" w:cs="宋体"/>
                <w:szCs w:val="21"/>
                <w:highlight w:val="none"/>
              </w:rPr>
            </w:pPr>
          </w:p>
        </w:tc>
        <w:tc>
          <w:tcPr>
            <w:tcW w:w="3207" w:type="dxa"/>
            <w:noWrap w:val="0"/>
            <w:vAlign w:val="top"/>
          </w:tcPr>
          <w:p w14:paraId="75474152">
            <w:pPr>
              <w:rPr>
                <w:rFonts w:hint="eastAsia" w:ascii="宋体" w:hAnsi="宋体" w:eastAsia="宋体" w:cs="宋体"/>
                <w:szCs w:val="21"/>
                <w:highlight w:val="none"/>
              </w:rPr>
            </w:pPr>
          </w:p>
        </w:tc>
        <w:tc>
          <w:tcPr>
            <w:tcW w:w="1890" w:type="dxa"/>
            <w:noWrap w:val="0"/>
            <w:vAlign w:val="top"/>
          </w:tcPr>
          <w:p w14:paraId="77482010">
            <w:pPr>
              <w:rPr>
                <w:rFonts w:hint="eastAsia" w:ascii="宋体" w:hAnsi="宋体" w:eastAsia="宋体" w:cs="宋体"/>
                <w:szCs w:val="21"/>
                <w:highlight w:val="none"/>
              </w:rPr>
            </w:pPr>
          </w:p>
        </w:tc>
        <w:tc>
          <w:tcPr>
            <w:tcW w:w="1157" w:type="dxa"/>
            <w:noWrap w:val="0"/>
            <w:vAlign w:val="top"/>
          </w:tcPr>
          <w:p w14:paraId="064E4C4E">
            <w:pPr>
              <w:rPr>
                <w:rFonts w:hint="eastAsia" w:ascii="宋体" w:hAnsi="宋体" w:eastAsia="宋体" w:cs="宋体"/>
                <w:szCs w:val="21"/>
                <w:highlight w:val="none"/>
              </w:rPr>
            </w:pPr>
          </w:p>
        </w:tc>
      </w:tr>
    </w:tbl>
    <w:p w14:paraId="526D5BDB">
      <w:pPr>
        <w:rPr>
          <w:rFonts w:hint="eastAsia" w:ascii="宋体" w:hAnsi="宋体" w:eastAsia="宋体" w:cs="宋体"/>
          <w:szCs w:val="21"/>
          <w:highlight w:val="none"/>
        </w:rPr>
      </w:pPr>
    </w:p>
    <w:p w14:paraId="6217C75D">
      <w:pPr>
        <w:rPr>
          <w:rFonts w:hint="eastAsia" w:ascii="宋体" w:hAnsi="宋体" w:eastAsia="宋体" w:cs="宋体"/>
          <w:sz w:val="24"/>
          <w:highlight w:val="none"/>
        </w:rPr>
      </w:pPr>
      <w:r>
        <w:rPr>
          <w:rFonts w:hint="eastAsia" w:ascii="宋体" w:hAnsi="宋体" w:eastAsia="宋体" w:cs="宋体"/>
          <w:sz w:val="24"/>
          <w:highlight w:val="none"/>
        </w:rPr>
        <w:t>注：</w:t>
      </w:r>
    </w:p>
    <w:p w14:paraId="4B4A39FF">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1.投标人必须对应招标文件“用户需求书”的内容逐条响应。如有缺漏，缺漏项视同不符合招标要求。</w:t>
      </w:r>
    </w:p>
    <w:p w14:paraId="50247115">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2.投标人响应招标需求应具体、明确，含糊不清、不确切或伪造、变造证明材料的，按照不完全响应或者完全不响应处理。构成提供虚假材料的，移送监管部门查处。</w:t>
      </w:r>
    </w:p>
    <w:p w14:paraId="1FB02077">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3.本表内容不得擅自修改。</w:t>
      </w:r>
    </w:p>
    <w:p w14:paraId="125BD4DD">
      <w:pPr>
        <w:adjustRightInd w:val="0"/>
        <w:snapToGrid w:val="0"/>
        <w:rPr>
          <w:rFonts w:hint="eastAsia" w:ascii="宋体" w:hAnsi="宋体" w:eastAsia="宋体" w:cs="宋体"/>
          <w:sz w:val="24"/>
          <w:highlight w:val="none"/>
        </w:rPr>
      </w:pPr>
    </w:p>
    <w:p w14:paraId="4ED7C35C">
      <w:pPr>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投标人法定代表人（或法定代表人授权代表）签字：</w:t>
      </w:r>
    </w:p>
    <w:p w14:paraId="6A07B70B">
      <w:pPr>
        <w:adjustRightInd w:val="0"/>
        <w:snapToGrid w:val="0"/>
        <w:rPr>
          <w:rFonts w:hint="eastAsia" w:ascii="宋体" w:hAnsi="宋体" w:eastAsia="宋体" w:cs="宋体"/>
          <w:sz w:val="24"/>
          <w:highlight w:val="none"/>
          <w:u w:val="single"/>
        </w:rPr>
      </w:pPr>
      <w:r>
        <w:rPr>
          <w:rFonts w:hint="eastAsia" w:ascii="宋体" w:hAnsi="宋体" w:eastAsia="宋体" w:cs="宋体"/>
          <w:sz w:val="24"/>
          <w:highlight w:val="none"/>
        </w:rPr>
        <w:t>投标人名称（加盖公章）：</w:t>
      </w:r>
    </w:p>
    <w:p w14:paraId="28F13102">
      <w:pPr>
        <w:rPr>
          <w:rFonts w:hint="eastAsia" w:ascii="宋体" w:hAnsi="宋体" w:eastAsia="宋体" w:cs="宋体"/>
          <w:sz w:val="24"/>
          <w:highlight w:val="none"/>
        </w:rPr>
      </w:pPr>
      <w:r>
        <w:rPr>
          <w:rFonts w:hint="eastAsia" w:ascii="宋体" w:hAnsi="宋体" w:eastAsia="宋体" w:cs="宋体"/>
          <w:sz w:val="24"/>
          <w:highlight w:val="none"/>
        </w:rPr>
        <w:t>日期：   年   月   日</w:t>
      </w:r>
    </w:p>
    <w:p w14:paraId="3E07937D">
      <w:pPr>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4.</w:t>
      </w:r>
      <w:r>
        <w:rPr>
          <w:rFonts w:hint="eastAsia" w:ascii="宋体" w:hAnsi="宋体" w:cs="宋体"/>
          <w:b/>
          <w:sz w:val="24"/>
          <w:highlight w:val="none"/>
          <w:lang w:val="en-US" w:eastAsia="zh-CN"/>
        </w:rPr>
        <w:t>2</w:t>
      </w:r>
      <w:r>
        <w:rPr>
          <w:rFonts w:hint="eastAsia" w:ascii="宋体" w:hAnsi="宋体" w:eastAsia="宋体" w:cs="宋体"/>
          <w:b/>
          <w:sz w:val="24"/>
          <w:highlight w:val="none"/>
          <w:lang w:val="en-US" w:eastAsia="zh-CN"/>
        </w:rPr>
        <w:t>服务</w:t>
      </w:r>
      <w:r>
        <w:rPr>
          <w:rFonts w:hint="eastAsia" w:ascii="宋体" w:hAnsi="宋体" w:eastAsia="宋体" w:cs="宋体"/>
          <w:b/>
          <w:sz w:val="24"/>
          <w:highlight w:val="none"/>
        </w:rPr>
        <w:t>方案</w:t>
      </w:r>
    </w:p>
    <w:p w14:paraId="2D420AFB">
      <w:pPr>
        <w:ind w:left="62" w:firstLine="480" w:firstLineChars="200"/>
        <w:rPr>
          <w:rFonts w:hint="eastAsia" w:ascii="宋体" w:hAnsi="宋体" w:eastAsia="宋体" w:cs="宋体"/>
          <w:sz w:val="24"/>
          <w:highlight w:val="none"/>
          <w:lang w:val="en-US" w:eastAsia="zh-CN"/>
        </w:rPr>
      </w:pPr>
    </w:p>
    <w:p w14:paraId="7AB79D12">
      <w:pPr>
        <w:ind w:left="62"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投标人应按招标文件要求的内容和顺序，对完成整个项目提出相应的服务方案。对含糊不清或欠具体明确之处，评委会可视为投标人履约能力不足或响应不全处理。服务方案的内容应包括：</w:t>
      </w:r>
    </w:p>
    <w:p w14:paraId="6CD46D7A">
      <w:pPr>
        <w:ind w:left="62"/>
        <w:rPr>
          <w:rFonts w:hint="eastAsia" w:ascii="宋体" w:hAnsi="宋体" w:eastAsia="宋体" w:cs="宋体"/>
          <w:sz w:val="24"/>
          <w:highlight w:val="none"/>
          <w:lang w:val="en-US" w:eastAsia="zh-CN"/>
        </w:rPr>
      </w:pPr>
    </w:p>
    <w:p w14:paraId="04A3268C">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1）对项目的理解（项目概述、目标、服务范围、用户的义务及配合条件）</w:t>
      </w:r>
    </w:p>
    <w:p w14:paraId="418E3546">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2）针对本项目的组织实施方案</w:t>
      </w:r>
    </w:p>
    <w:p w14:paraId="47920E1F">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3）进度计划和保证项目完成的具体措施</w:t>
      </w:r>
    </w:p>
    <w:p w14:paraId="2123CF3A">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4）项目整体验收计划</w:t>
      </w:r>
    </w:p>
    <w:p w14:paraId="07471489">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5）培训计划</w:t>
      </w:r>
    </w:p>
    <w:p w14:paraId="04627A50">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6）投标人认为必要的其它内容。</w:t>
      </w:r>
    </w:p>
    <w:p w14:paraId="36E2C628">
      <w:pPr>
        <w:ind w:left="62"/>
        <w:rPr>
          <w:rFonts w:hint="eastAsia" w:ascii="宋体" w:hAnsi="宋体" w:eastAsia="宋体" w:cs="宋体"/>
          <w:sz w:val="24"/>
          <w:highlight w:val="none"/>
          <w:lang w:val="en-US" w:eastAsia="zh-CN"/>
        </w:rPr>
      </w:pPr>
    </w:p>
    <w:p w14:paraId="4A5BD288">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投标人法定代表人（或法定代表人授权代表）签字：</w:t>
      </w:r>
    </w:p>
    <w:p w14:paraId="46AF3977">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投标人名称（加盖公章）：</w:t>
      </w:r>
    </w:p>
    <w:p w14:paraId="2D3A95A3">
      <w:pPr>
        <w:ind w:left="62"/>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日期：年月日</w:t>
      </w:r>
    </w:p>
    <w:p w14:paraId="7A6318C8">
      <w:pPr>
        <w:ind w:left="62"/>
        <w:rPr>
          <w:rFonts w:hint="eastAsia" w:ascii="宋体" w:hAnsi="宋体" w:eastAsia="宋体" w:cs="宋体"/>
          <w:bCs/>
          <w:sz w:val="24"/>
          <w:highlight w:val="none"/>
          <w:lang w:val="en-GB"/>
        </w:rPr>
      </w:pPr>
    </w:p>
    <w:p w14:paraId="3AF50502">
      <w:pPr>
        <w:ind w:left="62"/>
        <w:rPr>
          <w:rFonts w:hint="eastAsia" w:ascii="宋体" w:hAnsi="宋体" w:eastAsia="宋体" w:cs="宋体"/>
          <w:bCs/>
          <w:sz w:val="24"/>
          <w:highlight w:val="none"/>
          <w:lang w:val="en-GB"/>
        </w:rPr>
      </w:pPr>
    </w:p>
    <w:p w14:paraId="2D254506">
      <w:pP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br w:type="page"/>
      </w:r>
    </w:p>
    <w:p w14:paraId="6F1211C5">
      <w:pPr>
        <w:tabs>
          <w:tab w:val="left" w:pos="540"/>
        </w:tabs>
        <w:rPr>
          <w:rFonts w:hint="eastAsia" w:ascii="宋体" w:hAnsi="宋体" w:eastAsia="宋体" w:cs="宋体"/>
          <w:b/>
          <w:sz w:val="24"/>
          <w:highlight w:val="none"/>
        </w:rPr>
      </w:pPr>
      <w:r>
        <w:rPr>
          <w:rFonts w:hint="eastAsia" w:ascii="宋体" w:hAnsi="宋体" w:eastAsia="宋体" w:cs="宋体"/>
          <w:b/>
          <w:sz w:val="24"/>
          <w:highlight w:val="none"/>
          <w:lang w:val="en-US" w:eastAsia="zh-CN"/>
        </w:rPr>
        <w:t>4.</w:t>
      </w:r>
      <w:r>
        <w:rPr>
          <w:rFonts w:hint="eastAsia" w:ascii="宋体" w:hAnsi="宋体" w:cs="宋体"/>
          <w:b/>
          <w:sz w:val="24"/>
          <w:highlight w:val="none"/>
          <w:lang w:val="en-US" w:eastAsia="zh-CN"/>
        </w:rPr>
        <w:t>3</w:t>
      </w:r>
      <w:r>
        <w:rPr>
          <w:rFonts w:hint="eastAsia" w:ascii="宋体" w:hAnsi="宋体" w:eastAsia="宋体" w:cs="宋体"/>
          <w:b/>
          <w:sz w:val="24"/>
          <w:highlight w:val="none"/>
        </w:rPr>
        <w:t>拟任执行管理及技术人员情况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36"/>
        <w:gridCol w:w="897"/>
        <w:gridCol w:w="2610"/>
        <w:gridCol w:w="719"/>
        <w:gridCol w:w="719"/>
        <w:gridCol w:w="1615"/>
      </w:tblGrid>
      <w:tr w14:paraId="6E38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1105" w:type="dxa"/>
            <w:tcBorders>
              <w:top w:val="single" w:color="auto" w:sz="4" w:space="0"/>
              <w:left w:val="single" w:color="auto" w:sz="4" w:space="0"/>
              <w:bottom w:val="nil"/>
              <w:right w:val="single" w:color="auto" w:sz="4" w:space="0"/>
            </w:tcBorders>
            <w:shd w:val="clear" w:color="auto" w:fill="F3F3F3"/>
            <w:noWrap w:val="0"/>
            <w:vAlign w:val="center"/>
          </w:tcPr>
          <w:p w14:paraId="0F1C8877">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职责分工</w:t>
            </w:r>
          </w:p>
        </w:tc>
        <w:tc>
          <w:tcPr>
            <w:tcW w:w="1436" w:type="dxa"/>
            <w:tcBorders>
              <w:top w:val="single" w:color="auto" w:sz="4" w:space="0"/>
              <w:left w:val="single" w:color="auto" w:sz="4" w:space="0"/>
              <w:bottom w:val="nil"/>
              <w:right w:val="single" w:color="auto" w:sz="4" w:space="0"/>
            </w:tcBorders>
            <w:shd w:val="clear" w:color="auto" w:fill="F3F3F3"/>
            <w:noWrap w:val="0"/>
            <w:vAlign w:val="center"/>
          </w:tcPr>
          <w:p w14:paraId="3CD11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姓名</w:t>
            </w:r>
          </w:p>
        </w:tc>
        <w:tc>
          <w:tcPr>
            <w:tcW w:w="897" w:type="dxa"/>
            <w:tcBorders>
              <w:top w:val="single" w:color="auto" w:sz="4" w:space="0"/>
              <w:left w:val="single" w:color="auto" w:sz="4" w:space="0"/>
              <w:bottom w:val="nil"/>
            </w:tcBorders>
            <w:shd w:val="clear" w:color="auto" w:fill="F3F3F3"/>
            <w:noWrap w:val="0"/>
            <w:vAlign w:val="center"/>
          </w:tcPr>
          <w:p w14:paraId="5FB09145">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现职务</w:t>
            </w:r>
          </w:p>
        </w:tc>
        <w:tc>
          <w:tcPr>
            <w:tcW w:w="2610" w:type="dxa"/>
            <w:tcBorders>
              <w:top w:val="single" w:color="auto" w:sz="4" w:space="0"/>
              <w:bottom w:val="nil"/>
            </w:tcBorders>
            <w:shd w:val="clear" w:color="auto" w:fill="F3F3F3"/>
            <w:noWrap w:val="0"/>
            <w:vAlign w:val="center"/>
          </w:tcPr>
          <w:p w14:paraId="4AB93767">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曾主持/参与的同类项目经历</w:t>
            </w:r>
          </w:p>
        </w:tc>
        <w:tc>
          <w:tcPr>
            <w:tcW w:w="719" w:type="dxa"/>
            <w:tcBorders>
              <w:top w:val="single" w:color="auto" w:sz="4" w:space="0"/>
              <w:bottom w:val="nil"/>
            </w:tcBorders>
            <w:shd w:val="clear" w:color="auto" w:fill="F3F3F3"/>
            <w:noWrap w:val="0"/>
            <w:vAlign w:val="center"/>
          </w:tcPr>
          <w:p w14:paraId="60A7367A">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职称</w:t>
            </w:r>
          </w:p>
        </w:tc>
        <w:tc>
          <w:tcPr>
            <w:tcW w:w="719" w:type="dxa"/>
            <w:tcBorders>
              <w:top w:val="single" w:color="auto" w:sz="4" w:space="0"/>
              <w:bottom w:val="nil"/>
              <w:right w:val="single" w:color="auto" w:sz="4" w:space="0"/>
            </w:tcBorders>
            <w:shd w:val="clear" w:color="auto" w:fill="F3F3F3"/>
            <w:noWrap w:val="0"/>
            <w:vAlign w:val="center"/>
          </w:tcPr>
          <w:p w14:paraId="72EDD1D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专业工龄</w:t>
            </w:r>
          </w:p>
        </w:tc>
        <w:tc>
          <w:tcPr>
            <w:tcW w:w="1615" w:type="dxa"/>
            <w:tcBorders>
              <w:top w:val="single" w:color="auto" w:sz="4" w:space="0"/>
              <w:bottom w:val="nil"/>
              <w:right w:val="single" w:color="auto" w:sz="4" w:space="0"/>
            </w:tcBorders>
            <w:shd w:val="clear" w:color="auto" w:fill="F3F3F3"/>
            <w:noWrap w:val="0"/>
            <w:vAlign w:val="center"/>
          </w:tcPr>
          <w:p w14:paraId="710B6814">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联系电话/手机</w:t>
            </w:r>
          </w:p>
        </w:tc>
      </w:tr>
      <w:tr w14:paraId="7B42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05" w:type="dxa"/>
            <w:tcBorders>
              <w:top w:val="single" w:color="auto" w:sz="4" w:space="0"/>
              <w:left w:val="single" w:color="auto" w:sz="4" w:space="0"/>
              <w:bottom w:val="nil"/>
              <w:right w:val="single" w:color="auto" w:sz="4" w:space="0"/>
            </w:tcBorders>
            <w:noWrap w:val="0"/>
            <w:vAlign w:val="center"/>
          </w:tcPr>
          <w:p w14:paraId="776870F5">
            <w:pPr>
              <w:rPr>
                <w:rFonts w:hint="eastAsia" w:ascii="宋体" w:hAnsi="宋体" w:eastAsia="宋体" w:cs="宋体"/>
                <w:szCs w:val="21"/>
                <w:highlight w:val="none"/>
              </w:rPr>
            </w:pPr>
            <w:r>
              <w:rPr>
                <w:rFonts w:hint="eastAsia" w:ascii="宋体" w:hAnsi="宋体" w:eastAsia="宋体" w:cs="宋体"/>
                <w:szCs w:val="21"/>
                <w:highlight w:val="none"/>
              </w:rPr>
              <w:t>总负责人</w:t>
            </w:r>
          </w:p>
        </w:tc>
        <w:tc>
          <w:tcPr>
            <w:tcW w:w="1436" w:type="dxa"/>
            <w:tcBorders>
              <w:top w:val="single" w:color="auto" w:sz="4" w:space="0"/>
              <w:left w:val="single" w:color="auto" w:sz="4" w:space="0"/>
              <w:bottom w:val="nil"/>
              <w:right w:val="single" w:color="auto" w:sz="4" w:space="0"/>
            </w:tcBorders>
            <w:noWrap w:val="0"/>
            <w:vAlign w:val="center"/>
          </w:tcPr>
          <w:p w14:paraId="03C3AE9E">
            <w:pPr>
              <w:jc w:val="center"/>
              <w:rPr>
                <w:rFonts w:hint="eastAsia" w:ascii="宋体" w:hAnsi="宋体" w:eastAsia="宋体" w:cs="宋体"/>
                <w:szCs w:val="21"/>
                <w:highlight w:val="none"/>
              </w:rPr>
            </w:pPr>
          </w:p>
        </w:tc>
        <w:tc>
          <w:tcPr>
            <w:tcW w:w="897" w:type="dxa"/>
            <w:tcBorders>
              <w:top w:val="single" w:color="auto" w:sz="4" w:space="0"/>
              <w:left w:val="single" w:color="auto" w:sz="4" w:space="0"/>
              <w:bottom w:val="nil"/>
            </w:tcBorders>
            <w:noWrap w:val="0"/>
            <w:vAlign w:val="center"/>
          </w:tcPr>
          <w:p w14:paraId="42F962A5">
            <w:pPr>
              <w:jc w:val="center"/>
              <w:rPr>
                <w:rFonts w:hint="eastAsia" w:ascii="宋体" w:hAnsi="宋体" w:eastAsia="宋体" w:cs="宋体"/>
                <w:szCs w:val="21"/>
                <w:highlight w:val="none"/>
              </w:rPr>
            </w:pPr>
          </w:p>
        </w:tc>
        <w:tc>
          <w:tcPr>
            <w:tcW w:w="2610" w:type="dxa"/>
            <w:tcBorders>
              <w:top w:val="single" w:color="auto" w:sz="4" w:space="0"/>
              <w:bottom w:val="nil"/>
            </w:tcBorders>
            <w:noWrap w:val="0"/>
            <w:vAlign w:val="center"/>
          </w:tcPr>
          <w:p w14:paraId="7AC014AE">
            <w:pPr>
              <w:keepNext w:val="0"/>
              <w:widowControl w:val="0"/>
              <w:adjustRightInd/>
              <w:spacing w:before="0" w:after="0" w:line="240" w:lineRule="auto"/>
              <w:jc w:val="center"/>
              <w:textAlignment w:val="auto"/>
              <w:rPr>
                <w:rFonts w:hint="eastAsia" w:ascii="宋体" w:hAnsi="宋体" w:eastAsia="宋体" w:cs="宋体"/>
                <w:snapToGrid/>
                <w:spacing w:val="0"/>
                <w:kern w:val="2"/>
                <w:sz w:val="21"/>
                <w:szCs w:val="21"/>
                <w:highlight w:val="none"/>
                <w:lang w:val="en-US" w:eastAsia="zh-CN" w:bidi="ar-SA"/>
              </w:rPr>
            </w:pPr>
          </w:p>
        </w:tc>
        <w:tc>
          <w:tcPr>
            <w:tcW w:w="719" w:type="dxa"/>
            <w:tcBorders>
              <w:top w:val="single" w:color="auto" w:sz="4" w:space="0"/>
              <w:bottom w:val="nil"/>
            </w:tcBorders>
            <w:noWrap w:val="0"/>
            <w:vAlign w:val="center"/>
          </w:tcPr>
          <w:p w14:paraId="17ACA90D">
            <w:pPr>
              <w:jc w:val="center"/>
              <w:rPr>
                <w:rFonts w:hint="eastAsia" w:ascii="宋体" w:hAnsi="宋体" w:eastAsia="宋体" w:cs="宋体"/>
                <w:szCs w:val="21"/>
                <w:highlight w:val="none"/>
              </w:rPr>
            </w:pPr>
          </w:p>
        </w:tc>
        <w:tc>
          <w:tcPr>
            <w:tcW w:w="719" w:type="dxa"/>
            <w:tcBorders>
              <w:top w:val="single" w:color="auto" w:sz="4" w:space="0"/>
              <w:bottom w:val="nil"/>
              <w:right w:val="single" w:color="auto" w:sz="4" w:space="0"/>
            </w:tcBorders>
            <w:noWrap w:val="0"/>
            <w:vAlign w:val="center"/>
          </w:tcPr>
          <w:p w14:paraId="0D9D4CC0">
            <w:pPr>
              <w:ind w:firstLine="12"/>
              <w:jc w:val="center"/>
              <w:rPr>
                <w:rFonts w:hint="eastAsia" w:ascii="宋体" w:hAnsi="宋体" w:eastAsia="宋体" w:cs="宋体"/>
                <w:szCs w:val="21"/>
                <w:highlight w:val="none"/>
              </w:rPr>
            </w:pPr>
          </w:p>
        </w:tc>
        <w:tc>
          <w:tcPr>
            <w:tcW w:w="1615" w:type="dxa"/>
            <w:tcBorders>
              <w:top w:val="single" w:color="auto" w:sz="4" w:space="0"/>
              <w:bottom w:val="nil"/>
              <w:right w:val="single" w:color="auto" w:sz="4" w:space="0"/>
            </w:tcBorders>
            <w:noWrap w:val="0"/>
            <w:vAlign w:val="center"/>
          </w:tcPr>
          <w:p w14:paraId="5D1A709B">
            <w:pPr>
              <w:ind w:firstLine="12"/>
              <w:jc w:val="center"/>
              <w:rPr>
                <w:rFonts w:hint="eastAsia" w:ascii="宋体" w:hAnsi="宋体" w:eastAsia="宋体" w:cs="宋体"/>
                <w:szCs w:val="21"/>
                <w:highlight w:val="none"/>
              </w:rPr>
            </w:pPr>
          </w:p>
        </w:tc>
      </w:tr>
      <w:tr w14:paraId="28B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1105" w:type="dxa"/>
            <w:vMerge w:val="restart"/>
            <w:tcBorders>
              <w:left w:val="single" w:color="auto" w:sz="4" w:space="0"/>
              <w:right w:val="single" w:color="auto" w:sz="4" w:space="0"/>
            </w:tcBorders>
            <w:noWrap w:val="0"/>
            <w:vAlign w:val="center"/>
          </w:tcPr>
          <w:p w14:paraId="32792E7D">
            <w:pPr>
              <w:rPr>
                <w:rFonts w:hint="eastAsia" w:ascii="宋体" w:hAnsi="宋体" w:eastAsia="宋体" w:cs="宋体"/>
                <w:szCs w:val="21"/>
                <w:highlight w:val="none"/>
              </w:rPr>
            </w:pPr>
            <w:r>
              <w:rPr>
                <w:rFonts w:hint="eastAsia" w:ascii="宋体" w:hAnsi="宋体" w:eastAsia="宋体" w:cs="宋体"/>
                <w:szCs w:val="21"/>
                <w:highlight w:val="none"/>
              </w:rPr>
              <w:t>其他主要技术人员</w:t>
            </w:r>
          </w:p>
        </w:tc>
        <w:tc>
          <w:tcPr>
            <w:tcW w:w="1436" w:type="dxa"/>
            <w:tcBorders>
              <w:left w:val="single" w:color="auto" w:sz="4" w:space="0"/>
              <w:right w:val="single" w:color="auto" w:sz="4" w:space="0"/>
            </w:tcBorders>
            <w:noWrap w:val="0"/>
            <w:vAlign w:val="center"/>
          </w:tcPr>
          <w:p w14:paraId="31619A61">
            <w:pPr>
              <w:jc w:val="center"/>
              <w:rPr>
                <w:rFonts w:hint="eastAsia" w:ascii="宋体" w:hAnsi="宋体" w:eastAsia="宋体" w:cs="宋体"/>
                <w:szCs w:val="21"/>
                <w:highlight w:val="none"/>
              </w:rPr>
            </w:pPr>
          </w:p>
        </w:tc>
        <w:tc>
          <w:tcPr>
            <w:tcW w:w="897" w:type="dxa"/>
            <w:tcBorders>
              <w:left w:val="single" w:color="auto" w:sz="4" w:space="0"/>
            </w:tcBorders>
            <w:noWrap w:val="0"/>
            <w:vAlign w:val="center"/>
          </w:tcPr>
          <w:p w14:paraId="5F39B715">
            <w:pPr>
              <w:jc w:val="center"/>
              <w:rPr>
                <w:rFonts w:hint="eastAsia" w:ascii="宋体" w:hAnsi="宋体" w:eastAsia="宋体" w:cs="宋体"/>
                <w:szCs w:val="21"/>
                <w:highlight w:val="none"/>
              </w:rPr>
            </w:pPr>
          </w:p>
        </w:tc>
        <w:tc>
          <w:tcPr>
            <w:tcW w:w="2610" w:type="dxa"/>
            <w:noWrap w:val="0"/>
            <w:vAlign w:val="center"/>
          </w:tcPr>
          <w:p w14:paraId="0BAC16A0">
            <w:pPr>
              <w:jc w:val="center"/>
              <w:rPr>
                <w:rFonts w:hint="eastAsia" w:ascii="宋体" w:hAnsi="宋体" w:eastAsia="宋体" w:cs="宋体"/>
                <w:szCs w:val="21"/>
                <w:highlight w:val="none"/>
              </w:rPr>
            </w:pPr>
          </w:p>
        </w:tc>
        <w:tc>
          <w:tcPr>
            <w:tcW w:w="719" w:type="dxa"/>
            <w:noWrap w:val="0"/>
            <w:vAlign w:val="center"/>
          </w:tcPr>
          <w:p w14:paraId="6B485D2D">
            <w:pPr>
              <w:jc w:val="center"/>
              <w:rPr>
                <w:rFonts w:hint="eastAsia" w:ascii="宋体" w:hAnsi="宋体" w:eastAsia="宋体" w:cs="宋体"/>
                <w:szCs w:val="21"/>
                <w:highlight w:val="none"/>
              </w:rPr>
            </w:pPr>
          </w:p>
        </w:tc>
        <w:tc>
          <w:tcPr>
            <w:tcW w:w="719" w:type="dxa"/>
            <w:tcBorders>
              <w:right w:val="single" w:color="auto" w:sz="4" w:space="0"/>
            </w:tcBorders>
            <w:noWrap w:val="0"/>
            <w:vAlign w:val="center"/>
          </w:tcPr>
          <w:p w14:paraId="091331D1">
            <w:pPr>
              <w:jc w:val="center"/>
              <w:rPr>
                <w:rFonts w:hint="eastAsia" w:ascii="宋体" w:hAnsi="宋体" w:eastAsia="宋体" w:cs="宋体"/>
                <w:szCs w:val="21"/>
                <w:highlight w:val="none"/>
              </w:rPr>
            </w:pPr>
          </w:p>
        </w:tc>
        <w:tc>
          <w:tcPr>
            <w:tcW w:w="1615" w:type="dxa"/>
            <w:tcBorders>
              <w:right w:val="single" w:color="auto" w:sz="4" w:space="0"/>
            </w:tcBorders>
            <w:noWrap w:val="0"/>
            <w:vAlign w:val="center"/>
          </w:tcPr>
          <w:p w14:paraId="20DE1041">
            <w:pPr>
              <w:jc w:val="center"/>
              <w:rPr>
                <w:rFonts w:hint="eastAsia" w:ascii="宋体" w:hAnsi="宋体" w:eastAsia="宋体" w:cs="宋体"/>
                <w:szCs w:val="21"/>
                <w:highlight w:val="none"/>
              </w:rPr>
            </w:pPr>
          </w:p>
        </w:tc>
      </w:tr>
      <w:tr w14:paraId="31FD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105" w:type="dxa"/>
            <w:vMerge w:val="continue"/>
            <w:tcBorders>
              <w:left w:val="single" w:color="auto" w:sz="4" w:space="0"/>
              <w:right w:val="single" w:color="auto" w:sz="4" w:space="0"/>
            </w:tcBorders>
            <w:noWrap w:val="0"/>
            <w:vAlign w:val="center"/>
          </w:tcPr>
          <w:p w14:paraId="60D5CF3B">
            <w:pPr>
              <w:rPr>
                <w:rFonts w:hint="eastAsia" w:ascii="宋体" w:hAnsi="宋体" w:eastAsia="宋体" w:cs="宋体"/>
                <w:szCs w:val="21"/>
                <w:highlight w:val="none"/>
              </w:rPr>
            </w:pPr>
          </w:p>
        </w:tc>
        <w:tc>
          <w:tcPr>
            <w:tcW w:w="1436" w:type="dxa"/>
            <w:tcBorders>
              <w:left w:val="single" w:color="auto" w:sz="4" w:space="0"/>
              <w:right w:val="single" w:color="auto" w:sz="4" w:space="0"/>
            </w:tcBorders>
            <w:noWrap w:val="0"/>
            <w:vAlign w:val="center"/>
          </w:tcPr>
          <w:p w14:paraId="0638F0AE">
            <w:pPr>
              <w:jc w:val="center"/>
              <w:rPr>
                <w:rFonts w:hint="eastAsia" w:ascii="宋体" w:hAnsi="宋体" w:eastAsia="宋体" w:cs="宋体"/>
                <w:szCs w:val="21"/>
                <w:highlight w:val="none"/>
              </w:rPr>
            </w:pPr>
          </w:p>
        </w:tc>
        <w:tc>
          <w:tcPr>
            <w:tcW w:w="897" w:type="dxa"/>
            <w:tcBorders>
              <w:left w:val="single" w:color="auto" w:sz="4" w:space="0"/>
            </w:tcBorders>
            <w:noWrap w:val="0"/>
            <w:vAlign w:val="center"/>
          </w:tcPr>
          <w:p w14:paraId="1DB6CD66">
            <w:pPr>
              <w:jc w:val="center"/>
              <w:rPr>
                <w:rFonts w:hint="eastAsia" w:ascii="宋体" w:hAnsi="宋体" w:eastAsia="宋体" w:cs="宋体"/>
                <w:szCs w:val="21"/>
                <w:highlight w:val="none"/>
              </w:rPr>
            </w:pPr>
          </w:p>
        </w:tc>
        <w:tc>
          <w:tcPr>
            <w:tcW w:w="2610" w:type="dxa"/>
            <w:noWrap w:val="0"/>
            <w:vAlign w:val="center"/>
          </w:tcPr>
          <w:p w14:paraId="6A56C4C2">
            <w:pPr>
              <w:jc w:val="center"/>
              <w:rPr>
                <w:rFonts w:hint="eastAsia" w:ascii="宋体" w:hAnsi="宋体" w:eastAsia="宋体" w:cs="宋体"/>
                <w:szCs w:val="21"/>
                <w:highlight w:val="none"/>
              </w:rPr>
            </w:pPr>
          </w:p>
        </w:tc>
        <w:tc>
          <w:tcPr>
            <w:tcW w:w="719" w:type="dxa"/>
            <w:noWrap w:val="0"/>
            <w:vAlign w:val="center"/>
          </w:tcPr>
          <w:p w14:paraId="68E45A7D">
            <w:pPr>
              <w:jc w:val="center"/>
              <w:rPr>
                <w:rFonts w:hint="eastAsia" w:ascii="宋体" w:hAnsi="宋体" w:eastAsia="宋体" w:cs="宋体"/>
                <w:szCs w:val="21"/>
                <w:highlight w:val="none"/>
              </w:rPr>
            </w:pPr>
          </w:p>
        </w:tc>
        <w:tc>
          <w:tcPr>
            <w:tcW w:w="719" w:type="dxa"/>
            <w:tcBorders>
              <w:right w:val="single" w:color="auto" w:sz="4" w:space="0"/>
            </w:tcBorders>
            <w:noWrap w:val="0"/>
            <w:vAlign w:val="center"/>
          </w:tcPr>
          <w:p w14:paraId="4B26FFE9">
            <w:pPr>
              <w:jc w:val="center"/>
              <w:rPr>
                <w:rFonts w:hint="eastAsia" w:ascii="宋体" w:hAnsi="宋体" w:eastAsia="宋体" w:cs="宋体"/>
                <w:szCs w:val="21"/>
                <w:highlight w:val="none"/>
              </w:rPr>
            </w:pPr>
          </w:p>
        </w:tc>
        <w:tc>
          <w:tcPr>
            <w:tcW w:w="1615" w:type="dxa"/>
            <w:tcBorders>
              <w:right w:val="single" w:color="auto" w:sz="4" w:space="0"/>
            </w:tcBorders>
            <w:noWrap w:val="0"/>
            <w:vAlign w:val="center"/>
          </w:tcPr>
          <w:p w14:paraId="74F32CC8">
            <w:pPr>
              <w:jc w:val="center"/>
              <w:rPr>
                <w:rFonts w:hint="eastAsia" w:ascii="宋体" w:hAnsi="宋体" w:eastAsia="宋体" w:cs="宋体"/>
                <w:szCs w:val="21"/>
                <w:highlight w:val="none"/>
              </w:rPr>
            </w:pPr>
          </w:p>
        </w:tc>
      </w:tr>
      <w:tr w14:paraId="118E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jc w:val="center"/>
        </w:trPr>
        <w:tc>
          <w:tcPr>
            <w:tcW w:w="1105" w:type="dxa"/>
            <w:vMerge w:val="continue"/>
            <w:tcBorders>
              <w:left w:val="single" w:color="auto" w:sz="4" w:space="0"/>
              <w:right w:val="single" w:color="auto" w:sz="4" w:space="0"/>
            </w:tcBorders>
            <w:noWrap w:val="0"/>
            <w:vAlign w:val="center"/>
          </w:tcPr>
          <w:p w14:paraId="32F63028">
            <w:pPr>
              <w:jc w:val="center"/>
              <w:rPr>
                <w:rFonts w:hint="eastAsia" w:ascii="宋体" w:hAnsi="宋体" w:eastAsia="宋体" w:cs="宋体"/>
                <w:szCs w:val="21"/>
                <w:highlight w:val="none"/>
              </w:rPr>
            </w:pPr>
          </w:p>
        </w:tc>
        <w:tc>
          <w:tcPr>
            <w:tcW w:w="1436" w:type="dxa"/>
            <w:tcBorders>
              <w:left w:val="single" w:color="auto" w:sz="4" w:space="0"/>
              <w:right w:val="single" w:color="auto" w:sz="4" w:space="0"/>
            </w:tcBorders>
            <w:noWrap w:val="0"/>
            <w:vAlign w:val="center"/>
          </w:tcPr>
          <w:p w14:paraId="3EACBBF0">
            <w:pPr>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897" w:type="dxa"/>
            <w:tcBorders>
              <w:left w:val="single" w:color="auto" w:sz="4" w:space="0"/>
            </w:tcBorders>
            <w:noWrap w:val="0"/>
            <w:vAlign w:val="center"/>
          </w:tcPr>
          <w:p w14:paraId="13A560BD">
            <w:pPr>
              <w:jc w:val="center"/>
              <w:rPr>
                <w:rFonts w:hint="eastAsia" w:ascii="宋体" w:hAnsi="宋体" w:eastAsia="宋体" w:cs="宋体"/>
                <w:szCs w:val="21"/>
                <w:highlight w:val="none"/>
              </w:rPr>
            </w:pPr>
          </w:p>
        </w:tc>
        <w:tc>
          <w:tcPr>
            <w:tcW w:w="2610" w:type="dxa"/>
            <w:noWrap w:val="0"/>
            <w:vAlign w:val="center"/>
          </w:tcPr>
          <w:p w14:paraId="2A73A777">
            <w:pPr>
              <w:jc w:val="center"/>
              <w:rPr>
                <w:rFonts w:hint="eastAsia" w:ascii="宋体" w:hAnsi="宋体" w:eastAsia="宋体" w:cs="宋体"/>
                <w:szCs w:val="21"/>
                <w:highlight w:val="none"/>
              </w:rPr>
            </w:pPr>
          </w:p>
        </w:tc>
        <w:tc>
          <w:tcPr>
            <w:tcW w:w="719" w:type="dxa"/>
            <w:noWrap w:val="0"/>
            <w:vAlign w:val="center"/>
          </w:tcPr>
          <w:p w14:paraId="28C05E7B">
            <w:pPr>
              <w:jc w:val="center"/>
              <w:rPr>
                <w:rFonts w:hint="eastAsia" w:ascii="宋体" w:hAnsi="宋体" w:eastAsia="宋体" w:cs="宋体"/>
                <w:szCs w:val="21"/>
                <w:highlight w:val="none"/>
              </w:rPr>
            </w:pPr>
          </w:p>
        </w:tc>
        <w:tc>
          <w:tcPr>
            <w:tcW w:w="719" w:type="dxa"/>
            <w:tcBorders>
              <w:right w:val="single" w:color="auto" w:sz="4" w:space="0"/>
            </w:tcBorders>
            <w:noWrap w:val="0"/>
            <w:vAlign w:val="center"/>
          </w:tcPr>
          <w:p w14:paraId="49A02BA2">
            <w:pPr>
              <w:jc w:val="center"/>
              <w:rPr>
                <w:rFonts w:hint="eastAsia" w:ascii="宋体" w:hAnsi="宋体" w:eastAsia="宋体" w:cs="宋体"/>
                <w:szCs w:val="21"/>
                <w:highlight w:val="none"/>
              </w:rPr>
            </w:pPr>
          </w:p>
        </w:tc>
        <w:tc>
          <w:tcPr>
            <w:tcW w:w="1615" w:type="dxa"/>
            <w:tcBorders>
              <w:right w:val="single" w:color="auto" w:sz="4" w:space="0"/>
            </w:tcBorders>
            <w:noWrap w:val="0"/>
            <w:vAlign w:val="center"/>
          </w:tcPr>
          <w:p w14:paraId="614938B6">
            <w:pPr>
              <w:jc w:val="center"/>
              <w:rPr>
                <w:rFonts w:hint="eastAsia" w:ascii="宋体" w:hAnsi="宋体" w:eastAsia="宋体" w:cs="宋体"/>
                <w:szCs w:val="21"/>
                <w:highlight w:val="none"/>
              </w:rPr>
            </w:pPr>
          </w:p>
        </w:tc>
      </w:tr>
    </w:tbl>
    <w:p w14:paraId="6C1FE4DF">
      <w:pPr>
        <w:ind w:firstLine="960" w:firstLineChars="4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需提供上述人员在职证明材料</w:t>
      </w:r>
    </w:p>
    <w:p w14:paraId="29B082A3">
      <w:pPr>
        <w:ind w:left="62"/>
        <w:rPr>
          <w:rFonts w:hint="eastAsia" w:ascii="宋体" w:hAnsi="宋体" w:eastAsia="宋体" w:cs="宋体"/>
          <w:b/>
          <w:bCs w:val="0"/>
          <w:sz w:val="24"/>
          <w:highlight w:val="none"/>
          <w:lang w:val="en-US" w:eastAsia="zh-CN"/>
        </w:rPr>
      </w:pPr>
    </w:p>
    <w:p w14:paraId="77F0E327">
      <w:pPr>
        <w:ind w:left="62"/>
        <w:rPr>
          <w:rFonts w:hint="eastAsia" w:ascii="宋体" w:hAnsi="宋体" w:eastAsia="宋体" w:cs="宋体"/>
          <w:b/>
          <w:bCs w:val="0"/>
          <w:sz w:val="24"/>
          <w:highlight w:val="none"/>
          <w:lang w:val="en-GB" w:eastAsia="zh-CN"/>
        </w:rPr>
      </w:pPr>
      <w:r>
        <w:rPr>
          <w:rFonts w:hint="eastAsia" w:ascii="宋体" w:hAnsi="宋体" w:eastAsia="宋体" w:cs="宋体"/>
          <w:b/>
          <w:bCs w:val="0"/>
          <w:sz w:val="24"/>
          <w:highlight w:val="none"/>
          <w:lang w:val="en-US" w:eastAsia="zh-CN"/>
        </w:rPr>
        <w:t>4.</w:t>
      </w:r>
      <w:r>
        <w:rPr>
          <w:rFonts w:hint="eastAsia" w:ascii="宋体" w:hAnsi="宋体" w:cs="宋体"/>
          <w:b/>
          <w:bCs w:val="0"/>
          <w:sz w:val="24"/>
          <w:highlight w:val="none"/>
          <w:lang w:val="en-US" w:eastAsia="zh-CN"/>
        </w:rPr>
        <w:t>4</w:t>
      </w:r>
      <w:r>
        <w:rPr>
          <w:rFonts w:hint="eastAsia" w:ascii="宋体" w:hAnsi="宋体" w:eastAsia="宋体" w:cs="宋体"/>
          <w:b/>
          <w:bCs w:val="0"/>
          <w:sz w:val="24"/>
          <w:highlight w:val="none"/>
          <w:lang w:val="en-GB" w:eastAsia="zh-CN"/>
        </w:rPr>
        <w:t>服务工具、材料、备品备件等</w:t>
      </w:r>
    </w:p>
    <w:tbl>
      <w:tblPr>
        <w:tblStyle w:val="43"/>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7"/>
        <w:gridCol w:w="2338"/>
        <w:gridCol w:w="2626"/>
        <w:gridCol w:w="1152"/>
        <w:gridCol w:w="2084"/>
      </w:tblGrid>
      <w:tr w14:paraId="71218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1087" w:type="dxa"/>
            <w:shd w:val="clear" w:color="auto" w:fill="F3F3F3"/>
            <w:vAlign w:val="center"/>
          </w:tcPr>
          <w:p w14:paraId="2850DBD0">
            <w:pPr>
              <w:spacing w:line="24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设备</w:t>
            </w:r>
            <w:r>
              <w:rPr>
                <w:rFonts w:hint="eastAsia" w:ascii="宋体" w:hAnsi="宋体" w:eastAsia="宋体" w:cs="宋体"/>
                <w:b/>
                <w:sz w:val="24"/>
                <w:highlight w:val="none"/>
              </w:rPr>
              <w:t>/材料</w:t>
            </w:r>
            <w:r>
              <w:rPr>
                <w:rFonts w:hint="eastAsia" w:ascii="宋体" w:hAnsi="宋体" w:eastAsia="宋体" w:cs="宋体"/>
                <w:b/>
                <w:bCs/>
                <w:szCs w:val="21"/>
                <w:highlight w:val="none"/>
              </w:rPr>
              <w:t>名称</w:t>
            </w:r>
          </w:p>
        </w:tc>
        <w:tc>
          <w:tcPr>
            <w:tcW w:w="2338" w:type="dxa"/>
            <w:shd w:val="clear" w:color="auto" w:fill="F3F3F3"/>
            <w:vAlign w:val="center"/>
          </w:tcPr>
          <w:p w14:paraId="0540982A">
            <w:pPr>
              <w:spacing w:line="24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规格型号</w:t>
            </w:r>
          </w:p>
        </w:tc>
        <w:tc>
          <w:tcPr>
            <w:tcW w:w="2626" w:type="dxa"/>
            <w:shd w:val="clear" w:color="auto" w:fill="F3F3F3"/>
            <w:vAlign w:val="center"/>
          </w:tcPr>
          <w:p w14:paraId="0F318607">
            <w:pPr>
              <w:spacing w:line="24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数量</w:t>
            </w:r>
          </w:p>
        </w:tc>
        <w:tc>
          <w:tcPr>
            <w:tcW w:w="1152" w:type="dxa"/>
            <w:shd w:val="clear" w:color="auto" w:fill="F3F3F3"/>
            <w:vAlign w:val="center"/>
          </w:tcPr>
          <w:p w14:paraId="5B4580EE">
            <w:pPr>
              <w:spacing w:line="240" w:lineRule="auto"/>
              <w:jc w:val="both"/>
              <w:rPr>
                <w:rFonts w:hint="eastAsia" w:ascii="宋体" w:hAnsi="宋体" w:eastAsia="宋体" w:cs="宋体"/>
                <w:b/>
                <w:bCs/>
                <w:szCs w:val="21"/>
                <w:highlight w:val="none"/>
              </w:rPr>
            </w:pPr>
            <w:r>
              <w:rPr>
                <w:rFonts w:hint="eastAsia" w:ascii="宋体" w:hAnsi="宋体" w:eastAsia="宋体" w:cs="宋体"/>
                <w:b/>
                <w:bCs/>
                <w:szCs w:val="21"/>
                <w:highlight w:val="none"/>
              </w:rPr>
              <w:t>出厂日期</w:t>
            </w:r>
          </w:p>
        </w:tc>
        <w:tc>
          <w:tcPr>
            <w:tcW w:w="2084" w:type="dxa"/>
            <w:shd w:val="clear" w:color="auto" w:fill="F3F3F3"/>
            <w:vAlign w:val="center"/>
          </w:tcPr>
          <w:p w14:paraId="34574B38">
            <w:pPr>
              <w:spacing w:line="24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设备原值</w:t>
            </w:r>
          </w:p>
        </w:tc>
      </w:tr>
      <w:tr w14:paraId="660ED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1087" w:type="dxa"/>
            <w:vAlign w:val="center"/>
          </w:tcPr>
          <w:p w14:paraId="4B3E8294">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338" w:type="dxa"/>
            <w:vAlign w:val="center"/>
          </w:tcPr>
          <w:p w14:paraId="095D1959">
            <w:pPr>
              <w:spacing w:line="240" w:lineRule="auto"/>
              <w:jc w:val="center"/>
              <w:rPr>
                <w:rFonts w:hint="eastAsia" w:ascii="宋体" w:hAnsi="宋体" w:eastAsia="宋体" w:cs="宋体"/>
                <w:szCs w:val="21"/>
                <w:highlight w:val="none"/>
              </w:rPr>
            </w:pPr>
          </w:p>
        </w:tc>
        <w:tc>
          <w:tcPr>
            <w:tcW w:w="2626" w:type="dxa"/>
            <w:vAlign w:val="center"/>
          </w:tcPr>
          <w:p w14:paraId="25EA4222">
            <w:pPr>
              <w:spacing w:line="240" w:lineRule="auto"/>
              <w:jc w:val="center"/>
              <w:rPr>
                <w:rFonts w:hint="eastAsia" w:ascii="宋体" w:hAnsi="宋体" w:eastAsia="宋体" w:cs="宋体"/>
                <w:szCs w:val="21"/>
                <w:highlight w:val="none"/>
              </w:rPr>
            </w:pPr>
          </w:p>
        </w:tc>
        <w:tc>
          <w:tcPr>
            <w:tcW w:w="1152" w:type="dxa"/>
            <w:vAlign w:val="center"/>
          </w:tcPr>
          <w:p w14:paraId="0E981991">
            <w:pPr>
              <w:spacing w:line="240" w:lineRule="auto"/>
              <w:jc w:val="center"/>
              <w:rPr>
                <w:rFonts w:hint="eastAsia" w:ascii="宋体" w:hAnsi="宋体" w:eastAsia="宋体" w:cs="宋体"/>
                <w:szCs w:val="21"/>
                <w:highlight w:val="none"/>
              </w:rPr>
            </w:pPr>
          </w:p>
        </w:tc>
        <w:tc>
          <w:tcPr>
            <w:tcW w:w="2084" w:type="dxa"/>
            <w:vAlign w:val="center"/>
          </w:tcPr>
          <w:p w14:paraId="55D6B6D9">
            <w:pPr>
              <w:spacing w:line="240" w:lineRule="auto"/>
              <w:jc w:val="center"/>
              <w:rPr>
                <w:rFonts w:hint="eastAsia" w:ascii="宋体" w:hAnsi="宋体" w:eastAsia="宋体" w:cs="宋体"/>
                <w:szCs w:val="21"/>
                <w:highlight w:val="none"/>
              </w:rPr>
            </w:pPr>
          </w:p>
        </w:tc>
      </w:tr>
      <w:tr w14:paraId="6884E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1087" w:type="dxa"/>
            <w:vAlign w:val="center"/>
          </w:tcPr>
          <w:p w14:paraId="4F9E4449">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338" w:type="dxa"/>
            <w:vAlign w:val="center"/>
          </w:tcPr>
          <w:p w14:paraId="2C089504">
            <w:pPr>
              <w:spacing w:line="240" w:lineRule="auto"/>
              <w:jc w:val="center"/>
              <w:rPr>
                <w:rFonts w:hint="eastAsia" w:ascii="宋体" w:hAnsi="宋体" w:eastAsia="宋体" w:cs="宋体"/>
                <w:szCs w:val="21"/>
                <w:highlight w:val="none"/>
              </w:rPr>
            </w:pPr>
          </w:p>
        </w:tc>
        <w:tc>
          <w:tcPr>
            <w:tcW w:w="2626" w:type="dxa"/>
            <w:vAlign w:val="center"/>
          </w:tcPr>
          <w:p w14:paraId="41C0C3AC">
            <w:pPr>
              <w:spacing w:line="240" w:lineRule="auto"/>
              <w:jc w:val="center"/>
              <w:rPr>
                <w:rFonts w:hint="eastAsia" w:ascii="宋体" w:hAnsi="宋体" w:eastAsia="宋体" w:cs="宋体"/>
                <w:szCs w:val="21"/>
                <w:highlight w:val="none"/>
              </w:rPr>
            </w:pPr>
          </w:p>
        </w:tc>
        <w:tc>
          <w:tcPr>
            <w:tcW w:w="1152" w:type="dxa"/>
            <w:vAlign w:val="center"/>
          </w:tcPr>
          <w:p w14:paraId="0FAF77B0">
            <w:pPr>
              <w:widowControl w:val="0"/>
              <w:ind w:left="-132" w:leftChars="-64" w:right="-105" w:rightChars="-50" w:hanging="2"/>
              <w:jc w:val="center"/>
              <w:rPr>
                <w:rFonts w:hint="eastAsia" w:ascii="宋体" w:hAnsi="宋体" w:eastAsia="宋体" w:cs="宋体"/>
                <w:b/>
                <w:color w:val="auto"/>
                <w:kern w:val="2"/>
                <w:sz w:val="21"/>
                <w:szCs w:val="21"/>
                <w:highlight w:val="none"/>
                <w:lang w:val="en-GB" w:eastAsia="zh-CN" w:bidi="ar-SA"/>
              </w:rPr>
            </w:pPr>
          </w:p>
        </w:tc>
        <w:tc>
          <w:tcPr>
            <w:tcW w:w="2084" w:type="dxa"/>
            <w:vAlign w:val="center"/>
          </w:tcPr>
          <w:p w14:paraId="51885D64">
            <w:pPr>
              <w:spacing w:line="240" w:lineRule="auto"/>
              <w:jc w:val="center"/>
              <w:rPr>
                <w:rFonts w:hint="eastAsia" w:ascii="宋体" w:hAnsi="宋体" w:eastAsia="宋体" w:cs="宋体"/>
                <w:szCs w:val="21"/>
                <w:highlight w:val="none"/>
              </w:rPr>
            </w:pPr>
          </w:p>
        </w:tc>
      </w:tr>
      <w:tr w14:paraId="79E8F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1087" w:type="dxa"/>
            <w:vAlign w:val="center"/>
          </w:tcPr>
          <w:p w14:paraId="5AC56AF0">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338" w:type="dxa"/>
            <w:vAlign w:val="center"/>
          </w:tcPr>
          <w:p w14:paraId="2C4094C3">
            <w:pPr>
              <w:spacing w:line="240" w:lineRule="auto"/>
              <w:jc w:val="center"/>
              <w:rPr>
                <w:rFonts w:hint="eastAsia" w:ascii="宋体" w:hAnsi="宋体" w:eastAsia="宋体" w:cs="宋体"/>
                <w:szCs w:val="21"/>
                <w:highlight w:val="none"/>
              </w:rPr>
            </w:pPr>
          </w:p>
        </w:tc>
        <w:tc>
          <w:tcPr>
            <w:tcW w:w="2626" w:type="dxa"/>
            <w:vAlign w:val="center"/>
          </w:tcPr>
          <w:p w14:paraId="672D8421">
            <w:pPr>
              <w:spacing w:line="240" w:lineRule="auto"/>
              <w:jc w:val="center"/>
              <w:rPr>
                <w:rFonts w:hint="eastAsia" w:ascii="宋体" w:hAnsi="宋体" w:eastAsia="宋体" w:cs="宋体"/>
                <w:szCs w:val="21"/>
                <w:highlight w:val="none"/>
              </w:rPr>
            </w:pPr>
          </w:p>
        </w:tc>
        <w:tc>
          <w:tcPr>
            <w:tcW w:w="1152" w:type="dxa"/>
            <w:vAlign w:val="center"/>
          </w:tcPr>
          <w:p w14:paraId="32BDBDC6">
            <w:pPr>
              <w:spacing w:line="240" w:lineRule="auto"/>
              <w:jc w:val="center"/>
              <w:rPr>
                <w:rFonts w:hint="eastAsia" w:ascii="宋体" w:hAnsi="宋体" w:eastAsia="宋体" w:cs="宋体"/>
                <w:szCs w:val="21"/>
                <w:highlight w:val="none"/>
              </w:rPr>
            </w:pPr>
          </w:p>
        </w:tc>
        <w:tc>
          <w:tcPr>
            <w:tcW w:w="2084" w:type="dxa"/>
            <w:vAlign w:val="center"/>
          </w:tcPr>
          <w:p w14:paraId="378D3D77">
            <w:pPr>
              <w:spacing w:line="240" w:lineRule="auto"/>
              <w:jc w:val="center"/>
              <w:rPr>
                <w:rFonts w:hint="eastAsia" w:ascii="宋体" w:hAnsi="宋体" w:eastAsia="宋体" w:cs="宋体"/>
                <w:szCs w:val="21"/>
                <w:highlight w:val="none"/>
              </w:rPr>
            </w:pPr>
          </w:p>
        </w:tc>
      </w:tr>
    </w:tbl>
    <w:p w14:paraId="48A8328F">
      <w:pPr>
        <w:ind w:left="62" w:firstLine="480" w:firstLineChars="200"/>
        <w:rPr>
          <w:rFonts w:hint="eastAsia" w:ascii="宋体" w:hAnsi="宋体" w:eastAsia="宋体" w:cs="宋体"/>
          <w:bCs/>
          <w:sz w:val="24"/>
          <w:highlight w:val="none"/>
          <w:lang w:val="en-GB" w:eastAsia="zh-CN"/>
        </w:rPr>
      </w:pPr>
    </w:p>
    <w:p w14:paraId="12E1461F">
      <w:pPr>
        <w:spacing w:line="240"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注：就本项目拟投入的设备、工具和材料进行说明。</w:t>
      </w:r>
    </w:p>
    <w:p w14:paraId="4535342D">
      <w:pPr>
        <w:snapToGrid w:val="0"/>
        <w:spacing w:line="240" w:lineRule="auto"/>
        <w:jc w:val="both"/>
        <w:rPr>
          <w:rFonts w:hint="eastAsia" w:ascii="宋体" w:hAnsi="宋体" w:eastAsia="宋体" w:cs="宋体"/>
          <w:szCs w:val="21"/>
          <w:highlight w:val="none"/>
        </w:rPr>
      </w:pPr>
    </w:p>
    <w:p w14:paraId="332D0DD2">
      <w:pPr>
        <w:snapToGrid w:val="0"/>
        <w:spacing w:line="240"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2AF0255">
      <w:pPr>
        <w:snapToGrid w:val="0"/>
        <w:spacing w:line="240"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1373ADED">
      <w:pPr>
        <w:spacing w:line="240" w:lineRule="auto"/>
        <w:ind w:firstLine="420" w:firstLineChars="200"/>
        <w:jc w:val="both"/>
        <w:rPr>
          <w:rFonts w:hint="eastAsia" w:ascii="宋体" w:hAnsi="宋体" w:eastAsia="宋体" w:cs="宋体"/>
          <w:szCs w:val="21"/>
          <w:highlight w:val="none"/>
        </w:rPr>
      </w:pPr>
      <w:r>
        <w:rPr>
          <w:rFonts w:hint="eastAsia" w:ascii="宋体" w:hAnsi="宋体" w:eastAsia="宋体" w:cs="宋体"/>
          <w:szCs w:val="21"/>
          <w:highlight w:val="none"/>
        </w:rPr>
        <w:t>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4B1E99B2">
      <w:pPr>
        <w:ind w:left="62" w:firstLine="480" w:firstLineChars="200"/>
        <w:rPr>
          <w:rFonts w:hint="eastAsia" w:ascii="宋体" w:hAnsi="宋体" w:eastAsia="宋体" w:cs="宋体"/>
          <w:bCs/>
          <w:sz w:val="24"/>
          <w:highlight w:val="none"/>
          <w:lang w:val="en-GB" w:eastAsia="zh-CN"/>
        </w:rPr>
      </w:pPr>
      <w:r>
        <w:rPr>
          <w:rFonts w:hint="eastAsia" w:ascii="宋体" w:hAnsi="宋体" w:eastAsia="宋体" w:cs="宋体"/>
          <w:bCs/>
          <w:sz w:val="24"/>
          <w:highlight w:val="none"/>
          <w:lang w:val="en-GB" w:eastAsia="zh-CN"/>
        </w:rPr>
        <w:t>。</w:t>
      </w:r>
    </w:p>
    <w:p w14:paraId="195D3CEA">
      <w:pPr>
        <w:adjustRightInd w:val="0"/>
        <w:snapToGrid w:val="0"/>
        <w:spacing w:line="30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5D40033C">
      <w:pPr>
        <w:keepNext/>
        <w:keepLines/>
        <w:widowControl w:val="0"/>
        <w:numPr>
          <w:ilvl w:val="0"/>
          <w:numId w:val="0"/>
        </w:numPr>
        <w:tabs>
          <w:tab w:val="left" w:pos="945"/>
        </w:tabs>
        <w:wordWrap w:val="0"/>
        <w:spacing w:before="0" w:after="0" w:line="360" w:lineRule="auto"/>
        <w:jc w:val="both"/>
        <w:outlineLvl w:val="2"/>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4.5针对“第二部分 用户需求”承诺条款的承诺函</w:t>
      </w:r>
    </w:p>
    <w:p w14:paraId="360F1B84">
      <w:pPr>
        <w:wordWrap w:val="0"/>
        <w:ind w:left="2" w:leftChars="1"/>
        <w:jc w:val="both"/>
        <w:rPr>
          <w:rFonts w:hint="eastAsia" w:ascii="Times New Roman" w:hAnsi="Times New Roman" w:eastAsia="宋体" w:cs="Times New Roman"/>
          <w:color w:val="auto"/>
          <w:sz w:val="24"/>
          <w:szCs w:val="22"/>
          <w:highlight w:val="none"/>
        </w:rPr>
      </w:pPr>
    </w:p>
    <w:p w14:paraId="154A2621">
      <w:pPr>
        <w:wordWrap w:val="0"/>
        <w:ind w:left="2" w:leftChars="1"/>
        <w:jc w:val="both"/>
        <w:rPr>
          <w:rFonts w:hint="eastAsia" w:ascii="Times New Roman" w:hAnsi="Times New Roman" w:eastAsia="宋体" w:cs="Times New Roman"/>
          <w:color w:val="auto"/>
          <w:sz w:val="24"/>
          <w:szCs w:val="22"/>
          <w:highlight w:val="none"/>
        </w:rPr>
      </w:pPr>
      <w:r>
        <w:rPr>
          <w:rFonts w:hint="eastAsia" w:ascii="Times New Roman" w:hAnsi="Times New Roman" w:eastAsia="宋体" w:cs="Times New Roman"/>
          <w:color w:val="auto"/>
          <w:sz w:val="24"/>
          <w:szCs w:val="22"/>
          <w:highlight w:val="none"/>
          <w:lang w:val="en-US" w:eastAsia="zh-CN"/>
        </w:rPr>
        <w:t>中山大学孙逸仙纪念医院深汕中心医院</w:t>
      </w:r>
      <w:r>
        <w:rPr>
          <w:rFonts w:hint="eastAsia" w:ascii="Times New Roman" w:hAnsi="Times New Roman" w:eastAsia="宋体" w:cs="Times New Roman"/>
          <w:color w:val="auto"/>
          <w:sz w:val="24"/>
          <w:szCs w:val="22"/>
          <w:highlight w:val="none"/>
        </w:rPr>
        <w:t>：</w:t>
      </w:r>
    </w:p>
    <w:p w14:paraId="2B42E2D7">
      <w:pPr>
        <w:widowControl w:val="0"/>
        <w:wordWrap w:val="0"/>
        <w:spacing w:line="360" w:lineRule="auto"/>
        <w:ind w:left="2" w:leftChars="1" w:firstLine="420"/>
        <w:jc w:val="both"/>
        <w:rPr>
          <w:rFonts w:hint="eastAsia"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我司参加贵方组织的招标文件编号为</w:t>
      </w:r>
      <w:r>
        <w:rPr>
          <w:rFonts w:hint="eastAsia" w:ascii="Times New Roman" w:hAnsi="Times New Roman" w:eastAsia="宋体" w:cs="Times New Roman"/>
          <w:b/>
          <w:bCs/>
          <w:color w:val="auto"/>
          <w:kern w:val="2"/>
          <w:sz w:val="24"/>
          <w:szCs w:val="20"/>
          <w:highlight w:val="none"/>
          <w:lang w:val="en-US" w:eastAsia="zh-CN" w:bidi="ar-SA"/>
        </w:rPr>
        <w:fldChar w:fldCharType="begin"/>
      </w:r>
      <w:r>
        <w:rPr>
          <w:rFonts w:hint="eastAsia" w:ascii="Times New Roman" w:hAnsi="Times New Roman" w:eastAsia="宋体" w:cs="Times New Roman"/>
          <w:b/>
          <w:bCs/>
          <w:color w:val="auto"/>
          <w:kern w:val="2"/>
          <w:sz w:val="24"/>
          <w:szCs w:val="20"/>
          <w:highlight w:val="none"/>
          <w:lang w:val="en-US" w:eastAsia="zh-CN" w:bidi="ar-SA"/>
        </w:rPr>
        <w:instrText xml:space="preserve"> HYPERLINK "javascript:void(0)" </w:instrText>
      </w:r>
      <w:r>
        <w:rPr>
          <w:rFonts w:hint="eastAsia" w:ascii="Times New Roman" w:hAnsi="Times New Roman" w:eastAsia="宋体" w:cs="Times New Roman"/>
          <w:b/>
          <w:bCs/>
          <w:color w:val="auto"/>
          <w:kern w:val="2"/>
          <w:sz w:val="24"/>
          <w:szCs w:val="20"/>
          <w:highlight w:val="none"/>
          <w:lang w:val="en-US" w:eastAsia="zh-CN" w:bidi="ar-SA"/>
        </w:rPr>
        <w:fldChar w:fldCharType="separate"/>
      </w:r>
      <w:r>
        <w:rPr>
          <w:rFonts w:hint="eastAsia" w:ascii="Times New Roman" w:hAnsi="Times New Roman" w:eastAsia="宋体" w:cs="Times New Roman"/>
          <w:b/>
          <w:bCs/>
          <w:color w:val="auto"/>
          <w:kern w:val="2"/>
          <w:sz w:val="24"/>
          <w:szCs w:val="20"/>
          <w:highlight w:val="none"/>
          <w:lang w:val="en-US" w:eastAsia="zh-CN" w:bidi="ar-SA"/>
        </w:rPr>
        <w:t>0724-2530SW904000</w:t>
      </w:r>
      <w:r>
        <w:rPr>
          <w:rFonts w:hint="eastAsia" w:ascii="Times New Roman" w:hAnsi="Times New Roman" w:eastAsia="宋体" w:cs="Times New Roman"/>
          <w:b/>
          <w:bCs/>
          <w:color w:val="auto"/>
          <w:kern w:val="2"/>
          <w:sz w:val="24"/>
          <w:szCs w:val="20"/>
          <w:highlight w:val="none"/>
          <w:lang w:val="en-US" w:eastAsia="zh-CN" w:bidi="ar-SA"/>
        </w:rPr>
        <w:fldChar w:fldCharType="end"/>
      </w:r>
      <w:r>
        <w:rPr>
          <w:rFonts w:hint="eastAsia" w:ascii="Times New Roman" w:hAnsi="Times New Roman" w:eastAsia="宋体" w:cs="Times New Roman"/>
          <w:color w:val="auto"/>
          <w:kern w:val="2"/>
          <w:sz w:val="24"/>
          <w:szCs w:val="20"/>
          <w:highlight w:val="none"/>
          <w:lang w:val="en-US" w:eastAsia="zh-CN" w:bidi="ar-SA"/>
        </w:rPr>
        <w:t>的</w:t>
      </w:r>
      <w:r>
        <w:rPr>
          <w:rFonts w:hint="eastAsia" w:ascii="Times New Roman" w:hAnsi="Times New Roman" w:eastAsia="宋体" w:cs="Times New Roman"/>
          <w:b/>
          <w:bCs/>
          <w:color w:val="auto"/>
          <w:kern w:val="2"/>
          <w:sz w:val="24"/>
          <w:szCs w:val="20"/>
          <w:highlight w:val="none"/>
          <w:lang w:val="en-US" w:eastAsia="zh-CN" w:bidi="ar-SA"/>
        </w:rPr>
        <w:t>中山大学孙逸仙纪念医院深汕中心医院食堂管理及餐饮服务项目</w:t>
      </w:r>
      <w:r>
        <w:rPr>
          <w:rFonts w:hint="eastAsia" w:ascii="Times New Roman" w:hAnsi="Times New Roman" w:eastAsia="宋体" w:cs="Times New Roman"/>
          <w:color w:val="auto"/>
          <w:kern w:val="2"/>
          <w:sz w:val="24"/>
          <w:szCs w:val="20"/>
          <w:highlight w:val="none"/>
          <w:lang w:val="en-US" w:eastAsia="zh-CN" w:bidi="ar-SA"/>
        </w:rPr>
        <w:t>招标采购活动。针对招标文件“第二部分 用户需求”中，所有要求投标人提供书面承诺的条款，我司现作出如下承诺：</w:t>
      </w:r>
    </w:p>
    <w:p w14:paraId="4CDC8E27">
      <w:pPr>
        <w:widowControl w:val="0"/>
        <w:wordWrap w:val="0"/>
        <w:spacing w:line="360" w:lineRule="auto"/>
        <w:ind w:left="2" w:leftChars="1" w:firstLine="420"/>
        <w:jc w:val="both"/>
        <w:rPr>
          <w:rFonts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我司充分理解本项目招标文件“第二部分 用户需求”中要求投标人提供承诺的所有条款的真实意思及其所包含的责任和合同义务（如成功缔约）。通过盖章签署本承诺函，我司一并承诺对上述有关条款能够完全按照“用户需求”的要求满足条款，并在合同履行过程中按承诺履约。</w:t>
      </w:r>
    </w:p>
    <w:p w14:paraId="40D58228">
      <w:pPr>
        <w:widowControl w:val="0"/>
        <w:wordWrap w:val="0"/>
        <w:spacing w:line="360" w:lineRule="auto"/>
        <w:ind w:left="2" w:leftChars="1" w:firstLine="420"/>
        <w:jc w:val="both"/>
        <w:rPr>
          <w:rFonts w:hint="eastAsia" w:ascii="Times New Roman" w:hAnsi="Times New Roman" w:eastAsia="宋体" w:cs="Times New Roman"/>
          <w:color w:val="auto"/>
          <w:kern w:val="2"/>
          <w:sz w:val="24"/>
          <w:szCs w:val="20"/>
          <w:highlight w:val="none"/>
          <w:lang w:val="en-US" w:eastAsia="zh-CN" w:bidi="ar-SA"/>
        </w:rPr>
      </w:pPr>
    </w:p>
    <w:p w14:paraId="4D179DAC">
      <w:pPr>
        <w:widowControl w:val="0"/>
        <w:wordWrap w:val="0"/>
        <w:spacing w:line="360" w:lineRule="auto"/>
        <w:ind w:left="2" w:leftChars="1" w:firstLine="420"/>
        <w:jc w:val="both"/>
        <w:rPr>
          <w:rFonts w:hint="eastAsia" w:ascii="Times New Roman" w:hAnsi="Times New Roman" w:eastAsia="宋体" w:cs="Times New Roman"/>
          <w:color w:val="auto"/>
          <w:kern w:val="2"/>
          <w:sz w:val="24"/>
          <w:szCs w:val="20"/>
          <w:highlight w:val="none"/>
          <w:lang w:val="en-US" w:eastAsia="zh-CN" w:bidi="ar-SA"/>
        </w:rPr>
      </w:pPr>
    </w:p>
    <w:p w14:paraId="5EFDDBB8">
      <w:pPr>
        <w:widowControl w:val="0"/>
        <w:wordWrap w:val="0"/>
        <w:spacing w:line="360" w:lineRule="auto"/>
        <w:ind w:left="2" w:leftChars="1" w:firstLine="420"/>
        <w:jc w:val="both"/>
        <w:rPr>
          <w:rFonts w:hint="eastAsia" w:ascii="Times New Roman" w:hAnsi="Times New Roman" w:eastAsia="宋体" w:cs="Times New Roman"/>
          <w:color w:val="auto"/>
          <w:kern w:val="2"/>
          <w:sz w:val="24"/>
          <w:szCs w:val="20"/>
          <w:highlight w:val="none"/>
          <w:lang w:val="en-US" w:eastAsia="zh-CN" w:bidi="ar-SA"/>
        </w:rPr>
      </w:pPr>
    </w:p>
    <w:p w14:paraId="58CBA0F6">
      <w:pPr>
        <w:widowControl w:val="0"/>
        <w:wordWrap w:val="0"/>
        <w:spacing w:line="360" w:lineRule="auto"/>
        <w:ind w:left="2" w:leftChars="1" w:firstLine="420"/>
        <w:jc w:val="both"/>
        <w:rPr>
          <w:rFonts w:hint="eastAsia" w:ascii="Times New Roman" w:hAnsi="Times New Roman" w:eastAsia="宋体" w:cs="Times New Roman"/>
          <w:color w:val="auto"/>
          <w:kern w:val="2"/>
          <w:sz w:val="24"/>
          <w:szCs w:val="20"/>
          <w:highlight w:val="none"/>
          <w:lang w:val="en-US" w:eastAsia="zh-CN" w:bidi="ar-SA"/>
        </w:rPr>
      </w:pPr>
    </w:p>
    <w:p w14:paraId="412CCACE">
      <w:pPr>
        <w:widowControl w:val="0"/>
        <w:wordWrap w:val="0"/>
        <w:spacing w:line="360" w:lineRule="auto"/>
        <w:ind w:left="2" w:leftChars="1" w:firstLine="420"/>
        <w:jc w:val="both"/>
        <w:rPr>
          <w:rFonts w:hint="eastAsia" w:ascii="Times New Roman" w:hAnsi="Times New Roman" w:eastAsia="宋体" w:cs="Times New Roman"/>
          <w:color w:val="auto"/>
          <w:kern w:val="2"/>
          <w:sz w:val="24"/>
          <w:szCs w:val="20"/>
          <w:highlight w:val="none"/>
          <w:lang w:val="en-US" w:eastAsia="zh-CN" w:bidi="ar-SA"/>
        </w:rPr>
      </w:pPr>
    </w:p>
    <w:p w14:paraId="6877EBED">
      <w:pPr>
        <w:adjustRightInd w:val="0"/>
        <w:snapToGrid w:val="0"/>
        <w:spacing w:line="300" w:lineRule="auto"/>
        <w:jc w:val="right"/>
        <w:rPr>
          <w:rFonts w:hint="eastAsia"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投标人法定代表人（或法定代表人授权代表）签字：</w:t>
      </w:r>
    </w:p>
    <w:p w14:paraId="15EA399D">
      <w:pPr>
        <w:adjustRightInd w:val="0"/>
        <w:snapToGrid w:val="0"/>
        <w:spacing w:line="300" w:lineRule="auto"/>
        <w:jc w:val="right"/>
        <w:rPr>
          <w:rFonts w:hint="eastAsia"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投标人名称（加盖公章）：</w:t>
      </w:r>
    </w:p>
    <w:p w14:paraId="6EC36E07">
      <w:pPr>
        <w:adjustRightInd w:val="0"/>
        <w:snapToGrid w:val="0"/>
        <w:spacing w:line="300" w:lineRule="auto"/>
        <w:jc w:val="right"/>
        <w:rPr>
          <w:rFonts w:hint="eastAsia" w:ascii="Times New Roman" w:hAnsi="Times New Roman" w:eastAsia="宋体" w:cs="Times New Roman"/>
          <w:color w:val="auto"/>
          <w:kern w:val="2"/>
          <w:sz w:val="24"/>
          <w:szCs w:val="20"/>
          <w:highlight w:val="none"/>
          <w:lang w:val="en-US" w:eastAsia="zh-CN" w:bidi="ar-SA"/>
        </w:rPr>
      </w:pPr>
      <w:r>
        <w:rPr>
          <w:rFonts w:hint="eastAsia" w:ascii="Times New Roman" w:hAnsi="Times New Roman" w:eastAsia="宋体" w:cs="Times New Roman"/>
          <w:color w:val="auto"/>
          <w:kern w:val="2"/>
          <w:sz w:val="24"/>
          <w:szCs w:val="20"/>
          <w:highlight w:val="none"/>
          <w:lang w:val="en-US" w:eastAsia="zh-CN" w:bidi="ar-SA"/>
        </w:rPr>
        <w:t>日期：年月日</w:t>
      </w:r>
    </w:p>
    <w:p w14:paraId="40C2F27B">
      <w:pPr>
        <w:adjustRightInd w:val="0"/>
        <w:snapToGrid w:val="0"/>
        <w:spacing w:line="300" w:lineRule="auto"/>
        <w:rPr>
          <w:rFonts w:hint="eastAsia" w:ascii="宋体" w:hAnsi="宋体" w:eastAsia="宋体" w:cs="宋体"/>
          <w:sz w:val="28"/>
          <w:szCs w:val="28"/>
          <w:highlight w:val="none"/>
        </w:rPr>
      </w:pPr>
    </w:p>
    <w:p w14:paraId="0345E657">
      <w:pPr>
        <w:adjustRightInd w:val="0"/>
        <w:snapToGrid w:val="0"/>
        <w:spacing w:line="300" w:lineRule="auto"/>
        <w:rPr>
          <w:rFonts w:hint="eastAsia" w:ascii="宋体" w:hAnsi="宋体" w:eastAsia="宋体" w:cs="宋体"/>
          <w:sz w:val="28"/>
          <w:szCs w:val="28"/>
          <w:highlight w:val="none"/>
        </w:rPr>
      </w:pPr>
    </w:p>
    <w:p w14:paraId="6FF605CB">
      <w:pPr>
        <w:adjustRightInd w:val="0"/>
        <w:snapToGrid w:val="0"/>
        <w:spacing w:line="300" w:lineRule="auto"/>
        <w:rPr>
          <w:rFonts w:hint="eastAsia" w:ascii="宋体" w:hAnsi="宋体" w:eastAsia="宋体" w:cs="宋体"/>
          <w:sz w:val="28"/>
          <w:szCs w:val="28"/>
          <w:highlight w:val="none"/>
        </w:rPr>
      </w:pPr>
    </w:p>
    <w:p w14:paraId="5B34CA90">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431210E">
      <w:pPr>
        <w:adjustRightInd w:val="0"/>
        <w:snapToGrid w:val="0"/>
        <w:spacing w:line="300" w:lineRule="auto"/>
        <w:rPr>
          <w:rFonts w:hint="eastAsia" w:ascii="宋体" w:hAnsi="宋体" w:eastAsia="宋体" w:cs="宋体"/>
          <w:sz w:val="28"/>
          <w:szCs w:val="28"/>
          <w:highlight w:val="none"/>
        </w:rPr>
      </w:pPr>
    </w:p>
    <w:p w14:paraId="464F1BA6">
      <w:pPr>
        <w:pStyle w:val="92"/>
        <w:jc w:val="center"/>
        <w:rPr>
          <w:rFonts w:hint="eastAsia" w:ascii="宋体" w:hAnsi="宋体" w:eastAsia="宋体" w:cs="宋体"/>
          <w:b/>
          <w:sz w:val="44"/>
          <w:szCs w:val="44"/>
          <w:highlight w:val="none"/>
        </w:rPr>
      </w:pPr>
    </w:p>
    <w:p w14:paraId="7CE54C48">
      <w:pPr>
        <w:pStyle w:val="92"/>
        <w:jc w:val="center"/>
        <w:rPr>
          <w:rFonts w:hint="eastAsia" w:ascii="宋体" w:hAnsi="宋体" w:eastAsia="宋体" w:cs="宋体"/>
          <w:b/>
          <w:sz w:val="44"/>
          <w:szCs w:val="44"/>
          <w:highlight w:val="none"/>
        </w:rPr>
      </w:pPr>
    </w:p>
    <w:p w14:paraId="3D3AD506">
      <w:pPr>
        <w:pStyle w:val="92"/>
        <w:jc w:val="center"/>
        <w:rPr>
          <w:rFonts w:hint="eastAsia" w:ascii="宋体" w:hAnsi="宋体" w:eastAsia="宋体" w:cs="宋体"/>
          <w:b/>
          <w:sz w:val="44"/>
          <w:szCs w:val="44"/>
          <w:highlight w:val="none"/>
        </w:rPr>
      </w:pPr>
    </w:p>
    <w:p w14:paraId="0A382B14">
      <w:pPr>
        <w:pStyle w:val="92"/>
        <w:jc w:val="center"/>
        <w:rPr>
          <w:rFonts w:hint="eastAsia" w:ascii="宋体" w:hAnsi="宋体" w:eastAsia="宋体" w:cs="宋体"/>
          <w:b/>
          <w:sz w:val="44"/>
          <w:szCs w:val="44"/>
          <w:highlight w:val="none"/>
        </w:rPr>
      </w:pPr>
    </w:p>
    <w:p w14:paraId="049D6CC4">
      <w:pPr>
        <w:pStyle w:val="92"/>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国e平台投标文件价格文件</w:t>
      </w:r>
    </w:p>
    <w:p w14:paraId="42C52D61">
      <w:pPr>
        <w:adjustRightInd w:val="0"/>
        <w:snapToGrid w:val="0"/>
        <w:spacing w:line="300" w:lineRule="auto"/>
        <w:rPr>
          <w:rFonts w:hint="eastAsia" w:ascii="宋体" w:hAnsi="宋体" w:eastAsia="宋体" w:cs="宋体"/>
          <w:sz w:val="28"/>
          <w:szCs w:val="28"/>
          <w:highlight w:val="none"/>
        </w:rPr>
      </w:pPr>
    </w:p>
    <w:p w14:paraId="3A1A9578">
      <w:pPr>
        <w:pStyle w:val="92"/>
        <w:jc w:val="center"/>
        <w:rPr>
          <w:rFonts w:hint="eastAsia" w:ascii="宋体" w:hAnsi="宋体" w:eastAsia="宋体" w:cs="宋体"/>
          <w:b/>
          <w:sz w:val="28"/>
          <w:szCs w:val="28"/>
          <w:highlight w:val="none"/>
        </w:rPr>
      </w:pPr>
      <w:bookmarkStart w:id="35" w:name="_Toc202251078"/>
      <w:bookmarkStart w:id="36" w:name="_Toc202251703"/>
      <w:bookmarkStart w:id="37" w:name="_Toc202254108"/>
      <w:bookmarkStart w:id="38" w:name="_Toc202820355"/>
      <w:bookmarkStart w:id="39" w:name="_Toc202252037"/>
      <w:bookmarkStart w:id="40" w:name="_Toc202819882"/>
      <w:bookmarkStart w:id="41" w:name="_Toc202817000"/>
      <w:r>
        <w:rPr>
          <w:rFonts w:hint="eastAsia" w:ascii="宋体" w:hAnsi="宋体" w:eastAsia="宋体" w:cs="宋体"/>
          <w:b/>
          <w:sz w:val="28"/>
          <w:szCs w:val="28"/>
          <w:highlight w:val="none"/>
        </w:rPr>
        <w:br w:type="page"/>
      </w:r>
      <w:r>
        <w:rPr>
          <w:rFonts w:hint="eastAsia" w:ascii="宋体" w:hAnsi="宋体" w:eastAsia="宋体" w:cs="宋体"/>
          <w:b/>
          <w:sz w:val="28"/>
          <w:szCs w:val="28"/>
          <w:highlight w:val="none"/>
        </w:rPr>
        <w:t>五、价格部分</w:t>
      </w:r>
      <w:bookmarkEnd w:id="35"/>
      <w:bookmarkEnd w:id="36"/>
      <w:bookmarkEnd w:id="37"/>
      <w:bookmarkEnd w:id="38"/>
      <w:bookmarkEnd w:id="39"/>
      <w:bookmarkEnd w:id="40"/>
      <w:bookmarkEnd w:id="41"/>
    </w:p>
    <w:p w14:paraId="66B3CDBA">
      <w:pPr>
        <w:rPr>
          <w:rFonts w:hint="eastAsia" w:ascii="宋体" w:hAnsi="宋体" w:eastAsia="宋体" w:cs="宋体"/>
          <w:b/>
          <w:sz w:val="24"/>
          <w:highlight w:val="none"/>
        </w:rPr>
      </w:pPr>
      <w:r>
        <w:rPr>
          <w:rFonts w:hint="eastAsia" w:ascii="宋体" w:hAnsi="宋体" w:eastAsia="宋体" w:cs="宋体"/>
          <w:b/>
          <w:sz w:val="24"/>
          <w:highlight w:val="none"/>
        </w:rPr>
        <w:t>5.1开标一览表</w:t>
      </w:r>
    </w:p>
    <w:p w14:paraId="643FD17C">
      <w:pPr>
        <w:adjustRightInd w:val="0"/>
        <w:snapToGrid w:val="0"/>
        <w:rPr>
          <w:rFonts w:hint="eastAsia" w:ascii="宋体" w:hAnsi="宋体" w:eastAsia="宋体" w:cs="宋体"/>
          <w:szCs w:val="21"/>
          <w:highlight w:val="non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403"/>
        <w:gridCol w:w="1687"/>
        <w:gridCol w:w="2744"/>
        <w:gridCol w:w="1725"/>
      </w:tblGrid>
      <w:tr w14:paraId="4910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17" w:type="dxa"/>
            <w:gridSpan w:val="5"/>
            <w:vAlign w:val="center"/>
          </w:tcPr>
          <w:p w14:paraId="1BAC9F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20" w:firstLineChars="20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食堂按面积收取管理费方案报价（元/月）</w:t>
            </w:r>
          </w:p>
        </w:tc>
      </w:tr>
      <w:tr w14:paraId="5373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58" w:type="dxa"/>
            <w:vAlign w:val="center"/>
          </w:tcPr>
          <w:p w14:paraId="5950277E">
            <w:p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bCs/>
                <w:color w:val="auto"/>
                <w:szCs w:val="24"/>
                <w:highlight w:val="none"/>
              </w:rPr>
              <w:t>项目名称</w:t>
            </w:r>
          </w:p>
        </w:tc>
        <w:tc>
          <w:tcPr>
            <w:tcW w:w="1403" w:type="dxa"/>
            <w:vAlign w:val="center"/>
          </w:tcPr>
          <w:p w14:paraId="61586FFB">
            <w:pPr>
              <w:jc w:val="center"/>
              <w:rPr>
                <w:rFonts w:hint="eastAsia" w:ascii="宋体" w:hAnsi="宋体" w:eastAsia="宋体" w:cs="宋体"/>
                <w:b w:val="0"/>
                <w:bCs w:val="0"/>
                <w:color w:val="auto"/>
                <w:sz w:val="21"/>
                <w:szCs w:val="21"/>
                <w:highlight w:val="none"/>
                <w:vertAlign w:val="baseline"/>
                <w:lang w:val="en-US" w:eastAsia="zh-CN"/>
              </w:rPr>
            </w:pPr>
            <w:r>
              <w:rPr>
                <w:rFonts w:hint="eastAsia" w:ascii="Times New Roman" w:hAnsi="Times New Roman"/>
                <w:bCs/>
                <w:color w:val="auto"/>
                <w:szCs w:val="24"/>
                <w:highlight w:val="none"/>
                <w:lang w:val="en-US" w:eastAsia="zh-CN"/>
              </w:rPr>
              <w:t>服务期</w:t>
            </w:r>
          </w:p>
        </w:tc>
        <w:tc>
          <w:tcPr>
            <w:tcW w:w="1687" w:type="dxa"/>
            <w:vAlign w:val="center"/>
          </w:tcPr>
          <w:p w14:paraId="0C5F0C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使用面积(m²)</w:t>
            </w:r>
          </w:p>
        </w:tc>
        <w:tc>
          <w:tcPr>
            <w:tcW w:w="2744" w:type="dxa"/>
            <w:vAlign w:val="center"/>
          </w:tcPr>
          <w:p w14:paraId="3CDC77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管理费费用元/m²(≥15元)</w:t>
            </w:r>
          </w:p>
        </w:tc>
        <w:tc>
          <w:tcPr>
            <w:tcW w:w="1725" w:type="dxa"/>
            <w:vAlign w:val="center"/>
          </w:tcPr>
          <w:p w14:paraId="3CB084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20" w:firstLineChars="20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合计</w:t>
            </w:r>
          </w:p>
          <w:p w14:paraId="38474B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20" w:firstLineChars="20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（元/月）</w:t>
            </w:r>
          </w:p>
        </w:tc>
      </w:tr>
      <w:tr w14:paraId="2B7E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58" w:type="dxa"/>
            <w:vAlign w:val="center"/>
          </w:tcPr>
          <w:p w14:paraId="6E4B62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中山大学孙逸仙纪念医院深汕中心医院食堂管理及餐饮服务项目</w:t>
            </w:r>
          </w:p>
        </w:tc>
        <w:tc>
          <w:tcPr>
            <w:tcW w:w="1403" w:type="dxa"/>
            <w:vAlign w:val="center"/>
          </w:tcPr>
          <w:p w14:paraId="52227D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3年</w:t>
            </w:r>
          </w:p>
        </w:tc>
        <w:tc>
          <w:tcPr>
            <w:tcW w:w="1687" w:type="dxa"/>
            <w:vAlign w:val="center"/>
          </w:tcPr>
          <w:p w14:paraId="7A2B87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20" w:firstLineChars="200"/>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2852</w:t>
            </w:r>
          </w:p>
        </w:tc>
        <w:tc>
          <w:tcPr>
            <w:tcW w:w="2744" w:type="dxa"/>
            <w:vAlign w:val="center"/>
          </w:tcPr>
          <w:p w14:paraId="6E7122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20" w:firstLineChars="200"/>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1725" w:type="dxa"/>
            <w:vAlign w:val="center"/>
          </w:tcPr>
          <w:p w14:paraId="5341B4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420" w:firstLineChars="200"/>
              <w:jc w:val="center"/>
              <w:textAlignment w:val="auto"/>
              <w:rPr>
                <w:rFonts w:hint="eastAsia" w:ascii="宋体" w:hAnsi="宋体" w:eastAsia="宋体" w:cs="宋体"/>
                <w:b w:val="0"/>
                <w:bCs w:val="0"/>
                <w:color w:val="auto"/>
                <w:sz w:val="21"/>
                <w:szCs w:val="21"/>
                <w:highlight w:val="none"/>
                <w:vertAlign w:val="baseline"/>
                <w:lang w:val="en-US" w:eastAsia="zh-CN"/>
              </w:rPr>
            </w:pPr>
          </w:p>
        </w:tc>
      </w:tr>
    </w:tbl>
    <w:p w14:paraId="69E95D36">
      <w:pPr>
        <w:adjustRightInd w:val="0"/>
        <w:snapToGrid w:val="0"/>
        <w:rPr>
          <w:rFonts w:hint="eastAsia" w:ascii="宋体" w:hAnsi="宋体" w:eastAsia="宋体" w:cs="宋体"/>
          <w:szCs w:val="21"/>
          <w:highlight w:val="none"/>
        </w:rPr>
      </w:pPr>
    </w:p>
    <w:p w14:paraId="4EED31FF">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val="en-US" w:eastAsia="zh-CN"/>
        </w:rPr>
        <w:t>投标人</w:t>
      </w:r>
      <w:r>
        <w:rPr>
          <w:rFonts w:hint="eastAsia" w:ascii="宋体" w:hAnsi="宋体" w:eastAsia="宋体" w:cs="宋体"/>
          <w:szCs w:val="21"/>
          <w:highlight w:val="none"/>
        </w:rPr>
        <w:t>须按要求填写所有信息，不得随意更改本表格式。</w:t>
      </w:r>
    </w:p>
    <w:p w14:paraId="797FDB05">
      <w:pPr>
        <w:numPr>
          <w:ilvl w:val="0"/>
          <w:numId w:val="0"/>
        </w:numPr>
        <w:adjustRightInd w:val="0"/>
        <w:snapToGrid w:val="0"/>
        <w:ind w:left="720" w:leftChars="0" w:hanging="720" w:firstLineChars="0"/>
        <w:rPr>
          <w:rFonts w:hint="eastAsia" w:ascii="宋体" w:hAnsi="宋体" w:eastAsia="宋体" w:cs="宋体"/>
          <w:szCs w:val="21"/>
          <w:highlight w:val="none"/>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szCs w:val="21"/>
          <w:highlight w:val="none"/>
        </w:rPr>
        <w:t>此表是</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文件的必要文件，是</w:t>
      </w: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文件的组成部分，还应另附一份在一个信封中，作为唱标之用。</w:t>
      </w:r>
    </w:p>
    <w:p w14:paraId="7EA0E1BF">
      <w:pPr>
        <w:numPr>
          <w:ilvl w:val="0"/>
          <w:numId w:val="0"/>
        </w:numPr>
        <w:adjustRightInd w:val="0"/>
        <w:snapToGrid w:val="0"/>
        <w:ind w:left="720" w:leftChars="0" w:hanging="720" w:firstLineChars="0"/>
        <w:rPr>
          <w:rFonts w:hint="default"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SA"/>
        </w:rPr>
        <w:t>3．</w:t>
      </w:r>
      <w:r>
        <w:rPr>
          <w:rFonts w:hint="eastAsia" w:ascii="宋体" w:hAnsi="宋体" w:cs="宋体"/>
          <w:kern w:val="2"/>
          <w:sz w:val="21"/>
          <w:szCs w:val="21"/>
          <w:highlight w:val="none"/>
          <w:lang w:val="en-US" w:eastAsia="zh-CN" w:bidi="ar-SA"/>
        </w:rPr>
        <w:t>计算方式 ：</w:t>
      </w:r>
      <w:r>
        <w:rPr>
          <w:rFonts w:hint="eastAsia" w:ascii="宋体" w:hAnsi="宋体" w:eastAsia="宋体" w:cs="宋体"/>
          <w:szCs w:val="21"/>
          <w:highlight w:val="none"/>
          <w:lang w:val="en-US" w:eastAsia="zh-CN"/>
        </w:rPr>
        <w:t>合计</w:t>
      </w:r>
      <w:r>
        <w:rPr>
          <w:rFonts w:hint="eastAsia" w:ascii="宋体" w:hAnsi="宋体" w:cs="宋体"/>
          <w:szCs w:val="21"/>
          <w:highlight w:val="none"/>
          <w:lang w:val="en-US" w:eastAsia="zh-CN"/>
        </w:rPr>
        <w:t>=使用面积(m²)*管理费费用元/m²(≥15元)</w:t>
      </w:r>
    </w:p>
    <w:p w14:paraId="574D7B2B">
      <w:pPr>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p>
    <w:p w14:paraId="1315AACC">
      <w:pPr>
        <w:adjustRightInd w:val="0"/>
        <w:snapToGrid w:val="0"/>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p>
    <w:p w14:paraId="6DB87042">
      <w:pPr>
        <w:rPr>
          <w:rFonts w:hint="eastAsia" w:ascii="宋体" w:hAnsi="宋体" w:eastAsia="宋体" w:cs="宋体"/>
          <w:szCs w:val="21"/>
          <w:highlight w:val="none"/>
        </w:rPr>
      </w:pPr>
      <w:r>
        <w:rPr>
          <w:rFonts w:hint="eastAsia" w:ascii="宋体" w:hAnsi="宋体" w:eastAsia="宋体" w:cs="宋体"/>
          <w:szCs w:val="21"/>
          <w:highlight w:val="none"/>
        </w:rPr>
        <w:t xml:space="preserve">日期：     </w:t>
      </w:r>
    </w:p>
    <w:sectPr>
      <w:headerReference r:id="rId9" w:type="default"/>
      <w:footerReference r:id="rId10" w:type="default"/>
      <w:pgSz w:w="11906" w:h="16838"/>
      <w:pgMar w:top="1440" w:right="1134" w:bottom="1440" w:left="99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kzidenz Grotesk BQ">
    <w:altName w:val="新宋体"/>
    <w:panose1 w:val="00000000000000000000"/>
    <w:charset w:val="00"/>
    <w:family w:val="swiss"/>
    <w:pitch w:val="default"/>
    <w:sig w:usb0="00000000" w:usb1="00000000" w:usb2="00000010" w:usb3="00000000" w:csb0="00040001"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41EFF">
    <w:pPr>
      <w:pStyle w:val="26"/>
      <w:ind w:right="360"/>
    </w:pPr>
    <w:r>
      <w:rPr>
        <w:sz w:val="20"/>
        <w:szCs w:val="21"/>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a:noFill/>
                      </a:ln>
                      <a:effectLst/>
                    </wps:spPr>
                    <wps:txbx>
                      <w:txbxContent>
                        <w:p w14:paraId="79E507CB">
                          <w:pPr>
                            <w:rPr>
                              <w:b/>
                              <w:bCs/>
                              <w:color w:val="FFFFFF"/>
                            </w:rPr>
                          </w:pPr>
                        </w:p>
                      </w:txbxContent>
                    </wps:txbx>
                    <wps:bodyPr vert="horz" wrap="square" anchor="t" anchorCtr="0" upright="1"/>
                  </wps:wsp>
                </a:graphicData>
              </a:graphic>
            </wp:anchor>
          </w:drawing>
        </mc:Choice>
        <mc:Fallback>
          <w:pict>
            <v:shape id="文本框 1" o:spid="_x0000_s1026" o:spt="202" type="#_x0000_t202" style="position:absolute;left:0pt;margin-left:432pt;margin-top:-4.2pt;height:23.4pt;width:90pt;z-index:251659264;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UqFA9YAAAAKAQAADwAAAAAAAAABACAAAAAiAAAAZHJz&#10;L2Rvd25yZXYueG1sUEsBAhQAFAAAAAgAh07iQKq9zvHNAQAAkAMAAA4AAAAAAAAAAQAgAAAAJQEA&#10;AGRycy9lMm9Eb2MueG1sUEsFBgAAAAAGAAYAWQEAAGQFAAAAAA==&#10;">
              <v:fill on="f" focussize="0,0"/>
              <v:stroke on="f"/>
              <v:imagedata o:title=""/>
              <o:lock v:ext="edit" aspectratio="f"/>
              <v:textbox>
                <w:txbxContent>
                  <w:p w14:paraId="79E507CB">
                    <w:pPr>
                      <w:rPr>
                        <w:b/>
                        <w:bCs/>
                        <w:color w:val="FFFFFF"/>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3553">
    <w:pPr>
      <w:pStyle w:val="26"/>
      <w:framePr w:wrap="around" w:vAnchor="text" w:hAnchor="margin" w:xAlign="center" w:y="1"/>
      <w:rPr>
        <w:rStyle w:val="47"/>
      </w:rPr>
    </w:pPr>
    <w:r>
      <w:fldChar w:fldCharType="begin"/>
    </w:r>
    <w:r>
      <w:rPr>
        <w:rStyle w:val="47"/>
      </w:rPr>
      <w:instrText xml:space="preserve">PAGE  </w:instrText>
    </w:r>
    <w:r>
      <w:fldChar w:fldCharType="end"/>
    </w:r>
  </w:p>
  <w:p w14:paraId="4E52FE17">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C866">
    <w:pPr>
      <w:pStyle w:val="26"/>
      <w:framePr w:wrap="around" w:vAnchor="text" w:hAnchor="margin" w:xAlign="center" w:y="1"/>
      <w:rPr>
        <w:rStyle w:val="47"/>
      </w:rPr>
    </w:pPr>
    <w:r>
      <w:fldChar w:fldCharType="begin"/>
    </w:r>
    <w:r>
      <w:rPr>
        <w:rStyle w:val="47"/>
      </w:rPr>
      <w:instrText xml:space="preserve">PAGE  </w:instrText>
    </w:r>
    <w:r>
      <w:fldChar w:fldCharType="separate"/>
    </w:r>
    <w:r>
      <w:rPr>
        <w:rStyle w:val="47"/>
      </w:rPr>
      <w:t>1</w:t>
    </w:r>
    <w:r>
      <w:fldChar w:fldCharType="end"/>
    </w:r>
  </w:p>
  <w:p w14:paraId="463DD59A">
    <w:pPr>
      <w:pStyle w:val="2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9BB4">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0351">
    <w:pPr>
      <w:pStyle w:val="28"/>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F58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E041C"/>
    <w:multiLevelType w:val="singleLevel"/>
    <w:tmpl w:val="9FAE041C"/>
    <w:lvl w:ilvl="0" w:tentative="0">
      <w:start w:val="1"/>
      <w:numFmt w:val="decimal"/>
      <w:suff w:val="nothing"/>
      <w:lvlText w:val="%1、"/>
      <w:lvlJc w:val="left"/>
    </w:lvl>
  </w:abstractNum>
  <w:abstractNum w:abstractNumId="1">
    <w:nsid w:val="A55C63FE"/>
    <w:multiLevelType w:val="singleLevel"/>
    <w:tmpl w:val="A55C63FE"/>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pStyle w:val="13"/>
      <w:lvlText w:val="%1."/>
      <w:lvlJc w:val="left"/>
      <w:pPr>
        <w:tabs>
          <w:tab w:val="left" w:pos="360"/>
        </w:tabs>
        <w:ind w:left="360" w:hanging="360"/>
      </w:pPr>
      <w:rPr>
        <w:rFonts w:cs="Times New Roman"/>
      </w:rPr>
    </w:lvl>
  </w:abstractNum>
  <w:abstractNum w:abstractNumId="3">
    <w:nsid w:val="0000000B"/>
    <w:multiLevelType w:val="multilevel"/>
    <w:tmpl w:val="0000000B"/>
    <w:lvl w:ilvl="0" w:tentative="0">
      <w:start w:val="1"/>
      <w:numFmt w:val="decimal"/>
      <w:pStyle w:val="13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C"/>
    <w:multiLevelType w:val="multilevel"/>
    <w:tmpl w:val="0000000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japaneseCounting"/>
      <w:lvlText w:val="%1、"/>
      <w:lvlJc w:val="left"/>
      <w:pPr>
        <w:ind w:left="360" w:hanging="36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AC17DFA"/>
    <w:multiLevelType w:val="singleLevel"/>
    <w:tmpl w:val="7AC17DFA"/>
    <w:lvl w:ilvl="0" w:tentative="0">
      <w:start w:val="1"/>
      <w:numFmt w:val="decimal"/>
      <w:lvlText w:val="%1."/>
      <w:lvlJc w:val="left"/>
      <w:pPr>
        <w:tabs>
          <w:tab w:val="left" w:pos="312"/>
        </w:tabs>
      </w:pPr>
    </w:lvl>
  </w:abstractNum>
  <w:num w:numId="1">
    <w:abstractNumId w:val="2"/>
  </w:num>
  <w:num w:numId="2">
    <w:abstractNumId w:val="3"/>
  </w:num>
  <w:num w:numId="3">
    <w:abstractNumId w:val="5"/>
    <w:lvlOverride w:ilvl="0">
      <w:startOverride w:val="1"/>
    </w:lvlOverride>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MjMzMzRmMDg4N2UzODQ0YTZiNThjZmI5NDQ4NGMifQ=="/>
  </w:docVars>
  <w:rsids>
    <w:rsidRoot w:val="00172A27"/>
    <w:rsid w:val="00001A89"/>
    <w:rsid w:val="00003D32"/>
    <w:rsid w:val="00004584"/>
    <w:rsid w:val="00007289"/>
    <w:rsid w:val="00010C86"/>
    <w:rsid w:val="00010E19"/>
    <w:rsid w:val="00012F84"/>
    <w:rsid w:val="00014898"/>
    <w:rsid w:val="00015034"/>
    <w:rsid w:val="00015736"/>
    <w:rsid w:val="00020AF0"/>
    <w:rsid w:val="00021B1E"/>
    <w:rsid w:val="00024876"/>
    <w:rsid w:val="00027008"/>
    <w:rsid w:val="00027F96"/>
    <w:rsid w:val="00030ABE"/>
    <w:rsid w:val="0003271A"/>
    <w:rsid w:val="00033505"/>
    <w:rsid w:val="00033D4F"/>
    <w:rsid w:val="00033D89"/>
    <w:rsid w:val="00034062"/>
    <w:rsid w:val="00041995"/>
    <w:rsid w:val="00043EFC"/>
    <w:rsid w:val="000446A5"/>
    <w:rsid w:val="00044DCB"/>
    <w:rsid w:val="00044E66"/>
    <w:rsid w:val="000461A2"/>
    <w:rsid w:val="00046B08"/>
    <w:rsid w:val="00046EC3"/>
    <w:rsid w:val="000474EA"/>
    <w:rsid w:val="00050EB5"/>
    <w:rsid w:val="000510A7"/>
    <w:rsid w:val="00051972"/>
    <w:rsid w:val="000540D6"/>
    <w:rsid w:val="00054241"/>
    <w:rsid w:val="000543F7"/>
    <w:rsid w:val="00054C86"/>
    <w:rsid w:val="0005521B"/>
    <w:rsid w:val="0005624D"/>
    <w:rsid w:val="00057287"/>
    <w:rsid w:val="000628C0"/>
    <w:rsid w:val="000636AE"/>
    <w:rsid w:val="00063DA3"/>
    <w:rsid w:val="00067C81"/>
    <w:rsid w:val="000701F6"/>
    <w:rsid w:val="00070BD1"/>
    <w:rsid w:val="000712E9"/>
    <w:rsid w:val="0007218F"/>
    <w:rsid w:val="0007385B"/>
    <w:rsid w:val="00074421"/>
    <w:rsid w:val="00074518"/>
    <w:rsid w:val="00074E08"/>
    <w:rsid w:val="000757B2"/>
    <w:rsid w:val="0007662A"/>
    <w:rsid w:val="00076805"/>
    <w:rsid w:val="00081704"/>
    <w:rsid w:val="00081EFA"/>
    <w:rsid w:val="00082639"/>
    <w:rsid w:val="00083164"/>
    <w:rsid w:val="0008464D"/>
    <w:rsid w:val="00084BEA"/>
    <w:rsid w:val="0008568E"/>
    <w:rsid w:val="00085E98"/>
    <w:rsid w:val="00087E41"/>
    <w:rsid w:val="000909D0"/>
    <w:rsid w:val="00091F2F"/>
    <w:rsid w:val="0009396E"/>
    <w:rsid w:val="00096D5E"/>
    <w:rsid w:val="00097669"/>
    <w:rsid w:val="000977E4"/>
    <w:rsid w:val="000A00CE"/>
    <w:rsid w:val="000A11C0"/>
    <w:rsid w:val="000A2699"/>
    <w:rsid w:val="000A3106"/>
    <w:rsid w:val="000A3BA4"/>
    <w:rsid w:val="000A485D"/>
    <w:rsid w:val="000A4BD7"/>
    <w:rsid w:val="000A4E16"/>
    <w:rsid w:val="000A5F64"/>
    <w:rsid w:val="000A6167"/>
    <w:rsid w:val="000A64DB"/>
    <w:rsid w:val="000B17F1"/>
    <w:rsid w:val="000B1CB7"/>
    <w:rsid w:val="000B51F6"/>
    <w:rsid w:val="000B5493"/>
    <w:rsid w:val="000B6CF6"/>
    <w:rsid w:val="000C00FD"/>
    <w:rsid w:val="000C06C6"/>
    <w:rsid w:val="000C1285"/>
    <w:rsid w:val="000C15F3"/>
    <w:rsid w:val="000C18F9"/>
    <w:rsid w:val="000C1960"/>
    <w:rsid w:val="000C221E"/>
    <w:rsid w:val="000C37DB"/>
    <w:rsid w:val="000C48FC"/>
    <w:rsid w:val="000C66BA"/>
    <w:rsid w:val="000C7342"/>
    <w:rsid w:val="000D2ECB"/>
    <w:rsid w:val="000D35DB"/>
    <w:rsid w:val="000D4465"/>
    <w:rsid w:val="000D59E6"/>
    <w:rsid w:val="000D6795"/>
    <w:rsid w:val="000D6AB2"/>
    <w:rsid w:val="000D700B"/>
    <w:rsid w:val="000D771B"/>
    <w:rsid w:val="000D797C"/>
    <w:rsid w:val="000E0478"/>
    <w:rsid w:val="000E0D45"/>
    <w:rsid w:val="000E1E0C"/>
    <w:rsid w:val="000E1EBB"/>
    <w:rsid w:val="000E1FBA"/>
    <w:rsid w:val="000E3146"/>
    <w:rsid w:val="000E4351"/>
    <w:rsid w:val="000E473E"/>
    <w:rsid w:val="000E5D9B"/>
    <w:rsid w:val="000E6CC9"/>
    <w:rsid w:val="000F0133"/>
    <w:rsid w:val="000F1C37"/>
    <w:rsid w:val="000F1F2E"/>
    <w:rsid w:val="000F2B0B"/>
    <w:rsid w:val="000F4400"/>
    <w:rsid w:val="001005FC"/>
    <w:rsid w:val="00102AFE"/>
    <w:rsid w:val="00103968"/>
    <w:rsid w:val="00104CE4"/>
    <w:rsid w:val="00105251"/>
    <w:rsid w:val="001072AC"/>
    <w:rsid w:val="001072EB"/>
    <w:rsid w:val="00107F25"/>
    <w:rsid w:val="00110E68"/>
    <w:rsid w:val="00111EC7"/>
    <w:rsid w:val="00112314"/>
    <w:rsid w:val="0011328E"/>
    <w:rsid w:val="0011410B"/>
    <w:rsid w:val="00117CCE"/>
    <w:rsid w:val="00117F1E"/>
    <w:rsid w:val="00121168"/>
    <w:rsid w:val="00122003"/>
    <w:rsid w:val="00124E88"/>
    <w:rsid w:val="00125B1E"/>
    <w:rsid w:val="00126B68"/>
    <w:rsid w:val="001306C8"/>
    <w:rsid w:val="0013125B"/>
    <w:rsid w:val="001313F4"/>
    <w:rsid w:val="001317F4"/>
    <w:rsid w:val="0013263A"/>
    <w:rsid w:val="001327C7"/>
    <w:rsid w:val="00132F3E"/>
    <w:rsid w:val="00133C92"/>
    <w:rsid w:val="001343E0"/>
    <w:rsid w:val="001372BB"/>
    <w:rsid w:val="00137C0B"/>
    <w:rsid w:val="001400E7"/>
    <w:rsid w:val="00140921"/>
    <w:rsid w:val="00140B83"/>
    <w:rsid w:val="00140C44"/>
    <w:rsid w:val="00141060"/>
    <w:rsid w:val="001424C2"/>
    <w:rsid w:val="001438AD"/>
    <w:rsid w:val="001454E0"/>
    <w:rsid w:val="001465AA"/>
    <w:rsid w:val="00151EBF"/>
    <w:rsid w:val="0015299F"/>
    <w:rsid w:val="0015431D"/>
    <w:rsid w:val="00154E39"/>
    <w:rsid w:val="00155F1D"/>
    <w:rsid w:val="001613EC"/>
    <w:rsid w:val="00163055"/>
    <w:rsid w:val="00163BD2"/>
    <w:rsid w:val="00165636"/>
    <w:rsid w:val="00165BC7"/>
    <w:rsid w:val="001663A1"/>
    <w:rsid w:val="001669D6"/>
    <w:rsid w:val="00170317"/>
    <w:rsid w:val="0017081F"/>
    <w:rsid w:val="00170F96"/>
    <w:rsid w:val="0017178E"/>
    <w:rsid w:val="00172A27"/>
    <w:rsid w:val="001761A4"/>
    <w:rsid w:val="001773E6"/>
    <w:rsid w:val="00180FE7"/>
    <w:rsid w:val="00181A10"/>
    <w:rsid w:val="00181ABC"/>
    <w:rsid w:val="00182DEC"/>
    <w:rsid w:val="00183918"/>
    <w:rsid w:val="00183920"/>
    <w:rsid w:val="00183BA0"/>
    <w:rsid w:val="0018486C"/>
    <w:rsid w:val="00185B05"/>
    <w:rsid w:val="00186B9D"/>
    <w:rsid w:val="00186F49"/>
    <w:rsid w:val="00187E8E"/>
    <w:rsid w:val="00190D0C"/>
    <w:rsid w:val="001915BA"/>
    <w:rsid w:val="001915E8"/>
    <w:rsid w:val="00191C7C"/>
    <w:rsid w:val="001931F2"/>
    <w:rsid w:val="00193BEF"/>
    <w:rsid w:val="0019407B"/>
    <w:rsid w:val="00194791"/>
    <w:rsid w:val="00196438"/>
    <w:rsid w:val="00196442"/>
    <w:rsid w:val="001972DC"/>
    <w:rsid w:val="001A0400"/>
    <w:rsid w:val="001A051B"/>
    <w:rsid w:val="001A1112"/>
    <w:rsid w:val="001A438D"/>
    <w:rsid w:val="001B0A3C"/>
    <w:rsid w:val="001B2933"/>
    <w:rsid w:val="001B32C4"/>
    <w:rsid w:val="001B3302"/>
    <w:rsid w:val="001B37CE"/>
    <w:rsid w:val="001B37FE"/>
    <w:rsid w:val="001B3A34"/>
    <w:rsid w:val="001B434C"/>
    <w:rsid w:val="001B481A"/>
    <w:rsid w:val="001B4853"/>
    <w:rsid w:val="001B6EF8"/>
    <w:rsid w:val="001B7A6B"/>
    <w:rsid w:val="001B7BF1"/>
    <w:rsid w:val="001C0447"/>
    <w:rsid w:val="001C1B20"/>
    <w:rsid w:val="001C26A9"/>
    <w:rsid w:val="001D08DF"/>
    <w:rsid w:val="001D1AA2"/>
    <w:rsid w:val="001D351F"/>
    <w:rsid w:val="001D3DB1"/>
    <w:rsid w:val="001D3F04"/>
    <w:rsid w:val="001D5805"/>
    <w:rsid w:val="001D5B1C"/>
    <w:rsid w:val="001D5DE4"/>
    <w:rsid w:val="001D62F9"/>
    <w:rsid w:val="001D74D7"/>
    <w:rsid w:val="001D76EC"/>
    <w:rsid w:val="001D7F21"/>
    <w:rsid w:val="001D7FC0"/>
    <w:rsid w:val="001E08F7"/>
    <w:rsid w:val="001E16E9"/>
    <w:rsid w:val="001E210D"/>
    <w:rsid w:val="001E2139"/>
    <w:rsid w:val="001E3A8F"/>
    <w:rsid w:val="001E3B6C"/>
    <w:rsid w:val="001E3D55"/>
    <w:rsid w:val="001E3FD2"/>
    <w:rsid w:val="001E4A25"/>
    <w:rsid w:val="001E4C0E"/>
    <w:rsid w:val="001E56A2"/>
    <w:rsid w:val="001E5F1F"/>
    <w:rsid w:val="001E6C1F"/>
    <w:rsid w:val="001E7F1F"/>
    <w:rsid w:val="001F045C"/>
    <w:rsid w:val="001F1BCE"/>
    <w:rsid w:val="001F35A8"/>
    <w:rsid w:val="001F42D7"/>
    <w:rsid w:val="001F4316"/>
    <w:rsid w:val="001F439D"/>
    <w:rsid w:val="001F6B75"/>
    <w:rsid w:val="0020122A"/>
    <w:rsid w:val="00202C1E"/>
    <w:rsid w:val="00202E7D"/>
    <w:rsid w:val="002038B7"/>
    <w:rsid w:val="0020409B"/>
    <w:rsid w:val="002053D3"/>
    <w:rsid w:val="00207115"/>
    <w:rsid w:val="002078EA"/>
    <w:rsid w:val="00210C94"/>
    <w:rsid w:val="00211C71"/>
    <w:rsid w:val="00212CB7"/>
    <w:rsid w:val="00215724"/>
    <w:rsid w:val="0021691B"/>
    <w:rsid w:val="00216EB5"/>
    <w:rsid w:val="00220CF6"/>
    <w:rsid w:val="00223856"/>
    <w:rsid w:val="0022451B"/>
    <w:rsid w:val="0022641D"/>
    <w:rsid w:val="002305C4"/>
    <w:rsid w:val="00230DCD"/>
    <w:rsid w:val="00230DF7"/>
    <w:rsid w:val="00230F0E"/>
    <w:rsid w:val="0023203D"/>
    <w:rsid w:val="002322F8"/>
    <w:rsid w:val="002327C7"/>
    <w:rsid w:val="002350A9"/>
    <w:rsid w:val="00236862"/>
    <w:rsid w:val="00237A25"/>
    <w:rsid w:val="00237DD8"/>
    <w:rsid w:val="002446C8"/>
    <w:rsid w:val="0024553A"/>
    <w:rsid w:val="00247BA4"/>
    <w:rsid w:val="00247FAF"/>
    <w:rsid w:val="00250C6C"/>
    <w:rsid w:val="00250CB6"/>
    <w:rsid w:val="00252648"/>
    <w:rsid w:val="00254014"/>
    <w:rsid w:val="00255B2D"/>
    <w:rsid w:val="00255E03"/>
    <w:rsid w:val="002563CC"/>
    <w:rsid w:val="00256DC6"/>
    <w:rsid w:val="00257612"/>
    <w:rsid w:val="00257759"/>
    <w:rsid w:val="00257A59"/>
    <w:rsid w:val="00261740"/>
    <w:rsid w:val="00261E3B"/>
    <w:rsid w:val="00262A7D"/>
    <w:rsid w:val="00262F64"/>
    <w:rsid w:val="0026453E"/>
    <w:rsid w:val="00264AEE"/>
    <w:rsid w:val="00264B6A"/>
    <w:rsid w:val="00265145"/>
    <w:rsid w:val="00267E7A"/>
    <w:rsid w:val="00270055"/>
    <w:rsid w:val="002743F6"/>
    <w:rsid w:val="00274A4A"/>
    <w:rsid w:val="00275931"/>
    <w:rsid w:val="00276906"/>
    <w:rsid w:val="00277201"/>
    <w:rsid w:val="00277CED"/>
    <w:rsid w:val="00280B99"/>
    <w:rsid w:val="002820BB"/>
    <w:rsid w:val="0028215C"/>
    <w:rsid w:val="00282AD0"/>
    <w:rsid w:val="00283010"/>
    <w:rsid w:val="00284151"/>
    <w:rsid w:val="00284ED6"/>
    <w:rsid w:val="00287023"/>
    <w:rsid w:val="002874EB"/>
    <w:rsid w:val="002955F9"/>
    <w:rsid w:val="002964D9"/>
    <w:rsid w:val="002A00B4"/>
    <w:rsid w:val="002A040B"/>
    <w:rsid w:val="002A06A2"/>
    <w:rsid w:val="002A10F2"/>
    <w:rsid w:val="002A282C"/>
    <w:rsid w:val="002A3321"/>
    <w:rsid w:val="002A5D77"/>
    <w:rsid w:val="002A61C3"/>
    <w:rsid w:val="002A6677"/>
    <w:rsid w:val="002A7AD9"/>
    <w:rsid w:val="002B17E9"/>
    <w:rsid w:val="002B1BD3"/>
    <w:rsid w:val="002B37A0"/>
    <w:rsid w:val="002B408A"/>
    <w:rsid w:val="002B4B87"/>
    <w:rsid w:val="002B4BBE"/>
    <w:rsid w:val="002B4CD6"/>
    <w:rsid w:val="002B62E2"/>
    <w:rsid w:val="002B7554"/>
    <w:rsid w:val="002C38A7"/>
    <w:rsid w:val="002C3999"/>
    <w:rsid w:val="002C49A1"/>
    <w:rsid w:val="002C5227"/>
    <w:rsid w:val="002C5896"/>
    <w:rsid w:val="002D1F88"/>
    <w:rsid w:val="002D3452"/>
    <w:rsid w:val="002D48D2"/>
    <w:rsid w:val="002D7765"/>
    <w:rsid w:val="002E401D"/>
    <w:rsid w:val="002E455E"/>
    <w:rsid w:val="002E5129"/>
    <w:rsid w:val="002E65FB"/>
    <w:rsid w:val="002E6E7D"/>
    <w:rsid w:val="002E7E3A"/>
    <w:rsid w:val="002F08C8"/>
    <w:rsid w:val="002F114A"/>
    <w:rsid w:val="002F180C"/>
    <w:rsid w:val="002F21E0"/>
    <w:rsid w:val="002F34D5"/>
    <w:rsid w:val="002F36A9"/>
    <w:rsid w:val="002F394F"/>
    <w:rsid w:val="002F5903"/>
    <w:rsid w:val="002F693B"/>
    <w:rsid w:val="00300034"/>
    <w:rsid w:val="0030056D"/>
    <w:rsid w:val="003043F9"/>
    <w:rsid w:val="003044C9"/>
    <w:rsid w:val="00305CA0"/>
    <w:rsid w:val="00305EA6"/>
    <w:rsid w:val="00310930"/>
    <w:rsid w:val="00312B95"/>
    <w:rsid w:val="003150FC"/>
    <w:rsid w:val="00315162"/>
    <w:rsid w:val="00315CB1"/>
    <w:rsid w:val="00316113"/>
    <w:rsid w:val="0031715D"/>
    <w:rsid w:val="00317C10"/>
    <w:rsid w:val="0032080F"/>
    <w:rsid w:val="003208DD"/>
    <w:rsid w:val="00322CFC"/>
    <w:rsid w:val="003236F9"/>
    <w:rsid w:val="00323E2F"/>
    <w:rsid w:val="00324238"/>
    <w:rsid w:val="00324A20"/>
    <w:rsid w:val="00325FF3"/>
    <w:rsid w:val="003260A8"/>
    <w:rsid w:val="00327DEF"/>
    <w:rsid w:val="00330EF3"/>
    <w:rsid w:val="003318C3"/>
    <w:rsid w:val="00332F83"/>
    <w:rsid w:val="00334D79"/>
    <w:rsid w:val="003350C4"/>
    <w:rsid w:val="00336144"/>
    <w:rsid w:val="0033628D"/>
    <w:rsid w:val="003407CD"/>
    <w:rsid w:val="00342383"/>
    <w:rsid w:val="00343492"/>
    <w:rsid w:val="00345221"/>
    <w:rsid w:val="0034579D"/>
    <w:rsid w:val="00346D63"/>
    <w:rsid w:val="0035070E"/>
    <w:rsid w:val="00352547"/>
    <w:rsid w:val="00352B88"/>
    <w:rsid w:val="0035362A"/>
    <w:rsid w:val="00353F21"/>
    <w:rsid w:val="0035481C"/>
    <w:rsid w:val="003549DA"/>
    <w:rsid w:val="003552B3"/>
    <w:rsid w:val="00355B19"/>
    <w:rsid w:val="003561E1"/>
    <w:rsid w:val="00356A14"/>
    <w:rsid w:val="003574E4"/>
    <w:rsid w:val="00360268"/>
    <w:rsid w:val="003604B1"/>
    <w:rsid w:val="0036084B"/>
    <w:rsid w:val="00361035"/>
    <w:rsid w:val="00361124"/>
    <w:rsid w:val="00363DB6"/>
    <w:rsid w:val="00364144"/>
    <w:rsid w:val="00364933"/>
    <w:rsid w:val="0037002C"/>
    <w:rsid w:val="003700CD"/>
    <w:rsid w:val="00371D49"/>
    <w:rsid w:val="00372263"/>
    <w:rsid w:val="00372400"/>
    <w:rsid w:val="00375677"/>
    <w:rsid w:val="00376A50"/>
    <w:rsid w:val="003771F3"/>
    <w:rsid w:val="00377632"/>
    <w:rsid w:val="00380952"/>
    <w:rsid w:val="00380A77"/>
    <w:rsid w:val="003820DE"/>
    <w:rsid w:val="00382CF9"/>
    <w:rsid w:val="003830A4"/>
    <w:rsid w:val="003844EE"/>
    <w:rsid w:val="00384530"/>
    <w:rsid w:val="00385273"/>
    <w:rsid w:val="003854BF"/>
    <w:rsid w:val="00386398"/>
    <w:rsid w:val="003868D5"/>
    <w:rsid w:val="00386B1E"/>
    <w:rsid w:val="003905AD"/>
    <w:rsid w:val="00391DE2"/>
    <w:rsid w:val="00393475"/>
    <w:rsid w:val="00394889"/>
    <w:rsid w:val="00394967"/>
    <w:rsid w:val="00396EE5"/>
    <w:rsid w:val="00397562"/>
    <w:rsid w:val="003A0910"/>
    <w:rsid w:val="003A34B3"/>
    <w:rsid w:val="003A4C74"/>
    <w:rsid w:val="003A5422"/>
    <w:rsid w:val="003A5DDB"/>
    <w:rsid w:val="003B1411"/>
    <w:rsid w:val="003B2994"/>
    <w:rsid w:val="003B47A9"/>
    <w:rsid w:val="003C125A"/>
    <w:rsid w:val="003C379D"/>
    <w:rsid w:val="003C4543"/>
    <w:rsid w:val="003C4A36"/>
    <w:rsid w:val="003C4F5F"/>
    <w:rsid w:val="003C50C1"/>
    <w:rsid w:val="003C6D51"/>
    <w:rsid w:val="003C74FA"/>
    <w:rsid w:val="003C7568"/>
    <w:rsid w:val="003D08FA"/>
    <w:rsid w:val="003D0DB0"/>
    <w:rsid w:val="003D0DE2"/>
    <w:rsid w:val="003D13FF"/>
    <w:rsid w:val="003D18CA"/>
    <w:rsid w:val="003D2C35"/>
    <w:rsid w:val="003D2D1B"/>
    <w:rsid w:val="003D3819"/>
    <w:rsid w:val="003D43CB"/>
    <w:rsid w:val="003D4486"/>
    <w:rsid w:val="003D4789"/>
    <w:rsid w:val="003E0F5A"/>
    <w:rsid w:val="003E2016"/>
    <w:rsid w:val="003E2ADC"/>
    <w:rsid w:val="003E45A6"/>
    <w:rsid w:val="003E4BFC"/>
    <w:rsid w:val="003E4CF0"/>
    <w:rsid w:val="003E50B2"/>
    <w:rsid w:val="003E6B86"/>
    <w:rsid w:val="003E6BDA"/>
    <w:rsid w:val="003F077F"/>
    <w:rsid w:val="003F430E"/>
    <w:rsid w:val="004000C2"/>
    <w:rsid w:val="0040047F"/>
    <w:rsid w:val="004004C7"/>
    <w:rsid w:val="00400F2C"/>
    <w:rsid w:val="00401A72"/>
    <w:rsid w:val="00403C5F"/>
    <w:rsid w:val="00403F59"/>
    <w:rsid w:val="00404BB9"/>
    <w:rsid w:val="0040589B"/>
    <w:rsid w:val="0040692B"/>
    <w:rsid w:val="00406FAF"/>
    <w:rsid w:val="00414355"/>
    <w:rsid w:val="00414E2B"/>
    <w:rsid w:val="00415F65"/>
    <w:rsid w:val="00416013"/>
    <w:rsid w:val="004162EE"/>
    <w:rsid w:val="00417D6C"/>
    <w:rsid w:val="00420582"/>
    <w:rsid w:val="00422312"/>
    <w:rsid w:val="00422FCC"/>
    <w:rsid w:val="00423D80"/>
    <w:rsid w:val="004242EF"/>
    <w:rsid w:val="00424AF3"/>
    <w:rsid w:val="0042638E"/>
    <w:rsid w:val="00427387"/>
    <w:rsid w:val="00427A07"/>
    <w:rsid w:val="00427EBE"/>
    <w:rsid w:val="00432301"/>
    <w:rsid w:val="00435139"/>
    <w:rsid w:val="0043648B"/>
    <w:rsid w:val="00436579"/>
    <w:rsid w:val="004368F9"/>
    <w:rsid w:val="00441854"/>
    <w:rsid w:val="00442F66"/>
    <w:rsid w:val="0044434D"/>
    <w:rsid w:val="00447E92"/>
    <w:rsid w:val="004520DD"/>
    <w:rsid w:val="0045217F"/>
    <w:rsid w:val="00453D8A"/>
    <w:rsid w:val="004568C5"/>
    <w:rsid w:val="00457E42"/>
    <w:rsid w:val="00460E57"/>
    <w:rsid w:val="00461299"/>
    <w:rsid w:val="00461381"/>
    <w:rsid w:val="00461B52"/>
    <w:rsid w:val="00461FA6"/>
    <w:rsid w:val="0046231B"/>
    <w:rsid w:val="004629AD"/>
    <w:rsid w:val="00462FB3"/>
    <w:rsid w:val="00463432"/>
    <w:rsid w:val="00465EC2"/>
    <w:rsid w:val="004660A9"/>
    <w:rsid w:val="00466261"/>
    <w:rsid w:val="0046657B"/>
    <w:rsid w:val="00466C55"/>
    <w:rsid w:val="004678D6"/>
    <w:rsid w:val="00470EC2"/>
    <w:rsid w:val="00471293"/>
    <w:rsid w:val="00473446"/>
    <w:rsid w:val="00473C84"/>
    <w:rsid w:val="00474024"/>
    <w:rsid w:val="0047470A"/>
    <w:rsid w:val="00475200"/>
    <w:rsid w:val="00477046"/>
    <w:rsid w:val="004772C8"/>
    <w:rsid w:val="00477470"/>
    <w:rsid w:val="004778C9"/>
    <w:rsid w:val="00480F77"/>
    <w:rsid w:val="00481700"/>
    <w:rsid w:val="0049255C"/>
    <w:rsid w:val="00492AA2"/>
    <w:rsid w:val="00492EB0"/>
    <w:rsid w:val="004936C5"/>
    <w:rsid w:val="0049484B"/>
    <w:rsid w:val="004948ED"/>
    <w:rsid w:val="00494944"/>
    <w:rsid w:val="00494C24"/>
    <w:rsid w:val="00495232"/>
    <w:rsid w:val="004956A3"/>
    <w:rsid w:val="00495752"/>
    <w:rsid w:val="0049751D"/>
    <w:rsid w:val="004979C2"/>
    <w:rsid w:val="00497A99"/>
    <w:rsid w:val="004A0B95"/>
    <w:rsid w:val="004A1393"/>
    <w:rsid w:val="004A42A0"/>
    <w:rsid w:val="004A4483"/>
    <w:rsid w:val="004A4706"/>
    <w:rsid w:val="004A4DB2"/>
    <w:rsid w:val="004A5682"/>
    <w:rsid w:val="004A6645"/>
    <w:rsid w:val="004A6867"/>
    <w:rsid w:val="004A700B"/>
    <w:rsid w:val="004B0CF7"/>
    <w:rsid w:val="004B0D08"/>
    <w:rsid w:val="004B1C4A"/>
    <w:rsid w:val="004B1F02"/>
    <w:rsid w:val="004B2914"/>
    <w:rsid w:val="004B511D"/>
    <w:rsid w:val="004C04FF"/>
    <w:rsid w:val="004C1E64"/>
    <w:rsid w:val="004C1F18"/>
    <w:rsid w:val="004C3446"/>
    <w:rsid w:val="004C4983"/>
    <w:rsid w:val="004C5388"/>
    <w:rsid w:val="004C71AC"/>
    <w:rsid w:val="004D0523"/>
    <w:rsid w:val="004D1024"/>
    <w:rsid w:val="004D11A0"/>
    <w:rsid w:val="004D20BE"/>
    <w:rsid w:val="004D2B27"/>
    <w:rsid w:val="004D2F29"/>
    <w:rsid w:val="004D3C24"/>
    <w:rsid w:val="004D4B3A"/>
    <w:rsid w:val="004D79E5"/>
    <w:rsid w:val="004E0727"/>
    <w:rsid w:val="004E0BDD"/>
    <w:rsid w:val="004E1563"/>
    <w:rsid w:val="004E27A9"/>
    <w:rsid w:val="004E3372"/>
    <w:rsid w:val="004E4B97"/>
    <w:rsid w:val="004E5F53"/>
    <w:rsid w:val="004E7485"/>
    <w:rsid w:val="004F331B"/>
    <w:rsid w:val="004F3645"/>
    <w:rsid w:val="004F441A"/>
    <w:rsid w:val="004F5249"/>
    <w:rsid w:val="004F5EA9"/>
    <w:rsid w:val="004F61D3"/>
    <w:rsid w:val="004F6710"/>
    <w:rsid w:val="004F6E56"/>
    <w:rsid w:val="005011C7"/>
    <w:rsid w:val="00501A9B"/>
    <w:rsid w:val="00501D0F"/>
    <w:rsid w:val="005023F2"/>
    <w:rsid w:val="00503A72"/>
    <w:rsid w:val="00504D03"/>
    <w:rsid w:val="00505785"/>
    <w:rsid w:val="00505889"/>
    <w:rsid w:val="00506BB6"/>
    <w:rsid w:val="00506DAB"/>
    <w:rsid w:val="0050701B"/>
    <w:rsid w:val="00510085"/>
    <w:rsid w:val="00511705"/>
    <w:rsid w:val="00512C83"/>
    <w:rsid w:val="005139DB"/>
    <w:rsid w:val="00513C8A"/>
    <w:rsid w:val="00513E90"/>
    <w:rsid w:val="00513E97"/>
    <w:rsid w:val="00514222"/>
    <w:rsid w:val="00515410"/>
    <w:rsid w:val="00515E6C"/>
    <w:rsid w:val="00521A9C"/>
    <w:rsid w:val="00524635"/>
    <w:rsid w:val="005270F2"/>
    <w:rsid w:val="0052738C"/>
    <w:rsid w:val="0053089B"/>
    <w:rsid w:val="00530D80"/>
    <w:rsid w:val="00531104"/>
    <w:rsid w:val="0053320B"/>
    <w:rsid w:val="00534171"/>
    <w:rsid w:val="00535258"/>
    <w:rsid w:val="005372F0"/>
    <w:rsid w:val="0053730F"/>
    <w:rsid w:val="005374F7"/>
    <w:rsid w:val="005378D5"/>
    <w:rsid w:val="00537961"/>
    <w:rsid w:val="005404E0"/>
    <w:rsid w:val="00540877"/>
    <w:rsid w:val="00541FE8"/>
    <w:rsid w:val="0054279E"/>
    <w:rsid w:val="00545336"/>
    <w:rsid w:val="005454F2"/>
    <w:rsid w:val="00545564"/>
    <w:rsid w:val="00545AEF"/>
    <w:rsid w:val="00546550"/>
    <w:rsid w:val="00546686"/>
    <w:rsid w:val="00547997"/>
    <w:rsid w:val="00550037"/>
    <w:rsid w:val="0055095B"/>
    <w:rsid w:val="005512B3"/>
    <w:rsid w:val="00551F5C"/>
    <w:rsid w:val="00552871"/>
    <w:rsid w:val="00552F3A"/>
    <w:rsid w:val="005551CD"/>
    <w:rsid w:val="00556B82"/>
    <w:rsid w:val="00556EED"/>
    <w:rsid w:val="005612A4"/>
    <w:rsid w:val="005622CD"/>
    <w:rsid w:val="0056416E"/>
    <w:rsid w:val="005642B3"/>
    <w:rsid w:val="005644C5"/>
    <w:rsid w:val="00564A63"/>
    <w:rsid w:val="00570303"/>
    <w:rsid w:val="00571127"/>
    <w:rsid w:val="00571B77"/>
    <w:rsid w:val="00573E64"/>
    <w:rsid w:val="00574949"/>
    <w:rsid w:val="0057611F"/>
    <w:rsid w:val="0057694E"/>
    <w:rsid w:val="00576A0F"/>
    <w:rsid w:val="00580891"/>
    <w:rsid w:val="0058102A"/>
    <w:rsid w:val="00581762"/>
    <w:rsid w:val="0058289B"/>
    <w:rsid w:val="00584CD6"/>
    <w:rsid w:val="00584CF0"/>
    <w:rsid w:val="0058621B"/>
    <w:rsid w:val="00586290"/>
    <w:rsid w:val="005863D9"/>
    <w:rsid w:val="00590E66"/>
    <w:rsid w:val="00590F9B"/>
    <w:rsid w:val="0059223E"/>
    <w:rsid w:val="00592CA1"/>
    <w:rsid w:val="00593685"/>
    <w:rsid w:val="00595202"/>
    <w:rsid w:val="005978BE"/>
    <w:rsid w:val="00597D05"/>
    <w:rsid w:val="005A00B3"/>
    <w:rsid w:val="005A1048"/>
    <w:rsid w:val="005A1A38"/>
    <w:rsid w:val="005A3079"/>
    <w:rsid w:val="005A3087"/>
    <w:rsid w:val="005A4262"/>
    <w:rsid w:val="005A71FF"/>
    <w:rsid w:val="005A7EB0"/>
    <w:rsid w:val="005B08CC"/>
    <w:rsid w:val="005B2B2D"/>
    <w:rsid w:val="005B3409"/>
    <w:rsid w:val="005B4E61"/>
    <w:rsid w:val="005B6782"/>
    <w:rsid w:val="005C0683"/>
    <w:rsid w:val="005C2B27"/>
    <w:rsid w:val="005C2E85"/>
    <w:rsid w:val="005C3AEF"/>
    <w:rsid w:val="005C4D78"/>
    <w:rsid w:val="005C53AC"/>
    <w:rsid w:val="005C5A64"/>
    <w:rsid w:val="005C5B31"/>
    <w:rsid w:val="005C6527"/>
    <w:rsid w:val="005C715E"/>
    <w:rsid w:val="005C779F"/>
    <w:rsid w:val="005C797E"/>
    <w:rsid w:val="005D04CF"/>
    <w:rsid w:val="005D0F90"/>
    <w:rsid w:val="005D1E7E"/>
    <w:rsid w:val="005D2385"/>
    <w:rsid w:val="005D2DC8"/>
    <w:rsid w:val="005D4B00"/>
    <w:rsid w:val="005D6A52"/>
    <w:rsid w:val="005D6D56"/>
    <w:rsid w:val="005D762D"/>
    <w:rsid w:val="005E12BC"/>
    <w:rsid w:val="005E399E"/>
    <w:rsid w:val="005E487D"/>
    <w:rsid w:val="005E4DD9"/>
    <w:rsid w:val="005E58FD"/>
    <w:rsid w:val="005E79F8"/>
    <w:rsid w:val="005F0895"/>
    <w:rsid w:val="005F0ECA"/>
    <w:rsid w:val="005F42A3"/>
    <w:rsid w:val="005F4EA1"/>
    <w:rsid w:val="00600454"/>
    <w:rsid w:val="00602108"/>
    <w:rsid w:val="0060649F"/>
    <w:rsid w:val="00606585"/>
    <w:rsid w:val="0060664C"/>
    <w:rsid w:val="0060673F"/>
    <w:rsid w:val="006078EB"/>
    <w:rsid w:val="00607BFD"/>
    <w:rsid w:val="00610411"/>
    <w:rsid w:val="006105F1"/>
    <w:rsid w:val="00610CF7"/>
    <w:rsid w:val="0061317F"/>
    <w:rsid w:val="0061594C"/>
    <w:rsid w:val="00615EAD"/>
    <w:rsid w:val="006170E1"/>
    <w:rsid w:val="00617CA4"/>
    <w:rsid w:val="006207EC"/>
    <w:rsid w:val="00621046"/>
    <w:rsid w:val="00621050"/>
    <w:rsid w:val="0062281A"/>
    <w:rsid w:val="0062337F"/>
    <w:rsid w:val="006235F3"/>
    <w:rsid w:val="00623637"/>
    <w:rsid w:val="0062579E"/>
    <w:rsid w:val="006257DE"/>
    <w:rsid w:val="0062582B"/>
    <w:rsid w:val="0062670D"/>
    <w:rsid w:val="00626A96"/>
    <w:rsid w:val="00627E2D"/>
    <w:rsid w:val="00633434"/>
    <w:rsid w:val="00634F02"/>
    <w:rsid w:val="006357CF"/>
    <w:rsid w:val="00635FE5"/>
    <w:rsid w:val="006368EB"/>
    <w:rsid w:val="006375B3"/>
    <w:rsid w:val="00637928"/>
    <w:rsid w:val="00644E4C"/>
    <w:rsid w:val="00646C92"/>
    <w:rsid w:val="00646D55"/>
    <w:rsid w:val="00647451"/>
    <w:rsid w:val="0064750E"/>
    <w:rsid w:val="006502AD"/>
    <w:rsid w:val="00650584"/>
    <w:rsid w:val="00650C39"/>
    <w:rsid w:val="0065154C"/>
    <w:rsid w:val="00652601"/>
    <w:rsid w:val="006542EA"/>
    <w:rsid w:val="00654EC6"/>
    <w:rsid w:val="00654EDC"/>
    <w:rsid w:val="0065781B"/>
    <w:rsid w:val="0066234B"/>
    <w:rsid w:val="00662521"/>
    <w:rsid w:val="00664094"/>
    <w:rsid w:val="00665CEB"/>
    <w:rsid w:val="00666CA0"/>
    <w:rsid w:val="00666E14"/>
    <w:rsid w:val="00667AC6"/>
    <w:rsid w:val="006702DF"/>
    <w:rsid w:val="00671940"/>
    <w:rsid w:val="00673F39"/>
    <w:rsid w:val="006746A5"/>
    <w:rsid w:val="00674AE8"/>
    <w:rsid w:val="00674CDB"/>
    <w:rsid w:val="00675EEA"/>
    <w:rsid w:val="00676C51"/>
    <w:rsid w:val="00677653"/>
    <w:rsid w:val="0068037D"/>
    <w:rsid w:val="00680BA9"/>
    <w:rsid w:val="00680DB0"/>
    <w:rsid w:val="00680F42"/>
    <w:rsid w:val="006848A8"/>
    <w:rsid w:val="0068507B"/>
    <w:rsid w:val="0068577C"/>
    <w:rsid w:val="00686524"/>
    <w:rsid w:val="0069343C"/>
    <w:rsid w:val="006939DD"/>
    <w:rsid w:val="006959E9"/>
    <w:rsid w:val="00696207"/>
    <w:rsid w:val="006962E1"/>
    <w:rsid w:val="0069642F"/>
    <w:rsid w:val="0069777E"/>
    <w:rsid w:val="0069793C"/>
    <w:rsid w:val="006A02A4"/>
    <w:rsid w:val="006A0A20"/>
    <w:rsid w:val="006A0B00"/>
    <w:rsid w:val="006A1302"/>
    <w:rsid w:val="006A23D2"/>
    <w:rsid w:val="006A304C"/>
    <w:rsid w:val="006A331D"/>
    <w:rsid w:val="006A365A"/>
    <w:rsid w:val="006A5B92"/>
    <w:rsid w:val="006A5DE4"/>
    <w:rsid w:val="006B0EDD"/>
    <w:rsid w:val="006B2BF7"/>
    <w:rsid w:val="006B3073"/>
    <w:rsid w:val="006B5E97"/>
    <w:rsid w:val="006B6708"/>
    <w:rsid w:val="006B68EA"/>
    <w:rsid w:val="006B6F12"/>
    <w:rsid w:val="006B6F9C"/>
    <w:rsid w:val="006C0105"/>
    <w:rsid w:val="006C06C0"/>
    <w:rsid w:val="006C0BD5"/>
    <w:rsid w:val="006C1060"/>
    <w:rsid w:val="006C1533"/>
    <w:rsid w:val="006C27F0"/>
    <w:rsid w:val="006C3502"/>
    <w:rsid w:val="006C3F8C"/>
    <w:rsid w:val="006C6F0E"/>
    <w:rsid w:val="006C77A1"/>
    <w:rsid w:val="006D1666"/>
    <w:rsid w:val="006D1C25"/>
    <w:rsid w:val="006D1F81"/>
    <w:rsid w:val="006D2343"/>
    <w:rsid w:val="006D5193"/>
    <w:rsid w:val="006D54B6"/>
    <w:rsid w:val="006D6C92"/>
    <w:rsid w:val="006D78DA"/>
    <w:rsid w:val="006E0107"/>
    <w:rsid w:val="006E1AC5"/>
    <w:rsid w:val="006E2433"/>
    <w:rsid w:val="006E2E0D"/>
    <w:rsid w:val="006E2EC9"/>
    <w:rsid w:val="006E31D3"/>
    <w:rsid w:val="006E4830"/>
    <w:rsid w:val="006E5814"/>
    <w:rsid w:val="006E7317"/>
    <w:rsid w:val="006F0FE3"/>
    <w:rsid w:val="006F20BE"/>
    <w:rsid w:val="006F3397"/>
    <w:rsid w:val="006F4772"/>
    <w:rsid w:val="006F5069"/>
    <w:rsid w:val="006F52BE"/>
    <w:rsid w:val="006F545A"/>
    <w:rsid w:val="006F5782"/>
    <w:rsid w:val="006F6B4F"/>
    <w:rsid w:val="00700031"/>
    <w:rsid w:val="007006C8"/>
    <w:rsid w:val="00700D12"/>
    <w:rsid w:val="00700E76"/>
    <w:rsid w:val="00702618"/>
    <w:rsid w:val="00706BE5"/>
    <w:rsid w:val="00707402"/>
    <w:rsid w:val="00707C63"/>
    <w:rsid w:val="00711D53"/>
    <w:rsid w:val="00712C01"/>
    <w:rsid w:val="00712DF2"/>
    <w:rsid w:val="007153FD"/>
    <w:rsid w:val="00715B8D"/>
    <w:rsid w:val="00715CAE"/>
    <w:rsid w:val="007168A9"/>
    <w:rsid w:val="00717348"/>
    <w:rsid w:val="00717A34"/>
    <w:rsid w:val="00717B7E"/>
    <w:rsid w:val="00721146"/>
    <w:rsid w:val="0072174A"/>
    <w:rsid w:val="00723D2C"/>
    <w:rsid w:val="007240C4"/>
    <w:rsid w:val="007244B5"/>
    <w:rsid w:val="00724660"/>
    <w:rsid w:val="00724F9F"/>
    <w:rsid w:val="00725750"/>
    <w:rsid w:val="00725DA9"/>
    <w:rsid w:val="0072713F"/>
    <w:rsid w:val="00730BE4"/>
    <w:rsid w:val="00735616"/>
    <w:rsid w:val="0073732F"/>
    <w:rsid w:val="00737C08"/>
    <w:rsid w:val="0074134F"/>
    <w:rsid w:val="00741B83"/>
    <w:rsid w:val="007425CD"/>
    <w:rsid w:val="00742FA6"/>
    <w:rsid w:val="007432B5"/>
    <w:rsid w:val="007435B7"/>
    <w:rsid w:val="00743930"/>
    <w:rsid w:val="007451E6"/>
    <w:rsid w:val="007452C3"/>
    <w:rsid w:val="00745837"/>
    <w:rsid w:val="007461C6"/>
    <w:rsid w:val="0074777B"/>
    <w:rsid w:val="007513CF"/>
    <w:rsid w:val="007543C1"/>
    <w:rsid w:val="0075578E"/>
    <w:rsid w:val="00756C4B"/>
    <w:rsid w:val="00756F49"/>
    <w:rsid w:val="0075714F"/>
    <w:rsid w:val="00761DCD"/>
    <w:rsid w:val="00762424"/>
    <w:rsid w:val="00763856"/>
    <w:rsid w:val="007659E0"/>
    <w:rsid w:val="0076622D"/>
    <w:rsid w:val="00766788"/>
    <w:rsid w:val="00767295"/>
    <w:rsid w:val="00767DA4"/>
    <w:rsid w:val="00774AF6"/>
    <w:rsid w:val="0077559A"/>
    <w:rsid w:val="0077759D"/>
    <w:rsid w:val="00780578"/>
    <w:rsid w:val="00782E65"/>
    <w:rsid w:val="007849B6"/>
    <w:rsid w:val="00785F61"/>
    <w:rsid w:val="007918FB"/>
    <w:rsid w:val="00792003"/>
    <w:rsid w:val="00792B49"/>
    <w:rsid w:val="00792DC0"/>
    <w:rsid w:val="00793490"/>
    <w:rsid w:val="0079461B"/>
    <w:rsid w:val="00795D0A"/>
    <w:rsid w:val="00797D38"/>
    <w:rsid w:val="007A0535"/>
    <w:rsid w:val="007A1578"/>
    <w:rsid w:val="007A3184"/>
    <w:rsid w:val="007A7D5B"/>
    <w:rsid w:val="007B0772"/>
    <w:rsid w:val="007B1555"/>
    <w:rsid w:val="007B1E9A"/>
    <w:rsid w:val="007B2319"/>
    <w:rsid w:val="007B49B2"/>
    <w:rsid w:val="007B76CC"/>
    <w:rsid w:val="007B7995"/>
    <w:rsid w:val="007C1631"/>
    <w:rsid w:val="007C1B7C"/>
    <w:rsid w:val="007C215C"/>
    <w:rsid w:val="007C37DB"/>
    <w:rsid w:val="007C3C18"/>
    <w:rsid w:val="007C4938"/>
    <w:rsid w:val="007C71D4"/>
    <w:rsid w:val="007C7416"/>
    <w:rsid w:val="007D2524"/>
    <w:rsid w:val="007D2E80"/>
    <w:rsid w:val="007D371B"/>
    <w:rsid w:val="007D3BC9"/>
    <w:rsid w:val="007D4A41"/>
    <w:rsid w:val="007D4C52"/>
    <w:rsid w:val="007D5D61"/>
    <w:rsid w:val="007D7FB2"/>
    <w:rsid w:val="007E17B7"/>
    <w:rsid w:val="007E6C47"/>
    <w:rsid w:val="007F3225"/>
    <w:rsid w:val="007F3971"/>
    <w:rsid w:val="007F4326"/>
    <w:rsid w:val="007F4920"/>
    <w:rsid w:val="007F6C1B"/>
    <w:rsid w:val="007F6FE7"/>
    <w:rsid w:val="007F74FF"/>
    <w:rsid w:val="0080021F"/>
    <w:rsid w:val="00802746"/>
    <w:rsid w:val="0080332B"/>
    <w:rsid w:val="00805D97"/>
    <w:rsid w:val="008066C0"/>
    <w:rsid w:val="00807135"/>
    <w:rsid w:val="0080748D"/>
    <w:rsid w:val="0080777A"/>
    <w:rsid w:val="008107C1"/>
    <w:rsid w:val="0081128D"/>
    <w:rsid w:val="00811CD0"/>
    <w:rsid w:val="008131D5"/>
    <w:rsid w:val="00813252"/>
    <w:rsid w:val="00814288"/>
    <w:rsid w:val="0081434E"/>
    <w:rsid w:val="00815248"/>
    <w:rsid w:val="008152ED"/>
    <w:rsid w:val="0081550B"/>
    <w:rsid w:val="0081581F"/>
    <w:rsid w:val="00816119"/>
    <w:rsid w:val="00816B4B"/>
    <w:rsid w:val="00820EA4"/>
    <w:rsid w:val="00822018"/>
    <w:rsid w:val="0082464F"/>
    <w:rsid w:val="00825644"/>
    <w:rsid w:val="0082590F"/>
    <w:rsid w:val="0082645F"/>
    <w:rsid w:val="00826DFB"/>
    <w:rsid w:val="0082743C"/>
    <w:rsid w:val="008277B8"/>
    <w:rsid w:val="00830E35"/>
    <w:rsid w:val="008314C6"/>
    <w:rsid w:val="0083238C"/>
    <w:rsid w:val="008331D1"/>
    <w:rsid w:val="008336E4"/>
    <w:rsid w:val="00833D85"/>
    <w:rsid w:val="00835A52"/>
    <w:rsid w:val="00836BBE"/>
    <w:rsid w:val="00837B16"/>
    <w:rsid w:val="0084057F"/>
    <w:rsid w:val="00842128"/>
    <w:rsid w:val="00842972"/>
    <w:rsid w:val="00843F97"/>
    <w:rsid w:val="008446EB"/>
    <w:rsid w:val="00845C42"/>
    <w:rsid w:val="00846535"/>
    <w:rsid w:val="00846A10"/>
    <w:rsid w:val="00846C06"/>
    <w:rsid w:val="00846C53"/>
    <w:rsid w:val="00846DC5"/>
    <w:rsid w:val="008503A5"/>
    <w:rsid w:val="00850D04"/>
    <w:rsid w:val="0085196C"/>
    <w:rsid w:val="00852E52"/>
    <w:rsid w:val="008530F3"/>
    <w:rsid w:val="0085622D"/>
    <w:rsid w:val="00856EBA"/>
    <w:rsid w:val="00856FA2"/>
    <w:rsid w:val="00857E17"/>
    <w:rsid w:val="008612EB"/>
    <w:rsid w:val="008615FA"/>
    <w:rsid w:val="008619EC"/>
    <w:rsid w:val="00861D24"/>
    <w:rsid w:val="008622BF"/>
    <w:rsid w:val="00864250"/>
    <w:rsid w:val="008707F5"/>
    <w:rsid w:val="00871795"/>
    <w:rsid w:val="008719F9"/>
    <w:rsid w:val="0087497B"/>
    <w:rsid w:val="008767E7"/>
    <w:rsid w:val="008801C7"/>
    <w:rsid w:val="00880E14"/>
    <w:rsid w:val="00882257"/>
    <w:rsid w:val="00884F4A"/>
    <w:rsid w:val="00885731"/>
    <w:rsid w:val="00885A39"/>
    <w:rsid w:val="00885D6D"/>
    <w:rsid w:val="00886262"/>
    <w:rsid w:val="00886E19"/>
    <w:rsid w:val="00887068"/>
    <w:rsid w:val="0088718A"/>
    <w:rsid w:val="008901C4"/>
    <w:rsid w:val="00890960"/>
    <w:rsid w:val="0089221A"/>
    <w:rsid w:val="00892FE8"/>
    <w:rsid w:val="00895ED0"/>
    <w:rsid w:val="00896B73"/>
    <w:rsid w:val="00897CF8"/>
    <w:rsid w:val="008A0DDC"/>
    <w:rsid w:val="008A18D1"/>
    <w:rsid w:val="008A2555"/>
    <w:rsid w:val="008A345C"/>
    <w:rsid w:val="008A39B5"/>
    <w:rsid w:val="008A4C93"/>
    <w:rsid w:val="008A518E"/>
    <w:rsid w:val="008A5411"/>
    <w:rsid w:val="008A658B"/>
    <w:rsid w:val="008A7656"/>
    <w:rsid w:val="008A77F3"/>
    <w:rsid w:val="008A7FCE"/>
    <w:rsid w:val="008B3760"/>
    <w:rsid w:val="008B3AED"/>
    <w:rsid w:val="008B3D1C"/>
    <w:rsid w:val="008B4818"/>
    <w:rsid w:val="008B6487"/>
    <w:rsid w:val="008C2C5B"/>
    <w:rsid w:val="008C4878"/>
    <w:rsid w:val="008C6617"/>
    <w:rsid w:val="008C6AFD"/>
    <w:rsid w:val="008C724B"/>
    <w:rsid w:val="008C7337"/>
    <w:rsid w:val="008C7506"/>
    <w:rsid w:val="008D0DDD"/>
    <w:rsid w:val="008D2634"/>
    <w:rsid w:val="008D4B01"/>
    <w:rsid w:val="008D6B4E"/>
    <w:rsid w:val="008E082D"/>
    <w:rsid w:val="008E262E"/>
    <w:rsid w:val="008E2A98"/>
    <w:rsid w:val="008E404D"/>
    <w:rsid w:val="008E4DF9"/>
    <w:rsid w:val="008F14CC"/>
    <w:rsid w:val="008F16FC"/>
    <w:rsid w:val="008F175B"/>
    <w:rsid w:val="008F256F"/>
    <w:rsid w:val="008F3BDC"/>
    <w:rsid w:val="008F486E"/>
    <w:rsid w:val="0090043F"/>
    <w:rsid w:val="0090192D"/>
    <w:rsid w:val="00901F2D"/>
    <w:rsid w:val="00904565"/>
    <w:rsid w:val="009048BC"/>
    <w:rsid w:val="00906354"/>
    <w:rsid w:val="009065D5"/>
    <w:rsid w:val="00907915"/>
    <w:rsid w:val="0090793B"/>
    <w:rsid w:val="00910C41"/>
    <w:rsid w:val="00911229"/>
    <w:rsid w:val="00911D2B"/>
    <w:rsid w:val="0091433D"/>
    <w:rsid w:val="00917A18"/>
    <w:rsid w:val="00920A2B"/>
    <w:rsid w:val="0092121C"/>
    <w:rsid w:val="009222B9"/>
    <w:rsid w:val="00923837"/>
    <w:rsid w:val="009239B0"/>
    <w:rsid w:val="00923C98"/>
    <w:rsid w:val="00924219"/>
    <w:rsid w:val="00924504"/>
    <w:rsid w:val="00924749"/>
    <w:rsid w:val="00927FBF"/>
    <w:rsid w:val="009301E7"/>
    <w:rsid w:val="009327C9"/>
    <w:rsid w:val="00934283"/>
    <w:rsid w:val="00934ED7"/>
    <w:rsid w:val="0094093A"/>
    <w:rsid w:val="00940FE3"/>
    <w:rsid w:val="00941A0B"/>
    <w:rsid w:val="00945306"/>
    <w:rsid w:val="009456C5"/>
    <w:rsid w:val="0094666F"/>
    <w:rsid w:val="00946A71"/>
    <w:rsid w:val="009504DD"/>
    <w:rsid w:val="00950629"/>
    <w:rsid w:val="009508C9"/>
    <w:rsid w:val="00950DB4"/>
    <w:rsid w:val="009527FA"/>
    <w:rsid w:val="009540BD"/>
    <w:rsid w:val="00956B5F"/>
    <w:rsid w:val="00956BCE"/>
    <w:rsid w:val="0096019D"/>
    <w:rsid w:val="00961B74"/>
    <w:rsid w:val="00963ECF"/>
    <w:rsid w:val="0096402D"/>
    <w:rsid w:val="00964C08"/>
    <w:rsid w:val="00964C30"/>
    <w:rsid w:val="00964C8D"/>
    <w:rsid w:val="00965170"/>
    <w:rsid w:val="009651E3"/>
    <w:rsid w:val="0096573F"/>
    <w:rsid w:val="00966931"/>
    <w:rsid w:val="009704AD"/>
    <w:rsid w:val="00970BA4"/>
    <w:rsid w:val="00971EF4"/>
    <w:rsid w:val="0097213C"/>
    <w:rsid w:val="00972614"/>
    <w:rsid w:val="009757DC"/>
    <w:rsid w:val="00976285"/>
    <w:rsid w:val="00983153"/>
    <w:rsid w:val="00983FEC"/>
    <w:rsid w:val="009860CB"/>
    <w:rsid w:val="009913A4"/>
    <w:rsid w:val="009918AB"/>
    <w:rsid w:val="00994882"/>
    <w:rsid w:val="009955D1"/>
    <w:rsid w:val="009972A3"/>
    <w:rsid w:val="00997FC7"/>
    <w:rsid w:val="009A153A"/>
    <w:rsid w:val="009A3956"/>
    <w:rsid w:val="009A474F"/>
    <w:rsid w:val="009A4DE8"/>
    <w:rsid w:val="009A6A56"/>
    <w:rsid w:val="009A6F66"/>
    <w:rsid w:val="009A729F"/>
    <w:rsid w:val="009A7A9C"/>
    <w:rsid w:val="009B01DE"/>
    <w:rsid w:val="009B1DD6"/>
    <w:rsid w:val="009B24CD"/>
    <w:rsid w:val="009B2CDE"/>
    <w:rsid w:val="009B39EC"/>
    <w:rsid w:val="009B42B2"/>
    <w:rsid w:val="009B5173"/>
    <w:rsid w:val="009B7DDE"/>
    <w:rsid w:val="009C1B79"/>
    <w:rsid w:val="009C3602"/>
    <w:rsid w:val="009C425D"/>
    <w:rsid w:val="009C51E9"/>
    <w:rsid w:val="009C5578"/>
    <w:rsid w:val="009C57C9"/>
    <w:rsid w:val="009C5BD9"/>
    <w:rsid w:val="009C7397"/>
    <w:rsid w:val="009C748F"/>
    <w:rsid w:val="009D0EDE"/>
    <w:rsid w:val="009D0FCA"/>
    <w:rsid w:val="009D1396"/>
    <w:rsid w:val="009D14DF"/>
    <w:rsid w:val="009D1DE2"/>
    <w:rsid w:val="009D2402"/>
    <w:rsid w:val="009D3007"/>
    <w:rsid w:val="009D37B1"/>
    <w:rsid w:val="009D46E6"/>
    <w:rsid w:val="009D54C5"/>
    <w:rsid w:val="009D554D"/>
    <w:rsid w:val="009D5B76"/>
    <w:rsid w:val="009E1E4D"/>
    <w:rsid w:val="009E348A"/>
    <w:rsid w:val="009E5888"/>
    <w:rsid w:val="009E6297"/>
    <w:rsid w:val="009E78CF"/>
    <w:rsid w:val="009F0C57"/>
    <w:rsid w:val="009F332A"/>
    <w:rsid w:val="009F391E"/>
    <w:rsid w:val="009F4367"/>
    <w:rsid w:val="009F4D15"/>
    <w:rsid w:val="009F5D0B"/>
    <w:rsid w:val="009F5DEF"/>
    <w:rsid w:val="00A001F2"/>
    <w:rsid w:val="00A00493"/>
    <w:rsid w:val="00A00712"/>
    <w:rsid w:val="00A02317"/>
    <w:rsid w:val="00A02A55"/>
    <w:rsid w:val="00A02F94"/>
    <w:rsid w:val="00A035C9"/>
    <w:rsid w:val="00A03CC3"/>
    <w:rsid w:val="00A054F3"/>
    <w:rsid w:val="00A0624A"/>
    <w:rsid w:val="00A0639C"/>
    <w:rsid w:val="00A06D5E"/>
    <w:rsid w:val="00A07535"/>
    <w:rsid w:val="00A10A5B"/>
    <w:rsid w:val="00A11281"/>
    <w:rsid w:val="00A11C44"/>
    <w:rsid w:val="00A11C98"/>
    <w:rsid w:val="00A12C1E"/>
    <w:rsid w:val="00A15B0E"/>
    <w:rsid w:val="00A21BFA"/>
    <w:rsid w:val="00A21D1A"/>
    <w:rsid w:val="00A22146"/>
    <w:rsid w:val="00A22263"/>
    <w:rsid w:val="00A25782"/>
    <w:rsid w:val="00A25CD1"/>
    <w:rsid w:val="00A25EEB"/>
    <w:rsid w:val="00A25F1A"/>
    <w:rsid w:val="00A26AAC"/>
    <w:rsid w:val="00A26FDE"/>
    <w:rsid w:val="00A32489"/>
    <w:rsid w:val="00A32555"/>
    <w:rsid w:val="00A3328E"/>
    <w:rsid w:val="00A339E1"/>
    <w:rsid w:val="00A34D5C"/>
    <w:rsid w:val="00A36EE3"/>
    <w:rsid w:val="00A37BD3"/>
    <w:rsid w:val="00A37D96"/>
    <w:rsid w:val="00A40DA2"/>
    <w:rsid w:val="00A4134A"/>
    <w:rsid w:val="00A4139A"/>
    <w:rsid w:val="00A41691"/>
    <w:rsid w:val="00A41996"/>
    <w:rsid w:val="00A42CBB"/>
    <w:rsid w:val="00A441B8"/>
    <w:rsid w:val="00A4625B"/>
    <w:rsid w:val="00A47E75"/>
    <w:rsid w:val="00A5107C"/>
    <w:rsid w:val="00A51E20"/>
    <w:rsid w:val="00A532E6"/>
    <w:rsid w:val="00A55B67"/>
    <w:rsid w:val="00A575BA"/>
    <w:rsid w:val="00A579EC"/>
    <w:rsid w:val="00A60D9A"/>
    <w:rsid w:val="00A64247"/>
    <w:rsid w:val="00A64354"/>
    <w:rsid w:val="00A655DD"/>
    <w:rsid w:val="00A657F2"/>
    <w:rsid w:val="00A65FE5"/>
    <w:rsid w:val="00A66577"/>
    <w:rsid w:val="00A66E39"/>
    <w:rsid w:val="00A677D7"/>
    <w:rsid w:val="00A67984"/>
    <w:rsid w:val="00A70C38"/>
    <w:rsid w:val="00A71264"/>
    <w:rsid w:val="00A718EB"/>
    <w:rsid w:val="00A7362F"/>
    <w:rsid w:val="00A74C0C"/>
    <w:rsid w:val="00A74DDB"/>
    <w:rsid w:val="00A7641A"/>
    <w:rsid w:val="00A76DD1"/>
    <w:rsid w:val="00A77B05"/>
    <w:rsid w:val="00A77E93"/>
    <w:rsid w:val="00A80163"/>
    <w:rsid w:val="00A81B31"/>
    <w:rsid w:val="00A823C7"/>
    <w:rsid w:val="00A82B32"/>
    <w:rsid w:val="00A831B6"/>
    <w:rsid w:val="00A83536"/>
    <w:rsid w:val="00A8676D"/>
    <w:rsid w:val="00A87E25"/>
    <w:rsid w:val="00A90386"/>
    <w:rsid w:val="00A90ED3"/>
    <w:rsid w:val="00A91362"/>
    <w:rsid w:val="00A91A1B"/>
    <w:rsid w:val="00A94247"/>
    <w:rsid w:val="00A945EB"/>
    <w:rsid w:val="00A95914"/>
    <w:rsid w:val="00A970DF"/>
    <w:rsid w:val="00A97C86"/>
    <w:rsid w:val="00AA4125"/>
    <w:rsid w:val="00AA4C84"/>
    <w:rsid w:val="00AA50BD"/>
    <w:rsid w:val="00AA6D49"/>
    <w:rsid w:val="00AB241B"/>
    <w:rsid w:val="00AB44C9"/>
    <w:rsid w:val="00AB5290"/>
    <w:rsid w:val="00AB7AE1"/>
    <w:rsid w:val="00AB7C3E"/>
    <w:rsid w:val="00AC10CC"/>
    <w:rsid w:val="00AC1727"/>
    <w:rsid w:val="00AC20AD"/>
    <w:rsid w:val="00AC213A"/>
    <w:rsid w:val="00AC2E01"/>
    <w:rsid w:val="00AC2F3C"/>
    <w:rsid w:val="00AC390D"/>
    <w:rsid w:val="00AC3E1D"/>
    <w:rsid w:val="00AC5AF9"/>
    <w:rsid w:val="00AC68A0"/>
    <w:rsid w:val="00AC6F84"/>
    <w:rsid w:val="00AD1CC1"/>
    <w:rsid w:val="00AD24BE"/>
    <w:rsid w:val="00AD350D"/>
    <w:rsid w:val="00AD3D13"/>
    <w:rsid w:val="00AD44C2"/>
    <w:rsid w:val="00AD4559"/>
    <w:rsid w:val="00AD45F3"/>
    <w:rsid w:val="00AD49D1"/>
    <w:rsid w:val="00AD6499"/>
    <w:rsid w:val="00AD6D08"/>
    <w:rsid w:val="00AD7219"/>
    <w:rsid w:val="00AD73CC"/>
    <w:rsid w:val="00AD773C"/>
    <w:rsid w:val="00AD77AD"/>
    <w:rsid w:val="00AE2BEC"/>
    <w:rsid w:val="00AE4A3E"/>
    <w:rsid w:val="00AE50B1"/>
    <w:rsid w:val="00AE5CDC"/>
    <w:rsid w:val="00AE61F3"/>
    <w:rsid w:val="00AE6716"/>
    <w:rsid w:val="00AE700C"/>
    <w:rsid w:val="00AE7276"/>
    <w:rsid w:val="00AE7B40"/>
    <w:rsid w:val="00AE7CAE"/>
    <w:rsid w:val="00AF05D8"/>
    <w:rsid w:val="00AF0EEC"/>
    <w:rsid w:val="00AF2F05"/>
    <w:rsid w:val="00AF36B6"/>
    <w:rsid w:val="00AF42A4"/>
    <w:rsid w:val="00AF4409"/>
    <w:rsid w:val="00AF5385"/>
    <w:rsid w:val="00AF6FB0"/>
    <w:rsid w:val="00AF7080"/>
    <w:rsid w:val="00B006E2"/>
    <w:rsid w:val="00B00778"/>
    <w:rsid w:val="00B017F4"/>
    <w:rsid w:val="00B019BA"/>
    <w:rsid w:val="00B01BF0"/>
    <w:rsid w:val="00B01DA1"/>
    <w:rsid w:val="00B02D55"/>
    <w:rsid w:val="00B02EEF"/>
    <w:rsid w:val="00B058FC"/>
    <w:rsid w:val="00B06708"/>
    <w:rsid w:val="00B103F2"/>
    <w:rsid w:val="00B1060E"/>
    <w:rsid w:val="00B10670"/>
    <w:rsid w:val="00B108B6"/>
    <w:rsid w:val="00B10C8D"/>
    <w:rsid w:val="00B120CB"/>
    <w:rsid w:val="00B1214E"/>
    <w:rsid w:val="00B14264"/>
    <w:rsid w:val="00B1566D"/>
    <w:rsid w:val="00B158E2"/>
    <w:rsid w:val="00B15D71"/>
    <w:rsid w:val="00B164A4"/>
    <w:rsid w:val="00B1757B"/>
    <w:rsid w:val="00B2278F"/>
    <w:rsid w:val="00B23DC1"/>
    <w:rsid w:val="00B25C2E"/>
    <w:rsid w:val="00B308F6"/>
    <w:rsid w:val="00B322D6"/>
    <w:rsid w:val="00B33694"/>
    <w:rsid w:val="00B34933"/>
    <w:rsid w:val="00B34AB3"/>
    <w:rsid w:val="00B4261D"/>
    <w:rsid w:val="00B4272C"/>
    <w:rsid w:val="00B43DBD"/>
    <w:rsid w:val="00B461A8"/>
    <w:rsid w:val="00B467BE"/>
    <w:rsid w:val="00B47121"/>
    <w:rsid w:val="00B507F9"/>
    <w:rsid w:val="00B51067"/>
    <w:rsid w:val="00B51529"/>
    <w:rsid w:val="00B51F7E"/>
    <w:rsid w:val="00B52863"/>
    <w:rsid w:val="00B530B6"/>
    <w:rsid w:val="00B533EC"/>
    <w:rsid w:val="00B5619A"/>
    <w:rsid w:val="00B61CA2"/>
    <w:rsid w:val="00B61CE9"/>
    <w:rsid w:val="00B6458C"/>
    <w:rsid w:val="00B655CD"/>
    <w:rsid w:val="00B6638D"/>
    <w:rsid w:val="00B66693"/>
    <w:rsid w:val="00B67B8B"/>
    <w:rsid w:val="00B70673"/>
    <w:rsid w:val="00B726F3"/>
    <w:rsid w:val="00B72D40"/>
    <w:rsid w:val="00B731F7"/>
    <w:rsid w:val="00B73B71"/>
    <w:rsid w:val="00B73F8E"/>
    <w:rsid w:val="00B75A4B"/>
    <w:rsid w:val="00B7608C"/>
    <w:rsid w:val="00B81BF8"/>
    <w:rsid w:val="00B82CB0"/>
    <w:rsid w:val="00B832DF"/>
    <w:rsid w:val="00B83471"/>
    <w:rsid w:val="00B86F9D"/>
    <w:rsid w:val="00B90234"/>
    <w:rsid w:val="00B911E4"/>
    <w:rsid w:val="00B9128B"/>
    <w:rsid w:val="00B91360"/>
    <w:rsid w:val="00B91C9B"/>
    <w:rsid w:val="00B91EFE"/>
    <w:rsid w:val="00B92137"/>
    <w:rsid w:val="00B93011"/>
    <w:rsid w:val="00B93460"/>
    <w:rsid w:val="00BA0B4B"/>
    <w:rsid w:val="00BA154E"/>
    <w:rsid w:val="00BA17B9"/>
    <w:rsid w:val="00BA29A2"/>
    <w:rsid w:val="00BA2FD0"/>
    <w:rsid w:val="00BA76A8"/>
    <w:rsid w:val="00BA7F67"/>
    <w:rsid w:val="00BB12F0"/>
    <w:rsid w:val="00BB17FE"/>
    <w:rsid w:val="00BB3641"/>
    <w:rsid w:val="00BB39BD"/>
    <w:rsid w:val="00BB3AC9"/>
    <w:rsid w:val="00BB3F23"/>
    <w:rsid w:val="00BB59A1"/>
    <w:rsid w:val="00BC0222"/>
    <w:rsid w:val="00BC05E0"/>
    <w:rsid w:val="00BC30AC"/>
    <w:rsid w:val="00BC388C"/>
    <w:rsid w:val="00BC3C83"/>
    <w:rsid w:val="00BC5F3E"/>
    <w:rsid w:val="00BC6D17"/>
    <w:rsid w:val="00BC7016"/>
    <w:rsid w:val="00BD17BE"/>
    <w:rsid w:val="00BD208D"/>
    <w:rsid w:val="00BD2511"/>
    <w:rsid w:val="00BD41E9"/>
    <w:rsid w:val="00BD4D32"/>
    <w:rsid w:val="00BD524D"/>
    <w:rsid w:val="00BD545A"/>
    <w:rsid w:val="00BD7B5A"/>
    <w:rsid w:val="00BE10CD"/>
    <w:rsid w:val="00BE1DBF"/>
    <w:rsid w:val="00BE2DD3"/>
    <w:rsid w:val="00BE3421"/>
    <w:rsid w:val="00BE345F"/>
    <w:rsid w:val="00BE4643"/>
    <w:rsid w:val="00BE5EFD"/>
    <w:rsid w:val="00BE6AB1"/>
    <w:rsid w:val="00BE6D09"/>
    <w:rsid w:val="00BE73BC"/>
    <w:rsid w:val="00BF086D"/>
    <w:rsid w:val="00BF1625"/>
    <w:rsid w:val="00BF3149"/>
    <w:rsid w:val="00BF3ABD"/>
    <w:rsid w:val="00BF45C8"/>
    <w:rsid w:val="00BF47AE"/>
    <w:rsid w:val="00BF5270"/>
    <w:rsid w:val="00BF555D"/>
    <w:rsid w:val="00BF6DB5"/>
    <w:rsid w:val="00C012FD"/>
    <w:rsid w:val="00C0172C"/>
    <w:rsid w:val="00C037E9"/>
    <w:rsid w:val="00C03BE0"/>
    <w:rsid w:val="00C04B9B"/>
    <w:rsid w:val="00C07218"/>
    <w:rsid w:val="00C103A6"/>
    <w:rsid w:val="00C10873"/>
    <w:rsid w:val="00C1166E"/>
    <w:rsid w:val="00C129A9"/>
    <w:rsid w:val="00C12F63"/>
    <w:rsid w:val="00C12FED"/>
    <w:rsid w:val="00C1352D"/>
    <w:rsid w:val="00C14871"/>
    <w:rsid w:val="00C14F79"/>
    <w:rsid w:val="00C21271"/>
    <w:rsid w:val="00C22AB6"/>
    <w:rsid w:val="00C23683"/>
    <w:rsid w:val="00C239FC"/>
    <w:rsid w:val="00C23CFA"/>
    <w:rsid w:val="00C26140"/>
    <w:rsid w:val="00C26E92"/>
    <w:rsid w:val="00C30C89"/>
    <w:rsid w:val="00C32026"/>
    <w:rsid w:val="00C32224"/>
    <w:rsid w:val="00C3264B"/>
    <w:rsid w:val="00C331FD"/>
    <w:rsid w:val="00C33278"/>
    <w:rsid w:val="00C34ABD"/>
    <w:rsid w:val="00C3694E"/>
    <w:rsid w:val="00C40AC2"/>
    <w:rsid w:val="00C4295A"/>
    <w:rsid w:val="00C45983"/>
    <w:rsid w:val="00C459A3"/>
    <w:rsid w:val="00C46825"/>
    <w:rsid w:val="00C47B47"/>
    <w:rsid w:val="00C5002E"/>
    <w:rsid w:val="00C503A0"/>
    <w:rsid w:val="00C50BC3"/>
    <w:rsid w:val="00C514FE"/>
    <w:rsid w:val="00C534D7"/>
    <w:rsid w:val="00C57439"/>
    <w:rsid w:val="00C61A36"/>
    <w:rsid w:val="00C61A91"/>
    <w:rsid w:val="00C62A6E"/>
    <w:rsid w:val="00C64205"/>
    <w:rsid w:val="00C64B1C"/>
    <w:rsid w:val="00C707C4"/>
    <w:rsid w:val="00C7082C"/>
    <w:rsid w:val="00C71AEC"/>
    <w:rsid w:val="00C7343A"/>
    <w:rsid w:val="00C73556"/>
    <w:rsid w:val="00C7495B"/>
    <w:rsid w:val="00C74A4C"/>
    <w:rsid w:val="00C74B80"/>
    <w:rsid w:val="00C74DD0"/>
    <w:rsid w:val="00C76702"/>
    <w:rsid w:val="00C8067D"/>
    <w:rsid w:val="00C80BA1"/>
    <w:rsid w:val="00C81774"/>
    <w:rsid w:val="00C83D6C"/>
    <w:rsid w:val="00C84D95"/>
    <w:rsid w:val="00C86A9E"/>
    <w:rsid w:val="00C87BDE"/>
    <w:rsid w:val="00C901C1"/>
    <w:rsid w:val="00C92919"/>
    <w:rsid w:val="00C94176"/>
    <w:rsid w:val="00C9470A"/>
    <w:rsid w:val="00C94E91"/>
    <w:rsid w:val="00C9716B"/>
    <w:rsid w:val="00CA03C2"/>
    <w:rsid w:val="00CA074C"/>
    <w:rsid w:val="00CA078B"/>
    <w:rsid w:val="00CA089F"/>
    <w:rsid w:val="00CA1DBD"/>
    <w:rsid w:val="00CA1ECC"/>
    <w:rsid w:val="00CA26B7"/>
    <w:rsid w:val="00CA2E1A"/>
    <w:rsid w:val="00CA434D"/>
    <w:rsid w:val="00CA4E2D"/>
    <w:rsid w:val="00CA50BD"/>
    <w:rsid w:val="00CA5AEF"/>
    <w:rsid w:val="00CA5DAB"/>
    <w:rsid w:val="00CA6518"/>
    <w:rsid w:val="00CA7342"/>
    <w:rsid w:val="00CA7BCB"/>
    <w:rsid w:val="00CB1AEE"/>
    <w:rsid w:val="00CB1CDF"/>
    <w:rsid w:val="00CB3C4E"/>
    <w:rsid w:val="00CB45ED"/>
    <w:rsid w:val="00CB55C1"/>
    <w:rsid w:val="00CB56B6"/>
    <w:rsid w:val="00CB6365"/>
    <w:rsid w:val="00CB6AA5"/>
    <w:rsid w:val="00CB6DA3"/>
    <w:rsid w:val="00CB72AB"/>
    <w:rsid w:val="00CC10B3"/>
    <w:rsid w:val="00CC197B"/>
    <w:rsid w:val="00CC3B0A"/>
    <w:rsid w:val="00CC5222"/>
    <w:rsid w:val="00CC5EEE"/>
    <w:rsid w:val="00CC6237"/>
    <w:rsid w:val="00CC6CEB"/>
    <w:rsid w:val="00CD0398"/>
    <w:rsid w:val="00CD0B17"/>
    <w:rsid w:val="00CD12DE"/>
    <w:rsid w:val="00CD1C5A"/>
    <w:rsid w:val="00CD210D"/>
    <w:rsid w:val="00CD28CE"/>
    <w:rsid w:val="00CD4235"/>
    <w:rsid w:val="00CD6C6F"/>
    <w:rsid w:val="00CE1AA7"/>
    <w:rsid w:val="00CE1EFA"/>
    <w:rsid w:val="00CE4CA7"/>
    <w:rsid w:val="00CE65C8"/>
    <w:rsid w:val="00CF062F"/>
    <w:rsid w:val="00CF0EF9"/>
    <w:rsid w:val="00CF48E7"/>
    <w:rsid w:val="00CF78CB"/>
    <w:rsid w:val="00D001B0"/>
    <w:rsid w:val="00D01714"/>
    <w:rsid w:val="00D0217E"/>
    <w:rsid w:val="00D0233C"/>
    <w:rsid w:val="00D02444"/>
    <w:rsid w:val="00D03D2A"/>
    <w:rsid w:val="00D05838"/>
    <w:rsid w:val="00D060FC"/>
    <w:rsid w:val="00D06492"/>
    <w:rsid w:val="00D10836"/>
    <w:rsid w:val="00D10C45"/>
    <w:rsid w:val="00D11C75"/>
    <w:rsid w:val="00D11FFD"/>
    <w:rsid w:val="00D124B4"/>
    <w:rsid w:val="00D12AA4"/>
    <w:rsid w:val="00D12DA1"/>
    <w:rsid w:val="00D137C2"/>
    <w:rsid w:val="00D13B84"/>
    <w:rsid w:val="00D13CBF"/>
    <w:rsid w:val="00D13D14"/>
    <w:rsid w:val="00D1489F"/>
    <w:rsid w:val="00D1692D"/>
    <w:rsid w:val="00D16B89"/>
    <w:rsid w:val="00D20808"/>
    <w:rsid w:val="00D217C5"/>
    <w:rsid w:val="00D22449"/>
    <w:rsid w:val="00D22C78"/>
    <w:rsid w:val="00D240B8"/>
    <w:rsid w:val="00D24A28"/>
    <w:rsid w:val="00D24EAB"/>
    <w:rsid w:val="00D2505D"/>
    <w:rsid w:val="00D2537A"/>
    <w:rsid w:val="00D25665"/>
    <w:rsid w:val="00D25968"/>
    <w:rsid w:val="00D25D3F"/>
    <w:rsid w:val="00D26A00"/>
    <w:rsid w:val="00D302AE"/>
    <w:rsid w:val="00D30CAF"/>
    <w:rsid w:val="00D31C00"/>
    <w:rsid w:val="00D32C84"/>
    <w:rsid w:val="00D34115"/>
    <w:rsid w:val="00D35B3E"/>
    <w:rsid w:val="00D361DA"/>
    <w:rsid w:val="00D3647D"/>
    <w:rsid w:val="00D367EF"/>
    <w:rsid w:val="00D409A3"/>
    <w:rsid w:val="00D4146E"/>
    <w:rsid w:val="00D416DE"/>
    <w:rsid w:val="00D42834"/>
    <w:rsid w:val="00D46A7F"/>
    <w:rsid w:val="00D50B5A"/>
    <w:rsid w:val="00D515D8"/>
    <w:rsid w:val="00D52DC9"/>
    <w:rsid w:val="00D530A2"/>
    <w:rsid w:val="00D562BE"/>
    <w:rsid w:val="00D567BB"/>
    <w:rsid w:val="00D56FC5"/>
    <w:rsid w:val="00D62FAE"/>
    <w:rsid w:val="00D654E6"/>
    <w:rsid w:val="00D65E70"/>
    <w:rsid w:val="00D66013"/>
    <w:rsid w:val="00D67D26"/>
    <w:rsid w:val="00D701D1"/>
    <w:rsid w:val="00D7027A"/>
    <w:rsid w:val="00D70413"/>
    <w:rsid w:val="00D706E6"/>
    <w:rsid w:val="00D70A1A"/>
    <w:rsid w:val="00D70C61"/>
    <w:rsid w:val="00D71C48"/>
    <w:rsid w:val="00D721A8"/>
    <w:rsid w:val="00D72AB7"/>
    <w:rsid w:val="00D733ED"/>
    <w:rsid w:val="00D736EF"/>
    <w:rsid w:val="00D73B4F"/>
    <w:rsid w:val="00D73E86"/>
    <w:rsid w:val="00D73FD9"/>
    <w:rsid w:val="00D75B1D"/>
    <w:rsid w:val="00D8017B"/>
    <w:rsid w:val="00D80BEE"/>
    <w:rsid w:val="00D817D6"/>
    <w:rsid w:val="00D81DD5"/>
    <w:rsid w:val="00D82238"/>
    <w:rsid w:val="00D826E8"/>
    <w:rsid w:val="00D838D3"/>
    <w:rsid w:val="00D85341"/>
    <w:rsid w:val="00D869B5"/>
    <w:rsid w:val="00D8725A"/>
    <w:rsid w:val="00D94D81"/>
    <w:rsid w:val="00D97E39"/>
    <w:rsid w:val="00DA08AA"/>
    <w:rsid w:val="00DA19BB"/>
    <w:rsid w:val="00DA2959"/>
    <w:rsid w:val="00DA579E"/>
    <w:rsid w:val="00DA58D1"/>
    <w:rsid w:val="00DA704E"/>
    <w:rsid w:val="00DA7CB7"/>
    <w:rsid w:val="00DB39B0"/>
    <w:rsid w:val="00DB58BC"/>
    <w:rsid w:val="00DB720E"/>
    <w:rsid w:val="00DB7911"/>
    <w:rsid w:val="00DC112A"/>
    <w:rsid w:val="00DC4288"/>
    <w:rsid w:val="00DC6E54"/>
    <w:rsid w:val="00DD1542"/>
    <w:rsid w:val="00DD16D1"/>
    <w:rsid w:val="00DD2051"/>
    <w:rsid w:val="00DD26E6"/>
    <w:rsid w:val="00DD470B"/>
    <w:rsid w:val="00DD5963"/>
    <w:rsid w:val="00DD688B"/>
    <w:rsid w:val="00DD7C9B"/>
    <w:rsid w:val="00DE1108"/>
    <w:rsid w:val="00DE296F"/>
    <w:rsid w:val="00DE3072"/>
    <w:rsid w:val="00DE35CF"/>
    <w:rsid w:val="00DE3789"/>
    <w:rsid w:val="00DE4E9A"/>
    <w:rsid w:val="00DE53B2"/>
    <w:rsid w:val="00DE6E3E"/>
    <w:rsid w:val="00DE79FA"/>
    <w:rsid w:val="00DF2022"/>
    <w:rsid w:val="00DF2154"/>
    <w:rsid w:val="00DF2412"/>
    <w:rsid w:val="00DF2FB2"/>
    <w:rsid w:val="00DF3C7E"/>
    <w:rsid w:val="00DF4000"/>
    <w:rsid w:val="00DF4682"/>
    <w:rsid w:val="00DF4966"/>
    <w:rsid w:val="00DF662C"/>
    <w:rsid w:val="00DF7192"/>
    <w:rsid w:val="00DF7C77"/>
    <w:rsid w:val="00E00778"/>
    <w:rsid w:val="00E01DE5"/>
    <w:rsid w:val="00E03D10"/>
    <w:rsid w:val="00E04A99"/>
    <w:rsid w:val="00E051A9"/>
    <w:rsid w:val="00E05DAA"/>
    <w:rsid w:val="00E05E10"/>
    <w:rsid w:val="00E060BD"/>
    <w:rsid w:val="00E10578"/>
    <w:rsid w:val="00E11AE2"/>
    <w:rsid w:val="00E11C81"/>
    <w:rsid w:val="00E12495"/>
    <w:rsid w:val="00E128DA"/>
    <w:rsid w:val="00E14753"/>
    <w:rsid w:val="00E149B4"/>
    <w:rsid w:val="00E150DB"/>
    <w:rsid w:val="00E15891"/>
    <w:rsid w:val="00E16E86"/>
    <w:rsid w:val="00E20020"/>
    <w:rsid w:val="00E20920"/>
    <w:rsid w:val="00E20A83"/>
    <w:rsid w:val="00E2343C"/>
    <w:rsid w:val="00E237ED"/>
    <w:rsid w:val="00E24652"/>
    <w:rsid w:val="00E248D5"/>
    <w:rsid w:val="00E25434"/>
    <w:rsid w:val="00E279CC"/>
    <w:rsid w:val="00E31122"/>
    <w:rsid w:val="00E3171F"/>
    <w:rsid w:val="00E3178B"/>
    <w:rsid w:val="00E3190D"/>
    <w:rsid w:val="00E344A1"/>
    <w:rsid w:val="00E35DB3"/>
    <w:rsid w:val="00E3763B"/>
    <w:rsid w:val="00E377A5"/>
    <w:rsid w:val="00E4003F"/>
    <w:rsid w:val="00E417DA"/>
    <w:rsid w:val="00E42377"/>
    <w:rsid w:val="00E43F87"/>
    <w:rsid w:val="00E46DE3"/>
    <w:rsid w:val="00E47CF5"/>
    <w:rsid w:val="00E50393"/>
    <w:rsid w:val="00E52AF7"/>
    <w:rsid w:val="00E52F21"/>
    <w:rsid w:val="00E55C1D"/>
    <w:rsid w:val="00E55D15"/>
    <w:rsid w:val="00E562EC"/>
    <w:rsid w:val="00E56470"/>
    <w:rsid w:val="00E60AD0"/>
    <w:rsid w:val="00E66414"/>
    <w:rsid w:val="00E66863"/>
    <w:rsid w:val="00E67177"/>
    <w:rsid w:val="00E67894"/>
    <w:rsid w:val="00E67BD9"/>
    <w:rsid w:val="00E710C3"/>
    <w:rsid w:val="00E7112A"/>
    <w:rsid w:val="00E723EB"/>
    <w:rsid w:val="00E72473"/>
    <w:rsid w:val="00E725A0"/>
    <w:rsid w:val="00E74F56"/>
    <w:rsid w:val="00E7537C"/>
    <w:rsid w:val="00E761A3"/>
    <w:rsid w:val="00E76237"/>
    <w:rsid w:val="00E77506"/>
    <w:rsid w:val="00E77AC6"/>
    <w:rsid w:val="00E77D12"/>
    <w:rsid w:val="00E8256D"/>
    <w:rsid w:val="00E8683A"/>
    <w:rsid w:val="00E90001"/>
    <w:rsid w:val="00E90C3F"/>
    <w:rsid w:val="00E91D56"/>
    <w:rsid w:val="00E95F95"/>
    <w:rsid w:val="00EA065E"/>
    <w:rsid w:val="00EA0B01"/>
    <w:rsid w:val="00EA1C35"/>
    <w:rsid w:val="00EA23C4"/>
    <w:rsid w:val="00EA38AB"/>
    <w:rsid w:val="00EA3EE5"/>
    <w:rsid w:val="00EA46EB"/>
    <w:rsid w:val="00EA6861"/>
    <w:rsid w:val="00EA73A7"/>
    <w:rsid w:val="00EA7CAC"/>
    <w:rsid w:val="00EB01DA"/>
    <w:rsid w:val="00EB3A60"/>
    <w:rsid w:val="00EB448B"/>
    <w:rsid w:val="00EB4B99"/>
    <w:rsid w:val="00EB4F7D"/>
    <w:rsid w:val="00EB5B86"/>
    <w:rsid w:val="00EB5DD9"/>
    <w:rsid w:val="00EC31BB"/>
    <w:rsid w:val="00EC3D0F"/>
    <w:rsid w:val="00EC5988"/>
    <w:rsid w:val="00ED0134"/>
    <w:rsid w:val="00ED1374"/>
    <w:rsid w:val="00ED2157"/>
    <w:rsid w:val="00ED2374"/>
    <w:rsid w:val="00ED3742"/>
    <w:rsid w:val="00ED4152"/>
    <w:rsid w:val="00EE0512"/>
    <w:rsid w:val="00EE0E51"/>
    <w:rsid w:val="00EE1EB2"/>
    <w:rsid w:val="00EE3477"/>
    <w:rsid w:val="00EE358B"/>
    <w:rsid w:val="00EE562C"/>
    <w:rsid w:val="00EE587C"/>
    <w:rsid w:val="00EE5AAB"/>
    <w:rsid w:val="00EE7554"/>
    <w:rsid w:val="00EF058A"/>
    <w:rsid w:val="00EF0C7A"/>
    <w:rsid w:val="00EF1255"/>
    <w:rsid w:val="00EF1A6B"/>
    <w:rsid w:val="00EF1A87"/>
    <w:rsid w:val="00EF1B46"/>
    <w:rsid w:val="00EF3386"/>
    <w:rsid w:val="00EF4F78"/>
    <w:rsid w:val="00EF50B1"/>
    <w:rsid w:val="00EF64A0"/>
    <w:rsid w:val="00EF7F3C"/>
    <w:rsid w:val="00F015AA"/>
    <w:rsid w:val="00F01B17"/>
    <w:rsid w:val="00F0303E"/>
    <w:rsid w:val="00F04022"/>
    <w:rsid w:val="00F04471"/>
    <w:rsid w:val="00F07BE7"/>
    <w:rsid w:val="00F11AC2"/>
    <w:rsid w:val="00F12376"/>
    <w:rsid w:val="00F12533"/>
    <w:rsid w:val="00F133A9"/>
    <w:rsid w:val="00F1350C"/>
    <w:rsid w:val="00F14A17"/>
    <w:rsid w:val="00F1535A"/>
    <w:rsid w:val="00F15CE1"/>
    <w:rsid w:val="00F1787F"/>
    <w:rsid w:val="00F20254"/>
    <w:rsid w:val="00F203AC"/>
    <w:rsid w:val="00F20CC1"/>
    <w:rsid w:val="00F20F52"/>
    <w:rsid w:val="00F2221E"/>
    <w:rsid w:val="00F225DB"/>
    <w:rsid w:val="00F24812"/>
    <w:rsid w:val="00F255D0"/>
    <w:rsid w:val="00F25D24"/>
    <w:rsid w:val="00F26B89"/>
    <w:rsid w:val="00F26E9F"/>
    <w:rsid w:val="00F30F53"/>
    <w:rsid w:val="00F311E3"/>
    <w:rsid w:val="00F31258"/>
    <w:rsid w:val="00F32779"/>
    <w:rsid w:val="00F32B16"/>
    <w:rsid w:val="00F33451"/>
    <w:rsid w:val="00F3437C"/>
    <w:rsid w:val="00F3524A"/>
    <w:rsid w:val="00F36071"/>
    <w:rsid w:val="00F3682A"/>
    <w:rsid w:val="00F36897"/>
    <w:rsid w:val="00F37E64"/>
    <w:rsid w:val="00F41DDC"/>
    <w:rsid w:val="00F42B9E"/>
    <w:rsid w:val="00F430B0"/>
    <w:rsid w:val="00F43D64"/>
    <w:rsid w:val="00F44B39"/>
    <w:rsid w:val="00F45D1C"/>
    <w:rsid w:val="00F47BC8"/>
    <w:rsid w:val="00F47D7E"/>
    <w:rsid w:val="00F5076F"/>
    <w:rsid w:val="00F527D7"/>
    <w:rsid w:val="00F5398A"/>
    <w:rsid w:val="00F540F2"/>
    <w:rsid w:val="00F54255"/>
    <w:rsid w:val="00F558F0"/>
    <w:rsid w:val="00F60AFF"/>
    <w:rsid w:val="00F6236F"/>
    <w:rsid w:val="00F63A4B"/>
    <w:rsid w:val="00F64F66"/>
    <w:rsid w:val="00F65628"/>
    <w:rsid w:val="00F67026"/>
    <w:rsid w:val="00F6718E"/>
    <w:rsid w:val="00F706AD"/>
    <w:rsid w:val="00F71612"/>
    <w:rsid w:val="00F71894"/>
    <w:rsid w:val="00F734D7"/>
    <w:rsid w:val="00F7416A"/>
    <w:rsid w:val="00F74688"/>
    <w:rsid w:val="00F74BE3"/>
    <w:rsid w:val="00F764DF"/>
    <w:rsid w:val="00F81275"/>
    <w:rsid w:val="00F82FA9"/>
    <w:rsid w:val="00F85F49"/>
    <w:rsid w:val="00F869DD"/>
    <w:rsid w:val="00F907AF"/>
    <w:rsid w:val="00F90C71"/>
    <w:rsid w:val="00F91021"/>
    <w:rsid w:val="00F922D6"/>
    <w:rsid w:val="00F92331"/>
    <w:rsid w:val="00F94908"/>
    <w:rsid w:val="00F95BA8"/>
    <w:rsid w:val="00F9665F"/>
    <w:rsid w:val="00F96BDA"/>
    <w:rsid w:val="00F97FB7"/>
    <w:rsid w:val="00FA0BB5"/>
    <w:rsid w:val="00FA0C1E"/>
    <w:rsid w:val="00FA1D0D"/>
    <w:rsid w:val="00FA403B"/>
    <w:rsid w:val="00FA4F2D"/>
    <w:rsid w:val="00FA6544"/>
    <w:rsid w:val="00FA7A1A"/>
    <w:rsid w:val="00FA7B1F"/>
    <w:rsid w:val="00FB05D1"/>
    <w:rsid w:val="00FB260D"/>
    <w:rsid w:val="00FB379F"/>
    <w:rsid w:val="00FB393B"/>
    <w:rsid w:val="00FC08C1"/>
    <w:rsid w:val="00FC156C"/>
    <w:rsid w:val="00FC2471"/>
    <w:rsid w:val="00FC5004"/>
    <w:rsid w:val="00FC6849"/>
    <w:rsid w:val="00FD108B"/>
    <w:rsid w:val="00FD1946"/>
    <w:rsid w:val="00FD2293"/>
    <w:rsid w:val="00FD269E"/>
    <w:rsid w:val="00FD2D32"/>
    <w:rsid w:val="00FD2E41"/>
    <w:rsid w:val="00FD374C"/>
    <w:rsid w:val="00FD4203"/>
    <w:rsid w:val="00FD4644"/>
    <w:rsid w:val="00FD7F7B"/>
    <w:rsid w:val="00FE03C8"/>
    <w:rsid w:val="00FE069D"/>
    <w:rsid w:val="00FE1760"/>
    <w:rsid w:val="00FE26C4"/>
    <w:rsid w:val="00FE26F5"/>
    <w:rsid w:val="00FE3CE0"/>
    <w:rsid w:val="00FE48EC"/>
    <w:rsid w:val="00FE4A3E"/>
    <w:rsid w:val="00FE50C2"/>
    <w:rsid w:val="00FE513F"/>
    <w:rsid w:val="00FE66E5"/>
    <w:rsid w:val="00FE67DC"/>
    <w:rsid w:val="00FE7854"/>
    <w:rsid w:val="00FE79A4"/>
    <w:rsid w:val="00FF02D8"/>
    <w:rsid w:val="00FF4D7C"/>
    <w:rsid w:val="00FF520D"/>
    <w:rsid w:val="00FF5549"/>
    <w:rsid w:val="00FF5F27"/>
    <w:rsid w:val="00FF6313"/>
    <w:rsid w:val="00FF6921"/>
    <w:rsid w:val="014E2D4E"/>
    <w:rsid w:val="015F1C5B"/>
    <w:rsid w:val="016C75F4"/>
    <w:rsid w:val="019B345F"/>
    <w:rsid w:val="019F69D6"/>
    <w:rsid w:val="01B34C08"/>
    <w:rsid w:val="01DB3960"/>
    <w:rsid w:val="025E480D"/>
    <w:rsid w:val="027E3CD5"/>
    <w:rsid w:val="02A11AC9"/>
    <w:rsid w:val="02B250DA"/>
    <w:rsid w:val="02BB4378"/>
    <w:rsid w:val="02BF61B6"/>
    <w:rsid w:val="02DE628B"/>
    <w:rsid w:val="03851ED2"/>
    <w:rsid w:val="03872958"/>
    <w:rsid w:val="0391053F"/>
    <w:rsid w:val="03971B0F"/>
    <w:rsid w:val="03BC113C"/>
    <w:rsid w:val="03E90858"/>
    <w:rsid w:val="04620B79"/>
    <w:rsid w:val="04800A13"/>
    <w:rsid w:val="04845307"/>
    <w:rsid w:val="048520A8"/>
    <w:rsid w:val="048E56D2"/>
    <w:rsid w:val="04EB4F87"/>
    <w:rsid w:val="04FC2E59"/>
    <w:rsid w:val="051803C3"/>
    <w:rsid w:val="054E09BE"/>
    <w:rsid w:val="055D4C01"/>
    <w:rsid w:val="058531D4"/>
    <w:rsid w:val="05D50196"/>
    <w:rsid w:val="05FC4EC9"/>
    <w:rsid w:val="063B32FB"/>
    <w:rsid w:val="069D7652"/>
    <w:rsid w:val="06CD13CC"/>
    <w:rsid w:val="08105F9B"/>
    <w:rsid w:val="08186CB3"/>
    <w:rsid w:val="082024E0"/>
    <w:rsid w:val="084F5CC3"/>
    <w:rsid w:val="08BE5903"/>
    <w:rsid w:val="08F8398F"/>
    <w:rsid w:val="093131B5"/>
    <w:rsid w:val="09581C79"/>
    <w:rsid w:val="09A025E5"/>
    <w:rsid w:val="09B14ACA"/>
    <w:rsid w:val="09D76C9C"/>
    <w:rsid w:val="0A0161B6"/>
    <w:rsid w:val="0A1E45D4"/>
    <w:rsid w:val="0A4D25B8"/>
    <w:rsid w:val="0A954B2F"/>
    <w:rsid w:val="0ACF15A8"/>
    <w:rsid w:val="0B3C6161"/>
    <w:rsid w:val="0B3F5D22"/>
    <w:rsid w:val="0B934270"/>
    <w:rsid w:val="0BB7547B"/>
    <w:rsid w:val="0BE0531B"/>
    <w:rsid w:val="0BF34A21"/>
    <w:rsid w:val="0C13179E"/>
    <w:rsid w:val="0C2D2C71"/>
    <w:rsid w:val="0C4F339B"/>
    <w:rsid w:val="0C5B625C"/>
    <w:rsid w:val="0C842E6F"/>
    <w:rsid w:val="0C9B4C8B"/>
    <w:rsid w:val="0CA0226C"/>
    <w:rsid w:val="0CEC082A"/>
    <w:rsid w:val="0CED6113"/>
    <w:rsid w:val="0CFA1CD4"/>
    <w:rsid w:val="0D094B84"/>
    <w:rsid w:val="0D141707"/>
    <w:rsid w:val="0D193E06"/>
    <w:rsid w:val="0D292548"/>
    <w:rsid w:val="0D6C2D71"/>
    <w:rsid w:val="0D8C1C2C"/>
    <w:rsid w:val="0DB21774"/>
    <w:rsid w:val="0DCA4903"/>
    <w:rsid w:val="0E3D2D3A"/>
    <w:rsid w:val="0E99541D"/>
    <w:rsid w:val="0EAC07F0"/>
    <w:rsid w:val="0F143BEE"/>
    <w:rsid w:val="0F197153"/>
    <w:rsid w:val="0F1C6D8B"/>
    <w:rsid w:val="0F7222B4"/>
    <w:rsid w:val="0F981E2F"/>
    <w:rsid w:val="0F9C7313"/>
    <w:rsid w:val="0FD21B51"/>
    <w:rsid w:val="0FE364B1"/>
    <w:rsid w:val="101131C6"/>
    <w:rsid w:val="105331C3"/>
    <w:rsid w:val="10566A12"/>
    <w:rsid w:val="109520AC"/>
    <w:rsid w:val="10AD5001"/>
    <w:rsid w:val="11140A9D"/>
    <w:rsid w:val="11335988"/>
    <w:rsid w:val="113F77B2"/>
    <w:rsid w:val="11723E7B"/>
    <w:rsid w:val="11795820"/>
    <w:rsid w:val="117F061D"/>
    <w:rsid w:val="11AA2A48"/>
    <w:rsid w:val="11CF5A11"/>
    <w:rsid w:val="12081A6E"/>
    <w:rsid w:val="121A33FB"/>
    <w:rsid w:val="12560A89"/>
    <w:rsid w:val="1313295F"/>
    <w:rsid w:val="133209D3"/>
    <w:rsid w:val="13A97860"/>
    <w:rsid w:val="13FD1068"/>
    <w:rsid w:val="146459F9"/>
    <w:rsid w:val="14A40AA3"/>
    <w:rsid w:val="14AE30AA"/>
    <w:rsid w:val="14B2560F"/>
    <w:rsid w:val="14CC51A7"/>
    <w:rsid w:val="14EB69DA"/>
    <w:rsid w:val="151C1480"/>
    <w:rsid w:val="156E3D6E"/>
    <w:rsid w:val="157056BD"/>
    <w:rsid w:val="15847655"/>
    <w:rsid w:val="15977B73"/>
    <w:rsid w:val="15B075EA"/>
    <w:rsid w:val="15CD7D36"/>
    <w:rsid w:val="15DA7326"/>
    <w:rsid w:val="15DB5741"/>
    <w:rsid w:val="15E5282A"/>
    <w:rsid w:val="16606F9B"/>
    <w:rsid w:val="16B63954"/>
    <w:rsid w:val="17406D08"/>
    <w:rsid w:val="17410C39"/>
    <w:rsid w:val="17A9511F"/>
    <w:rsid w:val="17B774C2"/>
    <w:rsid w:val="17BE3948"/>
    <w:rsid w:val="17D14409"/>
    <w:rsid w:val="17EA6401"/>
    <w:rsid w:val="17EE0BDC"/>
    <w:rsid w:val="18097869"/>
    <w:rsid w:val="180D5A9A"/>
    <w:rsid w:val="186F2B43"/>
    <w:rsid w:val="18834DB3"/>
    <w:rsid w:val="18AD4C76"/>
    <w:rsid w:val="18FA4C14"/>
    <w:rsid w:val="18FD2EF2"/>
    <w:rsid w:val="191857DB"/>
    <w:rsid w:val="19DD48B4"/>
    <w:rsid w:val="19EF4BC9"/>
    <w:rsid w:val="1A00424A"/>
    <w:rsid w:val="1A18229E"/>
    <w:rsid w:val="1A20573F"/>
    <w:rsid w:val="1A293174"/>
    <w:rsid w:val="1A427307"/>
    <w:rsid w:val="1A651DF5"/>
    <w:rsid w:val="1A750706"/>
    <w:rsid w:val="1A916B72"/>
    <w:rsid w:val="1AB9079B"/>
    <w:rsid w:val="1AE732F3"/>
    <w:rsid w:val="1B1252D3"/>
    <w:rsid w:val="1B135138"/>
    <w:rsid w:val="1B52655A"/>
    <w:rsid w:val="1B532D45"/>
    <w:rsid w:val="1B634397"/>
    <w:rsid w:val="1B7E3C48"/>
    <w:rsid w:val="1C0B0436"/>
    <w:rsid w:val="1C174455"/>
    <w:rsid w:val="1C7B4C06"/>
    <w:rsid w:val="1CF814E3"/>
    <w:rsid w:val="1D1517B3"/>
    <w:rsid w:val="1D7414B2"/>
    <w:rsid w:val="1D805DC7"/>
    <w:rsid w:val="1DC30935"/>
    <w:rsid w:val="1E804CAE"/>
    <w:rsid w:val="1E936522"/>
    <w:rsid w:val="1E992BA9"/>
    <w:rsid w:val="1EA1056A"/>
    <w:rsid w:val="1EB1678A"/>
    <w:rsid w:val="1EC671C6"/>
    <w:rsid w:val="1EE611CD"/>
    <w:rsid w:val="1EEB4A27"/>
    <w:rsid w:val="1F1507EB"/>
    <w:rsid w:val="1F172A43"/>
    <w:rsid w:val="1F224950"/>
    <w:rsid w:val="1F3A2287"/>
    <w:rsid w:val="1F3E3D1A"/>
    <w:rsid w:val="1F415B62"/>
    <w:rsid w:val="1F4B2740"/>
    <w:rsid w:val="1F4E21B0"/>
    <w:rsid w:val="1F6416A8"/>
    <w:rsid w:val="1F772B78"/>
    <w:rsid w:val="1F847C6A"/>
    <w:rsid w:val="1FB1051D"/>
    <w:rsid w:val="1FB26CEC"/>
    <w:rsid w:val="208972A1"/>
    <w:rsid w:val="208E5AB1"/>
    <w:rsid w:val="209B044B"/>
    <w:rsid w:val="20A21930"/>
    <w:rsid w:val="20F60F74"/>
    <w:rsid w:val="20FC028C"/>
    <w:rsid w:val="216F6868"/>
    <w:rsid w:val="217A2006"/>
    <w:rsid w:val="21B0747D"/>
    <w:rsid w:val="21BD1532"/>
    <w:rsid w:val="21CC5B2C"/>
    <w:rsid w:val="21E061AB"/>
    <w:rsid w:val="220D664E"/>
    <w:rsid w:val="22364118"/>
    <w:rsid w:val="22A06150"/>
    <w:rsid w:val="22A50A43"/>
    <w:rsid w:val="22A719E1"/>
    <w:rsid w:val="22DA056F"/>
    <w:rsid w:val="22DA5E99"/>
    <w:rsid w:val="22FE404F"/>
    <w:rsid w:val="230104A8"/>
    <w:rsid w:val="23176B31"/>
    <w:rsid w:val="2346596E"/>
    <w:rsid w:val="23717229"/>
    <w:rsid w:val="237E1083"/>
    <w:rsid w:val="23AB2B49"/>
    <w:rsid w:val="23D54B3A"/>
    <w:rsid w:val="240F221C"/>
    <w:rsid w:val="24316E7F"/>
    <w:rsid w:val="24451BEE"/>
    <w:rsid w:val="244E4953"/>
    <w:rsid w:val="24A95456"/>
    <w:rsid w:val="24AD5D9B"/>
    <w:rsid w:val="24C205B8"/>
    <w:rsid w:val="24C279AF"/>
    <w:rsid w:val="24CE024A"/>
    <w:rsid w:val="24FF4064"/>
    <w:rsid w:val="252948B7"/>
    <w:rsid w:val="26A42089"/>
    <w:rsid w:val="26A75AA3"/>
    <w:rsid w:val="26A97A1A"/>
    <w:rsid w:val="26C30FD6"/>
    <w:rsid w:val="26CE7E08"/>
    <w:rsid w:val="26FB4355"/>
    <w:rsid w:val="27630D3F"/>
    <w:rsid w:val="276777CE"/>
    <w:rsid w:val="27810891"/>
    <w:rsid w:val="27983993"/>
    <w:rsid w:val="27B20437"/>
    <w:rsid w:val="27B4382F"/>
    <w:rsid w:val="27D4481F"/>
    <w:rsid w:val="281C11AC"/>
    <w:rsid w:val="283137C0"/>
    <w:rsid w:val="286D72A4"/>
    <w:rsid w:val="28AC2CE5"/>
    <w:rsid w:val="29111BA8"/>
    <w:rsid w:val="291422C8"/>
    <w:rsid w:val="293C08A2"/>
    <w:rsid w:val="293D6614"/>
    <w:rsid w:val="294F4B1F"/>
    <w:rsid w:val="296E42D8"/>
    <w:rsid w:val="299F56A2"/>
    <w:rsid w:val="29D318FA"/>
    <w:rsid w:val="29EA166B"/>
    <w:rsid w:val="2A200B9A"/>
    <w:rsid w:val="2A670400"/>
    <w:rsid w:val="2A9F3790"/>
    <w:rsid w:val="2AB03286"/>
    <w:rsid w:val="2AD27BB3"/>
    <w:rsid w:val="2ADC3738"/>
    <w:rsid w:val="2ADF5C33"/>
    <w:rsid w:val="2B2401E6"/>
    <w:rsid w:val="2BDB6BB8"/>
    <w:rsid w:val="2C134623"/>
    <w:rsid w:val="2C4B0388"/>
    <w:rsid w:val="2CDB21EE"/>
    <w:rsid w:val="2D021F92"/>
    <w:rsid w:val="2D114B0C"/>
    <w:rsid w:val="2D126B96"/>
    <w:rsid w:val="2D28317E"/>
    <w:rsid w:val="2D2F4A11"/>
    <w:rsid w:val="2D3004E2"/>
    <w:rsid w:val="2D8F78AE"/>
    <w:rsid w:val="2DB079C2"/>
    <w:rsid w:val="2DD1025A"/>
    <w:rsid w:val="2E172FE8"/>
    <w:rsid w:val="2E531A13"/>
    <w:rsid w:val="2E823DEE"/>
    <w:rsid w:val="2EE16CEC"/>
    <w:rsid w:val="2F02464D"/>
    <w:rsid w:val="2F10090E"/>
    <w:rsid w:val="2F150CCE"/>
    <w:rsid w:val="2F1B03D7"/>
    <w:rsid w:val="2F1E21BA"/>
    <w:rsid w:val="2F223AE6"/>
    <w:rsid w:val="2F265F58"/>
    <w:rsid w:val="2F474161"/>
    <w:rsid w:val="2F945758"/>
    <w:rsid w:val="2F953E9A"/>
    <w:rsid w:val="2FAA5975"/>
    <w:rsid w:val="2FF910D4"/>
    <w:rsid w:val="2FFE0AAA"/>
    <w:rsid w:val="302E46C1"/>
    <w:rsid w:val="3034088D"/>
    <w:rsid w:val="30393450"/>
    <w:rsid w:val="30575317"/>
    <w:rsid w:val="305D3120"/>
    <w:rsid w:val="30694E45"/>
    <w:rsid w:val="30BC464D"/>
    <w:rsid w:val="30D51DB8"/>
    <w:rsid w:val="310818BA"/>
    <w:rsid w:val="311E7C4F"/>
    <w:rsid w:val="312A706B"/>
    <w:rsid w:val="31AA2266"/>
    <w:rsid w:val="31DF6C53"/>
    <w:rsid w:val="31FE1D72"/>
    <w:rsid w:val="321E5346"/>
    <w:rsid w:val="325015B6"/>
    <w:rsid w:val="32936105"/>
    <w:rsid w:val="32EC3421"/>
    <w:rsid w:val="331F201B"/>
    <w:rsid w:val="33224027"/>
    <w:rsid w:val="334D4503"/>
    <w:rsid w:val="3376511B"/>
    <w:rsid w:val="33825561"/>
    <w:rsid w:val="33B1686F"/>
    <w:rsid w:val="33DF05B4"/>
    <w:rsid w:val="340D717C"/>
    <w:rsid w:val="34414A7A"/>
    <w:rsid w:val="345117AD"/>
    <w:rsid w:val="34760F62"/>
    <w:rsid w:val="348E007D"/>
    <w:rsid w:val="34BB067D"/>
    <w:rsid w:val="35445D76"/>
    <w:rsid w:val="356463B6"/>
    <w:rsid w:val="35704B9F"/>
    <w:rsid w:val="359C7857"/>
    <w:rsid w:val="35A765A8"/>
    <w:rsid w:val="36705A09"/>
    <w:rsid w:val="367165C6"/>
    <w:rsid w:val="36B90BD5"/>
    <w:rsid w:val="36BA7BDD"/>
    <w:rsid w:val="36D16192"/>
    <w:rsid w:val="36D50700"/>
    <w:rsid w:val="36E61A50"/>
    <w:rsid w:val="36EF7D9A"/>
    <w:rsid w:val="370072E7"/>
    <w:rsid w:val="3729371C"/>
    <w:rsid w:val="37C668B6"/>
    <w:rsid w:val="384A5F86"/>
    <w:rsid w:val="385674A0"/>
    <w:rsid w:val="38DE040D"/>
    <w:rsid w:val="38E44CDA"/>
    <w:rsid w:val="38E96419"/>
    <w:rsid w:val="38F17540"/>
    <w:rsid w:val="393039E9"/>
    <w:rsid w:val="39311102"/>
    <w:rsid w:val="39591034"/>
    <w:rsid w:val="3A505D50"/>
    <w:rsid w:val="3A565244"/>
    <w:rsid w:val="3A9C1340"/>
    <w:rsid w:val="3AAC59F3"/>
    <w:rsid w:val="3AC959BB"/>
    <w:rsid w:val="3AFA0DF0"/>
    <w:rsid w:val="3AFD7814"/>
    <w:rsid w:val="3B014580"/>
    <w:rsid w:val="3B20253F"/>
    <w:rsid w:val="3B255085"/>
    <w:rsid w:val="3B493097"/>
    <w:rsid w:val="3BAF7A39"/>
    <w:rsid w:val="3BBB7E54"/>
    <w:rsid w:val="3C673A9A"/>
    <w:rsid w:val="3C781A23"/>
    <w:rsid w:val="3C8A2604"/>
    <w:rsid w:val="3CDE022C"/>
    <w:rsid w:val="3D0A4449"/>
    <w:rsid w:val="3D111F02"/>
    <w:rsid w:val="3D1F5633"/>
    <w:rsid w:val="3D225E0C"/>
    <w:rsid w:val="3D2D100E"/>
    <w:rsid w:val="3D4010A4"/>
    <w:rsid w:val="3D4E1E69"/>
    <w:rsid w:val="3D615F64"/>
    <w:rsid w:val="3D761836"/>
    <w:rsid w:val="3D770086"/>
    <w:rsid w:val="3E0E7039"/>
    <w:rsid w:val="3E164D63"/>
    <w:rsid w:val="3E3D139C"/>
    <w:rsid w:val="3E896278"/>
    <w:rsid w:val="3ECD4126"/>
    <w:rsid w:val="3ED258AC"/>
    <w:rsid w:val="3EE020C3"/>
    <w:rsid w:val="3EFA2EF7"/>
    <w:rsid w:val="3F145FB5"/>
    <w:rsid w:val="3F1E19F3"/>
    <w:rsid w:val="3F2D17B2"/>
    <w:rsid w:val="3F66081A"/>
    <w:rsid w:val="3F7318DE"/>
    <w:rsid w:val="3FB614FA"/>
    <w:rsid w:val="3FE91433"/>
    <w:rsid w:val="3FFA0E18"/>
    <w:rsid w:val="406F04C4"/>
    <w:rsid w:val="40841026"/>
    <w:rsid w:val="40870117"/>
    <w:rsid w:val="40A1625A"/>
    <w:rsid w:val="40D55331"/>
    <w:rsid w:val="40D86B9F"/>
    <w:rsid w:val="41282020"/>
    <w:rsid w:val="41635A44"/>
    <w:rsid w:val="4171584B"/>
    <w:rsid w:val="41847666"/>
    <w:rsid w:val="42034477"/>
    <w:rsid w:val="42335DB8"/>
    <w:rsid w:val="428533B1"/>
    <w:rsid w:val="42C3695D"/>
    <w:rsid w:val="42EB1228"/>
    <w:rsid w:val="435076F0"/>
    <w:rsid w:val="43813396"/>
    <w:rsid w:val="438E11C7"/>
    <w:rsid w:val="43E7505E"/>
    <w:rsid w:val="43F8564F"/>
    <w:rsid w:val="44235405"/>
    <w:rsid w:val="442C580B"/>
    <w:rsid w:val="44360A00"/>
    <w:rsid w:val="44585E2B"/>
    <w:rsid w:val="44BA3FBD"/>
    <w:rsid w:val="451F4133"/>
    <w:rsid w:val="453018B3"/>
    <w:rsid w:val="454E0AE9"/>
    <w:rsid w:val="45B0286C"/>
    <w:rsid w:val="45DE794E"/>
    <w:rsid w:val="45F61A22"/>
    <w:rsid w:val="464D0671"/>
    <w:rsid w:val="465D66D7"/>
    <w:rsid w:val="46F07230"/>
    <w:rsid w:val="472B5955"/>
    <w:rsid w:val="47403B21"/>
    <w:rsid w:val="47A32FF0"/>
    <w:rsid w:val="47AA601C"/>
    <w:rsid w:val="47AF003A"/>
    <w:rsid w:val="47D37EB6"/>
    <w:rsid w:val="47EC5FD7"/>
    <w:rsid w:val="490423B1"/>
    <w:rsid w:val="494534C3"/>
    <w:rsid w:val="495B21DD"/>
    <w:rsid w:val="496E7B9D"/>
    <w:rsid w:val="49724CFF"/>
    <w:rsid w:val="49E20C92"/>
    <w:rsid w:val="49E47E2C"/>
    <w:rsid w:val="49F74479"/>
    <w:rsid w:val="4A030748"/>
    <w:rsid w:val="4A1C0225"/>
    <w:rsid w:val="4A1C4B43"/>
    <w:rsid w:val="4A3056F0"/>
    <w:rsid w:val="4A7A6A43"/>
    <w:rsid w:val="4A9F373F"/>
    <w:rsid w:val="4AFD2478"/>
    <w:rsid w:val="4B6F41BE"/>
    <w:rsid w:val="4B7313A1"/>
    <w:rsid w:val="4B9C6087"/>
    <w:rsid w:val="4B9C710F"/>
    <w:rsid w:val="4BB86D8D"/>
    <w:rsid w:val="4BD359C0"/>
    <w:rsid w:val="4BD9506A"/>
    <w:rsid w:val="4C3B16C3"/>
    <w:rsid w:val="4C3C77F7"/>
    <w:rsid w:val="4C404EBE"/>
    <w:rsid w:val="4C876EAA"/>
    <w:rsid w:val="4C8D0C5A"/>
    <w:rsid w:val="4CB20B3D"/>
    <w:rsid w:val="4CB9436D"/>
    <w:rsid w:val="4CDF7A3F"/>
    <w:rsid w:val="4CE679A1"/>
    <w:rsid w:val="4CF94541"/>
    <w:rsid w:val="4D5033E7"/>
    <w:rsid w:val="4D7C38ED"/>
    <w:rsid w:val="4D943B6C"/>
    <w:rsid w:val="4DA51F76"/>
    <w:rsid w:val="4DAB5790"/>
    <w:rsid w:val="4DB92682"/>
    <w:rsid w:val="4E294058"/>
    <w:rsid w:val="4E2C6516"/>
    <w:rsid w:val="4E820167"/>
    <w:rsid w:val="4F071E71"/>
    <w:rsid w:val="4F074A64"/>
    <w:rsid w:val="4F0E7F18"/>
    <w:rsid w:val="4F175AE5"/>
    <w:rsid w:val="4F212D5B"/>
    <w:rsid w:val="4F621F2A"/>
    <w:rsid w:val="4F7A0475"/>
    <w:rsid w:val="4FA06358"/>
    <w:rsid w:val="4FB35FA9"/>
    <w:rsid w:val="4FCD081D"/>
    <w:rsid w:val="4FE23614"/>
    <w:rsid w:val="4FFB09F4"/>
    <w:rsid w:val="4FFD5906"/>
    <w:rsid w:val="5008731A"/>
    <w:rsid w:val="501B6FC5"/>
    <w:rsid w:val="506C3486"/>
    <w:rsid w:val="50C92BB3"/>
    <w:rsid w:val="50EF5959"/>
    <w:rsid w:val="5109684E"/>
    <w:rsid w:val="514B1FD9"/>
    <w:rsid w:val="515831F8"/>
    <w:rsid w:val="51AA42C1"/>
    <w:rsid w:val="51E868C0"/>
    <w:rsid w:val="51F24BD4"/>
    <w:rsid w:val="51FE69BC"/>
    <w:rsid w:val="520C4047"/>
    <w:rsid w:val="5230198C"/>
    <w:rsid w:val="524B4063"/>
    <w:rsid w:val="52687F0B"/>
    <w:rsid w:val="52872B95"/>
    <w:rsid w:val="52A2075C"/>
    <w:rsid w:val="53381A14"/>
    <w:rsid w:val="537125E6"/>
    <w:rsid w:val="538D2786"/>
    <w:rsid w:val="54024C2C"/>
    <w:rsid w:val="54920B2C"/>
    <w:rsid w:val="54A62512"/>
    <w:rsid w:val="54BC130B"/>
    <w:rsid w:val="54F05A51"/>
    <w:rsid w:val="551005F0"/>
    <w:rsid w:val="553E7CFF"/>
    <w:rsid w:val="55413674"/>
    <w:rsid w:val="55D532A9"/>
    <w:rsid w:val="55F146F5"/>
    <w:rsid w:val="56253AAD"/>
    <w:rsid w:val="56374CFF"/>
    <w:rsid w:val="56F96354"/>
    <w:rsid w:val="56FD7B2D"/>
    <w:rsid w:val="57031484"/>
    <w:rsid w:val="57037977"/>
    <w:rsid w:val="57D330F1"/>
    <w:rsid w:val="57E723C0"/>
    <w:rsid w:val="57F75E9B"/>
    <w:rsid w:val="58126B8D"/>
    <w:rsid w:val="583E31F4"/>
    <w:rsid w:val="58681AB6"/>
    <w:rsid w:val="58D80108"/>
    <w:rsid w:val="58FC1D80"/>
    <w:rsid w:val="590C0668"/>
    <w:rsid w:val="59172852"/>
    <w:rsid w:val="592E282B"/>
    <w:rsid w:val="59BD0D3C"/>
    <w:rsid w:val="59CB5E6D"/>
    <w:rsid w:val="5A0F529C"/>
    <w:rsid w:val="5A377F95"/>
    <w:rsid w:val="5ADF1853"/>
    <w:rsid w:val="5AFC4B8D"/>
    <w:rsid w:val="5B0373F5"/>
    <w:rsid w:val="5B284D4E"/>
    <w:rsid w:val="5B3D01EA"/>
    <w:rsid w:val="5BC32E56"/>
    <w:rsid w:val="5BFE5379"/>
    <w:rsid w:val="5C141395"/>
    <w:rsid w:val="5C1F6050"/>
    <w:rsid w:val="5C267D63"/>
    <w:rsid w:val="5C274405"/>
    <w:rsid w:val="5C3440B2"/>
    <w:rsid w:val="5C633A34"/>
    <w:rsid w:val="5CE343F9"/>
    <w:rsid w:val="5DB45F4E"/>
    <w:rsid w:val="5DE50145"/>
    <w:rsid w:val="5DE5433F"/>
    <w:rsid w:val="5DEC6658"/>
    <w:rsid w:val="5E2237D0"/>
    <w:rsid w:val="5E4C54CC"/>
    <w:rsid w:val="5E807521"/>
    <w:rsid w:val="5E943F14"/>
    <w:rsid w:val="5EA92339"/>
    <w:rsid w:val="5EB800CF"/>
    <w:rsid w:val="5F161E5C"/>
    <w:rsid w:val="5F2D2C93"/>
    <w:rsid w:val="5F9C5723"/>
    <w:rsid w:val="5FF13CC0"/>
    <w:rsid w:val="601A5DAE"/>
    <w:rsid w:val="6069368D"/>
    <w:rsid w:val="606F2E37"/>
    <w:rsid w:val="612D0B10"/>
    <w:rsid w:val="613E0C3F"/>
    <w:rsid w:val="6175706F"/>
    <w:rsid w:val="617F19A2"/>
    <w:rsid w:val="618A2864"/>
    <w:rsid w:val="61931BDC"/>
    <w:rsid w:val="61A16F19"/>
    <w:rsid w:val="61AF2616"/>
    <w:rsid w:val="61AF28F5"/>
    <w:rsid w:val="61B51C13"/>
    <w:rsid w:val="61B65ACE"/>
    <w:rsid w:val="61BE5EA4"/>
    <w:rsid w:val="61CD548F"/>
    <w:rsid w:val="61D25452"/>
    <w:rsid w:val="61DC51D0"/>
    <w:rsid w:val="6247600A"/>
    <w:rsid w:val="62B21455"/>
    <w:rsid w:val="631700B6"/>
    <w:rsid w:val="637E6C59"/>
    <w:rsid w:val="63A873BA"/>
    <w:rsid w:val="64693909"/>
    <w:rsid w:val="646D4492"/>
    <w:rsid w:val="64781DAF"/>
    <w:rsid w:val="647D362A"/>
    <w:rsid w:val="650C2EB3"/>
    <w:rsid w:val="651B03CB"/>
    <w:rsid w:val="65506F26"/>
    <w:rsid w:val="65BE2641"/>
    <w:rsid w:val="65C87A41"/>
    <w:rsid w:val="65F41CF9"/>
    <w:rsid w:val="65FE69D2"/>
    <w:rsid w:val="66050D50"/>
    <w:rsid w:val="665C2DC8"/>
    <w:rsid w:val="665E34B0"/>
    <w:rsid w:val="66941180"/>
    <w:rsid w:val="66B91B0E"/>
    <w:rsid w:val="66EB0067"/>
    <w:rsid w:val="66FA4814"/>
    <w:rsid w:val="670922A1"/>
    <w:rsid w:val="670C4EE8"/>
    <w:rsid w:val="67332B7D"/>
    <w:rsid w:val="673F14BA"/>
    <w:rsid w:val="67A35B27"/>
    <w:rsid w:val="67D96A75"/>
    <w:rsid w:val="68034BBC"/>
    <w:rsid w:val="685F4A3F"/>
    <w:rsid w:val="68A05D65"/>
    <w:rsid w:val="68B56991"/>
    <w:rsid w:val="68BB048A"/>
    <w:rsid w:val="68F5178B"/>
    <w:rsid w:val="6931370E"/>
    <w:rsid w:val="693910E4"/>
    <w:rsid w:val="693C4D89"/>
    <w:rsid w:val="69484BC2"/>
    <w:rsid w:val="696B025B"/>
    <w:rsid w:val="69947AA2"/>
    <w:rsid w:val="69AB68A4"/>
    <w:rsid w:val="69B657DD"/>
    <w:rsid w:val="6A212184"/>
    <w:rsid w:val="6A33787C"/>
    <w:rsid w:val="6A5A2FA1"/>
    <w:rsid w:val="6A8717EA"/>
    <w:rsid w:val="6A89653D"/>
    <w:rsid w:val="6A8D4ADF"/>
    <w:rsid w:val="6A9159BD"/>
    <w:rsid w:val="6A942044"/>
    <w:rsid w:val="6AB347EF"/>
    <w:rsid w:val="6BAD72BF"/>
    <w:rsid w:val="6BC9145D"/>
    <w:rsid w:val="6C0E0931"/>
    <w:rsid w:val="6C12512C"/>
    <w:rsid w:val="6C13477D"/>
    <w:rsid w:val="6C3404D5"/>
    <w:rsid w:val="6C5C23AF"/>
    <w:rsid w:val="6C6C589D"/>
    <w:rsid w:val="6C837DE4"/>
    <w:rsid w:val="6CA05D51"/>
    <w:rsid w:val="6CC4275D"/>
    <w:rsid w:val="6CEF670A"/>
    <w:rsid w:val="6D25740E"/>
    <w:rsid w:val="6D56715F"/>
    <w:rsid w:val="6DA33E7C"/>
    <w:rsid w:val="6DC84285"/>
    <w:rsid w:val="6DDD4211"/>
    <w:rsid w:val="6DEC5E53"/>
    <w:rsid w:val="6DED71BF"/>
    <w:rsid w:val="6E0D0E17"/>
    <w:rsid w:val="6E0D6560"/>
    <w:rsid w:val="6E22585C"/>
    <w:rsid w:val="6E355369"/>
    <w:rsid w:val="6E5A732F"/>
    <w:rsid w:val="6E626927"/>
    <w:rsid w:val="6E952E4A"/>
    <w:rsid w:val="6EC51BDC"/>
    <w:rsid w:val="6ECA4DDC"/>
    <w:rsid w:val="6EDA0362"/>
    <w:rsid w:val="6F0134C7"/>
    <w:rsid w:val="6F0C07EA"/>
    <w:rsid w:val="6F38053A"/>
    <w:rsid w:val="6F4F14AD"/>
    <w:rsid w:val="6FD14373"/>
    <w:rsid w:val="6FF03475"/>
    <w:rsid w:val="701E290D"/>
    <w:rsid w:val="702D147D"/>
    <w:rsid w:val="704C4A00"/>
    <w:rsid w:val="707E73FF"/>
    <w:rsid w:val="708D7E94"/>
    <w:rsid w:val="709D2964"/>
    <w:rsid w:val="70A0744D"/>
    <w:rsid w:val="715E7733"/>
    <w:rsid w:val="71C417D7"/>
    <w:rsid w:val="71F86805"/>
    <w:rsid w:val="71FF02EC"/>
    <w:rsid w:val="720E362A"/>
    <w:rsid w:val="72254451"/>
    <w:rsid w:val="72292364"/>
    <w:rsid w:val="726A74F8"/>
    <w:rsid w:val="72906251"/>
    <w:rsid w:val="72912A9E"/>
    <w:rsid w:val="72BF1635"/>
    <w:rsid w:val="72CB6E40"/>
    <w:rsid w:val="7307375C"/>
    <w:rsid w:val="73355605"/>
    <w:rsid w:val="735215CB"/>
    <w:rsid w:val="736305DA"/>
    <w:rsid w:val="73E466EF"/>
    <w:rsid w:val="7418685B"/>
    <w:rsid w:val="743A05AF"/>
    <w:rsid w:val="749632CD"/>
    <w:rsid w:val="74AB66DC"/>
    <w:rsid w:val="74B96833"/>
    <w:rsid w:val="75060C0C"/>
    <w:rsid w:val="75067E67"/>
    <w:rsid w:val="7508741F"/>
    <w:rsid w:val="7520157F"/>
    <w:rsid w:val="754E2A89"/>
    <w:rsid w:val="7562782E"/>
    <w:rsid w:val="75630661"/>
    <w:rsid w:val="7563496E"/>
    <w:rsid w:val="7594033C"/>
    <w:rsid w:val="75A434B7"/>
    <w:rsid w:val="75B822DE"/>
    <w:rsid w:val="75E56B79"/>
    <w:rsid w:val="76374B23"/>
    <w:rsid w:val="764630E3"/>
    <w:rsid w:val="764C7A4B"/>
    <w:rsid w:val="76690B01"/>
    <w:rsid w:val="76B55487"/>
    <w:rsid w:val="771C1F08"/>
    <w:rsid w:val="773C22CE"/>
    <w:rsid w:val="7782679F"/>
    <w:rsid w:val="77B1135C"/>
    <w:rsid w:val="77C3007F"/>
    <w:rsid w:val="77D644E4"/>
    <w:rsid w:val="78463988"/>
    <w:rsid w:val="78BE7435"/>
    <w:rsid w:val="78D54A98"/>
    <w:rsid w:val="78D752F4"/>
    <w:rsid w:val="78F55E75"/>
    <w:rsid w:val="79143A9F"/>
    <w:rsid w:val="79176E9F"/>
    <w:rsid w:val="792627D5"/>
    <w:rsid w:val="79443EC7"/>
    <w:rsid w:val="795450A1"/>
    <w:rsid w:val="795E3B74"/>
    <w:rsid w:val="797B04C1"/>
    <w:rsid w:val="79BE103F"/>
    <w:rsid w:val="79EE75DF"/>
    <w:rsid w:val="7A130477"/>
    <w:rsid w:val="7A133D3E"/>
    <w:rsid w:val="7A2945D1"/>
    <w:rsid w:val="7A34634C"/>
    <w:rsid w:val="7A57014B"/>
    <w:rsid w:val="7A841572"/>
    <w:rsid w:val="7A8E67CA"/>
    <w:rsid w:val="7AB24397"/>
    <w:rsid w:val="7AD30522"/>
    <w:rsid w:val="7AD61090"/>
    <w:rsid w:val="7AEE738A"/>
    <w:rsid w:val="7AFC37F6"/>
    <w:rsid w:val="7B8F7230"/>
    <w:rsid w:val="7B9207C8"/>
    <w:rsid w:val="7B9737FF"/>
    <w:rsid w:val="7BC0147C"/>
    <w:rsid w:val="7BD541A3"/>
    <w:rsid w:val="7C113E62"/>
    <w:rsid w:val="7C4963E1"/>
    <w:rsid w:val="7C7229E3"/>
    <w:rsid w:val="7C9B49DE"/>
    <w:rsid w:val="7CD662C0"/>
    <w:rsid w:val="7D6B4689"/>
    <w:rsid w:val="7D7B6E68"/>
    <w:rsid w:val="7DC46907"/>
    <w:rsid w:val="7DE92CDB"/>
    <w:rsid w:val="7E282CC9"/>
    <w:rsid w:val="7E5D5E75"/>
    <w:rsid w:val="7E5D6279"/>
    <w:rsid w:val="7E9B3A4B"/>
    <w:rsid w:val="7EA556A9"/>
    <w:rsid w:val="7EBE4909"/>
    <w:rsid w:val="7F073F0E"/>
    <w:rsid w:val="7F0E70A3"/>
    <w:rsid w:val="7F1025CA"/>
    <w:rsid w:val="7F3B240A"/>
    <w:rsid w:val="7FE832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5"/>
    <w:link w:val="54"/>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5"/>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7"/>
    <w:link w:val="56"/>
    <w:qFormat/>
    <w:uiPriority w:val="0"/>
    <w:pPr>
      <w:keepNext/>
      <w:keepLines/>
      <w:spacing w:before="280" w:after="290" w:line="376" w:lineRule="auto"/>
      <w:outlineLvl w:val="4"/>
    </w:pPr>
    <w:rPr>
      <w:b/>
      <w:sz w:val="28"/>
      <w:szCs w:val="20"/>
    </w:rPr>
  </w:style>
  <w:style w:type="paragraph" w:styleId="8">
    <w:name w:val="heading 6"/>
    <w:basedOn w:val="1"/>
    <w:next w:val="7"/>
    <w:link w:val="58"/>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59"/>
    <w:qFormat/>
    <w:uiPriority w:val="0"/>
    <w:pPr>
      <w:keepNext/>
      <w:keepLines/>
      <w:spacing w:before="240" w:after="64" w:line="320" w:lineRule="auto"/>
      <w:outlineLvl w:val="6"/>
    </w:pPr>
    <w:rPr>
      <w:b/>
      <w:sz w:val="24"/>
      <w:szCs w:val="20"/>
    </w:rPr>
  </w:style>
  <w:style w:type="paragraph" w:styleId="10">
    <w:name w:val="heading 8"/>
    <w:basedOn w:val="1"/>
    <w:next w:val="7"/>
    <w:link w:val="6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1"/>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7">
    <w:name w:val="Normal Indent"/>
    <w:basedOn w:val="1"/>
    <w:link w:val="57"/>
    <w:qFormat/>
    <w:uiPriority w:val="0"/>
    <w:pPr>
      <w:ind w:firstLine="420"/>
    </w:pPr>
    <w:rPr>
      <w:kern w:val="0"/>
      <w:sz w:val="20"/>
      <w:szCs w:val="20"/>
    </w:rPr>
  </w:style>
  <w:style w:type="paragraph" w:styleId="12">
    <w:name w:val="toc 7"/>
    <w:basedOn w:val="1"/>
    <w:next w:val="1"/>
    <w:qFormat/>
    <w:uiPriority w:val="0"/>
    <w:pPr>
      <w:ind w:left="1260"/>
      <w:jc w:val="left"/>
    </w:pPr>
    <w:rPr>
      <w:rFonts w:ascii="Calibri" w:hAnsi="Calibri"/>
      <w:sz w:val="18"/>
      <w:szCs w:val="18"/>
    </w:rPr>
  </w:style>
  <w:style w:type="paragraph" w:styleId="13">
    <w:name w:val="List Number"/>
    <w:basedOn w:val="1"/>
    <w:qFormat/>
    <w:uiPriority w:val="0"/>
    <w:pPr>
      <w:numPr>
        <w:ilvl w:val="0"/>
        <w:numId w:val="1"/>
      </w:numPr>
      <w:tabs>
        <w:tab w:val="clear" w:pos="360"/>
      </w:tabs>
      <w:ind w:firstLine="0"/>
    </w:pPr>
  </w:style>
  <w:style w:type="paragraph" w:styleId="14">
    <w:name w:val="caption"/>
    <w:basedOn w:val="1"/>
    <w:next w:val="1"/>
    <w:qFormat/>
    <w:uiPriority w:val="0"/>
    <w:rPr>
      <w:rFonts w:ascii="Arial" w:hAnsi="Arial" w:eastAsia="黑体" w:cs="Arial"/>
      <w:sz w:val="20"/>
      <w:szCs w:val="20"/>
    </w:rPr>
  </w:style>
  <w:style w:type="paragraph" w:styleId="15">
    <w:name w:val="annotation text"/>
    <w:basedOn w:val="1"/>
    <w:link w:val="62"/>
    <w:qFormat/>
    <w:uiPriority w:val="0"/>
    <w:pPr>
      <w:jc w:val="left"/>
    </w:pPr>
    <w:rPr>
      <w:kern w:val="0"/>
      <w:sz w:val="20"/>
    </w:rPr>
  </w:style>
  <w:style w:type="paragraph" w:styleId="16">
    <w:name w:val="Body Text 3"/>
    <w:basedOn w:val="1"/>
    <w:link w:val="63"/>
    <w:qFormat/>
    <w:uiPriority w:val="0"/>
    <w:pPr>
      <w:spacing w:after="120"/>
    </w:pPr>
    <w:rPr>
      <w:kern w:val="0"/>
      <w:sz w:val="16"/>
      <w:szCs w:val="16"/>
    </w:rPr>
  </w:style>
  <w:style w:type="paragraph" w:styleId="17">
    <w:name w:val="Body Text"/>
    <w:basedOn w:val="1"/>
    <w:next w:val="1"/>
    <w:link w:val="64"/>
    <w:qFormat/>
    <w:uiPriority w:val="99"/>
    <w:pPr>
      <w:spacing w:line="360" w:lineRule="auto"/>
    </w:pPr>
    <w:rPr>
      <w:kern w:val="0"/>
      <w:sz w:val="20"/>
      <w:szCs w:val="20"/>
    </w:rPr>
  </w:style>
  <w:style w:type="paragraph" w:styleId="18">
    <w:name w:val="Body Text Indent"/>
    <w:basedOn w:val="1"/>
    <w:link w:val="65"/>
    <w:qFormat/>
    <w:uiPriority w:val="0"/>
    <w:pPr>
      <w:ind w:firstLine="830" w:firstLineChars="352"/>
    </w:pPr>
    <w:rPr>
      <w:rFonts w:ascii="仿宋_GB2312" w:eastAsia="仿宋_GB2312"/>
      <w:kern w:val="0"/>
      <w:sz w:val="32"/>
      <w:szCs w:val="20"/>
    </w:rPr>
  </w:style>
  <w:style w:type="paragraph" w:styleId="19">
    <w:name w:val="toc 5"/>
    <w:basedOn w:val="1"/>
    <w:next w:val="1"/>
    <w:qFormat/>
    <w:uiPriority w:val="0"/>
    <w:pPr>
      <w:ind w:left="840"/>
      <w:jc w:val="left"/>
    </w:pPr>
    <w:rPr>
      <w:rFonts w:ascii="Calibri" w:hAnsi="Calibri"/>
      <w:sz w:val="18"/>
      <w:szCs w:val="18"/>
    </w:rPr>
  </w:style>
  <w:style w:type="paragraph" w:styleId="20">
    <w:name w:val="toc 3"/>
    <w:basedOn w:val="1"/>
    <w:next w:val="1"/>
    <w:qFormat/>
    <w:uiPriority w:val="0"/>
    <w:pPr>
      <w:tabs>
        <w:tab w:val="left" w:pos="900"/>
        <w:tab w:val="left" w:pos="1080"/>
      </w:tabs>
      <w:ind w:left="840" w:leftChars="400"/>
    </w:pPr>
    <w:rPr>
      <w:rFonts w:ascii="宋体" w:hAnsi="宋体"/>
      <w:i/>
      <w:iCs/>
    </w:rPr>
  </w:style>
  <w:style w:type="paragraph" w:styleId="21">
    <w:name w:val="Plain Text"/>
    <w:basedOn w:val="1"/>
    <w:link w:val="66"/>
    <w:qFormat/>
    <w:uiPriority w:val="0"/>
    <w:rPr>
      <w:rFonts w:ascii="宋体" w:hAnsi="Courier New"/>
      <w:kern w:val="0"/>
      <w:sz w:val="20"/>
      <w:szCs w:val="21"/>
    </w:rPr>
  </w:style>
  <w:style w:type="paragraph" w:styleId="22">
    <w:name w:val="toc 8"/>
    <w:basedOn w:val="1"/>
    <w:next w:val="1"/>
    <w:qFormat/>
    <w:uiPriority w:val="0"/>
    <w:pPr>
      <w:ind w:left="1470"/>
      <w:jc w:val="left"/>
    </w:pPr>
    <w:rPr>
      <w:rFonts w:ascii="Calibri" w:hAnsi="Calibri"/>
      <w:sz w:val="18"/>
      <w:szCs w:val="18"/>
    </w:rPr>
  </w:style>
  <w:style w:type="paragraph" w:styleId="23">
    <w:name w:val="Date"/>
    <w:basedOn w:val="1"/>
    <w:next w:val="1"/>
    <w:link w:val="67"/>
    <w:qFormat/>
    <w:uiPriority w:val="0"/>
    <w:rPr>
      <w:kern w:val="0"/>
      <w:sz w:val="20"/>
      <w:szCs w:val="20"/>
    </w:rPr>
  </w:style>
  <w:style w:type="paragraph" w:styleId="24">
    <w:name w:val="Body Text Indent 2"/>
    <w:basedOn w:val="1"/>
    <w:link w:val="68"/>
    <w:qFormat/>
    <w:uiPriority w:val="0"/>
    <w:pPr>
      <w:spacing w:after="120" w:line="480" w:lineRule="auto"/>
      <w:ind w:left="420" w:leftChars="200"/>
    </w:pPr>
    <w:rPr>
      <w:szCs w:val="20"/>
    </w:rPr>
  </w:style>
  <w:style w:type="paragraph" w:styleId="25">
    <w:name w:val="Balloon Text"/>
    <w:basedOn w:val="1"/>
    <w:link w:val="69"/>
    <w:qFormat/>
    <w:uiPriority w:val="0"/>
    <w:rPr>
      <w:kern w:val="0"/>
      <w:sz w:val="18"/>
      <w:szCs w:val="18"/>
    </w:rPr>
  </w:style>
  <w:style w:type="paragraph" w:styleId="26">
    <w:name w:val="footer"/>
    <w:basedOn w:val="1"/>
    <w:link w:val="70"/>
    <w:qFormat/>
    <w:uiPriority w:val="0"/>
    <w:pPr>
      <w:tabs>
        <w:tab w:val="center" w:pos="4153"/>
        <w:tab w:val="right" w:pos="8306"/>
      </w:tabs>
      <w:snapToGrid w:val="0"/>
      <w:jc w:val="left"/>
    </w:pPr>
    <w:rPr>
      <w:kern w:val="0"/>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style>
  <w:style w:type="paragraph" w:styleId="30">
    <w:name w:val="toc 4"/>
    <w:basedOn w:val="1"/>
    <w:next w:val="1"/>
    <w:qFormat/>
    <w:uiPriority w:val="0"/>
    <w:pPr>
      <w:ind w:left="630"/>
      <w:jc w:val="left"/>
    </w:pPr>
    <w:rPr>
      <w:rFonts w:ascii="Calibri" w:hAnsi="Calibri"/>
      <w:sz w:val="18"/>
      <w:szCs w:val="18"/>
    </w:rPr>
  </w:style>
  <w:style w:type="paragraph" w:styleId="31">
    <w:name w:val="index heading"/>
    <w:basedOn w:val="1"/>
    <w:next w:val="32"/>
    <w:qFormat/>
    <w:uiPriority w:val="0"/>
    <w:rPr>
      <w:szCs w:val="20"/>
    </w:rPr>
  </w:style>
  <w:style w:type="paragraph" w:styleId="32">
    <w:name w:val="index 1"/>
    <w:basedOn w:val="1"/>
    <w:next w:val="1"/>
    <w:qFormat/>
    <w:uiPriority w:val="0"/>
    <w:pPr>
      <w:tabs>
        <w:tab w:val="left" w:pos="7740"/>
      </w:tabs>
      <w:jc w:val="center"/>
    </w:pPr>
    <w:rPr>
      <w:rFonts w:ascii="仿宋" w:hAnsi="仿宋" w:eastAsia="仿宋"/>
      <w:b/>
      <w:sz w:val="28"/>
      <w:szCs w:val="2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72"/>
    <w:qFormat/>
    <w:uiPriority w:val="0"/>
    <w:pPr>
      <w:spacing w:line="360" w:lineRule="auto"/>
      <w:ind w:firstLine="420" w:firstLineChars="200"/>
    </w:pPr>
    <w:rPr>
      <w:kern w:val="0"/>
      <w:sz w:val="20"/>
      <w:szCs w:val="20"/>
    </w:rPr>
  </w:style>
  <w:style w:type="paragraph" w:styleId="35">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73"/>
    <w:qFormat/>
    <w:uiPriority w:val="0"/>
    <w:rPr>
      <w:sz w:val="24"/>
      <w:szCs w:val="20"/>
    </w:rPr>
  </w:style>
  <w:style w:type="paragraph" w:styleId="38">
    <w:name w:val="HTML Preformatted"/>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Cs w:val="21"/>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link w:val="75"/>
    <w:qFormat/>
    <w:uiPriority w:val="0"/>
    <w:pPr>
      <w:spacing w:before="240" w:after="60"/>
      <w:jc w:val="center"/>
      <w:outlineLvl w:val="0"/>
    </w:pPr>
    <w:rPr>
      <w:rFonts w:ascii="Arial" w:hAnsi="Arial"/>
      <w:b/>
      <w:bCs/>
      <w:kern w:val="0"/>
      <w:sz w:val="32"/>
      <w:szCs w:val="32"/>
    </w:rPr>
  </w:style>
  <w:style w:type="paragraph" w:styleId="41">
    <w:name w:val="annotation subject"/>
    <w:basedOn w:val="15"/>
    <w:next w:val="15"/>
    <w:link w:val="76"/>
    <w:qFormat/>
    <w:uiPriority w:val="0"/>
    <w:rPr>
      <w:b/>
      <w:bCs/>
    </w:rPr>
  </w:style>
  <w:style w:type="paragraph" w:styleId="42">
    <w:name w:val="Body Text First Indent"/>
    <w:basedOn w:val="17"/>
    <w:link w:val="77"/>
    <w:qFormat/>
    <w:uiPriority w:val="0"/>
    <w:pPr>
      <w:spacing w:after="120" w:line="240" w:lineRule="auto"/>
      <w:ind w:firstLine="420" w:firstLineChars="1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ascii="Tahoma" w:hAnsi="Tahoma" w:eastAsia="宋体" w:cs="Times New Roman"/>
      <w:b/>
      <w:bCs/>
      <w:spacing w:val="10"/>
      <w:sz w:val="24"/>
      <w:lang w:val="en-US" w:eastAsia="zh-CN" w:bidi="ar-SA"/>
    </w:rPr>
  </w:style>
  <w:style w:type="character" w:styleId="47">
    <w:name w:val="page number"/>
    <w:qFormat/>
    <w:uiPriority w:val="0"/>
    <w:rPr>
      <w:rFonts w:ascii="Times New Roman" w:hAnsi="Times New Roman" w:eastAsia="宋体" w:cs="Times New Roman"/>
    </w:rPr>
  </w:style>
  <w:style w:type="character" w:styleId="48">
    <w:name w:val="FollowedHyperlink"/>
    <w:qFormat/>
    <w:uiPriority w:val="0"/>
    <w:rPr>
      <w:rFonts w:ascii="Times New Roman" w:hAnsi="Times New Roman" w:eastAsia="宋体" w:cs="Times New Roman"/>
      <w:color w:val="800080"/>
      <w:u w:val="single"/>
    </w:rPr>
  </w:style>
  <w:style w:type="character" w:styleId="49">
    <w:name w:val="Emphasis"/>
    <w:qFormat/>
    <w:uiPriority w:val="0"/>
    <w:rPr>
      <w:rFonts w:ascii="Times New Roman" w:hAnsi="Times New Roman" w:eastAsia="宋体" w:cs="Times New Roman"/>
      <w:caps/>
      <w:spacing w:val="5"/>
      <w:kern w:val="2"/>
      <w:sz w:val="20"/>
      <w:szCs w:val="20"/>
      <w:lang w:val="en-US" w:eastAsia="zh-CN" w:bidi="ar-SA"/>
    </w:rPr>
  </w:style>
  <w:style w:type="character" w:styleId="50">
    <w:name w:val="Hyperlink"/>
    <w:qFormat/>
    <w:uiPriority w:val="0"/>
    <w:rPr>
      <w:rFonts w:ascii="Times New Roman" w:hAnsi="Times New Roman" w:eastAsia="宋体" w:cs="Times New Roman"/>
      <w:color w:val="0000FF"/>
      <w:u w:val="single"/>
    </w:rPr>
  </w:style>
  <w:style w:type="character" w:styleId="51">
    <w:name w:val="annotation reference"/>
    <w:qFormat/>
    <w:uiPriority w:val="0"/>
    <w:rPr>
      <w:rFonts w:ascii="Times New Roman" w:hAnsi="Times New Roman" w:eastAsia="宋体" w:cs="Times New Roman"/>
      <w:sz w:val="21"/>
      <w:szCs w:val="21"/>
    </w:rPr>
  </w:style>
  <w:style w:type="character" w:customStyle="1" w:styleId="52">
    <w:name w:val="标题 1 Char"/>
    <w:link w:val="2"/>
    <w:qFormat/>
    <w:uiPriority w:val="0"/>
    <w:rPr>
      <w:rFonts w:ascii="Times New Roman" w:hAnsi="Times New Roman" w:eastAsia="宋体" w:cs="Times New Roman"/>
      <w:b/>
      <w:bCs/>
      <w:kern w:val="44"/>
      <w:sz w:val="44"/>
      <w:szCs w:val="44"/>
    </w:rPr>
  </w:style>
  <w:style w:type="character" w:customStyle="1" w:styleId="53">
    <w:name w:val="标题 2 Char"/>
    <w:link w:val="3"/>
    <w:qFormat/>
    <w:uiPriority w:val="0"/>
    <w:rPr>
      <w:rFonts w:ascii="Arial" w:hAnsi="Arial" w:eastAsia="黑体" w:cs="Times New Roman"/>
      <w:b/>
      <w:bCs/>
      <w:sz w:val="32"/>
      <w:szCs w:val="32"/>
    </w:rPr>
  </w:style>
  <w:style w:type="character" w:customStyle="1" w:styleId="54">
    <w:name w:val="标题 3 Char"/>
    <w:link w:val="4"/>
    <w:qFormat/>
    <w:uiPriority w:val="0"/>
    <w:rPr>
      <w:rFonts w:ascii="Times New Roman" w:hAnsi="Times New Roman" w:eastAsia="宋体" w:cs="Times New Roman"/>
      <w:b/>
      <w:bCs/>
      <w:sz w:val="32"/>
      <w:szCs w:val="32"/>
    </w:rPr>
  </w:style>
  <w:style w:type="character" w:customStyle="1" w:styleId="55">
    <w:name w:val="标题 4 Char"/>
    <w:link w:val="5"/>
    <w:qFormat/>
    <w:uiPriority w:val="0"/>
    <w:rPr>
      <w:rFonts w:ascii="Arial" w:hAnsi="Arial" w:eastAsia="黑体" w:cs="Times New Roman"/>
      <w:b/>
      <w:bCs/>
      <w:sz w:val="28"/>
      <w:szCs w:val="28"/>
    </w:rPr>
  </w:style>
  <w:style w:type="character" w:customStyle="1" w:styleId="56">
    <w:name w:val="标题 5 Char"/>
    <w:link w:val="6"/>
    <w:qFormat/>
    <w:uiPriority w:val="0"/>
    <w:rPr>
      <w:rFonts w:ascii="Times New Roman" w:hAnsi="Times New Roman" w:eastAsia="宋体" w:cs="Times New Roman"/>
      <w:b/>
      <w:kern w:val="2"/>
      <w:sz w:val="28"/>
    </w:rPr>
  </w:style>
  <w:style w:type="character" w:customStyle="1" w:styleId="57">
    <w:name w:val="正文缩进 Char"/>
    <w:link w:val="7"/>
    <w:qFormat/>
    <w:uiPriority w:val="0"/>
    <w:rPr>
      <w:rFonts w:ascii="Times New Roman" w:hAnsi="Times New Roman" w:eastAsia="宋体" w:cs="Times New Roman"/>
      <w:szCs w:val="20"/>
    </w:rPr>
  </w:style>
  <w:style w:type="character" w:customStyle="1" w:styleId="58">
    <w:name w:val="标题 6 Char"/>
    <w:link w:val="8"/>
    <w:qFormat/>
    <w:uiPriority w:val="0"/>
    <w:rPr>
      <w:rFonts w:ascii="Arial" w:hAnsi="Arial" w:eastAsia="黑体" w:cs="Times New Roman"/>
      <w:b/>
      <w:kern w:val="2"/>
      <w:sz w:val="24"/>
    </w:rPr>
  </w:style>
  <w:style w:type="character" w:customStyle="1" w:styleId="59">
    <w:name w:val="标题 7 Char"/>
    <w:link w:val="9"/>
    <w:qFormat/>
    <w:uiPriority w:val="0"/>
    <w:rPr>
      <w:rFonts w:ascii="Times New Roman" w:hAnsi="Times New Roman" w:eastAsia="宋体" w:cs="Times New Roman"/>
      <w:b/>
      <w:kern w:val="2"/>
      <w:sz w:val="24"/>
    </w:rPr>
  </w:style>
  <w:style w:type="character" w:customStyle="1" w:styleId="60">
    <w:name w:val="标题 8 Char"/>
    <w:link w:val="10"/>
    <w:qFormat/>
    <w:uiPriority w:val="0"/>
    <w:rPr>
      <w:rFonts w:ascii="Arial" w:hAnsi="Arial" w:eastAsia="黑体" w:cs="Times New Roman"/>
      <w:kern w:val="2"/>
      <w:sz w:val="24"/>
    </w:rPr>
  </w:style>
  <w:style w:type="character" w:customStyle="1" w:styleId="61">
    <w:name w:val="标题 9 Char"/>
    <w:link w:val="11"/>
    <w:qFormat/>
    <w:uiPriority w:val="0"/>
    <w:rPr>
      <w:rFonts w:ascii="Arial" w:hAnsi="Arial" w:eastAsia="黑体" w:cs="Times New Roman"/>
      <w:kern w:val="2"/>
      <w:sz w:val="21"/>
    </w:rPr>
  </w:style>
  <w:style w:type="character" w:customStyle="1" w:styleId="62">
    <w:name w:val="批注文字 Char"/>
    <w:link w:val="15"/>
    <w:qFormat/>
    <w:uiPriority w:val="0"/>
    <w:rPr>
      <w:rFonts w:ascii="Times New Roman" w:hAnsi="Times New Roman" w:eastAsia="宋体" w:cs="Times New Roman"/>
      <w:szCs w:val="24"/>
    </w:rPr>
  </w:style>
  <w:style w:type="character" w:customStyle="1" w:styleId="63">
    <w:name w:val="正文文本 3 Char"/>
    <w:link w:val="16"/>
    <w:qFormat/>
    <w:uiPriority w:val="0"/>
    <w:rPr>
      <w:rFonts w:ascii="Times New Roman" w:hAnsi="Times New Roman" w:eastAsia="宋体" w:cs="Times New Roman"/>
      <w:sz w:val="16"/>
      <w:szCs w:val="16"/>
    </w:rPr>
  </w:style>
  <w:style w:type="character" w:customStyle="1" w:styleId="64">
    <w:name w:val="正文文本 Char"/>
    <w:link w:val="17"/>
    <w:qFormat/>
    <w:uiPriority w:val="99"/>
    <w:rPr>
      <w:rFonts w:ascii="Times New Roman" w:hAnsi="Times New Roman" w:eastAsia="宋体" w:cs="Times New Roman"/>
      <w:szCs w:val="20"/>
    </w:rPr>
  </w:style>
  <w:style w:type="character" w:customStyle="1" w:styleId="65">
    <w:name w:val="正文文本缩进 Char"/>
    <w:link w:val="18"/>
    <w:qFormat/>
    <w:uiPriority w:val="0"/>
    <w:rPr>
      <w:rFonts w:ascii="仿宋_GB2312" w:hAnsi="Times New Roman" w:eastAsia="仿宋_GB2312" w:cs="Times New Roman"/>
      <w:sz w:val="32"/>
      <w:szCs w:val="20"/>
    </w:rPr>
  </w:style>
  <w:style w:type="character" w:customStyle="1" w:styleId="66">
    <w:name w:val="纯文本 Char1"/>
    <w:link w:val="21"/>
    <w:qFormat/>
    <w:uiPriority w:val="0"/>
    <w:rPr>
      <w:rFonts w:ascii="宋体" w:hAnsi="Courier New" w:eastAsia="宋体" w:cs="Courier New"/>
      <w:szCs w:val="21"/>
    </w:rPr>
  </w:style>
  <w:style w:type="character" w:customStyle="1" w:styleId="67">
    <w:name w:val="日期 Char"/>
    <w:link w:val="23"/>
    <w:qFormat/>
    <w:uiPriority w:val="0"/>
    <w:rPr>
      <w:rFonts w:ascii="Times New Roman" w:hAnsi="Times New Roman" w:eastAsia="宋体" w:cs="Times New Roman"/>
      <w:szCs w:val="20"/>
    </w:rPr>
  </w:style>
  <w:style w:type="character" w:customStyle="1" w:styleId="68">
    <w:name w:val="正文文本缩进 2 Char"/>
    <w:link w:val="24"/>
    <w:qFormat/>
    <w:uiPriority w:val="0"/>
    <w:rPr>
      <w:rFonts w:ascii="Times New Roman" w:hAnsi="Times New Roman" w:eastAsia="宋体" w:cs="Times New Roman"/>
      <w:kern w:val="2"/>
      <w:sz w:val="21"/>
    </w:rPr>
  </w:style>
  <w:style w:type="character" w:customStyle="1" w:styleId="69">
    <w:name w:val="批注框文本 Char"/>
    <w:link w:val="25"/>
    <w:qFormat/>
    <w:uiPriority w:val="0"/>
    <w:rPr>
      <w:rFonts w:ascii="Times New Roman" w:hAnsi="Times New Roman" w:eastAsia="宋体" w:cs="Times New Roman"/>
      <w:sz w:val="18"/>
      <w:szCs w:val="18"/>
    </w:rPr>
  </w:style>
  <w:style w:type="character" w:customStyle="1" w:styleId="70">
    <w:name w:val="页脚 Char"/>
    <w:link w:val="26"/>
    <w:qFormat/>
    <w:uiPriority w:val="0"/>
    <w:rPr>
      <w:rFonts w:ascii="Times New Roman" w:hAnsi="Times New Roman" w:eastAsia="宋体" w:cs="Times New Roman"/>
      <w:sz w:val="18"/>
      <w:szCs w:val="18"/>
    </w:rPr>
  </w:style>
  <w:style w:type="character" w:customStyle="1" w:styleId="71">
    <w:name w:val="页眉 Char"/>
    <w:link w:val="28"/>
    <w:qFormat/>
    <w:uiPriority w:val="0"/>
    <w:rPr>
      <w:rFonts w:ascii="Times New Roman" w:hAnsi="Times New Roman" w:eastAsia="宋体" w:cs="Times New Roman"/>
      <w:sz w:val="18"/>
      <w:szCs w:val="18"/>
    </w:rPr>
  </w:style>
  <w:style w:type="character" w:customStyle="1" w:styleId="72">
    <w:name w:val="正文文本缩进 3 Char"/>
    <w:link w:val="34"/>
    <w:qFormat/>
    <w:uiPriority w:val="0"/>
    <w:rPr>
      <w:rFonts w:ascii="Times New Roman" w:hAnsi="Times New Roman" w:eastAsia="宋体" w:cs="Times New Roman"/>
      <w:szCs w:val="20"/>
    </w:rPr>
  </w:style>
  <w:style w:type="character" w:customStyle="1" w:styleId="73">
    <w:name w:val="正文文本 2 Char"/>
    <w:link w:val="37"/>
    <w:qFormat/>
    <w:uiPriority w:val="0"/>
    <w:rPr>
      <w:rFonts w:ascii="Times New Roman" w:hAnsi="Times New Roman" w:eastAsia="宋体" w:cs="Times New Roman"/>
      <w:kern w:val="2"/>
      <w:sz w:val="24"/>
    </w:rPr>
  </w:style>
  <w:style w:type="character" w:customStyle="1" w:styleId="74">
    <w:name w:val="HTML 预设格式 Char"/>
    <w:link w:val="38"/>
    <w:qFormat/>
    <w:uiPriority w:val="0"/>
    <w:rPr>
      <w:rFonts w:ascii="宋体" w:hAnsi="宋体" w:eastAsia="宋体" w:cs="Times New Roman"/>
      <w:color w:val="000000"/>
      <w:sz w:val="21"/>
      <w:szCs w:val="21"/>
    </w:rPr>
  </w:style>
  <w:style w:type="character" w:customStyle="1" w:styleId="75">
    <w:name w:val="标题 Char"/>
    <w:link w:val="40"/>
    <w:qFormat/>
    <w:uiPriority w:val="0"/>
    <w:rPr>
      <w:rFonts w:ascii="Arial" w:hAnsi="Arial" w:eastAsia="宋体" w:cs="Arial"/>
      <w:b/>
      <w:bCs/>
      <w:sz w:val="32"/>
      <w:szCs w:val="32"/>
    </w:rPr>
  </w:style>
  <w:style w:type="character" w:customStyle="1" w:styleId="76">
    <w:name w:val="批注主题 Char"/>
    <w:link w:val="41"/>
    <w:qFormat/>
    <w:uiPriority w:val="0"/>
    <w:rPr>
      <w:rFonts w:ascii="Times New Roman" w:hAnsi="Times New Roman" w:eastAsia="宋体" w:cs="Times New Roman"/>
      <w:b/>
      <w:bCs/>
      <w:szCs w:val="24"/>
    </w:rPr>
  </w:style>
  <w:style w:type="character" w:customStyle="1" w:styleId="77">
    <w:name w:val="正文首行缩进 Char"/>
    <w:link w:val="42"/>
    <w:qFormat/>
    <w:uiPriority w:val="0"/>
    <w:rPr>
      <w:rFonts w:ascii="Times New Roman" w:hAnsi="Times New Roman" w:eastAsia="宋体" w:cs="Times New Roman"/>
      <w:szCs w:val="24"/>
    </w:rPr>
  </w:style>
  <w:style w:type="paragraph" w:customStyle="1" w:styleId="78">
    <w:name w:val="样式1"/>
    <w:basedOn w:val="3"/>
    <w:link w:val="79"/>
    <w:qFormat/>
    <w:uiPriority w:val="0"/>
    <w:pPr>
      <w:keepLines w:val="0"/>
      <w:widowControl/>
      <w:spacing w:before="100" w:beforeAutospacing="1" w:after="100" w:afterAutospacing="1" w:line="240" w:lineRule="auto"/>
      <w:ind w:left="678" w:leftChars="100" w:right="100" w:rightChars="100" w:hanging="578"/>
      <w:jc w:val="left"/>
    </w:pPr>
    <w:rPr>
      <w:rFonts w:ascii="Cambria" w:hAnsi="Cambria" w:eastAsia="宋体"/>
      <w:b w:val="0"/>
      <w:iCs/>
      <w:sz w:val="21"/>
      <w:szCs w:val="28"/>
      <w:lang w:eastAsia="en-US" w:bidi="en-US"/>
    </w:rPr>
  </w:style>
  <w:style w:type="character" w:customStyle="1" w:styleId="79">
    <w:name w:val="样式1 Char"/>
    <w:link w:val="78"/>
    <w:qFormat/>
    <w:uiPriority w:val="0"/>
    <w:rPr>
      <w:rFonts w:ascii="Cambria" w:hAnsi="Cambria" w:eastAsia="宋体" w:cs="Times New Roman"/>
      <w:bCs/>
      <w:iCs/>
      <w:sz w:val="21"/>
      <w:szCs w:val="28"/>
      <w:lang w:eastAsia="en-US" w:bidi="en-US"/>
    </w:rPr>
  </w:style>
  <w:style w:type="character" w:customStyle="1" w:styleId="80">
    <w:name w:val="font61"/>
    <w:qFormat/>
    <w:uiPriority w:val="0"/>
    <w:rPr>
      <w:rFonts w:hint="eastAsia" w:ascii="宋体" w:hAnsi="宋体" w:eastAsia="宋体" w:cs="Times New Roman"/>
      <w:color w:val="000000"/>
      <w:sz w:val="22"/>
      <w:szCs w:val="22"/>
      <w:u w:val="none"/>
    </w:rPr>
  </w:style>
  <w:style w:type="character" w:customStyle="1" w:styleId="81">
    <w:name w:val="Font Style21"/>
    <w:qFormat/>
    <w:uiPriority w:val="0"/>
    <w:rPr>
      <w:rFonts w:ascii="宋体" w:hAnsi="Times New Roman" w:eastAsia="宋体" w:cs="宋体"/>
      <w:sz w:val="22"/>
      <w:szCs w:val="22"/>
    </w:rPr>
  </w:style>
  <w:style w:type="character" w:customStyle="1" w:styleId="82">
    <w:name w:val="font51"/>
    <w:qFormat/>
    <w:uiPriority w:val="0"/>
    <w:rPr>
      <w:rFonts w:hint="default" w:ascii="Arial" w:hAnsi="Arial" w:eastAsia="宋体" w:cs="Arial"/>
      <w:color w:val="000000"/>
      <w:sz w:val="22"/>
      <w:szCs w:val="22"/>
      <w:u w:val="none"/>
    </w:rPr>
  </w:style>
  <w:style w:type="character" w:customStyle="1" w:styleId="83">
    <w:name w:val="列出段落 Char"/>
    <w:link w:val="84"/>
    <w:qFormat/>
    <w:uiPriority w:val="0"/>
    <w:rPr>
      <w:rFonts w:ascii="Calibri" w:hAnsi="Calibri" w:eastAsia="宋体" w:cs="Times New Roman"/>
      <w:kern w:val="2"/>
      <w:sz w:val="21"/>
      <w:szCs w:val="22"/>
    </w:rPr>
  </w:style>
  <w:style w:type="paragraph" w:customStyle="1" w:styleId="84">
    <w:name w:val="列出段落2"/>
    <w:basedOn w:val="1"/>
    <w:link w:val="83"/>
    <w:qFormat/>
    <w:uiPriority w:val="0"/>
    <w:pPr>
      <w:ind w:left="947" w:firstLine="420" w:firstLineChars="200"/>
    </w:pPr>
    <w:rPr>
      <w:rFonts w:ascii="Calibri" w:hAnsi="Calibri"/>
      <w:szCs w:val="22"/>
    </w:rPr>
  </w:style>
  <w:style w:type="character" w:customStyle="1" w:styleId="85">
    <w:name w:val="font41"/>
    <w:qFormat/>
    <w:uiPriority w:val="0"/>
    <w:rPr>
      <w:rFonts w:hint="default" w:ascii="Arial" w:hAnsi="Arial" w:eastAsia="宋体" w:cs="Arial"/>
      <w:color w:val="000000"/>
      <w:sz w:val="22"/>
      <w:szCs w:val="22"/>
      <w:u w:val="none"/>
    </w:rPr>
  </w:style>
  <w:style w:type="character" w:customStyle="1" w:styleId="86">
    <w:name w:val="font81"/>
    <w:qFormat/>
    <w:uiPriority w:val="0"/>
    <w:rPr>
      <w:rFonts w:hint="default" w:ascii="Times New Roman" w:hAnsi="Times New Roman" w:eastAsia="宋体" w:cs="Times New Roman"/>
      <w:color w:val="000000"/>
      <w:sz w:val="22"/>
      <w:szCs w:val="22"/>
      <w:u w:val="none"/>
    </w:rPr>
  </w:style>
  <w:style w:type="character" w:customStyle="1" w:styleId="87">
    <w:name w:val="Font Style15"/>
    <w:qFormat/>
    <w:uiPriority w:val="0"/>
    <w:rPr>
      <w:rFonts w:ascii="黑体" w:hAnsi="黑体" w:eastAsia="黑体" w:cs="黑体"/>
      <w:b/>
      <w:bCs/>
      <w:sz w:val="16"/>
      <w:szCs w:val="16"/>
    </w:rPr>
  </w:style>
  <w:style w:type="character" w:customStyle="1" w:styleId="88">
    <w:name w:val="font71"/>
    <w:qFormat/>
    <w:uiPriority w:val="0"/>
    <w:rPr>
      <w:rFonts w:hint="eastAsia" w:ascii="宋体" w:hAnsi="宋体" w:eastAsia="宋体" w:cs="Times New Roman"/>
      <w:color w:val="000000"/>
      <w:sz w:val="22"/>
      <w:szCs w:val="22"/>
      <w:u w:val="none"/>
    </w:rPr>
  </w:style>
  <w:style w:type="character" w:customStyle="1" w:styleId="89">
    <w:name w:val="fontstyle01"/>
    <w:qFormat/>
    <w:uiPriority w:val="0"/>
    <w:rPr>
      <w:rFonts w:hint="eastAsia" w:ascii="宋体" w:hAnsi="宋体" w:eastAsia="宋体" w:cs="宋体"/>
      <w:color w:val="000000"/>
      <w:sz w:val="22"/>
      <w:szCs w:val="22"/>
    </w:rPr>
  </w:style>
  <w:style w:type="character" w:customStyle="1" w:styleId="90">
    <w:name w:val="font91"/>
    <w:qFormat/>
    <w:uiPriority w:val="0"/>
    <w:rPr>
      <w:rFonts w:hint="eastAsia" w:ascii="宋体" w:hAnsi="宋体" w:eastAsia="宋体" w:cs="Times New Roman"/>
      <w:b/>
      <w:bCs/>
      <w:color w:val="000000"/>
      <w:sz w:val="22"/>
      <w:szCs w:val="22"/>
      <w:u w:val="none"/>
    </w:rPr>
  </w:style>
  <w:style w:type="character" w:customStyle="1" w:styleId="91">
    <w:name w:val="表格文字 Char Char"/>
    <w:link w:val="92"/>
    <w:qFormat/>
    <w:uiPriority w:val="0"/>
    <w:rPr>
      <w:rFonts w:ascii="Times New Roman" w:hAnsi="Times New Roman" w:eastAsia="宋体" w:cs="Times New Roman"/>
      <w:bCs/>
      <w:spacing w:val="10"/>
      <w:sz w:val="24"/>
    </w:rPr>
  </w:style>
  <w:style w:type="paragraph" w:customStyle="1" w:styleId="92">
    <w:name w:val="表格文字"/>
    <w:basedOn w:val="93"/>
    <w:next w:val="1"/>
    <w:link w:val="91"/>
    <w:qFormat/>
    <w:uiPriority w:val="0"/>
    <w:pPr>
      <w:spacing w:before="25" w:after="25"/>
      <w:jc w:val="left"/>
    </w:pPr>
    <w:rPr>
      <w:rFonts w:ascii="Times New Roman" w:hAnsi="Times New Roman"/>
      <w:bCs/>
      <w:spacing w:val="10"/>
      <w:sz w:val="24"/>
      <w:szCs w:val="20"/>
    </w:rPr>
  </w:style>
  <w:style w:type="paragraph" w:customStyle="1" w:styleId="93">
    <w:name w:val="表格文字（两侧对齐）"/>
    <w:basedOn w:val="1"/>
    <w:qFormat/>
    <w:uiPriority w:val="0"/>
    <w:pPr>
      <w:snapToGrid w:val="0"/>
    </w:pPr>
    <w:rPr>
      <w:rFonts w:ascii="Calibri" w:hAnsi="Calibri"/>
      <w:kern w:val="0"/>
      <w:sz w:val="20"/>
    </w:rPr>
  </w:style>
  <w:style w:type="character" w:customStyle="1" w:styleId="94">
    <w:name w:val="正文缩进 字符1"/>
    <w:qFormat/>
    <w:uiPriority w:val="0"/>
    <w:rPr>
      <w:rFonts w:ascii="Times New Roman" w:hAnsi="Times New Roman" w:eastAsia="宋体" w:cs="Times New Roman"/>
      <w:kern w:val="2"/>
      <w:sz w:val="21"/>
      <w:szCs w:val="24"/>
      <w:lang w:val="en-US" w:eastAsia="zh-CN" w:bidi="ar-SA"/>
    </w:rPr>
  </w:style>
  <w:style w:type="character" w:customStyle="1" w:styleId="95">
    <w:name w:val="标题 1 字符"/>
    <w:qFormat/>
    <w:uiPriority w:val="0"/>
    <w:rPr>
      <w:rFonts w:ascii="Times New Roman" w:hAnsi="Times New Roman" w:eastAsia="宋体" w:cs="Times New Roman"/>
      <w:b/>
      <w:bCs/>
      <w:kern w:val="44"/>
      <w:sz w:val="44"/>
      <w:szCs w:val="44"/>
    </w:rPr>
  </w:style>
  <w:style w:type="character" w:customStyle="1" w:styleId="96">
    <w:name w:val="ca-12"/>
    <w:qFormat/>
    <w:uiPriority w:val="0"/>
    <w:rPr>
      <w:rFonts w:ascii="Times New Roman" w:hAnsi="Times New Roman" w:eastAsia="宋体" w:cs="Times New Roman"/>
      <w:kern w:val="2"/>
      <w:sz w:val="24"/>
      <w:szCs w:val="24"/>
      <w:lang w:val="en-US" w:eastAsia="zh-CN" w:bidi="ar-SA"/>
    </w:rPr>
  </w:style>
  <w:style w:type="character" w:customStyle="1" w:styleId="97">
    <w:name w:val="Font Style12"/>
    <w:qFormat/>
    <w:uiPriority w:val="0"/>
    <w:rPr>
      <w:rFonts w:ascii="宋体" w:hAnsi="Times New Roman" w:eastAsia="宋体" w:cs="宋体"/>
      <w:b/>
      <w:bCs/>
      <w:spacing w:val="-10"/>
      <w:sz w:val="22"/>
      <w:szCs w:val="22"/>
    </w:rPr>
  </w:style>
  <w:style w:type="character" w:customStyle="1" w:styleId="98">
    <w:name w:val="No Spacing Char"/>
    <w:link w:val="99"/>
    <w:qFormat/>
    <w:uiPriority w:val="0"/>
    <w:rPr>
      <w:rFonts w:ascii="Calibri" w:hAnsi="Calibri" w:eastAsia="宋体" w:cs="Times New Roman"/>
      <w:sz w:val="24"/>
      <w:lang w:val="en-US" w:eastAsia="zh-CN" w:bidi="ar-SA"/>
    </w:rPr>
  </w:style>
  <w:style w:type="paragraph" w:customStyle="1" w:styleId="99">
    <w:name w:val="无间隔1"/>
    <w:link w:val="98"/>
    <w:qFormat/>
    <w:uiPriority w:val="0"/>
    <w:rPr>
      <w:rFonts w:ascii="Calibri" w:hAnsi="Calibri" w:eastAsia="宋体" w:cs="Times New Roman"/>
      <w:sz w:val="24"/>
      <w:lang w:val="en-US" w:eastAsia="zh-CN" w:bidi="ar-SA"/>
    </w:rPr>
  </w:style>
  <w:style w:type="character" w:customStyle="1" w:styleId="100">
    <w:name w:val="正文缩进 字符"/>
    <w:qFormat/>
    <w:uiPriority w:val="0"/>
    <w:rPr>
      <w:rFonts w:ascii="Times New Roman" w:hAnsi="Times New Roman" w:eastAsia="宋体" w:cs="Times New Roman"/>
      <w:szCs w:val="20"/>
    </w:rPr>
  </w:style>
  <w:style w:type="character" w:customStyle="1" w:styleId="101">
    <w:name w:val="font101"/>
    <w:qFormat/>
    <w:uiPriority w:val="0"/>
    <w:rPr>
      <w:rFonts w:hint="eastAsia" w:ascii="宋体" w:hAnsi="宋体" w:eastAsia="宋体" w:cs="Times New Roman"/>
      <w:b/>
      <w:bCs/>
      <w:color w:val="000000"/>
      <w:sz w:val="22"/>
      <w:szCs w:val="22"/>
      <w:u w:val="none"/>
    </w:rPr>
  </w:style>
  <w:style w:type="character" w:customStyle="1" w:styleId="102">
    <w:name w:val="16"/>
    <w:qFormat/>
    <w:uiPriority w:val="0"/>
    <w:rPr>
      <w:rFonts w:hint="default" w:ascii="Times New Roman" w:hAnsi="Times New Roman" w:eastAsia="宋体" w:cs="Times New Roman"/>
      <w:color w:val="0000FF"/>
      <w:u w:val="single"/>
    </w:rPr>
  </w:style>
  <w:style w:type="character" w:customStyle="1" w:styleId="103">
    <w:name w:val="纯文本 Char"/>
    <w:qFormat/>
    <w:uiPriority w:val="0"/>
    <w:rPr>
      <w:rFonts w:ascii="宋体" w:hAnsi="Courier New" w:eastAsia="宋体" w:cs="Courier New"/>
      <w:szCs w:val="21"/>
    </w:rPr>
  </w:style>
  <w:style w:type="character" w:customStyle="1" w:styleId="104">
    <w:name w:val="正文缩进 Char1"/>
    <w:qFormat/>
    <w:uiPriority w:val="0"/>
    <w:rPr>
      <w:rFonts w:ascii="Times New Roman" w:hAnsi="Times New Roman" w:eastAsia="宋体" w:cs="Times New Roman"/>
      <w:kern w:val="2"/>
      <w:sz w:val="21"/>
      <w:szCs w:val="24"/>
      <w:lang w:val="en-US" w:eastAsia="zh-CN" w:bidi="ar-SA"/>
    </w:rPr>
  </w:style>
  <w:style w:type="character" w:customStyle="1" w:styleId="105">
    <w:name w:val="font21"/>
    <w:qFormat/>
    <w:uiPriority w:val="0"/>
    <w:rPr>
      <w:rFonts w:hint="eastAsia" w:ascii="宋体" w:hAnsi="宋体" w:eastAsia="宋体" w:cs="Times New Roman"/>
      <w:color w:val="000000"/>
      <w:sz w:val="22"/>
      <w:szCs w:val="22"/>
      <w:u w:val="none"/>
    </w:rPr>
  </w:style>
  <w:style w:type="character" w:customStyle="1" w:styleId="106">
    <w:name w:val="font11"/>
    <w:qFormat/>
    <w:uiPriority w:val="0"/>
    <w:rPr>
      <w:rFonts w:hint="default" w:ascii="Times New Roman" w:hAnsi="Times New Roman" w:eastAsia="宋体" w:cs="Times New Roman"/>
      <w:color w:val="000000"/>
      <w:sz w:val="20"/>
      <w:szCs w:val="20"/>
      <w:u w:val="none"/>
    </w:rPr>
  </w:style>
  <w:style w:type="character" w:customStyle="1" w:styleId="107">
    <w:name w:val="Anrede1IhrZeichen"/>
    <w:qFormat/>
    <w:uiPriority w:val="0"/>
    <w:rPr>
      <w:rFonts w:ascii="Arial" w:hAnsi="Arial" w:eastAsia="宋体" w:cs="Times New Roman"/>
      <w:sz w:val="20"/>
    </w:rPr>
  </w:style>
  <w:style w:type="character" w:customStyle="1" w:styleId="108">
    <w:name w:val="font01"/>
    <w:qFormat/>
    <w:uiPriority w:val="0"/>
    <w:rPr>
      <w:rFonts w:hint="eastAsia" w:ascii="宋体" w:hAnsi="宋体" w:eastAsia="宋体" w:cs="宋体"/>
      <w:color w:val="000000"/>
      <w:sz w:val="20"/>
      <w:szCs w:val="20"/>
      <w:u w:val="none"/>
      <w:vertAlign w:val="subscript"/>
    </w:rPr>
  </w:style>
  <w:style w:type="character" w:customStyle="1" w:styleId="109">
    <w:name w:val="rili11"/>
    <w:qFormat/>
    <w:uiPriority w:val="0"/>
    <w:rPr>
      <w:rFonts w:ascii="Times New Roman" w:hAnsi="Times New Roman" w:eastAsia="宋体" w:cs="Times New Roman"/>
      <w:sz w:val="19"/>
      <w:szCs w:val="19"/>
    </w:rPr>
  </w:style>
  <w:style w:type="character" w:customStyle="1" w:styleId="110">
    <w:name w:val="font31"/>
    <w:qFormat/>
    <w:uiPriority w:val="0"/>
    <w:rPr>
      <w:rFonts w:hint="eastAsia" w:ascii="宋体" w:hAnsi="宋体" w:eastAsia="宋体" w:cs="宋体"/>
      <w:color w:val="000000"/>
      <w:sz w:val="20"/>
      <w:szCs w:val="20"/>
      <w:u w:val="none"/>
    </w:rPr>
  </w:style>
  <w:style w:type="paragraph" w:customStyle="1" w:styleId="111">
    <w:name w:val="题注5"/>
    <w:basedOn w:val="1"/>
    <w:next w:val="14"/>
    <w:qFormat/>
    <w:uiPriority w:val="0"/>
    <w:pPr>
      <w:jc w:val="center"/>
    </w:pPr>
    <w:rPr>
      <w:b/>
      <w:color w:val="000000"/>
      <w:sz w:val="24"/>
      <w:szCs w:val="21"/>
    </w:rPr>
  </w:style>
  <w:style w:type="paragraph" w:customStyle="1" w:styleId="112">
    <w:name w:val="正文_0_0"/>
    <w:basedOn w:val="113"/>
    <w:qFormat/>
    <w:uiPriority w:val="0"/>
    <w:rPr>
      <w:rFonts w:ascii="Times New Roman" w:hAnsi="Times New Roman" w:cs="Times New Roman"/>
    </w:rPr>
  </w:style>
  <w:style w:type="paragraph" w:customStyle="1" w:styleId="113">
    <w:name w:val="正文_0"/>
    <w:qFormat/>
    <w:uiPriority w:val="0"/>
    <w:pPr>
      <w:widowControl w:val="0"/>
      <w:jc w:val="both"/>
    </w:pPr>
    <w:rPr>
      <w:rFonts w:ascii="Calibri" w:hAnsi="Calibri" w:eastAsia="宋体" w:cs="Calibri"/>
      <w:kern w:val="2"/>
      <w:sz w:val="21"/>
      <w:szCs w:val="21"/>
      <w:lang w:val="en-US" w:eastAsia="zh-CN" w:bidi="ar-SA"/>
    </w:rPr>
  </w:style>
  <w:style w:type="paragraph" w:customStyle="1" w:styleId="114">
    <w:name w:val="È¡ÀÊ¡ÎÄ¡À¾"/>
    <w:basedOn w:val="1"/>
    <w:qFormat/>
    <w:uiPriority w:val="0"/>
    <w:pPr>
      <w:widowControl/>
      <w:overflowPunct w:val="0"/>
      <w:autoSpaceDE w:val="0"/>
      <w:autoSpaceDN w:val="0"/>
      <w:adjustRightInd w:val="0"/>
      <w:jc w:val="left"/>
    </w:pPr>
    <w:rPr>
      <w:kern w:val="0"/>
      <w:sz w:val="24"/>
      <w:szCs w:val="20"/>
    </w:rPr>
  </w:style>
  <w:style w:type="paragraph" w:customStyle="1" w:styleId="115">
    <w:name w:val="正文-标准"/>
    <w:basedOn w:val="1"/>
    <w:qFormat/>
    <w:uiPriority w:val="0"/>
    <w:pPr>
      <w:autoSpaceDE w:val="0"/>
      <w:autoSpaceDN w:val="0"/>
      <w:adjustRightInd w:val="0"/>
      <w:spacing w:line="360" w:lineRule="exact"/>
      <w:jc w:val="left"/>
    </w:pPr>
    <w:rPr>
      <w:kern w:val="21"/>
      <w:szCs w:val="20"/>
    </w:rPr>
  </w:style>
  <w:style w:type="paragraph" w:customStyle="1" w:styleId="116">
    <w:name w:val="Char Char1"/>
    <w:basedOn w:val="1"/>
    <w:qFormat/>
    <w:uiPriority w:val="0"/>
    <w:rPr>
      <w:rFonts w:ascii="宋体" w:hAnsi="宋体"/>
      <w:b/>
      <w:sz w:val="28"/>
      <w:szCs w:val="28"/>
    </w:rPr>
  </w:style>
  <w:style w:type="paragraph" w:customStyle="1" w:styleId="11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8">
    <w:name w:val="List Paragraph2"/>
    <w:basedOn w:val="1"/>
    <w:qFormat/>
    <w:uiPriority w:val="0"/>
    <w:pPr>
      <w:ind w:firstLine="420" w:firstLineChars="200"/>
    </w:pPr>
    <w:rPr>
      <w:szCs w:val="21"/>
    </w:rPr>
  </w:style>
  <w:style w:type="paragraph" w:customStyle="1" w:styleId="119">
    <w:name w:val="Pa10"/>
    <w:basedOn w:val="120"/>
    <w:next w:val="120"/>
    <w:qFormat/>
    <w:uiPriority w:val="0"/>
    <w:pPr>
      <w:spacing w:line="161" w:lineRule="atLeast"/>
    </w:pPr>
    <w:rPr>
      <w:rFonts w:ascii="Times New Roman" w:hAnsi="Times New Roman" w:cs="Times New Roman"/>
      <w:color w:val="auto"/>
    </w:rPr>
  </w:style>
  <w:style w:type="paragraph" w:customStyle="1" w:styleId="120">
    <w:name w:val="Default"/>
    <w:qFormat/>
    <w:uiPriority w:val="0"/>
    <w:pPr>
      <w:widowControl w:val="0"/>
      <w:autoSpaceDE w:val="0"/>
      <w:autoSpaceDN w:val="0"/>
      <w:adjustRightInd w:val="0"/>
    </w:pPr>
    <w:rPr>
      <w:rFonts w:ascii="Akzidenz Grotesk BQ" w:hAnsi="Akzidenz Grotesk BQ" w:eastAsia="宋体" w:cs="Akzidenz Grotesk BQ"/>
      <w:color w:val="000000"/>
      <w:sz w:val="24"/>
      <w:szCs w:val="24"/>
      <w:lang w:val="en-US" w:eastAsia="zh-CN" w:bidi="ar-SA"/>
    </w:rPr>
  </w:style>
  <w:style w:type="paragraph" w:customStyle="1" w:styleId="121">
    <w:name w:val="列出段落3"/>
    <w:basedOn w:val="1"/>
    <w:qFormat/>
    <w:uiPriority w:val="0"/>
    <w:pPr>
      <w:ind w:firstLine="420" w:firstLineChars="200"/>
    </w:pPr>
    <w:rPr>
      <w:rFonts w:ascii="Calibri" w:hAnsi="Calibri"/>
      <w:szCs w:val="22"/>
    </w:rPr>
  </w:style>
  <w:style w:type="paragraph" w:customStyle="1" w:styleId="122">
    <w:name w:val="BodyText"/>
    <w:basedOn w:val="1"/>
    <w:qFormat/>
    <w:uiPriority w:val="0"/>
    <w:pPr>
      <w:spacing w:line="360" w:lineRule="auto"/>
    </w:pPr>
  </w:style>
  <w:style w:type="paragraph" w:customStyle="1" w:styleId="123">
    <w:name w:val="List Paragraph1"/>
    <w:basedOn w:val="1"/>
    <w:qFormat/>
    <w:uiPriority w:val="0"/>
    <w:pPr>
      <w:ind w:firstLine="420" w:firstLineChars="200"/>
    </w:pPr>
    <w:rPr>
      <w:szCs w:val="20"/>
    </w:rPr>
  </w:style>
  <w:style w:type="paragraph" w:customStyle="1" w:styleId="124">
    <w:name w:val="Standard o abs"/>
    <w:basedOn w:val="1"/>
    <w:qFormat/>
    <w:uiPriority w:val="0"/>
    <w:pPr>
      <w:tabs>
        <w:tab w:val="left" w:pos="2835"/>
        <w:tab w:val="left" w:pos="3119"/>
        <w:tab w:val="left" w:pos="3402"/>
        <w:tab w:val="left" w:pos="3686"/>
        <w:tab w:val="left" w:pos="3969"/>
        <w:tab w:val="left" w:pos="4253"/>
      </w:tabs>
    </w:pPr>
    <w:rPr>
      <w:rFonts w:ascii="等线" w:hAnsi="等线" w:eastAsia="等线"/>
      <w:szCs w:val="22"/>
    </w:rPr>
  </w:style>
  <w:style w:type="paragraph" w:customStyle="1" w:styleId="125">
    <w:name w:val="办公自动化专用标题"/>
    <w:basedOn w:val="40"/>
    <w:qFormat/>
    <w:uiPriority w:val="0"/>
    <w:pPr>
      <w:spacing w:line="560" w:lineRule="atLeast"/>
    </w:pPr>
    <w:rPr>
      <w:rFonts w:ascii="宋体" w:hAnsi="Times New Roman"/>
      <w:bCs w:val="0"/>
      <w:sz w:val="44"/>
      <w:szCs w:val="20"/>
    </w:rPr>
  </w:style>
  <w:style w:type="paragraph" w:customStyle="1" w:styleId="1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表项"/>
    <w:next w:val="1"/>
    <w:qFormat/>
    <w:uiPriority w:val="0"/>
    <w:pPr>
      <w:keepNext/>
      <w:spacing w:line="300" w:lineRule="auto"/>
      <w:jc w:val="center"/>
    </w:pPr>
    <w:rPr>
      <w:rFonts w:ascii="Arial" w:hAnsi="Arial" w:eastAsia="黑体" w:cs="Times New Roman"/>
      <w:sz w:val="21"/>
      <w:lang w:val="en-US" w:eastAsia="zh-CN" w:bidi="ar-SA"/>
    </w:rPr>
  </w:style>
  <w:style w:type="paragraph" w:customStyle="1" w:styleId="128">
    <w:name w:val="Char Char2 Char"/>
    <w:basedOn w:val="1"/>
    <w:qFormat/>
    <w:uiPriority w:val="0"/>
    <w:rPr>
      <w:rFonts w:ascii="宋体" w:hAnsi="宋体"/>
      <w:b/>
      <w:sz w:val="28"/>
      <w:szCs w:val="28"/>
    </w:rPr>
  </w:style>
  <w:style w:type="paragraph" w:customStyle="1" w:styleId="129">
    <w:name w:val="表格"/>
    <w:basedOn w:val="1"/>
    <w:qFormat/>
    <w:uiPriority w:val="0"/>
    <w:pPr>
      <w:spacing w:line="400" w:lineRule="exact"/>
    </w:pPr>
    <w:rPr>
      <w:sz w:val="24"/>
    </w:rPr>
  </w:style>
  <w:style w:type="paragraph" w:customStyle="1" w:styleId="13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1">
    <w:name w:val="样式"/>
    <w:basedOn w:val="1"/>
    <w:qFormat/>
    <w:uiPriority w:val="0"/>
    <w:pPr>
      <w:ind w:left="720"/>
    </w:pPr>
    <w:rPr>
      <w:szCs w:val="21"/>
    </w:rPr>
  </w:style>
  <w:style w:type="paragraph" w:customStyle="1" w:styleId="132">
    <w:name w:val="题注4"/>
    <w:basedOn w:val="1"/>
    <w:next w:val="14"/>
    <w:qFormat/>
    <w:uiPriority w:val="0"/>
    <w:pPr>
      <w:ind w:left="-132" w:leftChars="-64" w:right="-105" w:rightChars="-50" w:hanging="2"/>
      <w:jc w:val="center"/>
    </w:pPr>
    <w:rPr>
      <w:b/>
      <w:color w:val="FF0000"/>
      <w:szCs w:val="21"/>
    </w:rPr>
  </w:style>
  <w:style w:type="paragraph" w:customStyle="1" w:styleId="133">
    <w:name w:val="正文表标题"/>
    <w:next w:val="1"/>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4">
    <w:name w:val="Char Char Char"/>
    <w:basedOn w:val="1"/>
    <w:qFormat/>
    <w:uiPriority w:val="0"/>
    <w:rPr>
      <w:rFonts w:ascii="Tahoma" w:hAnsi="Tahoma"/>
      <w:sz w:val="24"/>
      <w:szCs w:val="20"/>
    </w:rPr>
  </w:style>
  <w:style w:type="paragraph" w:customStyle="1" w:styleId="135">
    <w:name w:val="正文_2"/>
    <w:next w:val="136"/>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36">
    <w:name w:val="正文缩进1"/>
    <w:basedOn w:val="135"/>
    <w:next w:val="120"/>
    <w:qFormat/>
    <w:uiPriority w:val="0"/>
    <w:pPr>
      <w:autoSpaceDE w:val="0"/>
      <w:autoSpaceDN w:val="0"/>
      <w:adjustRightInd w:val="0"/>
      <w:ind w:firstLine="420"/>
      <w:jc w:val="left"/>
    </w:pPr>
    <w:rPr>
      <w:rFonts w:ascii="宋体" w:cs="Times New Roman"/>
      <w:kern w:val="0"/>
      <w:sz w:val="24"/>
      <w:szCs w:val="20"/>
    </w:rPr>
  </w:style>
  <w:style w:type="paragraph" w:customStyle="1" w:styleId="137">
    <w:name w:val="xl35"/>
    <w:basedOn w:val="1"/>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138">
    <w:name w:val="p15"/>
    <w:basedOn w:val="1"/>
    <w:qFormat/>
    <w:uiPriority w:val="0"/>
    <w:pPr>
      <w:widowControl/>
      <w:ind w:firstLine="420"/>
    </w:pPr>
    <w:rPr>
      <w:rFonts w:ascii="Calibri" w:hAnsi="Calibri" w:cs="宋体"/>
      <w:kern w:val="0"/>
      <w:szCs w:val="21"/>
    </w:rPr>
  </w:style>
  <w:style w:type="paragraph" w:customStyle="1" w:styleId="13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styleId="141">
    <w:name w:val="No Spacing"/>
    <w:qFormat/>
    <w:uiPriority w:val="0"/>
    <w:rPr>
      <w:rFonts w:ascii="Cambria" w:hAnsi="Cambria" w:eastAsia="MS Mincho" w:cs="Times New Roman"/>
      <w:sz w:val="24"/>
      <w:szCs w:val="24"/>
      <w:lang w:val="en-US" w:eastAsia="en-US" w:bidi="ar-SA"/>
    </w:rPr>
  </w:style>
  <w:style w:type="paragraph" w:customStyle="1" w:styleId="142">
    <w:name w:val="Zchn Zchn"/>
    <w:basedOn w:val="1"/>
    <w:qFormat/>
    <w:uiPriority w:val="0"/>
    <w:rPr>
      <w:rFonts w:ascii="Tahoma" w:hAnsi="Tahoma"/>
      <w:sz w:val="24"/>
      <w:szCs w:val="20"/>
    </w:rPr>
  </w:style>
  <w:style w:type="paragraph" w:customStyle="1" w:styleId="143">
    <w:name w:val="Zchn Zchn11"/>
    <w:basedOn w:val="1"/>
    <w:qFormat/>
    <w:uiPriority w:val="0"/>
    <w:rPr>
      <w:rFonts w:ascii="Tahoma" w:hAnsi="Tahoma"/>
      <w:sz w:val="24"/>
      <w:szCs w:val="20"/>
    </w:rPr>
  </w:style>
  <w:style w:type="paragraph" w:customStyle="1" w:styleId="144">
    <w:name w:val="Char Char4"/>
    <w:basedOn w:val="1"/>
    <w:qFormat/>
    <w:uiPriority w:val="0"/>
    <w:pPr>
      <w:tabs>
        <w:tab w:val="left" w:pos="360"/>
      </w:tabs>
    </w:pPr>
    <w:rPr>
      <w:sz w:val="24"/>
    </w:rPr>
  </w:style>
  <w:style w:type="paragraph" w:customStyle="1" w:styleId="14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46">
    <w:name w:val="列出段落1"/>
    <w:basedOn w:val="1"/>
    <w:qFormat/>
    <w:uiPriority w:val="0"/>
    <w:pPr>
      <w:ind w:firstLine="420" w:firstLineChars="200"/>
    </w:pPr>
    <w:rPr>
      <w:rFonts w:ascii="Calibri" w:hAnsi="Calibri"/>
      <w:szCs w:val="22"/>
    </w:rPr>
  </w:style>
  <w:style w:type="paragraph" w:customStyle="1" w:styleId="147">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48">
    <w:name w:val="Pa9"/>
    <w:basedOn w:val="120"/>
    <w:next w:val="120"/>
    <w:qFormat/>
    <w:uiPriority w:val="0"/>
    <w:pPr>
      <w:spacing w:before="120" w:line="161" w:lineRule="atLeast"/>
    </w:pPr>
    <w:rPr>
      <w:rFonts w:ascii="Times New Roman" w:hAnsi="Times New Roman" w:cs="Times New Roman"/>
      <w:color w:val="auto"/>
    </w:rPr>
  </w:style>
  <w:style w:type="paragraph" w:customStyle="1" w:styleId="149">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2">
    <w:name w:val="_Style 2"/>
    <w:basedOn w:val="1"/>
    <w:qFormat/>
    <w:uiPriority w:val="0"/>
    <w:pPr>
      <w:ind w:firstLine="420" w:firstLineChars="200"/>
    </w:pPr>
    <w:rPr>
      <w:rFonts w:ascii="Calibri" w:hAnsi="Calibri"/>
    </w:rPr>
  </w:style>
  <w:style w:type="paragraph" w:styleId="153">
    <w:name w:val="List Paragraph"/>
    <w:basedOn w:val="1"/>
    <w:qFormat/>
    <w:uiPriority w:val="0"/>
    <w:pPr>
      <w:ind w:firstLine="420" w:firstLineChars="200"/>
    </w:pPr>
    <w:rPr>
      <w:rFonts w:ascii="Calibri" w:hAnsi="Calibri"/>
      <w:szCs w:val="22"/>
    </w:rPr>
  </w:style>
  <w:style w:type="paragraph" w:customStyle="1" w:styleId="154">
    <w:name w:val="Zchn Zchn1"/>
    <w:basedOn w:val="1"/>
    <w:qFormat/>
    <w:uiPriority w:val="0"/>
    <w:rPr>
      <w:rFonts w:ascii="Tahoma" w:hAnsi="Tahoma" w:cs="Tahoma"/>
      <w:sz w:val="24"/>
    </w:rPr>
  </w:style>
  <w:style w:type="paragraph" w:customStyle="1" w:styleId="155">
    <w:name w:val="10 f"/>
    <w:basedOn w:val="1"/>
    <w:qFormat/>
    <w:uiPriority w:val="0"/>
    <w:pPr>
      <w:tabs>
        <w:tab w:val="left" w:pos="2835"/>
        <w:tab w:val="left" w:pos="3119"/>
        <w:tab w:val="left" w:pos="3402"/>
        <w:tab w:val="left" w:pos="3686"/>
        <w:tab w:val="left" w:pos="3969"/>
        <w:tab w:val="left" w:pos="4253"/>
      </w:tabs>
    </w:pPr>
    <w:rPr>
      <w:rFonts w:ascii="等线" w:hAnsi="等线" w:eastAsia="等线"/>
      <w:b/>
      <w:szCs w:val="22"/>
    </w:rPr>
  </w:style>
  <w:style w:type="paragraph" w:customStyle="1" w:styleId="156">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Char Char Char Char Char Char Char"/>
    <w:basedOn w:val="1"/>
    <w:qFormat/>
    <w:uiPriority w:val="0"/>
    <w:pPr>
      <w:tabs>
        <w:tab w:val="left" w:pos="425"/>
      </w:tabs>
      <w:ind w:left="425" w:hanging="425"/>
    </w:pPr>
    <w:rPr>
      <w:rFonts w:eastAsia="仿宋_GB2312"/>
      <w:kern w:val="24"/>
      <w:sz w:val="24"/>
    </w:rPr>
  </w:style>
  <w:style w:type="paragraph" w:customStyle="1" w:styleId="158">
    <w:name w:val="_Style 157"/>
    <w:qFormat/>
    <w:uiPriority w:val="0"/>
    <w:rPr>
      <w:rFonts w:ascii="Times New Roman" w:hAnsi="Times New Roman" w:eastAsia="宋体" w:cs="Times New Roman"/>
      <w:kern w:val="2"/>
      <w:sz w:val="21"/>
      <w:szCs w:val="24"/>
      <w:lang w:val="en-US" w:eastAsia="zh-CN" w:bidi="ar-SA"/>
    </w:rPr>
  </w:style>
  <w:style w:type="paragraph" w:customStyle="1" w:styleId="159">
    <w:name w:val="默认段落字体 Para Char"/>
    <w:basedOn w:val="1"/>
    <w:qFormat/>
    <w:uiPriority w:val="0"/>
    <w:rPr>
      <w:rFonts w:ascii="宋体" w:hAnsi="宋体"/>
      <w:b/>
      <w:sz w:val="28"/>
      <w:szCs w:val="28"/>
    </w:rPr>
  </w:style>
  <w:style w:type="paragraph" w:customStyle="1" w:styleId="1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6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63">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4">
    <w:name w:val="列表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GMGIT</Company>
  <Pages>96</Pages>
  <Words>11670</Words>
  <Characters>12575</Characters>
  <Lines>1</Lines>
  <Paragraphs>1</Paragraphs>
  <TotalTime>5</TotalTime>
  <ScaleCrop>false</ScaleCrop>
  <LinksUpToDate>false</LinksUpToDate>
  <CharactersWithSpaces>13103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2023-03-28T01:59:00Z</dcterms:created>
  <dc:creator>dengzihua</dc:creator>
  <cp:lastModifiedBy>Top</cp:lastModifiedBy>
  <cp:lastPrinted>2020-04-08T08:37:00Z</cp:lastPrinted>
  <dcterms:modified xsi:type="dcterms:W3CDTF">2025-08-08T01:34:36Z</dcterms:modified>
  <dc:title>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01D1975465184382AFCDD7B7EBC369EE_13</vt:lpwstr>
  </property>
  <property fmtid="{D5CDD505-2E9C-101B-9397-08002B2CF9AE}" pid="4" name="KSOTemplateDocerSaveRecord">
    <vt:lpwstr>eyJoZGlkIjoiMzQwMjMzMzRmMDg4N2UzODQ0YTZiNThjZmI5NDQ4NGMiLCJ1c2VySWQiOiI0NDA5NTUzNjEifQ==</vt:lpwstr>
  </property>
</Properties>
</file>