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D0600">
      <w:pPr>
        <w:tabs>
          <w:tab w:val="left" w:pos="420"/>
          <w:tab w:val="left" w:pos="6660"/>
        </w:tabs>
        <w:spacing w:line="1600" w:lineRule="atLeast"/>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drawing>
          <wp:anchor distT="0" distB="0" distL="114300" distR="114300" simplePos="0" relativeHeight="251660288" behindDoc="0" locked="0" layoutInCell="1" allowOverlap="1">
            <wp:simplePos x="0" y="0"/>
            <wp:positionH relativeFrom="page">
              <wp:posOffset>1176655</wp:posOffset>
            </wp:positionH>
            <wp:positionV relativeFrom="page">
              <wp:posOffset>574675</wp:posOffset>
            </wp:positionV>
            <wp:extent cx="1717675" cy="66738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r="35049" b="51643"/>
                    <a:stretch>
                      <a:fillRect/>
                    </a:stretch>
                  </pic:blipFill>
                  <pic:spPr>
                    <a:xfrm>
                      <a:off x="0" y="0"/>
                      <a:ext cx="1713456" cy="665609"/>
                    </a:xfrm>
                    <a:prstGeom prst="rect">
                      <a:avLst/>
                    </a:prstGeom>
                    <a:noFill/>
                    <a:ln>
                      <a:noFill/>
                    </a:ln>
                  </pic:spPr>
                </pic:pic>
              </a:graphicData>
            </a:graphic>
          </wp:anchor>
        </w:drawing>
      </w:r>
      <w:r>
        <w:rPr>
          <w:rFonts w:asciiTheme="minorEastAsia" w:hAnsiTheme="minorEastAsia" w:eastAsiaTheme="minorEastAsia"/>
          <w:color w:val="auto"/>
          <w:sz w:val="28"/>
          <w:szCs w:val="28"/>
          <w:highlight w:val="none"/>
        </w:rPr>
        <w:drawing>
          <wp:anchor distT="0" distB="0" distL="114300" distR="114300" simplePos="0" relativeHeight="251661312" behindDoc="0" locked="0" layoutInCell="1" allowOverlap="1">
            <wp:simplePos x="0" y="0"/>
            <wp:positionH relativeFrom="margin">
              <wp:posOffset>2978150</wp:posOffset>
            </wp:positionH>
            <wp:positionV relativeFrom="paragraph">
              <wp:posOffset>114935</wp:posOffset>
            </wp:positionV>
            <wp:extent cx="2421890" cy="5175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l="7419" t="36481" r="7057" b="32161"/>
                    <a:stretch>
                      <a:fillRect/>
                    </a:stretch>
                  </pic:blipFill>
                  <pic:spPr>
                    <a:xfrm>
                      <a:off x="0" y="0"/>
                      <a:ext cx="2421890" cy="517525"/>
                    </a:xfrm>
                    <a:prstGeom prst="rect">
                      <a:avLst/>
                    </a:prstGeom>
                    <a:noFill/>
                    <a:ln>
                      <a:noFill/>
                    </a:ln>
                  </pic:spPr>
                </pic:pic>
              </a:graphicData>
            </a:graphic>
          </wp:anchor>
        </w:drawing>
      </w:r>
    </w:p>
    <w:p w14:paraId="5C293A20">
      <w:pPr>
        <w:tabs>
          <w:tab w:val="left" w:pos="420"/>
          <w:tab w:val="left" w:pos="6660"/>
        </w:tabs>
        <w:spacing w:line="1600" w:lineRule="atLeast"/>
        <w:jc w:val="center"/>
        <w:rPr>
          <w:rFonts w:asciiTheme="minorEastAsia" w:hAnsiTheme="minorEastAsia" w:eastAsiaTheme="minorEastAsia"/>
          <w:color w:val="auto"/>
          <w:sz w:val="28"/>
          <w:szCs w:val="28"/>
          <w:highlight w:val="none"/>
        </w:rPr>
      </w:pPr>
    </w:p>
    <w:p w14:paraId="683BA00A">
      <w:pPr>
        <w:tabs>
          <w:tab w:val="left" w:pos="420"/>
          <w:tab w:val="left" w:pos="6660"/>
        </w:tabs>
        <w:spacing w:line="1600" w:lineRule="atLeast"/>
        <w:jc w:val="center"/>
        <w:rPr>
          <w:rFonts w:asciiTheme="minorEastAsia" w:hAnsiTheme="minorEastAsia" w:eastAsiaTheme="minorEastAsia"/>
          <w:b/>
          <w:color w:val="auto"/>
          <w:sz w:val="72"/>
          <w:szCs w:val="72"/>
          <w:highlight w:val="none"/>
        </w:rPr>
      </w:pPr>
    </w:p>
    <w:p w14:paraId="73163BAF">
      <w:pPr>
        <w:tabs>
          <w:tab w:val="left" w:pos="420"/>
          <w:tab w:val="left" w:pos="6660"/>
        </w:tabs>
        <w:spacing w:line="1600" w:lineRule="atLeast"/>
        <w:jc w:val="center"/>
        <w:rPr>
          <w:rFonts w:asciiTheme="minorEastAsia" w:hAnsiTheme="minorEastAsia" w:eastAsiaTheme="minorEastAsia"/>
          <w:b/>
          <w:color w:val="auto"/>
          <w:sz w:val="72"/>
          <w:szCs w:val="72"/>
          <w:highlight w:val="none"/>
        </w:rPr>
      </w:pPr>
      <w:r>
        <w:rPr>
          <w:rFonts w:hint="eastAsia" w:asciiTheme="minorEastAsia" w:hAnsiTheme="minorEastAsia" w:eastAsiaTheme="minorEastAsia"/>
          <w:b/>
          <w:color w:val="auto"/>
          <w:sz w:val="72"/>
          <w:szCs w:val="72"/>
          <w:highlight w:val="none"/>
        </w:rPr>
        <w:t>公开招标文件</w:t>
      </w:r>
    </w:p>
    <w:p w14:paraId="26C0475E">
      <w:pPr>
        <w:spacing w:line="500" w:lineRule="exact"/>
        <w:jc w:val="center"/>
        <w:rPr>
          <w:rFonts w:asciiTheme="minorEastAsia" w:hAnsiTheme="minorEastAsia" w:eastAsiaTheme="minorEastAsia"/>
          <w:bCs/>
          <w:color w:val="auto"/>
          <w:sz w:val="28"/>
          <w:szCs w:val="28"/>
          <w:highlight w:val="none"/>
        </w:rPr>
      </w:pPr>
    </w:p>
    <w:p w14:paraId="7447A6D4">
      <w:pPr>
        <w:spacing w:line="500" w:lineRule="exact"/>
        <w:jc w:val="center"/>
        <w:rPr>
          <w:rFonts w:asciiTheme="minorEastAsia" w:hAnsiTheme="minorEastAsia" w:eastAsiaTheme="minorEastAsia"/>
          <w:bCs/>
          <w:color w:val="auto"/>
          <w:sz w:val="28"/>
          <w:szCs w:val="28"/>
          <w:highlight w:val="none"/>
        </w:rPr>
      </w:pPr>
    </w:p>
    <w:p w14:paraId="79600CE1">
      <w:pPr>
        <w:spacing w:line="500" w:lineRule="exact"/>
        <w:jc w:val="center"/>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项目编号：</w:t>
      </w:r>
      <w:r>
        <w:rPr>
          <w:rFonts w:hint="eastAsia" w:asciiTheme="minorEastAsia" w:hAnsiTheme="minorEastAsia" w:eastAsiaTheme="minorEastAsia"/>
          <w:b/>
          <w:bCs/>
          <w:color w:val="auto"/>
          <w:sz w:val="30"/>
          <w:szCs w:val="30"/>
          <w:highlight w:val="none"/>
          <w:lang w:eastAsia="zh-CN"/>
        </w:rPr>
        <w:t>0724-2610ZH411952</w:t>
      </w:r>
      <w:r>
        <w:rPr>
          <w:rFonts w:hint="eastAsia" w:asciiTheme="minorEastAsia" w:hAnsiTheme="minorEastAsia" w:eastAsiaTheme="minorEastAsia"/>
          <w:b/>
          <w:bCs/>
          <w:color w:val="auto"/>
          <w:sz w:val="30"/>
          <w:szCs w:val="30"/>
          <w:highlight w:val="none"/>
        </w:rPr>
        <w:fldChar w:fldCharType="begin"/>
      </w:r>
      <w:r>
        <w:rPr>
          <w:rFonts w:hint="eastAsia" w:asciiTheme="minorEastAsia" w:hAnsiTheme="minorEastAsia" w:eastAsiaTheme="minorEastAsia"/>
          <w:b/>
          <w:bCs/>
          <w:color w:val="auto"/>
          <w:sz w:val="30"/>
          <w:szCs w:val="30"/>
          <w:highlight w:val="none"/>
        </w:rPr>
        <w:instrText xml:space="preserve"> DOCVARIABLE  采购编号  \* MERGEFORMAT </w:instrText>
      </w:r>
      <w:r>
        <w:rPr>
          <w:rFonts w:hint="eastAsia" w:asciiTheme="minorEastAsia" w:hAnsiTheme="minorEastAsia" w:eastAsiaTheme="minorEastAsia"/>
          <w:b/>
          <w:bCs/>
          <w:color w:val="auto"/>
          <w:sz w:val="30"/>
          <w:szCs w:val="30"/>
          <w:highlight w:val="none"/>
        </w:rPr>
        <w:fldChar w:fldCharType="end"/>
      </w:r>
    </w:p>
    <w:p w14:paraId="0F6F4D30">
      <w:pPr>
        <w:spacing w:line="500" w:lineRule="exact"/>
        <w:jc w:val="center"/>
        <w:rPr>
          <w:rFonts w:asciiTheme="minorEastAsia" w:hAnsiTheme="minorEastAsia" w:eastAsiaTheme="minorEastAsia"/>
          <w:b/>
          <w:bCs/>
          <w:color w:val="auto"/>
          <w:sz w:val="30"/>
          <w:szCs w:val="30"/>
          <w:highlight w:val="none"/>
        </w:rPr>
      </w:pPr>
    </w:p>
    <w:p w14:paraId="210649C7">
      <w:pPr>
        <w:spacing w:line="500" w:lineRule="exact"/>
        <w:ind w:left="-420" w:leftChars="-200" w:right="-197" w:rightChars="-94" w:firstLine="0" w:firstLineChars="0"/>
        <w:jc w:val="center"/>
        <w:rPr>
          <w:rFonts w:asciiTheme="minorEastAsia" w:hAnsiTheme="minorEastAsia" w:eastAsiaTheme="minorEastAsia"/>
          <w:b/>
          <w:color w:val="auto"/>
          <w:sz w:val="30"/>
          <w:szCs w:val="30"/>
          <w:highlight w:val="none"/>
          <w:u w:val="single"/>
        </w:rPr>
      </w:pPr>
      <w:r>
        <w:rPr>
          <w:rFonts w:hint="eastAsia" w:asciiTheme="minorEastAsia" w:hAnsiTheme="minorEastAsia" w:eastAsiaTheme="minorEastAsia"/>
          <w:b/>
          <w:bCs/>
          <w:color w:val="auto"/>
          <w:sz w:val="30"/>
          <w:szCs w:val="30"/>
          <w:highlight w:val="none"/>
        </w:rPr>
        <w:t>项目名称：</w:t>
      </w:r>
      <w:r>
        <w:rPr>
          <w:rFonts w:hint="eastAsia" w:asciiTheme="minorEastAsia" w:hAnsiTheme="minorEastAsia" w:eastAsiaTheme="minorEastAsia"/>
          <w:b/>
          <w:bCs/>
          <w:color w:val="auto"/>
          <w:sz w:val="30"/>
          <w:szCs w:val="30"/>
          <w:highlight w:val="none"/>
          <w:u w:val="single"/>
          <w:lang w:eastAsia="zh-CN"/>
        </w:rPr>
        <w:t>珠海高新技术产业开发区人民医院检验服务集约化保障项目</w:t>
      </w:r>
      <w:r>
        <w:rPr>
          <w:rFonts w:hint="eastAsia" w:asciiTheme="minorEastAsia" w:hAnsiTheme="minorEastAsia" w:eastAsiaTheme="minorEastAsia"/>
          <w:b/>
          <w:bCs/>
          <w:color w:val="auto"/>
          <w:sz w:val="30"/>
          <w:szCs w:val="30"/>
          <w:highlight w:val="none"/>
        </w:rPr>
        <w:fldChar w:fldCharType="begin"/>
      </w:r>
      <w:r>
        <w:rPr>
          <w:rFonts w:hint="eastAsia" w:asciiTheme="minorEastAsia" w:hAnsiTheme="minorEastAsia" w:eastAsiaTheme="minorEastAsia"/>
          <w:b/>
          <w:bCs/>
          <w:color w:val="auto"/>
          <w:sz w:val="30"/>
          <w:szCs w:val="30"/>
          <w:highlight w:val="none"/>
        </w:rPr>
        <w:instrText xml:space="preserve"> DOCVARIABLE  项目名称  \* MERGEFORMAT </w:instrText>
      </w:r>
      <w:r>
        <w:rPr>
          <w:rFonts w:hint="eastAsia" w:asciiTheme="minorEastAsia" w:hAnsiTheme="minorEastAsia" w:eastAsiaTheme="minorEastAsia"/>
          <w:b/>
          <w:bCs/>
          <w:color w:val="auto"/>
          <w:sz w:val="30"/>
          <w:szCs w:val="30"/>
          <w:highlight w:val="none"/>
        </w:rPr>
        <w:fldChar w:fldCharType="end"/>
      </w:r>
    </w:p>
    <w:p w14:paraId="11BBED79">
      <w:pPr>
        <w:spacing w:line="500" w:lineRule="exact"/>
        <w:jc w:val="center"/>
        <w:rPr>
          <w:rFonts w:asciiTheme="minorEastAsia" w:hAnsiTheme="minorEastAsia" w:eastAsiaTheme="minorEastAsia"/>
          <w:b/>
          <w:bCs/>
          <w:color w:val="auto"/>
          <w:sz w:val="28"/>
          <w:szCs w:val="28"/>
          <w:highlight w:val="none"/>
        </w:rPr>
      </w:pPr>
    </w:p>
    <w:p w14:paraId="5D7B66E2">
      <w:pPr>
        <w:spacing w:line="360" w:lineRule="auto"/>
        <w:rPr>
          <w:rFonts w:asciiTheme="minorEastAsia" w:hAnsiTheme="minorEastAsia" w:eastAsiaTheme="minorEastAsia"/>
          <w:b/>
          <w:color w:val="auto"/>
          <w:sz w:val="28"/>
          <w:szCs w:val="28"/>
          <w:highlight w:val="none"/>
        </w:rPr>
      </w:pPr>
    </w:p>
    <w:p w14:paraId="4B58179B">
      <w:pPr>
        <w:spacing w:line="360" w:lineRule="auto"/>
        <w:jc w:val="center"/>
        <w:rPr>
          <w:rFonts w:asciiTheme="minorEastAsia" w:hAnsiTheme="minorEastAsia" w:eastAsiaTheme="minorEastAsia"/>
          <w:b/>
          <w:bCs/>
          <w:color w:val="auto"/>
          <w:sz w:val="28"/>
          <w:szCs w:val="28"/>
          <w:highlight w:val="none"/>
        </w:rPr>
      </w:pPr>
    </w:p>
    <w:p w14:paraId="3FC6B3F3">
      <w:pPr>
        <w:spacing w:line="360" w:lineRule="auto"/>
        <w:jc w:val="center"/>
        <w:rPr>
          <w:rFonts w:asciiTheme="minorEastAsia" w:hAnsiTheme="minorEastAsia" w:eastAsiaTheme="minorEastAsia"/>
          <w:b/>
          <w:bCs/>
          <w:color w:val="auto"/>
          <w:sz w:val="28"/>
          <w:szCs w:val="28"/>
          <w:highlight w:val="none"/>
        </w:rPr>
      </w:pPr>
    </w:p>
    <w:p w14:paraId="03975D45">
      <w:pPr>
        <w:spacing w:line="360" w:lineRule="auto"/>
        <w:jc w:val="center"/>
        <w:rPr>
          <w:rFonts w:asciiTheme="minorEastAsia" w:hAnsiTheme="minorEastAsia" w:eastAsiaTheme="minorEastAsia"/>
          <w:b/>
          <w:bCs/>
          <w:color w:val="auto"/>
          <w:sz w:val="28"/>
          <w:szCs w:val="28"/>
          <w:highlight w:val="none"/>
        </w:rPr>
      </w:pPr>
    </w:p>
    <w:p w14:paraId="591EC566">
      <w:pPr>
        <w:spacing w:line="360" w:lineRule="auto"/>
        <w:jc w:val="left"/>
        <w:rPr>
          <w:rFonts w:ascii="宋体" w:hAnsi="宋体"/>
          <w:b/>
          <w:bCs/>
          <w:color w:val="auto"/>
          <w:sz w:val="30"/>
          <w:szCs w:val="30"/>
          <w:highlight w:val="none"/>
        </w:rPr>
      </w:pPr>
    </w:p>
    <w:p w14:paraId="67DB5FAC">
      <w:pPr>
        <w:widowControl/>
        <w:jc w:val="left"/>
        <w:rPr>
          <w:rFonts w:ascii="宋体" w:hAnsi="宋体" w:cs="阿里巴巴普惠体 Light"/>
          <w:b/>
          <w:bCs/>
          <w:color w:val="auto"/>
          <w:sz w:val="28"/>
          <w:szCs w:val="28"/>
          <w:highlight w:val="none"/>
        </w:rPr>
      </w:pPr>
      <w:r>
        <w:rPr>
          <w:rFonts w:ascii="宋体" w:hAnsi="宋体"/>
          <w:color w:val="auto"/>
          <w:highlight w:val="none"/>
        </w:rPr>
        <w:drawing>
          <wp:anchor distT="0" distB="0" distL="114935" distR="114935" simplePos="0" relativeHeight="251659264" behindDoc="0" locked="0" layoutInCell="1" allowOverlap="1">
            <wp:simplePos x="0" y="0"/>
            <wp:positionH relativeFrom="page">
              <wp:posOffset>2291715</wp:posOffset>
            </wp:positionH>
            <wp:positionV relativeFrom="paragraph">
              <wp:posOffset>53975</wp:posOffset>
            </wp:positionV>
            <wp:extent cx="676275" cy="6762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76275" cy="676275"/>
                    </a:xfrm>
                    <a:prstGeom prst="rect">
                      <a:avLst/>
                    </a:prstGeom>
                    <a:noFill/>
                    <a:ln>
                      <a:noFill/>
                    </a:ln>
                  </pic:spPr>
                </pic:pic>
              </a:graphicData>
            </a:graphic>
          </wp:anchor>
        </w:drawing>
      </w:r>
      <w:r>
        <w:rPr>
          <w:rFonts w:hint="eastAsia" w:ascii="宋体" w:hAnsi="宋体" w:cs="阿里巴巴普惠体 Light"/>
          <w:b/>
          <w:bCs/>
          <w:color w:val="auto"/>
          <w:sz w:val="28"/>
          <w:szCs w:val="28"/>
          <w:highlight w:val="none"/>
        </w:rPr>
        <w:t xml:space="preserve">                                         国义招标股份有限公司编制</w:t>
      </w:r>
    </w:p>
    <w:p w14:paraId="33AABB11">
      <w:pPr>
        <w:widowControl/>
        <w:jc w:val="left"/>
        <w:rPr>
          <w:rFonts w:ascii="宋体" w:hAnsi="宋体"/>
          <w:b/>
          <w:bCs/>
          <w:color w:val="auto"/>
          <w:szCs w:val="21"/>
          <w:highlight w:val="none"/>
        </w:rPr>
      </w:pPr>
      <w:r>
        <w:rPr>
          <w:rFonts w:hint="eastAsia" w:ascii="宋体" w:hAnsi="宋体" w:cs="阿里巴巴普惠体 Light"/>
          <w:b/>
          <w:bCs/>
          <w:color w:val="auto"/>
          <w:sz w:val="28"/>
          <w:szCs w:val="28"/>
          <w:highlight w:val="none"/>
        </w:rPr>
        <w:t xml:space="preserve">                                       发布日期：202</w:t>
      </w:r>
      <w:r>
        <w:rPr>
          <w:rFonts w:hint="eastAsia" w:ascii="宋体" w:hAnsi="宋体" w:cs="阿里巴巴普惠体 Light"/>
          <w:b/>
          <w:bCs/>
          <w:color w:val="auto"/>
          <w:sz w:val="28"/>
          <w:szCs w:val="28"/>
          <w:highlight w:val="none"/>
          <w:lang w:val="en-US" w:eastAsia="zh-CN"/>
        </w:rPr>
        <w:t>6</w:t>
      </w:r>
      <w:r>
        <w:rPr>
          <w:rFonts w:hint="eastAsia" w:ascii="宋体" w:hAnsi="宋体" w:cs="阿里巴巴普惠体 Light"/>
          <w:b/>
          <w:bCs/>
          <w:color w:val="auto"/>
          <w:sz w:val="28"/>
          <w:szCs w:val="28"/>
          <w:highlight w:val="none"/>
        </w:rPr>
        <w:t>年</w:t>
      </w:r>
      <w:r>
        <w:rPr>
          <w:rFonts w:hint="eastAsia" w:ascii="宋体" w:hAnsi="宋体" w:cs="阿里巴巴普惠体 Light"/>
          <w:b/>
          <w:bCs/>
          <w:color w:val="auto"/>
          <w:sz w:val="28"/>
          <w:szCs w:val="28"/>
          <w:highlight w:val="none"/>
          <w:lang w:val="en-US" w:eastAsia="zh-CN"/>
        </w:rPr>
        <w:t>04</w:t>
      </w:r>
      <w:r>
        <w:rPr>
          <w:rFonts w:hint="eastAsia" w:ascii="宋体" w:hAnsi="宋体" w:cs="阿里巴巴普惠体 Light"/>
          <w:b/>
          <w:bCs/>
          <w:color w:val="auto"/>
          <w:sz w:val="28"/>
          <w:szCs w:val="28"/>
          <w:highlight w:val="none"/>
        </w:rPr>
        <w:t>月</w:t>
      </w:r>
      <w:r>
        <w:rPr>
          <w:rFonts w:hint="eastAsia" w:ascii="宋体" w:hAnsi="宋体" w:cs="阿里巴巴普惠体 Light"/>
          <w:b/>
          <w:bCs/>
          <w:color w:val="auto"/>
          <w:sz w:val="28"/>
          <w:szCs w:val="28"/>
          <w:highlight w:val="none"/>
          <w:lang w:val="en-US" w:eastAsia="zh-CN"/>
        </w:rPr>
        <w:t>10</w:t>
      </w:r>
      <w:r>
        <w:rPr>
          <w:rFonts w:hint="eastAsia" w:ascii="宋体" w:hAnsi="宋体" w:cs="阿里巴巴普惠体 Light"/>
          <w:b/>
          <w:bCs/>
          <w:color w:val="auto"/>
          <w:sz w:val="28"/>
          <w:szCs w:val="28"/>
          <w:highlight w:val="none"/>
        </w:rPr>
        <w:t>日</w:t>
      </w:r>
    </w:p>
    <w:p w14:paraId="27E3F7AB">
      <w:pPr>
        <w:tabs>
          <w:tab w:val="left" w:pos="851"/>
        </w:tabs>
        <w:spacing w:line="360" w:lineRule="auto"/>
        <w:jc w:val="center"/>
        <w:rPr>
          <w:rFonts w:asciiTheme="minorEastAsia" w:hAnsiTheme="minorEastAsia" w:eastAsiaTheme="minorEastAsia"/>
          <w:b/>
          <w:color w:val="auto"/>
          <w:sz w:val="24"/>
          <w:highlight w:val="none"/>
        </w:rPr>
        <w:sectPr>
          <w:pgSz w:w="11906" w:h="16838"/>
          <w:pgMar w:top="1440" w:right="1083" w:bottom="1440" w:left="1083" w:header="0" w:footer="567" w:gutter="0"/>
          <w:cols w:space="0" w:num="1"/>
          <w:rtlGutter w:val="0"/>
          <w:docGrid w:linePitch="312" w:charSpace="0"/>
        </w:sectPr>
      </w:pPr>
    </w:p>
    <w:p w14:paraId="648B2042">
      <w:pPr>
        <w:tabs>
          <w:tab w:val="left" w:pos="851"/>
        </w:tabs>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温馨提示</w:t>
      </w:r>
    </w:p>
    <w:p w14:paraId="34B0187B">
      <w:pPr>
        <w:spacing w:line="360" w:lineRule="auto"/>
        <w:rPr>
          <w:rFonts w:asciiTheme="minorEastAsia" w:hAnsiTheme="minorEastAsia" w:eastAsiaTheme="minorEastAsia"/>
          <w:color w:val="auto"/>
          <w:szCs w:val="21"/>
          <w:highlight w:val="none"/>
        </w:rPr>
      </w:pPr>
    </w:p>
    <w:p w14:paraId="52266DA6">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如无另行说明，投标文件递交时间为</w:t>
      </w:r>
      <w:r>
        <w:rPr>
          <w:rFonts w:hint="eastAsia" w:asciiTheme="minorEastAsia" w:hAnsiTheme="minorEastAsia" w:eastAsiaTheme="minorEastAsia"/>
          <w:b/>
          <w:color w:val="auto"/>
          <w:szCs w:val="21"/>
          <w:highlight w:val="none"/>
          <w:u w:val="single"/>
        </w:rPr>
        <w:t>投标截止时间之前30分钟</w:t>
      </w:r>
      <w:r>
        <w:rPr>
          <w:rFonts w:hint="eastAsia" w:asciiTheme="minorEastAsia" w:hAnsiTheme="minorEastAsia" w:eastAsiaTheme="minorEastAsia"/>
          <w:color w:val="auto"/>
          <w:szCs w:val="21"/>
          <w:highlight w:val="none"/>
        </w:rPr>
        <w:t>内。</w:t>
      </w:r>
    </w:p>
    <w:p w14:paraId="52E819E1">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为避免因迟到而失去投标资格，请</w:t>
      </w:r>
      <w:r>
        <w:rPr>
          <w:rFonts w:hint="eastAsia" w:asciiTheme="minorEastAsia" w:hAnsiTheme="minorEastAsia" w:eastAsiaTheme="minorEastAsia"/>
          <w:b/>
          <w:color w:val="auto"/>
          <w:szCs w:val="21"/>
          <w:highlight w:val="none"/>
          <w:u w:val="single"/>
        </w:rPr>
        <w:t>适当提前到达</w:t>
      </w:r>
      <w:r>
        <w:rPr>
          <w:rFonts w:hint="eastAsia" w:asciiTheme="minorEastAsia" w:hAnsiTheme="minorEastAsia" w:eastAsiaTheme="minorEastAsia"/>
          <w:color w:val="auto"/>
          <w:szCs w:val="21"/>
          <w:highlight w:val="none"/>
        </w:rPr>
        <w:t>。</w:t>
      </w:r>
    </w:p>
    <w:p w14:paraId="2EB978D9">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投标文件应按顺序</w:t>
      </w:r>
      <w:r>
        <w:rPr>
          <w:rFonts w:hint="eastAsia" w:asciiTheme="minorEastAsia" w:hAnsiTheme="minorEastAsia" w:eastAsiaTheme="minorEastAsia"/>
          <w:b/>
          <w:color w:val="auto"/>
          <w:szCs w:val="21"/>
          <w:highlight w:val="none"/>
          <w:u w:val="single"/>
        </w:rPr>
        <w:t>编制页码</w:t>
      </w:r>
      <w:r>
        <w:rPr>
          <w:rFonts w:hint="eastAsia" w:asciiTheme="minorEastAsia" w:hAnsiTheme="minorEastAsia" w:eastAsiaTheme="minorEastAsia"/>
          <w:color w:val="auto"/>
          <w:szCs w:val="21"/>
          <w:highlight w:val="none"/>
        </w:rPr>
        <w:t>。</w:t>
      </w:r>
    </w:p>
    <w:p w14:paraId="65B6473E">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请仔细检查投标文件是否已按招标文件要求</w:t>
      </w:r>
      <w:r>
        <w:rPr>
          <w:rFonts w:hint="eastAsia" w:asciiTheme="minorEastAsia" w:hAnsiTheme="minorEastAsia" w:eastAsiaTheme="minorEastAsia"/>
          <w:b/>
          <w:color w:val="auto"/>
          <w:szCs w:val="21"/>
          <w:highlight w:val="none"/>
          <w:u w:val="single"/>
        </w:rPr>
        <w:t>盖章、签名及密封</w:t>
      </w:r>
      <w:r>
        <w:rPr>
          <w:rFonts w:hint="eastAsia" w:asciiTheme="minorEastAsia" w:hAnsiTheme="minorEastAsia" w:eastAsiaTheme="minorEastAsia"/>
          <w:color w:val="auto"/>
          <w:szCs w:val="21"/>
          <w:highlight w:val="none"/>
        </w:rPr>
        <w:t>。</w:t>
      </w:r>
    </w:p>
    <w:p w14:paraId="3E940B47">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《开标一览表》作为投标文件的必要文件，是投标文件的组成部分，请正确填写《开标一览表》，同时还应另附一份封装在单独的唱标信封当中，</w:t>
      </w:r>
      <w:r>
        <w:rPr>
          <w:rFonts w:hint="eastAsia" w:asciiTheme="minorEastAsia" w:hAnsiTheme="minorEastAsia" w:eastAsiaTheme="minorEastAsia"/>
          <w:b/>
          <w:color w:val="auto"/>
          <w:szCs w:val="21"/>
          <w:highlight w:val="none"/>
          <w:u w:val="single"/>
        </w:rPr>
        <w:t>多包项目请每包单独封装</w:t>
      </w:r>
      <w:r>
        <w:rPr>
          <w:rFonts w:hint="eastAsia" w:asciiTheme="minorEastAsia" w:hAnsiTheme="minorEastAsia" w:eastAsiaTheme="minorEastAsia"/>
          <w:color w:val="auto"/>
          <w:szCs w:val="21"/>
          <w:highlight w:val="none"/>
        </w:rPr>
        <w:t>，并请仔细检查包号，包号与包名称必须对应。</w:t>
      </w:r>
    </w:p>
    <w:p w14:paraId="60C99856">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招标项目内或所投包号内有多项设备或报价内容的，</w:t>
      </w:r>
      <w:r>
        <w:rPr>
          <w:rFonts w:hint="eastAsia" w:asciiTheme="minorEastAsia" w:hAnsiTheme="minorEastAsia" w:eastAsiaTheme="minorEastAsia"/>
          <w:b/>
          <w:color w:val="auto"/>
          <w:szCs w:val="21"/>
          <w:highlight w:val="none"/>
          <w:u w:val="single"/>
        </w:rPr>
        <w:t>应加总后报总价</w:t>
      </w:r>
      <w:r>
        <w:rPr>
          <w:rFonts w:hint="eastAsia" w:asciiTheme="minorEastAsia" w:hAnsiTheme="minorEastAsia" w:eastAsiaTheme="minorEastAsia"/>
          <w:color w:val="auto"/>
          <w:szCs w:val="21"/>
          <w:highlight w:val="none"/>
        </w:rPr>
        <w:t>。</w:t>
      </w:r>
    </w:p>
    <w:p w14:paraId="2D6139B8">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如投标人以非独立法人注册的分公司名义代表总公司盖章和签署文件的</w:t>
      </w:r>
      <w:r>
        <w:rPr>
          <w:rFonts w:hint="eastAsia" w:asciiTheme="minorEastAsia" w:hAnsiTheme="minorEastAsia" w:eastAsiaTheme="minorEastAsia"/>
          <w:color w:val="auto"/>
          <w:szCs w:val="21"/>
          <w:highlight w:val="none"/>
        </w:rPr>
        <w:t>，须提供总公司的营业执照副本复印件及总公司关于本项目投标的授权书原件。</w:t>
      </w:r>
    </w:p>
    <w:p w14:paraId="5DF68BE2">
      <w:pPr>
        <w:numPr>
          <w:ilvl w:val="0"/>
          <w:numId w:val="3"/>
        </w:numPr>
        <w:tabs>
          <w:tab w:val="left" w:pos="851"/>
        </w:tabs>
        <w:spacing w:line="360" w:lineRule="auto"/>
        <w:ind w:left="851" w:hanging="8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购买了招标文件的公司，请在投标截止时间前3日以书面形式通知采购代理机构是否参加投标。邮购文件的公司应提供快递地址以确保收到纸质的采购文件。</w:t>
      </w:r>
    </w:p>
    <w:p w14:paraId="3B6EEB5E">
      <w:pPr>
        <w:tabs>
          <w:tab w:val="left" w:pos="851"/>
        </w:tabs>
        <w:spacing w:line="360" w:lineRule="auto"/>
        <w:ind w:left="850" w:hanging="850" w:hangingChars="405"/>
        <w:rPr>
          <w:rFonts w:asciiTheme="minorEastAsia" w:hAnsiTheme="minorEastAsia" w:eastAsiaTheme="minorEastAsia"/>
          <w:color w:val="auto"/>
          <w:szCs w:val="21"/>
          <w:highlight w:val="none"/>
        </w:rPr>
      </w:pPr>
    </w:p>
    <w:p w14:paraId="1A5F7618">
      <w:pPr>
        <w:tabs>
          <w:tab w:val="left" w:pos="225"/>
        </w:tabs>
        <w:spacing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ab/>
      </w:r>
      <w:r>
        <w:rPr>
          <w:rFonts w:hint="eastAsia" w:asciiTheme="minorEastAsia" w:hAnsiTheme="minorEastAsia" w:eastAsiaTheme="minorEastAsia"/>
          <w:color w:val="auto"/>
          <w:szCs w:val="21"/>
          <w:highlight w:val="none"/>
        </w:rPr>
        <w:t>（以上提示内容仅作一般事项提醒，如与实际招标项目要求有不一致，以招标文件为准）</w:t>
      </w:r>
    </w:p>
    <w:p w14:paraId="00762B08">
      <w:pPr>
        <w:tabs>
          <w:tab w:val="left" w:pos="851"/>
        </w:tabs>
        <w:spacing w:line="360" w:lineRule="auto"/>
        <w:ind w:left="850" w:hanging="850" w:hangingChars="405"/>
        <w:rPr>
          <w:rFonts w:asciiTheme="minorEastAsia" w:hAnsiTheme="minorEastAsia" w:eastAsiaTheme="minorEastAsia"/>
          <w:color w:val="auto"/>
          <w:szCs w:val="21"/>
          <w:highlight w:val="none"/>
        </w:rPr>
      </w:pPr>
    </w:p>
    <w:p w14:paraId="3F88A430">
      <w:pPr>
        <w:tabs>
          <w:tab w:val="left" w:pos="851"/>
        </w:tabs>
        <w:spacing w:line="360" w:lineRule="auto"/>
        <w:ind w:left="850" w:hanging="850" w:hangingChars="405"/>
        <w:rPr>
          <w:rFonts w:asciiTheme="minorEastAsia" w:hAnsiTheme="minorEastAsia" w:eastAsiaTheme="minorEastAsia"/>
          <w:color w:val="auto"/>
          <w:szCs w:val="21"/>
          <w:highlight w:val="none"/>
        </w:rPr>
      </w:pPr>
    </w:p>
    <w:p w14:paraId="0CE158EE">
      <w:pPr>
        <w:rPr>
          <w:rFonts w:asciiTheme="minorEastAsia" w:hAnsiTheme="minorEastAsia" w:eastAsiaTheme="minorEastAsia"/>
          <w:color w:val="auto"/>
          <w:szCs w:val="21"/>
          <w:highlight w:val="none"/>
        </w:rPr>
      </w:pPr>
    </w:p>
    <w:p w14:paraId="0B064E83">
      <w:pPr>
        <w:rPr>
          <w:rFonts w:asciiTheme="minorEastAsia" w:hAnsiTheme="minorEastAsia" w:eastAsiaTheme="minorEastAsia"/>
          <w:color w:val="auto"/>
          <w:szCs w:val="21"/>
          <w:highlight w:val="none"/>
        </w:rPr>
      </w:pPr>
    </w:p>
    <w:p w14:paraId="4F907871">
      <w:pPr>
        <w:jc w:val="center"/>
        <w:rPr>
          <w:rFonts w:asciiTheme="minorEastAsia" w:hAnsiTheme="minorEastAsia" w:eastAsiaTheme="minorEastAsia"/>
          <w:b/>
          <w:color w:val="auto"/>
          <w:sz w:val="32"/>
          <w:szCs w:val="32"/>
          <w:highlight w:val="none"/>
        </w:rPr>
      </w:pPr>
    </w:p>
    <w:p w14:paraId="61C4B939">
      <w:pPr>
        <w:jc w:val="center"/>
        <w:rPr>
          <w:rFonts w:asciiTheme="minorEastAsia" w:hAnsiTheme="minorEastAsia" w:eastAsiaTheme="minorEastAsia"/>
          <w:b/>
          <w:color w:val="auto"/>
          <w:sz w:val="32"/>
          <w:szCs w:val="32"/>
          <w:highlight w:val="none"/>
        </w:rPr>
      </w:pPr>
    </w:p>
    <w:p w14:paraId="031AA4E4">
      <w:pPr>
        <w:jc w:val="center"/>
        <w:rPr>
          <w:rFonts w:asciiTheme="minorEastAsia" w:hAnsiTheme="minorEastAsia" w:eastAsiaTheme="minorEastAsia"/>
          <w:b/>
          <w:color w:val="auto"/>
          <w:sz w:val="32"/>
          <w:szCs w:val="32"/>
          <w:highlight w:val="none"/>
        </w:rPr>
        <w:sectPr>
          <w:footerReference r:id="rId3" w:type="default"/>
          <w:pgSz w:w="11906" w:h="16838"/>
          <w:pgMar w:top="1440" w:right="1083" w:bottom="1440" w:left="1083" w:header="0" w:footer="567" w:gutter="0"/>
          <w:pgNumType w:start="1"/>
          <w:cols w:space="0" w:num="1"/>
          <w:rtlGutter w:val="0"/>
          <w:docGrid w:linePitch="312" w:charSpace="0"/>
        </w:sectPr>
      </w:pPr>
    </w:p>
    <w:p w14:paraId="7DC8DDAB">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目      录</w:t>
      </w:r>
    </w:p>
    <w:p w14:paraId="26BBAED1">
      <w:pPr>
        <w:jc w:val="center"/>
        <w:rPr>
          <w:rFonts w:asciiTheme="minorEastAsia" w:hAnsiTheme="minorEastAsia" w:eastAsiaTheme="minorEastAsia"/>
          <w:b/>
          <w:color w:val="auto"/>
          <w:sz w:val="28"/>
          <w:szCs w:val="28"/>
          <w:highlight w:val="none"/>
        </w:rPr>
      </w:pPr>
    </w:p>
    <w:p w14:paraId="173A4836">
      <w:pPr>
        <w:spacing w:line="480" w:lineRule="auto"/>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第一部分  投标邀请函</w:t>
      </w:r>
    </w:p>
    <w:p w14:paraId="141875FC">
      <w:pPr>
        <w:spacing w:line="480" w:lineRule="auto"/>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第二部分  采购项目内容</w:t>
      </w:r>
    </w:p>
    <w:p w14:paraId="3E3CF84D">
      <w:pPr>
        <w:spacing w:line="480" w:lineRule="auto"/>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第三部分  投标人须知</w:t>
      </w:r>
    </w:p>
    <w:p w14:paraId="026990AD">
      <w:pPr>
        <w:spacing w:line="480" w:lineRule="auto"/>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第四部分  合同格式</w:t>
      </w:r>
    </w:p>
    <w:p w14:paraId="22E480B4">
      <w:pPr>
        <w:spacing w:line="480" w:lineRule="auto"/>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第五部分  投标文件格式</w:t>
      </w:r>
    </w:p>
    <w:p w14:paraId="3970B49A">
      <w:pPr>
        <w:spacing w:line="360" w:lineRule="auto"/>
        <w:ind w:firstLine="359" w:firstLineChars="171"/>
        <w:jc w:val="center"/>
        <w:rPr>
          <w:rFonts w:asciiTheme="minorEastAsia" w:hAnsiTheme="minorEastAsia" w:eastAsiaTheme="minorEastAsia"/>
          <w:color w:val="auto"/>
          <w:szCs w:val="21"/>
          <w:highlight w:val="none"/>
        </w:rPr>
      </w:pPr>
    </w:p>
    <w:p w14:paraId="65EAAC26">
      <w:pPr>
        <w:jc w:val="center"/>
        <w:rPr>
          <w:rFonts w:asciiTheme="minorEastAsia" w:hAnsiTheme="minorEastAsia" w:eastAsiaTheme="minorEastAsia"/>
          <w:b/>
          <w:color w:val="auto"/>
          <w:kern w:val="0"/>
          <w:sz w:val="28"/>
          <w:szCs w:val="28"/>
          <w:highlight w:val="none"/>
        </w:rPr>
        <w:sectPr>
          <w:footerReference r:id="rId4" w:type="default"/>
          <w:pgSz w:w="11906" w:h="16838"/>
          <w:pgMar w:top="1440" w:right="1083" w:bottom="1440" w:left="1083" w:header="0" w:footer="567" w:gutter="0"/>
          <w:pgNumType w:start="1"/>
          <w:cols w:space="0" w:num="1"/>
          <w:rtlGutter w:val="0"/>
          <w:docGrid w:linePitch="312" w:charSpace="0"/>
        </w:sectPr>
      </w:pPr>
    </w:p>
    <w:p w14:paraId="250136F9">
      <w:pPr>
        <w:jc w:val="center"/>
        <w:rPr>
          <w:rFonts w:asciiTheme="minorEastAsia" w:hAnsiTheme="minorEastAsia" w:eastAsiaTheme="minorEastAsia"/>
          <w:b/>
          <w:color w:val="auto"/>
          <w:kern w:val="0"/>
          <w:sz w:val="28"/>
          <w:szCs w:val="28"/>
          <w:highlight w:val="none"/>
        </w:rPr>
      </w:pPr>
      <w:r>
        <w:rPr>
          <w:rFonts w:hint="eastAsia" w:asciiTheme="minorEastAsia" w:hAnsiTheme="minorEastAsia" w:eastAsiaTheme="minorEastAsia"/>
          <w:b/>
          <w:color w:val="auto"/>
          <w:kern w:val="0"/>
          <w:sz w:val="28"/>
          <w:szCs w:val="28"/>
          <w:highlight w:val="none"/>
        </w:rPr>
        <w:t>第一部分 投标邀请函</w:t>
      </w:r>
    </w:p>
    <w:p w14:paraId="62FBC8CA">
      <w:pPr>
        <w:ind w:firstLine="359" w:firstLineChars="171"/>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各（潜在）投标人:</w:t>
      </w:r>
    </w:p>
    <w:p w14:paraId="292DCE93">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国义招标股份有限公司</w:t>
      </w:r>
      <w:r>
        <w:rPr>
          <w:rFonts w:hint="eastAsia" w:asciiTheme="minorEastAsia" w:hAnsiTheme="minorEastAsia" w:eastAsiaTheme="minorEastAsia"/>
          <w:color w:val="auto"/>
          <w:szCs w:val="21"/>
          <w:highlight w:val="none"/>
        </w:rPr>
        <w:t>受</w:t>
      </w:r>
      <w:r>
        <w:rPr>
          <w:rFonts w:hint="eastAsia" w:asciiTheme="minorEastAsia" w:hAnsiTheme="minorEastAsia" w:eastAsiaTheme="minorEastAsia"/>
          <w:color w:val="auto"/>
          <w:szCs w:val="21"/>
          <w:highlight w:val="none"/>
          <w:u w:val="single"/>
          <w:lang w:eastAsia="zh-CN"/>
        </w:rPr>
        <w:t>珠海高新技术产业开发区人民医院</w:t>
      </w:r>
      <w:r>
        <w:rPr>
          <w:rFonts w:hint="eastAsia" w:asciiTheme="minorEastAsia" w:hAnsiTheme="minorEastAsia" w:eastAsiaTheme="minorEastAsia"/>
          <w:color w:val="auto"/>
          <w:szCs w:val="21"/>
          <w:highlight w:val="none"/>
        </w:rPr>
        <w:t>的委托，对</w:t>
      </w:r>
      <w:r>
        <w:rPr>
          <w:rFonts w:hint="eastAsia" w:asciiTheme="minorEastAsia" w:hAnsiTheme="minorEastAsia" w:eastAsiaTheme="minorEastAsia"/>
          <w:color w:val="auto"/>
          <w:szCs w:val="21"/>
          <w:highlight w:val="none"/>
          <w:u w:val="single"/>
          <w:lang w:eastAsia="zh-CN"/>
        </w:rPr>
        <w:t>珠海高新技术产业开发区人民医院检验服务集约化保障项目</w:t>
      </w:r>
      <w:r>
        <w:rPr>
          <w:rFonts w:hint="eastAsia" w:asciiTheme="minorEastAsia" w:hAnsiTheme="minorEastAsia" w:eastAsiaTheme="minorEastAsia"/>
          <w:color w:val="auto"/>
          <w:szCs w:val="21"/>
          <w:highlight w:val="none"/>
        </w:rPr>
        <w:t>进行公开招标采购，</w:t>
      </w:r>
      <w:r>
        <w:rPr>
          <w:rFonts w:hint="eastAsia" w:asciiTheme="minorEastAsia" w:hAnsiTheme="minorEastAsia" w:eastAsiaTheme="minorEastAsia"/>
          <w:color w:val="auto"/>
          <w:szCs w:val="21"/>
          <w:highlight w:val="none"/>
          <w:lang w:val="zh-CN"/>
        </w:rPr>
        <w:t>欢迎符合资格条件</w:t>
      </w:r>
      <w:r>
        <w:rPr>
          <w:rFonts w:hint="eastAsia" w:asciiTheme="minorEastAsia" w:hAnsiTheme="minorEastAsia" w:eastAsiaTheme="minorEastAsia"/>
          <w:color w:val="auto"/>
          <w:szCs w:val="21"/>
          <w:highlight w:val="none"/>
        </w:rPr>
        <w:t>的投标人投标。现将该项目采购文件进行</w:t>
      </w:r>
      <w:r>
        <w:rPr>
          <w:rFonts w:asciiTheme="minorEastAsia" w:hAnsiTheme="minorEastAsia" w:eastAsiaTheme="minorEastAsia"/>
          <w:color w:val="auto"/>
          <w:szCs w:val="21"/>
          <w:highlight w:val="none"/>
        </w:rPr>
        <w:t>公告</w:t>
      </w:r>
      <w:r>
        <w:rPr>
          <w:rFonts w:hint="eastAsia" w:asciiTheme="minorEastAsia" w:hAnsiTheme="minorEastAsia" w:eastAsiaTheme="minorEastAsia"/>
          <w:color w:val="auto"/>
          <w:szCs w:val="21"/>
          <w:highlight w:val="none"/>
        </w:rPr>
        <w:t>，公告期限为五个工作日。项目采购内容如下：</w:t>
      </w:r>
    </w:p>
    <w:p w14:paraId="3698E0EE">
      <w:pPr>
        <w:autoSpaceDE w:val="0"/>
        <w:autoSpaceDN w:val="0"/>
        <w:ind w:firstLine="420" w:firstLineChars="200"/>
        <w:rPr>
          <w:rFonts w:asciiTheme="minorEastAsia" w:hAnsiTheme="minorEastAsia" w:eastAsiaTheme="minorEastAsia"/>
          <w:color w:val="auto"/>
          <w:szCs w:val="21"/>
          <w:highlight w:val="none"/>
          <w:u w:val="single"/>
          <w:lang w:val="zh-CN"/>
        </w:rPr>
      </w:pPr>
      <w:r>
        <w:rPr>
          <w:rFonts w:hint="eastAsia" w:asciiTheme="minorEastAsia" w:hAnsiTheme="minorEastAsia" w:eastAsiaTheme="minorEastAsia"/>
          <w:color w:val="auto"/>
          <w:szCs w:val="21"/>
          <w:highlight w:val="none"/>
          <w:lang w:val="zh-CN"/>
        </w:rPr>
        <w:t>一、项目编号：</w:t>
      </w:r>
      <w:r>
        <w:rPr>
          <w:rFonts w:hint="eastAsia" w:asciiTheme="minorEastAsia" w:hAnsiTheme="minorEastAsia" w:eastAsiaTheme="minorEastAsia"/>
          <w:color w:val="auto"/>
          <w:szCs w:val="21"/>
          <w:highlight w:val="none"/>
          <w:u w:val="single"/>
          <w:lang w:val="zh-CN"/>
        </w:rPr>
        <w:t>0724-2610ZH411952</w:t>
      </w:r>
    </w:p>
    <w:p w14:paraId="2792FCF4">
      <w:pPr>
        <w:autoSpaceDE w:val="0"/>
        <w:autoSpaceDN w:val="0"/>
        <w:ind w:firstLine="420" w:firstLineChars="200"/>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rPr>
        <w:t>二、采购项目名称：</w:t>
      </w:r>
      <w:r>
        <w:rPr>
          <w:rFonts w:hint="eastAsia" w:asciiTheme="minorEastAsia" w:hAnsiTheme="minorEastAsia" w:eastAsiaTheme="minorEastAsia"/>
          <w:color w:val="auto"/>
          <w:szCs w:val="21"/>
          <w:highlight w:val="none"/>
          <w:u w:val="single"/>
          <w:lang w:eastAsia="zh-CN"/>
        </w:rPr>
        <w:t>珠海高新技术产业开发区人民医院检验服务集约化保障项目</w:t>
      </w:r>
    </w:p>
    <w:p w14:paraId="16DC9021">
      <w:pPr>
        <w:autoSpaceDE w:val="0"/>
        <w:autoSpaceDN w:val="0"/>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en-US" w:eastAsia="zh-CN"/>
        </w:rPr>
        <w:t>三</w:t>
      </w:r>
      <w:r>
        <w:rPr>
          <w:rFonts w:hint="eastAsia" w:asciiTheme="minorEastAsia" w:hAnsiTheme="minorEastAsia" w:eastAsiaTheme="minorEastAsia"/>
          <w:color w:val="auto"/>
          <w:szCs w:val="21"/>
          <w:highlight w:val="none"/>
          <w:lang w:val="zh-CN"/>
        </w:rPr>
        <w:t>、项目标的及服务地点：</w:t>
      </w:r>
    </w:p>
    <w:p w14:paraId="238B2033">
      <w:pPr>
        <w:autoSpaceDE w:val="0"/>
        <w:autoSpaceDN w:val="0"/>
        <w:ind w:firstLine="420" w:firstLineChars="200"/>
        <w:rPr>
          <w:rFonts w:hint="eastAsia" w:ascii="宋体" w:hAnsi="宋体" w:eastAsia="宋体"/>
          <w:color w:val="auto"/>
          <w:szCs w:val="21"/>
          <w:highlight w:val="none"/>
          <w:lang w:val="zh-CN"/>
        </w:rPr>
      </w:pPr>
      <w:r>
        <w:rPr>
          <w:rFonts w:hint="eastAsia" w:ascii="宋体" w:hAnsi="宋体" w:eastAsia="宋体"/>
          <w:color w:val="auto"/>
          <w:szCs w:val="21"/>
          <w:highlight w:val="none"/>
          <w:lang w:val="zh-CN"/>
        </w:rPr>
        <w:t>1.项目内容及需求情况(采购项目技术规格、参数及要求)</w:t>
      </w:r>
    </w:p>
    <w:tbl>
      <w:tblPr>
        <w:tblStyle w:val="3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151"/>
        <w:gridCol w:w="878"/>
        <w:gridCol w:w="977"/>
        <w:gridCol w:w="977"/>
        <w:gridCol w:w="977"/>
      </w:tblGrid>
      <w:tr w14:paraId="6B469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7" w:type="dxa"/>
            <w:noWrap w:val="0"/>
            <w:vAlign w:val="center"/>
          </w:tcPr>
          <w:p w14:paraId="7C2FBDFE">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品目号</w:t>
            </w:r>
          </w:p>
        </w:tc>
        <w:tc>
          <w:tcPr>
            <w:tcW w:w="1368" w:type="dxa"/>
            <w:noWrap w:val="0"/>
            <w:vAlign w:val="center"/>
          </w:tcPr>
          <w:p w14:paraId="6D586782">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品目名称</w:t>
            </w:r>
          </w:p>
        </w:tc>
        <w:tc>
          <w:tcPr>
            <w:tcW w:w="2151" w:type="dxa"/>
            <w:noWrap w:val="0"/>
            <w:vAlign w:val="center"/>
          </w:tcPr>
          <w:p w14:paraId="0C341A3A">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采购标的</w:t>
            </w:r>
          </w:p>
        </w:tc>
        <w:tc>
          <w:tcPr>
            <w:tcW w:w="878" w:type="dxa"/>
            <w:noWrap w:val="0"/>
            <w:vAlign w:val="center"/>
          </w:tcPr>
          <w:p w14:paraId="13042B07">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6B075F21">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977" w:type="dxa"/>
            <w:noWrap w:val="0"/>
            <w:vAlign w:val="center"/>
          </w:tcPr>
          <w:p w14:paraId="49481D98">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技术规格、参数及要求</w:t>
            </w:r>
          </w:p>
        </w:tc>
        <w:tc>
          <w:tcPr>
            <w:tcW w:w="977" w:type="dxa"/>
            <w:noWrap w:val="0"/>
            <w:vAlign w:val="center"/>
          </w:tcPr>
          <w:p w14:paraId="41CE9C34">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p>
        </w:tc>
        <w:tc>
          <w:tcPr>
            <w:tcW w:w="977" w:type="dxa"/>
            <w:noWrap w:val="0"/>
            <w:vAlign w:val="center"/>
          </w:tcPr>
          <w:p w14:paraId="17313D43">
            <w:pPr>
              <w:pStyle w:val="136"/>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是否允许进口产品</w:t>
            </w:r>
          </w:p>
        </w:tc>
      </w:tr>
      <w:tr w14:paraId="2939C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7" w:type="dxa"/>
            <w:noWrap w:val="0"/>
            <w:vAlign w:val="center"/>
          </w:tcPr>
          <w:p w14:paraId="1B1E31CC">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68" w:type="dxa"/>
            <w:noWrap w:val="0"/>
            <w:vAlign w:val="center"/>
          </w:tcPr>
          <w:p w14:paraId="40E30AF1">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其他医疗卫生服务</w:t>
            </w:r>
          </w:p>
        </w:tc>
        <w:tc>
          <w:tcPr>
            <w:tcW w:w="2151" w:type="dxa"/>
            <w:noWrap w:val="0"/>
            <w:vAlign w:val="center"/>
          </w:tcPr>
          <w:p w14:paraId="2D9DC1D8">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检验服务集约化保障项目</w:t>
            </w:r>
          </w:p>
        </w:tc>
        <w:tc>
          <w:tcPr>
            <w:tcW w:w="878" w:type="dxa"/>
            <w:noWrap w:val="0"/>
            <w:vAlign w:val="center"/>
          </w:tcPr>
          <w:p w14:paraId="4012BC80">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w:t>
            </w:r>
          </w:p>
        </w:tc>
        <w:tc>
          <w:tcPr>
            <w:tcW w:w="977" w:type="dxa"/>
            <w:noWrap w:val="0"/>
            <w:vAlign w:val="center"/>
          </w:tcPr>
          <w:p w14:paraId="55BB0743">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详见第二</w:t>
            </w:r>
            <w:r>
              <w:rPr>
                <w:rFonts w:hint="eastAsia" w:ascii="宋体" w:hAnsi="宋体" w:eastAsia="宋体" w:cs="宋体"/>
                <w:color w:val="auto"/>
                <w:sz w:val="21"/>
                <w:szCs w:val="21"/>
                <w:highlight w:val="none"/>
                <w:lang w:val="en-US" w:eastAsia="zh-CN"/>
              </w:rPr>
              <w:t>部分</w:t>
            </w:r>
          </w:p>
        </w:tc>
        <w:tc>
          <w:tcPr>
            <w:tcW w:w="977" w:type="dxa"/>
            <w:noWrap w:val="0"/>
            <w:vAlign w:val="center"/>
          </w:tcPr>
          <w:p w14:paraId="72F8131C">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p>
        </w:tc>
        <w:tc>
          <w:tcPr>
            <w:tcW w:w="977" w:type="dxa"/>
            <w:noWrap w:val="0"/>
            <w:vAlign w:val="center"/>
          </w:tcPr>
          <w:p w14:paraId="71D659AA">
            <w:pPr>
              <w:pStyle w:val="136"/>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14:paraId="0C4C6E04">
      <w:pPr>
        <w:autoSpaceDE w:val="0"/>
        <w:autoSpaceDN w:val="0"/>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详细技术规范请参阅招标文件中的用户需求书。投标人必须对全部内容进行投标报价，如有缺漏，将导致投标无效。如超出本项目最高限价，将导致投标无效。</w:t>
      </w:r>
    </w:p>
    <w:p w14:paraId="11C979B9">
      <w:pPr>
        <w:autoSpaceDE w:val="0"/>
        <w:autoSpaceDN w:val="0"/>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2.服务期限：合同签订之日起至2027年10月30日。</w:t>
      </w:r>
    </w:p>
    <w:p w14:paraId="682C3759">
      <w:pPr>
        <w:autoSpaceDE w:val="0"/>
        <w:autoSpaceDN w:val="0"/>
        <w:ind w:firstLine="420" w:firstLineChars="200"/>
        <w:rPr>
          <w:rFonts w:hint="eastAsia" w:asciiTheme="minorEastAsia" w:hAnsiTheme="minorEastAsia" w:eastAsiaTheme="minorEastAsia"/>
          <w:color w:val="auto"/>
          <w:highlight w:val="none"/>
          <w:lang w:val="zh-CN"/>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zh-CN"/>
        </w:rPr>
        <w:t>服务地点：</w:t>
      </w:r>
      <w:r>
        <w:rPr>
          <w:rFonts w:hint="eastAsia" w:asciiTheme="minorEastAsia" w:hAnsiTheme="minorEastAsia" w:eastAsiaTheme="minorEastAsia"/>
          <w:color w:val="auto"/>
          <w:highlight w:val="none"/>
          <w:lang w:val="en-US" w:eastAsia="zh-CN"/>
        </w:rPr>
        <w:t>采购人指定地点</w:t>
      </w:r>
    </w:p>
    <w:p w14:paraId="45342628">
      <w:pPr>
        <w:autoSpaceDE w:val="0"/>
        <w:autoSpaceDN w:val="0"/>
        <w:ind w:firstLine="420" w:firstLineChars="200"/>
        <w:rPr>
          <w:rFonts w:cs="Arial"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lang w:val="en-US" w:eastAsia="zh-CN"/>
        </w:rPr>
        <w:t>四</w:t>
      </w:r>
      <w:r>
        <w:rPr>
          <w:rFonts w:hint="eastAsia" w:asciiTheme="minorEastAsia" w:hAnsiTheme="minorEastAsia" w:eastAsiaTheme="minorEastAsia"/>
          <w:color w:val="auto"/>
          <w:szCs w:val="21"/>
          <w:highlight w:val="none"/>
          <w:lang w:val="zh-CN"/>
        </w:rPr>
        <w:t>、投标人资格要求：</w:t>
      </w:r>
    </w:p>
    <w:p w14:paraId="54C0AE44">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1.投标人应具备《中华人民共和国政府采购法》第二十二条规定的条件，提供下列材料：</w:t>
      </w:r>
    </w:p>
    <w:p w14:paraId="7E68ADF5">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686C7276">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2）有依法缴纳税收和社会保障资金的良好记录：按附件格式在投标文件中提供《资格条件承诺函》。</w:t>
      </w:r>
    </w:p>
    <w:p w14:paraId="763F1A58">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3）具有良好的商业信誉和健全的财务会计制度：按附件格式在投标文件中提供《资格条件承诺函》。</w:t>
      </w:r>
    </w:p>
    <w:p w14:paraId="0BF60468">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4）履行合同所必需的设备和专业技术能力：按附件格式在投标文件中提供《资格条件承诺函》。</w:t>
      </w:r>
    </w:p>
    <w:p w14:paraId="1AE4F799">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p w14:paraId="22AD4350">
      <w:pPr>
        <w:autoSpaceDE w:val="0"/>
        <w:autoSpaceDN w:val="0"/>
        <w:spacing w:line="36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本项目属于</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lang w:eastAsia="zh-CN"/>
        </w:rPr>
        <w:t>专门面向中小微企业采购的项目。（中小企业划型行业为：“其他未列明行业”）</w:t>
      </w:r>
    </w:p>
    <w:p w14:paraId="1E56D869">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01E709E2">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未被列入“信用中国”网站(www.creditchina.gov.cn)中的“失信被执行人”或“重大税收违法案件当事人名单（即税收违法黑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4B14AC4C">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（2）单位负责人为同一人或者存在直接控股、管理关系的不同供应商，不得参加同一包号投标或者未划分包号的同一招标项目投标。 (投标人出具投标函)</w:t>
      </w:r>
    </w:p>
    <w:p w14:paraId="7515E545">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（3）为采购项目提供整体设计、规范编制或者项目管理、监理、检测等服务的供应商，不得再参加该采购项目的其他采购活动。(投标人出具投标函) </w:t>
      </w:r>
    </w:p>
    <w:p w14:paraId="41830B50">
      <w:pPr>
        <w:autoSpaceDE w:val="0"/>
        <w:autoSpaceDN w:val="0"/>
        <w:spacing w:line="3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）具有医疗器械经营许可证或医疗器械经营备案凭证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投标文件中</w:t>
      </w:r>
      <w:r>
        <w:rPr>
          <w:rFonts w:hint="eastAsia" w:ascii="宋体" w:hAnsi="宋体" w:eastAsia="宋体" w:cs="宋体"/>
          <w:color w:val="auto"/>
          <w:sz w:val="21"/>
          <w:szCs w:val="21"/>
          <w:highlight w:val="none"/>
          <w:lang w:val="en-US" w:eastAsia="zh-CN"/>
        </w:rPr>
        <w:t>提供证书复印件）</w:t>
      </w:r>
    </w:p>
    <w:p w14:paraId="63EB4708">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4.已领购本次采购文件。(具体方式详见本项目公告)</w:t>
      </w:r>
    </w:p>
    <w:p w14:paraId="2B783CFA">
      <w:pPr>
        <w:ind w:firstLine="441" w:firstLineChars="210"/>
        <w:rPr>
          <w:rFonts w:ascii="宋体" w:hAnsi="宋体" w:cs="宋体"/>
          <w:color w:val="auto"/>
          <w:szCs w:val="21"/>
          <w:highlight w:val="none"/>
          <w:lang w:val="zh-CN"/>
        </w:rPr>
      </w:pPr>
      <w:r>
        <w:rPr>
          <w:rFonts w:hint="eastAsia" w:ascii="宋体" w:hAnsi="宋体" w:cs="宋体"/>
          <w:color w:val="auto"/>
          <w:szCs w:val="21"/>
          <w:highlight w:val="none"/>
          <w:lang w:val="zh-CN"/>
        </w:rPr>
        <w:t>5.本项目不接受联合体投标。</w:t>
      </w:r>
    </w:p>
    <w:p w14:paraId="629EB4BE">
      <w:pPr>
        <w:ind w:firstLine="441" w:firstLineChars="21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五</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符合资格的投标人应当在</w:t>
      </w:r>
      <w:r>
        <w:rPr>
          <w:rFonts w:hint="eastAsia" w:cs="宋体" w:asciiTheme="minorEastAsia" w:hAnsiTheme="minorEastAsia" w:eastAsiaTheme="minorEastAsia"/>
          <w:b/>
          <w:bCs/>
          <w:color w:val="auto"/>
          <w:szCs w:val="21"/>
          <w:highlight w:val="none"/>
        </w:rPr>
        <w:t>2026年04月10日</w:t>
      </w:r>
      <w:r>
        <w:rPr>
          <w:rFonts w:hint="eastAsia" w:asciiTheme="minorEastAsia" w:hAnsiTheme="minorEastAsia" w:eastAsiaTheme="minorEastAsia"/>
          <w:b/>
          <w:color w:val="auto"/>
          <w:szCs w:val="21"/>
          <w:highlight w:val="none"/>
        </w:rPr>
        <w:t>上午9:00</w:t>
      </w:r>
      <w:r>
        <w:rPr>
          <w:rFonts w:hint="eastAsia" w:cs="宋体" w:asciiTheme="minorEastAsia" w:hAnsiTheme="minorEastAsia" w:eastAsiaTheme="minorEastAsia"/>
          <w:b/>
          <w:bCs/>
          <w:color w:val="auto"/>
          <w:szCs w:val="21"/>
          <w:highlight w:val="none"/>
        </w:rPr>
        <w:t>至2026年04月17日</w:t>
      </w:r>
      <w:r>
        <w:rPr>
          <w:rFonts w:hint="eastAsia" w:asciiTheme="minorEastAsia" w:hAnsiTheme="minorEastAsia" w:eastAsiaTheme="minorEastAsia"/>
          <w:b/>
          <w:color w:val="auto"/>
          <w:szCs w:val="21"/>
          <w:highlight w:val="none"/>
        </w:rPr>
        <w:t>下午17:30</w:t>
      </w:r>
      <w:r>
        <w:rPr>
          <w:rFonts w:hint="eastAsia" w:cs="宋体" w:asciiTheme="minorEastAsia" w:hAnsiTheme="minorEastAsia" w:eastAsiaTheme="minorEastAsia"/>
          <w:b/>
          <w:color w:val="auto"/>
          <w:szCs w:val="21"/>
          <w:highlight w:val="none"/>
        </w:rPr>
        <w:t>（北京时间）</w:t>
      </w:r>
      <w:r>
        <w:rPr>
          <w:rFonts w:hint="eastAsia" w:cs="宋体" w:asciiTheme="minorEastAsia" w:hAnsiTheme="minorEastAsia" w:eastAsiaTheme="minorEastAsia"/>
          <w:color w:val="auto"/>
          <w:szCs w:val="21"/>
          <w:highlight w:val="none"/>
        </w:rPr>
        <w:t>购买招标文件，本招标文件每套售价为人民币300.00元，售后不退。</w:t>
      </w:r>
    </w:p>
    <w:p w14:paraId="47A9A65F">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注：1、</w:t>
      </w:r>
      <w:r>
        <w:rPr>
          <w:rFonts w:hint="eastAsia" w:ascii="宋体" w:hAnsi="宋体" w:eastAsia="宋体" w:cs="宋体"/>
          <w:b/>
          <w:bCs/>
          <w:color w:val="auto"/>
          <w:kern w:val="2"/>
          <w:sz w:val="21"/>
          <w:szCs w:val="21"/>
          <w:highlight w:val="none"/>
          <w:lang w:val="en-US" w:eastAsia="zh-CN" w:bidi="ar"/>
        </w:rPr>
        <w:t>国e平台的域名及登录方法</w:t>
      </w:r>
    </w:p>
    <w:p w14:paraId="6E8BA3A7">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本项目在国义招标采购平台（以下简称“国e平台”，网址：new.ebidding.com）进行招标文件线上售卖（建议使用“QQ（http://browser.qq.com/）、搜狗（https://ie.sogou.com/）”浏览器。</w:t>
      </w:r>
    </w:p>
    <w:p w14:paraId="4F4771B9">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b/>
          <w:bCs/>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CN" w:bidi="ar"/>
        </w:rPr>
        <w:t>新投标人的注册方法</w:t>
      </w:r>
    </w:p>
    <w:p w14:paraId="379D8D34">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参加投标的单位须在购买招标文件前前往国e平台网页进行注册（注册时须在平台上传原件扫描件，或加盖单位公章的营业执照以及银行基本账户开户许可证或基本存款账户信息扫描件）。</w:t>
      </w:r>
    </w:p>
    <w:p w14:paraId="41B1C2F2">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招标文件的购买方法</w:t>
      </w:r>
    </w:p>
    <w:p w14:paraId="40B660CC">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招标文件由招标代理机构发售，请投标人代表购买招标文件。</w:t>
      </w:r>
    </w:p>
    <w:p w14:paraId="509FA048">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有兴趣参加本项目的单位：</w:t>
      </w:r>
    </w:p>
    <w:p w14:paraId="727B7D74">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（1）首先在国e平台完成注册以及注册审批手续；</w:t>
      </w:r>
    </w:p>
    <w:p w14:paraId="75360F0D">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（2）在上一步操作完成后，按照第（4）点所述方式购买招标文件；</w:t>
      </w:r>
    </w:p>
    <w:p w14:paraId="783F59A7">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（3）招标文件售价：每套为300元人民币，售后不退；提醒：无论招标文件是否收费，投标人请务必在招标文件发售截止时间前登录国e平台，完成招标文件购买及下载操作；否则将无法正常投标。</w:t>
      </w:r>
    </w:p>
    <w:p w14:paraId="0CACCAFA">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（4）招标文件购买方式：</w:t>
      </w:r>
    </w:p>
    <w:p w14:paraId="134E1D3F">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投标人可在国e平台注册审批通过后</w:t>
      </w:r>
      <w:r>
        <w:rPr>
          <w:rFonts w:hint="eastAsia" w:ascii="宋体" w:hAnsi="宋体" w:cs="宋体"/>
          <w:color w:val="auto"/>
          <w:kern w:val="2"/>
          <w:sz w:val="21"/>
          <w:szCs w:val="21"/>
          <w:highlight w:val="none"/>
          <w:lang w:val="en-US" w:eastAsia="zh-CN" w:bidi="ar"/>
        </w:rPr>
        <w:t>登录</w:t>
      </w:r>
      <w:r>
        <w:rPr>
          <w:rFonts w:hint="eastAsia" w:ascii="宋体" w:hAnsi="宋体" w:eastAsia="宋体" w:cs="宋体"/>
          <w:color w:val="auto"/>
          <w:kern w:val="2"/>
          <w:sz w:val="21"/>
          <w:szCs w:val="21"/>
          <w:highlight w:val="none"/>
          <w:lang w:val="en-US" w:eastAsia="zh-CN" w:bidi="ar"/>
        </w:rPr>
        <w:t>系统购买本项目招标文件，具体步骤如下：</w:t>
      </w:r>
    </w:p>
    <w:p w14:paraId="61D074FD">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登录</w:t>
      </w:r>
      <w:r>
        <w:rPr>
          <w:rFonts w:hint="eastAsia" w:ascii="宋体" w:hAnsi="宋体" w:eastAsia="宋体" w:cs="宋体"/>
          <w:color w:val="auto"/>
          <w:kern w:val="2"/>
          <w:sz w:val="21"/>
          <w:szCs w:val="21"/>
          <w:highlight w:val="none"/>
          <w:lang w:val="en-US" w:eastAsia="zh-CN" w:bidi="ar"/>
        </w:rPr>
        <w:t>后选择“项目管理”-“我要参与”，选择对应项目并点击“立即参与”-“购买文件”；</w:t>
      </w:r>
    </w:p>
    <w:p w14:paraId="2DC03AB5">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2）根据实际情况，填写具体信息，通过聚合支付（微信、支付宝、银联）的方式完成购买手续，文件售后概不退换。</w:t>
      </w:r>
    </w:p>
    <w:p w14:paraId="61554232">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zh-CN" w:eastAsia="zh-CN"/>
        </w:rPr>
      </w:pPr>
      <w:r>
        <w:rPr>
          <w:rFonts w:hint="eastAsia" w:ascii="宋体" w:hAnsi="宋体" w:eastAsia="宋体" w:cs="宋体"/>
          <w:color w:val="auto"/>
          <w:kern w:val="2"/>
          <w:sz w:val="21"/>
          <w:szCs w:val="21"/>
          <w:highlight w:val="none"/>
          <w:lang w:val="zh-CN" w:eastAsia="zh-CN" w:bidi="ar"/>
        </w:rPr>
        <w:t>4、国e平台操作咨询联系人：叶小姐020-37860671，李先生020-37860665，李小姐020-37860669。</w:t>
      </w:r>
    </w:p>
    <w:p w14:paraId="0105F780">
      <w:pPr>
        <w:keepNext w:val="0"/>
        <w:keepLines w:val="0"/>
        <w:widowControl w:val="0"/>
        <w:suppressLineNumbers w:val="0"/>
        <w:spacing w:before="0" w:beforeAutospacing="0" w:after="0" w:afterAutospacing="0" w:line="360" w:lineRule="exact"/>
        <w:ind w:left="0" w:right="0" w:firstLine="441" w:firstLineChars="21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5、本项目招标公告发布网站：中国招标投标公共服务平台（www.cebpubservice.com）、国e平台（new.ebidding.com）。</w:t>
      </w:r>
    </w:p>
    <w:p w14:paraId="593893F6">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六</w:t>
      </w:r>
      <w:r>
        <w:rPr>
          <w:rFonts w:hint="eastAsia" w:asciiTheme="minorEastAsia" w:hAnsiTheme="minorEastAsia" w:eastAsiaTheme="minorEastAsia"/>
          <w:color w:val="auto"/>
          <w:szCs w:val="21"/>
          <w:highlight w:val="none"/>
        </w:rPr>
        <w:t>、投标截止时间（北京时间）：2026年05月06日上午09时30分00秒(注：09时00分开始受理投标文件)</w:t>
      </w:r>
    </w:p>
    <w:p w14:paraId="6003AEAE">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七</w:t>
      </w:r>
      <w:r>
        <w:rPr>
          <w:rFonts w:hint="eastAsia" w:asciiTheme="minorEastAsia" w:hAnsiTheme="minorEastAsia" w:eastAsiaTheme="minorEastAsia"/>
          <w:color w:val="auto"/>
          <w:szCs w:val="21"/>
          <w:highlight w:val="none"/>
        </w:rPr>
        <w:t>、投标文件送达地点(投标地址)：</w:t>
      </w:r>
      <w:r>
        <w:rPr>
          <w:rFonts w:hint="eastAsia" w:asciiTheme="minorEastAsia" w:hAnsiTheme="minorEastAsia" w:eastAsiaTheme="minorEastAsia"/>
          <w:color w:val="auto"/>
          <w:szCs w:val="21"/>
          <w:highlight w:val="none"/>
          <w:u w:val="single"/>
        </w:rPr>
        <w:t>珠海市香洲区凤凰北路2099号安广世纪大厦1402会议室</w:t>
      </w:r>
      <w:r>
        <w:rPr>
          <w:rFonts w:hint="eastAsia" w:asciiTheme="minorEastAsia" w:hAnsiTheme="minorEastAsia" w:eastAsiaTheme="minorEastAsia"/>
          <w:color w:val="auto"/>
          <w:szCs w:val="21"/>
          <w:highlight w:val="none"/>
        </w:rPr>
        <w:t>（投标文件应由投标人授权代表亲自送达投标地址，采购代理机构将不接受其它形式递交的投标文件）</w:t>
      </w:r>
    </w:p>
    <w:p w14:paraId="0A03E157">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八</w:t>
      </w:r>
      <w:r>
        <w:rPr>
          <w:rFonts w:hint="eastAsia" w:asciiTheme="minorEastAsia" w:hAnsiTheme="minorEastAsia" w:eastAsiaTheme="minorEastAsia"/>
          <w:color w:val="auto"/>
          <w:szCs w:val="21"/>
          <w:highlight w:val="none"/>
        </w:rPr>
        <w:t>、开标时间（北京时间）：2026年05月06日上午09时30分00秒</w:t>
      </w:r>
    </w:p>
    <w:p w14:paraId="52A1D8A2">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九</w:t>
      </w:r>
      <w:r>
        <w:rPr>
          <w:rFonts w:hint="eastAsia" w:asciiTheme="minorEastAsia" w:hAnsiTheme="minorEastAsia" w:eastAsiaTheme="minorEastAsia"/>
          <w:color w:val="auto"/>
          <w:szCs w:val="21"/>
          <w:highlight w:val="none"/>
        </w:rPr>
        <w:t>、开标地点：</w:t>
      </w:r>
      <w:r>
        <w:rPr>
          <w:rFonts w:hint="eastAsia" w:asciiTheme="minorEastAsia" w:hAnsiTheme="minorEastAsia" w:eastAsiaTheme="minorEastAsia"/>
          <w:color w:val="auto"/>
          <w:szCs w:val="21"/>
          <w:highlight w:val="none"/>
          <w:u w:val="single"/>
        </w:rPr>
        <w:t>珠海市香洲区凤凰北路2099号安广世纪大厦1402会议室</w:t>
      </w:r>
    </w:p>
    <w:p w14:paraId="5E56B04E">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十、采购人及采购代理机构的联系方式：</w:t>
      </w:r>
    </w:p>
    <w:p w14:paraId="7C282B96">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采购代理机构名称：国义招标股份有限公司</w:t>
      </w:r>
    </w:p>
    <w:p w14:paraId="57AA63E9">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    址：广州市东风东路726号18楼（邮编：510080）</w:t>
      </w:r>
    </w:p>
    <w:p w14:paraId="5BA187AD">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分支机构：国义招标股份有限公司</w:t>
      </w:r>
      <w:r>
        <w:rPr>
          <w:rFonts w:hint="eastAsia" w:asciiTheme="minorEastAsia" w:hAnsiTheme="minorEastAsia" w:eastAsiaTheme="minorEastAsia"/>
          <w:color w:val="auto"/>
          <w:szCs w:val="21"/>
          <w:highlight w:val="none"/>
          <w:lang w:val="en-US" w:eastAsia="zh-CN"/>
        </w:rPr>
        <w:t>珠海分公司</w:t>
      </w:r>
      <w:bookmarkStart w:id="143" w:name="_GoBack"/>
      <w:bookmarkEnd w:id="143"/>
    </w:p>
    <w:p w14:paraId="5A1A3605">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    址：珠海市香洲区凤凰北路2099号安广世纪大厦1402至1403室（邮编：519000）</w:t>
      </w:r>
    </w:p>
    <w:p w14:paraId="53794439">
      <w:pPr>
        <w:ind w:firstLine="441" w:firstLineChars="21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采购代理机构联系人：郑双茵、余力、陈敏娜、邓锦英</w:t>
      </w:r>
    </w:p>
    <w:p w14:paraId="6B4AA35B">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电话：0756-2620022、2620024</w:t>
      </w:r>
    </w:p>
    <w:p w14:paraId="6FA1AF31">
      <w:pPr>
        <w:ind w:left="6569" w:leftChars="228" w:hanging="6090" w:hangingChars="29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传真：0756-2620024 </w:t>
      </w:r>
    </w:p>
    <w:p w14:paraId="2491BD08">
      <w:pPr>
        <w:ind w:left="6569" w:leftChars="228" w:hanging="6090" w:hangingChars="29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采购人联系人：胡老师 王老师</w:t>
      </w:r>
    </w:p>
    <w:p w14:paraId="38065456">
      <w:pPr>
        <w:ind w:left="6569" w:leftChars="228" w:hanging="6090" w:hangingChars="2900"/>
        <w:rPr>
          <w:rFonts w:hint="default" w:eastAsia="宋体" w:asciiTheme="minorEastAsia" w:hAnsiTheme="minorEastAsia"/>
          <w:color w:val="auto"/>
          <w:szCs w:val="21"/>
          <w:highlight w:val="none"/>
          <w:lang w:val="en-US" w:eastAsia="zh-CN"/>
        </w:rPr>
      </w:pPr>
      <w:r>
        <w:rPr>
          <w:rFonts w:hint="eastAsia" w:asciiTheme="minorEastAsia" w:hAnsiTheme="minorEastAsia" w:eastAsiaTheme="minorEastAsia"/>
          <w:color w:val="auto"/>
          <w:szCs w:val="21"/>
          <w:highlight w:val="none"/>
        </w:rPr>
        <w:t>电话：</w:t>
      </w:r>
      <w:r>
        <w:rPr>
          <w:rFonts w:hint="eastAsia"/>
          <w:color w:val="auto"/>
          <w:highlight w:val="none"/>
          <w:lang w:val="en-US" w:eastAsia="zh-CN"/>
        </w:rPr>
        <w:t>0756-3389465</w:t>
      </w:r>
    </w:p>
    <w:p w14:paraId="24E2A5C3">
      <w:pPr>
        <w:ind w:left="6569" w:leftChars="228" w:hanging="6090" w:hangingChars="29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联系地址：广东省珠海市香洲区唐家湾镇金峰中路232号</w:t>
      </w:r>
    </w:p>
    <w:p w14:paraId="2CF84161">
      <w:pPr>
        <w:ind w:left="6569" w:leftChars="228" w:hanging="6090" w:hangingChars="290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邮编：5190</w:t>
      </w:r>
      <w:r>
        <w:rPr>
          <w:rFonts w:hint="eastAsia" w:asciiTheme="minorEastAsia" w:hAnsiTheme="minorEastAsia" w:eastAsiaTheme="minorEastAsia"/>
          <w:color w:val="auto"/>
          <w:szCs w:val="21"/>
          <w:highlight w:val="none"/>
          <w:lang w:val="en-US" w:eastAsia="zh-CN"/>
        </w:rPr>
        <w:t>00</w:t>
      </w:r>
    </w:p>
    <w:p w14:paraId="11A9D315">
      <w:pPr>
        <w:ind w:left="6569" w:leftChars="228" w:hanging="6090" w:hangingChars="2900"/>
        <w:rPr>
          <w:rFonts w:asciiTheme="minorEastAsia" w:hAnsiTheme="minorEastAsia" w:eastAsiaTheme="minorEastAsia"/>
          <w:color w:val="auto"/>
          <w:szCs w:val="21"/>
          <w:highlight w:val="none"/>
          <w:lang w:val="zh-CN"/>
        </w:rPr>
      </w:pPr>
    </w:p>
    <w:p w14:paraId="235802D7">
      <w:pPr>
        <w:ind w:firstLine="48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银行及账户信息：</w:t>
      </w:r>
    </w:p>
    <w:p w14:paraId="04BABBEF">
      <w:pPr>
        <w:ind w:firstLine="48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（1）中标服务费缴费账户：</w:t>
      </w:r>
    </w:p>
    <w:p w14:paraId="340774DE">
      <w:pPr>
        <w:ind w:firstLine="48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收款人：国义招标股份有限公司</w:t>
      </w:r>
      <w:r>
        <w:rPr>
          <w:rFonts w:hint="eastAsia" w:asciiTheme="minorEastAsia" w:hAnsiTheme="minorEastAsia" w:eastAsiaTheme="minorEastAsia"/>
          <w:color w:val="auto"/>
          <w:szCs w:val="21"/>
          <w:highlight w:val="none"/>
          <w:lang w:val="en-US" w:eastAsia="zh-CN"/>
        </w:rPr>
        <w:t>珠海分公司</w:t>
      </w:r>
    </w:p>
    <w:p w14:paraId="359210C0">
      <w:pPr>
        <w:ind w:firstLine="48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开户银行：招商银行股份有限公司珠海分行</w:t>
      </w:r>
    </w:p>
    <w:p w14:paraId="6102753E">
      <w:pPr>
        <w:ind w:firstLine="48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银行账号：656900277410108</w:t>
      </w:r>
    </w:p>
    <w:p w14:paraId="34A1ECB2">
      <w:pPr>
        <w:ind w:firstLine="3255" w:firstLineChars="1550"/>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国义招标股份有限公司</w:t>
      </w:r>
    </w:p>
    <w:p w14:paraId="6B1775AB">
      <w:pPr>
        <w:wordWrap w:val="0"/>
        <w:ind w:firstLine="2940" w:firstLineChars="1400"/>
        <w:jc w:val="righ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04</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日</w:t>
      </w:r>
    </w:p>
    <w:p w14:paraId="0C475D17">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 w:val="28"/>
          <w:szCs w:val="28"/>
          <w:highlight w:val="none"/>
        </w:rPr>
        <w:t>第二部分　采购项目内容</w:t>
      </w:r>
    </w:p>
    <w:p w14:paraId="53EC94B7">
      <w:pPr>
        <w:autoSpaceDE w:val="0"/>
        <w:autoSpaceDN w:val="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〈一〉、投标人资格要求：</w:t>
      </w:r>
    </w:p>
    <w:p w14:paraId="38EF0623">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1.投标人应具备《中华人民共和国政府采购法》第二十二条规定的条件，提供下列材料：</w:t>
      </w:r>
    </w:p>
    <w:p w14:paraId="487B6DB6">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017A0374">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2）有依法缴纳税收和社会保障资金的良好记录：按附件格式在投标文件中提供《资格条件承诺函》。</w:t>
      </w:r>
    </w:p>
    <w:p w14:paraId="4B47E508">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3）具有良好的商业信誉和健全的财务会计制度：按附件格式在投标文件中提供《资格条件承诺函》。</w:t>
      </w:r>
    </w:p>
    <w:p w14:paraId="0BBBBE3C">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4）履行合同所必需的设备和专业技术能力：按附件格式在投标文件中提供《资格条件承诺函》。</w:t>
      </w:r>
    </w:p>
    <w:p w14:paraId="54501478">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p w14:paraId="14A55830">
      <w:pPr>
        <w:autoSpaceDE w:val="0"/>
        <w:autoSpaceDN w:val="0"/>
        <w:spacing w:line="36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本项目属于</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lang w:eastAsia="zh-CN"/>
        </w:rPr>
        <w:t>专门面向中小微企业采购的项目。（中小企业划型行业为：“其他未列明行业”）</w:t>
      </w:r>
    </w:p>
    <w:p w14:paraId="00E59A4B">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067336B8">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未被列入“信用中国”网站(www.creditchina.gov.cn)中的“失信被执行人”或“重大税收违法案件当事人名单（即税收违法黑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6C426B0F">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（2）单位负责人为同一人或者存在直接控股、管理关系的不同供应商，不得参加同一包号投标或者未划分包号的同一招标项目投标。 (投标人出具投标函)</w:t>
      </w:r>
    </w:p>
    <w:p w14:paraId="2911749C">
      <w:pPr>
        <w:autoSpaceDE w:val="0"/>
        <w:autoSpaceDN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（3）为采购项目提供整体设计、规范编制或者项目管理、监理、检测等服务的供应商，不得再参加该采购项目的其他采购活动。(投标人出具投标函) </w:t>
      </w:r>
    </w:p>
    <w:p w14:paraId="43E086BB">
      <w:pPr>
        <w:autoSpaceDE w:val="0"/>
        <w:autoSpaceDN w:val="0"/>
        <w:spacing w:line="3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）具有医疗器械经营许可证或医疗器械经营备案凭证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投标文件中</w:t>
      </w:r>
      <w:r>
        <w:rPr>
          <w:rFonts w:hint="eastAsia" w:ascii="宋体" w:hAnsi="宋体" w:eastAsia="宋体" w:cs="宋体"/>
          <w:color w:val="auto"/>
          <w:sz w:val="21"/>
          <w:szCs w:val="21"/>
          <w:highlight w:val="none"/>
          <w:lang w:val="en-US" w:eastAsia="zh-CN"/>
        </w:rPr>
        <w:t>提供证书复印件）</w:t>
      </w:r>
    </w:p>
    <w:p w14:paraId="0F05BDCC">
      <w:pPr>
        <w:autoSpaceDE w:val="0"/>
        <w:autoSpaceDN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4.已领购本次采购文件。(具体方式详见本项目公告)</w:t>
      </w:r>
    </w:p>
    <w:p w14:paraId="44F43894">
      <w:pPr>
        <w:autoSpaceDE w:val="0"/>
        <w:autoSpaceDN w:val="0"/>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5.本项目不接受联合体投标。</w:t>
      </w:r>
    </w:p>
    <w:p w14:paraId="4C594770">
      <w:pPr>
        <w:pStyle w:val="18"/>
        <w:adjustRightInd w:val="0"/>
        <w:snapToGrid w:val="0"/>
        <w:rPr>
          <w:rFonts w:asciiTheme="minorEastAsia" w:hAnsiTheme="minorEastAsia" w:eastAsiaTheme="minorEastAsia"/>
          <w:b/>
          <w:color w:val="auto"/>
          <w:highlight w:val="none"/>
        </w:rPr>
      </w:pPr>
    </w:p>
    <w:p w14:paraId="79301CBA">
      <w:pPr>
        <w:pStyle w:val="18"/>
        <w:adjustRightInd w:val="0"/>
        <w:snapToGrid w:val="0"/>
        <w:ind w:firstLine="422" w:firstLineChars="200"/>
        <w:rPr>
          <w:rFonts w:cs="Times New Roman"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〈二〉</w:t>
      </w:r>
      <w:r>
        <w:rPr>
          <w:rFonts w:hint="eastAsia" w:cs="Times New Roman" w:asciiTheme="minorEastAsia" w:hAnsiTheme="minorEastAsia" w:eastAsiaTheme="minorEastAsia"/>
          <w:b/>
          <w:color w:val="auto"/>
          <w:highlight w:val="none"/>
        </w:rPr>
        <w:t>、用户需求书：</w:t>
      </w:r>
      <w:r>
        <w:rPr>
          <w:rFonts w:cs="Times New Roman" w:asciiTheme="minorEastAsia" w:hAnsiTheme="minorEastAsia" w:eastAsiaTheme="minorEastAsia"/>
          <w:b/>
          <w:color w:val="auto"/>
          <w:highlight w:val="none"/>
        </w:rPr>
        <w:t xml:space="preserve"> </w:t>
      </w:r>
    </w:p>
    <w:p w14:paraId="0EAB6C51">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cs="Times New Roman" w:asciiTheme="minorEastAsia" w:hAnsiTheme="minorEastAsia" w:eastAsiaTheme="minorEastAsia"/>
          <w:b/>
          <w:bCs/>
          <w:color w:val="auto"/>
          <w:kern w:val="2"/>
          <w:sz w:val="21"/>
          <w:szCs w:val="21"/>
          <w:highlight w:val="none"/>
          <w:lang w:val="en-US" w:eastAsia="zh-Hans" w:bidi="ar-SA"/>
        </w:rPr>
      </w:pPr>
      <w:bookmarkStart w:id="0" w:name="_Toc3366"/>
      <w:bookmarkStart w:id="1" w:name="_Toc3703"/>
      <w:bookmarkStart w:id="2" w:name="_Toc31966"/>
      <w:bookmarkStart w:id="3" w:name="_Toc429319868"/>
      <w:bookmarkStart w:id="4" w:name="_Toc44750305"/>
      <w:bookmarkStart w:id="5" w:name="_Toc32456"/>
      <w:bookmarkStart w:id="6" w:name="_Hlk63626431"/>
      <w:r>
        <w:rPr>
          <w:rFonts w:hint="eastAsia" w:cs="Times New Roman" w:asciiTheme="minorEastAsia" w:hAnsiTheme="minorEastAsia" w:eastAsiaTheme="minorEastAsia"/>
          <w:b/>
          <w:bCs/>
          <w:color w:val="auto"/>
          <w:kern w:val="2"/>
          <w:sz w:val="21"/>
          <w:szCs w:val="21"/>
          <w:highlight w:val="none"/>
          <w:lang w:val="en-US" w:eastAsia="zh-Hans" w:bidi="ar-SA"/>
        </w:rPr>
        <w:t>一、响应说明</w:t>
      </w:r>
      <w:bookmarkEnd w:id="0"/>
      <w:bookmarkEnd w:id="1"/>
      <w:bookmarkEnd w:id="2"/>
    </w:p>
    <w:p w14:paraId="3B439A66">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bookmarkStart w:id="7" w:name="_Toc7363"/>
      <w:bookmarkStart w:id="8" w:name="_Toc12150"/>
      <w:r>
        <w:rPr>
          <w:rFonts w:hint="eastAsia" w:cs="Times New Roman" w:asciiTheme="minorEastAsia" w:hAnsiTheme="minorEastAsia" w:eastAsiaTheme="minorEastAsia"/>
          <w:color w:val="auto"/>
          <w:kern w:val="2"/>
          <w:sz w:val="21"/>
          <w:szCs w:val="21"/>
          <w:highlight w:val="none"/>
          <w:lang w:val="en-US" w:eastAsia="zh-CN" w:bidi="ar-SA"/>
        </w:rPr>
        <w:t>1</w:t>
      </w:r>
      <w:r>
        <w:rPr>
          <w:rFonts w:hint="eastAsia" w:cs="Times New Roman" w:asciiTheme="minorEastAsia" w:hAnsiTheme="minorEastAsia" w:eastAsiaTheme="minorEastAsia"/>
          <w:color w:val="auto"/>
          <w:kern w:val="2"/>
          <w:sz w:val="21"/>
          <w:szCs w:val="21"/>
          <w:highlight w:val="none"/>
          <w:lang w:val="en-US" w:eastAsia="zh-Hans" w:bidi="ar-SA"/>
        </w:rPr>
        <w:t>.</w:t>
      </w:r>
      <w:r>
        <w:rPr>
          <w:rFonts w:hint="eastAsia" w:cs="Times New Roman" w:asciiTheme="minorEastAsia" w:hAnsiTheme="minorEastAsia" w:eastAsiaTheme="minorEastAsia"/>
          <w:color w:val="auto"/>
          <w:kern w:val="2"/>
          <w:sz w:val="21"/>
          <w:szCs w:val="21"/>
          <w:highlight w:val="none"/>
          <w:lang w:val="en-US" w:eastAsia="zh-CN" w:bidi="ar-SA"/>
        </w:rPr>
        <w:t>投标折扣率</w:t>
      </w:r>
      <w:r>
        <w:rPr>
          <w:rFonts w:hint="eastAsia" w:cs="Times New Roman" w:asciiTheme="minorEastAsia" w:hAnsiTheme="minorEastAsia" w:eastAsiaTheme="minorEastAsia"/>
          <w:color w:val="auto"/>
          <w:kern w:val="2"/>
          <w:sz w:val="21"/>
          <w:szCs w:val="21"/>
          <w:highlight w:val="none"/>
          <w:lang w:val="en-US" w:eastAsia="zh-Hans" w:bidi="ar-SA"/>
        </w:rPr>
        <w:t>不得超出最高限价，否则按</w:t>
      </w:r>
      <w:r>
        <w:rPr>
          <w:rFonts w:hint="eastAsia" w:cs="Times New Roman" w:asciiTheme="minorEastAsia" w:hAnsiTheme="minorEastAsia" w:eastAsiaTheme="minorEastAsia"/>
          <w:color w:val="auto"/>
          <w:kern w:val="2"/>
          <w:sz w:val="21"/>
          <w:szCs w:val="21"/>
          <w:highlight w:val="none"/>
          <w:lang w:val="en-US" w:eastAsia="zh-CN" w:bidi="ar-SA"/>
        </w:rPr>
        <w:t>无效投标</w:t>
      </w:r>
      <w:r>
        <w:rPr>
          <w:rFonts w:hint="eastAsia" w:cs="Times New Roman" w:asciiTheme="minorEastAsia" w:hAnsiTheme="minorEastAsia" w:eastAsiaTheme="minorEastAsia"/>
          <w:color w:val="auto"/>
          <w:kern w:val="2"/>
          <w:sz w:val="21"/>
          <w:szCs w:val="21"/>
          <w:highlight w:val="none"/>
          <w:lang w:val="en-US" w:eastAsia="zh-Hans" w:bidi="ar-SA"/>
        </w:rPr>
        <w:t>处理。</w:t>
      </w:r>
    </w:p>
    <w:p w14:paraId="7C23C0F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2</w:t>
      </w:r>
      <w:r>
        <w:rPr>
          <w:rFonts w:hint="eastAsia" w:cs="Times New Roman" w:asciiTheme="minorEastAsia" w:hAnsiTheme="minorEastAsia" w:eastAsiaTheme="minorEastAsia"/>
          <w:color w:val="auto"/>
          <w:kern w:val="2"/>
          <w:sz w:val="21"/>
          <w:szCs w:val="21"/>
          <w:highlight w:val="none"/>
          <w:lang w:val="en-US" w:eastAsia="zh-Hans" w:bidi="ar-SA"/>
        </w:rPr>
        <w:t>.本项目不接受</w:t>
      </w:r>
      <w:r>
        <w:rPr>
          <w:rFonts w:hint="eastAsia" w:cs="Times New Roman" w:asciiTheme="minorEastAsia" w:hAnsiTheme="minorEastAsia" w:eastAsiaTheme="minorEastAsia"/>
          <w:color w:val="auto"/>
          <w:kern w:val="2"/>
          <w:sz w:val="21"/>
          <w:szCs w:val="21"/>
          <w:highlight w:val="none"/>
          <w:lang w:val="en-US" w:eastAsia="zh-CN" w:bidi="ar-SA"/>
        </w:rPr>
        <w:t>联合体投标</w:t>
      </w:r>
      <w:r>
        <w:rPr>
          <w:rFonts w:hint="eastAsia" w:cs="Times New Roman" w:asciiTheme="minorEastAsia" w:hAnsiTheme="minorEastAsia" w:eastAsiaTheme="minorEastAsia"/>
          <w:color w:val="auto"/>
          <w:kern w:val="2"/>
          <w:sz w:val="21"/>
          <w:szCs w:val="21"/>
          <w:highlight w:val="none"/>
          <w:lang w:val="en-US" w:eastAsia="zh-Hans" w:bidi="ar-SA"/>
        </w:rPr>
        <w:t>，本项目不得转包。</w:t>
      </w:r>
    </w:p>
    <w:p w14:paraId="7A20A765">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3</w:t>
      </w:r>
      <w:r>
        <w:rPr>
          <w:rFonts w:hint="eastAsia" w:cs="Times New Roman" w:asciiTheme="minorEastAsia" w:hAnsiTheme="minorEastAsia" w:eastAsiaTheme="minorEastAsia"/>
          <w:color w:val="auto"/>
          <w:kern w:val="2"/>
          <w:sz w:val="21"/>
          <w:szCs w:val="21"/>
          <w:highlight w:val="none"/>
          <w:lang w:val="en-US" w:eastAsia="zh-Hans" w:bidi="ar-SA"/>
        </w:rPr>
        <w:t>.</w:t>
      </w:r>
      <w:r>
        <w:rPr>
          <w:rFonts w:hint="eastAsia" w:cs="Times New Roman" w:asciiTheme="minorEastAsia" w:hAnsiTheme="minorEastAsia" w:eastAsiaTheme="minorEastAsia"/>
          <w:color w:val="auto"/>
          <w:kern w:val="2"/>
          <w:sz w:val="21"/>
          <w:szCs w:val="21"/>
          <w:highlight w:val="none"/>
          <w:lang w:val="en-US" w:eastAsia="zh-CN" w:bidi="ar-SA"/>
        </w:rPr>
        <w:t>招标文件</w:t>
      </w:r>
      <w:r>
        <w:rPr>
          <w:rFonts w:hint="eastAsia" w:cs="Times New Roman" w:asciiTheme="minorEastAsia" w:hAnsiTheme="minorEastAsia" w:eastAsiaTheme="minorEastAsia"/>
          <w:color w:val="auto"/>
          <w:kern w:val="2"/>
          <w:sz w:val="21"/>
          <w:szCs w:val="21"/>
          <w:highlight w:val="none"/>
          <w:lang w:val="en-US" w:eastAsia="zh-Hans" w:bidi="ar-SA"/>
        </w:rPr>
        <w:t>中，打“★”号条款为实质性条款，若有任何一条负偏离或不满足则导致响应无效。打“▲”号条款为重要技术参数（如有），若有部分“▲”条款未响应或不满足，将根据评审要求影响其得分，但不作为</w:t>
      </w:r>
      <w:r>
        <w:rPr>
          <w:rFonts w:hint="eastAsia" w:cs="Times New Roman" w:asciiTheme="minorEastAsia" w:hAnsiTheme="minorEastAsia" w:eastAsiaTheme="minorEastAsia"/>
          <w:color w:val="auto"/>
          <w:kern w:val="2"/>
          <w:sz w:val="21"/>
          <w:szCs w:val="21"/>
          <w:highlight w:val="none"/>
          <w:lang w:val="en-US" w:eastAsia="zh-CN" w:bidi="ar-SA"/>
        </w:rPr>
        <w:t>无效投标</w:t>
      </w:r>
      <w:r>
        <w:rPr>
          <w:rFonts w:hint="eastAsia" w:cs="Times New Roman" w:asciiTheme="minorEastAsia" w:hAnsiTheme="minorEastAsia" w:eastAsiaTheme="minorEastAsia"/>
          <w:color w:val="auto"/>
          <w:kern w:val="2"/>
          <w:sz w:val="21"/>
          <w:szCs w:val="21"/>
          <w:highlight w:val="none"/>
          <w:lang w:val="en-US" w:eastAsia="zh-Hans" w:bidi="ar-SA"/>
        </w:rPr>
        <w:t>条款。</w:t>
      </w:r>
    </w:p>
    <w:p w14:paraId="1FB1D0AD">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cs="Times New Roman" w:asciiTheme="minorEastAsia" w:hAnsiTheme="minorEastAsia" w:eastAsiaTheme="minorEastAsia"/>
          <w:b/>
          <w:bCs/>
          <w:color w:val="auto"/>
          <w:kern w:val="2"/>
          <w:sz w:val="21"/>
          <w:szCs w:val="21"/>
          <w:highlight w:val="none"/>
          <w:lang w:val="en-US" w:eastAsia="zh-Hans" w:bidi="ar-SA"/>
        </w:rPr>
      </w:pPr>
      <w:bookmarkStart w:id="9" w:name="_Toc5961"/>
      <w:r>
        <w:rPr>
          <w:rFonts w:hint="eastAsia" w:cs="Times New Roman" w:asciiTheme="minorEastAsia" w:hAnsiTheme="minorEastAsia" w:eastAsiaTheme="minorEastAsia"/>
          <w:b/>
          <w:bCs/>
          <w:color w:val="auto"/>
          <w:kern w:val="2"/>
          <w:sz w:val="21"/>
          <w:szCs w:val="21"/>
          <w:highlight w:val="none"/>
          <w:lang w:val="en-US" w:eastAsia="zh-Hans" w:bidi="ar-SA"/>
        </w:rPr>
        <w:t>二、项目概况</w:t>
      </w:r>
      <w:bookmarkEnd w:id="7"/>
      <w:bookmarkEnd w:id="8"/>
      <w:bookmarkEnd w:id="9"/>
    </w:p>
    <w:p w14:paraId="41EE19F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医院拟引入具备实验室建设能力、检验服务集约化保障的专业医学检验服务企业，依托医院检验科共同建设，统一规划运营管理，整合医学检验资源，通过集约化的医学检验服务，提升我院医学检验服务能力及效率。</w:t>
      </w:r>
    </w:p>
    <w:p w14:paraId="0EF8206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现通过</w:t>
      </w:r>
      <w:r>
        <w:rPr>
          <w:rFonts w:hint="eastAsia" w:cs="Times New Roman" w:asciiTheme="minorEastAsia" w:hAnsiTheme="minorEastAsia" w:eastAsiaTheme="minorEastAsia"/>
          <w:color w:val="auto"/>
          <w:kern w:val="2"/>
          <w:sz w:val="21"/>
          <w:szCs w:val="21"/>
          <w:highlight w:val="none"/>
          <w:lang w:val="en-US" w:eastAsia="zh-CN" w:bidi="ar-SA"/>
        </w:rPr>
        <w:t>招标方式</w:t>
      </w:r>
      <w:r>
        <w:rPr>
          <w:rFonts w:hint="eastAsia" w:cs="Times New Roman" w:asciiTheme="minorEastAsia" w:hAnsiTheme="minorEastAsia" w:eastAsiaTheme="minorEastAsia"/>
          <w:color w:val="auto"/>
          <w:kern w:val="2"/>
          <w:sz w:val="21"/>
          <w:szCs w:val="21"/>
          <w:highlight w:val="none"/>
          <w:lang w:val="en-US" w:eastAsia="zh-Hans" w:bidi="ar-SA"/>
        </w:rPr>
        <w:t>，选择一家专业医学检验服务企业作为合作方搭建资源共享平台，合作方在医院现有条件基础上通过硬件升级、试剂耗材集中供应、流程优化、学科能力提升，辅以智能化信息化平台建设，实现我院检验科检验服务集约化保障及运营。</w:t>
      </w:r>
    </w:p>
    <w:p w14:paraId="5AF573F4">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本次招标</w:t>
      </w:r>
      <w:r>
        <w:rPr>
          <w:rFonts w:hint="eastAsia" w:cs="Times New Roman" w:asciiTheme="minorEastAsia" w:hAnsiTheme="minorEastAsia" w:eastAsiaTheme="minorEastAsia"/>
          <w:color w:val="auto"/>
          <w:kern w:val="2"/>
          <w:sz w:val="21"/>
          <w:szCs w:val="21"/>
          <w:highlight w:val="none"/>
          <w:lang w:val="en-US" w:eastAsia="zh-Hans" w:bidi="ar-SA"/>
        </w:rPr>
        <w:t>采用综合评分法进行评审，根据各</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最终得分由高到低依次排名，确定评分最高的1家企业作为成交人；当有效</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小于3家时，该项目</w:t>
      </w:r>
      <w:r>
        <w:rPr>
          <w:rFonts w:hint="eastAsia" w:cs="Times New Roman" w:asciiTheme="minorEastAsia" w:hAnsiTheme="minorEastAsia" w:eastAsiaTheme="minorEastAsia"/>
          <w:color w:val="auto"/>
          <w:kern w:val="2"/>
          <w:sz w:val="21"/>
          <w:szCs w:val="21"/>
          <w:highlight w:val="none"/>
          <w:lang w:val="en-US" w:eastAsia="zh-CN" w:bidi="ar-SA"/>
        </w:rPr>
        <w:t>招标</w:t>
      </w:r>
      <w:r>
        <w:rPr>
          <w:rFonts w:hint="eastAsia" w:cs="Times New Roman" w:asciiTheme="minorEastAsia" w:hAnsiTheme="minorEastAsia" w:eastAsiaTheme="minorEastAsia"/>
          <w:color w:val="auto"/>
          <w:kern w:val="2"/>
          <w:sz w:val="21"/>
          <w:szCs w:val="21"/>
          <w:highlight w:val="none"/>
          <w:lang w:val="en-US" w:eastAsia="zh-Hans" w:bidi="ar-SA"/>
        </w:rPr>
        <w:t>失败，应当重新</w:t>
      </w:r>
      <w:r>
        <w:rPr>
          <w:rFonts w:hint="eastAsia" w:cs="Times New Roman" w:asciiTheme="minorEastAsia" w:hAnsiTheme="minorEastAsia" w:eastAsiaTheme="minorEastAsia"/>
          <w:color w:val="auto"/>
          <w:kern w:val="2"/>
          <w:sz w:val="21"/>
          <w:szCs w:val="21"/>
          <w:highlight w:val="none"/>
          <w:lang w:val="en-US" w:eastAsia="zh-CN" w:bidi="ar-SA"/>
        </w:rPr>
        <w:t>招标</w:t>
      </w:r>
      <w:r>
        <w:rPr>
          <w:rFonts w:hint="eastAsia" w:cs="Times New Roman" w:asciiTheme="minorEastAsia" w:hAnsiTheme="minorEastAsia" w:eastAsiaTheme="minorEastAsia"/>
          <w:color w:val="auto"/>
          <w:kern w:val="2"/>
          <w:sz w:val="21"/>
          <w:szCs w:val="21"/>
          <w:highlight w:val="none"/>
          <w:lang w:val="en-US" w:eastAsia="zh-Hans" w:bidi="ar-SA"/>
        </w:rPr>
        <w:t>。</w:t>
      </w:r>
    </w:p>
    <w:p w14:paraId="11835226">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cs="Times New Roman" w:asciiTheme="minorEastAsia" w:hAnsiTheme="minorEastAsia" w:eastAsiaTheme="minorEastAsia"/>
          <w:b/>
          <w:bCs/>
          <w:color w:val="auto"/>
          <w:kern w:val="2"/>
          <w:sz w:val="21"/>
          <w:szCs w:val="21"/>
          <w:highlight w:val="none"/>
          <w:lang w:val="en-US" w:eastAsia="zh-Hans" w:bidi="ar-SA"/>
        </w:rPr>
      </w:pPr>
      <w:r>
        <w:rPr>
          <w:rFonts w:hint="eastAsia" w:cs="Times New Roman" w:asciiTheme="minorEastAsia" w:hAnsiTheme="minorEastAsia" w:eastAsiaTheme="minorEastAsia"/>
          <w:b/>
          <w:bCs/>
          <w:color w:val="auto"/>
          <w:kern w:val="2"/>
          <w:sz w:val="21"/>
          <w:szCs w:val="21"/>
          <w:highlight w:val="none"/>
          <w:lang w:val="en-US" w:eastAsia="zh-CN" w:bidi="ar-SA"/>
        </w:rPr>
        <w:t>三</w:t>
      </w:r>
      <w:r>
        <w:rPr>
          <w:rFonts w:hint="eastAsia" w:cs="Times New Roman" w:asciiTheme="minorEastAsia" w:hAnsiTheme="minorEastAsia" w:eastAsiaTheme="minorEastAsia"/>
          <w:b/>
          <w:bCs/>
          <w:color w:val="auto"/>
          <w:kern w:val="2"/>
          <w:sz w:val="21"/>
          <w:szCs w:val="21"/>
          <w:highlight w:val="none"/>
          <w:lang w:val="en-US" w:eastAsia="zh-Hans" w:bidi="ar-SA"/>
        </w:rPr>
        <w:t>、技术要求</w:t>
      </w:r>
    </w:p>
    <w:p w14:paraId="0740D4C5">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★（一）基本要求：医院以现有的条件与</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就本项目进行共同建设及联合运营，</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按</w:t>
      </w:r>
      <w:r>
        <w:rPr>
          <w:rFonts w:hint="eastAsia" w:cs="Times New Roman" w:asciiTheme="minorEastAsia" w:hAnsiTheme="minorEastAsia" w:eastAsiaTheme="minorEastAsia"/>
          <w:color w:val="auto"/>
          <w:kern w:val="2"/>
          <w:sz w:val="21"/>
          <w:szCs w:val="21"/>
          <w:highlight w:val="none"/>
          <w:lang w:val="en-US" w:eastAsia="zh-CN" w:bidi="ar-SA"/>
        </w:rPr>
        <w:t>招标文件</w:t>
      </w:r>
      <w:r>
        <w:rPr>
          <w:rFonts w:hint="eastAsia" w:cs="Times New Roman" w:asciiTheme="minorEastAsia" w:hAnsiTheme="minorEastAsia" w:eastAsiaTheme="minorEastAsia"/>
          <w:color w:val="auto"/>
          <w:kern w:val="2"/>
          <w:sz w:val="21"/>
          <w:szCs w:val="21"/>
          <w:highlight w:val="none"/>
          <w:lang w:val="en-US" w:eastAsia="zh-Hans" w:bidi="ar-SA"/>
        </w:rPr>
        <w:t>约定及其</w:t>
      </w:r>
      <w:r>
        <w:rPr>
          <w:rFonts w:hint="eastAsia" w:cs="Times New Roman" w:asciiTheme="minorEastAsia" w:hAnsiTheme="minorEastAsia" w:eastAsiaTheme="minorEastAsia"/>
          <w:color w:val="auto"/>
          <w:kern w:val="2"/>
          <w:sz w:val="21"/>
          <w:szCs w:val="21"/>
          <w:highlight w:val="none"/>
          <w:lang w:val="en-US" w:eastAsia="zh-CN" w:bidi="ar-SA"/>
        </w:rPr>
        <w:t>投标</w:t>
      </w:r>
      <w:r>
        <w:rPr>
          <w:rFonts w:hint="eastAsia" w:cs="Times New Roman" w:asciiTheme="minorEastAsia" w:hAnsiTheme="minorEastAsia" w:eastAsiaTheme="minorEastAsia"/>
          <w:color w:val="auto"/>
          <w:kern w:val="2"/>
          <w:sz w:val="21"/>
          <w:szCs w:val="21"/>
          <w:highlight w:val="none"/>
          <w:lang w:val="en-US" w:eastAsia="zh-Hans" w:bidi="ar-SA"/>
        </w:rPr>
        <w:t>文件的承诺完成相应的工作内容，双方按合同约定承担自身范围内的费用成本，并获得相应比例的收入。</w:t>
      </w:r>
    </w:p>
    <w:bookmarkEnd w:id="3"/>
    <w:bookmarkEnd w:id="4"/>
    <w:bookmarkEnd w:id="5"/>
    <w:bookmarkEnd w:id="6"/>
    <w:p w14:paraId="25DAC62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（二）项目建设总体要求</w:t>
      </w:r>
    </w:p>
    <w:p w14:paraId="530668B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需具备成熟的检验服务集约化保障项目经验，依据自身的经验及资源优势向医院提供先进、科学、规范化的项目整体建设方案。合同签订后3个月内，</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须配合医院提供项目整体建设运营服务，实现检验科平稳高效运行。项目整体建设运营方案至少应包含提升检验科所需检测项目的检测能力，完成检验科现有平台的整合升级及完善，检验科智能化信息平台建设，提升科研教学能力</w:t>
      </w:r>
      <w:r>
        <w:rPr>
          <w:rFonts w:hint="eastAsia" w:ascii="宋体" w:hAnsi="宋体" w:eastAsia="宋体" w:cs="宋体"/>
          <w:color w:val="auto"/>
          <w:kern w:val="2"/>
          <w:sz w:val="21"/>
          <w:szCs w:val="21"/>
          <w:highlight w:val="none"/>
        </w:rPr>
        <w:t>、人员支持</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rPr>
        <w:t>方案、人才培养</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rPr>
        <w:t>方案</w:t>
      </w:r>
      <w:r>
        <w:rPr>
          <w:rFonts w:hint="eastAsia" w:ascii="宋体" w:hAnsi="宋体" w:eastAsia="宋体" w:cs="宋体"/>
          <w:color w:val="auto"/>
          <w:kern w:val="2"/>
          <w:sz w:val="21"/>
          <w:szCs w:val="21"/>
          <w:highlight w:val="none"/>
          <w:lang w:eastAsia="zh-CN"/>
        </w:rPr>
        <w:t>（根据医院的相关制度）</w:t>
      </w:r>
      <w:r>
        <w:rPr>
          <w:rFonts w:hint="eastAsia" w:ascii="宋体" w:hAnsi="宋体" w:cs="宋体"/>
          <w:color w:val="auto"/>
          <w:kern w:val="2"/>
          <w:sz w:val="21"/>
          <w:szCs w:val="21"/>
          <w:highlight w:val="none"/>
          <w:lang w:eastAsia="zh-CN"/>
        </w:rPr>
        <w:t>。</w:t>
      </w:r>
      <w:r>
        <w:rPr>
          <w:rFonts w:hint="eastAsia" w:cs="Times New Roman" w:asciiTheme="minorEastAsia" w:hAnsiTheme="minorEastAsia" w:eastAsiaTheme="minorEastAsia"/>
          <w:color w:val="auto"/>
          <w:kern w:val="2"/>
          <w:sz w:val="21"/>
          <w:szCs w:val="21"/>
          <w:highlight w:val="none"/>
          <w:lang w:val="en-US" w:eastAsia="zh-Hans" w:bidi="ar-SA"/>
        </w:rPr>
        <w:t>具体的建设要求如下：</w:t>
      </w:r>
    </w:p>
    <w:p w14:paraId="50309DC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★1.</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需有能力提升检验科所需检测项目的检测能力，立足开展包括但不限于医院现有的检验检测项目，同时具备开展前沿检测项目的能力，确保标本及时保质保量完成检测和发送报告。</w:t>
      </w:r>
    </w:p>
    <w:p w14:paraId="06ABFAC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★2.</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需有能力完成检验科现有平台的整合升级及完善，在目前检验科的平台上，按照医院规划要求搭建自动化检测流水线，包括但不限于生化、免疫、微生物、临检、输血、分子诊断等专业组的设备升级，配合检验科开展新的检验项目。</w:t>
      </w:r>
    </w:p>
    <w:p w14:paraId="0429D7BB">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▲3.</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需有能力完成检验科智能化信息平台建设，在检验科服务体系内搭建一体化的信息系统，促进医疗机构集团内部之间互联互通，促进医疗机构间检验诊断结果互认，运用智慧检验系统实现对人员、试剂、耗材、设备、环境及临床样本的精细化智能化管理。</w:t>
      </w:r>
    </w:p>
    <w:p w14:paraId="06C6D28F">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▲4.</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需有能力协助检验科提升科研教学能力，协助检验科开展包括但不限于临床及基础科学研究、科研课题讨论、申报科研课题、邀请专家进行学术交流和临床技能培训等方式协助检验科提升科研教学能力水平，</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开展的GCP项目优先考虑由检验科负责完成。</w:t>
      </w:r>
    </w:p>
    <w:p w14:paraId="76E4CCB0">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★（三）开展项目服务能力要求</w:t>
      </w:r>
    </w:p>
    <w:p w14:paraId="3E56C37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须配合检验科开展包含但不限于以下检测项目：</w:t>
      </w:r>
    </w:p>
    <w:tbl>
      <w:tblPr>
        <w:tblStyle w:val="39"/>
        <w:tblW w:w="6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5100"/>
      </w:tblGrid>
      <w:tr w14:paraId="4E9D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0" w:type="dxa"/>
            <w:noWrap/>
            <w:vAlign w:val="center"/>
          </w:tcPr>
          <w:p w14:paraId="1F6CB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100" w:type="dxa"/>
            <w:noWrap/>
            <w:vAlign w:val="center"/>
          </w:tcPr>
          <w:p w14:paraId="61442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检验项目</w:t>
            </w:r>
          </w:p>
        </w:tc>
      </w:tr>
      <w:tr w14:paraId="1B8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4AF0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100" w:type="dxa"/>
            <w:noWrap/>
            <w:vAlign w:val="center"/>
          </w:tcPr>
          <w:p w14:paraId="58C4B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血常规</w:t>
            </w:r>
          </w:p>
        </w:tc>
      </w:tr>
      <w:tr w14:paraId="2F21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1321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100" w:type="dxa"/>
            <w:noWrap/>
            <w:vAlign w:val="center"/>
          </w:tcPr>
          <w:p w14:paraId="5387C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ABO血型</w:t>
            </w:r>
          </w:p>
        </w:tc>
      </w:tr>
      <w:tr w14:paraId="22ED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8BC6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100" w:type="dxa"/>
            <w:noWrap/>
            <w:vAlign w:val="center"/>
          </w:tcPr>
          <w:p w14:paraId="7BD45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Rh血型</w:t>
            </w:r>
          </w:p>
        </w:tc>
      </w:tr>
      <w:tr w14:paraId="6870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F08C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100" w:type="dxa"/>
            <w:noWrap/>
            <w:vAlign w:val="center"/>
          </w:tcPr>
          <w:p w14:paraId="4CB47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快速超敏CRP</w:t>
            </w:r>
          </w:p>
        </w:tc>
      </w:tr>
      <w:tr w14:paraId="4415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5906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100" w:type="dxa"/>
            <w:noWrap/>
            <w:vAlign w:val="center"/>
          </w:tcPr>
          <w:p w14:paraId="6CD8D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血清淀粉样蛋白</w:t>
            </w:r>
          </w:p>
        </w:tc>
      </w:tr>
      <w:tr w14:paraId="225E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9CD5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100" w:type="dxa"/>
            <w:noWrap/>
            <w:vAlign w:val="center"/>
          </w:tcPr>
          <w:p w14:paraId="2B939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降钙素原</w:t>
            </w:r>
          </w:p>
        </w:tc>
      </w:tr>
      <w:tr w14:paraId="057F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8A84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100" w:type="dxa"/>
            <w:noWrap/>
            <w:vAlign w:val="center"/>
          </w:tcPr>
          <w:p w14:paraId="1A9A6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白介素6</w:t>
            </w:r>
          </w:p>
        </w:tc>
      </w:tr>
      <w:tr w14:paraId="4C8F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F2A4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100" w:type="dxa"/>
            <w:noWrap/>
            <w:vAlign w:val="center"/>
          </w:tcPr>
          <w:p w14:paraId="49ED0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肺【衣】IgM抗体</w:t>
            </w:r>
          </w:p>
        </w:tc>
      </w:tr>
      <w:tr w14:paraId="5B0E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7B1F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100" w:type="dxa"/>
            <w:noWrap/>
            <w:vAlign w:val="center"/>
          </w:tcPr>
          <w:p w14:paraId="7EB85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肺【支】IgM抗体</w:t>
            </w:r>
          </w:p>
        </w:tc>
      </w:tr>
      <w:tr w14:paraId="346D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9A11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100" w:type="dxa"/>
            <w:noWrap/>
            <w:vAlign w:val="center"/>
          </w:tcPr>
          <w:p w14:paraId="122F6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流感A+B抗原检测</w:t>
            </w:r>
          </w:p>
        </w:tc>
      </w:tr>
      <w:tr w14:paraId="76CA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CC56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100" w:type="dxa"/>
            <w:noWrap/>
            <w:vAlign w:val="center"/>
          </w:tcPr>
          <w:p w14:paraId="05331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新冠病毒抗原</w:t>
            </w:r>
          </w:p>
        </w:tc>
      </w:tr>
      <w:tr w14:paraId="5E45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8F4A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100" w:type="dxa"/>
            <w:noWrap/>
            <w:vAlign w:val="center"/>
          </w:tcPr>
          <w:p w14:paraId="3CE79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血液疟原虫检查</w:t>
            </w:r>
          </w:p>
        </w:tc>
      </w:tr>
      <w:tr w14:paraId="0DB7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C948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100" w:type="dxa"/>
            <w:noWrap/>
            <w:vAlign w:val="center"/>
          </w:tcPr>
          <w:p w14:paraId="09708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外周血细胞形态学检查</w:t>
            </w:r>
          </w:p>
        </w:tc>
      </w:tr>
      <w:tr w14:paraId="3E75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E4FC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100" w:type="dxa"/>
            <w:noWrap/>
            <w:vAlign w:val="center"/>
          </w:tcPr>
          <w:p w14:paraId="76C3F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网织红细胞计数(Ret)(仪器法)</w:t>
            </w:r>
          </w:p>
        </w:tc>
      </w:tr>
      <w:tr w14:paraId="2BE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EEB6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100" w:type="dxa"/>
            <w:noWrap/>
            <w:vAlign w:val="center"/>
          </w:tcPr>
          <w:p w14:paraId="7A3A8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快速血糖</w:t>
            </w:r>
          </w:p>
        </w:tc>
      </w:tr>
      <w:tr w14:paraId="5C7B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F491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100" w:type="dxa"/>
            <w:noWrap/>
            <w:vAlign w:val="center"/>
          </w:tcPr>
          <w:p w14:paraId="3C75D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粪便常规</w:t>
            </w:r>
          </w:p>
        </w:tc>
      </w:tr>
      <w:tr w14:paraId="1347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E63A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100" w:type="dxa"/>
            <w:noWrap/>
            <w:vAlign w:val="center"/>
          </w:tcPr>
          <w:p w14:paraId="6EEDD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粪便隐血试验(OB)</w:t>
            </w:r>
          </w:p>
        </w:tc>
      </w:tr>
      <w:tr w14:paraId="724C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7679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100" w:type="dxa"/>
            <w:noWrap/>
            <w:vAlign w:val="center"/>
          </w:tcPr>
          <w:p w14:paraId="1C7EC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粪便A群轮状病毒+腺病毒</w:t>
            </w:r>
          </w:p>
        </w:tc>
      </w:tr>
      <w:tr w14:paraId="64D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8A6C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5100" w:type="dxa"/>
            <w:noWrap/>
            <w:vAlign w:val="center"/>
          </w:tcPr>
          <w:p w14:paraId="6B538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诺如病毒抗原I型/II型</w:t>
            </w:r>
          </w:p>
        </w:tc>
      </w:tr>
      <w:tr w14:paraId="654B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237F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100" w:type="dxa"/>
            <w:noWrap/>
            <w:vAlign w:val="center"/>
          </w:tcPr>
          <w:p w14:paraId="5D1DA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尿妊娠试验(HCG)</w:t>
            </w:r>
          </w:p>
        </w:tc>
      </w:tr>
      <w:tr w14:paraId="57C0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B4E9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5100" w:type="dxa"/>
            <w:noWrap/>
            <w:vAlign w:val="center"/>
          </w:tcPr>
          <w:p w14:paraId="7A552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尿常规</w:t>
            </w:r>
          </w:p>
        </w:tc>
      </w:tr>
      <w:tr w14:paraId="51F5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498C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5100" w:type="dxa"/>
            <w:noWrap/>
            <w:vAlign w:val="center"/>
          </w:tcPr>
          <w:p w14:paraId="75A20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尿沉渣定量分析</w:t>
            </w:r>
          </w:p>
        </w:tc>
      </w:tr>
      <w:tr w14:paraId="2714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29A8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5100" w:type="dxa"/>
            <w:noWrap/>
            <w:vAlign w:val="center"/>
          </w:tcPr>
          <w:p w14:paraId="0F2A3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尿红细胞形态分析</w:t>
            </w:r>
          </w:p>
        </w:tc>
      </w:tr>
      <w:tr w14:paraId="4330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9561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5100" w:type="dxa"/>
            <w:noWrap/>
            <w:vAlign w:val="center"/>
          </w:tcPr>
          <w:p w14:paraId="5C950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尿毒品三项(吗啡/氯胺酮/甲基安非他明)</w:t>
            </w:r>
          </w:p>
        </w:tc>
      </w:tr>
      <w:tr w14:paraId="63D8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AD28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100" w:type="dxa"/>
            <w:noWrap/>
            <w:vAlign w:val="center"/>
          </w:tcPr>
          <w:p w14:paraId="633C6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阴道分泌物检查</w:t>
            </w:r>
          </w:p>
        </w:tc>
      </w:tr>
      <w:tr w14:paraId="32E1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2E6B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5100" w:type="dxa"/>
            <w:noWrap/>
            <w:vAlign w:val="center"/>
          </w:tcPr>
          <w:p w14:paraId="5E778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细菌性阴道病（BV）</w:t>
            </w:r>
          </w:p>
        </w:tc>
      </w:tr>
      <w:tr w14:paraId="513A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F582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5100" w:type="dxa"/>
            <w:noWrap/>
            <w:vAlign w:val="center"/>
          </w:tcPr>
          <w:p w14:paraId="3F468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沙眼【衣原体】抗原</w:t>
            </w:r>
          </w:p>
        </w:tc>
      </w:tr>
      <w:tr w14:paraId="5070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ECC1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5100" w:type="dxa"/>
            <w:noWrap/>
            <w:vAlign w:val="center"/>
          </w:tcPr>
          <w:p w14:paraId="6D8B4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特殊细菌涂片检查</w:t>
            </w:r>
          </w:p>
        </w:tc>
      </w:tr>
      <w:tr w14:paraId="3CBC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F0EB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5100" w:type="dxa"/>
            <w:noWrap/>
            <w:vAlign w:val="center"/>
          </w:tcPr>
          <w:p w14:paraId="17D92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真菌涂片检查</w:t>
            </w:r>
          </w:p>
        </w:tc>
      </w:tr>
      <w:tr w14:paraId="7776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6FDB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100" w:type="dxa"/>
            <w:noWrap/>
            <w:vAlign w:val="center"/>
          </w:tcPr>
          <w:p w14:paraId="45724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脑脊液常规检查</w:t>
            </w:r>
          </w:p>
        </w:tc>
      </w:tr>
      <w:tr w14:paraId="5FB6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22F5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5100" w:type="dxa"/>
            <w:noWrap/>
            <w:vAlign w:val="center"/>
          </w:tcPr>
          <w:p w14:paraId="5518D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胸水常规检查</w:t>
            </w:r>
          </w:p>
        </w:tc>
      </w:tr>
      <w:tr w14:paraId="6FA3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D660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5100" w:type="dxa"/>
            <w:noWrap/>
            <w:vAlign w:val="center"/>
          </w:tcPr>
          <w:p w14:paraId="0E2D1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腹水常规检查</w:t>
            </w:r>
          </w:p>
        </w:tc>
      </w:tr>
      <w:tr w14:paraId="00CF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27BD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5100" w:type="dxa"/>
            <w:noWrap/>
            <w:vAlign w:val="center"/>
          </w:tcPr>
          <w:p w14:paraId="557D2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各种穿刺液常规检查</w:t>
            </w:r>
          </w:p>
        </w:tc>
      </w:tr>
      <w:tr w14:paraId="09B7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824A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5100" w:type="dxa"/>
            <w:noWrap/>
            <w:vAlign w:val="center"/>
          </w:tcPr>
          <w:p w14:paraId="134D7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前列腺常规检查</w:t>
            </w:r>
          </w:p>
        </w:tc>
      </w:tr>
      <w:tr w14:paraId="5CA1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E13B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5100" w:type="dxa"/>
            <w:noWrap/>
            <w:vAlign w:val="center"/>
          </w:tcPr>
          <w:p w14:paraId="49BD2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精液常规检查</w:t>
            </w:r>
          </w:p>
        </w:tc>
      </w:tr>
      <w:tr w14:paraId="6062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B706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5100" w:type="dxa"/>
            <w:noWrap/>
            <w:vAlign w:val="center"/>
          </w:tcPr>
          <w:p w14:paraId="5BD8B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精子畸形率（染色形态分析法）检测</w:t>
            </w:r>
          </w:p>
        </w:tc>
      </w:tr>
      <w:tr w14:paraId="44F1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5EB0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5100" w:type="dxa"/>
            <w:noWrap/>
            <w:vAlign w:val="center"/>
          </w:tcPr>
          <w:p w14:paraId="633E0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凝血四项</w:t>
            </w:r>
          </w:p>
        </w:tc>
      </w:tr>
      <w:tr w14:paraId="2C87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71E7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5100" w:type="dxa"/>
            <w:noWrap/>
            <w:vAlign w:val="center"/>
          </w:tcPr>
          <w:p w14:paraId="05CE3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D-二聚体</w:t>
            </w:r>
          </w:p>
        </w:tc>
      </w:tr>
      <w:tr w14:paraId="2F1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0A2C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5100" w:type="dxa"/>
            <w:noWrap/>
            <w:vAlign w:val="center"/>
          </w:tcPr>
          <w:p w14:paraId="4D5B2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纤维蛋白原降解产物</w:t>
            </w:r>
          </w:p>
        </w:tc>
      </w:tr>
      <w:tr w14:paraId="0946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F9F8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5100" w:type="dxa"/>
            <w:noWrap/>
            <w:vAlign w:val="center"/>
          </w:tcPr>
          <w:p w14:paraId="297F4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抗凝血酶Ⅲ</w:t>
            </w:r>
          </w:p>
        </w:tc>
      </w:tr>
      <w:tr w14:paraId="0716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D4FD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5100" w:type="dxa"/>
            <w:noWrap/>
            <w:vAlign w:val="center"/>
          </w:tcPr>
          <w:p w14:paraId="5965E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谷丙转氨酶</w:t>
            </w:r>
          </w:p>
        </w:tc>
      </w:tr>
      <w:tr w14:paraId="73D0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FF1E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5100" w:type="dxa"/>
            <w:noWrap/>
            <w:vAlign w:val="center"/>
          </w:tcPr>
          <w:p w14:paraId="6EC43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谷草转氨酶</w:t>
            </w:r>
          </w:p>
        </w:tc>
      </w:tr>
      <w:tr w14:paraId="2382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E6C5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5100" w:type="dxa"/>
            <w:noWrap/>
            <w:vAlign w:val="center"/>
          </w:tcPr>
          <w:p w14:paraId="45743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总蛋白</w:t>
            </w:r>
          </w:p>
        </w:tc>
      </w:tr>
      <w:tr w14:paraId="2F6B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50A9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5100" w:type="dxa"/>
            <w:noWrap/>
            <w:vAlign w:val="center"/>
          </w:tcPr>
          <w:p w14:paraId="09E56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白蛋白</w:t>
            </w:r>
          </w:p>
        </w:tc>
      </w:tr>
      <w:tr w14:paraId="7499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580D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5100" w:type="dxa"/>
            <w:noWrap/>
            <w:vAlign w:val="center"/>
          </w:tcPr>
          <w:p w14:paraId="49ECF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前白蛋白</w:t>
            </w:r>
          </w:p>
        </w:tc>
      </w:tr>
      <w:tr w14:paraId="2680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BD95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5100" w:type="dxa"/>
            <w:noWrap/>
            <w:vAlign w:val="center"/>
          </w:tcPr>
          <w:p w14:paraId="15EA1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总胆红素</w:t>
            </w:r>
          </w:p>
        </w:tc>
      </w:tr>
      <w:tr w14:paraId="294A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B171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5100" w:type="dxa"/>
            <w:noWrap/>
            <w:vAlign w:val="center"/>
          </w:tcPr>
          <w:p w14:paraId="679A5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直接胆红素</w:t>
            </w:r>
          </w:p>
        </w:tc>
      </w:tr>
      <w:tr w14:paraId="56ED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1525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5100" w:type="dxa"/>
            <w:noWrap/>
            <w:vAlign w:val="center"/>
          </w:tcPr>
          <w:p w14:paraId="7419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碱性磷酸酶</w:t>
            </w:r>
          </w:p>
        </w:tc>
      </w:tr>
      <w:tr w14:paraId="06A8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8AF4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5100" w:type="dxa"/>
            <w:noWrap/>
            <w:vAlign w:val="center"/>
          </w:tcPr>
          <w:p w14:paraId="41D6D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γ-谷氨酰基转移酶</w:t>
            </w:r>
          </w:p>
        </w:tc>
      </w:tr>
      <w:tr w14:paraId="093E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ED19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5100" w:type="dxa"/>
            <w:noWrap/>
            <w:vAlign w:val="center"/>
          </w:tcPr>
          <w:p w14:paraId="7566B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血清胆碱脂酶</w:t>
            </w:r>
          </w:p>
        </w:tc>
      </w:tr>
      <w:tr w14:paraId="7D5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39EC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5100" w:type="dxa"/>
            <w:noWrap/>
            <w:vAlign w:val="center"/>
          </w:tcPr>
          <w:p w14:paraId="4441C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总胆汁酸</w:t>
            </w:r>
          </w:p>
        </w:tc>
      </w:tr>
      <w:tr w14:paraId="1459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DBC0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5100" w:type="dxa"/>
            <w:noWrap/>
            <w:vAlign w:val="center"/>
          </w:tcPr>
          <w:p w14:paraId="5DA46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谷胱甘肽</w:t>
            </w:r>
          </w:p>
        </w:tc>
      </w:tr>
      <w:tr w14:paraId="2727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3FDB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p>
        </w:tc>
        <w:tc>
          <w:tcPr>
            <w:tcW w:w="5100" w:type="dxa"/>
            <w:noWrap/>
            <w:vAlign w:val="center"/>
          </w:tcPr>
          <w:p w14:paraId="1685E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血清腺苷脱氨酶</w:t>
            </w:r>
          </w:p>
        </w:tc>
      </w:tr>
      <w:tr w14:paraId="4E2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9461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5100" w:type="dxa"/>
            <w:noWrap/>
            <w:vAlign w:val="center"/>
          </w:tcPr>
          <w:p w14:paraId="34F63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α-L-岩藻糖苷酶</w:t>
            </w:r>
          </w:p>
        </w:tc>
      </w:tr>
      <w:tr w14:paraId="5F4B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5965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5100" w:type="dxa"/>
            <w:noWrap/>
            <w:vAlign w:val="center"/>
          </w:tcPr>
          <w:p w14:paraId="70B8B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铜蓝蛋白</w:t>
            </w:r>
          </w:p>
        </w:tc>
      </w:tr>
      <w:tr w14:paraId="4ED3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FD64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5100" w:type="dxa"/>
            <w:noWrap/>
            <w:vAlign w:val="center"/>
          </w:tcPr>
          <w:p w14:paraId="2B0C5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钾测定</w:t>
            </w:r>
          </w:p>
        </w:tc>
      </w:tr>
      <w:tr w14:paraId="322A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3BD9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w:t>
            </w:r>
          </w:p>
        </w:tc>
        <w:tc>
          <w:tcPr>
            <w:tcW w:w="5100" w:type="dxa"/>
            <w:noWrap/>
            <w:vAlign w:val="center"/>
          </w:tcPr>
          <w:p w14:paraId="29F2F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钠测定</w:t>
            </w:r>
          </w:p>
        </w:tc>
      </w:tr>
      <w:tr w14:paraId="3F54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F4FC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5100" w:type="dxa"/>
            <w:noWrap/>
            <w:vAlign w:val="center"/>
          </w:tcPr>
          <w:p w14:paraId="61229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氯测定</w:t>
            </w:r>
          </w:p>
        </w:tc>
      </w:tr>
      <w:tr w14:paraId="3CB5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D0FE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5100" w:type="dxa"/>
            <w:noWrap/>
            <w:vAlign w:val="center"/>
          </w:tcPr>
          <w:p w14:paraId="15976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钙测定</w:t>
            </w:r>
          </w:p>
        </w:tc>
      </w:tr>
      <w:tr w14:paraId="7FDD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A981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5100" w:type="dxa"/>
            <w:noWrap/>
            <w:vAlign w:val="center"/>
          </w:tcPr>
          <w:p w14:paraId="03921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镁测定</w:t>
            </w:r>
          </w:p>
        </w:tc>
      </w:tr>
      <w:tr w14:paraId="0276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6329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5100" w:type="dxa"/>
            <w:noWrap/>
            <w:vAlign w:val="center"/>
          </w:tcPr>
          <w:p w14:paraId="45AB8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无机磷测定</w:t>
            </w:r>
          </w:p>
        </w:tc>
      </w:tr>
      <w:tr w14:paraId="258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D6D3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5100" w:type="dxa"/>
            <w:noWrap/>
            <w:vAlign w:val="center"/>
          </w:tcPr>
          <w:p w14:paraId="3F1A0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CO2结合力</w:t>
            </w:r>
          </w:p>
        </w:tc>
      </w:tr>
      <w:tr w14:paraId="6DB3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63BC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5100" w:type="dxa"/>
            <w:noWrap/>
            <w:vAlign w:val="center"/>
          </w:tcPr>
          <w:p w14:paraId="2AB7E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肌酐测定</w:t>
            </w:r>
          </w:p>
        </w:tc>
      </w:tr>
      <w:tr w14:paraId="47BC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001C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5100" w:type="dxa"/>
            <w:noWrap/>
            <w:vAlign w:val="center"/>
          </w:tcPr>
          <w:p w14:paraId="6D10C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尿素测定</w:t>
            </w:r>
          </w:p>
        </w:tc>
      </w:tr>
      <w:tr w14:paraId="322E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4F7B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5100" w:type="dxa"/>
            <w:noWrap/>
            <w:vAlign w:val="center"/>
          </w:tcPr>
          <w:p w14:paraId="15FE5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血清尿酸</w:t>
            </w:r>
          </w:p>
        </w:tc>
      </w:tr>
      <w:tr w14:paraId="4755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2CFA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5100" w:type="dxa"/>
            <w:noWrap/>
            <w:vAlign w:val="center"/>
          </w:tcPr>
          <w:p w14:paraId="1284B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血清胱抑素C</w:t>
            </w:r>
          </w:p>
        </w:tc>
      </w:tr>
      <w:tr w14:paraId="645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50FF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5100" w:type="dxa"/>
            <w:noWrap/>
            <w:vAlign w:val="center"/>
          </w:tcPr>
          <w:p w14:paraId="22986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肌酸激酶</w:t>
            </w:r>
          </w:p>
        </w:tc>
      </w:tr>
      <w:tr w14:paraId="3A48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FD82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5100" w:type="dxa"/>
            <w:noWrap/>
            <w:vAlign w:val="center"/>
          </w:tcPr>
          <w:p w14:paraId="37340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肌酸激酶MB同工酶</w:t>
            </w:r>
          </w:p>
        </w:tc>
      </w:tr>
      <w:tr w14:paraId="647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FC6F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5100" w:type="dxa"/>
            <w:noWrap/>
            <w:vAlign w:val="center"/>
          </w:tcPr>
          <w:p w14:paraId="2EBF7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α羟基丁酸脱氢酶</w:t>
            </w:r>
          </w:p>
        </w:tc>
      </w:tr>
      <w:tr w14:paraId="3F0A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FB3E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5100" w:type="dxa"/>
            <w:noWrap/>
            <w:vAlign w:val="center"/>
          </w:tcPr>
          <w:p w14:paraId="655D6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乳酸脱氢酶</w:t>
            </w:r>
          </w:p>
        </w:tc>
      </w:tr>
      <w:tr w14:paraId="0362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D5AB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5100" w:type="dxa"/>
            <w:noWrap/>
            <w:vAlign w:val="center"/>
          </w:tcPr>
          <w:p w14:paraId="169D7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缺血修饰白蛋白</w:t>
            </w:r>
          </w:p>
        </w:tc>
      </w:tr>
      <w:tr w14:paraId="1841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1DED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5100" w:type="dxa"/>
            <w:noWrap/>
            <w:vAlign w:val="center"/>
          </w:tcPr>
          <w:p w14:paraId="039122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血清脂肪酶</w:t>
            </w:r>
          </w:p>
        </w:tc>
      </w:tr>
      <w:tr w14:paraId="3C24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D19F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5100" w:type="dxa"/>
            <w:noWrap/>
            <w:vAlign w:val="center"/>
          </w:tcPr>
          <w:p w14:paraId="57970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血淀粉酶</w:t>
            </w:r>
          </w:p>
        </w:tc>
      </w:tr>
      <w:tr w14:paraId="7407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B55C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5100" w:type="dxa"/>
            <w:noWrap/>
            <w:vAlign w:val="center"/>
          </w:tcPr>
          <w:p w14:paraId="0EAFD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尿淀粉酶</w:t>
            </w:r>
          </w:p>
        </w:tc>
      </w:tr>
      <w:tr w14:paraId="23FF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CBA1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5100" w:type="dxa"/>
            <w:noWrap/>
            <w:vAlign w:val="center"/>
          </w:tcPr>
          <w:p w14:paraId="3AE48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总胆固醇</w:t>
            </w:r>
          </w:p>
        </w:tc>
      </w:tr>
      <w:tr w14:paraId="319B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DD91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5100" w:type="dxa"/>
            <w:noWrap/>
            <w:vAlign w:val="center"/>
          </w:tcPr>
          <w:p w14:paraId="1D9F4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甘油三酯</w:t>
            </w:r>
          </w:p>
        </w:tc>
      </w:tr>
      <w:tr w14:paraId="215A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97FC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w:t>
            </w:r>
          </w:p>
        </w:tc>
        <w:tc>
          <w:tcPr>
            <w:tcW w:w="5100" w:type="dxa"/>
            <w:noWrap/>
            <w:vAlign w:val="center"/>
          </w:tcPr>
          <w:p w14:paraId="42F14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高密度脂蛋白</w:t>
            </w:r>
          </w:p>
        </w:tc>
      </w:tr>
      <w:tr w14:paraId="2B65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D0BA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w:t>
            </w:r>
          </w:p>
        </w:tc>
        <w:tc>
          <w:tcPr>
            <w:tcW w:w="5100" w:type="dxa"/>
            <w:noWrap/>
            <w:vAlign w:val="center"/>
          </w:tcPr>
          <w:p w14:paraId="16D0C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低密度脂蛋白</w:t>
            </w:r>
          </w:p>
        </w:tc>
      </w:tr>
      <w:tr w14:paraId="6A7D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7E40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w:t>
            </w:r>
          </w:p>
        </w:tc>
        <w:tc>
          <w:tcPr>
            <w:tcW w:w="5100" w:type="dxa"/>
            <w:noWrap/>
            <w:vAlign w:val="center"/>
          </w:tcPr>
          <w:p w14:paraId="2069E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载脂蛋白AⅠ</w:t>
            </w:r>
          </w:p>
        </w:tc>
      </w:tr>
      <w:tr w14:paraId="610B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F11B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5100" w:type="dxa"/>
            <w:noWrap/>
            <w:vAlign w:val="center"/>
          </w:tcPr>
          <w:p w14:paraId="32455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载脂蛋白B</w:t>
            </w:r>
          </w:p>
        </w:tc>
      </w:tr>
      <w:tr w14:paraId="068F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D1BC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5100" w:type="dxa"/>
            <w:noWrap/>
            <w:vAlign w:val="center"/>
          </w:tcPr>
          <w:p w14:paraId="509D6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同型半胱氨酸</w:t>
            </w:r>
          </w:p>
        </w:tc>
      </w:tr>
      <w:tr w14:paraId="7145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4AD4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5100" w:type="dxa"/>
            <w:noWrap/>
            <w:vAlign w:val="center"/>
          </w:tcPr>
          <w:p w14:paraId="68EAD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血清葡萄糖</w:t>
            </w:r>
          </w:p>
        </w:tc>
      </w:tr>
      <w:tr w14:paraId="30A8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9080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5100" w:type="dxa"/>
            <w:noWrap/>
            <w:vAlign w:val="center"/>
          </w:tcPr>
          <w:p w14:paraId="679C2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糖化血红蛋白</w:t>
            </w:r>
          </w:p>
        </w:tc>
      </w:tr>
      <w:tr w14:paraId="1982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127C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c>
          <w:tcPr>
            <w:tcW w:w="5100" w:type="dxa"/>
            <w:noWrap/>
            <w:vAlign w:val="center"/>
          </w:tcPr>
          <w:p w14:paraId="7D32D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葡萄糖6－磷酸脱氢酶活性检测</w:t>
            </w:r>
          </w:p>
        </w:tc>
      </w:tr>
      <w:tr w14:paraId="4BDA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81BF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5100" w:type="dxa"/>
            <w:noWrap/>
            <w:vAlign w:val="center"/>
          </w:tcPr>
          <w:p w14:paraId="79D75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血气分析+乳酸</w:t>
            </w:r>
          </w:p>
        </w:tc>
      </w:tr>
      <w:tr w14:paraId="1D8D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31C4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5100" w:type="dxa"/>
            <w:noWrap/>
            <w:vAlign w:val="center"/>
          </w:tcPr>
          <w:p w14:paraId="1A484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血酮</w:t>
            </w:r>
          </w:p>
        </w:tc>
      </w:tr>
      <w:tr w14:paraId="7B75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5907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w:t>
            </w:r>
          </w:p>
        </w:tc>
        <w:tc>
          <w:tcPr>
            <w:tcW w:w="5100" w:type="dxa"/>
            <w:noWrap/>
            <w:vAlign w:val="center"/>
          </w:tcPr>
          <w:p w14:paraId="06A35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超敏C反应蛋白</w:t>
            </w:r>
          </w:p>
        </w:tc>
      </w:tr>
      <w:tr w14:paraId="345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0DDF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w:t>
            </w:r>
          </w:p>
        </w:tc>
        <w:tc>
          <w:tcPr>
            <w:tcW w:w="5100" w:type="dxa"/>
            <w:noWrap/>
            <w:vAlign w:val="center"/>
          </w:tcPr>
          <w:p w14:paraId="6E255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抗链球菌溶血素O</w:t>
            </w:r>
          </w:p>
        </w:tc>
      </w:tr>
      <w:tr w14:paraId="52AE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77E6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w:t>
            </w:r>
          </w:p>
        </w:tc>
        <w:tc>
          <w:tcPr>
            <w:tcW w:w="5100" w:type="dxa"/>
            <w:noWrap/>
            <w:vAlign w:val="center"/>
          </w:tcPr>
          <w:p w14:paraId="64C2AA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类风湿因子</w:t>
            </w:r>
          </w:p>
        </w:tc>
      </w:tr>
      <w:tr w14:paraId="3CD7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0A62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5100" w:type="dxa"/>
            <w:noWrap/>
            <w:vAlign w:val="center"/>
          </w:tcPr>
          <w:p w14:paraId="3EDC3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红细胞沉降率测定(ESR)</w:t>
            </w:r>
          </w:p>
        </w:tc>
      </w:tr>
      <w:tr w14:paraId="61A5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2483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5100" w:type="dxa"/>
            <w:noWrap/>
            <w:vAlign w:val="center"/>
          </w:tcPr>
          <w:p w14:paraId="1608E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免疫球蛋白IgA</w:t>
            </w:r>
          </w:p>
        </w:tc>
      </w:tr>
      <w:tr w14:paraId="57A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BBBB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5100" w:type="dxa"/>
            <w:noWrap/>
            <w:vAlign w:val="center"/>
          </w:tcPr>
          <w:p w14:paraId="114BE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免疫球蛋白IgG</w:t>
            </w:r>
          </w:p>
        </w:tc>
      </w:tr>
      <w:tr w14:paraId="2F40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6919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5100" w:type="dxa"/>
            <w:noWrap/>
            <w:vAlign w:val="center"/>
          </w:tcPr>
          <w:p w14:paraId="56421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免疫球蛋白IgM</w:t>
            </w:r>
          </w:p>
        </w:tc>
      </w:tr>
      <w:tr w14:paraId="2BF7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C3A4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w:t>
            </w:r>
          </w:p>
        </w:tc>
        <w:tc>
          <w:tcPr>
            <w:tcW w:w="5100" w:type="dxa"/>
            <w:noWrap/>
            <w:vAlign w:val="center"/>
          </w:tcPr>
          <w:p w14:paraId="56D78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补体C3</w:t>
            </w:r>
          </w:p>
        </w:tc>
      </w:tr>
      <w:tr w14:paraId="7D9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5E5A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5100" w:type="dxa"/>
            <w:noWrap/>
            <w:vAlign w:val="center"/>
          </w:tcPr>
          <w:p w14:paraId="4D5B7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补体C4</w:t>
            </w:r>
          </w:p>
        </w:tc>
      </w:tr>
      <w:tr w14:paraId="4C36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5A35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w:t>
            </w:r>
          </w:p>
        </w:tc>
        <w:tc>
          <w:tcPr>
            <w:tcW w:w="5100" w:type="dxa"/>
            <w:noWrap/>
            <w:vAlign w:val="center"/>
          </w:tcPr>
          <w:p w14:paraId="1BDA8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尿尿酸</w:t>
            </w:r>
          </w:p>
        </w:tc>
      </w:tr>
      <w:tr w14:paraId="5850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4A62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w:t>
            </w:r>
          </w:p>
        </w:tc>
        <w:tc>
          <w:tcPr>
            <w:tcW w:w="5100" w:type="dxa"/>
            <w:noWrap/>
            <w:vAlign w:val="center"/>
          </w:tcPr>
          <w:p w14:paraId="29F56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尿微量白蛋白</w:t>
            </w:r>
          </w:p>
        </w:tc>
      </w:tr>
      <w:tr w14:paraId="391D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F161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w:t>
            </w:r>
          </w:p>
        </w:tc>
        <w:tc>
          <w:tcPr>
            <w:tcW w:w="5100" w:type="dxa"/>
            <w:noWrap/>
            <w:vAlign w:val="center"/>
          </w:tcPr>
          <w:p w14:paraId="05D8E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尿蛋白定量</w:t>
            </w:r>
          </w:p>
        </w:tc>
      </w:tr>
      <w:tr w14:paraId="0875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1E38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99</w:t>
            </w:r>
          </w:p>
        </w:tc>
        <w:tc>
          <w:tcPr>
            <w:tcW w:w="5100" w:type="dxa"/>
            <w:noWrap/>
            <w:vAlign w:val="center"/>
          </w:tcPr>
          <w:p w14:paraId="2C6F3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脑脊液生化</w:t>
            </w:r>
          </w:p>
        </w:tc>
      </w:tr>
      <w:tr w14:paraId="1707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3DD5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5100" w:type="dxa"/>
            <w:noWrap/>
            <w:vAlign w:val="center"/>
          </w:tcPr>
          <w:p w14:paraId="11FF6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胸水生化</w:t>
            </w:r>
          </w:p>
        </w:tc>
      </w:tr>
      <w:tr w14:paraId="14D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235D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5100" w:type="dxa"/>
            <w:noWrap/>
            <w:vAlign w:val="center"/>
          </w:tcPr>
          <w:p w14:paraId="2F524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腹水生化</w:t>
            </w:r>
          </w:p>
        </w:tc>
      </w:tr>
      <w:tr w14:paraId="7ABD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D868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5100" w:type="dxa"/>
            <w:noWrap/>
            <w:vAlign w:val="center"/>
          </w:tcPr>
          <w:p w14:paraId="5EF69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关节液生化</w:t>
            </w:r>
          </w:p>
        </w:tc>
      </w:tr>
      <w:tr w14:paraId="0FB4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2318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5100" w:type="dxa"/>
            <w:noWrap/>
            <w:vAlign w:val="center"/>
          </w:tcPr>
          <w:p w14:paraId="06D0A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各种穿刺液生化</w:t>
            </w:r>
          </w:p>
        </w:tc>
      </w:tr>
      <w:tr w14:paraId="2D3B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3C33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5100" w:type="dxa"/>
            <w:noWrap/>
            <w:vAlign w:val="center"/>
          </w:tcPr>
          <w:p w14:paraId="356C3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促甲状腺激素【TSH】</w:t>
            </w:r>
          </w:p>
        </w:tc>
      </w:tr>
      <w:tr w14:paraId="6591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960C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5100" w:type="dxa"/>
            <w:noWrap/>
            <w:vAlign w:val="center"/>
          </w:tcPr>
          <w:p w14:paraId="2910C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游离三碘甲状腺原氨酸【FT3】</w:t>
            </w:r>
          </w:p>
        </w:tc>
      </w:tr>
      <w:tr w14:paraId="091A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9419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5100" w:type="dxa"/>
            <w:noWrap/>
            <w:vAlign w:val="center"/>
          </w:tcPr>
          <w:p w14:paraId="772C2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游离甲状腺素【FT4】</w:t>
            </w:r>
          </w:p>
        </w:tc>
      </w:tr>
      <w:tr w14:paraId="6522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1712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5100" w:type="dxa"/>
            <w:noWrap/>
            <w:vAlign w:val="center"/>
          </w:tcPr>
          <w:p w14:paraId="48AAC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血清甲状腺素【总T4】</w:t>
            </w:r>
          </w:p>
        </w:tc>
      </w:tr>
      <w:tr w14:paraId="3B7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0663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5100" w:type="dxa"/>
            <w:noWrap/>
            <w:vAlign w:val="center"/>
          </w:tcPr>
          <w:p w14:paraId="0F02F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血清三碘甲状原氨酸【总T3】</w:t>
            </w:r>
          </w:p>
        </w:tc>
      </w:tr>
      <w:tr w14:paraId="3427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17B6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w:t>
            </w:r>
          </w:p>
        </w:tc>
        <w:tc>
          <w:tcPr>
            <w:tcW w:w="5100" w:type="dxa"/>
            <w:noWrap/>
            <w:vAlign w:val="center"/>
          </w:tcPr>
          <w:p w14:paraId="16CF1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促甲状腺素受体抗体【TRAb】</w:t>
            </w:r>
          </w:p>
        </w:tc>
      </w:tr>
      <w:tr w14:paraId="51BD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7DEA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5100" w:type="dxa"/>
            <w:noWrap/>
            <w:vAlign w:val="center"/>
          </w:tcPr>
          <w:p w14:paraId="78E22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抗甲状腺过氧化物酶抗体【TPOAb】</w:t>
            </w:r>
          </w:p>
        </w:tc>
      </w:tr>
      <w:tr w14:paraId="78BE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D2E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5100" w:type="dxa"/>
            <w:noWrap/>
            <w:vAlign w:val="center"/>
          </w:tcPr>
          <w:p w14:paraId="4DD56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抗甲状腺球蛋白抗体(TGAb)</w:t>
            </w:r>
          </w:p>
        </w:tc>
      </w:tr>
      <w:tr w14:paraId="136E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0FC0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5100" w:type="dxa"/>
            <w:noWrap/>
            <w:vAlign w:val="center"/>
          </w:tcPr>
          <w:p w14:paraId="29FAC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血清【Hcg】</w:t>
            </w:r>
          </w:p>
        </w:tc>
      </w:tr>
      <w:tr w14:paraId="01B6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8191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5100" w:type="dxa"/>
            <w:noWrap/>
            <w:vAlign w:val="center"/>
          </w:tcPr>
          <w:p w14:paraId="6FA4A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孕酮</w:t>
            </w:r>
          </w:p>
        </w:tc>
      </w:tr>
      <w:tr w14:paraId="2D89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7337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5100" w:type="dxa"/>
            <w:noWrap/>
            <w:vAlign w:val="center"/>
          </w:tcPr>
          <w:p w14:paraId="1FEDF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血清泌乳素</w:t>
            </w:r>
          </w:p>
        </w:tc>
      </w:tr>
      <w:tr w14:paraId="5286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0BC85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5100" w:type="dxa"/>
            <w:noWrap/>
            <w:vAlign w:val="center"/>
          </w:tcPr>
          <w:p w14:paraId="40F41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雌二醇</w:t>
            </w:r>
          </w:p>
        </w:tc>
      </w:tr>
      <w:tr w14:paraId="49E1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65C7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5100" w:type="dxa"/>
            <w:noWrap/>
            <w:vAlign w:val="center"/>
          </w:tcPr>
          <w:p w14:paraId="53C7E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血清促黄体生成素</w:t>
            </w:r>
          </w:p>
        </w:tc>
      </w:tr>
      <w:tr w14:paraId="03FE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A059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5100" w:type="dxa"/>
            <w:noWrap/>
            <w:vAlign w:val="center"/>
          </w:tcPr>
          <w:p w14:paraId="7E924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血清促卵泡刺激素</w:t>
            </w:r>
          </w:p>
        </w:tc>
      </w:tr>
      <w:tr w14:paraId="7EC5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1BEA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w:t>
            </w:r>
          </w:p>
        </w:tc>
        <w:tc>
          <w:tcPr>
            <w:tcW w:w="5100" w:type="dxa"/>
            <w:noWrap/>
            <w:vAlign w:val="center"/>
          </w:tcPr>
          <w:p w14:paraId="3B6BF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睾酮</w:t>
            </w:r>
          </w:p>
        </w:tc>
      </w:tr>
      <w:tr w14:paraId="5D4E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D62F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w:t>
            </w:r>
          </w:p>
        </w:tc>
        <w:tc>
          <w:tcPr>
            <w:tcW w:w="5100" w:type="dxa"/>
            <w:noWrap/>
            <w:vAlign w:val="center"/>
          </w:tcPr>
          <w:p w14:paraId="61568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抗缪勒管激素(AMH)</w:t>
            </w:r>
          </w:p>
        </w:tc>
      </w:tr>
      <w:tr w14:paraId="7FC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EE62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5100" w:type="dxa"/>
            <w:noWrap/>
            <w:vAlign w:val="center"/>
          </w:tcPr>
          <w:p w14:paraId="45C4C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癌胚抗原【CEA】</w:t>
            </w:r>
          </w:p>
        </w:tc>
      </w:tr>
      <w:tr w14:paraId="261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890D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5100" w:type="dxa"/>
            <w:noWrap/>
            <w:vAlign w:val="center"/>
          </w:tcPr>
          <w:p w14:paraId="1F3CA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甲胎蛋白【AFP】</w:t>
            </w:r>
          </w:p>
        </w:tc>
      </w:tr>
      <w:tr w14:paraId="76ED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FDFA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5100" w:type="dxa"/>
            <w:noWrap/>
            <w:vAlign w:val="center"/>
          </w:tcPr>
          <w:p w14:paraId="308D9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CA125</w:t>
            </w:r>
          </w:p>
        </w:tc>
      </w:tr>
      <w:tr w14:paraId="6DC1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2238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5100" w:type="dxa"/>
            <w:noWrap/>
            <w:vAlign w:val="center"/>
          </w:tcPr>
          <w:p w14:paraId="1AEAA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CA153</w:t>
            </w:r>
          </w:p>
        </w:tc>
      </w:tr>
      <w:tr w14:paraId="16EA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6A18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p>
        </w:tc>
        <w:tc>
          <w:tcPr>
            <w:tcW w:w="5100" w:type="dxa"/>
            <w:noWrap/>
            <w:vAlign w:val="center"/>
          </w:tcPr>
          <w:p w14:paraId="2BB7C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CA199</w:t>
            </w:r>
          </w:p>
        </w:tc>
      </w:tr>
      <w:tr w14:paraId="4AE8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C376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p>
        </w:tc>
        <w:tc>
          <w:tcPr>
            <w:tcW w:w="5100" w:type="dxa"/>
            <w:noWrap/>
            <w:vAlign w:val="center"/>
          </w:tcPr>
          <w:p w14:paraId="736E3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总前列腺抗原【TPSA】</w:t>
            </w:r>
          </w:p>
        </w:tc>
      </w:tr>
      <w:tr w14:paraId="7AFA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3DB2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w:t>
            </w:r>
          </w:p>
        </w:tc>
        <w:tc>
          <w:tcPr>
            <w:tcW w:w="5100" w:type="dxa"/>
            <w:noWrap/>
            <w:vAlign w:val="center"/>
          </w:tcPr>
          <w:p w14:paraId="58017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游离前列腺抗原【FPSA】</w:t>
            </w:r>
          </w:p>
        </w:tc>
      </w:tr>
      <w:tr w14:paraId="4E26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5871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w:t>
            </w:r>
          </w:p>
        </w:tc>
        <w:tc>
          <w:tcPr>
            <w:tcW w:w="5100" w:type="dxa"/>
            <w:noWrap/>
            <w:vAlign w:val="center"/>
          </w:tcPr>
          <w:p w14:paraId="1B52C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人附睾蛋白4【HE4】</w:t>
            </w:r>
          </w:p>
        </w:tc>
      </w:tr>
      <w:tr w14:paraId="4DC2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9DED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w:t>
            </w:r>
          </w:p>
        </w:tc>
        <w:tc>
          <w:tcPr>
            <w:tcW w:w="5100" w:type="dxa"/>
            <w:noWrap/>
            <w:vAlign w:val="center"/>
          </w:tcPr>
          <w:p w14:paraId="2FB9E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C肽</w:t>
            </w:r>
          </w:p>
        </w:tc>
      </w:tr>
      <w:tr w14:paraId="5630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E038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w:t>
            </w:r>
          </w:p>
        </w:tc>
        <w:tc>
          <w:tcPr>
            <w:tcW w:w="5100" w:type="dxa"/>
            <w:noWrap/>
            <w:vAlign w:val="center"/>
          </w:tcPr>
          <w:p w14:paraId="32CA8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胰岛素</w:t>
            </w:r>
          </w:p>
        </w:tc>
      </w:tr>
      <w:tr w14:paraId="2CF9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3BFC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5100" w:type="dxa"/>
            <w:noWrap/>
            <w:vAlign w:val="center"/>
          </w:tcPr>
          <w:p w14:paraId="4436C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肌红蛋白</w:t>
            </w:r>
          </w:p>
        </w:tc>
      </w:tr>
      <w:tr w14:paraId="41BB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3DFD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5100" w:type="dxa"/>
            <w:noWrap/>
            <w:vAlign w:val="center"/>
          </w:tcPr>
          <w:p w14:paraId="2B591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肌钙蛋白T</w:t>
            </w:r>
          </w:p>
        </w:tc>
      </w:tr>
      <w:tr w14:paraId="6F08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65E4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5100" w:type="dxa"/>
            <w:noWrap/>
            <w:vAlign w:val="center"/>
          </w:tcPr>
          <w:p w14:paraId="39DA6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B型钠尿肽前体</w:t>
            </w:r>
          </w:p>
        </w:tc>
      </w:tr>
      <w:tr w14:paraId="3B4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137C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5100" w:type="dxa"/>
            <w:noWrap/>
            <w:vAlign w:val="center"/>
          </w:tcPr>
          <w:p w14:paraId="573E0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胃蛋白酶原I.II(PGI、PGII）+胃泌素17</w:t>
            </w:r>
          </w:p>
        </w:tc>
      </w:tr>
      <w:tr w14:paraId="004E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5720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5100" w:type="dxa"/>
            <w:noWrap/>
            <w:vAlign w:val="center"/>
          </w:tcPr>
          <w:p w14:paraId="4AFD9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维生素B12</w:t>
            </w:r>
          </w:p>
        </w:tc>
      </w:tr>
      <w:tr w14:paraId="6C03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98D6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5100" w:type="dxa"/>
            <w:noWrap/>
            <w:vAlign w:val="center"/>
          </w:tcPr>
          <w:p w14:paraId="23D3F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叶酸</w:t>
            </w:r>
          </w:p>
        </w:tc>
      </w:tr>
      <w:tr w14:paraId="66C1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1717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w:t>
            </w:r>
          </w:p>
        </w:tc>
        <w:tc>
          <w:tcPr>
            <w:tcW w:w="5100" w:type="dxa"/>
            <w:noWrap/>
            <w:vAlign w:val="center"/>
          </w:tcPr>
          <w:p w14:paraId="1B11B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血清铁蛋白</w:t>
            </w:r>
          </w:p>
        </w:tc>
      </w:tr>
      <w:tr w14:paraId="5C84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AFA5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w:t>
            </w:r>
          </w:p>
        </w:tc>
        <w:tc>
          <w:tcPr>
            <w:tcW w:w="5100" w:type="dxa"/>
            <w:noWrap/>
            <w:vAlign w:val="center"/>
          </w:tcPr>
          <w:p w14:paraId="797D9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胃蛋白酶原I.II(PGI、PGII）+胃泌素17</w:t>
            </w:r>
          </w:p>
        </w:tc>
      </w:tr>
      <w:tr w14:paraId="4D2A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A3E5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w:t>
            </w:r>
          </w:p>
        </w:tc>
        <w:tc>
          <w:tcPr>
            <w:tcW w:w="5100" w:type="dxa"/>
            <w:noWrap/>
            <w:vAlign w:val="center"/>
          </w:tcPr>
          <w:p w14:paraId="6D459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抗心磷脂抗体3项</w:t>
            </w:r>
          </w:p>
        </w:tc>
      </w:tr>
      <w:tr w14:paraId="36B1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E92A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139</w:t>
            </w:r>
          </w:p>
        </w:tc>
        <w:tc>
          <w:tcPr>
            <w:tcW w:w="5100" w:type="dxa"/>
            <w:noWrap/>
            <w:vAlign w:val="center"/>
          </w:tcPr>
          <w:p w14:paraId="0B8C5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糖尿病自身抗体4项</w:t>
            </w:r>
          </w:p>
        </w:tc>
      </w:tr>
      <w:tr w14:paraId="7530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A509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5100" w:type="dxa"/>
            <w:noWrap/>
            <w:vAlign w:val="center"/>
          </w:tcPr>
          <w:p w14:paraId="07AF6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抗核抗体(ANA)【定量】</w:t>
            </w:r>
          </w:p>
        </w:tc>
      </w:tr>
      <w:tr w14:paraId="3BC4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DBDD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5100" w:type="dxa"/>
            <w:noWrap/>
            <w:vAlign w:val="center"/>
          </w:tcPr>
          <w:p w14:paraId="0F9AC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抗双链DNA抗体【定量】</w:t>
            </w:r>
          </w:p>
        </w:tc>
      </w:tr>
      <w:tr w14:paraId="2996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B21C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5100" w:type="dxa"/>
            <w:noWrap/>
            <w:vAlign w:val="center"/>
          </w:tcPr>
          <w:p w14:paraId="4B3CA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肺炎支原体IgM抗体【定量】</w:t>
            </w:r>
          </w:p>
        </w:tc>
      </w:tr>
      <w:tr w14:paraId="6291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F6C4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5100" w:type="dxa"/>
            <w:noWrap/>
            <w:vAlign w:val="center"/>
          </w:tcPr>
          <w:p w14:paraId="6B958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单纯疱疹病毒 I 型IgM抗体定量</w:t>
            </w:r>
          </w:p>
        </w:tc>
      </w:tr>
      <w:tr w14:paraId="7984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D51B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5100" w:type="dxa"/>
            <w:noWrap/>
            <w:vAlign w:val="center"/>
          </w:tcPr>
          <w:p w14:paraId="4B12A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单纯疱疹病毒 II 型IgM抗体定量</w:t>
            </w:r>
          </w:p>
        </w:tc>
      </w:tr>
      <w:tr w14:paraId="1DF3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987F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c>
          <w:tcPr>
            <w:tcW w:w="5100" w:type="dxa"/>
            <w:noWrap/>
            <w:vAlign w:val="center"/>
          </w:tcPr>
          <w:p w14:paraId="036D9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风疹病毒IgM抗体定量</w:t>
            </w:r>
          </w:p>
        </w:tc>
      </w:tr>
      <w:tr w14:paraId="2BD4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2F84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w:t>
            </w:r>
          </w:p>
        </w:tc>
        <w:tc>
          <w:tcPr>
            <w:tcW w:w="5100" w:type="dxa"/>
            <w:noWrap/>
            <w:vAlign w:val="center"/>
          </w:tcPr>
          <w:p w14:paraId="269A2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弓形体IgM抗体定量</w:t>
            </w:r>
          </w:p>
        </w:tc>
      </w:tr>
      <w:tr w14:paraId="7F00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9D18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w:t>
            </w:r>
          </w:p>
        </w:tc>
        <w:tc>
          <w:tcPr>
            <w:tcW w:w="5100" w:type="dxa"/>
            <w:noWrap/>
            <w:vAlign w:val="center"/>
          </w:tcPr>
          <w:p w14:paraId="01EAC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巨细胞病毒IgM抗体定量</w:t>
            </w:r>
          </w:p>
        </w:tc>
      </w:tr>
      <w:tr w14:paraId="127A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B312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w:t>
            </w:r>
          </w:p>
        </w:tc>
        <w:tc>
          <w:tcPr>
            <w:tcW w:w="5100" w:type="dxa"/>
            <w:noWrap/>
            <w:vAlign w:val="center"/>
          </w:tcPr>
          <w:p w14:paraId="0FA20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甲肝病毒IgM抗体【定量】</w:t>
            </w:r>
          </w:p>
        </w:tc>
      </w:tr>
      <w:tr w14:paraId="1AA0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389D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w:t>
            </w:r>
          </w:p>
        </w:tc>
        <w:tc>
          <w:tcPr>
            <w:tcW w:w="5100" w:type="dxa"/>
            <w:noWrap/>
            <w:vAlign w:val="center"/>
          </w:tcPr>
          <w:p w14:paraId="4653A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戊肝病毒IgM抗体【定量】</w:t>
            </w:r>
          </w:p>
        </w:tc>
      </w:tr>
      <w:tr w14:paraId="770A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E2A9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5100" w:type="dxa"/>
            <w:noWrap/>
            <w:vAlign w:val="center"/>
          </w:tcPr>
          <w:p w14:paraId="6EF79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乙肝两对半</w:t>
            </w:r>
          </w:p>
        </w:tc>
      </w:tr>
      <w:tr w14:paraId="694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AA42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5100" w:type="dxa"/>
            <w:noWrap/>
            <w:vAlign w:val="center"/>
          </w:tcPr>
          <w:p w14:paraId="58E8D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乙肝两对半【定量】</w:t>
            </w:r>
          </w:p>
        </w:tc>
      </w:tr>
      <w:tr w14:paraId="203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3277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5100" w:type="dxa"/>
            <w:noWrap/>
            <w:vAlign w:val="center"/>
          </w:tcPr>
          <w:p w14:paraId="12FB6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HIV病毒抗体/P24抗原【定量】</w:t>
            </w:r>
          </w:p>
        </w:tc>
      </w:tr>
      <w:tr w14:paraId="528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45E5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p>
        </w:tc>
        <w:tc>
          <w:tcPr>
            <w:tcW w:w="5100" w:type="dxa"/>
            <w:noWrap/>
            <w:vAlign w:val="center"/>
          </w:tcPr>
          <w:p w14:paraId="78078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HIV病毒抗体【定性】</w:t>
            </w:r>
          </w:p>
        </w:tc>
      </w:tr>
      <w:tr w14:paraId="649D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92CA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5100" w:type="dxa"/>
            <w:noWrap/>
            <w:vAlign w:val="center"/>
          </w:tcPr>
          <w:p w14:paraId="13658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梅毒螺旋体特异性抗体【定量】</w:t>
            </w:r>
          </w:p>
        </w:tc>
      </w:tr>
      <w:tr w14:paraId="5F3F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A6A4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w:t>
            </w:r>
          </w:p>
        </w:tc>
        <w:tc>
          <w:tcPr>
            <w:tcW w:w="5100" w:type="dxa"/>
            <w:noWrap/>
            <w:vAlign w:val="center"/>
          </w:tcPr>
          <w:p w14:paraId="34223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梅毒螺旋体特异性抗体【定性】</w:t>
            </w:r>
          </w:p>
        </w:tc>
      </w:tr>
      <w:tr w14:paraId="1B53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D004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w:t>
            </w:r>
          </w:p>
        </w:tc>
        <w:tc>
          <w:tcPr>
            <w:tcW w:w="5100" w:type="dxa"/>
            <w:noWrap/>
            <w:vAlign w:val="center"/>
          </w:tcPr>
          <w:p w14:paraId="597FB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丙肝病毒抗体【定量】</w:t>
            </w:r>
          </w:p>
        </w:tc>
      </w:tr>
      <w:tr w14:paraId="79B3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2176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w:t>
            </w:r>
          </w:p>
        </w:tc>
        <w:tc>
          <w:tcPr>
            <w:tcW w:w="5100" w:type="dxa"/>
            <w:noWrap/>
            <w:vAlign w:val="center"/>
          </w:tcPr>
          <w:p w14:paraId="70F7A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丙肝病毒抗体【定性】</w:t>
            </w:r>
          </w:p>
        </w:tc>
      </w:tr>
      <w:tr w14:paraId="69E4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2B10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w:t>
            </w:r>
          </w:p>
        </w:tc>
        <w:tc>
          <w:tcPr>
            <w:tcW w:w="5100" w:type="dxa"/>
            <w:noWrap/>
            <w:vAlign w:val="center"/>
          </w:tcPr>
          <w:p w14:paraId="53EE7A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梅毒血清学试验(TRUST)</w:t>
            </w:r>
          </w:p>
        </w:tc>
      </w:tr>
      <w:tr w14:paraId="22FC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6EE1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w:t>
            </w:r>
          </w:p>
        </w:tc>
        <w:tc>
          <w:tcPr>
            <w:tcW w:w="5100" w:type="dxa"/>
            <w:noWrap/>
            <w:vAlign w:val="center"/>
          </w:tcPr>
          <w:p w14:paraId="7FF77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幽门螺杆菌抗体检测</w:t>
            </w:r>
          </w:p>
        </w:tc>
      </w:tr>
      <w:tr w14:paraId="4EF1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2BE1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5100" w:type="dxa"/>
            <w:noWrap/>
            <w:vAlign w:val="center"/>
          </w:tcPr>
          <w:p w14:paraId="10492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登革热病毒IgM+IgG抗体</w:t>
            </w:r>
          </w:p>
        </w:tc>
      </w:tr>
      <w:tr w14:paraId="0996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80C8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5100" w:type="dxa"/>
            <w:noWrap/>
            <w:vAlign w:val="center"/>
          </w:tcPr>
          <w:p w14:paraId="67AA6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登革热病毒NS1抗原</w:t>
            </w:r>
          </w:p>
        </w:tc>
      </w:tr>
      <w:tr w14:paraId="4D3C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F227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5100" w:type="dxa"/>
            <w:noWrap/>
            <w:vAlign w:val="center"/>
          </w:tcPr>
          <w:p w14:paraId="1C393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EB病毒VCA-IgA抗体</w:t>
            </w:r>
          </w:p>
        </w:tc>
      </w:tr>
      <w:tr w14:paraId="0A50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138C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5100" w:type="dxa"/>
            <w:noWrap/>
            <w:vAlign w:val="center"/>
          </w:tcPr>
          <w:p w14:paraId="04C72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一般细菌培养及鉴定</w:t>
            </w:r>
          </w:p>
        </w:tc>
      </w:tr>
      <w:tr w14:paraId="1669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4FC08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p>
        </w:tc>
        <w:tc>
          <w:tcPr>
            <w:tcW w:w="5100" w:type="dxa"/>
            <w:noWrap/>
            <w:vAlign w:val="center"/>
          </w:tcPr>
          <w:p w14:paraId="7EF88F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常规药敏定量试验(MIC)</w:t>
            </w:r>
          </w:p>
        </w:tc>
      </w:tr>
      <w:tr w14:paraId="68D6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91E2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w:t>
            </w:r>
          </w:p>
        </w:tc>
        <w:tc>
          <w:tcPr>
            <w:tcW w:w="5100" w:type="dxa"/>
            <w:noWrap/>
            <w:vAlign w:val="center"/>
          </w:tcPr>
          <w:p w14:paraId="5C0EA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真菌培养鉴定</w:t>
            </w:r>
          </w:p>
        </w:tc>
      </w:tr>
      <w:tr w14:paraId="7905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1FBA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w:t>
            </w:r>
          </w:p>
        </w:tc>
        <w:tc>
          <w:tcPr>
            <w:tcW w:w="5100" w:type="dxa"/>
            <w:noWrap/>
            <w:vAlign w:val="center"/>
          </w:tcPr>
          <w:p w14:paraId="1D195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真菌药敏实验</w:t>
            </w:r>
          </w:p>
        </w:tc>
      </w:tr>
      <w:tr w14:paraId="2235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9B71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167</w:t>
            </w:r>
          </w:p>
        </w:tc>
        <w:tc>
          <w:tcPr>
            <w:tcW w:w="5100" w:type="dxa"/>
            <w:noWrap/>
            <w:vAlign w:val="center"/>
          </w:tcPr>
          <w:p w14:paraId="41E3E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中段尿细菌培养与菌落计数</w:t>
            </w:r>
          </w:p>
        </w:tc>
      </w:tr>
      <w:tr w14:paraId="261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2F486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w:t>
            </w:r>
          </w:p>
        </w:tc>
        <w:tc>
          <w:tcPr>
            <w:tcW w:w="5100" w:type="dxa"/>
            <w:noWrap/>
            <w:vAlign w:val="center"/>
          </w:tcPr>
          <w:p w14:paraId="73D56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静脉血【需氧菌+厌氧菌】培养</w:t>
            </w:r>
          </w:p>
        </w:tc>
      </w:tr>
      <w:tr w14:paraId="4B59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2F22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169</w:t>
            </w:r>
          </w:p>
        </w:tc>
        <w:tc>
          <w:tcPr>
            <w:tcW w:w="5100" w:type="dxa"/>
            <w:noWrap/>
            <w:vAlign w:val="center"/>
          </w:tcPr>
          <w:p w14:paraId="7AE7E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淋球菌培养</w:t>
            </w:r>
          </w:p>
        </w:tc>
      </w:tr>
      <w:tr w14:paraId="7C7F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DC19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170</w:t>
            </w:r>
          </w:p>
        </w:tc>
        <w:tc>
          <w:tcPr>
            <w:tcW w:w="5100" w:type="dxa"/>
            <w:noWrap/>
            <w:vAlign w:val="center"/>
          </w:tcPr>
          <w:p w14:paraId="1AACD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支原体培养及药敏</w:t>
            </w:r>
          </w:p>
        </w:tc>
      </w:tr>
      <w:tr w14:paraId="35B5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EE11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5100" w:type="dxa"/>
            <w:noWrap/>
            <w:vAlign w:val="center"/>
          </w:tcPr>
          <w:p w14:paraId="785290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隐球菌墨汁染色涂片检查</w:t>
            </w:r>
          </w:p>
        </w:tc>
      </w:tr>
      <w:tr w14:paraId="3587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777BB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5100" w:type="dxa"/>
            <w:noWrap/>
            <w:vAlign w:val="center"/>
          </w:tcPr>
          <w:p w14:paraId="11058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涂片找抗酸杆菌和真菌</w:t>
            </w:r>
          </w:p>
        </w:tc>
      </w:tr>
      <w:tr w14:paraId="2762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5DEC1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w:t>
            </w:r>
          </w:p>
        </w:tc>
        <w:tc>
          <w:tcPr>
            <w:tcW w:w="5100" w:type="dxa"/>
            <w:noWrap/>
            <w:vAlign w:val="center"/>
          </w:tcPr>
          <w:p w14:paraId="76380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沙门菌、志贺菌培养及鉴定</w:t>
            </w:r>
          </w:p>
        </w:tc>
      </w:tr>
      <w:tr w14:paraId="31D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B9F8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5100" w:type="dxa"/>
            <w:noWrap/>
            <w:vAlign w:val="center"/>
          </w:tcPr>
          <w:p w14:paraId="7EA28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霍乱弧菌培养</w:t>
            </w:r>
          </w:p>
        </w:tc>
      </w:tr>
      <w:tr w14:paraId="24B0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9DF5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w:t>
            </w:r>
          </w:p>
        </w:tc>
        <w:tc>
          <w:tcPr>
            <w:tcW w:w="5100" w:type="dxa"/>
            <w:noWrap/>
            <w:vAlign w:val="center"/>
          </w:tcPr>
          <w:p w14:paraId="74598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人乳头瘤病毒(HPV)核酸分型</w:t>
            </w:r>
          </w:p>
        </w:tc>
      </w:tr>
      <w:tr w14:paraId="4341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A7F5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w:t>
            </w:r>
          </w:p>
        </w:tc>
        <w:tc>
          <w:tcPr>
            <w:tcW w:w="5100" w:type="dxa"/>
            <w:noWrap/>
            <w:vAlign w:val="center"/>
          </w:tcPr>
          <w:p w14:paraId="73003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人乳头瘤病毒HPV定性</w:t>
            </w:r>
          </w:p>
        </w:tc>
      </w:tr>
      <w:tr w14:paraId="54A3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62B44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177</w:t>
            </w:r>
          </w:p>
        </w:tc>
        <w:tc>
          <w:tcPr>
            <w:tcW w:w="5100" w:type="dxa"/>
            <w:noWrap/>
            <w:vAlign w:val="center"/>
          </w:tcPr>
          <w:p w14:paraId="31BE7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衣原体DNA</w:t>
            </w:r>
          </w:p>
        </w:tc>
      </w:tr>
      <w:tr w14:paraId="5C46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1F191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178</w:t>
            </w:r>
          </w:p>
        </w:tc>
        <w:tc>
          <w:tcPr>
            <w:tcW w:w="5100" w:type="dxa"/>
            <w:noWrap/>
            <w:vAlign w:val="center"/>
          </w:tcPr>
          <w:p w14:paraId="5FB77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呼吸道病原体6项</w:t>
            </w:r>
          </w:p>
        </w:tc>
      </w:tr>
      <w:tr w14:paraId="6812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35D84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179</w:t>
            </w:r>
          </w:p>
        </w:tc>
        <w:tc>
          <w:tcPr>
            <w:tcW w:w="5100" w:type="dxa"/>
            <w:noWrap/>
            <w:vAlign w:val="center"/>
          </w:tcPr>
          <w:p w14:paraId="594EC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乙肝病毒DNA定量</w:t>
            </w:r>
          </w:p>
        </w:tc>
      </w:tr>
      <w:tr w14:paraId="1EC4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60" w:type="dxa"/>
            <w:noWrap/>
            <w:vAlign w:val="center"/>
          </w:tcPr>
          <w:p w14:paraId="05E45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w:t>
            </w:r>
          </w:p>
        </w:tc>
        <w:tc>
          <w:tcPr>
            <w:tcW w:w="5100" w:type="dxa"/>
            <w:noWrap/>
            <w:vAlign w:val="center"/>
          </w:tcPr>
          <w:p w14:paraId="39DAD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特殊介质交叉配血【凝聚胺】</w:t>
            </w:r>
          </w:p>
        </w:tc>
      </w:tr>
    </w:tbl>
    <w:p w14:paraId="2C1643D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（四）项目设备试剂耗材要求</w:t>
      </w:r>
    </w:p>
    <w:p w14:paraId="210BA72B">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检验科主要开展临床免疫检测技术平台、临床生物化学检测技术平台、临床微生物检测技术平台、临床基础检验技术平台、临床分子诊断技术平台、临床输血技术平台等技术平台，</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对于投入的相关平台仪器设备及试剂耗材须满足以下要求。</w:t>
      </w:r>
    </w:p>
    <w:p w14:paraId="3C77A04B">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1.设备要求</w:t>
      </w:r>
    </w:p>
    <w:p w14:paraId="1D971F1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Hans" w:bidi="ar-SA"/>
        </w:rPr>
        <w:t>▲（1）</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须配合医院完成检验科硬件升级要求，新增配置包括但不限于以下设备。</w:t>
      </w:r>
    </w:p>
    <w:tbl>
      <w:tblPr>
        <w:tblStyle w:val="39"/>
        <w:tblW w:w="8039" w:type="dxa"/>
        <w:jc w:val="center"/>
        <w:tblLayout w:type="fixed"/>
        <w:tblCellMar>
          <w:top w:w="0" w:type="dxa"/>
          <w:left w:w="108" w:type="dxa"/>
          <w:bottom w:w="0" w:type="dxa"/>
          <w:right w:w="108" w:type="dxa"/>
        </w:tblCellMar>
      </w:tblPr>
      <w:tblGrid>
        <w:gridCol w:w="1209"/>
        <w:gridCol w:w="1209"/>
        <w:gridCol w:w="2764"/>
        <w:gridCol w:w="2857"/>
      </w:tblGrid>
      <w:tr w14:paraId="1B2F95E4">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21FDC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Style w:val="118"/>
                <w:rFonts w:hint="eastAsia" w:ascii="宋体" w:hAnsi="宋体" w:eastAsia="宋体" w:cs="宋体"/>
                <w:b/>
                <w:bCs/>
                <w:color w:val="auto"/>
                <w:sz w:val="21"/>
                <w:szCs w:val="21"/>
                <w:highlight w:val="none"/>
                <w:lang w:bidi="ar"/>
              </w:rPr>
              <w:t>序号</w:t>
            </w:r>
          </w:p>
        </w:tc>
        <w:tc>
          <w:tcPr>
            <w:tcW w:w="1209" w:type="dxa"/>
            <w:tcBorders>
              <w:top w:val="single" w:color="000000" w:sz="4" w:space="0"/>
              <w:left w:val="single" w:color="000000" w:sz="4" w:space="0"/>
              <w:bottom w:val="single" w:color="000000" w:sz="4" w:space="0"/>
              <w:right w:val="single" w:color="000000" w:sz="4" w:space="0"/>
            </w:tcBorders>
            <w:noWrap/>
            <w:vAlign w:val="center"/>
          </w:tcPr>
          <w:p w14:paraId="3D3D2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Style w:val="118"/>
                <w:rFonts w:hint="eastAsia" w:ascii="宋体" w:hAnsi="宋体" w:eastAsia="宋体" w:cs="宋体"/>
                <w:b/>
                <w:bCs/>
                <w:color w:val="auto"/>
                <w:sz w:val="21"/>
                <w:szCs w:val="21"/>
                <w:highlight w:val="none"/>
                <w:lang w:bidi="ar"/>
              </w:rPr>
              <w:t>平台</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25294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Style w:val="118"/>
                <w:rFonts w:hint="eastAsia" w:ascii="宋体" w:hAnsi="宋体" w:eastAsia="宋体" w:cs="宋体"/>
                <w:b/>
                <w:bCs/>
                <w:color w:val="auto"/>
                <w:sz w:val="21"/>
                <w:szCs w:val="21"/>
                <w:highlight w:val="none"/>
                <w:lang w:bidi="ar"/>
              </w:rPr>
              <w:t>设备名称</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7B64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Style w:val="118"/>
                <w:rFonts w:hint="eastAsia" w:ascii="宋体" w:hAnsi="宋体" w:eastAsia="宋体" w:cs="宋体"/>
                <w:b/>
                <w:bCs/>
                <w:color w:val="auto"/>
                <w:sz w:val="21"/>
                <w:szCs w:val="21"/>
                <w:highlight w:val="none"/>
                <w:lang w:bidi="ar"/>
              </w:rPr>
              <w:t>数量（台）</w:t>
            </w:r>
          </w:p>
        </w:tc>
      </w:tr>
      <w:tr w14:paraId="6CFDCBCB">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6F02E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3C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Style w:val="138"/>
                <w:rFonts w:hint="eastAsia" w:ascii="宋体" w:hAnsi="宋体" w:eastAsia="宋体" w:cs="宋体"/>
                <w:color w:val="auto"/>
                <w:sz w:val="21"/>
                <w:szCs w:val="21"/>
                <w:highlight w:val="none"/>
                <w:lang w:bidi="ar"/>
              </w:rPr>
              <w:t>临床免疫检测技术平台</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3FE31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全自动化学发光免疫分析仪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3347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5AB379C6">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3AAB5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D8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29347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流水线式全自动酶联免疫工作站（含软件）</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5F80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0E8DDCA8">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1191A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DE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Style w:val="138"/>
                <w:rFonts w:hint="eastAsia" w:ascii="宋体" w:hAnsi="宋体" w:eastAsia="宋体" w:cs="宋体"/>
                <w:color w:val="auto"/>
                <w:sz w:val="21"/>
                <w:szCs w:val="21"/>
                <w:highlight w:val="none"/>
                <w:lang w:bidi="ar"/>
              </w:rPr>
              <w:t>临床生物化学检测技术平台</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3CD7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全自动生化免疫流水线（生化≥2000T/h；电解质≥600T/h；免疫≥600 T/h）</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2DFB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357F73B1">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17815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AC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F864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全自动生化分析仪（生化≥2000T/h）</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2C99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3E920C73">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51CE4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58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EF9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全自动凝血分析仪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0211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2BBC6B4B">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63DC5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2D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7A02F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超纯水机</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E7C1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3D8A9154">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407C0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1C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6B34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医用冷藏冷冻箱</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747A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0EB24053">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0332E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70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7EA3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糖化血红蛋白分析仪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75C4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3A37D5F1">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2EBDD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6C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2D10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全自动血气分析仪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02DB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1FD4FE33">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58762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A0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Style w:val="138"/>
                <w:rFonts w:hint="eastAsia" w:ascii="宋体" w:hAnsi="宋体" w:eastAsia="宋体" w:cs="宋体"/>
                <w:color w:val="auto"/>
                <w:sz w:val="21"/>
                <w:szCs w:val="21"/>
                <w:highlight w:val="none"/>
                <w:lang w:bidi="ar"/>
              </w:rPr>
              <w:t>临床基础检验技术平台</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BFA7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医用离心机(18000r/min)</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94E8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5D4D2505">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31180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9E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0062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医用离心机(4000r/min)</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D99B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r>
      <w:tr w14:paraId="766EEDAE">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7B0C8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61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1332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药品冷藏陈列柜</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4827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r>
      <w:tr w14:paraId="2EC36469">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19084F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6A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0B09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全自动血液粘度动态分析仪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B2BE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26DAFE04">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51EA2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73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4F55D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全自动血沉压积动态分析仪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5384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79DFBC48">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6F83B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57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365B8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全自动尿液分析系统</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67DC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6A2C7DEE">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197B6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7F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52FCF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全自动血液细胞分析仪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1DC3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22E81558">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1407A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F4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62BF3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荧光免疫定量分析仪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BF7D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77338AFF">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2A604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A3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Style w:val="138"/>
                <w:rFonts w:hint="eastAsia" w:ascii="宋体" w:hAnsi="宋体" w:eastAsia="宋体" w:cs="宋体"/>
                <w:color w:val="auto"/>
                <w:sz w:val="21"/>
                <w:szCs w:val="21"/>
                <w:highlight w:val="none"/>
                <w:lang w:bidi="ar"/>
              </w:rPr>
              <w:t>临床微生物检测技术平台</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4B98B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生物显微镜</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9EC7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r>
      <w:tr w14:paraId="46BA08C4">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01BC5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82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3B960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微生物培养监测仪</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1DB62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r>
      <w:tr w14:paraId="02924C84">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1776FA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98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1"/>
                <w:szCs w:val="21"/>
                <w:highlight w:val="none"/>
              </w:rPr>
            </w:pP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4C7A3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全自动微生物质谱检测系统</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40D1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r w14:paraId="74FBF153">
        <w:tblPrEx>
          <w:tblCellMar>
            <w:top w:w="0" w:type="dxa"/>
            <w:left w:w="108" w:type="dxa"/>
            <w:bottom w:w="0" w:type="dxa"/>
            <w:right w:w="108" w:type="dxa"/>
          </w:tblCellMar>
        </w:tblPrEx>
        <w:trPr>
          <w:trHeight w:val="0" w:hRule="atLeast"/>
          <w:jc w:val="center"/>
        </w:trPr>
        <w:tc>
          <w:tcPr>
            <w:tcW w:w="1209" w:type="dxa"/>
            <w:tcBorders>
              <w:top w:val="single" w:color="000000" w:sz="4" w:space="0"/>
              <w:left w:val="single" w:color="000000" w:sz="4" w:space="0"/>
              <w:bottom w:val="single" w:color="000000" w:sz="4" w:space="0"/>
              <w:right w:val="single" w:color="000000" w:sz="4" w:space="0"/>
            </w:tcBorders>
            <w:noWrap/>
            <w:vAlign w:val="center"/>
          </w:tcPr>
          <w:p w14:paraId="66811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7B21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Style w:val="138"/>
                <w:rFonts w:hint="eastAsia" w:ascii="宋体" w:hAnsi="宋体" w:eastAsia="宋体" w:cs="宋体"/>
                <w:color w:val="auto"/>
                <w:sz w:val="21"/>
                <w:szCs w:val="21"/>
                <w:highlight w:val="none"/>
                <w:lang w:bidi="ar"/>
              </w:rPr>
              <w:t>临床分子诊断技术平台</w:t>
            </w:r>
          </w:p>
        </w:tc>
        <w:tc>
          <w:tcPr>
            <w:tcW w:w="2764" w:type="dxa"/>
            <w:tcBorders>
              <w:top w:val="single" w:color="000000" w:sz="4" w:space="0"/>
              <w:left w:val="single" w:color="000000" w:sz="4" w:space="0"/>
              <w:bottom w:val="single" w:color="000000" w:sz="4" w:space="0"/>
              <w:right w:val="single" w:color="000000" w:sz="4" w:space="0"/>
            </w:tcBorders>
            <w:noWrap/>
            <w:vAlign w:val="center"/>
          </w:tcPr>
          <w:p w14:paraId="1EAF7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全自动核酸提纯及实时荧光PCR分析系统</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838C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r>
    </w:tbl>
    <w:p w14:paraId="5264A31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注：须提供具有明确时间节点的配置方案及承诺函。</w:t>
      </w:r>
    </w:p>
    <w:p w14:paraId="5A3F8241">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1）为保障检验科对院内患者的正常诊疗服务，投标人在与我方正式签订合同前，须与检验科现有供应商协商妥善解决当前设备、试剂耗材相关衔接问题，并提供承诺函，格式自拟。严禁因原有设备使用、试剂耗材供应等事宜影响检验科的日常运营工作，否则产生的医疗和商业纠纷由乙方承担。</w:t>
      </w:r>
    </w:p>
    <w:p w14:paraId="5737C7C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2）所有投入本项目使用的设备须为全新设备，在安装前须将设备的品牌、型号、资质、购买发票或者合同（如有）等信息送医院审核，经医院确认后才能安装。为保证项目的服务质量，投入本项目的设备应为检验领域主流品牌设备，可根据检验科发展需求协商更改配置方案。服务期满后，</w:t>
      </w:r>
      <w:r>
        <w:rPr>
          <w:rFonts w:hint="eastAsia"/>
          <w:color w:val="auto"/>
          <w:highlight w:val="none"/>
          <w:lang w:val="en-US" w:eastAsia="zh-CN"/>
        </w:rPr>
        <w:t>相关投入设备、系统仍归中标人所有。</w:t>
      </w:r>
    </w:p>
    <w:p w14:paraId="65980EBF">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xml:space="preserve">★（3）配置的设备设施属于医疗器械管理的，投入使用前须向采购人提供有效医疗器械注册证或备案凭证。 </w:t>
      </w:r>
    </w:p>
    <w:p w14:paraId="2663036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★2.</w:t>
      </w:r>
      <w:r>
        <w:rPr>
          <w:rFonts w:hint="eastAsia" w:cs="Times New Roman" w:asciiTheme="minorEastAsia" w:hAnsiTheme="minorEastAsia" w:eastAsiaTheme="minorEastAsia"/>
          <w:color w:val="auto"/>
          <w:kern w:val="2"/>
          <w:sz w:val="21"/>
          <w:szCs w:val="21"/>
          <w:highlight w:val="none"/>
          <w:lang w:val="en-US" w:eastAsia="zh-Hans" w:bidi="ar-SA"/>
        </w:rPr>
        <w:t>试剂耗材要求</w:t>
      </w:r>
    </w:p>
    <w:p w14:paraId="45F33391">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投标人须提供本项目所需的全部试剂、耗材，具体要求如下：</w:t>
      </w:r>
    </w:p>
    <w:p w14:paraId="0B8521A5">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（1）集约化供应的试剂、耗材必须合法合规，须提供试剂、耗材的合格证，且在有效期内。投标人须提供质量保障方案。</w:t>
      </w:r>
    </w:p>
    <w:p w14:paraId="066BCBA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（2）合作期间须提供所有试剂、耗材的厂家三证（生产许可证、医疗器械注册证、经营许可证），交予医院备案。投标人须提供承诺函。</w:t>
      </w:r>
    </w:p>
    <w:p w14:paraId="2CF203FD">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（3）原则上投标人须保障医院现有设备的试剂耗材供应，不得随意替换。</w:t>
      </w:r>
    </w:p>
    <w:p w14:paraId="1E77ADF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（五）</w:t>
      </w:r>
      <w:r>
        <w:rPr>
          <w:rFonts w:hint="eastAsia" w:cs="Times New Roman" w:asciiTheme="minorEastAsia" w:hAnsiTheme="minorEastAsia" w:eastAsiaTheme="minorEastAsia"/>
          <w:color w:val="auto"/>
          <w:kern w:val="2"/>
          <w:sz w:val="21"/>
          <w:szCs w:val="21"/>
          <w:highlight w:val="none"/>
          <w:lang w:val="en-US" w:eastAsia="zh-Hans" w:bidi="ar-SA"/>
        </w:rPr>
        <w:t>人员要求</w:t>
      </w:r>
    </w:p>
    <w:p w14:paraId="21E76530">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1.医院现有的医学检验相关工作</w:t>
      </w:r>
      <w:bookmarkStart w:id="10" w:name="_Hlk100821145"/>
      <w:r>
        <w:rPr>
          <w:rFonts w:hint="eastAsia" w:cs="Times New Roman" w:asciiTheme="minorEastAsia" w:hAnsiTheme="minorEastAsia" w:eastAsiaTheme="minorEastAsia"/>
          <w:color w:val="auto"/>
          <w:kern w:val="2"/>
          <w:sz w:val="21"/>
          <w:szCs w:val="21"/>
          <w:highlight w:val="none"/>
          <w:lang w:val="en-US" w:eastAsia="zh-CN" w:bidi="ar-SA"/>
        </w:rPr>
        <w:t>人员</w:t>
      </w:r>
      <w:bookmarkEnd w:id="10"/>
      <w:r>
        <w:rPr>
          <w:rFonts w:hint="eastAsia" w:cs="Times New Roman" w:asciiTheme="minorEastAsia" w:hAnsiTheme="minorEastAsia" w:eastAsiaTheme="minorEastAsia"/>
          <w:color w:val="auto"/>
          <w:kern w:val="2"/>
          <w:sz w:val="21"/>
          <w:szCs w:val="21"/>
          <w:highlight w:val="none"/>
          <w:lang w:val="en-US" w:eastAsia="zh-CN" w:bidi="ar-SA"/>
        </w:rPr>
        <w:t>职位及工作内容不变，并全部投入本项目建设与运营中，合作期内该部分人员的薪酬、五险一金等福利计入本项目的运营成本，由医院承担，其他新增人员由投标人提供。</w:t>
      </w:r>
    </w:p>
    <w:p w14:paraId="750BB634">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2.项目负责人：投标人应有完善的管理人员架构，有明确的职责安排和分工，指派一名负责人与医院对接，并直接参与项目运营的管理。指派的项目负责人必须为本科以上学历，且有过同类项目管理经验，需提供响应截止日期近六个月的社保证明及相关证明材料。</w:t>
      </w:r>
    </w:p>
    <w:p w14:paraId="4580B6FC">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3.其他投入人员：投标人须为本项目提供相应的驻点支持技术人员，实验室配备的专业技术人员必须符合国家相关规定要求，对于有执业资格要求的工作岗位，必须做到持证上岗，人证合一。具体人员数量和资质要求根据项目开展情况双方协商确定，投标人须积极配合。</w:t>
      </w:r>
    </w:p>
    <w:p w14:paraId="2B7C3876">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4.项目所有人员实行统一管理，但医院与投标人自行负责向各自员工支付薪酬。投标人应有完善的人事管理制度及财务制度，聘用员工应合法，必须与所有员工签订劳动合同，依法为员工购买五险一金，不得拖欠员工工资，合作期内若发生劳务纠纷的与医院无关。</w:t>
      </w:r>
    </w:p>
    <w:p w14:paraId="2B946C66">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★（六）质量</w:t>
      </w:r>
      <w:r>
        <w:rPr>
          <w:rFonts w:hint="eastAsia" w:cs="Times New Roman" w:asciiTheme="minorEastAsia" w:hAnsiTheme="minorEastAsia" w:eastAsiaTheme="minorEastAsia"/>
          <w:color w:val="auto"/>
          <w:kern w:val="2"/>
          <w:sz w:val="21"/>
          <w:szCs w:val="21"/>
          <w:highlight w:val="none"/>
          <w:lang w:val="en-US" w:eastAsia="zh-Hans" w:bidi="ar-SA"/>
        </w:rPr>
        <w:t>管理要求</w:t>
      </w:r>
    </w:p>
    <w:p w14:paraId="3AE3594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1.投标人须</w:t>
      </w:r>
      <w:r>
        <w:rPr>
          <w:rFonts w:hint="eastAsia" w:cs="Times New Roman" w:asciiTheme="minorEastAsia" w:hAnsiTheme="minorEastAsia" w:eastAsiaTheme="minorEastAsia"/>
          <w:color w:val="auto"/>
          <w:kern w:val="2"/>
          <w:sz w:val="21"/>
          <w:szCs w:val="21"/>
          <w:highlight w:val="none"/>
          <w:lang w:val="en-US" w:eastAsia="zh-Hans" w:bidi="ar-SA"/>
        </w:rPr>
        <w:t>协助</w:t>
      </w:r>
      <w:r>
        <w:rPr>
          <w:rFonts w:hint="eastAsia" w:cs="Times New Roman" w:asciiTheme="minorEastAsia" w:hAnsiTheme="minorEastAsia" w:eastAsiaTheme="minorEastAsia"/>
          <w:color w:val="auto"/>
          <w:kern w:val="2"/>
          <w:sz w:val="21"/>
          <w:szCs w:val="21"/>
          <w:highlight w:val="none"/>
          <w:lang w:val="en-US" w:eastAsia="zh-CN" w:bidi="ar-SA"/>
        </w:rPr>
        <w:t>检验科</w:t>
      </w:r>
      <w:r>
        <w:rPr>
          <w:rFonts w:hint="eastAsia" w:cs="Times New Roman" w:asciiTheme="minorEastAsia" w:hAnsiTheme="minorEastAsia" w:eastAsiaTheme="minorEastAsia"/>
          <w:color w:val="auto"/>
          <w:kern w:val="2"/>
          <w:sz w:val="21"/>
          <w:szCs w:val="21"/>
          <w:highlight w:val="none"/>
          <w:lang w:val="en-US" w:eastAsia="zh-Hans" w:bidi="ar-SA"/>
        </w:rPr>
        <w:t>建立实验室各种技术、质量控制标准、实验室管理和仪器操作规程（SOP）等相关技术和文件。</w:t>
      </w:r>
    </w:p>
    <w:p w14:paraId="6BA585AD">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2.投标人在合作周期内</w:t>
      </w:r>
      <w:r>
        <w:rPr>
          <w:rFonts w:hint="eastAsia" w:cs="Times New Roman" w:asciiTheme="minorEastAsia" w:hAnsiTheme="minorEastAsia" w:eastAsiaTheme="minorEastAsia"/>
          <w:color w:val="auto"/>
          <w:kern w:val="2"/>
          <w:sz w:val="21"/>
          <w:szCs w:val="21"/>
          <w:highlight w:val="none"/>
          <w:lang w:val="en-US" w:eastAsia="zh-Hans" w:bidi="ar-SA"/>
        </w:rPr>
        <w:t>须协助</w:t>
      </w:r>
      <w:r>
        <w:rPr>
          <w:rFonts w:hint="eastAsia" w:cs="Times New Roman" w:asciiTheme="minorEastAsia" w:hAnsiTheme="minorEastAsia" w:eastAsiaTheme="minorEastAsia"/>
          <w:color w:val="auto"/>
          <w:kern w:val="2"/>
          <w:sz w:val="21"/>
          <w:szCs w:val="21"/>
          <w:highlight w:val="none"/>
          <w:lang w:val="en-US" w:eastAsia="zh-CN" w:bidi="ar-SA"/>
        </w:rPr>
        <w:t>医院检验科按照</w:t>
      </w:r>
      <w:r>
        <w:rPr>
          <w:rFonts w:hint="eastAsia" w:cs="Times New Roman" w:asciiTheme="minorEastAsia" w:hAnsiTheme="minorEastAsia" w:eastAsiaTheme="minorEastAsia"/>
          <w:color w:val="auto"/>
          <w:kern w:val="2"/>
          <w:sz w:val="21"/>
          <w:szCs w:val="21"/>
          <w:highlight w:val="none"/>
          <w:lang w:val="en-US" w:eastAsia="zh-Hans" w:bidi="ar-SA"/>
        </w:rPr>
        <w:t>IS</w:t>
      </w:r>
      <w:r>
        <w:rPr>
          <w:rFonts w:hint="eastAsia" w:cs="Times New Roman" w:asciiTheme="minorEastAsia" w:hAnsiTheme="minorEastAsia" w:eastAsiaTheme="minorEastAsia"/>
          <w:color w:val="auto"/>
          <w:kern w:val="2"/>
          <w:sz w:val="21"/>
          <w:szCs w:val="21"/>
          <w:highlight w:val="none"/>
          <w:lang w:val="en-US" w:eastAsia="zh-CN" w:bidi="ar-SA"/>
        </w:rPr>
        <w:t>O</w:t>
      </w:r>
      <w:r>
        <w:rPr>
          <w:rFonts w:hint="eastAsia" w:cs="Times New Roman" w:asciiTheme="minorEastAsia" w:hAnsiTheme="minorEastAsia" w:eastAsiaTheme="minorEastAsia"/>
          <w:color w:val="auto"/>
          <w:kern w:val="2"/>
          <w:sz w:val="21"/>
          <w:szCs w:val="21"/>
          <w:highlight w:val="none"/>
          <w:lang w:val="en-US" w:eastAsia="zh-Hans" w:bidi="ar-SA"/>
        </w:rPr>
        <w:t>15189</w:t>
      </w:r>
      <w:r>
        <w:rPr>
          <w:rFonts w:hint="eastAsia" w:cs="Times New Roman" w:asciiTheme="minorEastAsia" w:hAnsiTheme="minorEastAsia" w:eastAsiaTheme="minorEastAsia"/>
          <w:color w:val="auto"/>
          <w:kern w:val="2"/>
          <w:sz w:val="21"/>
          <w:szCs w:val="21"/>
          <w:highlight w:val="none"/>
          <w:lang w:val="en-US" w:eastAsia="zh-CN" w:bidi="ar-SA"/>
        </w:rPr>
        <w:t>标准</w:t>
      </w:r>
      <w:r>
        <w:rPr>
          <w:rFonts w:hint="eastAsia" w:cs="Times New Roman" w:asciiTheme="minorEastAsia" w:hAnsiTheme="minorEastAsia" w:eastAsiaTheme="minorEastAsia"/>
          <w:color w:val="auto"/>
          <w:kern w:val="2"/>
          <w:sz w:val="21"/>
          <w:szCs w:val="21"/>
          <w:highlight w:val="none"/>
          <w:lang w:val="en-US" w:eastAsia="zh-Hans" w:bidi="ar-SA"/>
        </w:rPr>
        <w:t>进行质量体系建设，提供质量认证保障，实现</w:t>
      </w:r>
      <w:r>
        <w:rPr>
          <w:rFonts w:hint="eastAsia" w:cs="Times New Roman" w:asciiTheme="minorEastAsia" w:hAnsiTheme="minorEastAsia" w:eastAsiaTheme="minorEastAsia"/>
          <w:color w:val="auto"/>
          <w:kern w:val="2"/>
          <w:sz w:val="21"/>
          <w:szCs w:val="21"/>
          <w:highlight w:val="none"/>
          <w:lang w:val="en-US" w:eastAsia="zh-CN" w:bidi="ar-SA"/>
        </w:rPr>
        <w:t>检验</w:t>
      </w:r>
      <w:r>
        <w:rPr>
          <w:rFonts w:hint="eastAsia" w:cs="Times New Roman" w:asciiTheme="minorEastAsia" w:hAnsiTheme="minorEastAsia" w:eastAsiaTheme="minorEastAsia"/>
          <w:color w:val="auto"/>
          <w:kern w:val="2"/>
          <w:sz w:val="21"/>
          <w:szCs w:val="21"/>
          <w:highlight w:val="none"/>
          <w:lang w:val="en-US" w:eastAsia="zh-Hans" w:bidi="ar-SA"/>
        </w:rPr>
        <w:t>结果互认。</w:t>
      </w:r>
    </w:p>
    <w:p w14:paraId="0D19D0F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（七）其他</w:t>
      </w:r>
      <w:r>
        <w:rPr>
          <w:rFonts w:hint="eastAsia" w:cs="Times New Roman" w:asciiTheme="minorEastAsia" w:hAnsiTheme="minorEastAsia" w:eastAsiaTheme="minorEastAsia"/>
          <w:color w:val="auto"/>
          <w:kern w:val="2"/>
          <w:sz w:val="21"/>
          <w:szCs w:val="21"/>
          <w:highlight w:val="none"/>
          <w:lang w:val="en-US" w:eastAsia="zh-Hans" w:bidi="ar-SA"/>
        </w:rPr>
        <w:t>要求</w:t>
      </w:r>
    </w:p>
    <w:p w14:paraId="7AA5C153">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Hans" w:bidi="ar-SA"/>
        </w:rPr>
      </w:pPr>
      <w:r>
        <w:rPr>
          <w:rFonts w:hint="eastAsia" w:cs="Times New Roman" w:asciiTheme="minorEastAsia" w:hAnsiTheme="minorEastAsia" w:eastAsiaTheme="minorEastAsia"/>
          <w:color w:val="auto"/>
          <w:kern w:val="2"/>
          <w:sz w:val="21"/>
          <w:szCs w:val="21"/>
          <w:highlight w:val="none"/>
          <w:lang w:val="en-US" w:eastAsia="zh-CN" w:bidi="ar-SA"/>
        </w:rPr>
        <w:t>1.</w:t>
      </w:r>
      <w:r>
        <w:rPr>
          <w:rFonts w:hint="eastAsia" w:cs="Times New Roman" w:asciiTheme="minorEastAsia" w:hAnsiTheme="minorEastAsia" w:eastAsiaTheme="minorEastAsia"/>
          <w:color w:val="auto"/>
          <w:kern w:val="2"/>
          <w:sz w:val="21"/>
          <w:szCs w:val="21"/>
          <w:highlight w:val="none"/>
          <w:lang w:val="en-US" w:eastAsia="zh-Hans" w:bidi="ar-SA"/>
        </w:rPr>
        <w:t>技术/管理人才培养：</w:t>
      </w:r>
      <w:r>
        <w:rPr>
          <w:rFonts w:hint="eastAsia" w:cs="Times New Roman" w:asciiTheme="minorEastAsia" w:hAnsiTheme="minorEastAsia" w:eastAsiaTheme="minorEastAsia"/>
          <w:color w:val="auto"/>
          <w:kern w:val="2"/>
          <w:sz w:val="21"/>
          <w:szCs w:val="21"/>
          <w:highlight w:val="none"/>
          <w:lang w:val="en-US" w:eastAsia="zh-CN" w:bidi="ar-SA"/>
        </w:rPr>
        <w:t>投标人</w:t>
      </w:r>
      <w:r>
        <w:rPr>
          <w:rFonts w:hint="eastAsia" w:cs="Times New Roman" w:asciiTheme="minorEastAsia" w:hAnsiTheme="minorEastAsia" w:eastAsiaTheme="minorEastAsia"/>
          <w:color w:val="auto"/>
          <w:kern w:val="2"/>
          <w:sz w:val="21"/>
          <w:szCs w:val="21"/>
          <w:highlight w:val="none"/>
          <w:lang w:val="en-US" w:eastAsia="zh-Hans" w:bidi="ar-SA"/>
        </w:rPr>
        <w:t>为</w:t>
      </w:r>
      <w:r>
        <w:rPr>
          <w:rFonts w:hint="eastAsia" w:cs="Times New Roman" w:asciiTheme="minorEastAsia" w:hAnsiTheme="minorEastAsia" w:eastAsiaTheme="minorEastAsia"/>
          <w:color w:val="auto"/>
          <w:kern w:val="2"/>
          <w:sz w:val="21"/>
          <w:szCs w:val="21"/>
          <w:highlight w:val="none"/>
          <w:lang w:val="en-US" w:eastAsia="zh-CN" w:bidi="ar-SA"/>
        </w:rPr>
        <w:t>医院</w:t>
      </w:r>
      <w:r>
        <w:rPr>
          <w:rFonts w:hint="eastAsia" w:cs="Times New Roman" w:asciiTheme="minorEastAsia" w:hAnsiTheme="minorEastAsia" w:eastAsiaTheme="minorEastAsia"/>
          <w:color w:val="auto"/>
          <w:kern w:val="2"/>
          <w:sz w:val="21"/>
          <w:szCs w:val="21"/>
          <w:highlight w:val="none"/>
          <w:lang w:val="en-US" w:eastAsia="zh-Hans" w:bidi="ar-SA"/>
        </w:rPr>
        <w:t>提供实验室技术专家/技术骨干前往</w:t>
      </w:r>
      <w:r>
        <w:rPr>
          <w:rFonts w:hint="eastAsia" w:cs="Times New Roman" w:asciiTheme="minorEastAsia" w:hAnsiTheme="minorEastAsia" w:eastAsiaTheme="minorEastAsia"/>
          <w:color w:val="auto"/>
          <w:kern w:val="2"/>
          <w:sz w:val="21"/>
          <w:szCs w:val="21"/>
          <w:highlight w:val="none"/>
          <w:lang w:val="en-US" w:eastAsia="zh-CN" w:bidi="ar-SA"/>
        </w:rPr>
        <w:t>检验科</w:t>
      </w:r>
      <w:r>
        <w:rPr>
          <w:rFonts w:hint="eastAsia" w:cs="Times New Roman" w:asciiTheme="minorEastAsia" w:hAnsiTheme="minorEastAsia" w:eastAsiaTheme="minorEastAsia"/>
          <w:color w:val="auto"/>
          <w:kern w:val="2"/>
          <w:sz w:val="21"/>
          <w:szCs w:val="21"/>
          <w:highlight w:val="none"/>
          <w:lang w:val="en-US" w:eastAsia="zh-Hans" w:bidi="ar-SA"/>
        </w:rPr>
        <w:t>实验室现场指导、通过提供远程视频专题讲座、不定期专家视频培训、组织院内专题培训活动、参加国际国内学术会议等形式为</w:t>
      </w:r>
      <w:r>
        <w:rPr>
          <w:rFonts w:hint="eastAsia" w:cs="Times New Roman" w:asciiTheme="minorEastAsia" w:hAnsiTheme="minorEastAsia" w:eastAsiaTheme="minorEastAsia"/>
          <w:color w:val="auto"/>
          <w:kern w:val="2"/>
          <w:sz w:val="21"/>
          <w:szCs w:val="21"/>
          <w:highlight w:val="none"/>
          <w:lang w:val="en-US" w:eastAsia="zh-CN" w:bidi="ar-SA"/>
        </w:rPr>
        <w:t>医院</w:t>
      </w:r>
      <w:r>
        <w:rPr>
          <w:rFonts w:hint="eastAsia" w:cs="Times New Roman" w:asciiTheme="minorEastAsia" w:hAnsiTheme="minorEastAsia" w:eastAsiaTheme="minorEastAsia"/>
          <w:color w:val="auto"/>
          <w:kern w:val="2"/>
          <w:sz w:val="21"/>
          <w:szCs w:val="21"/>
          <w:highlight w:val="none"/>
          <w:lang w:val="en-US" w:eastAsia="zh-Hans" w:bidi="ar-SA"/>
        </w:rPr>
        <w:t>培养实验室技术/管理人才。</w:t>
      </w:r>
    </w:p>
    <w:p w14:paraId="0EB18731">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2.专家指导：投标人为医院提供临床、检验、分子诊断培训专家，通过开展现场指导、学术交流、进修等方式，协助医院各学科提升临床诊疗水平，提升临床检验诊断技术水平。</w:t>
      </w:r>
    </w:p>
    <w:p w14:paraId="1DAF561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3.场地改造：医院提供实验室场地，用于本地化项目检测。投标人根据医院发展需求，协助医院进行更新改造（包括但不限于设计、建设、装修、改造等），具体改造内容和费用经协商确定。</w:t>
      </w:r>
    </w:p>
    <w:p w14:paraId="135B5DA9">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▲4.投标人根据医院实际需求可提供其它增值服务，明确增值服务内容及提供承诺函。</w:t>
      </w:r>
    </w:p>
    <w:p w14:paraId="5E02EE67">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cs="Times New Roman" w:asciiTheme="minorEastAsia" w:hAnsiTheme="minorEastAsia" w:eastAsiaTheme="minorEastAsia"/>
          <w:b/>
          <w:bCs/>
          <w:color w:val="auto"/>
          <w:kern w:val="2"/>
          <w:sz w:val="21"/>
          <w:szCs w:val="21"/>
          <w:highlight w:val="none"/>
          <w:lang w:val="en-US" w:eastAsia="zh-Hans" w:bidi="ar-SA"/>
        </w:rPr>
      </w:pPr>
      <w:r>
        <w:rPr>
          <w:rFonts w:hint="eastAsia" w:cs="Times New Roman" w:asciiTheme="minorEastAsia" w:hAnsiTheme="minorEastAsia" w:eastAsiaTheme="minorEastAsia"/>
          <w:b/>
          <w:bCs/>
          <w:color w:val="auto"/>
          <w:kern w:val="2"/>
          <w:sz w:val="21"/>
          <w:szCs w:val="21"/>
          <w:highlight w:val="none"/>
          <w:lang w:val="en-US" w:eastAsia="zh-CN" w:bidi="ar-SA"/>
        </w:rPr>
        <w:t>四</w:t>
      </w:r>
      <w:r>
        <w:rPr>
          <w:rFonts w:hint="eastAsia" w:cs="Times New Roman" w:asciiTheme="minorEastAsia" w:hAnsiTheme="minorEastAsia" w:eastAsiaTheme="minorEastAsia"/>
          <w:b/>
          <w:bCs/>
          <w:color w:val="auto"/>
          <w:kern w:val="2"/>
          <w:sz w:val="21"/>
          <w:szCs w:val="21"/>
          <w:highlight w:val="none"/>
          <w:lang w:val="en-US" w:eastAsia="zh-Hans" w:bidi="ar-SA"/>
        </w:rPr>
        <w:t>、项目运营考核细则</w:t>
      </w:r>
    </w:p>
    <w:p w14:paraId="5624102C">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jc w:val="center"/>
        <w:textAlignment w:val="auto"/>
        <w:rPr>
          <w:rFonts w:hint="eastAsia" w:cs="Times New Roman" w:asciiTheme="minorEastAsia" w:hAnsiTheme="minorEastAsia" w:eastAsiaTheme="minorEastAsia"/>
          <w:b/>
          <w:bCs/>
          <w:color w:val="auto"/>
          <w:kern w:val="2"/>
          <w:sz w:val="21"/>
          <w:szCs w:val="21"/>
          <w:highlight w:val="none"/>
          <w:lang w:val="en-US" w:eastAsia="zh-Hans" w:bidi="ar-SA"/>
        </w:rPr>
      </w:pPr>
      <w:r>
        <w:rPr>
          <w:rFonts w:hint="eastAsia" w:cs="Times New Roman" w:asciiTheme="minorEastAsia" w:hAnsiTheme="minorEastAsia" w:eastAsiaTheme="minorEastAsia"/>
          <w:b/>
          <w:bCs/>
          <w:color w:val="auto"/>
          <w:kern w:val="2"/>
          <w:sz w:val="21"/>
          <w:szCs w:val="21"/>
          <w:highlight w:val="none"/>
          <w:lang w:val="en-US" w:eastAsia="zh-Hans" w:bidi="ar-SA"/>
        </w:rPr>
        <w:t>项目运营考核细则</w:t>
      </w:r>
    </w:p>
    <w:tbl>
      <w:tblPr>
        <w:tblStyle w:val="39"/>
        <w:tblpPr w:leftFromText="180" w:rightFromText="180" w:vertAnchor="text" w:horzAnchor="page" w:tblpX="1601" w:tblpY="89"/>
        <w:tblOverlap w:val="never"/>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87"/>
        <w:gridCol w:w="750"/>
        <w:gridCol w:w="731"/>
        <w:gridCol w:w="6633"/>
      </w:tblGrid>
      <w:tr w14:paraId="5265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noWrap w:val="0"/>
            <w:vAlign w:val="center"/>
          </w:tcPr>
          <w:p w14:paraId="7A0F01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87" w:type="dxa"/>
            <w:noWrap w:val="0"/>
            <w:vAlign w:val="center"/>
          </w:tcPr>
          <w:p w14:paraId="3C77ABCD">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考核项目</w:t>
            </w:r>
          </w:p>
        </w:tc>
        <w:tc>
          <w:tcPr>
            <w:tcW w:w="750" w:type="dxa"/>
            <w:noWrap w:val="0"/>
            <w:vAlign w:val="center"/>
          </w:tcPr>
          <w:p w14:paraId="7C7B046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w:t>
            </w:r>
          </w:p>
        </w:tc>
        <w:tc>
          <w:tcPr>
            <w:tcW w:w="731" w:type="dxa"/>
            <w:noWrap w:val="0"/>
            <w:vAlign w:val="center"/>
          </w:tcPr>
          <w:p w14:paraId="562ACAB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633" w:type="dxa"/>
            <w:noWrap w:val="0"/>
            <w:vAlign w:val="center"/>
          </w:tcPr>
          <w:p w14:paraId="4A21C64D">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考核细则</w:t>
            </w:r>
          </w:p>
        </w:tc>
      </w:tr>
      <w:tr w14:paraId="36B8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restart"/>
            <w:noWrap w:val="0"/>
            <w:vAlign w:val="center"/>
          </w:tcPr>
          <w:p w14:paraId="5B210EC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7" w:type="dxa"/>
            <w:vMerge w:val="restart"/>
            <w:noWrap w:val="0"/>
            <w:vAlign w:val="center"/>
          </w:tcPr>
          <w:p w14:paraId="65A6131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作业质量</w:t>
            </w:r>
          </w:p>
          <w:p w14:paraId="7A26086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（40分）</w:t>
            </w:r>
          </w:p>
        </w:tc>
        <w:tc>
          <w:tcPr>
            <w:tcW w:w="750" w:type="dxa"/>
            <w:noWrap w:val="0"/>
            <w:vAlign w:val="center"/>
          </w:tcPr>
          <w:p w14:paraId="4011ADF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误检</w:t>
            </w:r>
          </w:p>
        </w:tc>
        <w:tc>
          <w:tcPr>
            <w:tcW w:w="731" w:type="dxa"/>
            <w:noWrap w:val="0"/>
            <w:vAlign w:val="center"/>
          </w:tcPr>
          <w:p w14:paraId="583E737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33" w:type="dxa"/>
            <w:noWrap w:val="0"/>
            <w:vAlign w:val="center"/>
          </w:tcPr>
          <w:p w14:paraId="42CE20E3">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考核期内每发生一例误检，扣1分，扣完即止。</w:t>
            </w:r>
          </w:p>
          <w:p w14:paraId="61480692">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注：考核期内未发生误检的，计10分。</w:t>
            </w:r>
          </w:p>
        </w:tc>
      </w:tr>
      <w:tr w14:paraId="1E4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417AB2E1">
            <w:pPr>
              <w:keepNext w:val="0"/>
              <w:keepLines w:val="0"/>
              <w:numPr>
                <w:ilvl w:val="0"/>
                <w:numId w:val="4"/>
              </w:numPr>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15D478D6">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750" w:type="dxa"/>
            <w:noWrap w:val="0"/>
            <w:vAlign w:val="center"/>
          </w:tcPr>
          <w:p w14:paraId="6B5AF4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漏检</w:t>
            </w:r>
          </w:p>
        </w:tc>
        <w:tc>
          <w:tcPr>
            <w:tcW w:w="731" w:type="dxa"/>
            <w:noWrap w:val="0"/>
            <w:vAlign w:val="center"/>
          </w:tcPr>
          <w:p w14:paraId="647C548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33" w:type="dxa"/>
            <w:noWrap w:val="0"/>
            <w:vAlign w:val="center"/>
          </w:tcPr>
          <w:p w14:paraId="639DD77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考核期内每发生一例漏检，扣1分，扣完即止。</w:t>
            </w:r>
          </w:p>
          <w:p w14:paraId="225F31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注：考核期内未发生漏检的，计10分。</w:t>
            </w:r>
          </w:p>
        </w:tc>
      </w:tr>
      <w:tr w14:paraId="055D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652AB116">
            <w:pPr>
              <w:keepNext w:val="0"/>
              <w:keepLines w:val="0"/>
              <w:numPr>
                <w:ilvl w:val="0"/>
                <w:numId w:val="4"/>
              </w:numPr>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7415AF1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750" w:type="dxa"/>
            <w:noWrap w:val="0"/>
            <w:vAlign w:val="center"/>
          </w:tcPr>
          <w:p w14:paraId="48AA085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效率</w:t>
            </w:r>
          </w:p>
        </w:tc>
        <w:tc>
          <w:tcPr>
            <w:tcW w:w="731" w:type="dxa"/>
            <w:noWrap w:val="0"/>
            <w:vAlign w:val="center"/>
          </w:tcPr>
          <w:p w14:paraId="149C9FD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33" w:type="dxa"/>
            <w:noWrap w:val="0"/>
            <w:vAlign w:val="top"/>
          </w:tcPr>
          <w:p w14:paraId="7D8BDCA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实验室在发生紧急情况时，能否紧急应对，考核期内发生一次没有及时应对的，扣2分，扣完为止。</w:t>
            </w:r>
          </w:p>
          <w:p w14:paraId="0A4E0F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注：考核期内未发生延误的，计10分。</w:t>
            </w:r>
          </w:p>
        </w:tc>
      </w:tr>
      <w:tr w14:paraId="79DC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07FF470A">
            <w:pPr>
              <w:keepNext w:val="0"/>
              <w:keepLines w:val="0"/>
              <w:numPr>
                <w:ilvl w:val="0"/>
                <w:numId w:val="4"/>
              </w:numPr>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3CBA503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750" w:type="dxa"/>
            <w:noWrap w:val="0"/>
            <w:vAlign w:val="center"/>
          </w:tcPr>
          <w:p w14:paraId="0947AF0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w:t>
            </w:r>
          </w:p>
          <w:p w14:paraId="169C86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w:t>
            </w:r>
          </w:p>
        </w:tc>
        <w:tc>
          <w:tcPr>
            <w:tcW w:w="731" w:type="dxa"/>
            <w:noWrap w:val="0"/>
            <w:vAlign w:val="center"/>
          </w:tcPr>
          <w:p w14:paraId="48D0475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33" w:type="dxa"/>
            <w:noWrap w:val="0"/>
            <w:vAlign w:val="top"/>
          </w:tcPr>
          <w:p w14:paraId="66761BC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医院根据质量体系、作业规程、合同约定、质量规范等对作业流程规范程度、试剂耗材质量、试剂耗材存储、冷链运输规范程度等内容进行日常巡查。</w:t>
            </w:r>
          </w:p>
          <w:p w14:paraId="12A3EE5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（1）考核期各环节均严格按要求运营，无违规行为的得10分。</w:t>
            </w:r>
          </w:p>
          <w:p w14:paraId="7768DE6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（2）考核期各环节按要求运营，有轻微的违规行为的得5分。</w:t>
            </w:r>
          </w:p>
          <w:p w14:paraId="4275AF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（3）考核期各环节按要求运营，有严重的违规行为或不按要求运营的得0分。</w:t>
            </w:r>
          </w:p>
        </w:tc>
      </w:tr>
      <w:tr w14:paraId="063B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restart"/>
            <w:noWrap w:val="0"/>
            <w:vAlign w:val="center"/>
          </w:tcPr>
          <w:p w14:paraId="77797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7" w:type="dxa"/>
            <w:vMerge w:val="restart"/>
            <w:noWrap w:val="0"/>
            <w:vAlign w:val="center"/>
          </w:tcPr>
          <w:p w14:paraId="46D1A70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人员管理</w:t>
            </w:r>
          </w:p>
          <w:p w14:paraId="434A734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750" w:type="dxa"/>
            <w:noWrap w:val="0"/>
            <w:vAlign w:val="center"/>
          </w:tcPr>
          <w:p w14:paraId="63B890C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规程制度执行</w:t>
            </w:r>
          </w:p>
        </w:tc>
        <w:tc>
          <w:tcPr>
            <w:tcW w:w="731" w:type="dxa"/>
            <w:noWrap w:val="0"/>
            <w:vAlign w:val="center"/>
          </w:tcPr>
          <w:p w14:paraId="6BB9D09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633" w:type="dxa"/>
            <w:noWrap w:val="0"/>
            <w:vAlign w:val="top"/>
          </w:tcPr>
          <w:p w14:paraId="6309ADD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工作人员违反规章制度不服从管理的，每发现一例扣1分，扣完即止。</w:t>
            </w:r>
          </w:p>
          <w:p w14:paraId="2DEF620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注：情况严重的必须更换违规工作人员。考核期内未发生以上事件的，计6分。</w:t>
            </w:r>
          </w:p>
        </w:tc>
      </w:tr>
      <w:tr w14:paraId="65A6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57744B7F">
            <w:pPr>
              <w:keepNext w:val="0"/>
              <w:keepLines w:val="0"/>
              <w:numPr>
                <w:ilvl w:val="0"/>
                <w:numId w:val="4"/>
              </w:numPr>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77D03A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750" w:type="dxa"/>
            <w:noWrap w:val="0"/>
            <w:vAlign w:val="center"/>
          </w:tcPr>
          <w:p w14:paraId="588FCEC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形象</w:t>
            </w:r>
          </w:p>
        </w:tc>
        <w:tc>
          <w:tcPr>
            <w:tcW w:w="731" w:type="dxa"/>
            <w:noWrap w:val="0"/>
            <w:vAlign w:val="center"/>
          </w:tcPr>
          <w:p w14:paraId="43DF98C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633" w:type="dxa"/>
            <w:noWrap w:val="0"/>
            <w:vAlign w:val="top"/>
          </w:tcPr>
          <w:p w14:paraId="49CFCA7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仪容仪表形象差的每人每次扣1分，扣完即止。</w:t>
            </w:r>
          </w:p>
          <w:p w14:paraId="48C4192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注：考核期内整体形象较好的，计4分。</w:t>
            </w:r>
          </w:p>
        </w:tc>
      </w:tr>
      <w:tr w14:paraId="7FCA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restart"/>
            <w:noWrap w:val="0"/>
            <w:vAlign w:val="center"/>
          </w:tcPr>
          <w:p w14:paraId="494E399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7" w:type="dxa"/>
            <w:vMerge w:val="restart"/>
            <w:noWrap w:val="0"/>
            <w:vAlign w:val="center"/>
          </w:tcPr>
          <w:p w14:paraId="457DFE4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硬件配置（15分）</w:t>
            </w:r>
          </w:p>
        </w:tc>
        <w:tc>
          <w:tcPr>
            <w:tcW w:w="750" w:type="dxa"/>
            <w:noWrap w:val="0"/>
            <w:vAlign w:val="center"/>
          </w:tcPr>
          <w:p w14:paraId="168AED7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试剂耗材供应</w:t>
            </w:r>
          </w:p>
        </w:tc>
        <w:tc>
          <w:tcPr>
            <w:tcW w:w="731" w:type="dxa"/>
            <w:noWrap w:val="0"/>
            <w:vAlign w:val="center"/>
          </w:tcPr>
          <w:p w14:paraId="4D81F1D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33" w:type="dxa"/>
            <w:noWrap w:val="0"/>
            <w:vAlign w:val="top"/>
          </w:tcPr>
          <w:p w14:paraId="342871E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试剂耗材供应不及时，种类不足，三证不全，未在有效期内，每类试剂耗材扣2分。</w:t>
            </w:r>
          </w:p>
          <w:p w14:paraId="48503EC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注：考核期内未出现以上情况，计10分。</w:t>
            </w:r>
          </w:p>
        </w:tc>
      </w:tr>
      <w:tr w14:paraId="044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4C86DA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718BB77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750" w:type="dxa"/>
            <w:noWrap w:val="0"/>
            <w:vAlign w:val="center"/>
          </w:tcPr>
          <w:p w14:paraId="7B763AA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p>
          <w:p w14:paraId="2C6BE1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731" w:type="dxa"/>
            <w:noWrap w:val="0"/>
            <w:vAlign w:val="center"/>
          </w:tcPr>
          <w:p w14:paraId="382EAA9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633" w:type="dxa"/>
            <w:noWrap w:val="0"/>
            <w:vAlign w:val="top"/>
          </w:tcPr>
          <w:p w14:paraId="060DC50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设备配置不及时，安装不及时，资料不全，无法满足使用要求，每台设备扣2分。</w:t>
            </w:r>
          </w:p>
          <w:p w14:paraId="4F3E2DF2">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注：考核期内未出现以上情况，计5分。</w:t>
            </w:r>
          </w:p>
        </w:tc>
      </w:tr>
      <w:tr w14:paraId="0871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restart"/>
            <w:noWrap w:val="0"/>
            <w:vAlign w:val="center"/>
          </w:tcPr>
          <w:p w14:paraId="269C6B2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87" w:type="dxa"/>
            <w:vMerge w:val="restart"/>
            <w:noWrap w:val="0"/>
            <w:vAlign w:val="center"/>
          </w:tcPr>
          <w:p w14:paraId="3F90538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维护管理</w:t>
            </w:r>
          </w:p>
          <w:p w14:paraId="1A9F618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750" w:type="dxa"/>
            <w:noWrap w:val="0"/>
            <w:vAlign w:val="center"/>
          </w:tcPr>
          <w:p w14:paraId="56BB9E2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效率</w:t>
            </w:r>
          </w:p>
        </w:tc>
        <w:tc>
          <w:tcPr>
            <w:tcW w:w="731" w:type="dxa"/>
            <w:noWrap w:val="0"/>
            <w:vAlign w:val="center"/>
          </w:tcPr>
          <w:p w14:paraId="63BA037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633" w:type="dxa"/>
            <w:noWrap w:val="0"/>
            <w:vAlign w:val="center"/>
          </w:tcPr>
          <w:p w14:paraId="19DCD00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考核期内发生一次维护延误，扣1分，扣完即止。</w:t>
            </w:r>
          </w:p>
          <w:p w14:paraId="4B74C7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注：考核期内未发生维护延误的，计5分。</w:t>
            </w:r>
          </w:p>
        </w:tc>
      </w:tr>
      <w:tr w14:paraId="7221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2A69110A">
            <w:pPr>
              <w:keepNext w:val="0"/>
              <w:keepLines w:val="0"/>
              <w:numPr>
                <w:ilvl w:val="0"/>
                <w:numId w:val="4"/>
              </w:numPr>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3D63F53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750" w:type="dxa"/>
            <w:noWrap w:val="0"/>
            <w:vAlign w:val="center"/>
          </w:tcPr>
          <w:p w14:paraId="569B160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软件升级优化</w:t>
            </w:r>
          </w:p>
        </w:tc>
        <w:tc>
          <w:tcPr>
            <w:tcW w:w="731" w:type="dxa"/>
            <w:noWrap w:val="0"/>
            <w:vAlign w:val="center"/>
          </w:tcPr>
          <w:p w14:paraId="1C130CF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633" w:type="dxa"/>
            <w:noWrap w:val="0"/>
            <w:vAlign w:val="top"/>
          </w:tcPr>
          <w:p w14:paraId="56C2FE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（1）收到用户反馈后1个月内完成系统有效优化升级得5分。</w:t>
            </w:r>
          </w:p>
          <w:p w14:paraId="6B9418E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（2）收到用户反馈后2个月内完成系统有效优化升级得3分。</w:t>
            </w:r>
          </w:p>
          <w:p w14:paraId="0342032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（3）收到用户反馈后3个月内完成系统有效优化升级得1分。</w:t>
            </w:r>
          </w:p>
          <w:p w14:paraId="668E4852">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（4）其他情况得0分。</w:t>
            </w:r>
          </w:p>
          <w:p w14:paraId="37C03EB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注：若该考核期内未收到优化反馈的，计5分。若该考核期内收到多次优化反馈的，按效率低的计分。</w:t>
            </w:r>
          </w:p>
        </w:tc>
      </w:tr>
      <w:tr w14:paraId="203A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vMerge w:val="continue"/>
            <w:noWrap w:val="0"/>
            <w:vAlign w:val="center"/>
          </w:tcPr>
          <w:p w14:paraId="4D31629E">
            <w:pPr>
              <w:keepNext w:val="0"/>
              <w:keepLines w:val="0"/>
              <w:numPr>
                <w:ilvl w:val="0"/>
                <w:numId w:val="4"/>
              </w:numPr>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087" w:type="dxa"/>
            <w:vMerge w:val="continue"/>
            <w:noWrap w:val="0"/>
            <w:vAlign w:val="center"/>
          </w:tcPr>
          <w:p w14:paraId="5A9DA33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750" w:type="dxa"/>
            <w:noWrap w:val="0"/>
            <w:vAlign w:val="center"/>
          </w:tcPr>
          <w:p w14:paraId="659C019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p>
          <w:p w14:paraId="7B64663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维保</w:t>
            </w:r>
          </w:p>
        </w:tc>
        <w:tc>
          <w:tcPr>
            <w:tcW w:w="731" w:type="dxa"/>
            <w:noWrap w:val="0"/>
            <w:vAlign w:val="center"/>
          </w:tcPr>
          <w:p w14:paraId="2EC122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633" w:type="dxa"/>
            <w:noWrap w:val="0"/>
            <w:vAlign w:val="top"/>
          </w:tcPr>
          <w:p w14:paraId="79CEEAC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每季度调取相关资料，查看文件记录，有不满足要求的扣1分。</w:t>
            </w:r>
          </w:p>
          <w:p w14:paraId="4C9BE19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注：考核期内所有设备均按正常进行维保且在计量认证有效期内的，计5分。</w:t>
            </w:r>
          </w:p>
        </w:tc>
      </w:tr>
      <w:tr w14:paraId="3806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noWrap w:val="0"/>
            <w:vAlign w:val="center"/>
          </w:tcPr>
          <w:p w14:paraId="65F828B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87" w:type="dxa"/>
            <w:noWrap w:val="0"/>
            <w:vAlign w:val="center"/>
          </w:tcPr>
          <w:p w14:paraId="2F0DAAA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不良事件</w:t>
            </w:r>
          </w:p>
          <w:p w14:paraId="44D0BE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750" w:type="dxa"/>
            <w:noWrap w:val="0"/>
            <w:vAlign w:val="center"/>
          </w:tcPr>
          <w:p w14:paraId="1C12973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不良事件</w:t>
            </w:r>
          </w:p>
        </w:tc>
        <w:tc>
          <w:tcPr>
            <w:tcW w:w="731" w:type="dxa"/>
            <w:noWrap w:val="0"/>
            <w:vAlign w:val="center"/>
          </w:tcPr>
          <w:p w14:paraId="59CFD0C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6633" w:type="dxa"/>
            <w:noWrap w:val="0"/>
            <w:vAlign w:val="top"/>
          </w:tcPr>
          <w:p w14:paraId="27C14B7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根据考核期内发生的医疗不良事件与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所提供的试剂</w:t>
            </w:r>
            <w:r>
              <w:rPr>
                <w:rFonts w:hint="eastAsia" w:ascii="宋体" w:hAnsi="宋体" w:eastAsia="宋体" w:cs="宋体"/>
                <w:bCs/>
                <w:color w:val="auto"/>
                <w:sz w:val="21"/>
                <w:szCs w:val="21"/>
                <w:highlight w:val="none"/>
                <w:lang w:eastAsia="zh-Hans"/>
              </w:rPr>
              <w:t>、</w:t>
            </w:r>
            <w:r>
              <w:rPr>
                <w:rFonts w:hint="eastAsia" w:ascii="宋体" w:hAnsi="宋体" w:eastAsia="宋体" w:cs="宋体"/>
                <w:color w:val="auto"/>
                <w:sz w:val="21"/>
                <w:szCs w:val="21"/>
                <w:highlight w:val="none"/>
              </w:rPr>
              <w:t>耗材</w:t>
            </w:r>
            <w:r>
              <w:rPr>
                <w:rFonts w:hint="eastAsia" w:ascii="宋体" w:hAnsi="宋体" w:eastAsia="宋体" w:cs="宋体"/>
                <w:bCs/>
                <w:color w:val="auto"/>
                <w:sz w:val="21"/>
                <w:szCs w:val="21"/>
                <w:highlight w:val="none"/>
                <w:lang w:eastAsia="zh-Hans"/>
              </w:rPr>
              <w:t>、</w:t>
            </w:r>
            <w:r>
              <w:rPr>
                <w:rFonts w:hint="eastAsia" w:ascii="宋体" w:hAnsi="宋体" w:eastAsia="宋体" w:cs="宋体"/>
                <w:color w:val="auto"/>
                <w:sz w:val="21"/>
                <w:szCs w:val="21"/>
                <w:highlight w:val="none"/>
              </w:rPr>
              <w:t>设备及人员等直接相关的，根据医院规章制度中医疗不良事件的严重程度分级进行扣分，一经查实，I类不良事件每例扣20分，II类事件每例扣15分，III类不良事件每例扣10分，IV类不良事件每例扣5分，扣完即止。</w:t>
            </w:r>
          </w:p>
          <w:p w14:paraId="1192250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注：考核期内未发生以上不良事件的，计20分。</w:t>
            </w:r>
          </w:p>
        </w:tc>
      </w:tr>
      <w:tr w14:paraId="3138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5" w:type="dxa"/>
            <w:noWrap w:val="0"/>
            <w:vAlign w:val="center"/>
          </w:tcPr>
          <w:p w14:paraId="2EC92FC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37" w:type="dxa"/>
            <w:gridSpan w:val="2"/>
            <w:noWrap w:val="0"/>
            <w:vAlign w:val="center"/>
          </w:tcPr>
          <w:p w14:paraId="79DC4C3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p>
        </w:tc>
        <w:tc>
          <w:tcPr>
            <w:tcW w:w="731" w:type="dxa"/>
            <w:noWrap w:val="0"/>
            <w:vAlign w:val="center"/>
          </w:tcPr>
          <w:p w14:paraId="7C86DF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6633" w:type="dxa"/>
            <w:noWrap w:val="0"/>
            <w:vAlign w:val="center"/>
          </w:tcPr>
          <w:p w14:paraId="055FE70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合计得分</w:t>
            </w:r>
          </w:p>
        </w:tc>
      </w:tr>
      <w:tr w14:paraId="363E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26" w:type="dxa"/>
            <w:gridSpan w:val="5"/>
            <w:noWrap w:val="0"/>
            <w:vAlign w:val="center"/>
          </w:tcPr>
          <w:p w14:paraId="17F3C606">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注：1.总分100分，80分以上为良好，70分以上为合格，70分以下为差，医院每季度对合作方进行一次考核，考核时间由医院随机确定。</w:t>
            </w:r>
          </w:p>
          <w:p w14:paraId="23CCF7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格分数为70分。评分﹤70分：第一次出现时医院对合作方提出书面警告，第二次出现时要求合作方提交整改报告，如1个月内未整改医院有权终止合作；同时按照每差1分，扣减该季度应支付服务费用的1%，做为惩罚性罚款，以作约束。</w:t>
            </w:r>
          </w:p>
          <w:p w14:paraId="7861AB9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文件中提供承诺函，格式自拟。</w:t>
            </w:r>
          </w:p>
        </w:tc>
      </w:tr>
    </w:tbl>
    <w:p w14:paraId="30067E62">
      <w:pPr>
        <w:ind w:firstLine="422" w:firstLineChars="20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五、</w:t>
      </w:r>
      <w:r>
        <w:rPr>
          <w:b/>
          <w:bCs/>
          <w:color w:val="auto"/>
          <w:sz w:val="21"/>
          <w:highlight w:val="none"/>
        </w:rPr>
        <w:t>其他技术要求</w:t>
      </w:r>
    </w:p>
    <w:p w14:paraId="4C537AB2">
      <w:pPr>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质量控制方案：根据制定的具体、可衡量的质量标准和要求，严格执行并进行监督管理。投标人应建立全面覆盖项目服务流程的检验前的质量控制、检验中的质量控制、检验后的质量控制等内容，确保项目服务的持续改进和稳定性。</w:t>
      </w:r>
    </w:p>
    <w:p w14:paraId="46952095">
      <w:pPr>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应急措施：根据项目制定的应急措施，严格执行。投标人应建立全面覆盖项目服务流程的问题需求处理和服务响应机制、突发事件的处理措施和应急预案、对公共卫生事件的应急服务预案、物流运输应急预案，确保项目服务的持续改进和稳定性。</w:t>
      </w:r>
    </w:p>
    <w:p w14:paraId="13D2B0E8">
      <w:pPr>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3.专业技术能力：</w:t>
      </w:r>
      <w:r>
        <w:rPr>
          <w:color w:val="auto"/>
          <w:sz w:val="21"/>
          <w:highlight w:val="none"/>
        </w:rPr>
        <w:t>投标人应当提供针对本项目采购需求的</w:t>
      </w:r>
      <w:r>
        <w:rPr>
          <w:rFonts w:hint="eastAsia" w:ascii="宋体" w:hAnsi="宋体" w:eastAsia="宋体" w:cs="宋体"/>
          <w:color w:val="auto"/>
          <w:sz w:val="21"/>
          <w:szCs w:val="21"/>
          <w:highlight w:val="none"/>
        </w:rPr>
        <w:t>专业技术能力</w:t>
      </w:r>
      <w:r>
        <w:rPr>
          <w:color w:val="auto"/>
          <w:sz w:val="21"/>
          <w:highlight w:val="none"/>
        </w:rPr>
        <w:t>，应当包括但不限于</w:t>
      </w:r>
      <w:r>
        <w:rPr>
          <w:rFonts w:hint="eastAsia" w:ascii="宋体" w:hAnsi="宋体" w:eastAsia="宋体" w:cs="宋体"/>
          <w:color w:val="auto"/>
          <w:sz w:val="21"/>
          <w:szCs w:val="21"/>
          <w:highlight w:val="none"/>
        </w:rPr>
        <w:t>售后服务方案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临床检验实验室智慧管理系统实现对人员、试剂、耗材、设备、环境的精细化智能化管理</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提供检验质量控制管理软件（帮助实验室实现室内室间质量控制标准化、数据管理无纸化和任务分配自动化等）</w:t>
      </w:r>
      <w:r>
        <w:rPr>
          <w:color w:val="auto"/>
          <w:sz w:val="21"/>
          <w:highlight w:val="none"/>
        </w:rPr>
        <w:t>等内容。</w:t>
      </w:r>
    </w:p>
    <w:p w14:paraId="6EFAAEA0">
      <w:pPr>
        <w:ind w:firstLine="422" w:firstLineChars="200"/>
        <w:rPr>
          <w:rFonts w:hint="eastAsia" w:ascii="宋体" w:hAnsi="宋体" w:cs="宋体"/>
          <w:b/>
          <w:color w:val="auto"/>
          <w:szCs w:val="21"/>
          <w:highlight w:val="none"/>
          <w:lang w:val="en-US" w:eastAsia="zh-CN"/>
        </w:rPr>
      </w:pPr>
    </w:p>
    <w:p w14:paraId="75BDAB2E">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〈三〉、招标项目商务要求</w:t>
      </w:r>
    </w:p>
    <w:p w14:paraId="0C699DEC">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2" w:firstLineChars="200"/>
        <w:textAlignment w:val="auto"/>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cs="Times New Roman" w:asciiTheme="minorEastAsia" w:hAnsiTheme="minorEastAsia" w:eastAsiaTheme="minorEastAsia"/>
          <w:b/>
          <w:bCs/>
          <w:color w:val="auto"/>
          <w:kern w:val="2"/>
          <w:sz w:val="21"/>
          <w:szCs w:val="21"/>
          <w:highlight w:val="none"/>
          <w:lang w:val="en-US" w:eastAsia="zh-CN" w:bidi="ar-SA"/>
        </w:rPr>
        <w:t>★（一）招标项目名称</w:t>
      </w:r>
    </w:p>
    <w:tbl>
      <w:tblPr>
        <w:tblStyle w:val="3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95"/>
        <w:gridCol w:w="675"/>
        <w:gridCol w:w="675"/>
        <w:gridCol w:w="1538"/>
        <w:gridCol w:w="1924"/>
      </w:tblGrid>
      <w:tr w14:paraId="262D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45A1AB2">
            <w:pPr>
              <w:keepNext w:val="0"/>
              <w:keepLines w:val="0"/>
              <w:suppressLineNumbers w:val="0"/>
              <w:adjustRightInd w:val="0"/>
              <w:snapToGrid w:val="0"/>
              <w:spacing w:before="0" w:beforeAutospacing="0" w:after="0" w:afterAutospacing="0" w:line="240" w:lineRule="auto"/>
              <w:ind w:left="0" w:right="0"/>
              <w:jc w:val="center"/>
              <w:rPr>
                <w:rFonts w:hint="eastAsia"/>
                <w:b/>
                <w:bCs w:val="0"/>
                <w:color w:val="auto"/>
                <w:highlight w:val="none"/>
              </w:rPr>
            </w:pPr>
            <w:r>
              <w:rPr>
                <w:rFonts w:hint="eastAsia"/>
                <w:b/>
                <w:bCs w:val="0"/>
                <w:color w:val="auto"/>
                <w:highlight w:val="none"/>
              </w:rPr>
              <w:t>序号</w:t>
            </w:r>
          </w:p>
        </w:tc>
        <w:tc>
          <w:tcPr>
            <w:tcW w:w="2995" w:type="dxa"/>
            <w:noWrap w:val="0"/>
            <w:vAlign w:val="center"/>
          </w:tcPr>
          <w:p w14:paraId="7B9188CE">
            <w:pPr>
              <w:keepNext w:val="0"/>
              <w:keepLines w:val="0"/>
              <w:suppressLineNumbers w:val="0"/>
              <w:adjustRightInd w:val="0"/>
              <w:snapToGrid w:val="0"/>
              <w:spacing w:before="0" w:beforeAutospacing="0" w:after="0" w:afterAutospacing="0" w:line="240" w:lineRule="auto"/>
              <w:ind w:left="0" w:right="0"/>
              <w:jc w:val="center"/>
              <w:rPr>
                <w:rFonts w:hint="eastAsia"/>
                <w:b/>
                <w:bCs w:val="0"/>
                <w:color w:val="auto"/>
                <w:highlight w:val="none"/>
              </w:rPr>
            </w:pPr>
            <w:r>
              <w:rPr>
                <w:rFonts w:hint="eastAsia"/>
                <w:b/>
                <w:bCs w:val="0"/>
                <w:color w:val="auto"/>
                <w:highlight w:val="none"/>
              </w:rPr>
              <w:t>项目名称</w:t>
            </w:r>
          </w:p>
        </w:tc>
        <w:tc>
          <w:tcPr>
            <w:tcW w:w="675" w:type="dxa"/>
            <w:noWrap w:val="0"/>
            <w:vAlign w:val="center"/>
          </w:tcPr>
          <w:p w14:paraId="112FEF4A">
            <w:pPr>
              <w:keepNext w:val="0"/>
              <w:keepLines w:val="0"/>
              <w:suppressLineNumbers w:val="0"/>
              <w:adjustRightInd w:val="0"/>
              <w:snapToGrid w:val="0"/>
              <w:spacing w:before="0" w:beforeAutospacing="0" w:after="0" w:afterAutospacing="0" w:line="240" w:lineRule="auto"/>
              <w:ind w:left="0" w:right="0"/>
              <w:jc w:val="center"/>
              <w:rPr>
                <w:rFonts w:hint="eastAsia"/>
                <w:b/>
                <w:bCs w:val="0"/>
                <w:color w:val="auto"/>
                <w:highlight w:val="none"/>
              </w:rPr>
            </w:pPr>
            <w:r>
              <w:rPr>
                <w:rFonts w:hint="eastAsia"/>
                <w:b/>
                <w:bCs w:val="0"/>
                <w:color w:val="auto"/>
                <w:highlight w:val="none"/>
              </w:rPr>
              <w:t>单位</w:t>
            </w:r>
          </w:p>
        </w:tc>
        <w:tc>
          <w:tcPr>
            <w:tcW w:w="675" w:type="dxa"/>
            <w:noWrap w:val="0"/>
            <w:vAlign w:val="center"/>
          </w:tcPr>
          <w:p w14:paraId="4E999C42">
            <w:pPr>
              <w:keepNext w:val="0"/>
              <w:keepLines w:val="0"/>
              <w:suppressLineNumbers w:val="0"/>
              <w:adjustRightInd w:val="0"/>
              <w:snapToGrid w:val="0"/>
              <w:spacing w:before="0" w:beforeAutospacing="0" w:after="0" w:afterAutospacing="0" w:line="240" w:lineRule="auto"/>
              <w:ind w:left="0" w:right="0"/>
              <w:jc w:val="center"/>
              <w:rPr>
                <w:rFonts w:hint="eastAsia"/>
                <w:b/>
                <w:bCs w:val="0"/>
                <w:color w:val="auto"/>
                <w:highlight w:val="none"/>
              </w:rPr>
            </w:pPr>
            <w:r>
              <w:rPr>
                <w:rFonts w:hint="eastAsia"/>
                <w:b/>
                <w:bCs w:val="0"/>
                <w:color w:val="auto"/>
                <w:highlight w:val="none"/>
              </w:rPr>
              <w:t>数量</w:t>
            </w:r>
          </w:p>
        </w:tc>
        <w:tc>
          <w:tcPr>
            <w:tcW w:w="1538" w:type="dxa"/>
            <w:noWrap w:val="0"/>
            <w:vAlign w:val="center"/>
          </w:tcPr>
          <w:p w14:paraId="1927E181">
            <w:pPr>
              <w:keepNext w:val="0"/>
              <w:keepLines w:val="0"/>
              <w:suppressLineNumbers w:val="0"/>
              <w:adjustRightInd w:val="0"/>
              <w:snapToGrid w:val="0"/>
              <w:spacing w:before="0" w:beforeAutospacing="0" w:after="0" w:afterAutospacing="0" w:line="240" w:lineRule="auto"/>
              <w:ind w:left="0" w:right="0"/>
              <w:jc w:val="center"/>
              <w:rPr>
                <w:rFonts w:hint="eastAsia"/>
                <w:b/>
                <w:bCs w:val="0"/>
                <w:color w:val="auto"/>
                <w:highlight w:val="none"/>
              </w:rPr>
            </w:pPr>
            <w:r>
              <w:rPr>
                <w:rFonts w:hint="eastAsia"/>
                <w:b/>
                <w:bCs w:val="0"/>
                <w:color w:val="auto"/>
                <w:highlight w:val="none"/>
              </w:rPr>
              <w:t>最高限价（%）</w:t>
            </w:r>
          </w:p>
        </w:tc>
        <w:tc>
          <w:tcPr>
            <w:tcW w:w="1924" w:type="dxa"/>
            <w:noWrap w:val="0"/>
            <w:vAlign w:val="center"/>
          </w:tcPr>
          <w:p w14:paraId="10BAE8DD">
            <w:pPr>
              <w:keepNext w:val="0"/>
              <w:keepLines w:val="0"/>
              <w:suppressLineNumbers w:val="0"/>
              <w:adjustRightInd w:val="0"/>
              <w:snapToGrid w:val="0"/>
              <w:spacing w:before="0" w:beforeAutospacing="0" w:after="0" w:afterAutospacing="0" w:line="240" w:lineRule="auto"/>
              <w:ind w:left="0" w:right="0"/>
              <w:jc w:val="center"/>
              <w:rPr>
                <w:rFonts w:hint="eastAsia"/>
                <w:b/>
                <w:bCs w:val="0"/>
                <w:color w:val="auto"/>
                <w:highlight w:val="none"/>
              </w:rPr>
            </w:pPr>
            <w:r>
              <w:rPr>
                <w:rFonts w:hint="eastAsia"/>
                <w:b/>
                <w:bCs w:val="0"/>
                <w:color w:val="auto"/>
                <w:highlight w:val="none"/>
              </w:rPr>
              <w:t>合作期限</w:t>
            </w:r>
          </w:p>
        </w:tc>
      </w:tr>
      <w:tr w14:paraId="026E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20" w:type="dxa"/>
            <w:noWrap w:val="0"/>
            <w:vAlign w:val="center"/>
          </w:tcPr>
          <w:p w14:paraId="15953B7E">
            <w:pPr>
              <w:keepNext w:val="0"/>
              <w:keepLines w:val="0"/>
              <w:suppressLineNumbers w:val="0"/>
              <w:adjustRightInd w:val="0"/>
              <w:snapToGrid w:val="0"/>
              <w:spacing w:before="0" w:beforeAutospacing="0" w:after="0" w:afterAutospacing="0" w:line="240" w:lineRule="auto"/>
              <w:ind w:left="0" w:right="0"/>
              <w:jc w:val="center"/>
              <w:rPr>
                <w:rFonts w:hint="eastAsia"/>
                <w:bCs/>
                <w:color w:val="auto"/>
                <w:highlight w:val="none"/>
              </w:rPr>
            </w:pPr>
            <w:r>
              <w:rPr>
                <w:rFonts w:hint="eastAsia"/>
                <w:bCs/>
                <w:color w:val="auto"/>
                <w:highlight w:val="none"/>
              </w:rPr>
              <w:t>1</w:t>
            </w:r>
          </w:p>
        </w:tc>
        <w:tc>
          <w:tcPr>
            <w:tcW w:w="2995" w:type="dxa"/>
            <w:noWrap w:val="0"/>
            <w:vAlign w:val="center"/>
          </w:tcPr>
          <w:p w14:paraId="31037396">
            <w:pPr>
              <w:keepNext w:val="0"/>
              <w:keepLines w:val="0"/>
              <w:suppressLineNumbers w:val="0"/>
              <w:adjustRightInd w:val="0"/>
              <w:snapToGrid w:val="0"/>
              <w:spacing w:before="0" w:beforeAutospacing="0" w:after="0" w:afterAutospacing="0" w:line="240" w:lineRule="auto"/>
              <w:ind w:left="0" w:right="0"/>
              <w:jc w:val="center"/>
              <w:rPr>
                <w:rFonts w:hint="eastAsia"/>
                <w:bCs/>
                <w:color w:val="auto"/>
                <w:highlight w:val="none"/>
              </w:rPr>
            </w:pPr>
            <w:r>
              <w:rPr>
                <w:rFonts w:hint="default"/>
                <w:color w:val="auto"/>
                <w:highlight w:val="none"/>
              </w:rPr>
              <w:t>珠海高新技术产业开发区人民医院检验服务集约化保障项目</w:t>
            </w:r>
          </w:p>
        </w:tc>
        <w:tc>
          <w:tcPr>
            <w:tcW w:w="675" w:type="dxa"/>
            <w:noWrap w:val="0"/>
            <w:vAlign w:val="center"/>
          </w:tcPr>
          <w:p w14:paraId="2C359E17">
            <w:pPr>
              <w:keepNext w:val="0"/>
              <w:keepLines w:val="0"/>
              <w:suppressLineNumbers w:val="0"/>
              <w:adjustRightInd w:val="0"/>
              <w:snapToGrid w:val="0"/>
              <w:spacing w:before="0" w:beforeAutospacing="0" w:after="0" w:afterAutospacing="0" w:line="240" w:lineRule="auto"/>
              <w:ind w:left="0" w:right="0"/>
              <w:jc w:val="center"/>
              <w:rPr>
                <w:rFonts w:hint="eastAsia"/>
                <w:bCs/>
                <w:color w:val="auto"/>
                <w:highlight w:val="none"/>
              </w:rPr>
            </w:pPr>
            <w:r>
              <w:rPr>
                <w:rFonts w:hint="eastAsia"/>
                <w:bCs/>
                <w:color w:val="auto"/>
                <w:highlight w:val="none"/>
              </w:rPr>
              <w:t>项</w:t>
            </w:r>
          </w:p>
        </w:tc>
        <w:tc>
          <w:tcPr>
            <w:tcW w:w="675" w:type="dxa"/>
            <w:noWrap w:val="0"/>
            <w:vAlign w:val="center"/>
          </w:tcPr>
          <w:p w14:paraId="71FE0F7A">
            <w:pPr>
              <w:keepNext w:val="0"/>
              <w:keepLines w:val="0"/>
              <w:suppressLineNumbers w:val="0"/>
              <w:adjustRightInd w:val="0"/>
              <w:snapToGrid w:val="0"/>
              <w:spacing w:before="0" w:beforeAutospacing="0" w:after="0" w:afterAutospacing="0" w:line="240" w:lineRule="auto"/>
              <w:ind w:left="0" w:right="0"/>
              <w:jc w:val="center"/>
              <w:rPr>
                <w:rFonts w:hint="eastAsia"/>
                <w:bCs/>
                <w:color w:val="auto"/>
                <w:highlight w:val="none"/>
              </w:rPr>
            </w:pPr>
            <w:r>
              <w:rPr>
                <w:rFonts w:hint="eastAsia"/>
                <w:bCs/>
                <w:color w:val="auto"/>
                <w:highlight w:val="none"/>
              </w:rPr>
              <w:t>1</w:t>
            </w:r>
          </w:p>
        </w:tc>
        <w:tc>
          <w:tcPr>
            <w:tcW w:w="1538" w:type="dxa"/>
            <w:noWrap w:val="0"/>
            <w:vAlign w:val="center"/>
          </w:tcPr>
          <w:p w14:paraId="0126218D">
            <w:pPr>
              <w:keepNext w:val="0"/>
              <w:keepLines w:val="0"/>
              <w:suppressLineNumbers w:val="0"/>
              <w:adjustRightInd w:val="0"/>
              <w:snapToGrid w:val="0"/>
              <w:spacing w:before="0" w:beforeAutospacing="0" w:after="0" w:afterAutospacing="0" w:line="240" w:lineRule="auto"/>
              <w:ind w:left="0" w:right="0"/>
              <w:jc w:val="center"/>
              <w:rPr>
                <w:rFonts w:hint="default"/>
                <w:bCs/>
                <w:color w:val="auto"/>
                <w:highlight w:val="none"/>
              </w:rPr>
            </w:pPr>
            <w:r>
              <w:rPr>
                <w:rFonts w:hint="eastAsia"/>
                <w:bCs/>
                <w:color w:val="auto"/>
                <w:highlight w:val="none"/>
              </w:rPr>
              <w:t>35</w:t>
            </w:r>
          </w:p>
        </w:tc>
        <w:tc>
          <w:tcPr>
            <w:tcW w:w="1924" w:type="dxa"/>
            <w:noWrap w:val="0"/>
            <w:vAlign w:val="center"/>
          </w:tcPr>
          <w:p w14:paraId="49EA8808">
            <w:pPr>
              <w:keepNext w:val="0"/>
              <w:keepLines w:val="0"/>
              <w:suppressLineNumbers w:val="0"/>
              <w:adjustRightInd w:val="0"/>
              <w:snapToGrid w:val="0"/>
              <w:spacing w:before="0" w:beforeAutospacing="0" w:after="0" w:afterAutospacing="0" w:line="240" w:lineRule="auto"/>
              <w:ind w:left="0" w:right="0"/>
              <w:jc w:val="center"/>
              <w:rPr>
                <w:rFonts w:hint="eastAsia"/>
                <w:bCs/>
                <w:color w:val="auto"/>
                <w:highlight w:val="none"/>
              </w:rPr>
            </w:pPr>
            <w:r>
              <w:rPr>
                <w:rFonts w:hint="eastAsia"/>
                <w:b w:val="0"/>
                <w:bCs w:val="0"/>
                <w:color w:val="auto"/>
                <w:highlight w:val="none"/>
              </w:rPr>
              <w:t>合同签订之日起至2</w:t>
            </w:r>
            <w:r>
              <w:rPr>
                <w:rFonts w:hint="default"/>
                <w:b w:val="0"/>
                <w:bCs w:val="0"/>
                <w:color w:val="auto"/>
                <w:highlight w:val="none"/>
              </w:rPr>
              <w:t>027</w:t>
            </w:r>
            <w:r>
              <w:rPr>
                <w:rFonts w:hint="eastAsia"/>
                <w:b w:val="0"/>
                <w:bCs w:val="0"/>
                <w:color w:val="auto"/>
                <w:highlight w:val="none"/>
              </w:rPr>
              <w:t>年1</w:t>
            </w:r>
            <w:r>
              <w:rPr>
                <w:rFonts w:hint="default"/>
                <w:b w:val="0"/>
                <w:bCs w:val="0"/>
                <w:color w:val="auto"/>
                <w:highlight w:val="none"/>
              </w:rPr>
              <w:t>0</w:t>
            </w:r>
            <w:r>
              <w:rPr>
                <w:rFonts w:hint="eastAsia"/>
                <w:b w:val="0"/>
                <w:bCs w:val="0"/>
                <w:color w:val="auto"/>
                <w:highlight w:val="none"/>
              </w:rPr>
              <w:t>月3</w:t>
            </w:r>
            <w:r>
              <w:rPr>
                <w:rFonts w:hint="default"/>
                <w:b w:val="0"/>
                <w:bCs w:val="0"/>
                <w:color w:val="auto"/>
                <w:highlight w:val="none"/>
              </w:rPr>
              <w:t>0</w:t>
            </w:r>
            <w:r>
              <w:rPr>
                <w:rFonts w:hint="eastAsia"/>
                <w:b w:val="0"/>
                <w:bCs w:val="0"/>
                <w:color w:val="auto"/>
                <w:highlight w:val="none"/>
              </w:rPr>
              <w:t>日</w:t>
            </w:r>
          </w:p>
        </w:tc>
      </w:tr>
    </w:tbl>
    <w:p w14:paraId="70FB73C7">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bookmarkStart w:id="11" w:name="_Toc7083"/>
      <w:r>
        <w:rPr>
          <w:rFonts w:hint="eastAsia" w:cs="Times New Roman" w:asciiTheme="minorEastAsia" w:hAnsiTheme="minorEastAsia" w:eastAsiaTheme="minorEastAsia"/>
          <w:b w:val="0"/>
          <w:bCs w:val="0"/>
          <w:color w:val="auto"/>
          <w:kern w:val="2"/>
          <w:sz w:val="21"/>
          <w:szCs w:val="21"/>
          <w:highlight w:val="none"/>
          <w:lang w:val="en-US" w:eastAsia="zh-CN" w:bidi="ar-SA"/>
        </w:rPr>
        <w:t>★（二）合作期限</w:t>
      </w:r>
    </w:p>
    <w:p w14:paraId="3CF5D055">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合作期限从合同签订之日起至2027年10月30日。医院每季度进行项目日常运营质量考核，若考核不合格，按照考核说明医院有权提出解除合作，投标人须无条件配合。合作期限内如遇国家法律法规或上级政策变动而导致</w:t>
      </w:r>
      <w:bookmarkStart w:id="12" w:name="_Hlk62894579"/>
      <w:r>
        <w:rPr>
          <w:rFonts w:hint="eastAsia" w:cs="Times New Roman" w:asciiTheme="minorEastAsia" w:hAnsiTheme="minorEastAsia" w:eastAsiaTheme="minorEastAsia"/>
          <w:b w:val="0"/>
          <w:bCs w:val="0"/>
          <w:color w:val="auto"/>
          <w:kern w:val="2"/>
          <w:sz w:val="21"/>
          <w:szCs w:val="21"/>
          <w:highlight w:val="none"/>
          <w:lang w:val="en-US" w:eastAsia="zh-CN" w:bidi="ar-SA"/>
        </w:rPr>
        <w:t>项目终止</w:t>
      </w:r>
      <w:bookmarkEnd w:id="12"/>
      <w:r>
        <w:rPr>
          <w:rFonts w:hint="eastAsia" w:cs="Times New Roman" w:asciiTheme="minorEastAsia" w:hAnsiTheme="minorEastAsia" w:eastAsiaTheme="minorEastAsia"/>
          <w:b w:val="0"/>
          <w:bCs w:val="0"/>
          <w:color w:val="auto"/>
          <w:kern w:val="2"/>
          <w:sz w:val="21"/>
          <w:szCs w:val="21"/>
          <w:highlight w:val="none"/>
          <w:lang w:val="en-US" w:eastAsia="zh-CN" w:bidi="ar-SA"/>
        </w:rPr>
        <w:t>，投标人须无条件服从，且在过渡期间应继续按原合同约定维持项目正常运营。项目终止的，医院及投标人双方各自承担自身的经济损失，不得因此向对方追偿。</w:t>
      </w:r>
    </w:p>
    <w:p w14:paraId="73CB9ED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（三）项目地点</w:t>
      </w:r>
    </w:p>
    <w:p w14:paraId="530B3F49">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医院指定的合作地点。</w:t>
      </w:r>
    </w:p>
    <w:p w14:paraId="2A431823">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★（四）报价要求</w:t>
      </w:r>
      <w:bookmarkEnd w:id="11"/>
    </w:p>
    <w:p w14:paraId="37B94B47">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1.投标人须在投标文件中报出“</w:t>
      </w:r>
      <w:r>
        <w:rPr>
          <w:rFonts w:hint="eastAsia" w:ascii="宋体" w:hAnsi="宋体" w:eastAsia="宋体" w:cs="宋体"/>
          <w:color w:val="auto"/>
          <w:sz w:val="21"/>
          <w:szCs w:val="21"/>
          <w:highlight w:val="none"/>
        </w:rPr>
        <w:t>检验服务集约化保障项目</w:t>
      </w:r>
      <w:r>
        <w:rPr>
          <w:rFonts w:hint="eastAsia" w:cs="Times New Roman" w:asciiTheme="minorEastAsia" w:hAnsiTheme="minorEastAsia" w:eastAsiaTheme="minorEastAsia"/>
          <w:b w:val="0"/>
          <w:bCs w:val="0"/>
          <w:color w:val="auto"/>
          <w:kern w:val="2"/>
          <w:sz w:val="21"/>
          <w:szCs w:val="21"/>
          <w:highlight w:val="none"/>
          <w:lang w:val="en-US" w:eastAsia="zh-CN" w:bidi="ar-SA"/>
        </w:rPr>
        <w:t>”的投标折扣率，并将以下响应表放入投标文件中：</w:t>
      </w:r>
    </w:p>
    <w:tbl>
      <w:tblPr>
        <w:tblStyle w:val="39"/>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8"/>
        <w:gridCol w:w="3061"/>
      </w:tblGrid>
      <w:tr w14:paraId="5EAB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8" w:type="dxa"/>
            <w:noWrap w:val="0"/>
            <w:vAlign w:val="center"/>
          </w:tcPr>
          <w:p w14:paraId="1FCFD20F">
            <w:pPr>
              <w:pStyle w:val="37"/>
              <w:keepNext w:val="0"/>
              <w:keepLines w:val="0"/>
              <w:numPr>
                <w:ilvl w:val="0"/>
                <w:numId w:val="0"/>
              </w:numPr>
              <w:suppressLineNumbers w:val="0"/>
              <w:spacing w:before="0" w:beforeAutospacing="0" w:afterAutospacing="0"/>
              <w:ind w:left="0" w:right="0"/>
              <w:jc w:val="center"/>
              <w:rPr>
                <w:rFonts w:hint="eastAsia"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合作内容</w:t>
            </w:r>
          </w:p>
        </w:tc>
        <w:tc>
          <w:tcPr>
            <w:tcW w:w="3061" w:type="dxa"/>
            <w:noWrap w:val="0"/>
            <w:vAlign w:val="center"/>
          </w:tcPr>
          <w:p w14:paraId="2E8D8154">
            <w:pPr>
              <w:pStyle w:val="37"/>
              <w:keepNext w:val="0"/>
              <w:keepLines w:val="0"/>
              <w:numPr>
                <w:ilvl w:val="0"/>
                <w:numId w:val="0"/>
              </w:numPr>
              <w:suppressLineNumbers w:val="0"/>
              <w:spacing w:before="0" w:beforeAutospacing="0" w:afterAutospacing="0"/>
              <w:ind w:left="0" w:right="0"/>
              <w:jc w:val="center"/>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投标折扣率</w:t>
            </w:r>
          </w:p>
        </w:tc>
      </w:tr>
      <w:tr w14:paraId="7A94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8" w:type="dxa"/>
            <w:noWrap w:val="0"/>
            <w:vAlign w:val="center"/>
          </w:tcPr>
          <w:p w14:paraId="21B5FE3F">
            <w:pPr>
              <w:pStyle w:val="37"/>
              <w:keepNext w:val="0"/>
              <w:keepLines w:val="0"/>
              <w:numPr>
                <w:ilvl w:val="0"/>
                <w:numId w:val="0"/>
              </w:numPr>
              <w:suppressLineNumbers w:val="0"/>
              <w:spacing w:before="0" w:beforeAutospacing="0" w:afterAutospacing="0"/>
              <w:ind w:left="0" w:right="0"/>
              <w:jc w:val="center"/>
              <w:rPr>
                <w:rFonts w:hint="eastAsia" w:asciiTheme="minorEastAsia" w:hAnsiTheme="minorEastAsia" w:eastAsiaTheme="minorEastAsia"/>
                <w:color w:val="auto"/>
                <w:sz w:val="21"/>
                <w:szCs w:val="21"/>
                <w:highlight w:val="none"/>
              </w:rPr>
            </w:pPr>
            <w:r>
              <w:rPr>
                <w:rFonts w:hint="eastAsia" w:ascii="宋体" w:hAnsi="宋体" w:eastAsia="宋体" w:cs="宋体"/>
                <w:color w:val="auto"/>
                <w:sz w:val="21"/>
                <w:szCs w:val="21"/>
                <w:highlight w:val="none"/>
              </w:rPr>
              <w:t>检验服务集约化保障项目</w:t>
            </w:r>
          </w:p>
        </w:tc>
        <w:tc>
          <w:tcPr>
            <w:tcW w:w="3061" w:type="dxa"/>
            <w:noWrap w:val="0"/>
            <w:vAlign w:val="center"/>
          </w:tcPr>
          <w:p w14:paraId="5956BA80">
            <w:pPr>
              <w:pStyle w:val="37"/>
              <w:keepNext w:val="0"/>
              <w:keepLines w:val="0"/>
              <w:numPr>
                <w:ilvl w:val="0"/>
                <w:numId w:val="0"/>
              </w:numPr>
              <w:suppressLineNumbers w:val="0"/>
              <w:spacing w:before="0" w:beforeAutospacing="0" w:afterAutospacing="0"/>
              <w:ind w:left="0" w:right="0"/>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rPr>
              <w:t>%</w:t>
            </w:r>
          </w:p>
        </w:tc>
      </w:tr>
    </w:tbl>
    <w:p w14:paraId="288A44E4">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2.投标人统一按广东省珠海市二级医院的项目物价标准折扣率进行报价，针对报价表须报出唯一的折扣率，投标折扣率应≤35%，投标报价折扣率必须为固定的报价（如35%），不得存在区间值（如30-35%）。否则将被视为非实质性投标文件，按无效响应处理。医院根据实际收费与投标人进行结算。</w:t>
      </w:r>
    </w:p>
    <w:p w14:paraId="26E30BDA">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3.投标人的报价包含但不限于以下内容：</w:t>
      </w:r>
    </w:p>
    <w:p w14:paraId="47BDBFAC">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bookmarkStart w:id="13" w:name="_Hlk92287831"/>
      <w:r>
        <w:rPr>
          <w:rFonts w:hint="eastAsia" w:cs="Times New Roman" w:asciiTheme="minorEastAsia" w:hAnsiTheme="minorEastAsia" w:eastAsiaTheme="minorEastAsia"/>
          <w:b w:val="0"/>
          <w:bCs w:val="0"/>
          <w:color w:val="auto"/>
          <w:kern w:val="2"/>
          <w:sz w:val="21"/>
          <w:szCs w:val="21"/>
          <w:highlight w:val="none"/>
          <w:lang w:val="en-US" w:eastAsia="zh-CN" w:bidi="ar-SA"/>
        </w:rPr>
        <w:t>（1）新增设备及对应的维保、维修、更换、计量认证等</w:t>
      </w:r>
      <w:bookmarkEnd w:id="13"/>
      <w:r>
        <w:rPr>
          <w:rFonts w:hint="eastAsia" w:cs="Times New Roman" w:asciiTheme="minorEastAsia" w:hAnsiTheme="minorEastAsia" w:eastAsiaTheme="minorEastAsia"/>
          <w:b w:val="0"/>
          <w:bCs w:val="0"/>
          <w:color w:val="auto"/>
          <w:kern w:val="2"/>
          <w:sz w:val="21"/>
          <w:szCs w:val="21"/>
          <w:highlight w:val="none"/>
          <w:lang w:val="en-US" w:eastAsia="zh-CN" w:bidi="ar-SA"/>
        </w:rPr>
        <w:t>，全部检测试剂、耗材供应，智能化信息平台建设，投标人运营服务团队人员薪资等完成建设运营内容所需的全部费用。</w:t>
      </w:r>
    </w:p>
    <w:p w14:paraId="7126FAD4">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（2）学术活动举办，项目手册、样本采集手册、宣传手册等制定的全部费用。</w:t>
      </w:r>
    </w:p>
    <w:p w14:paraId="592E66D3">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（3）合理的投资风险、利润、税金等。</w:t>
      </w:r>
    </w:p>
    <w:p w14:paraId="5C6A096F">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（4）原则上不得调整折扣率，如遇国家法律法规或上级政策变动，部分试剂、耗材纳入集中带量采购中选产品，双方须重新协商调整折扣率或合作方式。</w:t>
      </w:r>
    </w:p>
    <w:p w14:paraId="3B9E5829">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bookmarkStart w:id="14" w:name="_Toc5442"/>
      <w:r>
        <w:rPr>
          <w:rFonts w:hint="eastAsia" w:cs="Times New Roman" w:asciiTheme="minorEastAsia" w:hAnsiTheme="minorEastAsia" w:eastAsiaTheme="minorEastAsia"/>
          <w:b w:val="0"/>
          <w:bCs w:val="0"/>
          <w:color w:val="auto"/>
          <w:kern w:val="2"/>
          <w:sz w:val="21"/>
          <w:szCs w:val="21"/>
          <w:highlight w:val="none"/>
          <w:lang w:val="en-US" w:eastAsia="zh-CN" w:bidi="ar-SA"/>
        </w:rPr>
        <w:t>（五）项目结算与支付</w:t>
      </w:r>
      <w:bookmarkEnd w:id="14"/>
    </w:p>
    <w:p w14:paraId="66F0CAF3">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1.结算方式</w:t>
      </w:r>
    </w:p>
    <w:p w14:paraId="367EC1BF">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结算价=检验科开展检测项目数量*广东省珠海市二级医院的项目物价标准*投标折扣率。</w:t>
      </w:r>
    </w:p>
    <w:p w14:paraId="2DA8B033">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注：开展检测项目测试数量以双方协商确定的统计口径下的LIS数据为准。开展检测项目详见（三）开展项目服务能力要求中的项目清单，检测项目如有新增或更改，经双方协商确定开展后，仍按照此方式结算，如遇其他特殊情况可双方进行协商确定。在本项目规定的合作期限内，医院支付的结算价款包含但不限于人工、拟投入设备及试剂耗材、各类税费或未注明报价的内容。此外，医院不再额外支付其它费用。</w:t>
      </w:r>
    </w:p>
    <w:p w14:paraId="715069EC">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2.结算周期</w:t>
      </w:r>
    </w:p>
    <w:p w14:paraId="672836BB">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每月结算一次，医院在次月10号前将上一个月的实际检测项目及检测量明细递交给成交招标人审核，成交招标人将检测项目实际收费金额与医院递交的检测数据进行比对。双方在10个工作日内核对完成，数据无误后医院在30个工作日内支付上一个月的结算费用。（法定节假日顺延）</w:t>
      </w:r>
    </w:p>
    <w:p w14:paraId="58112C02">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3.支付条件</w:t>
      </w:r>
    </w:p>
    <w:p w14:paraId="0D5D7B3A">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（1）结算所需的相关资料齐全。</w:t>
      </w:r>
    </w:p>
    <w:p w14:paraId="4A021C4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（2）成交招标人已按要求开具了合格的发票。</w:t>
      </w:r>
    </w:p>
    <w:p w14:paraId="5843F541">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4.检测项目的收费标准</w:t>
      </w:r>
    </w:p>
    <w:p w14:paraId="06B01B5A">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各检测项目医疗收费以珠海市卫生主管部门颁布的最新公立医疗机构基本医疗服务项目价格收费标准作为检测项目收费标准。合作期内收费标准发生变化的，医院及成交招标人均无条件接受，不得因价格上涨或下调而终止服务。</w:t>
      </w:r>
    </w:p>
    <w:p w14:paraId="176AA71E">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5.项目结算以实际发生金额为准。医院不能保证合作期内实际开展项目的规模，请各投标人综合考虑报价风险。无论实际开展项目规模大小，投标人应保证按投标文件要求向医院提供合格的服务。</w:t>
      </w:r>
    </w:p>
    <w:p w14:paraId="0077E144">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eastAsia="宋体" w:cs="Times New Roman" w:asciiTheme="minorEastAsia" w:hAnsi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6.相关业绩要求：</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lang w:val="en-US" w:eastAsia="zh-CN"/>
        </w:rPr>
        <w:t>2023年至今</w:t>
      </w:r>
      <w:r>
        <w:rPr>
          <w:rFonts w:hint="eastAsia" w:ascii="宋体" w:hAnsi="宋体" w:eastAsia="宋体" w:cs="宋体"/>
          <w:color w:val="auto"/>
          <w:sz w:val="21"/>
          <w:szCs w:val="21"/>
          <w:highlight w:val="none"/>
        </w:rPr>
        <w:t>签订的同类项目业绩</w:t>
      </w:r>
      <w:r>
        <w:rPr>
          <w:rFonts w:hint="eastAsia" w:ascii="宋体" w:hAnsi="宋体" w:eastAsia="宋体" w:cs="宋体"/>
          <w:color w:val="auto"/>
          <w:sz w:val="21"/>
          <w:szCs w:val="21"/>
          <w:highlight w:val="none"/>
          <w:lang w:eastAsia="zh-CN"/>
        </w:rPr>
        <w:t>。</w:t>
      </w:r>
    </w:p>
    <w:p w14:paraId="689F8D87">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p>
    <w:p w14:paraId="5F5C5859">
      <w:pPr>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注：参数中带“★”号为实质性条款，不满足将导致投标无效。</w:t>
      </w:r>
    </w:p>
    <w:p w14:paraId="1F07C4CA">
      <w:pPr>
        <w:rPr>
          <w:rFonts w:asciiTheme="minorEastAsia" w:hAnsiTheme="minorEastAsia" w:eastAsiaTheme="minorEastAsia"/>
          <w:b/>
          <w:color w:val="auto"/>
          <w:sz w:val="28"/>
          <w:szCs w:val="28"/>
          <w:highlight w:val="none"/>
          <w:lang w:val="zh-CN"/>
        </w:rPr>
      </w:pPr>
      <w:r>
        <w:rPr>
          <w:rFonts w:hint="eastAsia" w:asciiTheme="minorEastAsia" w:hAnsiTheme="minorEastAsia" w:eastAsiaTheme="minorEastAsia"/>
          <w:b/>
          <w:color w:val="auto"/>
          <w:sz w:val="28"/>
          <w:szCs w:val="28"/>
          <w:highlight w:val="none"/>
          <w:lang w:val="zh-CN"/>
        </w:rPr>
        <w:br w:type="page"/>
      </w:r>
    </w:p>
    <w:p w14:paraId="310EE13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 w:val="28"/>
          <w:szCs w:val="28"/>
          <w:highlight w:val="none"/>
          <w:lang w:val="zh-CN"/>
        </w:rPr>
        <w:t>第三部分　</w:t>
      </w:r>
      <w:r>
        <w:rPr>
          <w:rFonts w:hint="eastAsia" w:asciiTheme="minorEastAsia" w:hAnsiTheme="minorEastAsia" w:eastAsiaTheme="minorEastAsia"/>
          <w:b/>
          <w:color w:val="auto"/>
          <w:sz w:val="28"/>
          <w:szCs w:val="28"/>
          <w:highlight w:val="none"/>
        </w:rPr>
        <w:t>投标人须知</w:t>
      </w:r>
    </w:p>
    <w:p w14:paraId="47FF3377">
      <w:pPr>
        <w:pStyle w:val="18"/>
        <w:adjustRightInd w:val="0"/>
        <w:snapToGrid w:val="0"/>
        <w:ind w:left="1"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一、说  明</w:t>
      </w:r>
    </w:p>
    <w:p w14:paraId="564C446C">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1．适用范围</w:t>
      </w:r>
    </w:p>
    <w:p w14:paraId="51E9D268">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1.1本招标文件适用于本投标邀请函中所述项目的采购。</w:t>
      </w:r>
    </w:p>
    <w:p w14:paraId="30E80F35">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 定义</w:t>
      </w:r>
    </w:p>
    <w:p w14:paraId="59F185CB">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2.1 “采购人”是指：</w:t>
      </w:r>
      <w:r>
        <w:rPr>
          <w:rFonts w:hint="eastAsia" w:cs="Times New Roman" w:asciiTheme="minorEastAsia" w:hAnsiTheme="minorEastAsia" w:eastAsiaTheme="minorEastAsia"/>
          <w:color w:val="auto"/>
          <w:highlight w:val="none"/>
          <w:u w:val="single"/>
          <w:lang w:eastAsia="zh-CN"/>
        </w:rPr>
        <w:t>珠海高新技术产业开发区人民医院</w:t>
      </w:r>
      <w:r>
        <w:rPr>
          <w:rFonts w:hint="eastAsia" w:cs="Times New Roman" w:asciiTheme="minorEastAsia" w:hAnsiTheme="minorEastAsia" w:eastAsiaTheme="minorEastAsia"/>
          <w:color w:val="auto"/>
          <w:highlight w:val="none"/>
        </w:rPr>
        <w:t>。</w:t>
      </w:r>
    </w:p>
    <w:p w14:paraId="56D4354C">
      <w:pPr>
        <w:pStyle w:val="18"/>
        <w:adjustRightInd w:val="0"/>
        <w:snapToGrid w:val="0"/>
        <w:ind w:firstLine="359"/>
        <w:rPr>
          <w:rFonts w:cs="Times New Roman" w:asciiTheme="minorEastAsia" w:hAnsiTheme="minorEastAsia" w:eastAsiaTheme="minorEastAsia"/>
          <w:color w:val="auto"/>
          <w:highlight w:val="none"/>
          <w:u w:val="single"/>
        </w:rPr>
      </w:pPr>
      <w:r>
        <w:rPr>
          <w:rFonts w:hint="eastAsia" w:cs="Times New Roman" w:asciiTheme="minorEastAsia" w:hAnsiTheme="minorEastAsia" w:eastAsiaTheme="minorEastAsia"/>
          <w:color w:val="auto"/>
          <w:highlight w:val="none"/>
        </w:rPr>
        <w:t>2.2 “监管部门”是指：</w:t>
      </w:r>
      <w:r>
        <w:rPr>
          <w:rFonts w:hint="eastAsia" w:cs="Times New Roman" w:asciiTheme="minorEastAsia" w:hAnsiTheme="minorEastAsia" w:eastAsiaTheme="minorEastAsia"/>
          <w:color w:val="auto"/>
          <w:highlight w:val="none"/>
          <w:u w:val="single"/>
        </w:rPr>
        <w:t>招标采购监督管理部门。</w:t>
      </w:r>
    </w:p>
    <w:p w14:paraId="3C6DE24F">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2.3“采购代理机构”是指：</w:t>
      </w:r>
      <w:r>
        <w:rPr>
          <w:rFonts w:hint="eastAsia" w:cs="Times New Roman" w:asciiTheme="minorEastAsia" w:hAnsiTheme="minorEastAsia" w:eastAsiaTheme="minorEastAsia"/>
          <w:color w:val="auto"/>
          <w:highlight w:val="none"/>
          <w:u w:val="single"/>
        </w:rPr>
        <w:t>国义招标股份有限公司</w:t>
      </w:r>
      <w:r>
        <w:rPr>
          <w:rFonts w:hint="eastAsia" w:cs="Times New Roman" w:asciiTheme="minorEastAsia" w:hAnsiTheme="minorEastAsia" w:eastAsiaTheme="minorEastAsia"/>
          <w:color w:val="auto"/>
          <w:highlight w:val="none"/>
        </w:rPr>
        <w:t>。</w:t>
      </w:r>
    </w:p>
    <w:p w14:paraId="39BB393A">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2.4“招标采购单位”是指：</w:t>
      </w:r>
      <w:r>
        <w:rPr>
          <w:rFonts w:hint="eastAsia" w:cs="Times New Roman" w:asciiTheme="minorEastAsia" w:hAnsiTheme="minorEastAsia" w:eastAsiaTheme="minorEastAsia"/>
          <w:color w:val="auto"/>
          <w:highlight w:val="none"/>
          <w:u w:val="single"/>
        </w:rPr>
        <w:t>采购人，采购代理机构。</w:t>
      </w:r>
    </w:p>
    <w:p w14:paraId="46A520DD">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 xml:space="preserve">2.5合格的投标人 </w:t>
      </w:r>
    </w:p>
    <w:p w14:paraId="24A009DD">
      <w:pPr>
        <w:pStyle w:val="18"/>
        <w:tabs>
          <w:tab w:val="left" w:pos="360"/>
        </w:tabs>
        <w:adjustRightInd w:val="0"/>
        <w:snapToGrid w:val="0"/>
        <w:ind w:firstLine="359"/>
        <w:rPr>
          <w:rFonts w:cs="Times New Roman" w:asciiTheme="minorEastAsia" w:hAnsiTheme="minorEastAsia" w:eastAsiaTheme="minorEastAsia"/>
          <w:snapToGrid w:val="0"/>
          <w:color w:val="auto"/>
          <w:kern w:val="0"/>
          <w:highlight w:val="none"/>
        </w:rPr>
      </w:pPr>
      <w:r>
        <w:rPr>
          <w:rFonts w:hint="eastAsia" w:cs="Times New Roman" w:asciiTheme="minorEastAsia" w:hAnsiTheme="minorEastAsia" w:eastAsiaTheme="minorEastAsia"/>
          <w:snapToGrid w:val="0"/>
          <w:color w:val="auto"/>
          <w:kern w:val="0"/>
          <w:highlight w:val="none"/>
        </w:rPr>
        <w:t>1) 符合《政府采购法》第二十二条规定的投标人。</w:t>
      </w:r>
    </w:p>
    <w:p w14:paraId="53916B6E">
      <w:pPr>
        <w:pStyle w:val="18"/>
        <w:tabs>
          <w:tab w:val="left" w:pos="360"/>
        </w:tabs>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 符合招标文件规定的资格要求及实质性要求。</w:t>
      </w:r>
    </w:p>
    <w:p w14:paraId="43B0A4B1">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2.6 “中标人”是指经法定程序确定并授予合同的投标人。</w:t>
      </w:r>
    </w:p>
    <w:p w14:paraId="1C240B48">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3. 合格的货物、工程和服务</w:t>
      </w:r>
    </w:p>
    <w:p w14:paraId="7DE7CA5D">
      <w:pPr>
        <w:adjustRightInd w:val="0"/>
        <w:snapToGrid w:val="0"/>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“货物”是指投标人制造或组织符合招标文件要求的货物等。</w:t>
      </w:r>
      <w:r>
        <w:rPr>
          <w:rFonts w:hint="eastAsia" w:asciiTheme="minorEastAsia" w:hAnsiTheme="minorEastAsia" w:eastAsiaTheme="minorEastAsia"/>
          <w:snapToGrid w:val="0"/>
          <w:color w:val="auto"/>
          <w:kern w:val="0"/>
          <w:szCs w:val="21"/>
          <w:highlight w:val="none"/>
        </w:rPr>
        <w:t>投标的货物必须是其合法生产的符合国家有关标准要求的货物，并满足采购文件规定的规格、参数、质量、价格、有效期、售后服务等要求。</w:t>
      </w:r>
    </w:p>
    <w:p w14:paraId="3541D40B">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 xml:space="preserve">3.2 </w:t>
      </w:r>
      <w:r>
        <w:rPr>
          <w:rFonts w:hint="eastAsia" w:asciiTheme="minorEastAsia" w:hAnsiTheme="minorEastAsia" w:eastAsiaTheme="minorEastAsia"/>
          <w:color w:val="auto"/>
          <w:highlight w:val="none"/>
        </w:rPr>
        <w:t>“工程”是指</w:t>
      </w:r>
      <w:r>
        <w:rPr>
          <w:rFonts w:hint="eastAsia" w:cs="Times New Roman" w:asciiTheme="minorEastAsia" w:hAnsiTheme="minorEastAsia" w:eastAsiaTheme="minorEastAsia"/>
          <w:color w:val="auto"/>
          <w:highlight w:val="none"/>
        </w:rPr>
        <w:t>满足国家相关法律、法规、规章等规定，并符合本项目相关质量要求、安全文明施工要求的工程。</w:t>
      </w:r>
    </w:p>
    <w:p w14:paraId="247472B5">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3.3 “服务”是指除货物和工程以外的其他采购对象,其中包括：投标人须承担的运输、安装、技术支持、培训以及符合招标文件规定的其它服务。</w:t>
      </w:r>
    </w:p>
    <w:p w14:paraId="60A785C9">
      <w:pPr>
        <w:pStyle w:val="18"/>
        <w:adjustRightInd w:val="0"/>
        <w:snapToGrid w:val="0"/>
        <w:spacing w:line="320" w:lineRule="exact"/>
        <w:ind w:firstLine="420"/>
        <w:rPr>
          <w:rFonts w:hAnsi="宋体" w:cs="Times New Roman"/>
          <w:color w:val="auto"/>
          <w:highlight w:val="none"/>
        </w:rPr>
      </w:pPr>
      <w:r>
        <w:rPr>
          <w:rFonts w:hAnsi="宋体" w:cs="Times New Roman"/>
          <w:color w:val="auto"/>
          <w:highlight w:val="none"/>
        </w:rPr>
        <w:t>4．投标费用</w:t>
      </w:r>
    </w:p>
    <w:p w14:paraId="68E21BDE">
      <w:pPr>
        <w:pStyle w:val="18"/>
        <w:adjustRightInd w:val="0"/>
        <w:snapToGrid w:val="0"/>
        <w:spacing w:line="320" w:lineRule="exact"/>
        <w:ind w:firstLine="420"/>
        <w:rPr>
          <w:rFonts w:hAnsi="宋体" w:cs="Times New Roman"/>
          <w:color w:val="auto"/>
          <w:highlight w:val="none"/>
        </w:rPr>
      </w:pPr>
      <w:r>
        <w:rPr>
          <w:rFonts w:hAnsi="宋体" w:cs="Times New Roman"/>
          <w:color w:val="auto"/>
          <w:highlight w:val="none"/>
        </w:rPr>
        <w:t>4.1 投标人应承担所有与准备和参加投标有关的费用。不论投标的结果如何，招标采购单位均无义务和责任承担这些费用。</w:t>
      </w:r>
    </w:p>
    <w:p w14:paraId="72E74D41">
      <w:pPr>
        <w:pStyle w:val="18"/>
        <w:adjustRightInd w:val="0"/>
        <w:snapToGrid w:val="0"/>
        <w:spacing w:line="320" w:lineRule="exact"/>
        <w:ind w:firstLine="420"/>
        <w:rPr>
          <w:rFonts w:asciiTheme="majorEastAsia" w:hAnsiTheme="majorEastAsia" w:eastAsiaTheme="majorEastAsia"/>
          <w:color w:val="auto"/>
          <w:highlight w:val="none"/>
        </w:rPr>
      </w:pPr>
      <w:r>
        <w:rPr>
          <w:rFonts w:hint="eastAsia" w:ascii="宋体" w:hAnsi="宋体" w:eastAsia="宋体" w:cs="Times New Roman"/>
          <w:color w:val="auto"/>
          <w:highlight w:val="none"/>
        </w:rPr>
        <w:t>4.2本次招标向中标人收取中标服务费，按固定价收取，中标服务费为人民币</w:t>
      </w:r>
      <w:r>
        <w:rPr>
          <w:rFonts w:hint="eastAsia" w:hAnsi="宋体"/>
          <w:color w:val="auto"/>
          <w:highlight w:val="none"/>
          <w:lang w:val="en-US" w:eastAsia="zh-CN"/>
        </w:rPr>
        <w:t>52</w:t>
      </w:r>
      <w:r>
        <w:rPr>
          <w:rFonts w:hint="eastAsia" w:hAnsi="宋体"/>
          <w:color w:val="auto"/>
          <w:highlight w:val="none"/>
        </w:rPr>
        <w:t>,</w:t>
      </w:r>
      <w:r>
        <w:rPr>
          <w:rFonts w:hint="eastAsia" w:hAnsi="宋体"/>
          <w:color w:val="auto"/>
          <w:highlight w:val="none"/>
          <w:lang w:val="en-US" w:eastAsia="zh-CN"/>
        </w:rPr>
        <w:t>250</w:t>
      </w:r>
      <w:r>
        <w:rPr>
          <w:rFonts w:hint="eastAsia" w:hAnsi="宋体"/>
          <w:color w:val="auto"/>
          <w:highlight w:val="none"/>
        </w:rPr>
        <w:t>.00</w:t>
      </w:r>
      <w:r>
        <w:rPr>
          <w:rFonts w:hint="eastAsia" w:ascii="宋体" w:hAnsi="宋体" w:cs="宋体"/>
          <w:color w:val="auto"/>
          <w:szCs w:val="21"/>
          <w:highlight w:val="none"/>
        </w:rPr>
        <w:t>元。</w:t>
      </w:r>
    </w:p>
    <w:p w14:paraId="310DD5CA">
      <w:pPr>
        <w:pStyle w:val="18"/>
        <w:adjustRightInd w:val="0"/>
        <w:snapToGrid w:val="0"/>
        <w:ind w:firstLine="359"/>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中标人在收到中标通知书前向招标代理机构缴纳中标服务费，以电汇方式缴纳到以下账号（以下账户用于缴纳中标服务费），交费账户为：</w:t>
      </w:r>
    </w:p>
    <w:p w14:paraId="6707475C">
      <w:pPr>
        <w:pStyle w:val="18"/>
        <w:adjustRightInd w:val="0"/>
        <w:snapToGrid w:val="0"/>
        <w:ind w:firstLine="359"/>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收款人：</w:t>
      </w:r>
      <w:r>
        <w:rPr>
          <w:rFonts w:hint="eastAsia" w:hAnsi="宋体" w:eastAsiaTheme="majorEastAsia"/>
          <w:color w:val="auto"/>
          <w:highlight w:val="none"/>
        </w:rPr>
        <w:t>国义招标股份有限公司</w:t>
      </w:r>
    </w:p>
    <w:p w14:paraId="1DA12285">
      <w:pPr>
        <w:pStyle w:val="18"/>
        <w:adjustRightInd w:val="0"/>
        <w:snapToGrid w:val="0"/>
        <w:ind w:firstLine="359"/>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开户银行：</w:t>
      </w:r>
      <w:r>
        <w:rPr>
          <w:rFonts w:hint="eastAsia" w:hAnsi="宋体"/>
          <w:color w:val="auto"/>
          <w:highlight w:val="none"/>
        </w:rPr>
        <w:t>招商银行股份有限公司珠海分行</w:t>
      </w:r>
    </w:p>
    <w:p w14:paraId="188FCFBE">
      <w:pPr>
        <w:pStyle w:val="18"/>
        <w:adjustRightInd w:val="0"/>
        <w:snapToGrid w:val="0"/>
        <w:ind w:left="470" w:leftChars="171" w:hanging="111" w:hangingChars="53"/>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银行账号：</w:t>
      </w:r>
      <w:r>
        <w:rPr>
          <w:rFonts w:hint="eastAsia" w:hAnsi="宋体"/>
          <w:color w:val="auto"/>
          <w:highlight w:val="none"/>
        </w:rPr>
        <w:t>656900277410108</w:t>
      </w:r>
    </w:p>
    <w:p w14:paraId="39A260C2">
      <w:pPr>
        <w:pStyle w:val="18"/>
        <w:adjustRightInd w:val="0"/>
        <w:snapToGrid w:val="0"/>
        <w:ind w:left="470" w:leftChars="171" w:hanging="111" w:hangingChars="53"/>
        <w:rPr>
          <w:rFonts w:cs="Times New Roman" w:asciiTheme="minorEastAsia" w:hAnsiTheme="minorEastAsia" w:eastAsiaTheme="minorEastAsia"/>
          <w:color w:val="auto"/>
          <w:highlight w:val="none"/>
        </w:rPr>
      </w:pPr>
      <w:r>
        <w:rPr>
          <w:rFonts w:hint="eastAsia" w:asciiTheme="majorEastAsia" w:hAnsiTheme="majorEastAsia" w:eastAsiaTheme="majorEastAsia"/>
          <w:color w:val="auto"/>
          <w:highlight w:val="none"/>
        </w:rPr>
        <w:t>用    途：“ (项目编号) ”中标费</w:t>
      </w:r>
    </w:p>
    <w:p w14:paraId="07AFB742">
      <w:pPr>
        <w:pStyle w:val="18"/>
        <w:adjustRightInd w:val="0"/>
        <w:snapToGrid w:val="0"/>
        <w:ind w:firstLine="359"/>
        <w:rPr>
          <w:rFonts w:cs="Times New Roman" w:asciiTheme="minorEastAsia" w:hAnsiTheme="minorEastAsia" w:eastAsiaTheme="minorEastAsia"/>
          <w:b/>
          <w:color w:val="auto"/>
          <w:highlight w:val="none"/>
        </w:rPr>
      </w:pPr>
    </w:p>
    <w:p w14:paraId="4AF21174">
      <w:pPr>
        <w:pStyle w:val="18"/>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二、招标文件</w:t>
      </w:r>
    </w:p>
    <w:p w14:paraId="6622201E">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5. 招标文件的构成</w:t>
      </w:r>
    </w:p>
    <w:p w14:paraId="2F9E9DEA">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5.1招标文件由下列文件组成：</w:t>
      </w:r>
    </w:p>
    <w:p w14:paraId="08D85059">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 投标邀请函</w:t>
      </w:r>
    </w:p>
    <w:p w14:paraId="45BA2749">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 采购项目内容</w:t>
      </w:r>
    </w:p>
    <w:p w14:paraId="6022D1AC">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3) 投标人须知</w:t>
      </w:r>
    </w:p>
    <w:p w14:paraId="5F7EECE4">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4) 合同格式</w:t>
      </w:r>
    </w:p>
    <w:p w14:paraId="7E6134AF">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 xml:space="preserve">5) 投标文件格式 </w:t>
      </w:r>
    </w:p>
    <w:p w14:paraId="1F1BE946">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 在招标过程中由招标采购单位发出的修正和补充文件等</w:t>
      </w:r>
    </w:p>
    <w:p w14:paraId="13FF56BC">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14:paraId="6508A51D">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 招标文件的澄清</w:t>
      </w:r>
    </w:p>
    <w:p w14:paraId="46FB6783">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6.1任何要求对招标文件进行澄清的投标人，均应以书面形式在投标截止时间十五日以前通知招标采购单位。招标采购单位对其收到的书面的对招标文件的澄清要求均以书面形式予以答复，同时将书面答复发给每个购买招标文件的投标人（答复中不包括问题的来源）。该答复作为招标文件的一部分，对投标人有约束力。投标人在收到上述澄清答复后，应立即向招标采购单位回函确认。</w:t>
      </w:r>
    </w:p>
    <w:p w14:paraId="698C336F">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6.2投标人在规定的时间内未对招标文件澄清或提出疑问的，招标采购单位将视其为无异议。对招标文件中描述有歧意或前后不一致的地方，评标委员会有权进行评判，但对同一条款的评判应适用于每个投标人。</w:t>
      </w:r>
    </w:p>
    <w:p w14:paraId="549C4B47">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7. 招标文件的修改</w:t>
      </w:r>
    </w:p>
    <w:p w14:paraId="159520AE">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7.l在投标截止时间十五日以前，无论出于何种原因，招标采购单位可主动地或在解答投标人提出的疑问时对招标文件进行修改。招标文件的修改将以书面形式通知所有购买招标文件的投标人。该修改作为招标文件的一部分，对投标人有约束力。投标人在收到上述修改通知后，应立即向招标采购单位回函确认。</w:t>
      </w:r>
    </w:p>
    <w:p w14:paraId="7AB62B9D">
      <w:pPr>
        <w:pStyle w:val="18"/>
        <w:adjustRightInd w:val="0"/>
        <w:snapToGrid w:val="0"/>
        <w:ind w:firstLine="359"/>
        <w:rPr>
          <w:rFonts w:cs="Times New Roman" w:asciiTheme="minorEastAsia" w:hAnsiTheme="minorEastAsia" w:eastAsiaTheme="minorEastAsia"/>
          <w:b/>
          <w:color w:val="auto"/>
          <w:highlight w:val="none"/>
        </w:rPr>
      </w:pPr>
    </w:p>
    <w:p w14:paraId="252FCD66">
      <w:pPr>
        <w:pStyle w:val="18"/>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三、投标文件的编制</w:t>
      </w:r>
    </w:p>
    <w:p w14:paraId="482568A2">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8．投标的语言及计量</w:t>
      </w:r>
    </w:p>
    <w:p w14:paraId="0FE2B8D5">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7F26835F">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8.2 除非招标文件中另有规定，投标人在投标文件中及其与招标采购单位的所有往来文件中的计量单位均应采用中华人民共和国法定计量单位。</w:t>
      </w:r>
    </w:p>
    <w:p w14:paraId="2CBB3374">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9．投标文件的构成应符合法律法规及招标文件的要求。</w:t>
      </w:r>
    </w:p>
    <w:p w14:paraId="26BF4057">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10. 投标文件编制</w:t>
      </w:r>
    </w:p>
    <w:p w14:paraId="1DF10767">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10.1 投标人应当对投标文件进行装订，对未经装订的投标文件可能发生的文件散落或缺损，由此产生的后果由投标人承担。投标人对招标文件中多个包进行投标的，其投标文件的编制应按每个包的要求分别装订和封装。</w:t>
      </w:r>
    </w:p>
    <w:p w14:paraId="0CA4A8D2">
      <w:pPr>
        <w:pStyle w:val="18"/>
        <w:adjustRightInd w:val="0"/>
        <w:snapToGrid w:val="0"/>
        <w:ind w:firstLine="359"/>
        <w:rPr>
          <w:rFonts w:cs="Times New Roman" w:asciiTheme="minorEastAsia" w:hAnsiTheme="minorEastAsia" w:eastAsiaTheme="minorEastAsia"/>
          <w:color w:val="auto"/>
          <w:highlight w:val="none"/>
        </w:rPr>
      </w:pPr>
      <w:r>
        <w:rPr>
          <w:rFonts w:hint="eastAsia" w:asciiTheme="minorEastAsia" w:hAnsiTheme="minorEastAsia" w:eastAsiaTheme="minorEastAsia"/>
          <w:color w:val="auto"/>
          <w:highlight w:val="none"/>
        </w:rPr>
        <w:t>10.2投标人应完整、真实、准确的填写招标文件中规定的所有内容，</w:t>
      </w:r>
      <w:r>
        <w:rPr>
          <w:rFonts w:hint="eastAsia" w:cs="Times New Roman" w:asciiTheme="minorEastAsia" w:hAnsiTheme="minorEastAsia" w:eastAsiaTheme="minorEastAsia"/>
          <w:color w:val="auto"/>
          <w:highlight w:val="none"/>
        </w:rPr>
        <w:t>对投标文件所提供的全部资料的真实性承担法律责任，并无条件接受招标采购单位及</w:t>
      </w:r>
      <w:r>
        <w:rPr>
          <w:rFonts w:hint="eastAsia" w:cs="Times New Roman" w:asciiTheme="minorEastAsia" w:hAnsiTheme="minorEastAsia" w:eastAsiaTheme="minorEastAsia"/>
          <w:color w:val="auto"/>
          <w:highlight w:val="none"/>
          <w:lang w:val="en-US" w:eastAsia="zh-CN"/>
        </w:rPr>
        <w:t>招标</w:t>
      </w:r>
      <w:r>
        <w:rPr>
          <w:rFonts w:hint="eastAsia" w:cs="Times New Roman" w:asciiTheme="minorEastAsia" w:hAnsiTheme="minorEastAsia" w:eastAsiaTheme="minorEastAsia"/>
          <w:color w:val="auto"/>
          <w:highlight w:val="none"/>
        </w:rPr>
        <w:t>采购监督管理部门等对其中任何资料及招标采购单位或</w:t>
      </w:r>
      <w:r>
        <w:rPr>
          <w:rFonts w:hint="eastAsia" w:cs="Times New Roman" w:asciiTheme="minorEastAsia" w:hAnsiTheme="minorEastAsia" w:eastAsiaTheme="minorEastAsia"/>
          <w:color w:val="auto"/>
          <w:highlight w:val="none"/>
          <w:lang w:val="en-US" w:eastAsia="zh-CN"/>
        </w:rPr>
        <w:t>招标</w:t>
      </w:r>
      <w:r>
        <w:rPr>
          <w:rFonts w:hint="eastAsia" w:cs="Times New Roman" w:asciiTheme="minorEastAsia" w:hAnsiTheme="minorEastAsia" w:eastAsiaTheme="minorEastAsia"/>
          <w:color w:val="auto"/>
          <w:highlight w:val="none"/>
        </w:rPr>
        <w:t>采购监督管理部门认为有必要的资料进行核实的要求。</w:t>
      </w:r>
    </w:p>
    <w:p w14:paraId="1241B433">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10.</w:t>
      </w:r>
      <w:r>
        <w:rPr>
          <w:rFonts w:hint="eastAsia" w:asciiTheme="minorEastAsia" w:hAnsiTheme="minorEastAsia" w:eastAsiaTheme="minorEastAsia"/>
          <w:color w:val="auto"/>
          <w:highlight w:val="none"/>
        </w:rPr>
        <w:t>3</w:t>
      </w:r>
      <w:r>
        <w:rPr>
          <w:rFonts w:hint="eastAsia" w:cs="Times New Roman" w:asciiTheme="minorEastAsia" w:hAnsiTheme="minorEastAsia" w:eastAsiaTheme="minorEastAsia"/>
          <w:color w:val="auto"/>
          <w:highlight w:val="none"/>
        </w:rPr>
        <w:t>如果因为投标人投标文件填报的内容不详，或没有提供招标文件中所要求的全部资料及数据，由此造成的后果，其责任由投标人承担。</w:t>
      </w:r>
    </w:p>
    <w:p w14:paraId="76BBEA55">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 投标报价</w:t>
      </w:r>
    </w:p>
    <w:p w14:paraId="7BEDDBD8">
      <w:pPr>
        <w:autoSpaceDE w:val="0"/>
        <w:autoSpaceDN w:val="0"/>
        <w:adjustRightInd w:val="0"/>
        <w:snapToGrid w:val="0"/>
        <w:ind w:right="-148"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11.1 如招标文件无特殊规定，投标价格以人民币填报。</w:t>
      </w:r>
    </w:p>
    <w:p w14:paraId="304156FA">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11.2</w:t>
      </w:r>
      <w:r>
        <w:rPr>
          <w:rFonts w:hint="eastAsia" w:cs="Times New Roman" w:asciiTheme="minorEastAsia" w:hAnsiTheme="minorEastAsia" w:eastAsiaTheme="minorEastAsia"/>
          <w:color w:val="auto"/>
          <w:highlight w:val="none"/>
        </w:rPr>
        <w:t>投标人应按照招标文件“第二部分 采购项目内容”中规定的内容、责任范围以及合同条款进行报价，并按《开标一览表》和《投标明细报价表》确定的格式报出分项价格和总价</w:t>
      </w:r>
      <w:r>
        <w:rPr>
          <w:rFonts w:hint="eastAsia" w:cs="Times New Roman" w:asciiTheme="minorEastAsia" w:hAnsiTheme="minorEastAsia" w:eastAsiaTheme="minorEastAsia"/>
          <w:color w:val="auto"/>
          <w:kern w:val="0"/>
          <w:highlight w:val="none"/>
        </w:rPr>
        <w:t>。投标总价中不得包含招标文件要求以外的内容，否则在评标时不予核减。投标总价中也不得缺漏招标文件所要求的相应内容，否则</w:t>
      </w:r>
      <w:r>
        <w:rPr>
          <w:rFonts w:hint="eastAsia" w:asciiTheme="minorEastAsia" w:hAnsiTheme="minorEastAsia" w:eastAsiaTheme="minorEastAsia"/>
          <w:color w:val="auto"/>
          <w:highlight w:val="none"/>
          <w:lang w:val="zh-CN"/>
        </w:rPr>
        <w:t>将导致投标无效</w:t>
      </w:r>
      <w:r>
        <w:rPr>
          <w:rFonts w:hint="eastAsia" w:cs="Times New Roman" w:asciiTheme="minorEastAsia" w:hAnsiTheme="minorEastAsia" w:eastAsiaTheme="minorEastAsia"/>
          <w:color w:val="auto"/>
          <w:kern w:val="0"/>
          <w:highlight w:val="none"/>
        </w:rPr>
        <w:t>。</w:t>
      </w:r>
    </w:p>
    <w:p w14:paraId="044C86AE">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11.3《投标明细报价表》填写时应响应下列要求：</w:t>
      </w:r>
    </w:p>
    <w:p w14:paraId="5E18FF5E">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投标人应报货交采购人指定地点/仓库（包括安装至指定位置）人民币含税价(包括但不限于运输、保险、安装、伴随服务、关税、销售税、其他税以及合同包含的所有风险、责任等各项应有费用)。</w:t>
      </w:r>
    </w:p>
    <w:p w14:paraId="067095E0">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11.4 每种规格货物或每项标准服务只允许有一个报价，否则将被视为无效投标。</w:t>
      </w:r>
    </w:p>
    <w:p w14:paraId="2416417D">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 备选方案</w:t>
      </w:r>
    </w:p>
    <w:p w14:paraId="5EED982A">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highlight w:val="none"/>
        </w:rPr>
        <w:t>12.1</w:t>
      </w:r>
      <w:r>
        <w:rPr>
          <w:rFonts w:hint="eastAsia" w:cs="Times New Roman" w:asciiTheme="minorEastAsia" w:hAnsiTheme="minorEastAsia" w:eastAsiaTheme="minorEastAsia"/>
          <w:color w:val="auto"/>
          <w:kern w:val="0"/>
          <w:highlight w:val="none"/>
        </w:rPr>
        <w:t>只允许投标人有一个投标方案，否则</w:t>
      </w:r>
      <w:r>
        <w:rPr>
          <w:rFonts w:hint="eastAsia" w:cs="Times New Roman" w:asciiTheme="minorEastAsia" w:hAnsiTheme="minorEastAsia" w:eastAsiaTheme="minorEastAsia"/>
          <w:color w:val="auto"/>
          <w:highlight w:val="none"/>
        </w:rPr>
        <w:t>将被视为无效投标</w:t>
      </w:r>
      <w:r>
        <w:rPr>
          <w:rFonts w:hint="eastAsia" w:cs="Times New Roman" w:asciiTheme="minorEastAsia" w:hAnsiTheme="minorEastAsia" w:eastAsiaTheme="minorEastAsia"/>
          <w:color w:val="auto"/>
          <w:kern w:val="0"/>
          <w:highlight w:val="none"/>
        </w:rPr>
        <w:t>。（招标文件允许有备选方案的除外）</w:t>
      </w:r>
    </w:p>
    <w:p w14:paraId="03B75ABC">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13. 联合体投标</w:t>
      </w:r>
    </w:p>
    <w:p w14:paraId="03E2D7A3">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13.1本项目不接受联合体投标。</w:t>
      </w:r>
    </w:p>
    <w:p w14:paraId="2912CBF3">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kern w:val="0"/>
          <w:highlight w:val="none"/>
        </w:rPr>
        <w:t>13.2 如招标项目接受联合体投标的，则组成联合体投标的按</w:t>
      </w:r>
      <w:r>
        <w:rPr>
          <w:rFonts w:hint="eastAsia" w:cs="Times New Roman" w:asciiTheme="minorEastAsia" w:hAnsiTheme="minorEastAsia" w:eastAsiaTheme="minorEastAsia"/>
          <w:color w:val="auto"/>
          <w:kern w:val="0"/>
          <w:highlight w:val="none"/>
          <w:lang w:val="en-US" w:eastAsia="zh-CN"/>
        </w:rPr>
        <w:t>招标</w:t>
      </w:r>
      <w:r>
        <w:rPr>
          <w:rFonts w:hint="eastAsia" w:cs="Times New Roman" w:asciiTheme="minorEastAsia" w:hAnsiTheme="minorEastAsia" w:eastAsiaTheme="minorEastAsia"/>
          <w:color w:val="auto"/>
          <w:kern w:val="0"/>
          <w:highlight w:val="none"/>
        </w:rPr>
        <w:t>采购的法律、法规、规章等有关规定执行，并提供《联合体共同投标协议书》（格式见附件）。</w:t>
      </w:r>
    </w:p>
    <w:p w14:paraId="79664342">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 投标人资格证明文件</w:t>
      </w:r>
    </w:p>
    <w:p w14:paraId="4E31B239">
      <w:pPr>
        <w:autoSpaceDE w:val="0"/>
        <w:autoSpaceDN w:val="0"/>
        <w:adjustRightInd w:val="0"/>
        <w:snapToGrid w:val="0"/>
        <w:ind w:right="32" w:firstLine="359"/>
        <w:rPr>
          <w:rFonts w:asciiTheme="minorEastAsia" w:hAnsiTheme="minorEastAsia" w:eastAsiaTheme="minorEastAsia"/>
          <w:color w:val="auto"/>
          <w:highlight w:val="none"/>
        </w:rPr>
      </w:pPr>
      <w:r>
        <w:rPr>
          <w:rFonts w:hint="eastAsia" w:asciiTheme="minorEastAsia" w:hAnsiTheme="minorEastAsia" w:eastAsiaTheme="minorEastAsia"/>
          <w:color w:val="auto"/>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hint="eastAsia" w:asciiTheme="minorEastAsia" w:hAnsiTheme="minorEastAsia" w:eastAsiaTheme="minorEastAsia"/>
          <w:color w:val="auto"/>
          <w:kern w:val="0"/>
          <w:highlight w:val="none"/>
        </w:rPr>
        <w:t>资格文件是投标文件的必要文件，必须真实有效，复印件必须加盖单位印章。</w:t>
      </w:r>
    </w:p>
    <w:p w14:paraId="37A677AF">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15. 证明投标标的的合格性和符合招标文件规定的文件</w:t>
      </w:r>
      <w:r>
        <w:rPr>
          <w:rFonts w:hint="eastAsia" w:asciiTheme="minorEastAsia" w:hAnsiTheme="minorEastAsia" w:eastAsiaTheme="minorEastAsia"/>
          <w:color w:val="auto"/>
          <w:kern w:val="0"/>
          <w:highlight w:val="none"/>
        </w:rPr>
        <w:t>。</w:t>
      </w:r>
    </w:p>
    <w:p w14:paraId="7DE942DE">
      <w:pPr>
        <w:adjustRightInd w:val="0"/>
        <w:snapToGrid w:val="0"/>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16.履约保证金、融资担保</w:t>
      </w:r>
    </w:p>
    <w:p w14:paraId="1C6A82BE">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16.1履约保证金</w:t>
      </w:r>
    </w:p>
    <w:p w14:paraId="6E55AC71">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16.1.1采购人可根据采购合同履行需要，要求中标人在采购合同签订前提交履约保证金。</w:t>
      </w:r>
    </w:p>
    <w:p w14:paraId="252FD5C0">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16.1.2履约保证金缴纳金额、形式</w:t>
      </w:r>
    </w:p>
    <w:p w14:paraId="373326FE">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履约保证金数额不超过采购合同金额的</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%，采购人可根据履行合同的实际需要，在以上范围内规定履约保证金具体金额。</w:t>
      </w:r>
    </w:p>
    <w:p w14:paraId="690EC98F">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履约保证金应当以支票、汇票、本票或者金融机构、担保机构出具的保函等非现金形式提交。履约担保函样本格式参照招标文件第五部分－投标文件格式附表。</w:t>
      </w:r>
    </w:p>
    <w:p w14:paraId="196D277F">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16.1.3履约保证金在中标人履行完采购合同主要义务后，采购人按照合同约定原额退还，履约保证金以履约担保函形式提交的，担保责任终止。</w:t>
      </w:r>
    </w:p>
    <w:p w14:paraId="72A77DD7">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16.2融资担保</w:t>
      </w:r>
    </w:p>
    <w:p w14:paraId="3D5AEE8B">
      <w:pPr>
        <w:adjustRightInd w:val="0"/>
        <w:snapToGrid w:val="0"/>
        <w:ind w:right="-147" w:rightChars="-70"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16.2.1融资担保，是指专业担保机构为中标人向银行融资提供的保证担保。</w:t>
      </w:r>
    </w:p>
    <w:p w14:paraId="552E189D">
      <w:pPr>
        <w:pStyle w:val="18"/>
        <w:adjustRightInd w:val="0"/>
        <w:snapToGrid w:val="0"/>
        <w:ind w:firstLine="359"/>
        <w:rPr>
          <w:rFonts w:cs="Times New Roman" w:asciiTheme="minorEastAsia" w:hAnsiTheme="minorEastAsia" w:eastAsiaTheme="minorEastAsia"/>
          <w:color w:val="auto"/>
          <w:highlight w:val="none"/>
        </w:rPr>
      </w:pPr>
      <w:r>
        <w:rPr>
          <w:rFonts w:hint="eastAsia" w:asciiTheme="minorEastAsia" w:hAnsiTheme="minorEastAsia" w:eastAsiaTheme="minorEastAsia"/>
          <w:color w:val="auto"/>
          <w:highlight w:val="none"/>
        </w:rPr>
        <w:t>16.2.2中标人可以自愿选择是否采取融资担保的形式为本项目采购合同履约进行融资。</w:t>
      </w:r>
    </w:p>
    <w:p w14:paraId="0BADC719">
      <w:pPr>
        <w:pStyle w:val="18"/>
        <w:tabs>
          <w:tab w:val="left" w:pos="7740"/>
        </w:tabs>
        <w:adjustRightInd w:val="0"/>
        <w:snapToGrid w:val="0"/>
        <w:ind w:firstLine="310" w:firstLineChars="148"/>
        <w:rPr>
          <w:rFonts w:cs="Times New Roman" w:asciiTheme="minorEastAsia" w:hAnsiTheme="minorEastAsia" w:eastAsiaTheme="minorEastAsia"/>
          <w:color w:val="auto"/>
          <w:highlight w:val="none"/>
        </w:rPr>
      </w:pPr>
      <w:bookmarkStart w:id="15" w:name="_Toc42923352"/>
      <w:bookmarkStart w:id="16" w:name="_Toc222823292"/>
      <w:bookmarkStart w:id="17" w:name="_Toc230597966"/>
      <w:r>
        <w:rPr>
          <w:rFonts w:hint="eastAsia" w:cs="Times New Roman" w:asciiTheme="minorEastAsia" w:hAnsiTheme="minorEastAsia" w:eastAsiaTheme="minorEastAsia"/>
          <w:color w:val="auto"/>
          <w:highlight w:val="none"/>
        </w:rPr>
        <w:t>17. 投标有效期</w:t>
      </w:r>
      <w:bookmarkEnd w:id="15"/>
      <w:bookmarkEnd w:id="16"/>
      <w:bookmarkEnd w:id="17"/>
    </w:p>
    <w:p w14:paraId="6E0232C4">
      <w:pPr>
        <w:tabs>
          <w:tab w:val="left" w:pos="7740"/>
        </w:tabs>
        <w:adjustRightInd w:val="0"/>
        <w:snapToGrid w:val="0"/>
        <w:ind w:firstLine="310" w:firstLineChars="14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17.1投标文件应在投标截止日后的90天内保持有效。投标有效期比规定时间短的将被作为非实质性响应招标文件而予以拒绝。</w:t>
      </w:r>
    </w:p>
    <w:p w14:paraId="68833A78">
      <w:pPr>
        <w:tabs>
          <w:tab w:val="left" w:pos="7740"/>
        </w:tabs>
        <w:adjustRightInd w:val="0"/>
        <w:snapToGrid w:val="0"/>
        <w:ind w:firstLine="310" w:firstLineChars="14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特殊情况下，招标采购单位可于投标有效期期满之前，要求投标人同意延长投标有效期，要求与答复均应为书面形式。投标人可以拒绝上述要求。对于同意该要求的投标人，既不要求也不允许其修改报价文件。</w:t>
      </w:r>
    </w:p>
    <w:p w14:paraId="53C20993">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 投标文件的数量和签署</w:t>
      </w:r>
    </w:p>
    <w:p w14:paraId="52FE4D04">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18.1 投标人应编制投标文件一式</w:t>
      </w:r>
      <w:r>
        <w:rPr>
          <w:rFonts w:hint="eastAsia" w:asciiTheme="minorEastAsia" w:hAnsiTheme="minorEastAsia" w:eastAsiaTheme="minorEastAsia"/>
          <w:b/>
          <w:color w:val="auto"/>
          <w:kern w:val="0"/>
          <w:szCs w:val="21"/>
          <w:highlight w:val="none"/>
          <w:u w:val="single"/>
        </w:rPr>
        <w:t>六</w:t>
      </w:r>
      <w:r>
        <w:rPr>
          <w:rFonts w:hint="eastAsia" w:asciiTheme="minorEastAsia" w:hAnsiTheme="minorEastAsia" w:eastAsiaTheme="minorEastAsia"/>
          <w:color w:val="auto"/>
          <w:kern w:val="0"/>
          <w:szCs w:val="21"/>
          <w:highlight w:val="none"/>
        </w:rPr>
        <w:t>份，其中正本一份和副本</w:t>
      </w:r>
      <w:r>
        <w:rPr>
          <w:rFonts w:hint="eastAsia" w:asciiTheme="minorEastAsia" w:hAnsiTheme="minorEastAsia" w:eastAsiaTheme="minorEastAsia"/>
          <w:b/>
          <w:color w:val="auto"/>
          <w:kern w:val="0"/>
          <w:szCs w:val="21"/>
          <w:highlight w:val="none"/>
          <w:u w:val="single"/>
        </w:rPr>
        <w:t>五</w:t>
      </w:r>
      <w:r>
        <w:rPr>
          <w:rFonts w:hint="eastAsia" w:asciiTheme="minorEastAsia" w:hAnsiTheme="minorEastAsia" w:eastAsiaTheme="minorEastAsia"/>
          <w:color w:val="auto"/>
          <w:kern w:val="0"/>
          <w:szCs w:val="21"/>
          <w:highlight w:val="none"/>
        </w:rPr>
        <w:t>份，投标文件的副本可采用正本的复印件。每套投标文件须清楚地标明“正本”、“副本”。若副本与正本不符，以正本为准。</w:t>
      </w:r>
    </w:p>
    <w:p w14:paraId="5BF7BE1D">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18.2 投标文件的正本需打印或用不褪色墨水书写，并由法定代表人或经其正式授权的代表签字。授权代表须出具书面授权证明，法人证明及法人授权证明均应在投标文件中提供（格式参考第五部分附件）。</w:t>
      </w:r>
    </w:p>
    <w:p w14:paraId="4411A18B">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18.3 投标文件中的任何重要的插字、涂改和增删，必须由法定代表人或经其正式授权的代表在旁边加盖公章或签字才有效。</w:t>
      </w:r>
    </w:p>
    <w:p w14:paraId="7B79039A">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18.4电子文件，投标人必须随投标文件同时提交一套全部投标文件内容的电子文件（U盘或光盘，无病毒），电子文件必须装于独立的信封，</w:t>
      </w:r>
      <w:r>
        <w:rPr>
          <w:rFonts w:hint="eastAsia" w:ascii="Times New Roman" w:hAnsi="宋体" w:cs="Times New Roman"/>
          <w:color w:val="auto"/>
          <w:szCs w:val="24"/>
          <w:highlight w:val="none"/>
          <w:lang w:bidi="ar"/>
        </w:rPr>
        <w:t>信封上注明“电子文件”。其中所有文件不做压缩处理、不留密码，</w:t>
      </w:r>
      <w:r>
        <w:rPr>
          <w:rFonts w:hint="eastAsia" w:ascii="Times New Roman" w:hAnsi="Times New Roman" w:cs="Times New Roman"/>
          <w:b/>
          <w:bCs/>
          <w:color w:val="auto"/>
          <w:szCs w:val="24"/>
          <w:highlight w:val="none"/>
          <w:lang w:bidi="ar"/>
        </w:rPr>
        <w:t>应包含投标文件的</w:t>
      </w:r>
      <w:r>
        <w:rPr>
          <w:rFonts w:ascii="Times New Roman" w:hAnsi="Times New Roman" w:cs="Times New Roman"/>
          <w:b/>
          <w:bCs/>
          <w:color w:val="auto"/>
          <w:szCs w:val="24"/>
          <w:highlight w:val="none"/>
          <w:lang w:bidi="ar"/>
        </w:rPr>
        <w:t>WORD</w:t>
      </w:r>
      <w:r>
        <w:rPr>
          <w:rFonts w:hint="eastAsia" w:ascii="Times New Roman" w:hAnsi="Times New Roman" w:cs="Times New Roman"/>
          <w:b/>
          <w:bCs/>
          <w:color w:val="auto"/>
          <w:szCs w:val="24"/>
          <w:highlight w:val="none"/>
          <w:lang w:bidi="ar"/>
        </w:rPr>
        <w:t>格式及签字盖章版</w:t>
      </w:r>
      <w:r>
        <w:rPr>
          <w:rFonts w:ascii="Times New Roman" w:hAnsi="Times New Roman" w:cs="Times New Roman"/>
          <w:b/>
          <w:bCs/>
          <w:color w:val="auto"/>
          <w:szCs w:val="24"/>
          <w:highlight w:val="none"/>
          <w:lang w:bidi="ar"/>
        </w:rPr>
        <w:t>PDF</w:t>
      </w:r>
      <w:r>
        <w:rPr>
          <w:rFonts w:hint="eastAsia" w:ascii="Times New Roman" w:hAnsi="Times New Roman" w:cs="Times New Roman"/>
          <w:b/>
          <w:bCs/>
          <w:color w:val="auto"/>
          <w:szCs w:val="24"/>
          <w:highlight w:val="none"/>
          <w:lang w:bidi="ar"/>
        </w:rPr>
        <w:t>格式。</w:t>
      </w:r>
    </w:p>
    <w:p w14:paraId="3FF8DE74">
      <w:pPr>
        <w:autoSpaceDE w:val="0"/>
        <w:autoSpaceDN w:val="0"/>
        <w:adjustRightInd w:val="0"/>
        <w:snapToGrid w:val="0"/>
        <w:ind w:right="32" w:firstLine="359"/>
        <w:rPr>
          <w:rFonts w:asciiTheme="minorEastAsia" w:hAnsiTheme="minorEastAsia" w:eastAsiaTheme="minorEastAsia"/>
          <w:b/>
          <w:color w:val="auto"/>
          <w:szCs w:val="21"/>
          <w:highlight w:val="none"/>
        </w:rPr>
      </w:pPr>
    </w:p>
    <w:p w14:paraId="083426CC">
      <w:pPr>
        <w:autoSpaceDE w:val="0"/>
        <w:autoSpaceDN w:val="0"/>
        <w:adjustRightInd w:val="0"/>
        <w:snapToGrid w:val="0"/>
        <w:ind w:right="32" w:firstLine="35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四、投标文件的递交</w:t>
      </w:r>
    </w:p>
    <w:p w14:paraId="7C3BB956">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 投标文件的密封、标记和递交</w:t>
      </w:r>
    </w:p>
    <w:p w14:paraId="4F442EDE">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19.1投标人应将《开标一览表》单独密封提交，并在信封上清晰标明“唱标信封”字样。</w:t>
      </w:r>
    </w:p>
    <w:p w14:paraId="5B68BEEA">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19.2 投标人应将投标文件正本与所有的副本分别单独密封包装，并在外包装上清晰标明“正本”、“副本”字样。</w:t>
      </w:r>
    </w:p>
    <w:p w14:paraId="1A825782">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19.3 所有信封外包装上应当注明采购项目名称、项目编号和“在（招标文件中规定的</w:t>
      </w:r>
      <w:r>
        <w:rPr>
          <w:rFonts w:hint="eastAsia" w:asciiTheme="minorEastAsia" w:hAnsiTheme="minorEastAsia" w:eastAsiaTheme="minorEastAsia"/>
          <w:iCs/>
          <w:color w:val="auto"/>
          <w:kern w:val="0"/>
          <w:szCs w:val="21"/>
          <w:highlight w:val="none"/>
        </w:rPr>
        <w:t>开标日期和时间）</w:t>
      </w:r>
      <w:r>
        <w:rPr>
          <w:rFonts w:hint="eastAsia" w:asciiTheme="minorEastAsia" w:hAnsiTheme="minorEastAsia" w:eastAsiaTheme="minorEastAsia"/>
          <w:color w:val="auto"/>
          <w:kern w:val="0"/>
          <w:szCs w:val="21"/>
          <w:highlight w:val="none"/>
        </w:rPr>
        <w:t>之前不得启封”的字样，</w:t>
      </w:r>
      <w:r>
        <w:rPr>
          <w:rFonts w:hint="eastAsia" w:asciiTheme="minorEastAsia" w:hAnsiTheme="minorEastAsia" w:eastAsiaTheme="minorEastAsia"/>
          <w:color w:val="auto"/>
          <w:szCs w:val="21"/>
          <w:highlight w:val="none"/>
        </w:rPr>
        <w:t>封口处应加盖投标人印章或签字</w:t>
      </w:r>
      <w:r>
        <w:rPr>
          <w:rFonts w:hint="eastAsia" w:asciiTheme="minorEastAsia" w:hAnsiTheme="minorEastAsia" w:eastAsiaTheme="minorEastAsia"/>
          <w:color w:val="auto"/>
          <w:kern w:val="0"/>
          <w:szCs w:val="21"/>
          <w:highlight w:val="none"/>
        </w:rPr>
        <w:t>。具体格式如下：</w:t>
      </w:r>
    </w:p>
    <w:tbl>
      <w:tblPr>
        <w:tblStyle w:val="39"/>
        <w:tblW w:w="5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9"/>
      </w:tblGrid>
      <w:tr w14:paraId="055F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9" w:type="dxa"/>
          </w:tcPr>
          <w:p w14:paraId="54873946">
            <w:pPr>
              <w:pStyle w:val="18"/>
              <w:keepNext w:val="0"/>
              <w:keepLines w:val="0"/>
              <w:suppressLineNumbers w:val="0"/>
              <w:tabs>
                <w:tab w:val="left" w:pos="0"/>
              </w:tabs>
              <w:spacing w:before="0" w:beforeAutospacing="0" w:after="0" w:afterAutospacing="0"/>
              <w:ind w:left="2" w:right="0"/>
              <w:jc w:val="center"/>
              <w:rPr>
                <w:rFonts w:hint="default" w:cs="Times New Roman" w:asciiTheme="minorEastAsia" w:hAnsiTheme="minorEastAsia" w:eastAsiaTheme="minorEastAsia"/>
                <w:iCs/>
                <w:color w:val="auto"/>
                <w:kern w:val="0"/>
                <w:highlight w:val="none"/>
              </w:rPr>
            </w:pPr>
            <w:r>
              <w:rPr>
                <w:rFonts w:hint="eastAsia" w:cs="Times New Roman" w:asciiTheme="minorEastAsia" w:hAnsiTheme="minorEastAsia" w:eastAsiaTheme="minorEastAsia"/>
                <w:iCs/>
                <w:color w:val="auto"/>
                <w:kern w:val="0"/>
                <w:highlight w:val="none"/>
              </w:rPr>
              <w:t>投标文件/唱标信封</w:t>
            </w:r>
          </w:p>
          <w:p w14:paraId="47C628DB">
            <w:pPr>
              <w:pStyle w:val="18"/>
              <w:keepNext w:val="0"/>
              <w:keepLines w:val="0"/>
              <w:suppressLineNumbers w:val="0"/>
              <w:tabs>
                <w:tab w:val="left" w:pos="0"/>
              </w:tabs>
              <w:spacing w:before="0" w:beforeAutospacing="0" w:after="0" w:afterAutospacing="0"/>
              <w:ind w:left="2" w:right="0"/>
              <w:jc w:val="center"/>
              <w:rPr>
                <w:rFonts w:hint="default" w:cs="Times New Roman" w:asciiTheme="minorEastAsia" w:hAnsiTheme="minorEastAsia" w:eastAsiaTheme="minorEastAsia"/>
                <w:iCs/>
                <w:color w:val="auto"/>
                <w:kern w:val="0"/>
                <w:highlight w:val="none"/>
              </w:rPr>
            </w:pPr>
            <w:r>
              <w:rPr>
                <w:rFonts w:hint="default" w:cs="Times New Roman" w:asciiTheme="minorEastAsia" w:hAnsiTheme="minorEastAsia" w:eastAsiaTheme="minorEastAsia"/>
                <w:iCs/>
                <w:color w:val="auto"/>
                <w:kern w:val="0"/>
                <w:highlight w:val="none"/>
              </w:rPr>
              <w:t>正本/副本</w:t>
            </w:r>
          </w:p>
          <w:p w14:paraId="7C04D079">
            <w:pPr>
              <w:pStyle w:val="18"/>
              <w:keepNext w:val="0"/>
              <w:keepLines w:val="0"/>
              <w:suppressLineNumbers w:val="0"/>
              <w:tabs>
                <w:tab w:val="left" w:pos="0"/>
              </w:tabs>
              <w:spacing w:before="0" w:beforeAutospacing="0" w:after="0" w:afterAutospacing="0"/>
              <w:ind w:left="2" w:right="0"/>
              <w:rPr>
                <w:rFonts w:hint="default" w:cs="Times New Roman" w:asciiTheme="minorEastAsia" w:hAnsiTheme="minorEastAsia" w:eastAsiaTheme="minorEastAsia"/>
                <w:iCs/>
                <w:color w:val="auto"/>
                <w:kern w:val="0"/>
                <w:highlight w:val="none"/>
              </w:rPr>
            </w:pPr>
            <w:r>
              <w:rPr>
                <w:rFonts w:hint="eastAsia" w:cs="Times New Roman" w:asciiTheme="minorEastAsia" w:hAnsiTheme="minorEastAsia" w:eastAsiaTheme="minorEastAsia"/>
                <w:iCs/>
                <w:color w:val="auto"/>
                <w:kern w:val="0"/>
                <w:highlight w:val="none"/>
              </w:rPr>
              <w:t>收件人：国义招标股份有限公司</w:t>
            </w:r>
          </w:p>
          <w:p w14:paraId="3BBB9AB8">
            <w:pPr>
              <w:pStyle w:val="18"/>
              <w:keepNext w:val="0"/>
              <w:keepLines w:val="0"/>
              <w:suppressLineNumbers w:val="0"/>
              <w:tabs>
                <w:tab w:val="left" w:pos="0"/>
              </w:tabs>
              <w:spacing w:before="0" w:beforeAutospacing="0" w:after="0" w:afterAutospacing="0"/>
              <w:ind w:left="0" w:right="0"/>
              <w:rPr>
                <w:rFonts w:hint="eastAsia" w:cs="Times New Roman" w:asciiTheme="minorEastAsia" w:hAnsiTheme="minorEastAsia" w:eastAsiaTheme="minorEastAsia"/>
                <w:iCs/>
                <w:color w:val="auto"/>
                <w:kern w:val="0"/>
                <w:highlight w:val="none"/>
                <w:lang w:eastAsia="zh-CN"/>
              </w:rPr>
            </w:pPr>
            <w:r>
              <w:rPr>
                <w:rFonts w:hint="eastAsia" w:cs="Times New Roman" w:asciiTheme="minorEastAsia" w:hAnsiTheme="minorEastAsia" w:eastAsiaTheme="minorEastAsia"/>
                <w:iCs/>
                <w:color w:val="auto"/>
                <w:kern w:val="0"/>
                <w:highlight w:val="none"/>
              </w:rPr>
              <w:t>项目编号：</w:t>
            </w:r>
            <w:r>
              <w:rPr>
                <w:rFonts w:hint="eastAsia" w:cs="Times New Roman" w:asciiTheme="minorEastAsia" w:hAnsiTheme="minorEastAsia" w:eastAsiaTheme="minorEastAsia"/>
                <w:iCs/>
                <w:color w:val="auto"/>
                <w:kern w:val="0"/>
                <w:highlight w:val="none"/>
                <w:lang w:eastAsia="zh-CN"/>
              </w:rPr>
              <w:t>0724-2610ZH411952</w:t>
            </w:r>
          </w:p>
          <w:p w14:paraId="38206227">
            <w:pPr>
              <w:pStyle w:val="18"/>
              <w:keepNext w:val="0"/>
              <w:keepLines w:val="0"/>
              <w:suppressLineNumbers w:val="0"/>
              <w:tabs>
                <w:tab w:val="left" w:pos="0"/>
              </w:tabs>
              <w:spacing w:before="0" w:beforeAutospacing="0" w:after="0" w:afterAutospacing="0"/>
              <w:ind w:left="0" w:right="0"/>
              <w:rPr>
                <w:rFonts w:hint="default" w:cs="Times New Roman" w:asciiTheme="minorEastAsia" w:hAnsiTheme="minorEastAsia" w:eastAsiaTheme="minorEastAsia"/>
                <w:iCs/>
                <w:color w:val="auto"/>
                <w:kern w:val="0"/>
                <w:highlight w:val="none"/>
              </w:rPr>
            </w:pPr>
            <w:r>
              <w:rPr>
                <w:rFonts w:hint="eastAsia" w:cs="Times New Roman" w:asciiTheme="minorEastAsia" w:hAnsiTheme="minorEastAsia" w:eastAsiaTheme="minorEastAsia"/>
                <w:iCs/>
                <w:color w:val="auto"/>
                <w:kern w:val="0"/>
                <w:highlight w:val="none"/>
              </w:rPr>
              <w:t>项目名称：</w:t>
            </w:r>
            <w:r>
              <w:rPr>
                <w:rFonts w:hint="eastAsia" w:cs="Times New Roman" w:asciiTheme="minorEastAsia" w:hAnsiTheme="minorEastAsia" w:eastAsiaTheme="minorEastAsia"/>
                <w:iCs/>
                <w:color w:val="auto"/>
                <w:kern w:val="0"/>
                <w:highlight w:val="none"/>
                <w:lang w:eastAsia="zh-CN"/>
              </w:rPr>
              <w:t>珠海高新技术产业开发区人民医院检验服务集约化保障项目</w:t>
            </w:r>
            <w:r>
              <w:rPr>
                <w:rFonts w:hint="eastAsia" w:cs="Times New Roman" w:asciiTheme="minorEastAsia" w:hAnsiTheme="minorEastAsia" w:eastAsiaTheme="minorEastAsia"/>
                <w:iCs/>
                <w:color w:val="auto"/>
                <w:kern w:val="0"/>
                <w:highlight w:val="none"/>
              </w:rPr>
              <w:t>投标人名称(加盖公章)：</w:t>
            </w:r>
          </w:p>
          <w:p w14:paraId="051CC316">
            <w:pPr>
              <w:keepNext w:val="0"/>
              <w:keepLines w:val="0"/>
              <w:suppressLineNumbers w:val="0"/>
              <w:autoSpaceDE w:val="0"/>
              <w:autoSpaceDN w:val="0"/>
              <w:adjustRightInd w:val="0"/>
              <w:snapToGrid w:val="0"/>
              <w:spacing w:before="0" w:beforeAutospacing="0" w:after="0" w:afterAutospacing="0"/>
              <w:ind w:left="0" w:right="32"/>
              <w:rPr>
                <w:rFonts w:hint="default"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在（招标文件中规定的</w:t>
            </w:r>
            <w:r>
              <w:rPr>
                <w:rFonts w:hint="eastAsia" w:asciiTheme="minorEastAsia" w:hAnsiTheme="minorEastAsia" w:eastAsiaTheme="minorEastAsia"/>
                <w:color w:val="auto"/>
                <w:szCs w:val="21"/>
                <w:highlight w:val="none"/>
              </w:rPr>
              <w:t>投标截止时间</w:t>
            </w:r>
            <w:r>
              <w:rPr>
                <w:rFonts w:hint="eastAsia" w:asciiTheme="minorEastAsia" w:hAnsiTheme="minorEastAsia" w:eastAsiaTheme="minorEastAsia"/>
                <w:iCs/>
                <w:color w:val="auto"/>
                <w:kern w:val="0"/>
                <w:szCs w:val="21"/>
                <w:highlight w:val="none"/>
              </w:rPr>
              <w:t>）</w:t>
            </w:r>
            <w:r>
              <w:rPr>
                <w:rFonts w:hint="eastAsia" w:asciiTheme="minorEastAsia" w:hAnsiTheme="minorEastAsia" w:eastAsiaTheme="minorEastAsia"/>
                <w:color w:val="auto"/>
                <w:kern w:val="0"/>
                <w:szCs w:val="21"/>
                <w:highlight w:val="none"/>
              </w:rPr>
              <w:t>之前不得启封</w:t>
            </w:r>
          </w:p>
        </w:tc>
      </w:tr>
    </w:tbl>
    <w:p w14:paraId="1F74156F">
      <w:pPr>
        <w:pStyle w:val="18"/>
        <w:adjustRightInd w:val="0"/>
        <w:snapToGrid w:val="0"/>
        <w:ind w:right="32"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19.4如果未按要求密封和标记，</w:t>
      </w:r>
      <w:r>
        <w:rPr>
          <w:rFonts w:hint="eastAsia" w:cs="Times New Roman" w:asciiTheme="minorEastAsia" w:hAnsiTheme="minorEastAsia" w:eastAsiaTheme="minorEastAsia"/>
          <w:color w:val="auto"/>
          <w:highlight w:val="none"/>
        </w:rPr>
        <w:t>招标采购单位</w:t>
      </w:r>
      <w:r>
        <w:rPr>
          <w:rFonts w:hint="eastAsia" w:cs="Times New Roman" w:asciiTheme="minorEastAsia" w:hAnsiTheme="minorEastAsia" w:eastAsiaTheme="minorEastAsia"/>
          <w:color w:val="auto"/>
          <w:kern w:val="0"/>
          <w:highlight w:val="none"/>
        </w:rPr>
        <w:t>对误投或提前启封概不负责。</w:t>
      </w:r>
    </w:p>
    <w:p w14:paraId="6E5300A5">
      <w:pPr>
        <w:pStyle w:val="18"/>
        <w:adjustRightInd w:val="0"/>
        <w:snapToGrid w:val="0"/>
        <w:ind w:right="32" w:firstLine="359"/>
        <w:rPr>
          <w:rFonts w:cs="Times New Roman"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rPr>
        <w:t>19.5 招标采购单位在《投标邀请函》中规定的地点和投标截止时间之前接收投标文件，超过截止时间后的投标为无效投标</w:t>
      </w:r>
      <w:r>
        <w:rPr>
          <w:rFonts w:hint="eastAsia" w:cs="Times New Roman" w:asciiTheme="minorEastAsia" w:hAnsiTheme="minorEastAsia" w:eastAsiaTheme="minorEastAsia"/>
          <w:color w:val="auto"/>
          <w:kern w:val="0"/>
          <w:highlight w:val="none"/>
        </w:rPr>
        <w:t>，</w:t>
      </w:r>
      <w:r>
        <w:rPr>
          <w:rFonts w:hint="eastAsia" w:cs="Times New Roman" w:asciiTheme="minorEastAsia" w:hAnsiTheme="minorEastAsia" w:eastAsiaTheme="minorEastAsia"/>
          <w:color w:val="auto"/>
          <w:highlight w:val="none"/>
        </w:rPr>
        <w:t>招标采购单位</w:t>
      </w:r>
      <w:r>
        <w:rPr>
          <w:rFonts w:hint="eastAsia" w:cs="Times New Roman" w:asciiTheme="minorEastAsia" w:hAnsiTheme="minorEastAsia" w:eastAsiaTheme="minorEastAsia"/>
          <w:color w:val="auto"/>
          <w:kern w:val="0"/>
          <w:highlight w:val="none"/>
        </w:rPr>
        <w:t>将拒绝接收</w:t>
      </w:r>
      <w:r>
        <w:rPr>
          <w:rFonts w:hint="eastAsia" w:asciiTheme="minorEastAsia" w:hAnsiTheme="minorEastAsia" w:eastAsiaTheme="minorEastAsia"/>
          <w:color w:val="auto"/>
          <w:kern w:val="0"/>
          <w:highlight w:val="none"/>
        </w:rPr>
        <w:t>。</w:t>
      </w:r>
    </w:p>
    <w:p w14:paraId="504D779A">
      <w:pPr>
        <w:pStyle w:val="18"/>
        <w:adjustRightInd w:val="0"/>
        <w:snapToGrid w:val="0"/>
        <w:ind w:right="32"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20. 投标文件的修改和撤回</w:t>
      </w:r>
    </w:p>
    <w:p w14:paraId="24A73D7E">
      <w:pPr>
        <w:ind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20.1</w:t>
      </w:r>
      <w:r>
        <w:rPr>
          <w:rFonts w:hint="eastAsia" w:asciiTheme="minorEastAsia" w:hAnsiTheme="minorEastAsia" w:eastAsiaTheme="minorEastAsia"/>
          <w:color w:val="auto"/>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hint="eastAsia" w:asciiTheme="minorEastAsia" w:hAnsiTheme="minorEastAsia" w:eastAsiaTheme="minorEastAsia"/>
          <w:color w:val="auto"/>
          <w:kern w:val="0"/>
          <w:szCs w:val="21"/>
          <w:highlight w:val="none"/>
        </w:rPr>
        <w:t>在</w:t>
      </w:r>
      <w:r>
        <w:rPr>
          <w:rFonts w:hint="eastAsia" w:asciiTheme="minorEastAsia" w:hAnsiTheme="minorEastAsia" w:eastAsiaTheme="minorEastAsia"/>
          <w:color w:val="auto"/>
          <w:szCs w:val="21"/>
          <w:highlight w:val="none"/>
        </w:rPr>
        <w:t>投标截止时间</w:t>
      </w:r>
      <w:r>
        <w:rPr>
          <w:rFonts w:hint="eastAsia" w:asciiTheme="minorEastAsia" w:hAnsiTheme="minorEastAsia" w:eastAsiaTheme="minorEastAsia"/>
          <w:color w:val="auto"/>
          <w:kern w:val="0"/>
          <w:szCs w:val="21"/>
          <w:highlight w:val="none"/>
        </w:rPr>
        <w:t>之后，投标人不得对其投标文件做任何修改和补充。</w:t>
      </w:r>
    </w:p>
    <w:p w14:paraId="55FF1C88">
      <w:pPr>
        <w:autoSpaceDE w:val="0"/>
        <w:autoSpaceDN w:val="0"/>
        <w:adjustRightInd w:val="0"/>
        <w:snapToGrid w:val="0"/>
        <w:spacing w:before="3"/>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20.2投标人在递交投标文件后，可以撤回其投标，但投标人必须在规定的投标截止时间前以书面形式告知</w:t>
      </w:r>
      <w:r>
        <w:rPr>
          <w:rFonts w:hint="eastAsia" w:asciiTheme="minorEastAsia" w:hAnsiTheme="minorEastAsia" w:eastAsiaTheme="minorEastAsia"/>
          <w:color w:val="auto"/>
          <w:szCs w:val="21"/>
          <w:highlight w:val="none"/>
        </w:rPr>
        <w:t>招标采购单位</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从投标截止时间至投标有效期结束的这段时间内，投标人不得撤销其投标，否则其投标无效。</w:t>
      </w:r>
    </w:p>
    <w:p w14:paraId="6A34B999">
      <w:pPr>
        <w:pStyle w:val="18"/>
        <w:adjustRightInd w:val="0"/>
        <w:snapToGrid w:val="0"/>
        <w:ind w:right="32"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20.3 投标人所提交的投标文件在评标结束后，无论中标与否都不退还。</w:t>
      </w:r>
    </w:p>
    <w:p w14:paraId="0BAAA886">
      <w:pPr>
        <w:pStyle w:val="18"/>
        <w:adjustRightInd w:val="0"/>
        <w:snapToGrid w:val="0"/>
        <w:ind w:firstLine="420" w:firstLineChars="20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highlight w:val="none"/>
        </w:rPr>
        <w:t>20.4投标人</w:t>
      </w:r>
      <w:r>
        <w:rPr>
          <w:rFonts w:cs="Times New Roman" w:asciiTheme="minorEastAsia" w:hAnsiTheme="minorEastAsia" w:eastAsiaTheme="minorEastAsia"/>
          <w:color w:val="auto"/>
          <w:kern w:val="0"/>
          <w:highlight w:val="none"/>
        </w:rPr>
        <w:t>有下列情形之一的，</w:t>
      </w:r>
      <w:r>
        <w:rPr>
          <w:rFonts w:hint="eastAsia" w:cs="Times New Roman" w:asciiTheme="minorEastAsia" w:hAnsiTheme="minorEastAsia" w:eastAsiaTheme="minorEastAsia"/>
          <w:color w:val="auto"/>
          <w:kern w:val="0"/>
          <w:highlight w:val="none"/>
        </w:rPr>
        <w:t>视</w:t>
      </w:r>
      <w:r>
        <w:rPr>
          <w:rFonts w:cs="Times New Roman" w:asciiTheme="minorEastAsia" w:hAnsiTheme="minorEastAsia" w:eastAsiaTheme="minorEastAsia"/>
          <w:color w:val="auto"/>
          <w:kern w:val="0"/>
          <w:highlight w:val="none"/>
        </w:rPr>
        <w:t>为投标人串通投标，其投标无效：</w:t>
      </w:r>
    </w:p>
    <w:p w14:paraId="702AFD4B">
      <w:pPr>
        <w:pStyle w:val="18"/>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（一）不同投标人的投标文件由同一单位或者个人编制；</w:t>
      </w:r>
    </w:p>
    <w:p w14:paraId="4380FB43">
      <w:pPr>
        <w:pStyle w:val="18"/>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（二）不同投标人委托同一单位或者个人办理投标事宜；</w:t>
      </w:r>
    </w:p>
    <w:p w14:paraId="426A1AB0">
      <w:pPr>
        <w:pStyle w:val="18"/>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（三）不同投标人的投标文件载明的项目管理成员或者联系人员为同一人；</w:t>
      </w:r>
    </w:p>
    <w:p w14:paraId="39E59591">
      <w:pPr>
        <w:pStyle w:val="18"/>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（四）不同投标人的投标文件异常一致或者投标报价呈规律性差异；</w:t>
      </w:r>
    </w:p>
    <w:p w14:paraId="030EDABE">
      <w:pPr>
        <w:pStyle w:val="18"/>
        <w:adjustRightInd w:val="0"/>
        <w:snapToGrid w:val="0"/>
        <w:rPr>
          <w:rFonts w:cs="Times New Roman" w:asciiTheme="minorEastAsia" w:hAnsiTheme="minorEastAsia" w:eastAsiaTheme="minorEastAsia"/>
          <w:color w:val="auto"/>
          <w:kern w:val="0"/>
          <w:highlight w:val="none"/>
        </w:rPr>
      </w:pPr>
      <w:r>
        <w:rPr>
          <w:rFonts w:cs="Times New Roman" w:asciiTheme="minorEastAsia" w:hAnsiTheme="minorEastAsia" w:eastAsiaTheme="minorEastAsia"/>
          <w:color w:val="auto"/>
          <w:kern w:val="0"/>
          <w:highlight w:val="none"/>
        </w:rPr>
        <w:t>　　（五）不同投标人的投标文件相互混装；</w:t>
      </w:r>
    </w:p>
    <w:p w14:paraId="35D09BC3">
      <w:pPr>
        <w:pStyle w:val="18"/>
        <w:adjustRightInd w:val="0"/>
        <w:snapToGrid w:val="0"/>
        <w:ind w:right="32" w:firstLine="359"/>
        <w:rPr>
          <w:rFonts w:cs="Times New Roman" w:asciiTheme="minorEastAsia" w:hAnsiTheme="minorEastAsia" w:eastAsiaTheme="minorEastAsia"/>
          <w:color w:val="auto"/>
          <w:highlight w:val="none"/>
        </w:rPr>
      </w:pPr>
    </w:p>
    <w:p w14:paraId="5B006955">
      <w:pPr>
        <w:pStyle w:val="18"/>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五、开标、资格审查、评标与授标</w:t>
      </w:r>
    </w:p>
    <w:p w14:paraId="42007F73">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21. 开标</w:t>
      </w:r>
    </w:p>
    <w:p w14:paraId="5BB71976">
      <w:pPr>
        <w:tabs>
          <w:tab w:val="left" w:pos="840"/>
        </w:tabs>
        <w:adjustRightInd w:val="0"/>
        <w:snapToGrid w:val="0"/>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 招标采购单位在《投标邀请函》中规定的日期、时间和地点组织公开开标。开标时原则上应当有采购人代表和投标人代表参加。参加开标的代表应签到以证明其出席。</w:t>
      </w:r>
    </w:p>
    <w:p w14:paraId="75CDC901">
      <w:pPr>
        <w:tabs>
          <w:tab w:val="left" w:pos="840"/>
        </w:tabs>
        <w:adjustRightInd w:val="0"/>
        <w:snapToGrid w:val="0"/>
        <w:ind w:firstLine="840" w:firstLineChars="4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投标人不足3家的，不得开标。</w:t>
      </w:r>
    </w:p>
    <w:p w14:paraId="21C67DE8">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21.2开标时，由投标人或其推选的代表检查投标文件的密封情况，经确认无误后由招标工作人员当众拆封，宣读投标人名称、投标价格、价格折扣、投标文件的其他主要内容和招标文件允许提供的备选投标方案。</w:t>
      </w:r>
    </w:p>
    <w:p w14:paraId="319D5F05">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 xml:space="preserve">21.3 </w:t>
      </w:r>
      <w:r>
        <w:rPr>
          <w:rFonts w:hint="eastAsia" w:cs="Times New Roman" w:asciiTheme="minorEastAsia" w:hAnsiTheme="minorEastAsia" w:eastAsiaTheme="minorEastAsia"/>
          <w:color w:val="auto"/>
          <w:highlight w:val="none"/>
        </w:rPr>
        <w:t>采购代理机构</w:t>
      </w:r>
      <w:r>
        <w:rPr>
          <w:rFonts w:hint="eastAsia" w:cs="Times New Roman" w:asciiTheme="minorEastAsia" w:hAnsiTheme="minorEastAsia" w:eastAsiaTheme="minorEastAsia"/>
          <w:color w:val="auto"/>
          <w:kern w:val="0"/>
          <w:highlight w:val="none"/>
        </w:rPr>
        <w:t>做好开标记录，开标记录由</w:t>
      </w:r>
      <w:r>
        <w:rPr>
          <w:rFonts w:hint="eastAsia" w:cs="Times New Roman" w:asciiTheme="minorEastAsia" w:hAnsiTheme="minorEastAsia" w:eastAsiaTheme="minorEastAsia"/>
          <w:color w:val="auto"/>
          <w:highlight w:val="none"/>
        </w:rPr>
        <w:t>各投标人签字确认</w:t>
      </w:r>
      <w:r>
        <w:rPr>
          <w:rFonts w:hint="eastAsia" w:cs="Times New Roman" w:asciiTheme="minorEastAsia" w:hAnsiTheme="minorEastAsia" w:eastAsiaTheme="minorEastAsia"/>
          <w:color w:val="auto"/>
          <w:kern w:val="0"/>
          <w:highlight w:val="none"/>
        </w:rPr>
        <w:t>。</w:t>
      </w:r>
    </w:p>
    <w:p w14:paraId="569E44DC">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kern w:val="0"/>
          <w:highlight w:val="none"/>
        </w:rPr>
        <w:t>21.4</w:t>
      </w:r>
      <w:r>
        <w:rPr>
          <w:rFonts w:hint="eastAsia" w:cs="Times New Roman" w:asciiTheme="minorEastAsia" w:hAnsiTheme="minorEastAsia" w:eastAsiaTheme="minorEastAsia"/>
          <w:color w:val="auto"/>
          <w:highlight w:val="none"/>
        </w:rPr>
        <w:t>开标一览表内容与投标文件中投标明细报价表内容不一致的，以开标一览表为准。</w:t>
      </w:r>
    </w:p>
    <w:p w14:paraId="3CEEC084">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22投标人的资格审查：</w:t>
      </w:r>
    </w:p>
    <w:p w14:paraId="23F2C284">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22.1投标人应按照招标文件要求提交资格文件，采购人及采购代理机构将依法对投标人的资格进行审查，资格审查不通过的投标为无效投标。具体审查内容详见《资格</w:t>
      </w:r>
      <w:r>
        <w:rPr>
          <w:rFonts w:cs="Times New Roman" w:asciiTheme="minorEastAsia" w:hAnsiTheme="minorEastAsia" w:eastAsiaTheme="minorEastAsia"/>
          <w:color w:val="auto"/>
          <w:highlight w:val="none"/>
        </w:rPr>
        <w:t>审</w:t>
      </w:r>
      <w:r>
        <w:rPr>
          <w:rFonts w:hint="eastAsia" w:cs="Times New Roman" w:asciiTheme="minorEastAsia" w:hAnsiTheme="minorEastAsia" w:eastAsiaTheme="minorEastAsia"/>
          <w:color w:val="auto"/>
          <w:highlight w:val="none"/>
        </w:rPr>
        <w:t>查表》。</w:t>
      </w:r>
    </w:p>
    <w:p w14:paraId="12D8DB69">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23. 评标委员会的组成和评标方法</w:t>
      </w:r>
    </w:p>
    <w:p w14:paraId="1CDF8550">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 xml:space="preserve">23.1 </w:t>
      </w:r>
      <w:r>
        <w:rPr>
          <w:rFonts w:hint="eastAsia" w:asciiTheme="minorEastAsia" w:hAnsiTheme="minorEastAsia" w:eastAsiaTheme="minorEastAsia"/>
          <w:color w:val="auto"/>
          <w:kern w:val="0"/>
          <w:szCs w:val="21"/>
          <w:highlight w:val="none"/>
        </w:rPr>
        <w:t>评标由</w:t>
      </w:r>
      <w:r>
        <w:rPr>
          <w:rFonts w:hint="eastAsia" w:asciiTheme="minorEastAsia" w:hAnsiTheme="minorEastAsia" w:eastAsiaTheme="minorEastAsia"/>
          <w:color w:val="auto"/>
          <w:szCs w:val="21"/>
          <w:highlight w:val="none"/>
        </w:rPr>
        <w:t>采购代理机构</w:t>
      </w:r>
      <w:r>
        <w:rPr>
          <w:rFonts w:hint="eastAsia" w:asciiTheme="minorEastAsia" w:hAnsiTheme="minorEastAsia" w:eastAsiaTheme="minorEastAsia"/>
          <w:color w:val="auto"/>
          <w:kern w:val="0"/>
          <w:szCs w:val="21"/>
          <w:highlight w:val="none"/>
        </w:rPr>
        <w:t>依照</w:t>
      </w:r>
      <w:r>
        <w:rPr>
          <w:rFonts w:hint="eastAsia" w:asciiTheme="minorEastAsia" w:hAnsiTheme="minorEastAsia" w:eastAsiaTheme="minorEastAsia"/>
          <w:color w:val="auto"/>
          <w:kern w:val="0"/>
          <w:szCs w:val="21"/>
          <w:highlight w:val="none"/>
          <w:lang w:val="en-US" w:eastAsia="zh-CN"/>
        </w:rPr>
        <w:t>招标</w:t>
      </w:r>
      <w:r>
        <w:rPr>
          <w:rFonts w:hint="eastAsia" w:asciiTheme="minorEastAsia" w:hAnsiTheme="minorEastAsia" w:eastAsiaTheme="minorEastAsia"/>
          <w:color w:val="auto"/>
          <w:kern w:val="0"/>
          <w:szCs w:val="21"/>
          <w:highlight w:val="none"/>
        </w:rPr>
        <w:t>采购法律、法规、规章、政策的规定，组建的评标委员会负责。评标委员会成员由采购人代表和评审专家组成，采购人代表人数、专家人数及专业构成按</w:t>
      </w:r>
      <w:r>
        <w:rPr>
          <w:rFonts w:hint="eastAsia" w:asciiTheme="minorEastAsia" w:hAnsiTheme="minorEastAsia" w:eastAsiaTheme="minorEastAsia"/>
          <w:color w:val="auto"/>
          <w:kern w:val="0"/>
          <w:szCs w:val="21"/>
          <w:highlight w:val="none"/>
          <w:lang w:val="en-US" w:eastAsia="zh-CN"/>
        </w:rPr>
        <w:t>招标</w:t>
      </w:r>
      <w:r>
        <w:rPr>
          <w:rFonts w:hint="eastAsia" w:asciiTheme="minorEastAsia" w:hAnsiTheme="minorEastAsia" w:eastAsiaTheme="minorEastAsia"/>
          <w:color w:val="auto"/>
          <w:kern w:val="0"/>
          <w:szCs w:val="21"/>
          <w:highlight w:val="none"/>
        </w:rPr>
        <w:t>采购规定确定。评审专家依法从</w:t>
      </w:r>
      <w:r>
        <w:rPr>
          <w:rFonts w:hint="eastAsia" w:asciiTheme="minorEastAsia" w:hAnsiTheme="minorEastAsia" w:eastAsiaTheme="minorEastAsia"/>
          <w:color w:val="auto"/>
          <w:kern w:val="0"/>
          <w:szCs w:val="21"/>
          <w:highlight w:val="none"/>
          <w:lang w:val="en-US" w:eastAsia="zh-CN"/>
        </w:rPr>
        <w:t>招标</w:t>
      </w:r>
      <w:r>
        <w:rPr>
          <w:rFonts w:hint="eastAsia" w:asciiTheme="minorEastAsia" w:hAnsiTheme="minorEastAsia" w:eastAsiaTheme="minorEastAsia"/>
          <w:color w:val="auto"/>
          <w:kern w:val="0"/>
          <w:szCs w:val="21"/>
          <w:highlight w:val="none"/>
        </w:rPr>
        <w:t>采购专家库中随机抽取。</w:t>
      </w:r>
    </w:p>
    <w:p w14:paraId="531E2EDA">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23.2 评标委员会将按照招标文件确定的评标方法进行评标。</w:t>
      </w:r>
    </w:p>
    <w:p w14:paraId="684096D1">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23.3 本次评标采用综合评分法方法，具体见本部分“十 评标方法、步骤及标准”。</w:t>
      </w:r>
    </w:p>
    <w:p w14:paraId="6AC82F62">
      <w:pPr>
        <w:pStyle w:val="18"/>
        <w:adjustRightInd w:val="0"/>
        <w:snapToGrid w:val="0"/>
        <w:ind w:firstLine="359"/>
        <w:rPr>
          <w:rFonts w:cs="Times New Roman"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24</w:t>
      </w:r>
      <w:r>
        <w:rPr>
          <w:rFonts w:hint="eastAsia" w:cs="Times New Roman" w:asciiTheme="minorEastAsia" w:hAnsiTheme="minorEastAsia" w:eastAsiaTheme="minorEastAsia"/>
          <w:color w:val="auto"/>
          <w:highlight w:val="none"/>
        </w:rPr>
        <w:t>投标文件的符合性审</w:t>
      </w:r>
      <w:r>
        <w:rPr>
          <w:rFonts w:hint="eastAsia" w:cs="Times New Roman" w:asciiTheme="minorEastAsia" w:hAnsiTheme="minorEastAsia" w:eastAsiaTheme="minorEastAsia"/>
          <w:color w:val="auto"/>
          <w:kern w:val="0"/>
          <w:highlight w:val="none"/>
        </w:rPr>
        <w:t>查</w:t>
      </w:r>
    </w:p>
    <w:p w14:paraId="209FB2CC">
      <w:pPr>
        <w:pStyle w:val="18"/>
        <w:adjustRightInd w:val="0"/>
        <w:snapToGrid w:val="0"/>
        <w:ind w:firstLine="359"/>
        <w:rPr>
          <w:rFonts w:asciiTheme="minorEastAsia" w:hAnsiTheme="minorEastAsia" w:eastAsiaTheme="minorEastAsia"/>
          <w:color w:val="auto"/>
          <w:kern w:val="0"/>
          <w:highlight w:val="none"/>
        </w:rPr>
      </w:pPr>
      <w:r>
        <w:rPr>
          <w:rFonts w:hint="eastAsia" w:cs="Times New Roman" w:asciiTheme="minorEastAsia" w:hAnsiTheme="minorEastAsia" w:eastAsiaTheme="minorEastAsia"/>
          <w:color w:val="auto"/>
          <w:kern w:val="0"/>
          <w:highlight w:val="none"/>
        </w:rPr>
        <w:t>24.1评标委员会将依法审查符合资格投标人的投标文件是否实质上响应了招标文件要求。具体审查内容详见</w:t>
      </w:r>
      <w:r>
        <w:rPr>
          <w:rFonts w:hint="eastAsia" w:asciiTheme="minorEastAsia" w:hAnsiTheme="minorEastAsia" w:eastAsiaTheme="minorEastAsia"/>
          <w:color w:val="auto"/>
          <w:highlight w:val="none"/>
        </w:rPr>
        <w:t>《符合性审查表》</w:t>
      </w:r>
      <w:r>
        <w:rPr>
          <w:rFonts w:hint="eastAsia" w:cs="Times New Roman" w:asciiTheme="minorEastAsia" w:hAnsiTheme="minorEastAsia" w:eastAsiaTheme="minorEastAsia"/>
          <w:color w:val="auto"/>
          <w:kern w:val="0"/>
          <w:highlight w:val="none"/>
        </w:rPr>
        <w:t>。</w:t>
      </w:r>
      <w:r>
        <w:rPr>
          <w:rFonts w:hint="eastAsia" w:asciiTheme="minorEastAsia" w:hAnsiTheme="minorEastAsia" w:eastAsiaTheme="minorEastAsia"/>
          <w:color w:val="auto"/>
          <w:kern w:val="0"/>
          <w:highlight w:val="none"/>
        </w:rPr>
        <w:t>只有实质性响应的投标文件才能进行后续的比较与评价，否则将作无效投标处理。投标人不得通过修正或撤销不合要求的偏离从而使其投标文件成为实质上响应的投标。</w:t>
      </w:r>
    </w:p>
    <w:p w14:paraId="23C7C2B3">
      <w:pPr>
        <w:pStyle w:val="18"/>
        <w:adjustRightInd w:val="0"/>
        <w:snapToGrid w:val="0"/>
        <w:ind w:firstLine="359"/>
        <w:rPr>
          <w:rFonts w:cs="Times New Roman"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24.2 评标委员会决定投标文件的响应程度只依据投标文件本身的真实无误的内容，而不依据外部的证据。但投标文件有不真实、不正确内容的除外。</w:t>
      </w:r>
    </w:p>
    <w:p w14:paraId="70CAFC75">
      <w:pPr>
        <w:pStyle w:val="18"/>
        <w:adjustRightInd w:val="0"/>
        <w:snapToGrid w:val="0"/>
        <w:ind w:firstLine="359"/>
        <w:rPr>
          <w:rFonts w:cs="Times New Roman" w:asciiTheme="minorEastAsia" w:hAnsiTheme="minorEastAsia" w:eastAsiaTheme="minorEastAsia"/>
          <w:color w:val="auto"/>
          <w:kern w:val="0"/>
          <w:highlight w:val="none"/>
          <w:u w:val="single"/>
        </w:rPr>
      </w:pPr>
      <w:r>
        <w:rPr>
          <w:rFonts w:hint="eastAsia" w:cs="Times New Roman" w:asciiTheme="minorEastAsia" w:hAnsiTheme="minorEastAsia" w:eastAsiaTheme="minorEastAsia"/>
          <w:color w:val="auto"/>
          <w:kern w:val="0"/>
          <w:highlight w:val="none"/>
        </w:rPr>
        <w:t>24.3评标委员会对投标文件中的</w:t>
      </w:r>
      <w:r>
        <w:rPr>
          <w:rFonts w:asciiTheme="minorEastAsia" w:hAnsiTheme="minorEastAsia" w:eastAsiaTheme="minorEastAsia"/>
          <w:color w:val="auto"/>
          <w:kern w:val="0"/>
          <w:highlight w:val="none"/>
        </w:rPr>
        <w:t>报价出现前后不一致的，按照下列规定修正：</w:t>
      </w:r>
    </w:p>
    <w:p w14:paraId="22FC3F3A">
      <w:pPr>
        <w:pStyle w:val="18"/>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（一）投标文件中开标一览表（报价表）内容与投标文件中相应内容不一致的，以开标一览表（报价表）为准；</w:t>
      </w:r>
    </w:p>
    <w:p w14:paraId="60987779">
      <w:pPr>
        <w:pStyle w:val="18"/>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（二）大写金额和小写金额不一致的，以大写金额为准；</w:t>
      </w:r>
    </w:p>
    <w:p w14:paraId="79F333A9">
      <w:pPr>
        <w:pStyle w:val="18"/>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（三）单价金额小数点或者百分比有明显错位的，以开标一览表的总价为准，并修改单价；</w:t>
      </w:r>
    </w:p>
    <w:p w14:paraId="6E32FE4E">
      <w:pPr>
        <w:pStyle w:val="18"/>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　　（四）总价金额与按单价汇总金额不一致的，以单价金额计算结果为准。</w:t>
      </w:r>
    </w:p>
    <w:p w14:paraId="4ACF4735">
      <w:pPr>
        <w:pStyle w:val="18"/>
        <w:adjustRightInd w:val="0"/>
        <w:snapToGrid w:val="0"/>
        <w:ind w:firstLine="359"/>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同时出现两种以上不一致的，按照该条款规定的顺序修正。</w:t>
      </w:r>
      <w:r>
        <w:rPr>
          <w:rFonts w:asciiTheme="minorEastAsia" w:hAnsiTheme="minorEastAsia" w:eastAsiaTheme="minorEastAsia"/>
          <w:color w:val="auto"/>
          <w:kern w:val="0"/>
          <w:highlight w:val="none"/>
        </w:rPr>
        <w:t>修正后的报价经投标人</w:t>
      </w:r>
      <w:r>
        <w:rPr>
          <w:rFonts w:hint="eastAsia" w:asciiTheme="minorEastAsia" w:hAnsiTheme="minorEastAsia" w:eastAsiaTheme="minorEastAsia"/>
          <w:color w:val="auto"/>
          <w:kern w:val="0"/>
          <w:highlight w:val="none"/>
        </w:rPr>
        <w:t>书面</w:t>
      </w:r>
      <w:r>
        <w:rPr>
          <w:rFonts w:asciiTheme="minorEastAsia" w:hAnsiTheme="minorEastAsia" w:eastAsiaTheme="minorEastAsia"/>
          <w:color w:val="auto"/>
          <w:kern w:val="0"/>
          <w:highlight w:val="none"/>
        </w:rPr>
        <w:t>确认后产生约束力，投标人不确认的，其投标无效。</w:t>
      </w:r>
    </w:p>
    <w:p w14:paraId="5BF96A71">
      <w:pPr>
        <w:pStyle w:val="18"/>
        <w:adjustRightInd w:val="0"/>
        <w:snapToGrid w:val="0"/>
        <w:ind w:firstLine="359"/>
        <w:rPr>
          <w:rFonts w:asciiTheme="minorEastAsia" w:hAnsiTheme="minorEastAsia" w:eastAsiaTheme="minorEastAsia"/>
          <w:color w:val="auto"/>
          <w:kern w:val="0"/>
          <w:highlight w:val="none"/>
        </w:rPr>
      </w:pPr>
      <w:r>
        <w:rPr>
          <w:rFonts w:asciiTheme="minorEastAsia" w:hAnsiTheme="minorEastAsia" w:eastAsiaTheme="minorEastAsia"/>
          <w:color w:val="auto"/>
          <w:kern w:val="0"/>
          <w:highlight w:val="none"/>
        </w:rPr>
        <w:t>2</w:t>
      </w:r>
      <w:r>
        <w:rPr>
          <w:rFonts w:hint="eastAsia" w:asciiTheme="minorEastAsia" w:hAnsiTheme="minorEastAsia" w:eastAsiaTheme="minorEastAsia"/>
          <w:color w:val="auto"/>
          <w:kern w:val="0"/>
          <w:highlight w:val="none"/>
        </w:rPr>
        <w:t>4</w:t>
      </w:r>
      <w:r>
        <w:rPr>
          <w:rFonts w:asciiTheme="minorEastAsia" w:hAnsiTheme="minorEastAsia" w:eastAsiaTheme="minorEastAsia"/>
          <w:color w:val="auto"/>
          <w:kern w:val="0"/>
          <w:highlight w:val="none"/>
        </w:rPr>
        <w:t>.</w:t>
      </w:r>
      <w:r>
        <w:rPr>
          <w:rFonts w:hint="eastAsia" w:asciiTheme="minorEastAsia" w:hAnsiTheme="minorEastAsia" w:eastAsiaTheme="minorEastAsia"/>
          <w:color w:val="auto"/>
          <w:kern w:val="0"/>
          <w:highlight w:val="none"/>
        </w:rPr>
        <w:t>4</w:t>
      </w:r>
      <w:r>
        <w:rPr>
          <w:rFonts w:asciiTheme="minorEastAsia" w:hAnsiTheme="minorEastAsia" w:eastAsiaTheme="minorEastAsia"/>
          <w:color w:val="auto"/>
          <w:kern w:val="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BFB016E">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25. 投标文件的澄清</w:t>
      </w:r>
    </w:p>
    <w:p w14:paraId="58000EE8">
      <w:pPr>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 评标期间，对投标文件中含义不明确、同类问题表述不一致或者有明显文字和计算错误的内容，评标委员会可以书面形式要求投标人做出必要的澄清、说明或者纠正，</w:t>
      </w:r>
      <w:r>
        <w:rPr>
          <w:rFonts w:hint="eastAsia" w:asciiTheme="minorEastAsia" w:hAnsiTheme="minorEastAsia" w:eastAsiaTheme="minorEastAsia"/>
          <w:color w:val="auto"/>
          <w:kern w:val="0"/>
          <w:szCs w:val="21"/>
          <w:highlight w:val="none"/>
        </w:rPr>
        <w:t>但不得允许投标人对投标报价等实质性内容做任何更改</w:t>
      </w:r>
      <w:r>
        <w:rPr>
          <w:rFonts w:hint="eastAsia" w:asciiTheme="minorEastAsia" w:hAnsiTheme="minorEastAsia" w:eastAsiaTheme="minorEastAsia"/>
          <w:color w:val="auto"/>
          <w:szCs w:val="21"/>
          <w:highlight w:val="none"/>
        </w:rPr>
        <w:t>。投标人的澄清、说明或者补正应当采用书面形式，由其授权的代表签字，并不得超出投标文件的范围或者改变投标文件的实质性内容。</w:t>
      </w:r>
      <w:r>
        <w:rPr>
          <w:rFonts w:hint="eastAsia" w:asciiTheme="minorEastAsia" w:hAnsiTheme="minorEastAsia" w:eastAsiaTheme="minorEastAsia"/>
          <w:color w:val="auto"/>
          <w:kern w:val="0"/>
          <w:szCs w:val="21"/>
          <w:highlight w:val="none"/>
        </w:rPr>
        <w:t>有关澄清的答复均应由投标人的法定代表人或授权代表签字（或加盖投标人的印章）的书面形式做出。</w:t>
      </w:r>
    </w:p>
    <w:p w14:paraId="21DCA79F">
      <w:pPr>
        <w:pStyle w:val="18"/>
        <w:adjustRightInd w:val="0"/>
        <w:snapToGrid w:val="0"/>
        <w:ind w:firstLine="359"/>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25.2 投标人的澄清文件是其投标文件的组成部分。</w:t>
      </w:r>
    </w:p>
    <w:p w14:paraId="3060B51A">
      <w:pPr>
        <w:tabs>
          <w:tab w:val="left" w:pos="8280"/>
        </w:tabs>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26. </w:t>
      </w:r>
      <w:r>
        <w:rPr>
          <w:rFonts w:hint="eastAsia" w:asciiTheme="minorEastAsia" w:hAnsiTheme="minorEastAsia" w:eastAsiaTheme="minorEastAsia"/>
          <w:color w:val="auto"/>
          <w:kern w:val="0"/>
          <w:szCs w:val="21"/>
          <w:highlight w:val="none"/>
        </w:rPr>
        <w:t>投标的比较和评价</w:t>
      </w:r>
    </w:p>
    <w:p w14:paraId="60228DB4">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26.1 </w:t>
      </w:r>
      <w:r>
        <w:rPr>
          <w:rFonts w:hint="eastAsia" w:asciiTheme="minorEastAsia" w:hAnsiTheme="minorEastAsia" w:eastAsiaTheme="minorEastAsia"/>
          <w:color w:val="auto"/>
          <w:kern w:val="0"/>
          <w:szCs w:val="21"/>
          <w:highlight w:val="none"/>
        </w:rPr>
        <w:t>评标委员会按招标文件中规定的评标方法和标准，对资格审查、符合性审查合格的投标文件进行商务和服务评估，综合比较与评价。</w:t>
      </w:r>
    </w:p>
    <w:p w14:paraId="10F817DB">
      <w:pPr>
        <w:tabs>
          <w:tab w:val="left" w:pos="840"/>
        </w:tabs>
        <w:adjustRightInd w:val="0"/>
        <w:snapToGrid w:val="0"/>
        <w:ind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27. </w:t>
      </w:r>
      <w:r>
        <w:rPr>
          <w:rFonts w:hint="eastAsia" w:asciiTheme="minorEastAsia" w:hAnsiTheme="minorEastAsia" w:eastAsiaTheme="minorEastAsia"/>
          <w:color w:val="auto"/>
          <w:szCs w:val="21"/>
          <w:highlight w:val="none"/>
        </w:rPr>
        <w:t>中标候选人的确定</w:t>
      </w:r>
    </w:p>
    <w:p w14:paraId="3E89976F">
      <w:pPr>
        <w:tabs>
          <w:tab w:val="left" w:pos="0"/>
        </w:tabs>
        <w:adjustRightInd w:val="0"/>
        <w:snapToGrid w:val="0"/>
        <w:ind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27.1评标委员会按照招标文件确定的评标方法、步骤、标准，对投标文件进行评审，依据综合得分情况由高到低排序，推荐中标候选人名单，综合得分相同的，按投标报价由低到高顺序排列确定第一中标候选人</w:t>
      </w:r>
      <w:r>
        <w:rPr>
          <w:rFonts w:hint="eastAsia" w:asciiTheme="minorEastAsia" w:hAnsiTheme="minorEastAsia" w:eastAsiaTheme="minorEastAsia"/>
          <w:color w:val="auto"/>
          <w:szCs w:val="21"/>
          <w:highlight w:val="none"/>
          <w:lang w:val="en-US" w:eastAsia="zh-CN"/>
        </w:rPr>
        <w:t>及第二中标候选人</w:t>
      </w:r>
      <w:r>
        <w:rPr>
          <w:rFonts w:asciiTheme="minorEastAsia" w:hAnsiTheme="minorEastAsia" w:eastAsiaTheme="minorEastAsia"/>
          <w:color w:val="auto"/>
          <w:szCs w:val="21"/>
          <w:highlight w:val="none"/>
        </w:rPr>
        <w:t>。综合得分且投标报价相同的并列。并提出书面评标报告。</w:t>
      </w:r>
    </w:p>
    <w:p w14:paraId="3A4F6344">
      <w:pPr>
        <w:tabs>
          <w:tab w:val="left" w:pos="0"/>
        </w:tabs>
        <w:adjustRightInd w:val="0"/>
        <w:snapToGrid w:val="0"/>
        <w:ind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27.2中标候选人并列的，采购人可委托评标委员会按下列顺序比较确定中标人：(1)</w:t>
      </w:r>
      <w:r>
        <w:rPr>
          <w:rFonts w:hint="eastAsia" w:asciiTheme="minorEastAsia" w:hAnsiTheme="minorEastAsia" w:eastAsiaTheme="minorEastAsia"/>
          <w:color w:val="auto"/>
          <w:szCs w:val="21"/>
          <w:highlight w:val="none"/>
        </w:rPr>
        <w:t>服务</w:t>
      </w:r>
      <w:r>
        <w:rPr>
          <w:rFonts w:asciiTheme="minorEastAsia" w:hAnsiTheme="minorEastAsia" w:eastAsiaTheme="minorEastAsia"/>
          <w:color w:val="auto"/>
          <w:szCs w:val="21"/>
          <w:highlight w:val="none"/>
        </w:rPr>
        <w:t>评分（由高到低）；（2）节能产品；（3）环保产品。如以上都相同的，名次由采购人采取随机抽取方式确定。</w:t>
      </w:r>
    </w:p>
    <w:p w14:paraId="0C46BD27">
      <w:pPr>
        <w:autoSpaceDE w:val="0"/>
        <w:autoSpaceDN w:val="0"/>
        <w:adjustRightInd w:val="0"/>
        <w:snapToGrid w:val="0"/>
        <w:ind w:right="32" w:firstLine="359"/>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28.</w:t>
      </w:r>
      <w:r>
        <w:rPr>
          <w:rFonts w:hint="eastAsia" w:asciiTheme="minorEastAsia" w:hAnsiTheme="minorEastAsia" w:eastAsiaTheme="minorEastAsia"/>
          <w:color w:val="auto"/>
          <w:szCs w:val="21"/>
          <w:highlight w:val="none"/>
        </w:rPr>
        <w:t>采购人在收到评标报告后的法定时间内，按照评标报告中推荐的中标候选人顺序确定中标人。中标人确定后，招标采购单位将在</w:t>
      </w:r>
      <w:r>
        <w:rPr>
          <w:rFonts w:hint="eastAsia" w:asciiTheme="minorEastAsia" w:hAnsiTheme="minorEastAsia" w:eastAsiaTheme="minorEastAsia"/>
          <w:color w:val="auto"/>
          <w:szCs w:val="21"/>
          <w:highlight w:val="none"/>
          <w:lang w:val="en-US" w:eastAsia="zh-CN"/>
        </w:rPr>
        <w:t>招标</w:t>
      </w:r>
      <w:r>
        <w:rPr>
          <w:rFonts w:hint="eastAsia" w:asciiTheme="minorEastAsia" w:hAnsiTheme="minorEastAsia" w:eastAsiaTheme="minorEastAsia"/>
          <w:color w:val="auto"/>
          <w:szCs w:val="21"/>
          <w:highlight w:val="none"/>
        </w:rPr>
        <w:t>采购监督管理部门指定的媒体上发布中标公告，并</w:t>
      </w:r>
      <w:r>
        <w:rPr>
          <w:rFonts w:hint="eastAsia" w:asciiTheme="minorEastAsia" w:hAnsiTheme="minorEastAsia" w:eastAsiaTheme="minorEastAsia"/>
          <w:color w:val="auto"/>
          <w:kern w:val="0"/>
          <w:szCs w:val="21"/>
          <w:highlight w:val="none"/>
        </w:rPr>
        <w:t>向中标人发出《中标通知书》，《中标通知书》</w:t>
      </w:r>
      <w:r>
        <w:rPr>
          <w:rFonts w:hint="eastAsia" w:asciiTheme="minorEastAsia" w:hAnsiTheme="minorEastAsia" w:eastAsiaTheme="minorEastAsia"/>
          <w:color w:val="auto"/>
          <w:szCs w:val="21"/>
          <w:highlight w:val="none"/>
        </w:rPr>
        <w:t>对中标人和采购人具有同等法律效力</w:t>
      </w:r>
      <w:r>
        <w:rPr>
          <w:rFonts w:hint="eastAsia" w:asciiTheme="minorEastAsia" w:hAnsiTheme="minorEastAsia" w:eastAsiaTheme="minorEastAsia"/>
          <w:color w:val="auto"/>
          <w:kern w:val="0"/>
          <w:szCs w:val="21"/>
          <w:highlight w:val="none"/>
        </w:rPr>
        <w:t>。</w:t>
      </w:r>
    </w:p>
    <w:p w14:paraId="1AC89E96">
      <w:pPr>
        <w:autoSpaceDE w:val="0"/>
        <w:autoSpaceDN w:val="0"/>
        <w:adjustRightInd w:val="0"/>
        <w:snapToGrid w:val="0"/>
        <w:ind w:right="32" w:firstLine="359"/>
        <w:rPr>
          <w:rFonts w:asciiTheme="minorEastAsia" w:hAnsiTheme="minorEastAsia" w:eastAsiaTheme="minorEastAsia"/>
          <w:b/>
          <w:color w:val="auto"/>
          <w:kern w:val="0"/>
          <w:szCs w:val="21"/>
          <w:highlight w:val="none"/>
        </w:rPr>
      </w:pPr>
    </w:p>
    <w:p w14:paraId="13AF6D6C">
      <w:pPr>
        <w:autoSpaceDE w:val="0"/>
        <w:autoSpaceDN w:val="0"/>
        <w:adjustRightInd w:val="0"/>
        <w:snapToGrid w:val="0"/>
        <w:ind w:right="32" w:firstLine="359"/>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六、质疑及投诉</w:t>
      </w:r>
    </w:p>
    <w:p w14:paraId="4BF1769B">
      <w:pPr>
        <w:tabs>
          <w:tab w:val="left" w:pos="851"/>
        </w:tabs>
        <w:autoSpaceDE w:val="0"/>
        <w:autoSpaceDN w:val="0"/>
        <w:adjustRightInd w:val="0"/>
        <w:snapToGrid w:val="0"/>
        <w:ind w:right="32"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w:t>
      </w:r>
      <w:r>
        <w:rPr>
          <w:rFonts w:hint="eastAsia" w:asciiTheme="minorEastAsia" w:hAnsiTheme="minorEastAsia" w:eastAsiaTheme="minorEastAsia"/>
          <w:b/>
          <w:color w:val="auto"/>
          <w:szCs w:val="21"/>
          <w:highlight w:val="none"/>
        </w:rPr>
        <w:t>质疑</w:t>
      </w:r>
    </w:p>
    <w:p w14:paraId="7168BAC0">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29.1 </w:t>
      </w:r>
      <w:r>
        <w:rPr>
          <w:rFonts w:asciiTheme="minorEastAsia" w:hAnsiTheme="minorEastAsia" w:eastAsiaTheme="minorEastAsia"/>
          <w:color w:val="auto"/>
          <w:szCs w:val="21"/>
          <w:highlight w:val="none"/>
        </w:rPr>
        <w:t>供应商认为采购文件、采购过程和中标、成交结果使自己的权益受到损害的，可以在知道或者应知其权益受到损害之日起七个工作日内，以书面形式向采购人</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采购代理机构提出质疑。</w:t>
      </w:r>
    </w:p>
    <w:p w14:paraId="04D9A6A5">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29.2 </w:t>
      </w:r>
      <w:r>
        <w:rPr>
          <w:rFonts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rPr>
        <w:t>应在法定质疑期内一次性提出针对同一采购程序环节的质疑。若对项目的某一分包进行质疑，质疑函中应列明具体分包号。</w:t>
      </w:r>
    </w:p>
    <w:p w14:paraId="25883792">
      <w:pPr>
        <w:autoSpaceDE w:val="0"/>
        <w:autoSpaceDN w:val="0"/>
        <w:adjustRightInd w:val="0"/>
        <w:snapToGrid w:val="0"/>
        <w:ind w:right="32"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29.3 提出质疑的供应商（以下简称质疑供应商）应当是参与所质疑项目采购活动的供应商。各环节质疑时效的规定如下：</w:t>
      </w:r>
    </w:p>
    <w:p w14:paraId="42B0F3C3">
      <w:pPr>
        <w:widowControl/>
        <w:ind w:left="284"/>
        <w:jc w:val="left"/>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highlight w:val="none"/>
        </w:rPr>
        <w:t>对采购文件提出质疑的，</w:t>
      </w:r>
      <w:r>
        <w:rPr>
          <w:rFonts w:hint="eastAsia" w:asciiTheme="minorEastAsia" w:hAnsiTheme="minorEastAsia" w:eastAsiaTheme="minorEastAsia"/>
          <w:color w:val="auto"/>
          <w:highlight w:val="none"/>
        </w:rPr>
        <w:t>应当在获取采购文件或者采购文件公告期限届满之日起7个工作日内提出</w:t>
      </w:r>
      <w:r>
        <w:rPr>
          <w:rFonts w:asciiTheme="minorEastAsia" w:hAnsiTheme="minorEastAsia" w:eastAsiaTheme="minorEastAsia"/>
          <w:color w:val="auto"/>
          <w:highlight w:val="none"/>
        </w:rPr>
        <w:t>；</w:t>
      </w:r>
    </w:p>
    <w:p w14:paraId="32BED3E2">
      <w:pPr>
        <w:widowControl/>
        <w:ind w:left="284"/>
        <w:jc w:val="left"/>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highlight w:val="none"/>
        </w:rPr>
        <w:t>对采购过程提出质疑的，</w:t>
      </w:r>
      <w:r>
        <w:rPr>
          <w:rFonts w:hint="eastAsia" w:asciiTheme="minorEastAsia" w:hAnsiTheme="minorEastAsia" w:eastAsiaTheme="minorEastAsia"/>
          <w:color w:val="auto"/>
          <w:highlight w:val="none"/>
        </w:rPr>
        <w:t>应当在</w:t>
      </w:r>
      <w:r>
        <w:rPr>
          <w:rFonts w:asciiTheme="minorEastAsia" w:hAnsiTheme="minorEastAsia" w:eastAsiaTheme="minorEastAsia"/>
          <w:color w:val="auto"/>
          <w:highlight w:val="none"/>
        </w:rPr>
        <w:t>各采购程序环节结束之日</w:t>
      </w:r>
      <w:r>
        <w:rPr>
          <w:rFonts w:hint="eastAsia" w:asciiTheme="minorEastAsia" w:hAnsiTheme="minorEastAsia" w:eastAsiaTheme="minorEastAsia"/>
          <w:color w:val="auto"/>
          <w:highlight w:val="none"/>
        </w:rPr>
        <w:t>起</w:t>
      </w:r>
      <w:r>
        <w:rPr>
          <w:rFonts w:hint="eastAsia" w:asciiTheme="minorEastAsia" w:hAnsiTheme="minorEastAsia" w:eastAsiaTheme="minorEastAsia"/>
          <w:snapToGrid w:val="0"/>
          <w:color w:val="auto"/>
          <w:kern w:val="0"/>
          <w:highlight w:val="none"/>
        </w:rPr>
        <w:t>7个工作日内提出</w:t>
      </w:r>
      <w:r>
        <w:rPr>
          <w:rFonts w:asciiTheme="minorEastAsia" w:hAnsiTheme="minorEastAsia" w:eastAsiaTheme="minorEastAsia"/>
          <w:color w:val="auto"/>
          <w:highlight w:val="none"/>
        </w:rPr>
        <w:t>；</w:t>
      </w:r>
    </w:p>
    <w:p w14:paraId="7A893E9C">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对中标或者成交结果提出质疑的，</w:t>
      </w:r>
      <w:r>
        <w:rPr>
          <w:rFonts w:hint="eastAsia" w:asciiTheme="minorEastAsia" w:hAnsiTheme="minorEastAsia" w:eastAsiaTheme="minorEastAsia"/>
          <w:color w:val="auto"/>
          <w:highlight w:val="none"/>
        </w:rPr>
        <w:t>应当在</w:t>
      </w:r>
      <w:r>
        <w:rPr>
          <w:rFonts w:asciiTheme="minorEastAsia" w:hAnsiTheme="minorEastAsia" w:eastAsiaTheme="minorEastAsia"/>
          <w:color w:val="auto"/>
          <w:highlight w:val="none"/>
        </w:rPr>
        <w:t>中标或者成交结果公告期限届满之日</w:t>
      </w:r>
      <w:r>
        <w:rPr>
          <w:rFonts w:hint="eastAsia" w:asciiTheme="minorEastAsia" w:hAnsiTheme="minorEastAsia" w:eastAsiaTheme="minorEastAsia"/>
          <w:color w:val="auto"/>
          <w:highlight w:val="none"/>
        </w:rPr>
        <w:t>起</w:t>
      </w:r>
      <w:r>
        <w:rPr>
          <w:rFonts w:hint="eastAsia" w:asciiTheme="minorEastAsia" w:hAnsiTheme="minorEastAsia" w:eastAsiaTheme="minorEastAsia"/>
          <w:snapToGrid w:val="0"/>
          <w:color w:val="auto"/>
          <w:kern w:val="0"/>
          <w:highlight w:val="none"/>
        </w:rPr>
        <w:t>7个工作日内提出</w:t>
      </w:r>
      <w:r>
        <w:rPr>
          <w:rFonts w:asciiTheme="minorEastAsia" w:hAnsiTheme="minorEastAsia" w:eastAsiaTheme="minorEastAsia"/>
          <w:color w:val="auto"/>
          <w:highlight w:val="none"/>
        </w:rPr>
        <w:t>。</w:t>
      </w:r>
    </w:p>
    <w:p w14:paraId="1A2CDEA4">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超出法定质疑期限的质疑函，采购人或采购代理机构将依法不予接收。</w:t>
      </w:r>
    </w:p>
    <w:p w14:paraId="15586314">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29.4供</w:t>
      </w:r>
      <w:r>
        <w:rPr>
          <w:rFonts w:hint="eastAsia" w:asciiTheme="minorEastAsia" w:hAnsiTheme="minorEastAsia" w:eastAsiaTheme="minorEastAsia"/>
          <w:color w:val="auto"/>
          <w:highlight w:val="none"/>
        </w:rPr>
        <w:t>应商提出质疑应当提交质疑函和必要的证明材料(包括证明材料清单、证明文件及获取途径说明)。质疑函应当包括下列内容：</w:t>
      </w:r>
    </w:p>
    <w:p w14:paraId="34B23739">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（1）供应商的姓名或者名称、地址、邮编、联系人及联系电话；</w:t>
      </w:r>
    </w:p>
    <w:p w14:paraId="79F578D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（2）质疑项目的名称、编号；</w:t>
      </w:r>
    </w:p>
    <w:p w14:paraId="44A549E0">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（3）具体、明确的质疑事项和与质疑事项相关的请求；</w:t>
      </w:r>
    </w:p>
    <w:p w14:paraId="6504D10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（4）事实依据；</w:t>
      </w:r>
    </w:p>
    <w:p w14:paraId="4BCF248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（5）必要的法律依据；</w:t>
      </w:r>
    </w:p>
    <w:p w14:paraId="530C7F63">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（6）提出质疑的日期。</w:t>
      </w:r>
    </w:p>
    <w:p w14:paraId="78CF8397">
      <w:pPr>
        <w:ind w:firstLine="315" w:firstLineChars="150"/>
        <w:rPr>
          <w:rFonts w:asciiTheme="minorEastAsia" w:hAnsiTheme="minorEastAsia" w:eastAsiaTheme="minorEastAsia"/>
          <w:color w:val="auto"/>
          <w:highlight w:val="none"/>
        </w:rPr>
      </w:pPr>
      <w:r>
        <w:rPr>
          <w:rFonts w:asciiTheme="minorEastAsia" w:hAnsiTheme="minorEastAsia" w:eastAsiaTheme="minorEastAsia"/>
          <w:color w:val="auto"/>
          <w:highlight w:val="none"/>
        </w:rPr>
        <w:t>供应商为自然人的，应当由本人签字；供应商为法人或者其他组织的，应当由法定代表人、主要负责人，或者其授权代表签字或者盖章，并加盖公章。</w:t>
      </w:r>
    </w:p>
    <w:p w14:paraId="39A12D57">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29.5</w:t>
      </w:r>
      <w:r>
        <w:rPr>
          <w:rFonts w:hint="eastAsia" w:asciiTheme="minorEastAsia" w:hAnsiTheme="minorEastAsia" w:eastAsiaTheme="minorEastAsia"/>
          <w:color w:val="auto"/>
          <w:highlight w:val="none"/>
        </w:rPr>
        <w:t>接收质疑的联系方式：</w:t>
      </w:r>
    </w:p>
    <w:p w14:paraId="51FF8F9E">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质疑接收机构名称：国义招标股份有限公司</w:t>
      </w:r>
    </w:p>
    <w:p w14:paraId="06064568">
      <w:pPr>
        <w:ind w:firstLine="315"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质疑接收机构地址：广州市东风东路726号9楼903室</w:t>
      </w:r>
    </w:p>
    <w:p w14:paraId="2C35E099">
      <w:pPr>
        <w:ind w:firstLine="315" w:firstLineChars="15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质疑接收部门联系人：郭小姐、李小姐</w:t>
      </w:r>
    </w:p>
    <w:p w14:paraId="5BEEEEFF">
      <w:pPr>
        <w:ind w:firstLine="315" w:firstLineChars="15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质疑接收机构电话：020-37860713/715（工作时间：8：30-17：00）, </w:t>
      </w:r>
    </w:p>
    <w:p w14:paraId="1196A038">
      <w:pPr>
        <w:ind w:firstLine="315" w:firstLineChars="15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电子信箱：</w:t>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color w:val="auto"/>
          <w:highlight w:val="none"/>
        </w:rPr>
        <w:instrText xml:space="preserve"> HYPERLINK "mailto:guochunxi@ebidding.com"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guochunxi@ebidding.com</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lang w:val="en-US" w:eastAsia="zh-CN"/>
        </w:rPr>
        <w:t xml:space="preserve"> </w:t>
      </w:r>
    </w:p>
    <w:p w14:paraId="1F4A48AF">
      <w:pPr>
        <w:autoSpaceDE w:val="0"/>
        <w:autoSpaceDN w:val="0"/>
        <w:adjustRightInd w:val="0"/>
        <w:snapToGrid w:val="0"/>
        <w:ind w:left="315" w:leftChars="150" w:right="3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30.投诉</w:t>
      </w:r>
    </w:p>
    <w:p w14:paraId="3E810084">
      <w:pPr>
        <w:autoSpaceDE w:val="0"/>
        <w:autoSpaceDN w:val="0"/>
        <w:adjustRightInd w:val="0"/>
        <w:snapToGrid w:val="0"/>
        <w:ind w:right="32" w:firstLine="359"/>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质疑供应商对采购人、采购代理机构的答复不满意或者采购人、采购代理机构未在规定的时间内作出答复的，可以在答复期满后十五个工作日内向</w:t>
      </w:r>
      <w:r>
        <w:rPr>
          <w:rFonts w:hint="eastAsia" w:asciiTheme="minorEastAsia" w:hAnsiTheme="minorEastAsia" w:eastAsiaTheme="minorEastAsia"/>
          <w:color w:val="auto"/>
          <w:szCs w:val="21"/>
          <w:highlight w:val="none"/>
        </w:rPr>
        <w:t>招标采购监督管理部门</w:t>
      </w:r>
      <w:r>
        <w:rPr>
          <w:rFonts w:asciiTheme="minorEastAsia" w:hAnsiTheme="minorEastAsia" w:eastAsiaTheme="minorEastAsia"/>
          <w:color w:val="auto"/>
          <w:szCs w:val="21"/>
          <w:highlight w:val="none"/>
        </w:rPr>
        <w:t>投诉。</w:t>
      </w:r>
    </w:p>
    <w:p w14:paraId="7BC5538C">
      <w:pPr>
        <w:pStyle w:val="18"/>
        <w:adjustRightInd w:val="0"/>
        <w:snapToGrid w:val="0"/>
        <w:ind w:firstLine="359"/>
        <w:rPr>
          <w:rFonts w:cs="Times New Roman" w:asciiTheme="minorEastAsia" w:hAnsiTheme="minorEastAsia" w:eastAsiaTheme="minorEastAsia"/>
          <w:b/>
          <w:color w:val="auto"/>
          <w:highlight w:val="none"/>
        </w:rPr>
      </w:pPr>
    </w:p>
    <w:p w14:paraId="2ED9B84F">
      <w:pPr>
        <w:pStyle w:val="18"/>
        <w:adjustRightInd w:val="0"/>
        <w:snapToGrid w:val="0"/>
        <w:ind w:firstLine="359"/>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七、 合同的订立和履行</w:t>
      </w:r>
    </w:p>
    <w:p w14:paraId="6545B9FC">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31. 合同的订立</w:t>
      </w:r>
    </w:p>
    <w:p w14:paraId="7D6A353E">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31.1采购人与中标人自中标通知书发出之日起三十日内，按招标文件要求和中标人投标文件承诺签订采购合同，但</w:t>
      </w:r>
      <w:r>
        <w:rPr>
          <w:rFonts w:hint="eastAsia" w:asciiTheme="minorEastAsia" w:hAnsiTheme="minorEastAsia" w:eastAsiaTheme="minorEastAsia"/>
          <w:color w:val="auto"/>
          <w:szCs w:val="21"/>
          <w:highlight w:val="none"/>
        </w:rPr>
        <w:t>不得超出招标文件和中标人投标文件的范围、也不得再行订立背离合同实质性内容的其他协议。如果</w:t>
      </w:r>
      <w:r>
        <w:rPr>
          <w:rFonts w:hint="eastAsia" w:asciiTheme="minorEastAsia" w:hAnsiTheme="minorEastAsia" w:eastAsiaTheme="minorEastAsia"/>
          <w:color w:val="auto"/>
          <w:kern w:val="0"/>
          <w:szCs w:val="21"/>
          <w:highlight w:val="none"/>
        </w:rPr>
        <w:t>第一中标候选人放弃中标或者</w:t>
      </w:r>
      <w:r>
        <w:rPr>
          <w:rFonts w:hint="eastAsia" w:asciiTheme="minorEastAsia" w:hAnsiTheme="minorEastAsia" w:eastAsiaTheme="minorEastAsia"/>
          <w:color w:val="auto"/>
          <w:szCs w:val="21"/>
          <w:highlight w:val="none"/>
        </w:rPr>
        <w:t>没有按照规定签订合同，采购人将取消其中标资格。在此情况下，采购人可按照中标候选人名单排序，选择确定下一候选人为中标供应商，或重新采购</w:t>
      </w:r>
      <w:r>
        <w:rPr>
          <w:rFonts w:hint="eastAsia" w:asciiTheme="minorEastAsia" w:hAnsiTheme="minorEastAsia" w:eastAsiaTheme="minorEastAsia"/>
          <w:color w:val="auto"/>
          <w:highlight w:val="none"/>
        </w:rPr>
        <w:t>。</w:t>
      </w:r>
    </w:p>
    <w:p w14:paraId="7FA634A4">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32. 合同的履行</w:t>
      </w:r>
    </w:p>
    <w:p w14:paraId="000FB109">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32.1采购合同订立后，合同各方不得擅自变更、中止或者终止合同。采购合同需要变更的，采购人应将有关合同变更内容，以书面形式报</w:t>
      </w:r>
      <w:r>
        <w:rPr>
          <w:rFonts w:hint="eastAsia" w:asciiTheme="minorEastAsia" w:hAnsiTheme="minorEastAsia" w:eastAsiaTheme="minorEastAsia"/>
          <w:color w:val="auto"/>
          <w:kern w:val="0"/>
          <w:szCs w:val="21"/>
          <w:highlight w:val="none"/>
          <w:lang w:val="en-US" w:eastAsia="zh-CN"/>
        </w:rPr>
        <w:t>招标</w:t>
      </w:r>
      <w:r>
        <w:rPr>
          <w:rFonts w:hint="eastAsia" w:asciiTheme="minorEastAsia" w:hAnsiTheme="minorEastAsia" w:eastAsiaTheme="minorEastAsia"/>
          <w:color w:val="auto"/>
          <w:kern w:val="0"/>
          <w:szCs w:val="21"/>
          <w:highlight w:val="none"/>
        </w:rPr>
        <w:t>采购监督管理机关备案；因特殊情况需要中止或终止合同的，采购人应将中止或终止合同的理由以及相应措施，以书面形式报</w:t>
      </w:r>
      <w:r>
        <w:rPr>
          <w:rFonts w:hint="eastAsia" w:asciiTheme="minorEastAsia" w:hAnsiTheme="minorEastAsia" w:eastAsiaTheme="minorEastAsia"/>
          <w:color w:val="auto"/>
          <w:kern w:val="0"/>
          <w:szCs w:val="21"/>
          <w:highlight w:val="none"/>
          <w:lang w:val="en-US" w:eastAsia="zh-CN"/>
        </w:rPr>
        <w:t>招标</w:t>
      </w:r>
      <w:r>
        <w:rPr>
          <w:rFonts w:hint="eastAsia" w:asciiTheme="minorEastAsia" w:hAnsiTheme="minorEastAsia" w:eastAsiaTheme="minorEastAsia"/>
          <w:color w:val="auto"/>
          <w:kern w:val="0"/>
          <w:szCs w:val="21"/>
          <w:highlight w:val="none"/>
        </w:rPr>
        <w:t>采购监督管理机关备案。</w:t>
      </w:r>
    </w:p>
    <w:p w14:paraId="06D9A287">
      <w:pPr>
        <w:autoSpaceDE w:val="0"/>
        <w:autoSpaceDN w:val="0"/>
        <w:adjustRightInd w:val="0"/>
        <w:snapToGrid w:val="0"/>
        <w:ind w:right="34" w:firstLine="35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32.2 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14:paraId="3490C2D4">
      <w:pPr>
        <w:autoSpaceDE w:val="0"/>
        <w:autoSpaceDN w:val="0"/>
        <w:adjustRightInd w:val="0"/>
        <w:snapToGrid w:val="0"/>
        <w:ind w:right="34" w:firstLine="359"/>
        <w:rPr>
          <w:rFonts w:asciiTheme="minorEastAsia" w:hAnsiTheme="minorEastAsia" w:eastAsiaTheme="minorEastAsia"/>
          <w:b/>
          <w:bCs/>
          <w:color w:val="auto"/>
          <w:kern w:val="0"/>
          <w:szCs w:val="21"/>
          <w:highlight w:val="none"/>
        </w:rPr>
      </w:pPr>
    </w:p>
    <w:p w14:paraId="28D16CDC">
      <w:pPr>
        <w:autoSpaceDE w:val="0"/>
        <w:autoSpaceDN w:val="0"/>
        <w:adjustRightInd w:val="0"/>
        <w:snapToGrid w:val="0"/>
        <w:ind w:right="34" w:firstLine="35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八、适用法律</w:t>
      </w:r>
    </w:p>
    <w:p w14:paraId="09D2BFFF">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xml:space="preserve">.1 </w:t>
      </w:r>
      <w:r>
        <w:rPr>
          <w:rFonts w:hint="eastAsia" w:asciiTheme="minorEastAsia" w:hAnsiTheme="minorEastAsia" w:eastAsiaTheme="minorEastAsia"/>
          <w:color w:val="auto"/>
          <w:szCs w:val="21"/>
          <w:highlight w:val="none"/>
          <w:lang w:val="en-US" w:eastAsia="zh-CN"/>
        </w:rPr>
        <w:t>参照</w:t>
      </w:r>
      <w:r>
        <w:rPr>
          <w:rFonts w:hint="eastAsia" w:asciiTheme="minorEastAsia" w:hAnsiTheme="minorEastAsia" w:eastAsiaTheme="minorEastAsia"/>
          <w:color w:val="auto"/>
          <w:szCs w:val="21"/>
          <w:highlight w:val="none"/>
        </w:rPr>
        <w:t>《政府采购促进中小企业发展管理办法》（财库〔2020〕46号）的规定：</w:t>
      </w:r>
    </w:p>
    <w:p w14:paraId="4F3BB3E7">
      <w:pPr>
        <w:autoSpaceDE w:val="0"/>
        <w:autoSpaceDN w:val="0"/>
        <w:adjustRightInd w:val="0"/>
        <w:snapToGrid w:val="0"/>
        <w:ind w:right="34" w:firstLine="359"/>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xml:space="preserve">.1.1 </w:t>
      </w:r>
      <w:r>
        <w:rPr>
          <w:rFonts w:hint="eastAsia" w:asciiTheme="minorEastAsia" w:hAnsiTheme="minorEastAsia" w:eastAsiaTheme="minorEastAsia"/>
          <w:color w:val="auto"/>
          <w:szCs w:val="21"/>
          <w:highlight w:val="none"/>
          <w:lang w:val="zh-CN"/>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F77BA47">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.1.2 符合享受本办法规定政策的情形：（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56E1D63">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.1.3 在货物采购项目中，供应商提供的货物既有中小企业制造货物，也有大型企业制造货物的，不享受本办法规定的政策。</w:t>
      </w:r>
    </w:p>
    <w:p w14:paraId="32857F9B">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以联合体形式参加政府采购活动，联合体各方均为中小企业的，联合体视同中小企业。其中，联合体各方均为小微企业的，联合体视同小微企业。</w:t>
      </w:r>
    </w:p>
    <w:p w14:paraId="32D956A3">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.1.4 中小企业划分标准按照《关于印发中小企业划型标准规定的通知》（工信部联企业[2011]300号）执行。</w:t>
      </w:r>
    </w:p>
    <w:p w14:paraId="3E1EF6F8">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.1.5 参加采购活动的中小企业投标时需提供《中小企业声明函》（格式见第五部分投标文件格式）。否则不享受本办法规定的政策。</w:t>
      </w:r>
    </w:p>
    <w:p w14:paraId="7BFF3E99">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xml:space="preserve">.1.6 </w:t>
      </w:r>
      <w:r>
        <w:rPr>
          <w:rFonts w:hint="eastAsia" w:asciiTheme="minorEastAsia" w:hAnsiTheme="minorEastAsia" w:eastAsiaTheme="minorEastAsia"/>
          <w:color w:val="auto"/>
          <w:szCs w:val="21"/>
          <w:highlight w:val="none"/>
          <w:lang w:val="zh-CN"/>
        </w:rPr>
        <w:t>供应商提供声明函内容不实的，属于提供虚假材料谋取中标、成交，</w:t>
      </w:r>
      <w:r>
        <w:rPr>
          <w:rFonts w:hint="eastAsia" w:asciiTheme="minorEastAsia" w:hAnsiTheme="minorEastAsia" w:eastAsiaTheme="minorEastAsia"/>
          <w:color w:val="auto"/>
          <w:szCs w:val="21"/>
          <w:highlight w:val="none"/>
          <w:lang w:val="en-US" w:eastAsia="zh-CN"/>
        </w:rPr>
        <w:t>参照</w:t>
      </w:r>
      <w:r>
        <w:rPr>
          <w:rFonts w:hint="eastAsia" w:asciiTheme="minorEastAsia" w:hAnsiTheme="minorEastAsia" w:eastAsiaTheme="minorEastAsia"/>
          <w:color w:val="auto"/>
          <w:szCs w:val="21"/>
          <w:highlight w:val="none"/>
          <w:lang w:val="zh-CN"/>
        </w:rPr>
        <w:t>《中华人民共和国政府采购法》等国家有关规定追究相应责任</w:t>
      </w:r>
      <w:r>
        <w:rPr>
          <w:rFonts w:hint="eastAsia" w:asciiTheme="minorEastAsia" w:hAnsiTheme="minorEastAsia" w:eastAsiaTheme="minorEastAsia"/>
          <w:color w:val="auto"/>
          <w:szCs w:val="21"/>
          <w:highlight w:val="none"/>
        </w:rPr>
        <w:t>。</w:t>
      </w:r>
    </w:p>
    <w:p w14:paraId="1AC3C0C1">
      <w:pPr>
        <w:autoSpaceDE w:val="0"/>
        <w:autoSpaceDN w:val="0"/>
        <w:adjustRightInd w:val="0"/>
        <w:snapToGrid w:val="0"/>
        <w:ind w:right="34" w:firstLine="359"/>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.1.7 本项目采购标的所属行业为：</w:t>
      </w:r>
      <w:bookmarkStart w:id="18" w:name="OLE_LINK3"/>
      <w:r>
        <w:rPr>
          <w:rFonts w:hint="eastAsia" w:asciiTheme="minorEastAsia" w:hAnsiTheme="minorEastAsia" w:eastAsiaTheme="minorEastAsia"/>
          <w:b/>
          <w:bCs/>
          <w:color w:val="auto"/>
          <w:szCs w:val="21"/>
          <w:highlight w:val="none"/>
        </w:rPr>
        <w:t>其他未列明行业</w:t>
      </w:r>
      <w:bookmarkEnd w:id="18"/>
    </w:p>
    <w:p w14:paraId="051B0138">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14:paraId="4DD48E6F">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.3 在招标采购中，出现下列情形之一的，应予废标：</w:t>
      </w:r>
    </w:p>
    <w:p w14:paraId="36F30351">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1）符合专业条件的供应商或者对招标文件作实质响应的供应商不足三家的；</w:t>
      </w:r>
    </w:p>
    <w:p w14:paraId="28A3128F">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2）出现影响采购公正的违法、违规行为的；</w:t>
      </w:r>
    </w:p>
    <w:p w14:paraId="75D9BE4B">
      <w:pPr>
        <w:autoSpaceDE w:val="0"/>
        <w:autoSpaceDN w:val="0"/>
        <w:adjustRightInd w:val="0"/>
        <w:snapToGrid w:val="0"/>
        <w:ind w:right="34"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3）投标人的报价均超过了采购预算，采购人不能支付的；</w:t>
      </w:r>
    </w:p>
    <w:p w14:paraId="0FE5CDF5">
      <w:pPr>
        <w:autoSpaceDE w:val="0"/>
        <w:autoSpaceDN w:val="0"/>
        <w:adjustRightInd w:val="0"/>
        <w:snapToGrid w:val="0"/>
        <w:ind w:right="34" w:firstLine="359"/>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4）因重大变故，采购任务取消的</w:t>
      </w:r>
      <w:r>
        <w:rPr>
          <w:rFonts w:hint="eastAsia" w:asciiTheme="minorEastAsia" w:hAnsiTheme="minorEastAsia" w:eastAsiaTheme="minorEastAsia"/>
          <w:color w:val="auto"/>
          <w:szCs w:val="21"/>
          <w:highlight w:val="none"/>
          <w:lang w:eastAsia="zh-CN"/>
        </w:rPr>
        <w:t>。</w:t>
      </w:r>
    </w:p>
    <w:p w14:paraId="46A7DD93">
      <w:pPr>
        <w:pStyle w:val="7"/>
        <w:ind w:firstLine="35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九、资格审查</w:t>
      </w:r>
    </w:p>
    <w:p w14:paraId="5BBF91AA">
      <w:pPr>
        <w:pStyle w:val="7"/>
        <w:ind w:firstLine="359"/>
        <w:jc w:val="cente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《资格审查表》</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220E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tcPr>
          <w:p w14:paraId="53360B0B">
            <w:pPr>
              <w:keepNext w:val="0"/>
              <w:keepLines w:val="0"/>
              <w:suppressLineNumbers w:val="0"/>
              <w:autoSpaceDE w:val="0"/>
              <w:autoSpaceDN w:val="0"/>
              <w:adjustRightInd w:val="0"/>
              <w:snapToGrid w:val="0"/>
              <w:spacing w:before="0" w:beforeAutospacing="0" w:after="0" w:afterAutospacing="0"/>
              <w:ind w:left="0" w:right="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458" w:type="dxa"/>
          </w:tcPr>
          <w:p w14:paraId="2DA3385D">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14:paraId="04EA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667553B">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58" w:type="dxa"/>
          </w:tcPr>
          <w:p w14:paraId="0D4E249C">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投标人应具备《中华人民共和国政府采购法》第二十二条规定的条件，提供下列材料：</w:t>
            </w:r>
          </w:p>
          <w:p w14:paraId="23B2B64C">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69D9D962">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（2）有依法缴纳税收和社会保障资金的良好记录：按附件格式在投标文件中提供《资格条件承诺函》。</w:t>
            </w:r>
          </w:p>
          <w:p w14:paraId="23D91D4B">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（3）具有良好的商业信誉和健全的财务会计制度：按附件格式在投标文件中提供《资格条件承诺函》。</w:t>
            </w:r>
          </w:p>
          <w:p w14:paraId="6272A6BD">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（4）履行合同所必需的设备和专业技术能力：按附件格式在投标文件中提供《资格条件承诺函》。</w:t>
            </w:r>
          </w:p>
          <w:p w14:paraId="1BD59B4B">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按附件格式在投标文件中提供《资格条件承诺函》。</w:t>
            </w:r>
          </w:p>
        </w:tc>
      </w:tr>
      <w:tr w14:paraId="6CF3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6D4C700">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458" w:type="dxa"/>
          </w:tcPr>
          <w:p w14:paraId="3DDB2B4C">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本项目属于</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lang w:eastAsia="zh-CN"/>
              </w:rPr>
              <w:t>专门面向中小微企业采购的项目。（中小企业划型行业为：“其他未列明行业”）</w:t>
            </w:r>
            <w:r>
              <w:rPr>
                <w:rFonts w:hint="eastAsia" w:ascii="宋体" w:hAnsi="宋体" w:eastAsia="宋体" w:cs="宋体"/>
                <w:color w:val="auto"/>
                <w:sz w:val="21"/>
                <w:szCs w:val="21"/>
                <w:highlight w:val="none"/>
              </w:rPr>
              <w:t>。</w:t>
            </w:r>
          </w:p>
        </w:tc>
      </w:tr>
      <w:tr w14:paraId="795C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2CD7A06C">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58" w:type="dxa"/>
          </w:tcPr>
          <w:p w14:paraId="3EAD3AC8">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本项目的特定资格要求</w:t>
            </w:r>
            <w:r>
              <w:rPr>
                <w:rFonts w:hint="eastAsia" w:ascii="宋体" w:hAnsi="宋体" w:eastAsia="宋体" w:cs="宋体"/>
                <w:color w:val="auto"/>
                <w:sz w:val="21"/>
                <w:szCs w:val="21"/>
                <w:highlight w:val="none"/>
              </w:rPr>
              <w:t>：</w:t>
            </w:r>
          </w:p>
          <w:p w14:paraId="308F1257">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投标人未被列入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信用中国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网站</w:t>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lang w:val="zh-CN"/>
              </w:rPr>
              <w:t>中的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失信被执行人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重大税收违法案件当事人名单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即税收违法黑名单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政府采购严重违法失信名单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记录名单内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在信用中国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广东珠海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网站</w:t>
            </w:r>
            <w:r>
              <w:rPr>
                <w:rFonts w:hint="eastAsia" w:ascii="宋体" w:hAnsi="宋体" w:eastAsia="宋体" w:cs="宋体"/>
                <w:color w:val="auto"/>
                <w:sz w:val="21"/>
                <w:szCs w:val="21"/>
                <w:highlight w:val="none"/>
              </w:rPr>
              <w:t>（http：//credit.zhuhai.gov.cn）</w:t>
            </w:r>
            <w:r>
              <w:rPr>
                <w:rFonts w:hint="eastAsia" w:ascii="宋体" w:hAnsi="宋体" w:eastAsia="宋体" w:cs="宋体"/>
                <w:color w:val="auto"/>
                <w:sz w:val="21"/>
                <w:szCs w:val="21"/>
                <w:highlight w:val="none"/>
                <w:lang w:val="zh-CN"/>
              </w:rPr>
              <w:t>中不存在近三年因违法经营受到责令停产停业、吊销许可证或者执照、较大数额罚款等重大违法记录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不处于中国政府采购网</w:t>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lang w:val="zh-CN"/>
              </w:rPr>
              <w:t>政府采购严重违法失信行为信息记录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中的禁止参加政府采购活动期间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以采购代理机构于投标截止日至投标截止期间在上述网站查询结果为准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如相关失信记录已失效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投标人需提供相关证明资料。</w:t>
            </w:r>
          </w:p>
          <w:p w14:paraId="344845EF">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（2）单位负责人为同一人或者存在直接控股、管理关系的不同供应商，不得参加同一包号投标或者未划分包号的同一招标项目投标。 (投标人出具投标函)</w:t>
            </w:r>
          </w:p>
          <w:p w14:paraId="1A58ACAA">
            <w:pPr>
              <w:keepNext w:val="0"/>
              <w:keepLines w:val="0"/>
              <w:suppressLineNumbers w:val="0"/>
              <w:autoSpaceDE w:val="0"/>
              <w:autoSpaceDN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（3）为采购项目提供整体设计、规范编制或者项目管理、监理、检测等服务的供应商，不得再参加该采购项目的其他采购活动。(投标人出具投标函)</w:t>
            </w:r>
          </w:p>
          <w:p w14:paraId="7CEBBC4B">
            <w:pPr>
              <w:keepNext w:val="0"/>
              <w:keepLines w:val="0"/>
              <w:suppressLineNumbers w:val="0"/>
              <w:autoSpaceDE w:val="0"/>
              <w:autoSpaceDN w:val="0"/>
              <w:spacing w:before="0" w:beforeAutospacing="0" w:after="0" w:afterAutospacing="0" w:line="240" w:lineRule="auto"/>
              <w:ind w:left="0" w:right="0"/>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t>具有医疗器械经营许可证或医疗器械经营备案凭证。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投标文件中</w:t>
            </w:r>
            <w:r>
              <w:rPr>
                <w:rFonts w:hint="eastAsia" w:ascii="宋体" w:hAnsi="宋体" w:eastAsia="宋体" w:cs="宋体"/>
                <w:color w:val="auto"/>
                <w:sz w:val="21"/>
                <w:szCs w:val="21"/>
                <w:highlight w:val="none"/>
                <w:lang w:val="en-US" w:eastAsia="zh-CN"/>
              </w:rPr>
              <w:t>提供证书复印件）</w:t>
            </w:r>
          </w:p>
        </w:tc>
      </w:tr>
      <w:tr w14:paraId="6B46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2E49D6FA">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58" w:type="dxa"/>
          </w:tcPr>
          <w:p w14:paraId="1BFE5051">
            <w:pPr>
              <w:keepNext w:val="0"/>
              <w:keepLines w:val="0"/>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已领购本次采购文件。(具体方式详见本项目公告)</w:t>
            </w:r>
          </w:p>
        </w:tc>
      </w:tr>
      <w:tr w14:paraId="0A8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C55C2C5">
            <w:pPr>
              <w:keepNext w:val="0"/>
              <w:keepLines w:val="0"/>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458" w:type="dxa"/>
          </w:tcPr>
          <w:p w14:paraId="01250A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r>
    </w:tbl>
    <w:p w14:paraId="7CC145AD">
      <w:pPr>
        <w:pStyle w:val="7"/>
        <w:ind w:firstLine="35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十、评标方法、步骤及标准</w:t>
      </w:r>
    </w:p>
    <w:p w14:paraId="20479290">
      <w:pPr>
        <w:pStyle w:val="7"/>
        <w:ind w:firstLine="35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根据政府采购的相关规定确定以下评标方法、步骤及标准：</w:t>
      </w:r>
    </w:p>
    <w:p w14:paraId="1533AEFF">
      <w:pPr>
        <w:pStyle w:val="7"/>
        <w:ind w:firstLine="359"/>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35.评标方法</w:t>
      </w:r>
    </w:p>
    <w:p w14:paraId="3975FE32">
      <w:pPr>
        <w:pStyle w:val="7"/>
        <w:ind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本次采购采用综合评分法，即在最大限度地满足采购文件实质性要求前提下，按技术、商务和价格三部分进行评分。三项总分为100分，其中商务得分占</w:t>
      </w: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分，技术得分占</w:t>
      </w:r>
      <w:r>
        <w:rPr>
          <w:rFonts w:hint="eastAsia" w:asciiTheme="majorEastAsia" w:hAnsiTheme="majorEastAsia" w:eastAsiaTheme="majorEastAsia" w:cstheme="majorEastAsia"/>
          <w:color w:val="auto"/>
          <w:sz w:val="21"/>
          <w:szCs w:val="21"/>
          <w:highlight w:val="none"/>
          <w:lang w:val="en-US" w:eastAsia="zh-CN"/>
        </w:rPr>
        <w:t>65</w:t>
      </w:r>
      <w:r>
        <w:rPr>
          <w:rFonts w:hint="eastAsia" w:asciiTheme="majorEastAsia" w:hAnsiTheme="majorEastAsia" w:eastAsiaTheme="majorEastAsia" w:cstheme="majorEastAsia"/>
          <w:color w:val="auto"/>
          <w:sz w:val="21"/>
          <w:szCs w:val="21"/>
          <w:highlight w:val="none"/>
        </w:rPr>
        <w:t>分，价格得分占</w:t>
      </w:r>
      <w:r>
        <w:rPr>
          <w:rFonts w:hint="eastAsia" w:asciiTheme="majorEastAsia" w:hAnsiTheme="majorEastAsia" w:eastAsiaTheme="majorEastAsia" w:cstheme="majorEastAsia"/>
          <w:color w:val="auto"/>
          <w:sz w:val="21"/>
          <w:szCs w:val="21"/>
          <w:highlight w:val="none"/>
          <w:lang w:val="en-US" w:eastAsia="zh-CN"/>
        </w:rPr>
        <w:t>20</w:t>
      </w:r>
      <w:r>
        <w:rPr>
          <w:rFonts w:hint="eastAsia" w:asciiTheme="majorEastAsia" w:hAnsiTheme="majorEastAsia" w:eastAsiaTheme="majorEastAsia" w:cstheme="majorEastAsia"/>
          <w:color w:val="auto"/>
          <w:sz w:val="21"/>
          <w:szCs w:val="21"/>
          <w:highlight w:val="none"/>
        </w:rPr>
        <w:t>分，以评审总得分最高的投标人作为第一中标候选人。</w:t>
      </w:r>
    </w:p>
    <w:p w14:paraId="618688E4">
      <w:pPr>
        <w:pStyle w:val="7"/>
        <w:ind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提供相同品牌产品（非单一产品采购项目的，以项目所确定的核心产品为准）且通过资格审查、符合性审查的不同投标人参加同一项目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C54923">
      <w:pPr>
        <w:pStyle w:val="7"/>
        <w:ind w:firstLine="359"/>
        <w:rPr>
          <w:rFonts w:hint="eastAsia" w:asciiTheme="majorEastAsia" w:hAnsiTheme="majorEastAsia" w:eastAsiaTheme="majorEastAsia" w:cstheme="majorEastAsia"/>
          <w:color w:val="auto"/>
          <w:kern w:val="0"/>
          <w:sz w:val="21"/>
          <w:szCs w:val="21"/>
          <w:highlight w:val="none"/>
        </w:rPr>
      </w:pPr>
    </w:p>
    <w:p w14:paraId="6A7A1F4D">
      <w:pPr>
        <w:pStyle w:val="7"/>
        <w:ind w:firstLine="35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36.评标步骤</w:t>
      </w:r>
    </w:p>
    <w:p w14:paraId="28B90807">
      <w:pPr>
        <w:pStyle w:val="7"/>
        <w:ind w:firstLine="35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一、评标委员会对投标文件的符合性审查、服务商务比较与评价： </w:t>
      </w:r>
    </w:p>
    <w:p w14:paraId="7EF1E443">
      <w:pPr>
        <w:pStyle w:val="7"/>
        <w:ind w:firstLine="35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（一）符合性审查</w:t>
      </w:r>
    </w:p>
    <w:p w14:paraId="4745B1BE">
      <w:pPr>
        <w:pStyle w:val="7"/>
        <w:ind w:firstLine="359"/>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《符合性审查表》</w:t>
      </w:r>
    </w:p>
    <w:tbl>
      <w:tblPr>
        <w:tblStyle w:val="39"/>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17"/>
      </w:tblGrid>
      <w:tr w14:paraId="3CCC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E52EECC">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序号</w:t>
            </w:r>
          </w:p>
        </w:tc>
        <w:tc>
          <w:tcPr>
            <w:tcW w:w="7717" w:type="dxa"/>
            <w:tcBorders>
              <w:top w:val="single" w:color="auto" w:sz="4" w:space="0"/>
              <w:left w:val="single" w:color="auto" w:sz="4" w:space="0"/>
              <w:bottom w:val="single" w:color="auto" w:sz="4" w:space="0"/>
              <w:right w:val="single" w:color="auto" w:sz="4" w:space="0"/>
            </w:tcBorders>
          </w:tcPr>
          <w:p w14:paraId="7E7A5F7F">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内容</w:t>
            </w:r>
          </w:p>
        </w:tc>
      </w:tr>
      <w:tr w14:paraId="3DE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523F703">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7717" w:type="dxa"/>
            <w:tcBorders>
              <w:top w:val="single" w:color="auto" w:sz="4" w:space="0"/>
              <w:left w:val="single" w:color="auto" w:sz="4" w:space="0"/>
              <w:bottom w:val="single" w:color="auto" w:sz="4" w:space="0"/>
              <w:right w:val="single" w:color="auto" w:sz="4" w:space="0"/>
            </w:tcBorders>
          </w:tcPr>
          <w:p w14:paraId="03AAE74B">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投标报价：</w:t>
            </w:r>
          </w:p>
          <w:p w14:paraId="7DD541E5">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zh-CN"/>
              </w:rPr>
              <w:t>投标报价未超过本项目最高限价</w:t>
            </w:r>
          </w:p>
          <w:p w14:paraId="269BDBB1">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2）对全部招标内容进行投标报价</w:t>
            </w:r>
          </w:p>
          <w:p w14:paraId="0A6E5A08">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3）投标报价是唯一确定</w:t>
            </w:r>
          </w:p>
        </w:tc>
      </w:tr>
      <w:tr w14:paraId="0FA0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3335124">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7717" w:type="dxa"/>
            <w:tcBorders>
              <w:top w:val="single" w:color="auto" w:sz="4" w:space="0"/>
              <w:left w:val="single" w:color="auto" w:sz="4" w:space="0"/>
              <w:bottom w:val="single" w:color="auto" w:sz="4" w:space="0"/>
              <w:right w:val="single" w:color="auto" w:sz="4" w:space="0"/>
            </w:tcBorders>
          </w:tcPr>
          <w:p w14:paraId="26832FF7">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提供《投标函》，报价有效期为报价截止日后的90天</w:t>
            </w:r>
          </w:p>
        </w:tc>
      </w:tr>
      <w:tr w14:paraId="7B92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ECC591A">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7717" w:type="dxa"/>
            <w:tcBorders>
              <w:top w:val="single" w:color="auto" w:sz="4" w:space="0"/>
              <w:left w:val="single" w:color="auto" w:sz="4" w:space="0"/>
              <w:bottom w:val="single" w:color="auto" w:sz="4" w:space="0"/>
              <w:right w:val="single" w:color="auto" w:sz="4" w:space="0"/>
            </w:tcBorders>
          </w:tcPr>
          <w:p w14:paraId="2DB55E09">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法定代表人证明书及授权委托书：按对应格式文件签署、盖章(原件)</w:t>
            </w:r>
          </w:p>
        </w:tc>
      </w:tr>
      <w:tr w14:paraId="0C8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332D459E">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7717" w:type="dxa"/>
            <w:tcBorders>
              <w:top w:val="single" w:color="auto" w:sz="4" w:space="0"/>
              <w:left w:val="single" w:color="auto" w:sz="4" w:space="0"/>
              <w:bottom w:val="single" w:color="auto" w:sz="4" w:space="0"/>
              <w:right w:val="single" w:color="auto" w:sz="4" w:space="0"/>
            </w:tcBorders>
          </w:tcPr>
          <w:p w14:paraId="361DBE75">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投标文件按照招标文件规定要求签署、盖章</w:t>
            </w:r>
          </w:p>
        </w:tc>
      </w:tr>
      <w:tr w14:paraId="0655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E20CD65">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7717" w:type="dxa"/>
            <w:tcBorders>
              <w:top w:val="single" w:color="auto" w:sz="4" w:space="0"/>
              <w:left w:val="single" w:color="auto" w:sz="4" w:space="0"/>
              <w:bottom w:val="single" w:color="auto" w:sz="4" w:space="0"/>
              <w:right w:val="single" w:color="auto" w:sz="4" w:space="0"/>
            </w:tcBorders>
          </w:tcPr>
          <w:p w14:paraId="41183C1E">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实质性响应招标文件中“★”号条款的服务、商务要求：投标方案不得对实质性服务与商务的（即标注★号条款）条款产生偏离</w:t>
            </w:r>
          </w:p>
        </w:tc>
      </w:tr>
      <w:tr w14:paraId="2648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C02BBE6">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w:t>
            </w:r>
          </w:p>
        </w:tc>
        <w:tc>
          <w:tcPr>
            <w:tcW w:w="7717" w:type="dxa"/>
            <w:tcBorders>
              <w:top w:val="single" w:color="auto" w:sz="4" w:space="0"/>
              <w:left w:val="single" w:color="auto" w:sz="4" w:space="0"/>
              <w:bottom w:val="single" w:color="auto" w:sz="4" w:space="0"/>
              <w:right w:val="single" w:color="auto" w:sz="4" w:space="0"/>
            </w:tcBorders>
          </w:tcPr>
          <w:p w14:paraId="456BC1CB">
            <w:pPr>
              <w:keepNext w:val="0"/>
              <w:keepLines w:val="0"/>
              <w:suppressLineNumbers w:val="0"/>
              <w:autoSpaceDE w:val="0"/>
              <w:autoSpaceDN w:val="0"/>
              <w:adjustRightInd w:val="0"/>
              <w:snapToGrid w:val="0"/>
              <w:spacing w:before="0" w:beforeAutospacing="0" w:after="0" w:afterAutospacing="0"/>
              <w:ind w:left="0" w:right="0"/>
              <w:rPr>
                <w:rFonts w:hint="default"/>
                <w:color w:val="auto"/>
                <w:highlight w:val="none"/>
              </w:rPr>
            </w:pPr>
            <w:r>
              <w:rPr>
                <w:rFonts w:hint="default"/>
                <w:color w:val="auto"/>
                <w:highlight w:val="none"/>
              </w:rPr>
              <w:t>异常低价审查</w:t>
            </w:r>
            <w:r>
              <w:rPr>
                <w:rFonts w:hint="eastAsia"/>
                <w:color w:val="auto"/>
                <w:highlight w:val="none"/>
                <w:lang w:eastAsia="zh-CN"/>
              </w:rPr>
              <w:t>：</w:t>
            </w:r>
            <w:r>
              <w:rPr>
                <w:rFonts w:hint="default"/>
                <w:color w:val="auto"/>
                <w:highlight w:val="none"/>
              </w:rPr>
              <w:t>出现下列情形之一的，评审委员会应当启动异常低价投标（响应）审查程序：</w:t>
            </w:r>
          </w:p>
          <w:p w14:paraId="40AAFB3E">
            <w:pPr>
              <w:keepNext w:val="0"/>
              <w:keepLines w:val="0"/>
              <w:suppressLineNumbers w:val="0"/>
              <w:autoSpaceDE w:val="0"/>
              <w:autoSpaceDN w:val="0"/>
              <w:adjustRightInd w:val="0"/>
              <w:snapToGrid w:val="0"/>
              <w:spacing w:before="0" w:beforeAutospacing="0" w:after="0" w:afterAutospacing="0"/>
              <w:ind w:left="0" w:right="0"/>
              <w:rPr>
                <w:rFonts w:hint="default"/>
                <w:color w:val="auto"/>
                <w:highlight w:val="none"/>
              </w:rPr>
            </w:pPr>
            <w:r>
              <w:rPr>
                <w:rFonts w:hint="default"/>
                <w:color w:val="auto"/>
                <w:highlight w:val="none"/>
              </w:rPr>
              <w:t>（一）投标（响应）报价低于全部通过符合性审查供应商投标（响应）报价平均值50%的，即投标（响应）报价&lt;全部通过符合性审查供应商投标（响应）报价平均值×50%；</w:t>
            </w:r>
          </w:p>
          <w:p w14:paraId="289D85E1">
            <w:pPr>
              <w:keepNext w:val="0"/>
              <w:keepLines w:val="0"/>
              <w:suppressLineNumbers w:val="0"/>
              <w:autoSpaceDE w:val="0"/>
              <w:autoSpaceDN w:val="0"/>
              <w:adjustRightInd w:val="0"/>
              <w:snapToGrid w:val="0"/>
              <w:spacing w:before="0" w:beforeAutospacing="0" w:after="0" w:afterAutospacing="0"/>
              <w:ind w:left="0" w:right="0"/>
              <w:rPr>
                <w:rFonts w:hint="default"/>
                <w:color w:val="auto"/>
                <w:highlight w:val="none"/>
              </w:rPr>
            </w:pPr>
            <w:r>
              <w:rPr>
                <w:rFonts w:hint="default"/>
                <w:color w:val="auto"/>
                <w:highlight w:val="none"/>
              </w:rPr>
              <w:t>（二）投标（响应）报价低于通过符合性审查且报价次低供应商投标（响应）报价50%的，即投标（响应）报价&lt;通过符合性审查且报价次低供应商投标（响应）报价×50%；</w:t>
            </w:r>
          </w:p>
          <w:p w14:paraId="244FD806">
            <w:pPr>
              <w:keepNext w:val="0"/>
              <w:keepLines w:val="0"/>
              <w:suppressLineNumbers w:val="0"/>
              <w:autoSpaceDE w:val="0"/>
              <w:autoSpaceDN w:val="0"/>
              <w:adjustRightInd w:val="0"/>
              <w:snapToGrid w:val="0"/>
              <w:spacing w:before="0" w:beforeAutospacing="0" w:after="0" w:afterAutospacing="0"/>
              <w:ind w:left="0" w:right="0"/>
              <w:rPr>
                <w:rFonts w:hint="default"/>
                <w:color w:val="auto"/>
                <w:highlight w:val="none"/>
              </w:rPr>
            </w:pPr>
            <w:r>
              <w:rPr>
                <w:rFonts w:hint="default"/>
                <w:color w:val="auto"/>
                <w:highlight w:val="none"/>
              </w:rPr>
              <w:t>（三）投标（响应）报价低于采购项目最高限价45%的，即投标（响应）报价&lt;采购项目最高限价×45%；</w:t>
            </w:r>
          </w:p>
          <w:p w14:paraId="290F14C6">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default"/>
                <w:color w:val="auto"/>
                <w:highlight w:val="none"/>
              </w:rPr>
              <w:t>（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w:t>
            </w:r>
          </w:p>
        </w:tc>
      </w:tr>
      <w:tr w14:paraId="6BA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AA5516E">
            <w:pPr>
              <w:keepNext w:val="0"/>
              <w:keepLines w:val="0"/>
              <w:suppressLineNumbers w:val="0"/>
              <w:autoSpaceDE w:val="0"/>
              <w:autoSpaceDN w:val="0"/>
              <w:adjustRightInd w:val="0"/>
              <w:snapToGrid w:val="0"/>
              <w:spacing w:before="0" w:beforeAutospacing="0" w:after="0" w:afterAutospacing="0"/>
              <w:ind w:left="0" w:right="32"/>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7</w:t>
            </w:r>
          </w:p>
        </w:tc>
        <w:tc>
          <w:tcPr>
            <w:tcW w:w="7717" w:type="dxa"/>
            <w:tcBorders>
              <w:top w:val="single" w:color="auto" w:sz="4" w:space="0"/>
              <w:left w:val="single" w:color="auto" w:sz="4" w:space="0"/>
              <w:bottom w:val="single" w:color="auto" w:sz="4" w:space="0"/>
              <w:right w:val="single" w:color="auto" w:sz="4" w:space="0"/>
            </w:tcBorders>
          </w:tcPr>
          <w:p w14:paraId="75D830A2">
            <w:pPr>
              <w:keepNext w:val="0"/>
              <w:keepLines w:val="0"/>
              <w:suppressLineNumbers w:val="0"/>
              <w:autoSpaceDE w:val="0"/>
              <w:autoSpaceDN w:val="0"/>
              <w:adjustRightInd w:val="0"/>
              <w:snapToGrid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实质性响应招标文件中规定的其它情况</w:t>
            </w:r>
          </w:p>
        </w:tc>
      </w:tr>
    </w:tbl>
    <w:p w14:paraId="2D91FD63">
      <w:pPr>
        <w:pStyle w:val="7"/>
        <w:ind w:firstLine="359"/>
        <w:rPr>
          <w:rFonts w:hint="eastAsia" w:asciiTheme="majorEastAsia" w:hAnsiTheme="majorEastAsia" w:eastAsiaTheme="majorEastAsia" w:cstheme="majorEastAsia"/>
          <w:color w:val="auto"/>
          <w:sz w:val="21"/>
          <w:szCs w:val="21"/>
          <w:highlight w:val="none"/>
        </w:rPr>
      </w:pPr>
    </w:p>
    <w:p w14:paraId="5DAF16A2">
      <w:pPr>
        <w:pStyle w:val="7"/>
        <w:ind w:firstLine="422" w:firstLineChars="20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（二）比较与评价</w:t>
      </w:r>
    </w:p>
    <w:p w14:paraId="3A8352AE">
      <w:pPr>
        <w:pStyle w:val="7"/>
        <w:ind w:firstLine="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1.技术评价：</w:t>
      </w:r>
    </w:p>
    <w:tbl>
      <w:tblPr>
        <w:tblStyle w:val="3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737"/>
        <w:gridCol w:w="690"/>
        <w:gridCol w:w="5174"/>
      </w:tblGrid>
      <w:tr w14:paraId="16D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14:paraId="653428A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评审</w:t>
            </w:r>
          </w:p>
          <w:p w14:paraId="5B44013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项目</w:t>
            </w:r>
          </w:p>
        </w:tc>
        <w:tc>
          <w:tcPr>
            <w:tcW w:w="1737" w:type="dxa"/>
            <w:vAlign w:val="center"/>
          </w:tcPr>
          <w:p w14:paraId="65AFBB9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评审内容</w:t>
            </w:r>
          </w:p>
        </w:tc>
        <w:tc>
          <w:tcPr>
            <w:tcW w:w="690" w:type="dxa"/>
            <w:vAlign w:val="center"/>
          </w:tcPr>
          <w:p w14:paraId="5A38C7B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权重</w:t>
            </w:r>
          </w:p>
        </w:tc>
        <w:tc>
          <w:tcPr>
            <w:tcW w:w="5174" w:type="dxa"/>
            <w:vAlign w:val="center"/>
          </w:tcPr>
          <w:p w14:paraId="1C50C7D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评审细则</w:t>
            </w:r>
          </w:p>
        </w:tc>
      </w:tr>
      <w:tr w14:paraId="6C43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Merge w:val="restart"/>
            <w:vAlign w:val="center"/>
          </w:tcPr>
          <w:p w14:paraId="3F53EF2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技术</w:t>
            </w:r>
          </w:p>
          <w:p w14:paraId="282401F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评分</w:t>
            </w:r>
          </w:p>
          <w:p w14:paraId="10CF1F2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65</w:t>
            </w:r>
            <w:r>
              <w:rPr>
                <w:rFonts w:hint="eastAsia" w:asciiTheme="majorEastAsia" w:hAnsiTheme="majorEastAsia" w:eastAsiaTheme="majorEastAsia" w:cstheme="majorEastAsia"/>
                <w:color w:val="auto"/>
                <w:kern w:val="0"/>
                <w:sz w:val="21"/>
                <w:szCs w:val="21"/>
                <w:highlight w:val="none"/>
              </w:rPr>
              <w:t>分）</w:t>
            </w:r>
          </w:p>
        </w:tc>
        <w:tc>
          <w:tcPr>
            <w:tcW w:w="1737" w:type="dxa"/>
            <w:vAlign w:val="center"/>
          </w:tcPr>
          <w:p w14:paraId="79DE718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医院需求响应情况</w:t>
            </w:r>
          </w:p>
        </w:tc>
        <w:tc>
          <w:tcPr>
            <w:tcW w:w="690" w:type="dxa"/>
            <w:vAlign w:val="center"/>
          </w:tcPr>
          <w:p w14:paraId="182230F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30分</w:t>
            </w:r>
          </w:p>
        </w:tc>
        <w:tc>
          <w:tcPr>
            <w:tcW w:w="5174" w:type="dxa"/>
            <w:vAlign w:val="top"/>
          </w:tcPr>
          <w:p w14:paraId="3C9F301E">
            <w:pPr>
              <w:pStyle w:val="139"/>
              <w:keepNext w:val="0"/>
              <w:keepLines w:val="0"/>
              <w:numPr>
                <w:ilvl w:val="0"/>
                <w:numId w:val="5"/>
              </w:numPr>
              <w:suppressLineNumbers w:val="0"/>
              <w:spacing w:before="0" w:beforeAutospacing="0" w:after="0" w:afterAutospacing="0" w:line="240" w:lineRule="auto"/>
              <w:ind w:left="7" w:right="-1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对</w:t>
            </w:r>
            <w:r>
              <w:rPr>
                <w:rFonts w:hint="eastAsia" w:ascii="宋体" w:hAnsi="宋体" w:eastAsia="宋体" w:cs="宋体"/>
                <w:color w:val="auto"/>
                <w:kern w:val="2"/>
                <w:sz w:val="21"/>
                <w:szCs w:val="21"/>
                <w:highlight w:val="none"/>
                <w:lang w:eastAsia="zh-CN"/>
              </w:rPr>
              <w:t>招标</w:t>
            </w:r>
            <w:r>
              <w:rPr>
                <w:rFonts w:hint="eastAsia" w:ascii="宋体" w:hAnsi="宋体" w:eastAsia="宋体" w:cs="宋体"/>
                <w:color w:val="auto"/>
                <w:kern w:val="2"/>
                <w:sz w:val="21"/>
                <w:szCs w:val="21"/>
                <w:highlight w:val="none"/>
              </w:rPr>
              <w:t>文件</w:t>
            </w:r>
            <w:r>
              <w:rPr>
                <w:rFonts w:hint="eastAsia" w:ascii="宋体" w:hAnsi="宋体" w:eastAsia="宋体" w:cs="宋体"/>
                <w:color w:val="auto"/>
                <w:kern w:val="2"/>
                <w:sz w:val="21"/>
                <w:szCs w:val="21"/>
                <w:highlight w:val="none"/>
                <w:lang w:val="en-US" w:eastAsia="zh-CN"/>
              </w:rPr>
              <w:t>用户需求书中</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、技术要求”中▲号（共5条）响应进行评审，每满足一个▲号，得4分，满分20分。</w:t>
            </w:r>
          </w:p>
          <w:p w14:paraId="0FF8072F">
            <w:pPr>
              <w:pStyle w:val="139"/>
              <w:keepNext w:val="0"/>
              <w:keepLines w:val="0"/>
              <w:numPr>
                <w:ilvl w:val="0"/>
                <w:numId w:val="5"/>
              </w:numPr>
              <w:suppressLineNumbers w:val="0"/>
              <w:spacing w:before="0" w:beforeAutospacing="0" w:after="0" w:afterAutospacing="0" w:line="240" w:lineRule="auto"/>
              <w:ind w:left="7" w:right="-1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对</w:t>
            </w:r>
            <w:r>
              <w:rPr>
                <w:rFonts w:hint="eastAsia" w:ascii="宋体" w:hAnsi="宋体" w:eastAsia="宋体" w:cs="宋体"/>
                <w:color w:val="auto"/>
                <w:kern w:val="2"/>
                <w:sz w:val="21"/>
                <w:szCs w:val="21"/>
                <w:highlight w:val="none"/>
                <w:lang w:eastAsia="zh-CN"/>
              </w:rPr>
              <w:t>招标</w:t>
            </w:r>
            <w:r>
              <w:rPr>
                <w:rFonts w:hint="eastAsia" w:ascii="宋体" w:hAnsi="宋体" w:eastAsia="宋体" w:cs="宋体"/>
                <w:color w:val="auto"/>
                <w:kern w:val="2"/>
                <w:sz w:val="21"/>
                <w:szCs w:val="21"/>
                <w:highlight w:val="none"/>
              </w:rPr>
              <w:t>文件</w:t>
            </w:r>
            <w:r>
              <w:rPr>
                <w:rFonts w:hint="eastAsia" w:ascii="宋体" w:hAnsi="宋体" w:eastAsia="宋体" w:cs="宋体"/>
                <w:color w:val="auto"/>
                <w:kern w:val="2"/>
                <w:sz w:val="21"/>
                <w:szCs w:val="21"/>
                <w:highlight w:val="none"/>
                <w:lang w:val="en-US" w:eastAsia="zh-CN"/>
              </w:rPr>
              <w:t>用户需求书中</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、技术要求”中不带▲号参数的响应程度进行评审：完全满足得10分，每出现一项负偏离，扣2分。</w:t>
            </w:r>
          </w:p>
          <w:p w14:paraId="1240EDF2">
            <w:pPr>
              <w:pStyle w:val="139"/>
              <w:keepNext w:val="0"/>
              <w:keepLines w:val="0"/>
              <w:suppressLineNumbers w:val="0"/>
              <w:spacing w:before="0" w:beforeAutospacing="0" w:after="0" w:afterAutospacing="0" w:line="240" w:lineRule="auto"/>
              <w:ind w:left="0" w:right="-15" w:rightChars="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rPr>
              <w:t>注：1）如用户需求书中有明确要求提供证明资料的，则以用户需求书中要求的证明资料为准。2）如</w:t>
            </w:r>
            <w:r>
              <w:rPr>
                <w:rFonts w:hint="eastAsia" w:ascii="宋体" w:hAnsi="宋体" w:eastAsia="宋体" w:cs="宋体"/>
                <w:b/>
                <w:bCs/>
                <w:color w:val="auto"/>
                <w:kern w:val="2"/>
                <w:sz w:val="21"/>
                <w:szCs w:val="21"/>
                <w:highlight w:val="none"/>
                <w:lang w:val="en-US" w:eastAsia="zh-CN"/>
              </w:rPr>
              <w:t>用户需求书中</w:t>
            </w:r>
            <w:r>
              <w:rPr>
                <w:rFonts w:hint="eastAsia" w:ascii="宋体" w:hAnsi="宋体" w:eastAsia="宋体" w:cs="宋体"/>
                <w:b/>
                <w:bCs/>
                <w:color w:val="auto"/>
                <w:kern w:val="2"/>
                <w:sz w:val="21"/>
                <w:szCs w:val="21"/>
                <w:highlight w:val="none"/>
              </w:rPr>
              <w:t>未明确证明材料的：以</w:t>
            </w:r>
            <w:r>
              <w:rPr>
                <w:rFonts w:hint="eastAsia" w:ascii="宋体" w:hAnsi="宋体" w:eastAsia="宋体" w:cs="宋体"/>
                <w:b/>
                <w:bCs/>
                <w:color w:val="auto"/>
                <w:kern w:val="2"/>
                <w:sz w:val="21"/>
                <w:szCs w:val="21"/>
                <w:highlight w:val="none"/>
                <w:lang w:eastAsia="zh-CN"/>
              </w:rPr>
              <w:t>投标人招标</w:t>
            </w:r>
            <w:r>
              <w:rPr>
                <w:rFonts w:hint="eastAsia" w:ascii="宋体" w:hAnsi="宋体" w:eastAsia="宋体" w:cs="宋体"/>
                <w:b/>
                <w:bCs/>
                <w:color w:val="auto"/>
                <w:kern w:val="2"/>
                <w:sz w:val="21"/>
                <w:szCs w:val="21"/>
                <w:highlight w:val="none"/>
              </w:rPr>
              <w:t>文件中的《服务条款响应表》中偏离程度为准，未填写或负偏离或未按要求提供证明材料的视为不满足。</w:t>
            </w:r>
          </w:p>
        </w:tc>
      </w:tr>
      <w:tr w14:paraId="39A2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Merge w:val="continue"/>
            <w:vAlign w:val="center"/>
          </w:tcPr>
          <w:p w14:paraId="79072D0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p>
        </w:tc>
        <w:tc>
          <w:tcPr>
            <w:tcW w:w="1737" w:type="dxa"/>
            <w:vAlign w:val="center"/>
          </w:tcPr>
          <w:p w14:paraId="146E6CB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sz w:val="21"/>
                <w:szCs w:val="21"/>
                <w:highlight w:val="none"/>
              </w:rPr>
              <w:t>建设运营方案</w:t>
            </w:r>
          </w:p>
        </w:tc>
        <w:tc>
          <w:tcPr>
            <w:tcW w:w="690" w:type="dxa"/>
            <w:vAlign w:val="center"/>
          </w:tcPr>
          <w:p w14:paraId="568E5B5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10分</w:t>
            </w:r>
          </w:p>
        </w:tc>
        <w:tc>
          <w:tcPr>
            <w:tcW w:w="5174" w:type="dxa"/>
            <w:vAlign w:val="top"/>
          </w:tcPr>
          <w:p w14:paraId="102A7841">
            <w:pPr>
              <w:pStyle w:val="139"/>
              <w:keepNext w:val="0"/>
              <w:keepLines w:val="0"/>
              <w:suppressLineNumbers w:val="0"/>
              <w:spacing w:before="0" w:beforeAutospacing="0" w:after="0" w:afterAutospacing="0" w:line="240" w:lineRule="auto"/>
              <w:ind w:left="7" w:right="-44"/>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提供的项目建设运营实施方案</w:t>
            </w:r>
            <w:r>
              <w:rPr>
                <w:rFonts w:hint="eastAsia" w:ascii="宋体" w:hAnsi="宋体" w:eastAsia="宋体" w:cs="宋体"/>
                <w:color w:val="auto"/>
                <w:sz w:val="21"/>
                <w:szCs w:val="21"/>
                <w:highlight w:val="none"/>
              </w:rPr>
              <w:t>（包括但不限于：1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提升检验科所需检测项目的检测能力；2</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完成检验科现有平台的整合升级及完善；3</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检验科智能化信息平台建设；4</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提升科研教学能力；5</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人</w:t>
            </w:r>
            <w:r>
              <w:rPr>
                <w:rFonts w:hint="eastAsia" w:ascii="宋体" w:hAnsi="宋体" w:eastAsia="宋体" w:cs="宋体"/>
                <w:color w:val="auto"/>
                <w:kern w:val="2"/>
                <w:sz w:val="21"/>
                <w:szCs w:val="21"/>
                <w:highlight w:val="none"/>
              </w:rPr>
              <w:t>员支持方案</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10"/>
                <w:sz w:val="21"/>
                <w:szCs w:val="21"/>
                <w:highlight w:val="none"/>
              </w:rPr>
              <w:t>、</w:t>
            </w:r>
            <w:r>
              <w:rPr>
                <w:rFonts w:hint="eastAsia" w:ascii="宋体" w:hAnsi="宋体" w:eastAsia="宋体" w:cs="宋体"/>
                <w:color w:val="auto"/>
                <w:kern w:val="2"/>
                <w:sz w:val="21"/>
                <w:szCs w:val="21"/>
                <w:highlight w:val="none"/>
              </w:rPr>
              <w:t>人才培养方案等）进行综合</w:t>
            </w:r>
            <w:r>
              <w:rPr>
                <w:rFonts w:hint="eastAsia" w:ascii="宋体" w:hAnsi="宋体" w:eastAsia="宋体" w:cs="宋体"/>
                <w:color w:val="auto"/>
                <w:sz w:val="21"/>
                <w:szCs w:val="21"/>
                <w:highlight w:val="none"/>
              </w:rPr>
              <w:t>评审：以上方案响应1条得1分，总分6分。</w:t>
            </w:r>
          </w:p>
          <w:p w14:paraId="6CBA88FD">
            <w:pPr>
              <w:pStyle w:val="139"/>
              <w:keepNext w:val="0"/>
              <w:keepLines w:val="0"/>
              <w:suppressLineNumbers w:val="0"/>
              <w:spacing w:before="0" w:beforeAutospacing="0" w:after="0" w:afterAutospacing="0" w:line="240" w:lineRule="auto"/>
              <w:ind w:left="0" w:right="-44"/>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（1）方案内容详细、完整，实施方法可行，完全满足</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要求，加4分；</w:t>
            </w:r>
          </w:p>
          <w:p w14:paraId="1B0C0B49">
            <w:pPr>
              <w:pStyle w:val="139"/>
              <w:keepNext w:val="0"/>
              <w:keepLines w:val="0"/>
              <w:suppressLineNumbers w:val="0"/>
              <w:spacing w:before="0" w:beforeAutospacing="0" w:after="0" w:afterAutospacing="0" w:line="240" w:lineRule="auto"/>
              <w:ind w:left="0" w:right="-4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（2）方案内容基本完整，实施方法较为可行，部分满足要求，加2分。</w:t>
            </w:r>
          </w:p>
          <w:p w14:paraId="14ECAA87">
            <w:pPr>
              <w:pStyle w:val="139"/>
              <w:keepNext w:val="0"/>
              <w:keepLines w:val="0"/>
              <w:suppressLineNumbers w:val="0"/>
              <w:spacing w:before="0" w:beforeAutospacing="0" w:after="0" w:afterAutospacing="0" w:line="240" w:lineRule="auto"/>
              <w:ind w:left="0" w:right="-44" w:rightChars="0"/>
              <w:rPr>
                <w:rFonts w:hint="eastAsia" w:ascii="宋体" w:hAnsi="宋体" w:eastAsia="宋体" w:cs="宋体"/>
                <w:color w:val="auto"/>
                <w:sz w:val="21"/>
                <w:szCs w:val="21"/>
                <w:highlight w:val="none"/>
                <w:lang w:val="en-US" w:eastAsia="zh-Hans"/>
              </w:rPr>
            </w:pPr>
            <w:r>
              <w:rPr>
                <w:rFonts w:hint="eastAsia" w:ascii="宋体" w:hAnsi="宋体" w:eastAsia="宋体" w:cs="宋体"/>
                <w:b/>
                <w:bCs/>
                <w:color w:val="auto"/>
                <w:sz w:val="21"/>
                <w:szCs w:val="21"/>
                <w:highlight w:val="none"/>
              </w:rPr>
              <w:t>注：不提供建设运营方案的不得分。</w:t>
            </w:r>
          </w:p>
        </w:tc>
      </w:tr>
      <w:tr w14:paraId="314C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Merge w:val="continue"/>
            <w:vAlign w:val="center"/>
          </w:tcPr>
          <w:p w14:paraId="4BBADC7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p>
        </w:tc>
        <w:tc>
          <w:tcPr>
            <w:tcW w:w="1737" w:type="dxa"/>
            <w:vAlign w:val="center"/>
          </w:tcPr>
          <w:p w14:paraId="3E4807B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质量控制方案</w:t>
            </w:r>
          </w:p>
        </w:tc>
        <w:tc>
          <w:tcPr>
            <w:tcW w:w="690" w:type="dxa"/>
            <w:vAlign w:val="center"/>
          </w:tcPr>
          <w:p w14:paraId="2A8F2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8分</w:t>
            </w:r>
          </w:p>
        </w:tc>
        <w:tc>
          <w:tcPr>
            <w:tcW w:w="5174" w:type="dxa"/>
            <w:vAlign w:val="top"/>
          </w:tcPr>
          <w:p w14:paraId="58D985A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提供的质量控制方案(包括但不限于: 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检验前的质量控制；2</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检验中的质量控制；3</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检验后的质量控制等内容)进行综合评审：以上方案响应1条得2分，总分6分。</w:t>
            </w:r>
          </w:p>
          <w:p w14:paraId="20D3726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（1）内容详细具体，各环节质量控制非常严格，过程质量控制科学合理，能很好的保障项目服务质量的，加2分；</w:t>
            </w:r>
          </w:p>
          <w:p w14:paraId="3D19BA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（2）内容基本完整，各环节质量控制严格，过程质量控制合理，能保障项目服务质量的，加1分。</w:t>
            </w:r>
          </w:p>
          <w:p w14:paraId="3D9D89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注：不提供质量控制方案的不得分。</w:t>
            </w:r>
          </w:p>
        </w:tc>
      </w:tr>
      <w:tr w14:paraId="42F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055" w:type="dxa"/>
            <w:vMerge w:val="continue"/>
            <w:vAlign w:val="center"/>
          </w:tcPr>
          <w:p w14:paraId="241FD20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p>
        </w:tc>
        <w:tc>
          <w:tcPr>
            <w:tcW w:w="1737" w:type="dxa"/>
            <w:vAlign w:val="center"/>
          </w:tcPr>
          <w:p w14:paraId="48536C1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应急措施</w:t>
            </w:r>
          </w:p>
        </w:tc>
        <w:tc>
          <w:tcPr>
            <w:tcW w:w="690" w:type="dxa"/>
            <w:vAlign w:val="center"/>
          </w:tcPr>
          <w:p w14:paraId="7B43A9B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7分</w:t>
            </w:r>
          </w:p>
        </w:tc>
        <w:tc>
          <w:tcPr>
            <w:tcW w:w="5174" w:type="dxa"/>
            <w:vAlign w:val="top"/>
          </w:tcPr>
          <w:p w14:paraId="560A2D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提供的应急措施（包括但不限于：1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问题需求处理和服务响应机制；2</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突发事件的处理措施和应急预案；3</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对公共卫生事件的应急服务预案；4</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物流运输应急预案）进行综合评审：以上方案响应1条得1分，总分4分。</w:t>
            </w:r>
          </w:p>
          <w:p w14:paraId="635A8E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（1）内容详细具体，处理流程科学合理，各种应急情况考虑周全的，加3分；</w:t>
            </w:r>
          </w:p>
          <w:p w14:paraId="5B52659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（2）内容比较完整，处理流程比较合理，各种应急情况考虑比较全面的，加2分；</w:t>
            </w:r>
          </w:p>
          <w:p w14:paraId="03BF86AB">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（3）内容基本完整，处理流程合理，各种应急情况考虑一般的，加1分。</w:t>
            </w:r>
          </w:p>
          <w:p w14:paraId="46331A29">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注：不提供应急措施的不得分。</w:t>
            </w:r>
          </w:p>
        </w:tc>
      </w:tr>
      <w:tr w14:paraId="3C3F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055" w:type="dxa"/>
            <w:vMerge w:val="continue"/>
            <w:vAlign w:val="center"/>
          </w:tcPr>
          <w:p w14:paraId="5315165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p>
        </w:tc>
        <w:tc>
          <w:tcPr>
            <w:tcW w:w="1737" w:type="dxa"/>
            <w:vAlign w:val="center"/>
          </w:tcPr>
          <w:p w14:paraId="07FD5F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专业技术能力</w:t>
            </w:r>
          </w:p>
        </w:tc>
        <w:tc>
          <w:tcPr>
            <w:tcW w:w="690" w:type="dxa"/>
            <w:vAlign w:val="center"/>
          </w:tcPr>
          <w:p w14:paraId="0C7B2C4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10分</w:t>
            </w:r>
          </w:p>
        </w:tc>
        <w:tc>
          <w:tcPr>
            <w:tcW w:w="5174" w:type="dxa"/>
            <w:vAlign w:val="top"/>
          </w:tcPr>
          <w:p w14:paraId="0AD8C4C7">
            <w:pPr>
              <w:keepNext w:val="0"/>
              <w:keepLines w:val="0"/>
              <w:numPr>
                <w:ilvl w:val="0"/>
                <w:numId w:val="6"/>
              </w:numPr>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提供合理完善的售后服务方案的得3分。</w:t>
            </w:r>
          </w:p>
          <w:p w14:paraId="0CF4E693">
            <w:pPr>
              <w:keepNext w:val="0"/>
              <w:keepLines w:val="0"/>
              <w:numPr>
                <w:ilvl w:val="0"/>
                <w:numId w:val="6"/>
              </w:numPr>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提供临床检验实验室智慧管理系统实现对人员、试剂、耗材、设备、环境的精细化智能化管理的得3分。</w:t>
            </w:r>
          </w:p>
          <w:p w14:paraId="71E73041">
            <w:pPr>
              <w:keepNext w:val="0"/>
              <w:keepLines w:val="0"/>
              <w:numPr>
                <w:ilvl w:val="0"/>
                <w:numId w:val="6"/>
              </w:numPr>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提供检验质量控制管理软件（帮助实验室实现室内室间质量控制标准化、数据管理无纸化和任务分配自动化等）的得4分。</w:t>
            </w:r>
          </w:p>
          <w:p w14:paraId="72562A1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注：提供以上</w:t>
            </w:r>
            <w:r>
              <w:rPr>
                <w:rFonts w:hint="eastAsia" w:ascii="宋体" w:hAnsi="宋体" w:eastAsia="宋体" w:cs="宋体"/>
                <w:b/>
                <w:bCs/>
                <w:color w:val="auto"/>
                <w:sz w:val="21"/>
                <w:szCs w:val="21"/>
                <w:highlight w:val="none"/>
                <w:lang w:val="en-US" w:eastAsia="zh-CN"/>
              </w:rPr>
              <w:t>系统的软件著作权证书复印件（如为购买或租赁的系统，同时提供购买或租赁合同）及相关功能的系统截图并加盖公章</w:t>
            </w:r>
            <w:r>
              <w:rPr>
                <w:rFonts w:hint="eastAsia" w:ascii="宋体" w:hAnsi="宋体" w:eastAsia="宋体" w:cs="宋体"/>
                <w:b/>
                <w:bCs/>
                <w:color w:val="auto"/>
                <w:sz w:val="21"/>
                <w:szCs w:val="21"/>
                <w:highlight w:val="none"/>
              </w:rPr>
              <w:t>。</w:t>
            </w:r>
          </w:p>
        </w:tc>
      </w:tr>
    </w:tbl>
    <w:p w14:paraId="112B5117">
      <w:pPr>
        <w:pStyle w:val="7"/>
        <w:ind w:firstLine="0"/>
        <w:rPr>
          <w:rFonts w:hint="eastAsia" w:asciiTheme="majorEastAsia" w:hAnsiTheme="majorEastAsia" w:eastAsiaTheme="majorEastAsia" w:cstheme="majorEastAsia"/>
          <w:color w:val="auto"/>
          <w:sz w:val="21"/>
          <w:szCs w:val="21"/>
          <w:highlight w:val="none"/>
        </w:rPr>
      </w:pPr>
    </w:p>
    <w:p w14:paraId="7CD85741">
      <w:pPr>
        <w:pStyle w:val="7"/>
        <w:ind w:firstLine="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2.商务评价： </w:t>
      </w:r>
    </w:p>
    <w:tbl>
      <w:tblPr>
        <w:tblStyle w:val="39"/>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737"/>
        <w:gridCol w:w="687"/>
        <w:gridCol w:w="5175"/>
      </w:tblGrid>
      <w:tr w14:paraId="2B7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55" w:type="dxa"/>
            <w:vAlign w:val="center"/>
          </w:tcPr>
          <w:p w14:paraId="3B0A67D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评审</w:t>
            </w:r>
          </w:p>
          <w:p w14:paraId="634538D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项目</w:t>
            </w:r>
          </w:p>
        </w:tc>
        <w:tc>
          <w:tcPr>
            <w:tcW w:w="1737" w:type="dxa"/>
            <w:vAlign w:val="center"/>
          </w:tcPr>
          <w:p w14:paraId="15B87B6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评审内容</w:t>
            </w:r>
          </w:p>
        </w:tc>
        <w:tc>
          <w:tcPr>
            <w:tcW w:w="687" w:type="dxa"/>
            <w:vAlign w:val="center"/>
          </w:tcPr>
          <w:p w14:paraId="3BC88DB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权重</w:t>
            </w:r>
          </w:p>
        </w:tc>
        <w:tc>
          <w:tcPr>
            <w:tcW w:w="5175" w:type="dxa"/>
            <w:vAlign w:val="center"/>
          </w:tcPr>
          <w:p w14:paraId="7D4DCD0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评审细则</w:t>
            </w:r>
          </w:p>
        </w:tc>
      </w:tr>
      <w:tr w14:paraId="410E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5" w:type="dxa"/>
            <w:vMerge w:val="restart"/>
            <w:vAlign w:val="center"/>
          </w:tcPr>
          <w:p w14:paraId="5B6D90E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商务</w:t>
            </w:r>
          </w:p>
          <w:p w14:paraId="4789D34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评分</w:t>
            </w:r>
          </w:p>
          <w:p w14:paraId="73639CA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15</w:t>
            </w:r>
            <w:r>
              <w:rPr>
                <w:rFonts w:hint="eastAsia" w:asciiTheme="majorEastAsia" w:hAnsiTheme="majorEastAsia" w:eastAsiaTheme="majorEastAsia" w:cstheme="majorEastAsia"/>
                <w:color w:val="auto"/>
                <w:kern w:val="0"/>
                <w:sz w:val="21"/>
                <w:szCs w:val="21"/>
                <w:highlight w:val="none"/>
              </w:rPr>
              <w:t>分）</w:t>
            </w:r>
          </w:p>
        </w:tc>
        <w:tc>
          <w:tcPr>
            <w:tcW w:w="1737" w:type="dxa"/>
            <w:vAlign w:val="center"/>
          </w:tcPr>
          <w:p w14:paraId="6B2C31E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同类业绩</w:t>
            </w:r>
          </w:p>
        </w:tc>
        <w:tc>
          <w:tcPr>
            <w:tcW w:w="687" w:type="dxa"/>
            <w:vAlign w:val="center"/>
          </w:tcPr>
          <w:p w14:paraId="44DA348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10分</w:t>
            </w:r>
          </w:p>
        </w:tc>
        <w:tc>
          <w:tcPr>
            <w:tcW w:w="5175" w:type="dxa"/>
            <w:vAlign w:val="top"/>
          </w:tcPr>
          <w:p w14:paraId="617AEC7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lang w:val="en-US" w:eastAsia="zh-CN"/>
              </w:rPr>
              <w:t>2023年至今</w:t>
            </w:r>
            <w:r>
              <w:rPr>
                <w:rFonts w:hint="eastAsia" w:ascii="宋体" w:hAnsi="宋体" w:eastAsia="宋体" w:cs="宋体"/>
                <w:color w:val="auto"/>
                <w:sz w:val="21"/>
                <w:szCs w:val="21"/>
                <w:highlight w:val="none"/>
              </w:rPr>
              <w:t>签订的同类项目业绩进行评分：</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须提供相关业绩合同，内容涉及医学检验中心建设及运营方案，提供1份合同得2分，本项得分最高10分。</w:t>
            </w:r>
          </w:p>
          <w:p w14:paraId="6AC5A14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注：每项业绩须提供合同关键页，一年一签的长期服务续签合同只计算一个业绩；同一</w:t>
            </w:r>
            <w:r>
              <w:rPr>
                <w:rFonts w:hint="eastAsia" w:ascii="宋体" w:hAnsi="宋体" w:cs="宋体"/>
                <w:color w:val="auto"/>
                <w:sz w:val="21"/>
                <w:szCs w:val="21"/>
                <w:highlight w:val="none"/>
                <w:lang w:eastAsia="zh-CN"/>
              </w:rPr>
              <w:t>客户</w:t>
            </w:r>
            <w:r>
              <w:rPr>
                <w:rFonts w:hint="eastAsia" w:ascii="宋体" w:hAnsi="宋体" w:eastAsia="宋体" w:cs="宋体"/>
                <w:color w:val="auto"/>
                <w:sz w:val="21"/>
                <w:szCs w:val="21"/>
                <w:highlight w:val="none"/>
              </w:rPr>
              <w:t>同一类型的多次合作，算作一个业绩。上述资料均要求提供扫描件，不清晰或未提供不得分。</w:t>
            </w:r>
          </w:p>
        </w:tc>
      </w:tr>
      <w:tr w14:paraId="441C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5" w:type="dxa"/>
            <w:vMerge w:val="continue"/>
            <w:vAlign w:val="center"/>
          </w:tcPr>
          <w:p w14:paraId="6C1490C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highlight w:val="none"/>
              </w:rPr>
            </w:pPr>
          </w:p>
        </w:tc>
        <w:tc>
          <w:tcPr>
            <w:tcW w:w="1737" w:type="dxa"/>
            <w:vAlign w:val="center"/>
          </w:tcPr>
          <w:p w14:paraId="6E3CEFC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企业信用评价</w:t>
            </w:r>
          </w:p>
        </w:tc>
        <w:tc>
          <w:tcPr>
            <w:tcW w:w="687" w:type="dxa"/>
            <w:vAlign w:val="center"/>
          </w:tcPr>
          <w:p w14:paraId="48A9BB97">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5分</w:t>
            </w:r>
          </w:p>
        </w:tc>
        <w:tc>
          <w:tcPr>
            <w:tcW w:w="5175" w:type="dxa"/>
            <w:vAlign w:val="top"/>
          </w:tcPr>
          <w:p w14:paraId="617DDE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根据《关于加强珠海市政府采购供应商诚信管理有关事项的通知》(珠财采通(2022) 20 号)要求，对供应商的诚信状况（普通失信行为）进行评分，具体计算公式如下：诚信记录评审得分=供应商上一年度诚信记录得分×5%。</w:t>
            </w:r>
          </w:p>
          <w:p w14:paraId="2A8F32F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于遴选截止时间后，在评审活动开始前，通过广东政府采购网“其他监管检查公告”栏和珠海市财政局网站“信用财政”栏查询遴选供应商的诚信状况（即供应商上一年度的诚信记录得分），提供给评审委员会，由评审委员会根据上述公式进行评审打分。（2）首次参加珠海市政府采购活动的供应商诚信管理基础得分为100分，在广东政府采购网“其他监管检查公告”栏和珠海市财政局网站“信用财政”栏查询不到相关供应商。无扣分记录的，视为该供应商上一年度诚信记录得分为100分。</w:t>
            </w:r>
          </w:p>
        </w:tc>
      </w:tr>
    </w:tbl>
    <w:p w14:paraId="118EC816">
      <w:pPr>
        <w:pStyle w:val="34"/>
        <w:widowControl w:val="0"/>
        <w:spacing w:before="0" w:beforeAutospacing="0" w:after="0" w:afterAutospacing="0"/>
        <w:ind w:firstLine="480"/>
        <w:jc w:val="both"/>
        <w:rPr>
          <w:rFonts w:hint="eastAsia" w:asciiTheme="majorEastAsia" w:hAnsiTheme="majorEastAsia" w:eastAsiaTheme="majorEastAsia" w:cstheme="majorEastAsia"/>
          <w:color w:val="auto"/>
          <w:sz w:val="21"/>
          <w:szCs w:val="21"/>
          <w:highlight w:val="none"/>
        </w:rPr>
      </w:pPr>
      <w:bookmarkStart w:id="19" w:name="_Toc251742852"/>
      <w:r>
        <w:rPr>
          <w:rFonts w:hint="eastAsia" w:asciiTheme="majorEastAsia" w:hAnsiTheme="majorEastAsia" w:eastAsiaTheme="majorEastAsia" w:cstheme="majorEastAsia"/>
          <w:color w:val="auto"/>
          <w:kern w:val="2"/>
          <w:sz w:val="21"/>
          <w:szCs w:val="21"/>
          <w:highlight w:val="none"/>
          <w:lang w:val="en-US" w:eastAsia="zh-CN" w:bidi="ar"/>
        </w:rPr>
        <w:t>3</w:t>
      </w:r>
      <w:r>
        <w:rPr>
          <w:rFonts w:hint="eastAsia" w:asciiTheme="majorEastAsia" w:hAnsiTheme="majorEastAsia" w:eastAsiaTheme="majorEastAsia" w:cstheme="majorEastAsia"/>
          <w:color w:val="auto"/>
          <w:kern w:val="2"/>
          <w:sz w:val="21"/>
          <w:szCs w:val="21"/>
          <w:highlight w:val="none"/>
          <w:lang w:bidi="ar"/>
        </w:rPr>
        <w:t>.综合比较与评价：</w:t>
      </w:r>
    </w:p>
    <w:p w14:paraId="5245947A">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（1）对小型或微型企业的扶持：</w:t>
      </w:r>
    </w:p>
    <w:p w14:paraId="2042AE9A">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A.投标供应商符合《政府采购促进中小企业发展管理办法》（财库〔2020〕46号）规定和《中小企业划型标准规定》（工信部联企业[2011]300号）的小微企业，报价给予C1的价格扣除</w:t>
      </w:r>
      <w:r>
        <w:rPr>
          <w:rFonts w:hint="eastAsia" w:asciiTheme="majorEastAsia" w:hAnsiTheme="majorEastAsia" w:eastAsiaTheme="majorEastAsia" w:cstheme="majorEastAsia"/>
          <w:color w:val="auto"/>
          <w:kern w:val="2"/>
          <w:sz w:val="21"/>
          <w:szCs w:val="21"/>
          <w:highlight w:val="none"/>
          <w:lang w:bidi="ar"/>
        </w:rPr>
        <w:t>（C1的取值为10%）</w:t>
      </w:r>
      <w:r>
        <w:rPr>
          <w:rFonts w:hint="eastAsia" w:asciiTheme="majorEastAsia" w:hAnsiTheme="majorEastAsia" w:eastAsiaTheme="majorEastAsia" w:cstheme="majorEastAsia"/>
          <w:color w:val="auto"/>
          <w:kern w:val="2"/>
          <w:sz w:val="21"/>
          <w:szCs w:val="21"/>
          <w:highlight w:val="none"/>
          <w:lang w:bidi="ar"/>
        </w:rPr>
        <w:t>，即：评标价＝核实价（经符合性审查进行必要的更正后的投标价）－小微企业产品核实价×C1；</w:t>
      </w:r>
    </w:p>
    <w:p w14:paraId="11948F75">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B.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投标价）×(1－C2)（本项目不适用该条款）；</w:t>
      </w:r>
    </w:p>
    <w:p w14:paraId="5B5DD176">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C.组成联合体的小微企业与联合体内其他企业之间存在直接控股、管理关系的，不享受价格扣除优惠。（本项目不适用该条款）；</w:t>
      </w:r>
    </w:p>
    <w:p w14:paraId="5381BCF9">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D.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25A887BE">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E.本条款中上述修正原则不同时使用。</w:t>
      </w:r>
    </w:p>
    <w:p w14:paraId="151E7D6D">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kern w:val="2"/>
          <w:sz w:val="21"/>
          <w:szCs w:val="21"/>
          <w:highlight w:val="none"/>
          <w:lang w:bidi="ar"/>
        </w:rPr>
      </w:pPr>
      <w:r>
        <w:rPr>
          <w:rFonts w:hint="eastAsia" w:asciiTheme="majorEastAsia" w:hAnsiTheme="majorEastAsia" w:eastAsiaTheme="majorEastAsia" w:cstheme="majorEastAsia"/>
          <w:color w:val="auto"/>
          <w:kern w:val="2"/>
          <w:sz w:val="21"/>
          <w:szCs w:val="21"/>
          <w:highlight w:val="none"/>
          <w:lang w:bidi="ar"/>
        </w:rPr>
        <w:t>F.提供的《中小企业声明函》、《残疾人福利性单位声明函》（格式后附，格式不可修改），未提供、未盖章的不予价格扣除。</w:t>
      </w:r>
    </w:p>
    <w:p w14:paraId="0BE01AAA">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w:t>
      </w:r>
      <w:r>
        <w:rPr>
          <w:rFonts w:hint="eastAsia" w:asciiTheme="majorEastAsia" w:hAnsiTheme="majorEastAsia" w:eastAsiaTheme="majorEastAsia" w:cstheme="majorEastAsia"/>
          <w:color w:val="auto"/>
          <w:kern w:val="2"/>
          <w:sz w:val="21"/>
          <w:szCs w:val="21"/>
          <w:highlight w:val="none"/>
          <w:lang w:val="en-US" w:eastAsia="zh-CN" w:bidi="ar"/>
        </w:rPr>
        <w:t>2</w:t>
      </w:r>
      <w:r>
        <w:rPr>
          <w:rFonts w:hint="eastAsia" w:asciiTheme="majorEastAsia" w:hAnsiTheme="majorEastAsia" w:eastAsiaTheme="majorEastAsia" w:cstheme="majorEastAsia"/>
          <w:color w:val="auto"/>
          <w:kern w:val="2"/>
          <w:sz w:val="21"/>
          <w:szCs w:val="21"/>
          <w:highlight w:val="none"/>
          <w:lang w:bidi="ar"/>
        </w:rPr>
        <w:t>）投标人不得以低于成本的报价竞标。</w:t>
      </w:r>
    </w:p>
    <w:p w14:paraId="6C912493">
      <w:pPr>
        <w:pStyle w:val="34"/>
        <w:widowControl w:val="0"/>
        <w:spacing w:before="0" w:beforeAutospacing="0" w:after="0" w:afterAutospacing="0"/>
        <w:ind w:firstLine="420" w:firstLineChars="200"/>
        <w:jc w:val="both"/>
        <w:rPr>
          <w:rFonts w:hint="default"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2"/>
          <w:sz w:val="21"/>
          <w:szCs w:val="21"/>
          <w:highlight w:val="none"/>
          <w:lang w:bidi="ar"/>
        </w:rPr>
        <w:t>（</w:t>
      </w:r>
      <w:r>
        <w:rPr>
          <w:rFonts w:hint="eastAsia" w:asciiTheme="majorEastAsia" w:hAnsiTheme="majorEastAsia" w:eastAsiaTheme="majorEastAsia" w:cstheme="majorEastAsia"/>
          <w:color w:val="auto"/>
          <w:kern w:val="2"/>
          <w:sz w:val="21"/>
          <w:szCs w:val="21"/>
          <w:highlight w:val="none"/>
          <w:lang w:val="en-US" w:eastAsia="zh-CN" w:bidi="ar"/>
        </w:rPr>
        <w:t>3</w:t>
      </w:r>
      <w:r>
        <w:rPr>
          <w:rFonts w:hint="eastAsia" w:asciiTheme="majorEastAsia" w:hAnsiTheme="majorEastAsia" w:eastAsiaTheme="majorEastAsia" w:cstheme="majorEastAsia"/>
          <w:color w:val="auto"/>
          <w:kern w:val="2"/>
          <w:sz w:val="21"/>
          <w:szCs w:val="21"/>
          <w:highlight w:val="none"/>
          <w:lang w:bidi="ar"/>
        </w:rPr>
        <w:t>）计算价格评分：各有效投标供应商的评标价中，取最低者作为基准价，各有效投标供应商的价格评分统一按照下列公式计算：</w:t>
      </w:r>
      <w:r>
        <w:rPr>
          <w:rFonts w:hint="eastAsia" w:asciiTheme="majorEastAsia" w:hAnsiTheme="majorEastAsia" w:eastAsiaTheme="majorEastAsia" w:cstheme="majorEastAsia"/>
          <w:b/>
          <w:color w:val="auto"/>
          <w:kern w:val="2"/>
          <w:sz w:val="21"/>
          <w:szCs w:val="21"/>
          <w:highlight w:val="none"/>
          <w:lang w:bidi="ar"/>
        </w:rPr>
        <w:t>价格评分＝（基准价÷评标价）×</w:t>
      </w:r>
      <w:r>
        <w:rPr>
          <w:rFonts w:hint="eastAsia" w:asciiTheme="majorEastAsia" w:hAnsiTheme="majorEastAsia" w:eastAsiaTheme="majorEastAsia" w:cstheme="majorEastAsia"/>
          <w:b/>
          <w:color w:val="auto"/>
          <w:kern w:val="2"/>
          <w:sz w:val="21"/>
          <w:szCs w:val="21"/>
          <w:highlight w:val="none"/>
          <w:lang w:val="en-US" w:eastAsia="zh-CN" w:bidi="ar"/>
        </w:rPr>
        <w:t>20</w:t>
      </w:r>
    </w:p>
    <w:p w14:paraId="1E26019E">
      <w:pPr>
        <w:pStyle w:val="34"/>
        <w:widowControl w:val="0"/>
        <w:spacing w:before="0" w:beforeAutospacing="0" w:after="0" w:afterAutospacing="0"/>
        <w:ind w:firstLine="48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4.综合比较与评价：</w:t>
      </w:r>
    </w:p>
    <w:p w14:paraId="4CC944D5">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根据每个投标人在上述各评审阶段中的得分，采用下面公式算出每个投标人的综合得分：</w:t>
      </w:r>
    </w:p>
    <w:p w14:paraId="60154A27">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W＝[Cmin/C]×</w:t>
      </w:r>
      <w:r>
        <w:rPr>
          <w:rFonts w:hint="eastAsia" w:asciiTheme="majorEastAsia" w:hAnsiTheme="majorEastAsia" w:eastAsiaTheme="majorEastAsia" w:cstheme="majorEastAsia"/>
          <w:b/>
          <w:color w:val="auto"/>
          <w:kern w:val="2"/>
          <w:sz w:val="21"/>
          <w:szCs w:val="21"/>
          <w:highlight w:val="none"/>
          <w:lang w:val="en-US" w:eastAsia="zh-CN" w:bidi="ar"/>
        </w:rPr>
        <w:t>20</w:t>
      </w:r>
      <w:r>
        <w:rPr>
          <w:rFonts w:hint="eastAsia" w:asciiTheme="majorEastAsia" w:hAnsiTheme="majorEastAsia" w:eastAsiaTheme="majorEastAsia" w:cstheme="majorEastAsia"/>
          <w:color w:val="auto"/>
          <w:kern w:val="2"/>
          <w:sz w:val="21"/>
          <w:szCs w:val="21"/>
          <w:highlight w:val="none"/>
          <w:lang w:bidi="ar"/>
        </w:rPr>
        <w:t>＋ T ＋ M</w:t>
      </w:r>
    </w:p>
    <w:p w14:paraId="08EBB784">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其中：</w:t>
      </w:r>
    </w:p>
    <w:p w14:paraId="1C9A0C88">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W      某个投标人的综合得分；</w:t>
      </w:r>
    </w:p>
    <w:p w14:paraId="6F591B64">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C      某个投标人的评标价；</w:t>
      </w:r>
    </w:p>
    <w:p w14:paraId="70B2A2CB">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Cmin满足招标文件要求的最低评标价；</w:t>
      </w:r>
    </w:p>
    <w:p w14:paraId="0CB117D9">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T      某个投标人的服务评审得分；</w:t>
      </w:r>
    </w:p>
    <w:p w14:paraId="5750F4AC">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M      某个投标人的商务评审得分；</w:t>
      </w:r>
    </w:p>
    <w:p w14:paraId="7707B13A">
      <w:pPr>
        <w:pStyle w:val="34"/>
        <w:widowControl w:val="0"/>
        <w:spacing w:before="0" w:beforeAutospacing="0" w:after="0" w:afterAutospacing="0"/>
        <w:ind w:firstLine="420" w:firstLineChars="2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bidi="ar"/>
        </w:rPr>
        <w:t>注：T、M均为所有评委评分的算术平均值。</w:t>
      </w:r>
    </w:p>
    <w:p w14:paraId="10AFE52F">
      <w:pPr>
        <w:pStyle w:val="7"/>
        <w:ind w:firstLine="480"/>
        <w:rPr>
          <w:rFonts w:hint="eastAsia" w:asciiTheme="majorEastAsia" w:hAnsiTheme="majorEastAsia" w:eastAsiaTheme="majorEastAsia" w:cstheme="majorEastAsia"/>
          <w:b/>
          <w:color w:val="auto"/>
          <w:sz w:val="21"/>
          <w:szCs w:val="21"/>
          <w:highlight w:val="none"/>
        </w:rPr>
      </w:pPr>
    </w:p>
    <w:p w14:paraId="0418A647">
      <w:pPr>
        <w:pStyle w:val="7"/>
        <w:ind w:firstLine="48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（三）推荐中标候选人名单</w:t>
      </w:r>
    </w:p>
    <w:p w14:paraId="7DFACD63">
      <w:pPr>
        <w:pStyle w:val="7"/>
        <w:ind w:firstLine="48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评标委员会根据最终评审的结果，推荐综合得分最高的投标人为排名第一的中标候选人</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综合得分</w:t>
      </w:r>
      <w:r>
        <w:rPr>
          <w:rFonts w:hint="eastAsia" w:asciiTheme="majorEastAsia" w:hAnsiTheme="majorEastAsia" w:eastAsiaTheme="majorEastAsia" w:cstheme="majorEastAsia"/>
          <w:color w:val="auto"/>
          <w:sz w:val="21"/>
          <w:szCs w:val="21"/>
          <w:highlight w:val="none"/>
          <w:lang w:val="en-US" w:eastAsia="zh-CN"/>
        </w:rPr>
        <w:t>排名第二</w:t>
      </w:r>
      <w:r>
        <w:rPr>
          <w:rFonts w:hint="eastAsia" w:asciiTheme="majorEastAsia" w:hAnsiTheme="majorEastAsia" w:eastAsiaTheme="majorEastAsia" w:cstheme="majorEastAsia"/>
          <w:color w:val="auto"/>
          <w:sz w:val="21"/>
          <w:szCs w:val="21"/>
          <w:highlight w:val="none"/>
        </w:rPr>
        <w:t>的投标人为</w:t>
      </w:r>
      <w:r>
        <w:rPr>
          <w:rFonts w:hint="eastAsia" w:asciiTheme="majorEastAsia" w:hAnsiTheme="majorEastAsia" w:eastAsiaTheme="majorEastAsia" w:cstheme="majorEastAsia"/>
          <w:color w:val="auto"/>
          <w:sz w:val="21"/>
          <w:szCs w:val="21"/>
          <w:highlight w:val="none"/>
          <w:lang w:val="en-US" w:eastAsia="zh-CN"/>
        </w:rPr>
        <w:t>第二</w:t>
      </w:r>
      <w:r>
        <w:rPr>
          <w:rFonts w:hint="eastAsia" w:asciiTheme="majorEastAsia" w:hAnsiTheme="majorEastAsia" w:eastAsiaTheme="majorEastAsia" w:cstheme="majorEastAsia"/>
          <w:color w:val="auto"/>
          <w:sz w:val="21"/>
          <w:szCs w:val="21"/>
          <w:highlight w:val="none"/>
        </w:rPr>
        <w:t>中标候选人。综合得分相同的，按投标报价由低到高顺序排列确定</w:t>
      </w:r>
      <w:r>
        <w:rPr>
          <w:rFonts w:hint="eastAsia" w:asciiTheme="majorEastAsia" w:hAnsiTheme="majorEastAsia" w:eastAsiaTheme="majorEastAsia" w:cstheme="majorEastAsia"/>
          <w:color w:val="auto"/>
          <w:sz w:val="21"/>
          <w:szCs w:val="21"/>
          <w:highlight w:val="none"/>
          <w:lang w:val="en-US" w:eastAsia="zh-CN"/>
        </w:rPr>
        <w:t>中</w:t>
      </w:r>
      <w:r>
        <w:rPr>
          <w:rFonts w:hint="eastAsia" w:asciiTheme="majorEastAsia" w:hAnsiTheme="majorEastAsia" w:eastAsiaTheme="majorEastAsia" w:cstheme="majorEastAsia"/>
          <w:color w:val="auto"/>
          <w:sz w:val="21"/>
          <w:szCs w:val="21"/>
          <w:highlight w:val="none"/>
        </w:rPr>
        <w:t xml:space="preserve">标候选人。综合得分且投标报价相同的并列。   </w:t>
      </w:r>
    </w:p>
    <w:p w14:paraId="41A9A555">
      <w:pPr>
        <w:pStyle w:val="7"/>
        <w:ind w:firstLine="480"/>
        <w:rPr>
          <w:rFonts w:asciiTheme="minorEastAsia" w:hAnsiTheme="minorEastAsia" w:eastAsiaTheme="minorEastAsia"/>
          <w:color w:val="auto"/>
          <w:szCs w:val="21"/>
          <w:highlight w:val="none"/>
        </w:rPr>
      </w:pPr>
      <w:r>
        <w:rPr>
          <w:rFonts w:hint="eastAsia" w:asciiTheme="majorEastAsia" w:hAnsiTheme="majorEastAsia" w:eastAsiaTheme="majorEastAsia" w:cstheme="majorEastAsia"/>
          <w:color w:val="auto"/>
          <w:sz w:val="21"/>
          <w:szCs w:val="21"/>
          <w:highlight w:val="none"/>
        </w:rPr>
        <w:t>中标候选人并列的，采购人可委托评标委员会按下列顺序比较确定中标人</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（1）服务评分（由高到低）</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（2）近3年业绩情况。如以上都相同的，名次由采购人采取随机抽取方式确定。</w:t>
      </w:r>
    </w:p>
    <w:p w14:paraId="2A9E05B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43F645C1">
      <w:pPr>
        <w:jc w:val="center"/>
        <w:rPr>
          <w:rFonts w:asciiTheme="minorEastAsia" w:hAnsiTheme="minorEastAsia" w:eastAsiaTheme="minorEastAsia"/>
          <w:b/>
          <w:color w:val="auto"/>
          <w:kern w:val="0"/>
          <w:sz w:val="28"/>
          <w:szCs w:val="28"/>
          <w:highlight w:val="none"/>
        </w:rPr>
      </w:pPr>
      <w:r>
        <w:rPr>
          <w:rFonts w:hint="eastAsia" w:asciiTheme="minorEastAsia" w:hAnsiTheme="minorEastAsia" w:eastAsiaTheme="minorEastAsia"/>
          <w:b/>
          <w:color w:val="auto"/>
          <w:kern w:val="0"/>
          <w:sz w:val="28"/>
          <w:szCs w:val="28"/>
          <w:highlight w:val="none"/>
        </w:rPr>
        <w:t>第四部分　合同格式</w:t>
      </w:r>
    </w:p>
    <w:p w14:paraId="4A5BB191">
      <w:pPr>
        <w:pStyle w:val="99"/>
        <w:jc w:val="center"/>
        <w:rPr>
          <w:rFonts w:hAnsi="宋体"/>
          <w:b/>
          <w:bCs/>
          <w:color w:val="auto"/>
          <w:sz w:val="44"/>
          <w:szCs w:val="44"/>
          <w:highlight w:val="none"/>
        </w:rPr>
      </w:pPr>
    </w:p>
    <w:p w14:paraId="081D5E75">
      <w:pPr>
        <w:pStyle w:val="99"/>
        <w:jc w:val="center"/>
        <w:rPr>
          <w:rFonts w:hint="eastAsia"/>
          <w:color w:val="auto"/>
          <w:sz w:val="44"/>
          <w:szCs w:val="44"/>
          <w:highlight w:val="none"/>
        </w:rPr>
      </w:pPr>
      <w:r>
        <w:rPr>
          <w:rFonts w:hAnsi="宋体"/>
          <w:b/>
          <w:bCs/>
          <w:color w:val="auto"/>
          <w:sz w:val="44"/>
          <w:szCs w:val="44"/>
          <w:highlight w:val="none"/>
        </w:rPr>
        <w:t>珠海高新技术产业开发区人民医院检验服务集约化保障项目</w:t>
      </w:r>
    </w:p>
    <w:p w14:paraId="2423561C">
      <w:pPr>
        <w:adjustRightInd w:val="0"/>
        <w:snapToGrid w:val="0"/>
        <w:spacing w:line="480" w:lineRule="auto"/>
        <w:jc w:val="center"/>
        <w:rPr>
          <w:rFonts w:hint="eastAsia"/>
          <w:b/>
          <w:color w:val="auto"/>
          <w:sz w:val="28"/>
          <w:highlight w:val="none"/>
        </w:rPr>
      </w:pPr>
      <w:r>
        <w:rPr>
          <w:rFonts w:hint="eastAsia"/>
          <w:b/>
          <w:color w:val="auto"/>
          <w:spacing w:val="200"/>
          <w:sz w:val="96"/>
          <w:highlight w:val="none"/>
        </w:rPr>
        <w:t>合作协议</w:t>
      </w:r>
    </w:p>
    <w:p w14:paraId="451702F7">
      <w:pPr>
        <w:adjustRightInd w:val="0"/>
        <w:snapToGrid w:val="0"/>
        <w:spacing w:line="480" w:lineRule="auto"/>
        <w:ind w:left="1680" w:leftChars="800" w:firstLine="1940" w:firstLineChars="690"/>
        <w:rPr>
          <w:rFonts w:hint="eastAsia"/>
          <w:b/>
          <w:color w:val="auto"/>
          <w:sz w:val="28"/>
          <w:highlight w:val="none"/>
        </w:rPr>
      </w:pPr>
    </w:p>
    <w:p w14:paraId="57C5A159">
      <w:pPr>
        <w:adjustRightInd w:val="0"/>
        <w:snapToGrid w:val="0"/>
        <w:spacing w:line="480" w:lineRule="auto"/>
        <w:ind w:left="0" w:leftChars="0" w:firstLine="0" w:firstLineChars="0"/>
        <w:rPr>
          <w:rFonts w:hint="eastAsia"/>
          <w:b/>
          <w:bCs/>
          <w:color w:val="auto"/>
          <w:sz w:val="28"/>
          <w:szCs w:val="28"/>
          <w:highlight w:val="none"/>
          <w:u w:val="single"/>
        </w:rPr>
      </w:pPr>
      <w:r>
        <w:rPr>
          <w:rFonts w:hint="eastAsia"/>
          <w:b/>
          <w:color w:val="auto"/>
          <w:sz w:val="28"/>
          <w:highlight w:val="none"/>
        </w:rPr>
        <w:t>项目名称：</w:t>
      </w:r>
      <w:r>
        <w:rPr>
          <w:b/>
          <w:bCs/>
          <w:color w:val="auto"/>
          <w:sz w:val="28"/>
          <w:szCs w:val="28"/>
          <w:highlight w:val="none"/>
          <w:u w:val="single"/>
        </w:rPr>
        <w:t>珠海高新技术产业开发区人民医院检验服务集约化保障项目</w:t>
      </w:r>
    </w:p>
    <w:p w14:paraId="0814C2B1">
      <w:pPr>
        <w:adjustRightInd w:val="0"/>
        <w:snapToGrid w:val="0"/>
        <w:spacing w:line="480" w:lineRule="auto"/>
        <w:ind w:firstLine="0" w:firstLineChars="0"/>
        <w:rPr>
          <w:rFonts w:hint="eastAsia"/>
          <w:b/>
          <w:color w:val="auto"/>
          <w:sz w:val="28"/>
          <w:highlight w:val="none"/>
        </w:rPr>
      </w:pPr>
      <w:r>
        <w:rPr>
          <w:rFonts w:hint="eastAsia"/>
          <w:b/>
          <w:color w:val="auto"/>
          <w:sz w:val="28"/>
          <w:highlight w:val="none"/>
        </w:rPr>
        <w:t>协议编号：</w:t>
      </w:r>
      <w:r>
        <w:rPr>
          <w:rFonts w:hint="eastAsia"/>
          <w:b/>
          <w:color w:val="auto"/>
          <w:sz w:val="28"/>
          <w:highlight w:val="none"/>
          <w:u w:val="single"/>
        </w:rPr>
        <w:t xml:space="preserve">                           </w:t>
      </w:r>
    </w:p>
    <w:p w14:paraId="639601D9">
      <w:pPr>
        <w:adjustRightInd w:val="0"/>
        <w:snapToGrid w:val="0"/>
        <w:spacing w:line="480" w:lineRule="auto"/>
        <w:ind w:left="0" w:firstLine="0" w:firstLineChars="0"/>
        <w:rPr>
          <w:rFonts w:hint="eastAsia"/>
          <w:b/>
          <w:color w:val="auto"/>
          <w:sz w:val="28"/>
          <w:highlight w:val="none"/>
        </w:rPr>
      </w:pPr>
      <w:r>
        <w:rPr>
          <w:rFonts w:hint="eastAsia"/>
          <w:b/>
          <w:color w:val="auto"/>
          <w:sz w:val="28"/>
          <w:highlight w:val="none"/>
        </w:rPr>
        <w:t>签约地点：</w:t>
      </w:r>
      <w:r>
        <w:rPr>
          <w:rFonts w:hint="eastAsia"/>
          <w:b/>
          <w:color w:val="auto"/>
          <w:sz w:val="28"/>
          <w:highlight w:val="none"/>
          <w:u w:val="single"/>
        </w:rPr>
        <w:t xml:space="preserve">                           </w:t>
      </w:r>
    </w:p>
    <w:p w14:paraId="5B7BAEA2">
      <w:pPr>
        <w:adjustRightInd w:val="0"/>
        <w:snapToGrid w:val="0"/>
        <w:spacing w:line="480" w:lineRule="auto"/>
        <w:ind w:left="0" w:firstLine="0" w:firstLineChars="0"/>
        <w:rPr>
          <w:rFonts w:hint="eastAsia"/>
          <w:color w:val="auto"/>
          <w:sz w:val="28"/>
          <w:szCs w:val="28"/>
          <w:highlight w:val="none"/>
        </w:rPr>
      </w:pPr>
      <w:r>
        <w:rPr>
          <w:rFonts w:hint="eastAsia"/>
          <w:b/>
          <w:color w:val="auto"/>
          <w:sz w:val="28"/>
          <w:highlight w:val="none"/>
        </w:rPr>
        <w:t>签订日期：二○   年    月   日</w:t>
      </w:r>
      <w:bookmarkStart w:id="20" w:name="_Hlt10529679"/>
      <w:bookmarkEnd w:id="20"/>
    </w:p>
    <w:p w14:paraId="0C6DD9D5">
      <w:pPr>
        <w:spacing w:line="480" w:lineRule="auto"/>
        <w:rPr>
          <w:rFonts w:hint="eastAsia"/>
          <w:color w:val="auto"/>
          <w:highlight w:val="none"/>
        </w:rPr>
      </w:pPr>
    </w:p>
    <w:p w14:paraId="3534879B">
      <w:pPr>
        <w:tabs>
          <w:tab w:val="left" w:pos="1635"/>
        </w:tabs>
        <w:spacing w:line="480" w:lineRule="auto"/>
        <w:rPr>
          <w:rFonts w:hint="eastAsia"/>
          <w:color w:val="auto"/>
          <w:sz w:val="36"/>
          <w:szCs w:val="36"/>
          <w:highlight w:val="none"/>
        </w:rPr>
      </w:pPr>
    </w:p>
    <w:p w14:paraId="18CD7C75">
      <w:pPr>
        <w:tabs>
          <w:tab w:val="left" w:pos="1635"/>
        </w:tabs>
        <w:spacing w:line="360" w:lineRule="auto"/>
        <w:rPr>
          <w:rFonts w:hint="eastAsia"/>
          <w:color w:val="auto"/>
          <w:sz w:val="36"/>
          <w:szCs w:val="36"/>
          <w:highlight w:val="none"/>
        </w:rPr>
      </w:pPr>
    </w:p>
    <w:p w14:paraId="37CBE699">
      <w:pPr>
        <w:spacing w:line="360" w:lineRule="auto"/>
        <w:rPr>
          <w:rFonts w:hint="eastAsia"/>
          <w:color w:val="auto"/>
          <w:highlight w:val="none"/>
        </w:rPr>
      </w:pPr>
    </w:p>
    <w:p w14:paraId="4AA4FD7C">
      <w:pPr>
        <w:spacing w:line="360" w:lineRule="auto"/>
        <w:rPr>
          <w:rFonts w:hint="eastAsia"/>
          <w:color w:val="auto"/>
          <w:highlight w:val="none"/>
        </w:rPr>
      </w:pPr>
    </w:p>
    <w:p w14:paraId="7EF8F1C2">
      <w:pPr>
        <w:spacing w:line="360" w:lineRule="auto"/>
        <w:rPr>
          <w:rFonts w:hint="eastAsia"/>
          <w:color w:val="auto"/>
          <w:highlight w:val="none"/>
        </w:rPr>
      </w:pPr>
    </w:p>
    <w:p w14:paraId="2A2D57EA">
      <w:pPr>
        <w:spacing w:line="360" w:lineRule="auto"/>
        <w:ind w:firstLine="420" w:firstLineChars="200"/>
        <w:rPr>
          <w:rFonts w:hint="eastAsia"/>
          <w:color w:val="auto"/>
          <w:highlight w:val="none"/>
        </w:rPr>
      </w:pPr>
      <w:r>
        <w:rPr>
          <w:rFonts w:hint="eastAsia"/>
          <w:color w:val="auto"/>
          <w:highlight w:val="none"/>
        </w:rPr>
        <w:t xml:space="preserve">甲方: </w:t>
      </w:r>
      <w:r>
        <w:rPr>
          <w:rFonts w:hint="eastAsia"/>
          <w:color w:val="auto"/>
          <w:highlight w:val="none"/>
          <w:u w:val="single"/>
        </w:rPr>
        <w:t xml:space="preserve">    </w:t>
      </w:r>
      <w:r>
        <w:rPr>
          <w:bCs/>
          <w:color w:val="auto"/>
          <w:highlight w:val="none"/>
          <w:u w:val="single"/>
        </w:rPr>
        <w:t>珠海高新技术产业开发区人民医院</w:t>
      </w:r>
      <w:r>
        <w:rPr>
          <w:rFonts w:hint="eastAsia"/>
          <w:color w:val="auto"/>
          <w:highlight w:val="none"/>
          <w:u w:val="single"/>
        </w:rPr>
        <w:t xml:space="preserve">    </w:t>
      </w:r>
    </w:p>
    <w:p w14:paraId="19494200">
      <w:pPr>
        <w:spacing w:line="360" w:lineRule="auto"/>
        <w:ind w:firstLine="420" w:firstLineChars="200"/>
        <w:rPr>
          <w:rFonts w:hint="eastAsia"/>
          <w:color w:val="auto"/>
          <w:highlight w:val="none"/>
          <w:u w:val="single"/>
        </w:rPr>
      </w:pPr>
      <w:r>
        <w:rPr>
          <w:rFonts w:hint="eastAsia"/>
          <w:color w:val="auto"/>
          <w:highlight w:val="none"/>
        </w:rPr>
        <w:t>乙方：</w:t>
      </w:r>
      <w:r>
        <w:rPr>
          <w:rFonts w:hint="eastAsia"/>
          <w:color w:val="auto"/>
          <w:highlight w:val="none"/>
          <w:u w:val="single"/>
        </w:rPr>
        <w:t xml:space="preserve">                           </w:t>
      </w:r>
    </w:p>
    <w:p w14:paraId="29B7893C">
      <w:pPr>
        <w:spacing w:line="360" w:lineRule="auto"/>
        <w:ind w:firstLine="420" w:firstLineChars="200"/>
        <w:rPr>
          <w:rFonts w:hint="eastAsia"/>
          <w:color w:val="auto"/>
          <w:highlight w:val="none"/>
          <w:u w:val="single"/>
        </w:rPr>
      </w:pPr>
    </w:p>
    <w:p w14:paraId="762EA664">
      <w:pPr>
        <w:spacing w:line="360" w:lineRule="auto"/>
        <w:ind w:firstLine="420" w:firstLineChars="200"/>
        <w:rPr>
          <w:rFonts w:hint="eastAsia"/>
          <w:color w:val="auto"/>
          <w:highlight w:val="none"/>
          <w:u w:val="single"/>
        </w:rPr>
      </w:pPr>
    </w:p>
    <w:p w14:paraId="75E46C7E">
      <w:pPr>
        <w:tabs>
          <w:tab w:val="left" w:pos="1635"/>
        </w:tabs>
        <w:spacing w:line="360" w:lineRule="auto"/>
        <w:ind w:firstLine="420" w:firstLineChars="200"/>
        <w:rPr>
          <w:rFonts w:hint="eastAsia"/>
          <w:color w:val="auto"/>
          <w:highlight w:val="none"/>
        </w:rPr>
      </w:pPr>
      <w:r>
        <w:rPr>
          <w:rFonts w:hint="eastAsia"/>
          <w:bCs/>
          <w:color w:val="auto"/>
          <w:highlight w:val="none"/>
        </w:rPr>
        <w:t>甲、乙双方根据</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年</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月</w:t>
      </w:r>
      <w:r>
        <w:rPr>
          <w:rFonts w:hint="eastAsia"/>
          <w:bCs/>
          <w:color w:val="auto"/>
          <w:highlight w:val="none"/>
          <w:u w:val="single"/>
        </w:rPr>
        <w:t xml:space="preserve">    </w:t>
      </w:r>
      <w:r>
        <w:rPr>
          <w:rFonts w:hint="eastAsia"/>
          <w:bCs/>
          <w:color w:val="auto"/>
          <w:highlight w:val="none"/>
        </w:rPr>
        <w:t>日</w:t>
      </w:r>
      <w:r>
        <w:rPr>
          <w:rFonts w:hint="eastAsia"/>
          <w:bCs/>
          <w:color w:val="auto"/>
          <w:highlight w:val="none"/>
          <w:u w:val="single"/>
        </w:rPr>
        <w:t xml:space="preserve">  </w:t>
      </w:r>
      <w:r>
        <w:rPr>
          <w:bCs/>
          <w:color w:val="auto"/>
          <w:highlight w:val="none"/>
          <w:u w:val="single"/>
        </w:rPr>
        <w:t>珠海高新技术产业开发区人民医院检验服务集约化保障项目</w:t>
      </w:r>
      <w:r>
        <w:rPr>
          <w:rFonts w:hint="eastAsia"/>
          <w:bCs/>
          <w:color w:val="auto"/>
          <w:highlight w:val="none"/>
          <w:u w:val="single"/>
        </w:rPr>
        <w:t xml:space="preserve"> </w:t>
      </w:r>
      <w:r>
        <w:rPr>
          <w:rFonts w:hint="eastAsia"/>
          <w:bCs/>
          <w:color w:val="auto"/>
          <w:highlight w:val="none"/>
        </w:rPr>
        <w:t>遴选文件和有关</w:t>
      </w:r>
      <w:r>
        <w:rPr>
          <w:rFonts w:hint="eastAsia"/>
          <w:bCs/>
          <w:color w:val="auto"/>
          <w:highlight w:val="none"/>
          <w:lang w:val="en-US" w:eastAsia="zh-CN"/>
        </w:rPr>
        <w:t>投标</w:t>
      </w:r>
      <w:r>
        <w:rPr>
          <w:rFonts w:hint="eastAsia"/>
          <w:bCs/>
          <w:color w:val="auto"/>
          <w:highlight w:val="none"/>
        </w:rPr>
        <w:t>文件的要求，依照《中华人民共和国民法典》及有关法律、法规，遵循平等、自愿、公平和诚实信用的原则，双方就本合作事项经双方协商一致，订立以下合作协议：</w:t>
      </w:r>
    </w:p>
    <w:p w14:paraId="033EFF1C">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21" w:name="_Toc536523234"/>
      <w:bookmarkStart w:id="22" w:name="_Toc9584280"/>
      <w:bookmarkStart w:id="23" w:name="_Toc58230121"/>
      <w:bookmarkStart w:id="24" w:name="_Toc8391477"/>
      <w:r>
        <w:rPr>
          <w:rFonts w:hint="eastAsia" w:ascii="宋体" w:hAnsi="宋体" w:eastAsia="宋体" w:cs="宋体"/>
          <w:b/>
          <w:bCs/>
          <w:color w:val="auto"/>
          <w:sz w:val="21"/>
          <w:szCs w:val="21"/>
          <w:highlight w:val="none"/>
        </w:rPr>
        <w:t>一、合作基本内容</w:t>
      </w:r>
      <w:bookmarkEnd w:id="21"/>
      <w:bookmarkEnd w:id="22"/>
      <w:bookmarkEnd w:id="23"/>
      <w:bookmarkEnd w:id="24"/>
    </w:p>
    <w:p w14:paraId="59302BB4">
      <w:pPr>
        <w:pStyle w:val="99"/>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eastAsia="宋体" w:cs="宋体"/>
          <w:bCs/>
          <w:color w:val="auto"/>
          <w:sz w:val="21"/>
          <w:szCs w:val="21"/>
          <w:highlight w:val="none"/>
          <w:u w:val="single"/>
        </w:rPr>
        <w:t>珠海高新技术产业开发区人民医院检验服务集约化保障项目</w:t>
      </w:r>
      <w:r>
        <w:rPr>
          <w:rFonts w:hint="eastAsia" w:ascii="宋体" w:hAnsi="宋体" w:eastAsia="宋体" w:cs="宋体"/>
          <w:bCs/>
          <w:color w:val="auto"/>
          <w:sz w:val="21"/>
          <w:szCs w:val="21"/>
          <w:highlight w:val="none"/>
        </w:rPr>
        <w:t>。</w:t>
      </w:r>
    </w:p>
    <w:p w14:paraId="4E406E4C">
      <w:pPr>
        <w:pStyle w:val="99"/>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2.合作基本内容：甲乙双方共同建设及运营</w:t>
      </w:r>
      <w:r>
        <w:rPr>
          <w:rFonts w:hint="eastAsia" w:ascii="宋体" w:hAnsi="宋体" w:eastAsia="宋体" w:cs="宋体"/>
          <w:bCs/>
          <w:color w:val="auto"/>
          <w:sz w:val="21"/>
          <w:szCs w:val="21"/>
          <w:highlight w:val="none"/>
        </w:rPr>
        <w:t>检验科</w:t>
      </w:r>
      <w:r>
        <w:rPr>
          <w:rFonts w:hint="eastAsia" w:ascii="宋体" w:hAnsi="宋体" w:eastAsia="宋体" w:cs="宋体"/>
          <w:color w:val="auto"/>
          <w:sz w:val="21"/>
          <w:szCs w:val="21"/>
          <w:highlight w:val="none"/>
        </w:rPr>
        <w:t>。</w:t>
      </w:r>
    </w:p>
    <w:p w14:paraId="356A3E45">
      <w:pPr>
        <w:keepNext w:val="0"/>
        <w:keepLines w:val="0"/>
        <w:pageBreakBefore w:val="0"/>
        <w:kinsoku/>
        <w:wordWrap/>
        <w:overflowPunct/>
        <w:topLinePunct w:val="0"/>
        <w:bidi w:val="0"/>
        <w:snapToGrid/>
        <w:spacing w:line="360" w:lineRule="auto"/>
        <w:textAlignment w:val="auto"/>
        <w:rPr>
          <w:rFonts w:hint="eastAsia" w:ascii="宋体" w:hAnsi="宋体" w:eastAsia="宋体" w:cs="宋体"/>
          <w:vanish/>
          <w:color w:val="auto"/>
          <w:sz w:val="21"/>
          <w:szCs w:val="21"/>
          <w:highlight w:val="none"/>
        </w:rPr>
      </w:pPr>
    </w:p>
    <w:p w14:paraId="75CB6E94">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3.合作地点：</w:t>
      </w:r>
      <w:r>
        <w:rPr>
          <w:rFonts w:hint="eastAsia" w:ascii="宋体" w:hAnsi="宋体" w:eastAsia="宋体" w:cs="宋体"/>
          <w:color w:val="auto"/>
          <w:spacing w:val="10"/>
          <w:sz w:val="21"/>
          <w:szCs w:val="21"/>
          <w:highlight w:val="none"/>
        </w:rPr>
        <w:t>医院指定的合作地点。</w:t>
      </w:r>
    </w:p>
    <w:p w14:paraId="022156B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4.合作期限：</w:t>
      </w:r>
      <w:r>
        <w:rPr>
          <w:rFonts w:hint="eastAsia" w:ascii="宋体" w:hAnsi="宋体" w:eastAsia="宋体" w:cs="宋体"/>
          <w:color w:val="auto"/>
          <w:spacing w:val="10"/>
          <w:sz w:val="21"/>
          <w:szCs w:val="21"/>
          <w:highlight w:val="none"/>
        </w:rPr>
        <w:t>合作期限从</w:t>
      </w:r>
      <w:r>
        <w:rPr>
          <w:rFonts w:hint="eastAsia" w:ascii="宋体" w:hAnsi="宋体" w:eastAsia="宋体" w:cs="宋体"/>
          <w:b/>
          <w:bCs/>
          <w:color w:val="auto"/>
          <w:spacing w:val="10"/>
          <w:sz w:val="21"/>
          <w:szCs w:val="21"/>
          <w:highlight w:val="none"/>
        </w:rPr>
        <w:t>合同签订之日起至2027年10月30日</w:t>
      </w:r>
      <w:r>
        <w:rPr>
          <w:rFonts w:hint="eastAsia" w:ascii="宋体" w:hAnsi="宋体" w:eastAsia="宋体" w:cs="宋体"/>
          <w:color w:val="auto"/>
          <w:spacing w:val="10"/>
          <w:sz w:val="21"/>
          <w:szCs w:val="21"/>
          <w:highlight w:val="none"/>
        </w:rPr>
        <w:t>。甲方每季度进行项目日常运营质量考核，若考核不合格，经甲方书面催告后乙方不予整改的</w:t>
      </w:r>
      <w:r>
        <w:rPr>
          <w:rFonts w:hint="eastAsia" w:ascii="宋体" w:hAnsi="宋体" w:eastAsia="宋体" w:cs="宋体"/>
          <w:color w:val="auto"/>
          <w:spacing w:val="10"/>
          <w:sz w:val="21"/>
          <w:szCs w:val="21"/>
          <w:highlight w:val="none"/>
          <w:lang w:val="en-US" w:eastAsia="zh-CN"/>
        </w:rPr>
        <w:t>或整改后仍不合格的</w:t>
      </w:r>
      <w:r>
        <w:rPr>
          <w:rFonts w:hint="eastAsia" w:ascii="宋体" w:hAnsi="宋体" w:eastAsia="宋体" w:cs="宋体"/>
          <w:color w:val="auto"/>
          <w:spacing w:val="10"/>
          <w:sz w:val="21"/>
          <w:szCs w:val="21"/>
          <w:highlight w:val="none"/>
        </w:rPr>
        <w:t xml:space="preserve">，甲方有权提出解除合作，乙方须无条件配合。合作期限内如遇国家法律法规或上级政策变动而导致项目终止，乙方须无条件服从，且在过渡期间应继续按原协议约定维持项目正常运营。项目终止的，甲乙双方各自承担自身的经济损失，不得因此向对方追偿。 </w:t>
      </w:r>
    </w:p>
    <w:p w14:paraId="5AFCFEC3">
      <w:pPr>
        <w:pStyle w:val="99"/>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二、价款结算</w:t>
      </w:r>
    </w:p>
    <w:p w14:paraId="107A48A3">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1.结算方式</w:t>
      </w:r>
    </w:p>
    <w:p w14:paraId="43A1CADB">
      <w:pPr>
        <w:pStyle w:val="12"/>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乙方按照检验科开展检测项目数量情况及物价标准，按照结算折扣率向甲方收取合作费用。</w:t>
      </w:r>
    </w:p>
    <w:p w14:paraId="47F19095">
      <w:pPr>
        <w:pStyle w:val="12"/>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结算价=开展检测项目数量*广东省珠海市二级医院的项目物价标准*</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折扣率。</w:t>
      </w:r>
    </w:p>
    <w:tbl>
      <w:tblPr>
        <w:tblStyle w:val="39"/>
        <w:tblpPr w:leftFromText="180" w:rightFromText="180" w:vertAnchor="text" w:horzAnchor="margin" w:tblpXSpec="right" w:tblpY="231"/>
        <w:tblOverlap w:val="never"/>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3659"/>
        <w:gridCol w:w="1704"/>
        <w:gridCol w:w="1704"/>
      </w:tblGrid>
      <w:tr w14:paraId="1E67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80" w:type="dxa"/>
            <w:noWrap w:val="0"/>
            <w:vAlign w:val="center"/>
          </w:tcPr>
          <w:p w14:paraId="7177FC7C">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3659" w:type="dxa"/>
            <w:noWrap w:val="0"/>
            <w:vAlign w:val="center"/>
          </w:tcPr>
          <w:p w14:paraId="1214DEE8">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合作内容</w:t>
            </w:r>
          </w:p>
        </w:tc>
        <w:tc>
          <w:tcPr>
            <w:tcW w:w="1704" w:type="dxa"/>
            <w:noWrap w:val="0"/>
            <w:vAlign w:val="center"/>
          </w:tcPr>
          <w:p w14:paraId="53EED914">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结算折扣率</w:t>
            </w:r>
          </w:p>
        </w:tc>
        <w:tc>
          <w:tcPr>
            <w:tcW w:w="1704" w:type="dxa"/>
            <w:noWrap w:val="0"/>
            <w:vAlign w:val="center"/>
          </w:tcPr>
          <w:p w14:paraId="486F1790">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合作期限</w:t>
            </w:r>
          </w:p>
        </w:tc>
      </w:tr>
      <w:tr w14:paraId="5588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80" w:type="dxa"/>
            <w:noWrap w:val="0"/>
            <w:vAlign w:val="center"/>
          </w:tcPr>
          <w:p w14:paraId="4BAC3E2F">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珠海高新技术产业开发区人民医院检验服务集约化保障项目</w:t>
            </w:r>
          </w:p>
        </w:tc>
        <w:tc>
          <w:tcPr>
            <w:tcW w:w="3659" w:type="dxa"/>
            <w:noWrap w:val="0"/>
            <w:vAlign w:val="center"/>
          </w:tcPr>
          <w:p w14:paraId="5DD595E9">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检验服务集约化保障项目</w:t>
            </w:r>
          </w:p>
        </w:tc>
        <w:tc>
          <w:tcPr>
            <w:tcW w:w="1704" w:type="dxa"/>
            <w:noWrap w:val="0"/>
            <w:vAlign w:val="center"/>
          </w:tcPr>
          <w:p w14:paraId="6899B08C">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w:t>
            </w:r>
          </w:p>
        </w:tc>
        <w:tc>
          <w:tcPr>
            <w:tcW w:w="1704" w:type="dxa"/>
            <w:noWrap w:val="0"/>
            <w:vAlign w:val="center"/>
          </w:tcPr>
          <w:p w14:paraId="64DE028B">
            <w:pPr>
              <w:pStyle w:val="12"/>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合同签订之日起至2027年10月30日</w:t>
            </w:r>
          </w:p>
        </w:tc>
      </w:tr>
    </w:tbl>
    <w:p w14:paraId="50225BB1">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注：</w:t>
      </w:r>
      <w:r>
        <w:rPr>
          <w:rFonts w:hint="eastAsia" w:ascii="宋体" w:hAnsi="宋体" w:eastAsia="宋体" w:cs="宋体"/>
          <w:color w:val="auto"/>
          <w:sz w:val="21"/>
          <w:szCs w:val="21"/>
          <w:highlight w:val="none"/>
        </w:rPr>
        <w:t>开展检测项目测试数量以双方协商确定的统计口径下的LIS数据为准。</w:t>
      </w:r>
      <w:r>
        <w:rPr>
          <w:rFonts w:hint="eastAsia" w:ascii="宋体" w:hAnsi="宋体" w:eastAsia="宋体" w:cs="宋体"/>
          <w:color w:val="auto"/>
          <w:spacing w:val="10"/>
          <w:sz w:val="21"/>
          <w:szCs w:val="21"/>
          <w:highlight w:val="none"/>
        </w:rPr>
        <w:t>开展检测项目清单见附件2</w:t>
      </w:r>
      <w:r>
        <w:rPr>
          <w:rFonts w:hint="eastAsia" w:ascii="宋体" w:hAnsi="宋体" w:eastAsia="宋体" w:cs="宋体"/>
          <w:color w:val="auto"/>
          <w:spacing w:val="10"/>
          <w:sz w:val="21"/>
          <w:szCs w:val="21"/>
          <w:highlight w:val="none"/>
        </w:rPr>
        <w:t>，检测项目如有新增或更改，经双方协商确定开展后，仍按照此方式结算，如遇其他特殊情况可双方进行协商确定。</w:t>
      </w:r>
      <w:r>
        <w:rPr>
          <w:rFonts w:hint="eastAsia" w:ascii="宋体" w:hAnsi="宋体" w:eastAsia="宋体" w:cs="宋体"/>
          <w:color w:val="auto"/>
          <w:spacing w:val="10"/>
          <w:sz w:val="21"/>
          <w:szCs w:val="21"/>
          <w:highlight w:val="none"/>
        </w:rPr>
        <w:t>在本项目规定的合作期限内，医院支付的结算价款包含但不限于人工、拟投入设备及试剂耗材、各类税费或未注明报价的内容。</w:t>
      </w:r>
    </w:p>
    <w:p w14:paraId="642C2176">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乙方投入的以下费用由乙方承担，甲方不再额外支付其他费用：</w:t>
      </w:r>
    </w:p>
    <w:p w14:paraId="0902CAFE">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（1）乙方新增设备及对应的维保、维修、更换、计量认证等，全部检测试剂、耗材供应，智能化信息平台建设，派驻运营服务团队人员薪资等完成建设运营内容所需的全部费用；</w:t>
      </w:r>
    </w:p>
    <w:p w14:paraId="62A1969A">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（2）学术活动举办，项目手册、样本采集手册、宣传手册等制定的全部费用；</w:t>
      </w:r>
    </w:p>
    <w:p w14:paraId="62232746">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（3）合理的投资风险、利润、税金等。</w:t>
      </w:r>
    </w:p>
    <w:p w14:paraId="5E19634E">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2.结算周期</w:t>
      </w:r>
    </w:p>
    <w:p w14:paraId="0855753A">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每月结算一次，甲方在次月10号前将上一个月的实际检测项目及检测量明细递交给乙方审核，乙方将检测项目实际收费金额与甲方递交的检测数据进行比对。双方在10个工作日内核对完成，数据无误后甲方在30个工作日内支付上一个月的结算费用。（法定节假日顺延）</w:t>
      </w:r>
    </w:p>
    <w:p w14:paraId="1F84E93E">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3.支付条件</w:t>
      </w:r>
    </w:p>
    <w:p w14:paraId="53314D3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（1）结算所需的相关资料齐全。</w:t>
      </w:r>
    </w:p>
    <w:p w14:paraId="15C35ED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（2）乙方已按要求开具了合格的发票。</w:t>
      </w:r>
    </w:p>
    <w:p w14:paraId="10E6A25C">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4.检测项目的收费标准</w:t>
      </w:r>
    </w:p>
    <w:p w14:paraId="3CC8CB09">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各检测项目医疗收费以珠海市医疗保障局颁布的最新公立医疗机构基本医疗服务项目价格收费标准作为检测项目收费标准。合作期内收费标准发生变化的，甲乙双方均无条件接受，不得因价格上涨或下调而终止服务。</w:t>
      </w:r>
    </w:p>
    <w:p w14:paraId="27A69948">
      <w:pPr>
        <w:keepNext w:val="0"/>
        <w:keepLines w:val="0"/>
        <w:pageBreakBefore w:val="0"/>
        <w:kinsoku/>
        <w:wordWrap/>
        <w:overflowPunct/>
        <w:topLinePunct w:val="0"/>
        <w:bidi w:val="0"/>
        <w:snapToGrid/>
        <w:spacing w:line="360" w:lineRule="auto"/>
        <w:ind w:firstLine="46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5.项目结算以实际发生金额为准。甲方不能保证合作期内实际开展项目的规模，无论实际开展项目规模大小，乙方应保证按合同要求向甲方提供合格的服务。</w:t>
      </w:r>
    </w:p>
    <w:p w14:paraId="323CDFB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6.双方应提供实验室真实的检测项目及检测量，双方有权在符合法律法规的情况下共同委托第三方机构对数据进行审计，双方应配合。</w:t>
      </w:r>
    </w:p>
    <w:p w14:paraId="1E9CF66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7.甲方应按照合同约定的付款期限及时将合同款项支付至乙方指定的收款账户。</w:t>
      </w:r>
    </w:p>
    <w:p w14:paraId="197C251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8.甲方应将款项支付至乙方指定的以下账户：</w:t>
      </w:r>
    </w:p>
    <w:p w14:paraId="7073D0D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甲方开票信息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乙方接受付款信息</w:t>
      </w:r>
      <w:r>
        <w:rPr>
          <w:rFonts w:hint="eastAsia" w:ascii="宋体" w:hAnsi="宋体" w:eastAsia="宋体" w:cs="宋体"/>
          <w:color w:val="auto"/>
          <w:sz w:val="21"/>
          <w:szCs w:val="21"/>
          <w:highlight w:val="none"/>
          <w:lang w:eastAsia="zh-CN"/>
        </w:rPr>
        <w:t>：</w:t>
      </w:r>
    </w:p>
    <w:p w14:paraId="49331BD0">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w:t>
      </w:r>
      <w:r>
        <w:rPr>
          <w:rFonts w:hint="eastAsia" w:ascii="宋体" w:hAnsi="宋体" w:eastAsia="宋体" w:cs="宋体"/>
          <w:color w:val="auto"/>
          <w:sz w:val="21"/>
          <w:szCs w:val="21"/>
          <w:highlight w:val="none"/>
          <w:lang w:val="en-US" w:eastAsia="zh-CN"/>
        </w:rPr>
        <w:t>珠海高新技术产业开发区人民医院</w:t>
      </w:r>
      <w:r>
        <w:rPr>
          <w:rFonts w:hint="eastAsia" w:ascii="宋体" w:hAnsi="宋体" w:eastAsia="宋体" w:cs="宋体"/>
          <w:color w:val="auto"/>
          <w:sz w:val="21"/>
          <w:szCs w:val="21"/>
          <w:highlight w:val="none"/>
        </w:rPr>
        <w:t xml:space="preserve">         账户：</w:t>
      </w:r>
    </w:p>
    <w:p w14:paraId="060652D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 44001649336059333888               账号：</w:t>
      </w:r>
    </w:p>
    <w:p w14:paraId="203BC6A8">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开户银行：建行珠海金鼎支行账              开户银行：                                      </w:t>
      </w:r>
    </w:p>
    <w:p w14:paraId="4B8D815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税务登记号：：1244040045592615X6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税务登记号：</w:t>
      </w:r>
    </w:p>
    <w:p w14:paraId="4757F186">
      <w:pPr>
        <w:pStyle w:val="99"/>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三、合作方式</w:t>
      </w:r>
    </w:p>
    <w:p w14:paraId="0E09BFFB">
      <w:pPr>
        <w:pStyle w:val="99"/>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w:t>
      </w:r>
      <w:r>
        <w:rPr>
          <w:rFonts w:hint="eastAsia" w:ascii="宋体" w:hAnsi="宋体" w:eastAsia="宋体" w:cs="宋体"/>
          <w:color w:val="auto"/>
          <w:sz w:val="21"/>
          <w:szCs w:val="21"/>
          <w:highlight w:val="none"/>
          <w:lang w:eastAsia="zh-Hans"/>
        </w:rPr>
        <w:t>依据自身的经验及资源优势向</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Hans"/>
        </w:rPr>
        <w:t>提供先进、科学、规范化的项目整体建设</w:t>
      </w:r>
      <w:r>
        <w:rPr>
          <w:rFonts w:hint="eastAsia" w:ascii="宋体" w:hAnsi="宋体" w:eastAsia="宋体" w:cs="宋体"/>
          <w:color w:val="auto"/>
          <w:sz w:val="21"/>
          <w:szCs w:val="21"/>
          <w:highlight w:val="none"/>
        </w:rPr>
        <w:t>运营服务</w:t>
      </w:r>
      <w:r>
        <w:rPr>
          <w:rFonts w:hint="eastAsia" w:ascii="宋体" w:hAnsi="宋体" w:eastAsia="宋体" w:cs="宋体"/>
          <w:color w:val="auto"/>
          <w:sz w:val="21"/>
          <w:szCs w:val="21"/>
          <w:highlight w:val="none"/>
          <w:lang w:eastAsia="zh-Hans"/>
        </w:rPr>
        <w:t>。项目整体建设</w:t>
      </w:r>
      <w:r>
        <w:rPr>
          <w:rFonts w:hint="eastAsia" w:ascii="宋体" w:hAnsi="宋体" w:eastAsia="宋体" w:cs="宋体"/>
          <w:color w:val="auto"/>
          <w:sz w:val="21"/>
          <w:szCs w:val="21"/>
          <w:highlight w:val="none"/>
        </w:rPr>
        <w:t>运营服务</w:t>
      </w:r>
      <w:r>
        <w:rPr>
          <w:rFonts w:hint="eastAsia" w:ascii="宋体" w:hAnsi="宋体" w:eastAsia="宋体" w:cs="宋体"/>
          <w:color w:val="auto"/>
          <w:sz w:val="21"/>
          <w:szCs w:val="21"/>
          <w:highlight w:val="none"/>
          <w:lang w:eastAsia="zh-Hans"/>
        </w:rPr>
        <w:t>至少应包含</w:t>
      </w:r>
      <w:r>
        <w:rPr>
          <w:rFonts w:hint="eastAsia" w:ascii="宋体" w:hAnsi="宋体" w:eastAsia="宋体" w:cs="宋体"/>
          <w:color w:val="auto"/>
          <w:sz w:val="21"/>
          <w:szCs w:val="21"/>
          <w:highlight w:val="none"/>
        </w:rPr>
        <w:t>提升检验科所需检测项目的检测能力，完成检验科现有平台的整合升级及完善，检验科智能化信息平台建设，提升科研教学能力</w:t>
      </w:r>
      <w:r>
        <w:rPr>
          <w:rFonts w:hint="eastAsia" w:ascii="宋体" w:hAnsi="宋体" w:eastAsia="宋体" w:cs="宋体"/>
          <w:color w:val="auto"/>
          <w:kern w:val="2"/>
          <w:sz w:val="21"/>
          <w:szCs w:val="21"/>
          <w:highlight w:val="none"/>
        </w:rPr>
        <w:t>、人员支持</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rPr>
        <w:t>方案、人才培养</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rPr>
        <w:t>方案</w:t>
      </w:r>
      <w:r>
        <w:rPr>
          <w:rFonts w:hint="eastAsia" w:ascii="宋体" w:hAnsi="宋体" w:eastAsia="宋体" w:cs="宋体"/>
          <w:color w:val="auto"/>
          <w:kern w:val="2"/>
          <w:sz w:val="21"/>
          <w:szCs w:val="21"/>
          <w:highlight w:val="none"/>
          <w:lang w:eastAsia="zh-CN"/>
        </w:rPr>
        <w:t>（根据医院的相关制度）</w:t>
      </w:r>
      <w:r>
        <w:rPr>
          <w:rFonts w:hint="eastAsia" w:ascii="宋体" w:hAnsi="宋体" w:eastAsia="宋体" w:cs="宋体"/>
          <w:color w:val="auto"/>
          <w:kern w:val="2"/>
          <w:sz w:val="21"/>
          <w:szCs w:val="21"/>
          <w:highlight w:val="none"/>
        </w:rPr>
        <w:t>。</w:t>
      </w:r>
    </w:p>
    <w:p w14:paraId="22078E4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2.乙方须配合医院完成检验科</w:t>
      </w:r>
      <w:r>
        <w:rPr>
          <w:rFonts w:hint="eastAsia" w:ascii="宋体" w:hAnsi="宋体" w:eastAsia="宋体" w:cs="宋体"/>
          <w:color w:val="auto"/>
          <w:sz w:val="21"/>
          <w:szCs w:val="21"/>
          <w:highlight w:val="none"/>
          <w:lang w:eastAsia="zh-Hans"/>
        </w:rPr>
        <w:t>现有平台的整合升级及完善，须根据</w:t>
      </w:r>
      <w:r>
        <w:rPr>
          <w:rFonts w:hint="eastAsia" w:ascii="宋体" w:hAnsi="宋体" w:eastAsia="宋体" w:cs="宋体"/>
          <w:color w:val="auto"/>
          <w:sz w:val="21"/>
          <w:szCs w:val="21"/>
          <w:highlight w:val="none"/>
        </w:rPr>
        <w:t>检验科</w:t>
      </w:r>
      <w:r>
        <w:rPr>
          <w:rFonts w:hint="eastAsia" w:ascii="宋体" w:hAnsi="宋体" w:eastAsia="宋体" w:cs="宋体"/>
          <w:color w:val="auto"/>
          <w:sz w:val="21"/>
          <w:szCs w:val="21"/>
          <w:highlight w:val="none"/>
          <w:lang w:eastAsia="zh-Hans"/>
        </w:rPr>
        <w:t>硬件升级要求，新增配置</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Hans"/>
        </w:rPr>
        <w:t>设备。</w:t>
      </w:r>
      <w:r>
        <w:rPr>
          <w:rFonts w:hint="eastAsia" w:ascii="宋体" w:hAnsi="宋体" w:eastAsia="宋体" w:cs="宋体"/>
          <w:color w:val="auto"/>
          <w:sz w:val="21"/>
          <w:szCs w:val="21"/>
          <w:highlight w:val="none"/>
        </w:rPr>
        <w:t>设备具体到位的时间、品牌、型号等由乙方根据甲方学科建设需要、检测项目开展及时间节点要求调整。根据实验室实际发展情况，甲乙双方可进一步协商决定项目设备扩增需求</w:t>
      </w:r>
      <w:r>
        <w:rPr>
          <w:rFonts w:hint="eastAsia" w:ascii="宋体" w:hAnsi="宋体" w:eastAsia="宋体" w:cs="宋体"/>
          <w:color w:val="auto"/>
          <w:sz w:val="21"/>
          <w:szCs w:val="21"/>
          <w:highlight w:val="none"/>
          <w:lang w:eastAsia="zh-CN"/>
        </w:rPr>
        <w:t>（拟提供至少三个主流品牌备选）</w:t>
      </w:r>
      <w:r>
        <w:rPr>
          <w:rFonts w:hint="eastAsia" w:ascii="宋体" w:hAnsi="宋体" w:eastAsia="宋体" w:cs="宋体"/>
          <w:color w:val="auto"/>
          <w:sz w:val="21"/>
          <w:szCs w:val="21"/>
          <w:highlight w:val="none"/>
        </w:rPr>
        <w:t>。配置的设备属于医疗器械管理的，须提供有效医疗器械注册证或备案凭证，交予甲方备案。</w:t>
      </w:r>
    </w:p>
    <w:p w14:paraId="5C52746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3.乙方</w:t>
      </w:r>
      <w:r>
        <w:rPr>
          <w:rFonts w:hint="eastAsia" w:ascii="宋体" w:hAnsi="宋体" w:eastAsia="宋体" w:cs="宋体"/>
          <w:bCs/>
          <w:color w:val="auto"/>
          <w:sz w:val="21"/>
          <w:szCs w:val="21"/>
          <w:highlight w:val="none"/>
        </w:rPr>
        <w:t>须提供本项目所需的全部试剂、耗材，集约化供应的试剂、耗材必须合法合规，须提供试剂、耗材的合格证，且在有效期2/3时间内。合作期间须提供所有试剂、耗材的厂家三证（生产许可证、医疗器械注册证、经营许可证），交予甲方备案。如遇国家法律法规或上级政策变动，部分试剂、耗材纳入集中带量采购中选产品，双方须重新协商确定合作方式，乙方须无条件服从，双方各自承担自身的经济损失，不得因此向对方追偿。</w:t>
      </w:r>
    </w:p>
    <w:p w14:paraId="131ADEC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根据双方确认的甲方合作项目的具体要求，乙方</w:t>
      </w:r>
      <w:r>
        <w:rPr>
          <w:rFonts w:hint="eastAsia" w:ascii="宋体" w:hAnsi="宋体" w:eastAsia="宋体" w:cs="宋体"/>
          <w:bCs/>
          <w:color w:val="auto"/>
          <w:sz w:val="21"/>
          <w:szCs w:val="21"/>
          <w:highlight w:val="none"/>
        </w:rPr>
        <w:t>须为本项目配备相应的驻点支持技术人员，驻点支持技术人员名单须在项目启动时确定并提交给甲方确认。团队人员不得随意变更，如需变更须经甲方同意，更换人员不得低于原人员资质。乙方配备的专业技术人员必须符合国家相关规定要求，对于有执业资格要求的工作岗位，必须做到持证上岗，人证合一，相关资料证件需要提供甲方备案。</w:t>
      </w:r>
      <w:r>
        <w:rPr>
          <w:rFonts w:hint="eastAsia" w:ascii="宋体" w:hAnsi="宋体" w:eastAsia="宋体" w:cs="宋体"/>
          <w:color w:val="auto"/>
          <w:sz w:val="21"/>
          <w:szCs w:val="21"/>
          <w:highlight w:val="none"/>
        </w:rPr>
        <w:t>乙方委派驻点人员应遵守甲方的各项规章制度，乙方</w:t>
      </w:r>
      <w:r>
        <w:rPr>
          <w:rFonts w:hint="eastAsia" w:ascii="宋体" w:hAnsi="宋体" w:eastAsia="宋体" w:cs="宋体"/>
          <w:bCs/>
          <w:color w:val="auto"/>
          <w:sz w:val="21"/>
          <w:szCs w:val="21"/>
          <w:highlight w:val="none"/>
        </w:rPr>
        <w:t>自行负责向驻点人员支付薪酬。</w:t>
      </w:r>
    </w:p>
    <w:p w14:paraId="3C6ED7C0">
      <w:pPr>
        <w:pStyle w:val="12"/>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5.甲方现有的医学检验相关工作人员职位及工作内容不变，并全部投入本项目建设与运营中，合作期内该部分人员的薪酬、五险一金等福利计入本项目的运营成本，由甲方承担，其他新增人员由乙方提供。</w:t>
      </w:r>
    </w:p>
    <w:p w14:paraId="3585E85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合作项目所有人员实行统一管理，但甲乙双方自行负责向各自员工支付薪酬。乙方应有完善的人事管理制度及财务制度，聘用员工应合法，必须与所有员工签订劳动合同，依法为员工购买五险一金，不得拖欠员工工资，合作期内若发生劳务纠纷的与甲方无关。</w:t>
      </w:r>
    </w:p>
    <w:p w14:paraId="4A814BE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甲方提供实验室场地，用于本地化项目检测。乙方根据医院发展需求，协助乙方按照国家实验室要求对检验科进行更新改造（包括但不限于设计、建设、装修、改造等），所涉及的改造内容和费用经协商确定，必要时另行签订补充协议。</w:t>
      </w:r>
    </w:p>
    <w:p w14:paraId="0EDD6F6E">
      <w:pPr>
        <w:pStyle w:val="99"/>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四、合作要求</w:t>
      </w:r>
    </w:p>
    <w:p w14:paraId="5B54430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1.乙方根据</w:t>
      </w:r>
      <w:r>
        <w:rPr>
          <w:rFonts w:hint="eastAsia" w:ascii="宋体" w:hAnsi="宋体" w:eastAsia="宋体" w:cs="宋体"/>
          <w:color w:val="auto"/>
          <w:sz w:val="21"/>
          <w:szCs w:val="21"/>
          <w:highlight w:val="none"/>
        </w:rPr>
        <w:t>检验科</w:t>
      </w:r>
      <w:r>
        <w:rPr>
          <w:rFonts w:hint="eastAsia" w:ascii="宋体" w:hAnsi="宋体" w:eastAsia="宋体" w:cs="宋体"/>
          <w:bCs/>
          <w:color w:val="auto"/>
          <w:sz w:val="21"/>
          <w:szCs w:val="21"/>
          <w:highlight w:val="none"/>
        </w:rPr>
        <w:t>项目建设及运营需求，须制定具有明确时间节点的合作方案。</w:t>
      </w:r>
    </w:p>
    <w:p w14:paraId="035590F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提供的所有设备设施及试剂耗材，须经甲方相关部门准入审查、备案后，方可进场供检验科实验室使用，且必须在符合医疗器械监督管理条例、一次性使用无菌器械管理办法等法律法规、制度的前提下使用。</w:t>
      </w:r>
    </w:p>
    <w:p w14:paraId="7D7988A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乙方负责项目新增</w:t>
      </w:r>
      <w:r>
        <w:rPr>
          <w:rFonts w:hint="eastAsia" w:ascii="宋体" w:hAnsi="宋体" w:eastAsia="宋体" w:cs="宋体"/>
          <w:color w:val="auto"/>
          <w:sz w:val="21"/>
          <w:szCs w:val="21"/>
          <w:highlight w:val="none"/>
          <w:lang w:eastAsia="zh-CN"/>
        </w:rPr>
        <w:t>及现有</w:t>
      </w:r>
      <w:r>
        <w:rPr>
          <w:rFonts w:hint="eastAsia" w:ascii="宋体" w:hAnsi="宋体" w:eastAsia="宋体" w:cs="宋体"/>
          <w:color w:val="auto"/>
          <w:sz w:val="21"/>
          <w:szCs w:val="21"/>
          <w:highlight w:val="none"/>
        </w:rPr>
        <w:t>设备的日常维护保养。如遇设备故障，乙方应及时响应并配合厂家保修服务；如24小时内无法修好需应急处理的，由乙方联系将标本转送其他实验室检验，涉及费用由乙方承担。</w:t>
      </w:r>
    </w:p>
    <w:p w14:paraId="24424AC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4.乙方负责实验室的设备和设施更新改造投入，保证达到国家建设标准的临床检验实验室水平。</w:t>
      </w:r>
    </w:p>
    <w:p w14:paraId="2BC1CE58">
      <w:pPr>
        <w:pStyle w:val="99"/>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五、合作质量标准</w:t>
      </w:r>
    </w:p>
    <w:p w14:paraId="7723B5E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乙方所提供的服务必须符合医疗机构管理条例，无条件执行甲方管理制度</w:t>
      </w:r>
      <w:r>
        <w:rPr>
          <w:rFonts w:hint="eastAsia" w:ascii="宋体" w:hAnsi="宋体" w:eastAsia="宋体" w:cs="宋体"/>
          <w:bCs/>
          <w:color w:val="auto"/>
          <w:sz w:val="21"/>
          <w:szCs w:val="21"/>
          <w:highlight w:val="none"/>
        </w:rPr>
        <w:t>所要求的相关工作。因乙方行为违反相关政策法规、技术规范、管理制度而引发的争议、纠纷、事故，由乙方负责处理和赔偿，甲方不承担赔偿责任。</w:t>
      </w:r>
    </w:p>
    <w:p w14:paraId="28EEFBA3">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乙方在合作期间，须按要求参加国家卫生部及省临床检验中心组织的室间质评，成绩合格。</w:t>
      </w:r>
    </w:p>
    <w:p w14:paraId="229094F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3.在合作期间内，因为乙方提供的设备、试剂、耗材等因素，导致甲方检验科参加各级室间质评成绩不合格的，甲方检验科有权提出要求更换相应设备、试剂、耗材品牌，直至成绩合格，保证检验质量。</w:t>
      </w:r>
    </w:p>
    <w:p w14:paraId="008507B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4.乙方拥有检验检测的技术支撑，可根据项目开展需求提供技术指导，必要时派遣技术指导人员驻点</w:t>
      </w:r>
      <w:r>
        <w:rPr>
          <w:rFonts w:hint="eastAsia" w:ascii="宋体" w:hAnsi="宋体" w:eastAsia="宋体" w:cs="宋体"/>
          <w:color w:val="auto"/>
          <w:sz w:val="21"/>
          <w:szCs w:val="21"/>
          <w:highlight w:val="none"/>
        </w:rPr>
        <w:t>检验科</w:t>
      </w:r>
      <w:r>
        <w:rPr>
          <w:rFonts w:hint="eastAsia" w:ascii="宋体" w:hAnsi="宋体" w:eastAsia="宋体" w:cs="宋体"/>
          <w:bCs/>
          <w:color w:val="auto"/>
          <w:sz w:val="21"/>
          <w:szCs w:val="21"/>
          <w:highlight w:val="none"/>
        </w:rPr>
        <w:t>实验室，并通过聘请国内外专家等方式组织专业技术培训、学术活动，持续提高甲方检验检测技术水平。</w:t>
      </w:r>
    </w:p>
    <w:p w14:paraId="208F548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5.乙方协助甲方</w:t>
      </w:r>
      <w:r>
        <w:rPr>
          <w:rFonts w:hint="eastAsia" w:ascii="宋体" w:hAnsi="宋体" w:eastAsia="宋体" w:cs="宋体"/>
          <w:color w:val="auto"/>
          <w:sz w:val="21"/>
          <w:szCs w:val="21"/>
          <w:highlight w:val="none"/>
        </w:rPr>
        <w:t>检验科按</w:t>
      </w:r>
      <w:r>
        <w:rPr>
          <w:rFonts w:hint="eastAsia" w:ascii="宋体" w:hAnsi="宋体" w:eastAsia="宋体" w:cs="宋体"/>
          <w:bCs/>
          <w:color w:val="auto"/>
          <w:sz w:val="21"/>
          <w:szCs w:val="21"/>
          <w:highlight w:val="none"/>
          <w:lang w:eastAsia="zh-Hans"/>
        </w:rPr>
        <w:t>IS</w:t>
      </w:r>
      <w:r>
        <w:rPr>
          <w:rFonts w:hint="eastAsia" w:ascii="宋体" w:hAnsi="宋体" w:eastAsia="宋体" w:cs="宋体"/>
          <w:bCs/>
          <w:color w:val="auto"/>
          <w:sz w:val="21"/>
          <w:szCs w:val="21"/>
          <w:highlight w:val="none"/>
        </w:rPr>
        <w:t>O</w:t>
      </w:r>
      <w:r>
        <w:rPr>
          <w:rFonts w:hint="eastAsia" w:ascii="宋体" w:hAnsi="宋体" w:eastAsia="宋体" w:cs="宋体"/>
          <w:bCs/>
          <w:color w:val="auto"/>
          <w:sz w:val="21"/>
          <w:szCs w:val="21"/>
          <w:highlight w:val="none"/>
          <w:lang w:eastAsia="zh-Hans"/>
        </w:rPr>
        <w:t>15189</w:t>
      </w:r>
      <w:r>
        <w:rPr>
          <w:rFonts w:hint="eastAsia" w:ascii="宋体" w:hAnsi="宋体" w:eastAsia="宋体" w:cs="宋体"/>
          <w:bCs/>
          <w:color w:val="auto"/>
          <w:sz w:val="21"/>
          <w:szCs w:val="21"/>
          <w:highlight w:val="none"/>
        </w:rPr>
        <w:t>标准</w:t>
      </w:r>
      <w:r>
        <w:rPr>
          <w:rFonts w:hint="eastAsia" w:ascii="宋体" w:hAnsi="宋体" w:eastAsia="宋体" w:cs="宋体"/>
          <w:bCs/>
          <w:color w:val="auto"/>
          <w:sz w:val="21"/>
          <w:szCs w:val="21"/>
          <w:highlight w:val="none"/>
          <w:lang w:eastAsia="zh-Hans"/>
        </w:rPr>
        <w:t>进行质量体系建设</w:t>
      </w:r>
      <w:r>
        <w:rPr>
          <w:rFonts w:hint="eastAsia" w:ascii="宋体" w:hAnsi="宋体" w:eastAsia="宋体" w:cs="宋体"/>
          <w:bCs/>
          <w:color w:val="auto"/>
          <w:sz w:val="21"/>
          <w:szCs w:val="21"/>
          <w:highlight w:val="none"/>
        </w:rPr>
        <w:t>。</w:t>
      </w:r>
    </w:p>
    <w:p w14:paraId="28505DED">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六、合作验收考核</w:t>
      </w:r>
    </w:p>
    <w:p w14:paraId="08879B23">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1.项目合作验收标准：合同签订后3个月内，乙方须配合甲方提供</w:t>
      </w:r>
      <w:r>
        <w:rPr>
          <w:rFonts w:hint="eastAsia" w:ascii="宋体" w:hAnsi="宋体" w:eastAsia="宋体" w:cs="宋体"/>
          <w:color w:val="auto"/>
          <w:sz w:val="21"/>
          <w:szCs w:val="21"/>
          <w:highlight w:val="none"/>
          <w:lang w:eastAsia="zh-Hans"/>
        </w:rPr>
        <w:t>项目整体建设</w:t>
      </w:r>
      <w:r>
        <w:rPr>
          <w:rFonts w:hint="eastAsia" w:ascii="宋体" w:hAnsi="宋体" w:eastAsia="宋体" w:cs="宋体"/>
          <w:color w:val="auto"/>
          <w:sz w:val="21"/>
          <w:szCs w:val="21"/>
          <w:highlight w:val="none"/>
        </w:rPr>
        <w:t>运营服务，实现检验科平稳高效运行，届时由甲方组织专家团队进行项目合作验收。</w:t>
      </w:r>
    </w:p>
    <w:p w14:paraId="2D174ADC">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2.项目合作考核标准：具体考核内容见附件3。</w:t>
      </w:r>
    </w:p>
    <w:p w14:paraId="33858CA0">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25" w:name="_Toc74232292"/>
      <w:bookmarkStart w:id="26" w:name="_Toc9584285"/>
      <w:bookmarkStart w:id="27" w:name="_Toc58230123"/>
      <w:bookmarkStart w:id="28" w:name="_Toc78970063"/>
      <w:bookmarkStart w:id="29" w:name="_Toc531940656"/>
      <w:bookmarkStart w:id="30" w:name="_Toc8391481"/>
      <w:bookmarkStart w:id="31" w:name="_Toc516815396"/>
      <w:bookmarkStart w:id="32" w:name="_Toc79162433"/>
      <w:bookmarkStart w:id="33" w:name="_Toc479238946"/>
      <w:bookmarkStart w:id="34" w:name="_Toc80092082"/>
      <w:bookmarkStart w:id="35" w:name="_Toc79762337"/>
      <w:bookmarkStart w:id="36" w:name="_Toc536523239"/>
      <w:bookmarkStart w:id="37" w:name="_Toc500952632"/>
      <w:bookmarkStart w:id="38" w:name="_Toc79767440"/>
      <w:bookmarkStart w:id="39" w:name="_Toc531940583"/>
      <w:bookmarkStart w:id="40" w:name="_Toc84067374"/>
      <w:bookmarkStart w:id="41" w:name="_Toc83672983"/>
      <w:bookmarkStart w:id="42" w:name="_Toc84058825"/>
      <w:r>
        <w:rPr>
          <w:rFonts w:hint="eastAsia" w:ascii="宋体" w:hAnsi="宋体" w:eastAsia="宋体" w:cs="宋体"/>
          <w:b/>
          <w:bCs/>
          <w:color w:val="auto"/>
          <w:sz w:val="21"/>
          <w:szCs w:val="21"/>
          <w:highlight w:val="none"/>
        </w:rPr>
        <w:t>七、甲方</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bCs/>
          <w:color w:val="auto"/>
          <w:sz w:val="21"/>
          <w:szCs w:val="21"/>
          <w:highlight w:val="none"/>
        </w:rPr>
        <w:t>权利义务</w:t>
      </w:r>
      <w:bookmarkEnd w:id="40"/>
      <w:bookmarkEnd w:id="41"/>
      <w:bookmarkEnd w:id="42"/>
    </w:p>
    <w:p w14:paraId="2376BB0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1.甲方有权随时检查乙方的服务履行情况，并向乙方提出整改要求，乙方应按甲方要求予以整改。当发生服务违约时，甲方有权要求乙方赔偿。</w:t>
      </w:r>
    </w:p>
    <w:p w14:paraId="610FB9F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2.甲方应确保合作的合法合规性和合作事项的顺利运行，包括必要时向卫生行政部门备案或报批。</w:t>
      </w:r>
    </w:p>
    <w:p w14:paraId="6E8ED3B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验科是甲方的医技科室，属于甲方医院综合运营管理体系范畴，应遵守甲方各项医疗管理规定和日常医院运营要求。甲方应不断完善医院的组织管理、医疗质量管理、设备管理、技术研发管理、财务管理、人事管理、岗位职责标准和岗位考评标准等管理体系和管理职责的落实。</w:t>
      </w:r>
    </w:p>
    <w:p w14:paraId="0409CCA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4.甲方应加强医院的医疗质量与医疗安全管理体系，包括对实验室的医疗质量和医疗安全的管理。若因乙方服务原因导致医疗纠纷的，甲方有权向乙方追责。</w:t>
      </w:r>
    </w:p>
    <w:p w14:paraId="71FFACE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5.甲方须安排积极支持且熟悉项目工作的专人，与乙方对接和统筹协调合作过程中的相关事项。</w:t>
      </w:r>
    </w:p>
    <w:p w14:paraId="7D04AF3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6.检验科开展可用于科研的技术项目，必要时双方向相应行政部门备案、审批。</w:t>
      </w:r>
    </w:p>
    <w:p w14:paraId="7A7ADEAB">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八、乙方权利义务</w:t>
      </w:r>
    </w:p>
    <w:p w14:paraId="61B9419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1.乙方应按甲乙双方确定的合作项目，为甲方实验室提供全面专业的建设运营服务。</w:t>
      </w:r>
    </w:p>
    <w:p w14:paraId="731B7399">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2.乙方协助甲方推进实验室质量体系建设工作，并根据甲方需要，</w:t>
      </w:r>
      <w:r>
        <w:rPr>
          <w:rFonts w:hint="eastAsia" w:ascii="宋体" w:hAnsi="宋体" w:eastAsia="宋体" w:cs="宋体"/>
          <w:bCs/>
          <w:color w:val="auto"/>
          <w:sz w:val="21"/>
          <w:szCs w:val="21"/>
          <w:highlight w:val="none"/>
          <w:lang w:eastAsia="zh-Hans"/>
        </w:rPr>
        <w:t>协助</w:t>
      </w:r>
      <w:r>
        <w:rPr>
          <w:rFonts w:hint="eastAsia" w:ascii="宋体" w:hAnsi="宋体" w:eastAsia="宋体" w:cs="宋体"/>
          <w:color w:val="auto"/>
          <w:sz w:val="21"/>
          <w:szCs w:val="21"/>
          <w:highlight w:val="none"/>
        </w:rPr>
        <w:t>检验科按照 ISO15189 的质量标准</w:t>
      </w:r>
      <w:r>
        <w:rPr>
          <w:rFonts w:hint="eastAsia" w:ascii="宋体" w:hAnsi="宋体" w:eastAsia="宋体" w:cs="宋体"/>
          <w:bCs/>
          <w:color w:val="auto"/>
          <w:sz w:val="21"/>
          <w:szCs w:val="21"/>
          <w:highlight w:val="none"/>
          <w:lang w:eastAsia="zh-Hans"/>
        </w:rPr>
        <w:t>进行质量体系建设，</w:t>
      </w:r>
      <w:r>
        <w:rPr>
          <w:rFonts w:hint="eastAsia" w:ascii="宋体" w:hAnsi="宋体" w:eastAsia="宋体" w:cs="宋体"/>
          <w:color w:val="auto"/>
          <w:sz w:val="21"/>
          <w:szCs w:val="21"/>
          <w:highlight w:val="none"/>
        </w:rPr>
        <w:t>协助实验室高质量运行</w:t>
      </w:r>
      <w:r>
        <w:rPr>
          <w:rFonts w:hint="eastAsia" w:ascii="宋体" w:hAnsi="宋体" w:eastAsia="宋体" w:cs="宋体"/>
          <w:bCs/>
          <w:color w:val="auto"/>
          <w:sz w:val="21"/>
          <w:szCs w:val="21"/>
          <w:highlight w:val="none"/>
        </w:rPr>
        <w:t>。</w:t>
      </w:r>
    </w:p>
    <w:p w14:paraId="7102FDF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根据甲方要求，参与甲方主持召开的实验室的管理和发展研讨会，就甲方实验室的人才培养等提供专业意见，有责任就医学检验技术的发展、新项目建设等甲方实验室学科建设，向甲方提供专业意见，以协助甲方提升管理水平、检测质量、检测水平及服务能力。</w:t>
      </w:r>
    </w:p>
    <w:p w14:paraId="03FE722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4.乙方根据甲方实验室发展情况，安排专家为甲方提供检验项目临床应用、实验室管理与质量控制等培训，甲方需全力配合。</w:t>
      </w:r>
    </w:p>
    <w:p w14:paraId="3673D2D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双方确认的甲方合作项目的具体要求，乙方必要时可委派人员驻点完成技术服务。根据甲方需要，与甲方商定委派人员，对实验室的检验技术、检验方法、检验质量、检验流程、标本检测、科室运营等提供专业技术指导及支持。合作期间，实验室如需乙方新增或调整委派人员的，乙方可视合作情况确定。乙方委派驻点人员应遵守甲方的各项规章制度。</w:t>
      </w:r>
    </w:p>
    <w:p w14:paraId="641DDAC8">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6.乙方可根据甲方合作项目的具体要求，为甲方实验室学科建设提供建议，视情况加强对甲方实验室人员的专业技术培训，协助提升检验结果的质量及效率。</w:t>
      </w:r>
    </w:p>
    <w:p w14:paraId="5E8AC86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7.乙方将不定期提供检验技术和管理相关培训，包括委派相关人员到甲方进行带教工作，协助甲方实验室的学科建设。</w:t>
      </w:r>
    </w:p>
    <w:p w14:paraId="462F6E3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为实验室的信息化系统建设提供专业意见，如需信息系统对接的，乙方可根据甲方原系统厂家开放的接口提供相应的对接程序，并协助配合实现甲乙双方的信息系统对接。如需要安装服务器的，由相关服务商进行服务器安装、调试，乙方提供协助。</w:t>
      </w:r>
    </w:p>
    <w:p w14:paraId="5EC7CAD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9.乙方必须遵守医学伦理基本准则，不得擅自调用、处理和外传实验室相关数据和患者信息，由乙方泄漏实验室及患者信息导致的医疗纠纷，乙方需承担全部责任并采取必要措施恢复甲方名誉。</w:t>
      </w:r>
    </w:p>
    <w:p w14:paraId="6C6CC88F">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九、保密约定</w:t>
      </w:r>
    </w:p>
    <w:p w14:paraId="00B8B76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1.双方应对合作商谈过程中及合同签订、履约中，从</w:t>
      </w:r>
      <w:r>
        <w:rPr>
          <w:rFonts w:hint="eastAsia" w:ascii="宋体" w:hAnsi="宋体" w:eastAsia="宋体" w:cs="宋体"/>
          <w:color w:val="auto"/>
          <w:sz w:val="21"/>
          <w:szCs w:val="21"/>
          <w:highlight w:val="none"/>
        </w:rPr>
        <w:t>另一方获得的与另一方、另一方的关联方有关的</w:t>
      </w:r>
      <w:r>
        <w:rPr>
          <w:rFonts w:hint="eastAsia" w:ascii="宋体" w:hAnsi="宋体" w:eastAsia="宋体" w:cs="宋体"/>
          <w:color w:val="auto"/>
          <w:sz w:val="21"/>
          <w:szCs w:val="21"/>
          <w:highlight w:val="none"/>
        </w:rPr>
        <w:t>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患者信息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营、技术、商业、财务、广告、人事、法律和其它信息严格保密，任一方未经另一方书面同意，不得将该保密信息透漏给任何第三方，应永久保密。违反保密责任的一方应向另一方支付违约金100万元，违约金不足以弥补实际损失的，以实际损失为准</w:t>
      </w:r>
      <w:r>
        <w:rPr>
          <w:rFonts w:hint="eastAsia" w:ascii="宋体" w:hAnsi="宋体" w:eastAsia="宋体" w:cs="宋体"/>
          <w:color w:val="auto"/>
          <w:sz w:val="21"/>
          <w:szCs w:val="21"/>
          <w:highlight w:val="none"/>
          <w:lang w:eastAsia="zh-CN"/>
        </w:rPr>
        <w:t>，泄密后果将追究法律责任</w:t>
      </w:r>
      <w:r>
        <w:rPr>
          <w:rFonts w:hint="eastAsia" w:ascii="宋体" w:hAnsi="宋体" w:eastAsia="宋体" w:cs="宋体"/>
          <w:color w:val="auto"/>
          <w:sz w:val="21"/>
          <w:szCs w:val="21"/>
          <w:highlight w:val="none"/>
        </w:rPr>
        <w:t xml:space="preserve">。(备注:特殊项目应另行签订保密协议。) </w:t>
      </w:r>
    </w:p>
    <w:p w14:paraId="57E418CD">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深知个人信息等受监管数据依法依规处理及保护的重要性，各方应当按照法律法规、相关标准等规定，采取相应的安全保护措施保护及处理受检者的个人信息及受监管的数据。一方因履行本协议之目的交付、传输给另一方的个人信息、数据等，接收方及其工作人员应按法律法规的要求进行保护及处理。</w:t>
      </w:r>
      <w:r>
        <w:rPr>
          <w:rFonts w:hint="eastAsia" w:ascii="宋体" w:hAnsi="宋体" w:eastAsia="宋体" w:cs="宋体"/>
          <w:color w:val="auto"/>
          <w:sz w:val="21"/>
          <w:szCs w:val="21"/>
          <w:highlight w:val="none"/>
        </w:rPr>
        <w:t xml:space="preserve">否则，违规方应承担因此导致的受检者个人信息泄露产生的相关责任及损失，并赔偿另一方损失。 </w:t>
      </w:r>
    </w:p>
    <w:p w14:paraId="0DE06F39">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十、</w:t>
      </w:r>
      <w:bookmarkStart w:id="43" w:name="_Toc71385563"/>
      <w:bookmarkStart w:id="44" w:name="_Toc101431244"/>
      <w:bookmarkStart w:id="45" w:name="_Toc71642570"/>
      <w:r>
        <w:rPr>
          <w:rFonts w:hint="eastAsia" w:ascii="宋体" w:hAnsi="宋体" w:eastAsia="宋体" w:cs="宋体"/>
          <w:b/>
          <w:bCs/>
          <w:color w:val="auto"/>
          <w:sz w:val="21"/>
          <w:szCs w:val="21"/>
          <w:highlight w:val="none"/>
        </w:rPr>
        <w:t>违约责任与赔偿损失</w:t>
      </w:r>
      <w:bookmarkEnd w:id="43"/>
      <w:bookmarkEnd w:id="44"/>
      <w:bookmarkEnd w:id="45"/>
    </w:p>
    <w:p w14:paraId="1F12060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因甲乙双方的主观原因导致本协议的主要合作内容不能实现的，经对方书面催告后仍未纠正的，未遵守协议的一方应向对方赔偿相应损失，具体金额由双方协商确定，损失赔付额不低于100万元，如不能弥补实际损失的，以实际损失为准。因</w:t>
      </w:r>
      <w:r>
        <w:rPr>
          <w:rFonts w:hint="eastAsia" w:ascii="宋体" w:hAnsi="宋体" w:eastAsia="宋体" w:cs="宋体"/>
          <w:color w:val="auto"/>
          <w:spacing w:val="10"/>
          <w:sz w:val="21"/>
          <w:szCs w:val="21"/>
          <w:highlight w:val="none"/>
        </w:rPr>
        <w:t>国家法律法规、上级政策变动或不可抗力因素所导致的合作终止除外。</w:t>
      </w:r>
    </w:p>
    <w:p w14:paraId="29A6BC54">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试剂耗材不符合协议约定的，甲方有权拒收，并要求乙方更换。乙方应于10天内重新提供符合协议约定的试剂、耗材，否则按逾期处理。逾期时间自最初约定供货截止日的次日起计，乙方按1万元/日向甲方支付惩罚性违约金。甲方有权直接从应付给乙方的协议款项中扣除该违约金，除甲方另有安排外，乙方应继续向甲方提供试剂、耗材，直至符合要求。</w:t>
      </w:r>
    </w:p>
    <w:p w14:paraId="08F9B022">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当按照本协议的约定配置甲方要求新增的医疗设备，并且负责医疗设备的运输、搬运、安装、调试，承担相应的费用，乙方不能按甲方要求的时间内完成配置的，每逾期一天，按1万元/日向甲方支付惩罚性违约金，逾期超过十天的，甲方有权解除本协议，并向甲方赔偿</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0万元，造成甲方损失的还应当承担全部赔偿责任。</w:t>
      </w:r>
    </w:p>
    <w:p w14:paraId="569124A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负责项目新增设备的日常维保、维修。如遇设备故障，乙方应在接到甲方的故障通知后2小时内予以响应，并配合厂家保修服务；如24小时内无法修好需应急处理的，由乙方联系将标本转送其他实验室检验，涉及费用由乙方承担。若乙方未按本协议的约定提供新增设备的保修服务，甲方有权自行委托第三方提供甲方所需要的技术支持和售后服务，由此造成的包括但不限于第三方维保费用、甲方其他经济损失等均由乙方承担赔偿。</w:t>
      </w:r>
    </w:p>
    <w:p w14:paraId="43090F3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5.未经甲方书面同意，乙方不得全部或部分转让其应履行的合作义务。乙方擅自转包、分包的，甲方有权提前单方解除本协议，并向甲方赔偿</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万元，如造成损失或纠纷，乙方承担相应责任。</w:t>
      </w:r>
    </w:p>
    <w:p w14:paraId="773BF1D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6.因甲方原因导致双方不能合作，甲方应赔偿乙方损失。</w:t>
      </w:r>
      <w:r>
        <w:rPr>
          <w:rFonts w:hint="eastAsia" w:ascii="宋体" w:hAnsi="宋体" w:eastAsia="宋体" w:cs="宋体"/>
          <w:color w:val="auto"/>
          <w:spacing w:val="10"/>
          <w:sz w:val="21"/>
          <w:szCs w:val="21"/>
          <w:highlight w:val="none"/>
        </w:rPr>
        <w:t>合作周期内如遇国家法律法规或上级政策变动而导致项目终止，乙方须无条件服从，且在过渡期间应继续按原协议约定维持项目正常运营。</w:t>
      </w:r>
    </w:p>
    <w:p w14:paraId="17108E0E">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7.本协议的损失还包括但不限于诉讼费、律师费、保全费、担保费、鉴定费、差旅费、调查取证费等合理费用。 </w:t>
      </w:r>
    </w:p>
    <w:p w14:paraId="0435181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8.本协议约定的违约金金额不足弥补非违约方损失的，违约方还应补足差额。</w:t>
      </w:r>
    </w:p>
    <w:p w14:paraId="04934862">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十一、不可抗力</w:t>
      </w:r>
    </w:p>
    <w:p w14:paraId="76A353ED">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1.不可抗力事故系指买卖双方在缔结合同时所不能预见的，并且它的发生及其后果是无法避免和无法克服的事故。受阻一方应在不可抗力事故发生后尽快</w:t>
      </w:r>
      <w:r>
        <w:rPr>
          <w:rFonts w:hint="eastAsia" w:ascii="宋体" w:hAnsi="宋体" w:eastAsia="宋体" w:cs="宋体"/>
          <w:bCs/>
          <w:color w:val="auto"/>
          <w:sz w:val="21"/>
          <w:szCs w:val="21"/>
          <w:highlight w:val="none"/>
        </w:rPr>
        <w:t>用电话、微信、邮件、传真、短信等</w:t>
      </w:r>
      <w:r>
        <w:rPr>
          <w:rFonts w:hint="eastAsia" w:ascii="宋体" w:hAnsi="宋体" w:eastAsia="宋体" w:cs="宋体"/>
          <w:color w:val="auto"/>
          <w:sz w:val="21"/>
          <w:szCs w:val="21"/>
          <w:highlight w:val="none"/>
        </w:rPr>
        <w:t>通知对方，并于事故发生后14天内将有关当局出具的证明文件用特快专递或挂号信寄给对方审阅确认。</w:t>
      </w:r>
    </w:p>
    <w:p w14:paraId="4B6AA60B">
      <w:pPr>
        <w:pStyle w:val="99"/>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约双方任一方由于受诸如战争、严重火灾、洪水、台风、地震、疫情等不可抗力事故的影响而不能执行合同时，经确认后，允许延期履行、部分履行或不履行合同，并根据情况可部分或全部免予承担违约责任。</w:t>
      </w:r>
    </w:p>
    <w:p w14:paraId="3BB25692">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46" w:name="_Toc516815399"/>
      <w:bookmarkStart w:id="47" w:name="_Toc74232295"/>
      <w:bookmarkStart w:id="48" w:name="_Toc531940659"/>
      <w:bookmarkStart w:id="49" w:name="_Toc9584288"/>
      <w:bookmarkStart w:id="50" w:name="_Toc78970066"/>
      <w:bookmarkStart w:id="51" w:name="_Toc83672987"/>
      <w:bookmarkStart w:id="52" w:name="_Toc79762340"/>
      <w:bookmarkStart w:id="53" w:name="_Toc80092085"/>
      <w:bookmarkStart w:id="54" w:name="_Toc84067378"/>
      <w:bookmarkStart w:id="55" w:name="_Toc58230126"/>
      <w:bookmarkStart w:id="56" w:name="_Toc8391484"/>
      <w:bookmarkStart w:id="57" w:name="_Toc79162436"/>
      <w:bookmarkStart w:id="58" w:name="_Toc79767443"/>
      <w:bookmarkStart w:id="59" w:name="_Toc531940586"/>
      <w:bookmarkStart w:id="60" w:name="_Toc479238949"/>
      <w:bookmarkStart w:id="61" w:name="_Toc500952635"/>
      <w:bookmarkStart w:id="62" w:name="_Toc84058829"/>
      <w:bookmarkStart w:id="63" w:name="_Toc536523242"/>
      <w:r>
        <w:rPr>
          <w:rFonts w:hint="eastAsia" w:ascii="宋体" w:hAnsi="宋体" w:eastAsia="宋体" w:cs="宋体"/>
          <w:b/>
          <w:bCs/>
          <w:color w:val="auto"/>
          <w:sz w:val="21"/>
          <w:szCs w:val="21"/>
          <w:highlight w:val="none"/>
        </w:rPr>
        <w:t>十二、争议的解决</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BAA135E">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合同实施或与合同有关的一切争议应通过双方友好协商解决。如果友好协商后还不能解决的按下列第</w:t>
      </w:r>
      <w:r>
        <w:rPr>
          <w:rFonts w:hint="eastAsia" w:ascii="宋体" w:hAnsi="宋体" w:eastAsia="宋体" w:cs="宋体"/>
          <w:color w:val="auto"/>
          <w:sz w:val="21"/>
          <w:szCs w:val="21"/>
          <w:highlight w:val="none"/>
          <w:u w:val="single"/>
        </w:rPr>
        <w:t xml:space="preserve"> B </w:t>
      </w:r>
      <w:r>
        <w:rPr>
          <w:rFonts w:hint="eastAsia" w:ascii="宋体" w:hAnsi="宋体" w:eastAsia="宋体" w:cs="宋体"/>
          <w:color w:val="auto"/>
          <w:sz w:val="21"/>
          <w:szCs w:val="21"/>
          <w:highlight w:val="none"/>
        </w:rPr>
        <w:t>种方式解决。受理期间，双方应继续执行合同其余部分。</w:t>
      </w:r>
    </w:p>
    <w:p w14:paraId="72C9956A">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A、提交珠海仲裁委员会仲裁；              </w:t>
      </w:r>
    </w:p>
    <w:p w14:paraId="795CB202">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B、依法向甲方所在地有管辖权的人民法院提起诉讼。</w:t>
      </w:r>
    </w:p>
    <w:p w14:paraId="7B07A07C">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64" w:name="_Toc74232298"/>
      <w:bookmarkStart w:id="65" w:name="_Toc536523245"/>
      <w:bookmarkStart w:id="66" w:name="_Toc83672990"/>
      <w:bookmarkStart w:id="67" w:name="_Toc80092088"/>
      <w:bookmarkStart w:id="68" w:name="_Toc516815402"/>
      <w:bookmarkStart w:id="69" w:name="_Toc84067381"/>
      <w:bookmarkStart w:id="70" w:name="_Toc8391487"/>
      <w:bookmarkStart w:id="71" w:name="_Toc500952638"/>
      <w:bookmarkStart w:id="72" w:name="_Toc79762343"/>
      <w:bookmarkStart w:id="73" w:name="_Toc531940662"/>
      <w:bookmarkStart w:id="74" w:name="_Toc78970069"/>
      <w:bookmarkStart w:id="75" w:name="_Toc531940589"/>
      <w:bookmarkStart w:id="76" w:name="_Toc9584291"/>
      <w:bookmarkStart w:id="77" w:name="_Toc84058832"/>
      <w:bookmarkStart w:id="78" w:name="_Toc58230129"/>
      <w:bookmarkStart w:id="79" w:name="_Toc479238952"/>
      <w:bookmarkStart w:id="80" w:name="_Toc79162439"/>
      <w:bookmarkStart w:id="81" w:name="_Toc79767446"/>
      <w:r>
        <w:rPr>
          <w:rFonts w:hint="eastAsia" w:ascii="宋体" w:hAnsi="宋体" w:eastAsia="宋体" w:cs="宋体"/>
          <w:b/>
          <w:bCs/>
          <w:color w:val="auto"/>
          <w:sz w:val="21"/>
          <w:szCs w:val="21"/>
          <w:highlight w:val="none"/>
        </w:rPr>
        <w:t>十三、廉洁条款</w:t>
      </w:r>
    </w:p>
    <w:p w14:paraId="244B2636">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1.甲乙双方通力合作共同禁止违反《反不正当竞争法》、《关于禁止商业贿赂行为的暂行规定》等相关法律法规规定的不正当竞争行为。 </w:t>
      </w:r>
    </w:p>
    <w:p w14:paraId="2F28669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2.甲乙双方工作人员不得以私自收费、私自送检等任何方式，实施损害双方或任一方权益的行为。 </w:t>
      </w:r>
    </w:p>
    <w:p w14:paraId="082368B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3.任一方工作人员要求对方给予其任何形式的不正当利益，对方必须及时向工作人员所属方进行投诉或反馈，并协助提供相关证据。 </w:t>
      </w:r>
    </w:p>
    <w:p w14:paraId="476AE8EF">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4.双方设定专线接受投诉，如双方的工作人员存在行贿或受贿累计额较大，构成违法犯罪的，移交给国家相应的司法机关处理，双方应积极配合司法机关的处理。 </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08A37AB5">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82" w:name="_Toc536523246"/>
      <w:bookmarkStart w:id="83" w:name="_Toc479238953"/>
      <w:bookmarkStart w:id="84" w:name="_Toc531940590"/>
      <w:bookmarkStart w:id="85" w:name="_Toc74232299"/>
      <w:bookmarkStart w:id="86" w:name="_Toc84058833"/>
      <w:bookmarkStart w:id="87" w:name="_Toc79162440"/>
      <w:bookmarkStart w:id="88" w:name="_Toc531940663"/>
      <w:bookmarkStart w:id="89" w:name="_Toc58230130"/>
      <w:bookmarkStart w:id="90" w:name="_Toc83672991"/>
      <w:bookmarkStart w:id="91" w:name="_Toc9584292"/>
      <w:bookmarkStart w:id="92" w:name="_Toc78970070"/>
      <w:bookmarkStart w:id="93" w:name="_Toc500952639"/>
      <w:bookmarkStart w:id="94" w:name="_Toc79767447"/>
      <w:bookmarkStart w:id="95" w:name="_Toc84067382"/>
      <w:bookmarkStart w:id="96" w:name="_Toc79762344"/>
      <w:bookmarkStart w:id="97" w:name="_Toc516815403"/>
      <w:bookmarkStart w:id="98" w:name="_Toc8391488"/>
      <w:bookmarkStart w:id="99" w:name="_Toc80092089"/>
      <w:r>
        <w:rPr>
          <w:rFonts w:hint="eastAsia" w:ascii="宋体" w:hAnsi="宋体" w:eastAsia="宋体" w:cs="宋体"/>
          <w:b/>
          <w:bCs/>
          <w:color w:val="auto"/>
          <w:sz w:val="21"/>
          <w:szCs w:val="21"/>
          <w:highlight w:val="none"/>
        </w:rPr>
        <w:t>十四、其他</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45DE93A">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1.本协议签订后，需变更、补充或未尽事宜，均由甲乙双方协商并签订经双方签字盖章的书面协议后生效，否则视为无效。</w:t>
      </w:r>
    </w:p>
    <w:p w14:paraId="215FE160">
      <w:pPr>
        <w:pStyle w:val="99"/>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2.详细价格、合作细则及其它有关协议的特定信息由协议附件说明。所有附件及本项目的遴选文件、</w:t>
      </w:r>
      <w:r>
        <w:rPr>
          <w:rFonts w:hint="eastAsia"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文件、会议纪要、书面承诺、补充协议等均为本协议不可分割之一部分，具有补充、说明、解释协议的作用，对双方有约束力。</w:t>
      </w:r>
    </w:p>
    <w:p w14:paraId="79C1EC53">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十五、特别提示事项</w:t>
      </w:r>
    </w:p>
    <w:p w14:paraId="7CE38AAC">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本协议是甲乙双方在自愿、平等、协商一致的基础上签订，甲乙双方已充分理解各自的责任，清楚了解所有合同条款的含义及相应法律后果并接受，且均无异议和不明确之处。</w:t>
      </w:r>
    </w:p>
    <w:p w14:paraId="23530D73">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十六、附则</w:t>
      </w:r>
    </w:p>
    <w:p w14:paraId="188D85E4">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1.本协议在甲乙双方法人代表或其授权代表签字盖章后生效（协议签署日期以较迟签注的日期为准）。</w:t>
      </w:r>
    </w:p>
    <w:p w14:paraId="142E7ED4">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w:t>
      </w:r>
    </w:p>
    <w:p w14:paraId="37957A31">
      <w:pPr>
        <w:keepNext w:val="0"/>
        <w:keepLines w:val="0"/>
        <w:pageBreakBefore w:val="0"/>
        <w:tabs>
          <w:tab w:val="left" w:pos="1635"/>
        </w:tabs>
        <w:kinsoku/>
        <w:wordWrap/>
        <w:overflowPunct/>
        <w:topLinePunct w:val="0"/>
        <w:bidi w:val="0"/>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十七、附件</w:t>
      </w:r>
    </w:p>
    <w:p w14:paraId="3C37D300">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附件1、中标通知书</w:t>
      </w:r>
    </w:p>
    <w:p w14:paraId="7495A1B9">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附件2、检测项目清单</w:t>
      </w:r>
    </w:p>
    <w:p w14:paraId="7718F405">
      <w:pPr>
        <w:keepNext w:val="0"/>
        <w:keepLines w:val="0"/>
        <w:pageBreakBefore w:val="0"/>
        <w:tabs>
          <w:tab w:val="left" w:pos="1635"/>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附件3、项目合作考核内容</w:t>
      </w:r>
    </w:p>
    <w:tbl>
      <w:tblPr>
        <w:tblStyle w:val="39"/>
        <w:tblW w:w="0" w:type="auto"/>
        <w:tblInd w:w="0" w:type="dxa"/>
        <w:tblLayout w:type="fixed"/>
        <w:tblCellMar>
          <w:top w:w="0" w:type="dxa"/>
          <w:left w:w="108" w:type="dxa"/>
          <w:bottom w:w="0" w:type="dxa"/>
          <w:right w:w="108" w:type="dxa"/>
        </w:tblCellMar>
      </w:tblPr>
      <w:tblGrid>
        <w:gridCol w:w="10080"/>
      </w:tblGrid>
      <w:tr w14:paraId="248145AF">
        <w:tblPrEx>
          <w:tblCellMar>
            <w:top w:w="0" w:type="dxa"/>
            <w:left w:w="108" w:type="dxa"/>
            <w:bottom w:w="0" w:type="dxa"/>
            <w:right w:w="108" w:type="dxa"/>
          </w:tblCellMar>
        </w:tblPrEx>
        <w:trPr>
          <w:trHeight w:val="2472" w:hRule="atLeast"/>
        </w:trPr>
        <w:tc>
          <w:tcPr>
            <w:tcW w:w="10080" w:type="dxa"/>
            <w:noWrap w:val="0"/>
            <w:vAlign w:val="top"/>
          </w:tcPr>
          <w:p w14:paraId="3C44BEFF">
            <w:pPr>
              <w:keepNext w:val="0"/>
              <w:keepLines w:val="0"/>
              <w:suppressLineNumbers w:val="0"/>
              <w:tabs>
                <w:tab w:val="left" w:pos="1635"/>
              </w:tabs>
              <w:spacing w:before="0" w:beforeAutospacing="0" w:after="0" w:afterAutospacing="0" w:line="360" w:lineRule="auto"/>
              <w:ind w:left="0" w:right="0"/>
              <w:rPr>
                <w:rFonts w:hint="eastAsia"/>
                <w:color w:val="auto"/>
                <w:highlight w:val="none"/>
              </w:rPr>
            </w:pPr>
          </w:p>
          <w:p w14:paraId="3FD4CD7F">
            <w:pPr>
              <w:keepNext w:val="0"/>
              <w:keepLines w:val="0"/>
              <w:suppressLineNumbers w:val="0"/>
              <w:tabs>
                <w:tab w:val="left" w:pos="1635"/>
              </w:tabs>
              <w:spacing w:before="0" w:beforeAutospacing="0" w:after="0" w:afterAutospacing="0" w:line="360" w:lineRule="auto"/>
              <w:ind w:left="0" w:right="0"/>
              <w:rPr>
                <w:rFonts w:hint="eastAsia"/>
                <w:color w:val="auto"/>
                <w:highlight w:val="none"/>
              </w:rPr>
            </w:pPr>
            <w:r>
              <w:rPr>
                <w:rFonts w:hint="eastAsia"/>
                <w:color w:val="auto"/>
                <w:highlight w:val="none"/>
              </w:rPr>
              <w:t xml:space="preserve">甲方： </w:t>
            </w:r>
            <w:r>
              <w:rPr>
                <w:rFonts w:hint="default"/>
                <w:color w:val="auto"/>
                <w:highlight w:val="none"/>
              </w:rPr>
              <w:t xml:space="preserve">             </w:t>
            </w:r>
            <w:r>
              <w:rPr>
                <w:rFonts w:hint="eastAsia"/>
                <w:color w:val="auto"/>
                <w:highlight w:val="none"/>
              </w:rPr>
              <w:t xml:space="preserve">                       乙方： </w:t>
            </w:r>
          </w:p>
          <w:p w14:paraId="0D9947F4">
            <w:pPr>
              <w:keepNext w:val="0"/>
              <w:keepLines w:val="0"/>
              <w:suppressLineNumbers w:val="0"/>
              <w:tabs>
                <w:tab w:val="left" w:pos="1635"/>
              </w:tabs>
              <w:spacing w:before="0" w:beforeAutospacing="0" w:after="0" w:afterAutospacing="0" w:line="360" w:lineRule="auto"/>
              <w:ind w:left="0" w:right="0"/>
              <w:rPr>
                <w:rFonts w:hint="eastAsia"/>
                <w:color w:val="auto"/>
                <w:highlight w:val="none"/>
              </w:rPr>
            </w:pPr>
            <w:r>
              <w:rPr>
                <w:rFonts w:hint="eastAsia"/>
                <w:color w:val="auto"/>
                <w:highlight w:val="none"/>
              </w:rPr>
              <w:t xml:space="preserve">法定代表人（或负责人）：                   法定代表人（或负责人）： </w:t>
            </w:r>
          </w:p>
          <w:p w14:paraId="29E5186F">
            <w:pPr>
              <w:keepNext w:val="0"/>
              <w:keepLines w:val="0"/>
              <w:suppressLineNumbers w:val="0"/>
              <w:tabs>
                <w:tab w:val="left" w:pos="1635"/>
              </w:tabs>
              <w:spacing w:before="0" w:beforeAutospacing="0" w:after="0" w:afterAutospacing="0" w:line="360" w:lineRule="auto"/>
              <w:ind w:left="0" w:right="0"/>
              <w:rPr>
                <w:rFonts w:hint="eastAsia"/>
                <w:color w:val="auto"/>
                <w:highlight w:val="none"/>
              </w:rPr>
            </w:pPr>
            <w:r>
              <w:rPr>
                <w:rFonts w:hint="eastAsia"/>
                <w:color w:val="auto"/>
                <w:highlight w:val="none"/>
              </w:rPr>
              <w:t>委托代理人：                               委托代理人：</w:t>
            </w:r>
          </w:p>
          <w:p w14:paraId="792FF353">
            <w:pPr>
              <w:keepNext w:val="0"/>
              <w:keepLines w:val="0"/>
              <w:suppressLineNumbers w:val="0"/>
              <w:tabs>
                <w:tab w:val="left" w:pos="1635"/>
              </w:tabs>
              <w:spacing w:before="0" w:beforeAutospacing="0" w:after="0" w:afterAutospacing="0" w:line="360" w:lineRule="auto"/>
              <w:ind w:left="0" w:right="0"/>
              <w:rPr>
                <w:rFonts w:hint="eastAsia"/>
                <w:color w:val="auto"/>
                <w:highlight w:val="none"/>
              </w:rPr>
            </w:pPr>
            <w:r>
              <w:rPr>
                <w:rFonts w:hint="eastAsia"/>
                <w:color w:val="auto"/>
                <w:highlight w:val="none"/>
              </w:rPr>
              <w:t xml:space="preserve">地址： </w:t>
            </w:r>
            <w:r>
              <w:rPr>
                <w:rFonts w:hint="default"/>
                <w:color w:val="auto"/>
                <w:highlight w:val="none"/>
              </w:rPr>
              <w:t xml:space="preserve">                      </w:t>
            </w:r>
            <w:r>
              <w:rPr>
                <w:rFonts w:hint="eastAsia"/>
                <w:color w:val="auto"/>
                <w:highlight w:val="none"/>
              </w:rPr>
              <w:t xml:space="preserve">              地址： </w:t>
            </w:r>
          </w:p>
          <w:p w14:paraId="4F905306">
            <w:pPr>
              <w:keepNext w:val="0"/>
              <w:keepLines w:val="0"/>
              <w:suppressLineNumbers w:val="0"/>
              <w:tabs>
                <w:tab w:val="left" w:pos="1635"/>
              </w:tabs>
              <w:spacing w:before="0" w:beforeAutospacing="0" w:after="0" w:afterAutospacing="0" w:line="360" w:lineRule="auto"/>
              <w:ind w:left="0" w:right="0"/>
              <w:rPr>
                <w:rFonts w:hint="default"/>
                <w:color w:val="auto"/>
                <w:highlight w:val="none"/>
              </w:rPr>
            </w:pPr>
            <w:r>
              <w:rPr>
                <w:rFonts w:hint="eastAsia"/>
                <w:color w:val="auto"/>
                <w:highlight w:val="none"/>
              </w:rPr>
              <w:t>日期：                                     日期：</w:t>
            </w:r>
          </w:p>
        </w:tc>
      </w:tr>
    </w:tbl>
    <w:p w14:paraId="40AB904C">
      <w:pPr>
        <w:bidi w:val="0"/>
        <w:spacing w:line="360" w:lineRule="auto"/>
        <w:rPr>
          <w:rFonts w:hint="eastAsia" w:asciiTheme="minorEastAsia" w:hAnsiTheme="minorEastAsia" w:eastAsiaTheme="minorEastAsia"/>
          <w:b/>
          <w:color w:val="auto"/>
          <w:sz w:val="28"/>
          <w:szCs w:val="28"/>
          <w:highlight w:val="none"/>
        </w:rPr>
      </w:pPr>
    </w:p>
    <w:p w14:paraId="0BA1A065">
      <w:pPr>
        <w:bidi w:val="0"/>
        <w:spacing w:line="360" w:lineRule="auto"/>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br w:type="page"/>
      </w:r>
    </w:p>
    <w:p w14:paraId="6211CF7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 w:val="28"/>
          <w:szCs w:val="28"/>
          <w:highlight w:val="none"/>
        </w:rPr>
        <w:t>第五部分　投标文件</w:t>
      </w:r>
      <w:bookmarkEnd w:id="19"/>
      <w:r>
        <w:rPr>
          <w:rFonts w:hint="eastAsia" w:asciiTheme="minorEastAsia" w:hAnsiTheme="minorEastAsia" w:eastAsiaTheme="minorEastAsia"/>
          <w:b/>
          <w:color w:val="auto"/>
          <w:sz w:val="28"/>
          <w:szCs w:val="28"/>
          <w:highlight w:val="none"/>
        </w:rPr>
        <w:t>格式</w:t>
      </w:r>
    </w:p>
    <w:p w14:paraId="09E49D5D">
      <w:pPr>
        <w:adjustRightInd w:val="0"/>
        <w:snapToGrid w:val="0"/>
        <w:spacing w:line="360" w:lineRule="auto"/>
        <w:jc w:val="center"/>
        <w:rPr>
          <w:rFonts w:asciiTheme="minorEastAsia" w:hAnsiTheme="minorEastAsia" w:eastAsiaTheme="minorEastAsia"/>
          <w:b/>
          <w:color w:val="auto"/>
          <w:kern w:val="0"/>
          <w:sz w:val="28"/>
          <w:szCs w:val="28"/>
          <w:highlight w:val="none"/>
        </w:rPr>
      </w:pPr>
    </w:p>
    <w:p w14:paraId="567EE5D2">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服务类项目投标文件</w:t>
      </w:r>
    </w:p>
    <w:p w14:paraId="30D42D60">
      <w:pPr>
        <w:rPr>
          <w:rFonts w:asciiTheme="minorEastAsia" w:hAnsiTheme="minorEastAsia" w:eastAsiaTheme="minorEastAsia"/>
          <w:color w:val="auto"/>
          <w:highlight w:val="none"/>
        </w:rPr>
      </w:pPr>
    </w:p>
    <w:p w14:paraId="3C2B02ED">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  自查表</w:t>
      </w:r>
    </w:p>
    <w:p w14:paraId="5A32EA63">
      <w:pPr>
        <w:rPr>
          <w:rFonts w:asciiTheme="minorEastAsia" w:hAnsiTheme="minorEastAsia" w:eastAsiaTheme="minorEastAsia"/>
          <w:color w:val="auto"/>
          <w:sz w:val="28"/>
          <w:szCs w:val="28"/>
          <w:highlight w:val="none"/>
        </w:rPr>
      </w:pPr>
      <w:r>
        <w:rPr>
          <w:color w:val="auto"/>
          <w:highlight w:val="none"/>
        </w:rPr>
        <w:fldChar w:fldCharType="begin"/>
      </w:r>
      <w:r>
        <w:rPr>
          <w:color w:val="auto"/>
          <w:highlight w:val="none"/>
        </w:rPr>
        <w:instrText xml:space="preserve"> HYPERLINK \l "_Toc175110017" </w:instrText>
      </w:r>
      <w:r>
        <w:rPr>
          <w:color w:val="auto"/>
          <w:highlight w:val="none"/>
        </w:rPr>
        <w:fldChar w:fldCharType="separate"/>
      </w:r>
      <w:r>
        <w:rPr>
          <w:rFonts w:hint="eastAsia" w:asciiTheme="minorEastAsia" w:hAnsiTheme="minorEastAsia" w:eastAsiaTheme="minorEastAsia"/>
          <w:color w:val="auto"/>
          <w:sz w:val="28"/>
          <w:szCs w:val="28"/>
          <w:highlight w:val="none"/>
        </w:rPr>
        <w:t xml:space="preserve">二、  </w:t>
      </w:r>
      <w:r>
        <w:rPr>
          <w:rFonts w:hint="eastAsia" w:asciiTheme="minorEastAsia" w:hAnsiTheme="minorEastAsia" w:eastAsiaTheme="minorEastAsia"/>
          <w:color w:val="auto"/>
          <w:sz w:val="28"/>
          <w:szCs w:val="28"/>
          <w:highlight w:val="none"/>
        </w:rPr>
        <w:fldChar w:fldCharType="end"/>
      </w:r>
      <w:r>
        <w:rPr>
          <w:rFonts w:hint="eastAsia" w:asciiTheme="minorEastAsia" w:hAnsiTheme="minorEastAsia" w:eastAsiaTheme="minorEastAsia"/>
          <w:color w:val="auto"/>
          <w:sz w:val="28"/>
          <w:szCs w:val="28"/>
          <w:highlight w:val="none"/>
        </w:rPr>
        <w:t>资格文件</w:t>
      </w:r>
    </w:p>
    <w:p w14:paraId="72706968">
      <w:pP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三、</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 xml:space="preserve"> 符合性文件</w:t>
      </w:r>
    </w:p>
    <w:p w14:paraId="7B45C409">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  商务部分</w:t>
      </w:r>
    </w:p>
    <w:p w14:paraId="3637C1A9">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  服务部分</w:t>
      </w:r>
    </w:p>
    <w:p w14:paraId="436067EB">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  价格部分</w:t>
      </w:r>
    </w:p>
    <w:p w14:paraId="44A20AF8">
      <w:pPr>
        <w:rPr>
          <w:rFonts w:asciiTheme="minorEastAsia" w:hAnsiTheme="minorEastAsia" w:eastAsiaTheme="minorEastAsia"/>
          <w:color w:val="auto"/>
          <w:sz w:val="28"/>
          <w:szCs w:val="28"/>
          <w:highlight w:val="none"/>
        </w:rPr>
      </w:pPr>
    </w:p>
    <w:p w14:paraId="1CB2B398">
      <w:pPr>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注：1. 请投标人按照以下文件的要求格式、内容，顺序制作投标文件，并请编制目录及页码，否则可能将影响对投标文件的评价。</w:t>
      </w:r>
    </w:p>
    <w:p w14:paraId="5D110BFF">
      <w:pP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 《开标一览表》应另外单独封装在唱标信封中。</w:t>
      </w:r>
    </w:p>
    <w:p w14:paraId="149C606D">
      <w:pPr>
        <w:rPr>
          <w:rFonts w:asciiTheme="minorEastAsia" w:hAnsiTheme="minorEastAsia" w:eastAsiaTheme="minorEastAsia"/>
          <w:color w:val="auto"/>
          <w:highlight w:val="none"/>
        </w:rPr>
      </w:pPr>
    </w:p>
    <w:p w14:paraId="70373BD3">
      <w:pPr>
        <w:rPr>
          <w:rFonts w:asciiTheme="minorEastAsia" w:hAnsiTheme="minorEastAsia" w:eastAsiaTheme="minorEastAsia"/>
          <w:color w:val="auto"/>
          <w:highlight w:val="none"/>
        </w:rPr>
      </w:pPr>
    </w:p>
    <w:p w14:paraId="3121FDB1">
      <w:pPr>
        <w:rPr>
          <w:rFonts w:asciiTheme="minorEastAsia" w:hAnsiTheme="minorEastAsia" w:eastAsiaTheme="minorEastAsia"/>
          <w:color w:val="auto"/>
          <w:highlight w:val="none"/>
        </w:rPr>
      </w:pPr>
    </w:p>
    <w:p w14:paraId="4E8255F0">
      <w:pPr>
        <w:rPr>
          <w:rFonts w:asciiTheme="minorEastAsia" w:hAnsiTheme="minorEastAsia" w:eastAsiaTheme="minorEastAsia"/>
          <w:color w:val="auto"/>
          <w:highlight w:val="none"/>
        </w:rPr>
      </w:pPr>
    </w:p>
    <w:p w14:paraId="089736A6">
      <w:pPr>
        <w:rPr>
          <w:rFonts w:asciiTheme="minorEastAsia" w:hAnsiTheme="minorEastAsia" w:eastAsiaTheme="minorEastAsia"/>
          <w:color w:val="auto"/>
          <w:highlight w:val="none"/>
        </w:rPr>
      </w:pPr>
    </w:p>
    <w:p w14:paraId="217EEDE6">
      <w:pPr>
        <w:rPr>
          <w:rFonts w:asciiTheme="minorEastAsia" w:hAnsiTheme="minorEastAsia" w:eastAsiaTheme="minorEastAsia"/>
          <w:color w:val="auto"/>
          <w:highlight w:val="none"/>
        </w:rPr>
      </w:pPr>
    </w:p>
    <w:p w14:paraId="09B35B1E">
      <w:pPr>
        <w:rPr>
          <w:rFonts w:asciiTheme="minorEastAsia" w:hAnsiTheme="minorEastAsia" w:eastAsiaTheme="minorEastAsia"/>
          <w:color w:val="auto"/>
          <w:highlight w:val="none"/>
        </w:rPr>
      </w:pPr>
    </w:p>
    <w:p w14:paraId="2BE132EF">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4BB6BF3B">
      <w:pPr>
        <w:pStyle w:val="18"/>
        <w:tabs>
          <w:tab w:val="left" w:pos="1260"/>
        </w:tabs>
        <w:jc w:val="center"/>
        <w:rPr>
          <w:rFonts w:asciiTheme="minorEastAsia" w:hAnsiTheme="minorEastAsia" w:eastAsiaTheme="minorEastAsia"/>
          <w:b/>
          <w:color w:val="auto"/>
          <w:spacing w:val="100"/>
          <w:w w:val="110"/>
          <w:kern w:val="0"/>
          <w:sz w:val="48"/>
          <w:szCs w:val="48"/>
          <w:highlight w:val="none"/>
        </w:rPr>
      </w:pPr>
      <w:r>
        <w:rPr>
          <w:rFonts w:hint="eastAsia" w:asciiTheme="minorEastAsia" w:hAnsiTheme="minorEastAsia" w:eastAsiaTheme="minorEastAsia"/>
          <w:b/>
          <w:color w:val="auto"/>
          <w:spacing w:val="100"/>
          <w:w w:val="110"/>
          <w:kern w:val="0"/>
          <w:sz w:val="48"/>
          <w:szCs w:val="48"/>
          <w:highlight w:val="none"/>
        </w:rPr>
        <w:t>政府采购</w:t>
      </w:r>
    </w:p>
    <w:p w14:paraId="67D7858C">
      <w:pPr>
        <w:pStyle w:val="18"/>
        <w:jc w:val="center"/>
        <w:rPr>
          <w:rFonts w:asciiTheme="minorEastAsia" w:hAnsiTheme="minorEastAsia" w:eastAsiaTheme="minorEastAsia"/>
          <w:b/>
          <w:color w:val="auto"/>
          <w:sz w:val="48"/>
          <w:szCs w:val="48"/>
          <w:highlight w:val="none"/>
        </w:rPr>
      </w:pPr>
    </w:p>
    <w:p w14:paraId="4740CBB6">
      <w:pPr>
        <w:pStyle w:val="18"/>
        <w:tabs>
          <w:tab w:val="left" w:pos="1260"/>
        </w:tabs>
        <w:jc w:val="center"/>
        <w:rPr>
          <w:rFonts w:asciiTheme="minorEastAsia" w:hAnsiTheme="minorEastAsia" w:eastAsiaTheme="minorEastAsia"/>
          <w:b/>
          <w:color w:val="auto"/>
          <w:spacing w:val="100"/>
          <w:w w:val="110"/>
          <w:sz w:val="48"/>
          <w:szCs w:val="48"/>
          <w:highlight w:val="none"/>
        </w:rPr>
      </w:pPr>
      <w:r>
        <w:rPr>
          <w:rFonts w:hint="eastAsia" w:asciiTheme="minorEastAsia" w:hAnsiTheme="minorEastAsia" w:eastAsiaTheme="minorEastAsia"/>
          <w:b/>
          <w:color w:val="auto"/>
          <w:spacing w:val="100"/>
          <w:w w:val="110"/>
          <w:kern w:val="0"/>
          <w:sz w:val="48"/>
          <w:szCs w:val="48"/>
          <w:highlight w:val="none"/>
        </w:rPr>
        <w:t>投标文件</w:t>
      </w:r>
    </w:p>
    <w:p w14:paraId="0BB02ABB">
      <w:pPr>
        <w:pStyle w:val="18"/>
        <w:jc w:val="center"/>
        <w:rPr>
          <w:rFonts w:asciiTheme="minorEastAsia" w:hAnsiTheme="minorEastAsia" w:eastAsiaTheme="minorEastAsia"/>
          <w:b/>
          <w:color w:val="auto"/>
          <w:sz w:val="48"/>
          <w:szCs w:val="48"/>
          <w:highlight w:val="none"/>
        </w:rPr>
      </w:pPr>
      <w:r>
        <w:rPr>
          <w:rFonts w:hint="eastAsia" w:asciiTheme="minorEastAsia" w:hAnsiTheme="minorEastAsia" w:eastAsiaTheme="minorEastAsia"/>
          <w:b/>
          <w:color w:val="auto"/>
          <w:sz w:val="48"/>
          <w:szCs w:val="48"/>
          <w:highlight w:val="none"/>
        </w:rPr>
        <w:t>（正本/副本）</w:t>
      </w:r>
    </w:p>
    <w:p w14:paraId="3F97C46B">
      <w:pPr>
        <w:pStyle w:val="18"/>
        <w:jc w:val="center"/>
        <w:rPr>
          <w:rFonts w:asciiTheme="minorEastAsia" w:hAnsiTheme="minorEastAsia" w:eastAsiaTheme="minorEastAsia"/>
          <w:b/>
          <w:color w:val="auto"/>
          <w:sz w:val="28"/>
          <w:szCs w:val="28"/>
          <w:highlight w:val="none"/>
        </w:rPr>
      </w:pPr>
    </w:p>
    <w:p w14:paraId="520EB9D9">
      <w:pPr>
        <w:pStyle w:val="18"/>
        <w:jc w:val="center"/>
        <w:rPr>
          <w:rFonts w:asciiTheme="minorEastAsia" w:hAnsiTheme="minorEastAsia" w:eastAsiaTheme="minorEastAsia"/>
          <w:b/>
          <w:color w:val="auto"/>
          <w:sz w:val="28"/>
          <w:szCs w:val="28"/>
          <w:highlight w:val="none"/>
        </w:rPr>
      </w:pPr>
    </w:p>
    <w:p w14:paraId="45A9CF4C">
      <w:pPr>
        <w:pStyle w:val="18"/>
        <w:spacing w:line="360" w:lineRule="auto"/>
        <w:ind w:firstLine="967" w:firstLineChars="344"/>
        <w:rPr>
          <w:rFonts w:asciiTheme="minorEastAsia" w:hAnsiTheme="minorEastAsia" w:eastAsiaTheme="minorEastAsia"/>
          <w:b/>
          <w:color w:val="auto"/>
          <w:sz w:val="28"/>
          <w:szCs w:val="28"/>
          <w:highlight w:val="none"/>
          <w:u w:val="thick"/>
        </w:rPr>
      </w:pPr>
      <w:r>
        <w:rPr>
          <w:rFonts w:hint="eastAsia" w:asciiTheme="minorEastAsia" w:hAnsiTheme="minorEastAsia" w:eastAsiaTheme="minorEastAsia"/>
          <w:b/>
          <w:color w:val="auto"/>
          <w:sz w:val="28"/>
          <w:szCs w:val="28"/>
          <w:highlight w:val="none"/>
        </w:rPr>
        <w:t>项目编号：</w:t>
      </w:r>
      <w:r>
        <w:rPr>
          <w:rFonts w:asciiTheme="minorEastAsia" w:hAnsiTheme="minorEastAsia" w:eastAsiaTheme="minorEastAsia"/>
          <w:b/>
          <w:color w:val="auto"/>
          <w:sz w:val="28"/>
          <w:szCs w:val="28"/>
          <w:highlight w:val="none"/>
          <w:u w:val="thick"/>
        </w:rPr>
        <w:t>0724-</w:t>
      </w:r>
    </w:p>
    <w:p w14:paraId="6B1B072A">
      <w:pPr>
        <w:pStyle w:val="13"/>
        <w:spacing w:line="360" w:lineRule="auto"/>
        <w:ind w:firstLine="967" w:firstLineChars="344"/>
        <w:rPr>
          <w:rFonts w:asciiTheme="minorEastAsia" w:hAnsiTheme="minorEastAsia" w:eastAsiaTheme="minorEastAsia"/>
          <w:b/>
          <w:color w:val="auto"/>
          <w:sz w:val="28"/>
          <w:szCs w:val="28"/>
          <w:highlight w:val="none"/>
          <w:u w:val="thick"/>
        </w:rPr>
      </w:pPr>
      <w:r>
        <w:rPr>
          <w:rFonts w:hint="eastAsia" w:asciiTheme="minorEastAsia" w:hAnsiTheme="minorEastAsia" w:eastAsiaTheme="minorEastAsia"/>
          <w:b/>
          <w:color w:val="auto"/>
          <w:sz w:val="28"/>
          <w:szCs w:val="28"/>
          <w:highlight w:val="none"/>
        </w:rPr>
        <w:t>采购项目名称：</w:t>
      </w:r>
    </w:p>
    <w:p w14:paraId="23DCF5E2">
      <w:pPr>
        <w:pStyle w:val="18"/>
        <w:ind w:firstLine="843" w:firstLineChars="300"/>
        <w:rPr>
          <w:rFonts w:asciiTheme="minorEastAsia" w:hAnsiTheme="minorEastAsia" w:eastAsiaTheme="minorEastAsia"/>
          <w:b/>
          <w:color w:val="auto"/>
          <w:sz w:val="28"/>
          <w:szCs w:val="28"/>
          <w:highlight w:val="none"/>
        </w:rPr>
      </w:pPr>
    </w:p>
    <w:p w14:paraId="176B84A4">
      <w:pPr>
        <w:pStyle w:val="18"/>
        <w:ind w:firstLine="843" w:firstLineChars="300"/>
        <w:rPr>
          <w:rFonts w:asciiTheme="minorEastAsia" w:hAnsiTheme="minorEastAsia" w:eastAsiaTheme="minorEastAsia"/>
          <w:b/>
          <w:color w:val="auto"/>
          <w:sz w:val="28"/>
          <w:szCs w:val="28"/>
          <w:highlight w:val="none"/>
        </w:rPr>
      </w:pPr>
    </w:p>
    <w:p w14:paraId="7370F193">
      <w:pPr>
        <w:pStyle w:val="18"/>
        <w:ind w:firstLine="843" w:firstLineChars="300"/>
        <w:rPr>
          <w:rFonts w:asciiTheme="minorEastAsia" w:hAnsiTheme="minorEastAsia" w:eastAsiaTheme="minorEastAsia"/>
          <w:b/>
          <w:color w:val="auto"/>
          <w:sz w:val="28"/>
          <w:szCs w:val="28"/>
          <w:highlight w:val="none"/>
        </w:rPr>
      </w:pPr>
    </w:p>
    <w:p w14:paraId="141CED8A">
      <w:pPr>
        <w:pStyle w:val="18"/>
        <w:ind w:firstLine="843" w:firstLineChars="300"/>
        <w:rPr>
          <w:rFonts w:asciiTheme="minorEastAsia" w:hAnsiTheme="minorEastAsia" w:eastAsiaTheme="minorEastAsia"/>
          <w:b/>
          <w:color w:val="auto"/>
          <w:sz w:val="28"/>
          <w:szCs w:val="28"/>
          <w:highlight w:val="none"/>
        </w:rPr>
      </w:pPr>
    </w:p>
    <w:p w14:paraId="563CFF73">
      <w:pPr>
        <w:pStyle w:val="18"/>
        <w:ind w:firstLine="843" w:firstLineChars="300"/>
        <w:rPr>
          <w:rFonts w:asciiTheme="minorEastAsia" w:hAnsiTheme="minorEastAsia" w:eastAsiaTheme="minorEastAsia"/>
          <w:b/>
          <w:color w:val="auto"/>
          <w:sz w:val="28"/>
          <w:szCs w:val="28"/>
          <w:highlight w:val="none"/>
        </w:rPr>
      </w:pPr>
    </w:p>
    <w:p w14:paraId="587822FD">
      <w:pPr>
        <w:pStyle w:val="18"/>
        <w:spacing w:line="360" w:lineRule="auto"/>
        <w:ind w:firstLine="3117" w:firstLineChars="1109"/>
        <w:rPr>
          <w:rFonts w:asciiTheme="minorEastAsia" w:hAnsiTheme="minorEastAsia" w:eastAsiaTheme="minorEastAsia"/>
          <w:b/>
          <w:color w:val="auto"/>
          <w:sz w:val="28"/>
          <w:szCs w:val="28"/>
          <w:highlight w:val="none"/>
          <w:u w:val="single"/>
        </w:rPr>
      </w:pPr>
      <w:r>
        <w:rPr>
          <w:rFonts w:hint="eastAsia" w:asciiTheme="minorEastAsia" w:hAnsiTheme="minorEastAsia" w:eastAsiaTheme="minorEastAsia"/>
          <w:b/>
          <w:color w:val="auto"/>
          <w:sz w:val="28"/>
          <w:szCs w:val="28"/>
          <w:highlight w:val="none"/>
        </w:rPr>
        <w:t>投标人名称：</w:t>
      </w:r>
    </w:p>
    <w:p w14:paraId="77C69433">
      <w:pPr>
        <w:autoSpaceDE w:val="0"/>
        <w:autoSpaceDN w:val="0"/>
        <w:spacing w:line="240" w:lineRule="atLeast"/>
        <w:ind w:firstLine="3117" w:firstLineChars="1109"/>
        <w:rPr>
          <w:rFonts w:asciiTheme="minorEastAsia" w:hAnsiTheme="minorEastAsia" w:eastAsiaTheme="minorEastAsia"/>
          <w:b/>
          <w:color w:val="auto"/>
          <w:sz w:val="28"/>
          <w:szCs w:val="28"/>
          <w:highlight w:val="none"/>
          <w:u w:val="single"/>
        </w:rPr>
      </w:pPr>
      <w:r>
        <w:rPr>
          <w:rFonts w:hint="eastAsia" w:asciiTheme="minorEastAsia" w:hAnsiTheme="minorEastAsia" w:eastAsiaTheme="minorEastAsia"/>
          <w:b/>
          <w:color w:val="auto"/>
          <w:sz w:val="28"/>
          <w:szCs w:val="28"/>
          <w:highlight w:val="none"/>
        </w:rPr>
        <w:t>日期：年 月 日</w:t>
      </w:r>
    </w:p>
    <w:p w14:paraId="2A5274EE">
      <w:pPr>
        <w:jc w:val="center"/>
        <w:rPr>
          <w:rFonts w:asciiTheme="minorEastAsia" w:hAnsiTheme="minorEastAsia" w:eastAsiaTheme="minorEastAsia"/>
          <w:b/>
          <w:color w:val="auto"/>
          <w:sz w:val="32"/>
          <w:szCs w:val="32"/>
          <w:highlight w:val="none"/>
        </w:rPr>
      </w:pPr>
      <w:bookmarkStart w:id="100" w:name="_Toc202819877"/>
      <w:bookmarkStart w:id="101" w:name="_Toc202251074"/>
      <w:bookmarkStart w:id="102" w:name="_Toc202820350"/>
      <w:bookmarkStart w:id="103" w:name="_Toc202254104"/>
      <w:bookmarkStart w:id="104" w:name="_Toc202251699"/>
      <w:bookmarkStart w:id="105" w:name="_Toc202816995"/>
      <w:bookmarkStart w:id="106" w:name="_Toc202252033"/>
      <w:r>
        <w:rPr>
          <w:rFonts w:asciiTheme="minorEastAsia" w:hAnsiTheme="minorEastAsia" w:eastAsiaTheme="minorEastAsia"/>
          <w:b/>
          <w:color w:val="auto"/>
          <w:sz w:val="32"/>
          <w:szCs w:val="32"/>
          <w:highlight w:val="none"/>
        </w:rPr>
        <w:br w:type="page"/>
      </w:r>
      <w:r>
        <w:rPr>
          <w:rFonts w:hint="eastAsia" w:asciiTheme="minorEastAsia" w:hAnsiTheme="minorEastAsia" w:eastAsiaTheme="minorEastAsia"/>
          <w:b/>
          <w:color w:val="auto"/>
          <w:sz w:val="32"/>
          <w:szCs w:val="32"/>
          <w:highlight w:val="none"/>
        </w:rPr>
        <w:t>一、自查表</w:t>
      </w:r>
      <w:bookmarkEnd w:id="100"/>
      <w:bookmarkEnd w:id="101"/>
      <w:bookmarkEnd w:id="102"/>
      <w:bookmarkEnd w:id="103"/>
      <w:bookmarkEnd w:id="104"/>
      <w:bookmarkEnd w:id="105"/>
      <w:bookmarkEnd w:id="106"/>
    </w:p>
    <w:p w14:paraId="39769A0F">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1.1资格自查表</w:t>
      </w:r>
    </w:p>
    <w:tbl>
      <w:tblPr>
        <w:tblStyle w:val="39"/>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353"/>
        <w:gridCol w:w="912"/>
        <w:gridCol w:w="1016"/>
      </w:tblGrid>
      <w:tr w14:paraId="0EF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38C41BC4">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评审内容</w:t>
            </w:r>
          </w:p>
        </w:tc>
        <w:tc>
          <w:tcPr>
            <w:tcW w:w="7353" w:type="dxa"/>
            <w:vAlign w:val="center"/>
          </w:tcPr>
          <w:p w14:paraId="24CA7373">
            <w:pPr>
              <w:keepNext w:val="0"/>
              <w:keepLines w:val="0"/>
              <w:suppressLineNumbers w:val="0"/>
              <w:spacing w:before="0" w:beforeAutospacing="0" w:after="0" w:afterAutospacing="0"/>
              <w:ind w:left="0" w:right="0" w:firstLine="19" w:firstLineChars="9"/>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招标文件要求</w:t>
            </w:r>
          </w:p>
        </w:tc>
        <w:tc>
          <w:tcPr>
            <w:tcW w:w="912" w:type="dxa"/>
            <w:vAlign w:val="center"/>
          </w:tcPr>
          <w:p w14:paraId="49005BAD">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自查结论</w:t>
            </w:r>
          </w:p>
        </w:tc>
        <w:tc>
          <w:tcPr>
            <w:tcW w:w="1016" w:type="dxa"/>
            <w:vAlign w:val="center"/>
          </w:tcPr>
          <w:p w14:paraId="5792A9BC">
            <w:pPr>
              <w:keepNext w:val="0"/>
              <w:keepLines w:val="0"/>
              <w:suppressLineNumbers w:val="0"/>
              <w:spacing w:before="0" w:beforeAutospacing="0" w:after="0" w:afterAutospacing="0"/>
              <w:ind w:left="0" w:right="-178" w:rightChars="-85"/>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证明资料</w:t>
            </w:r>
          </w:p>
        </w:tc>
      </w:tr>
      <w:tr w14:paraId="702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Align w:val="center"/>
          </w:tcPr>
          <w:p w14:paraId="749E9E3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合格条件</w:t>
            </w:r>
          </w:p>
        </w:tc>
        <w:tc>
          <w:tcPr>
            <w:tcW w:w="7353" w:type="dxa"/>
            <w:vAlign w:val="center"/>
          </w:tcPr>
          <w:p w14:paraId="534DDDB8">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1.投标人应具备《中华人民共和国政府采购法》第二十二条规定的条件，提供下列材料：</w:t>
            </w:r>
          </w:p>
          <w:p w14:paraId="0136B2EA">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在中华人民共和国境内注册的法人或其他组织或自然人，投标时提交有效的营业执照（或事业法人登记证或身份证等相关证明）扫描件。分支机构投标的，须提供总公司和分公司营业执照扫描件，总公司出具给分支机构的授权书。</w:t>
            </w:r>
          </w:p>
          <w:p w14:paraId="25FAF9A4">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（2）有依法缴纳税收和社会保障资金的良好记录：按附件格式在投标文件中提供《资格条件承诺函》。</w:t>
            </w:r>
          </w:p>
          <w:p w14:paraId="2069E37E">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（3）具有良好的商业信誉和健全的财务会计制度：按附件格式在投标文件中提供《资格条件承诺函》。</w:t>
            </w:r>
          </w:p>
          <w:p w14:paraId="4B351EC1">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（4）履行合同所必需的设备和专业技术能力：按附件格式在投标文件中提供《资格条件承诺函》。</w:t>
            </w:r>
          </w:p>
          <w:p w14:paraId="29A8E78E">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（5）参加采购活动前3年内，在经营活动中没有重大违法记录：重大违法记录，是指供应商因违法经营受到刑事处罚或者责令停产停业、吊销许可证或者执照、较大数额罚款等行政处罚。（根据财库〔2022〕3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号文，较大数额罚款认定为200万元以上的罚款，法律、行政法规以及国务院有关部门明确规定相关领域“较大数额罚款”标准高于200万元的，从其规定）。按附件格式在投标文件中提供《资格条件承诺函》。</w:t>
            </w:r>
          </w:p>
          <w:p w14:paraId="315360DD">
            <w:pPr>
              <w:keepNext w:val="0"/>
              <w:keepLines w:val="0"/>
              <w:suppressLineNumbers w:val="0"/>
              <w:autoSpaceDE w:val="0"/>
              <w:autoSpaceDN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本项目属于</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lang w:eastAsia="zh-CN"/>
              </w:rPr>
              <w:t>专门面向中小微企业采购的项目（中小企业划型行业为：“其他未列明行业”）</w:t>
            </w:r>
            <w:r>
              <w:rPr>
                <w:rFonts w:hint="eastAsia" w:ascii="宋体" w:hAnsi="宋体" w:cs="宋体"/>
                <w:color w:val="auto"/>
                <w:szCs w:val="21"/>
                <w:highlight w:val="none"/>
              </w:rPr>
              <w:t>。</w:t>
            </w:r>
          </w:p>
          <w:p w14:paraId="20CB62EA">
            <w:pPr>
              <w:keepNext w:val="0"/>
              <w:keepLines w:val="0"/>
              <w:suppressLineNumbers w:val="0"/>
              <w:autoSpaceDE w:val="0"/>
              <w:autoSpaceDN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3.本项目的特定资格要求：</w:t>
            </w:r>
          </w:p>
          <w:p w14:paraId="767F74D7">
            <w:pPr>
              <w:keepNext w:val="0"/>
              <w:keepLines w:val="0"/>
              <w:suppressLineNumbers w:val="0"/>
              <w:autoSpaceDE w:val="0"/>
              <w:autoSpaceDN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1）投标人未被列入“信用中国”网站(www.creditchina.gov.cn)中的“失信被执行人”或“重大税收违法案件当事人名单（即税收违法黑名单）”或“政府采购严重违法失信名单”记录名单内；在信用中国（广东珠海）网站（http：//credit.zhuhai.gov.cn）中不存在近三年因违法经营受到责令停产停业、吊销许可证或者执照、较大数额罚款等重大违法记录；不处于中国政府采购网(www.ccgp.gov.cn)“政府采购严重违法失信行为信息记录”中的禁止参加政府采购活动期间；以采购代理机构于投标截止日至投标截止期间在上述网站查询结果为准，如相关失信记录已失效，投标人需提供相关证明资料。</w:t>
            </w:r>
          </w:p>
          <w:p w14:paraId="4C32C219">
            <w:pPr>
              <w:keepNext w:val="0"/>
              <w:keepLines w:val="0"/>
              <w:suppressLineNumbers w:val="0"/>
              <w:autoSpaceDE w:val="0"/>
              <w:autoSpaceDN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（2）单位负责人为同一人或者存在直接控股、管理关系的不同供应商，不得参加同一包号投标或者未划分包号的同一招标项目投标。 (投标人出具投标函)</w:t>
            </w:r>
          </w:p>
          <w:p w14:paraId="5CA6092A">
            <w:pPr>
              <w:keepNext w:val="0"/>
              <w:keepLines w:val="0"/>
              <w:suppressLineNumbers w:val="0"/>
              <w:autoSpaceDE w:val="0"/>
              <w:autoSpaceDN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（3）为采购项目提供整体设计、规范编制或者项目管理、监理、检测等服务的供应商，不得再参加该采购项目的其他采购活动。(投标人出具投标函) </w:t>
            </w:r>
          </w:p>
          <w:p w14:paraId="5267C4AA">
            <w:pPr>
              <w:keepNext w:val="0"/>
              <w:keepLines w:val="0"/>
              <w:suppressLineNumbers w:val="0"/>
              <w:autoSpaceDE w:val="0"/>
              <w:autoSpaceDN w:val="0"/>
              <w:spacing w:before="0" w:beforeAutospacing="0" w:after="0" w:afterAutospacing="0" w:line="360" w:lineRule="exact"/>
              <w:ind w:left="0" w:right="0"/>
              <w:rPr>
                <w:rFonts w:hint="eastAsia" w:ascii="宋体" w:hAnsi="宋体" w:cs="宋体"/>
                <w:color w:val="auto"/>
                <w:szCs w:val="21"/>
                <w:highlight w:val="none"/>
                <w:lang w:val="zh-CN" w:eastAsia="zh-CN"/>
              </w:rPr>
            </w:pPr>
            <w:r>
              <w:rPr>
                <w:rFonts w:hint="eastAsia" w:ascii="宋体" w:hAnsi="宋体" w:cs="宋体"/>
                <w:color w:val="auto"/>
                <w:highlight w:val="none"/>
              </w:rPr>
              <w:t>（</w:t>
            </w:r>
            <w:r>
              <w:rPr>
                <w:rFonts w:hint="eastAsia" w:ascii="宋体" w:hAnsi="宋体" w:cs="宋体"/>
                <w:color w:val="auto"/>
                <w:szCs w:val="21"/>
                <w:highlight w:val="none"/>
              </w:rPr>
              <w:t>4）</w:t>
            </w:r>
            <w:r>
              <w:rPr>
                <w:rFonts w:hint="eastAsia" w:ascii="宋体" w:hAnsi="宋体" w:cs="宋体"/>
                <w:color w:val="auto"/>
                <w:szCs w:val="21"/>
                <w:highlight w:val="none"/>
                <w:lang w:eastAsia="zh-CN"/>
              </w:rPr>
              <w:t>具有医疗器械经营许可证或医疗器械经营备案凭证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投标文件中</w:t>
            </w:r>
            <w:r>
              <w:rPr>
                <w:rFonts w:hint="eastAsia" w:ascii="宋体" w:hAnsi="宋体" w:eastAsia="宋体" w:cs="宋体"/>
                <w:color w:val="auto"/>
                <w:sz w:val="21"/>
                <w:szCs w:val="21"/>
                <w:highlight w:val="none"/>
                <w:lang w:val="en-US" w:eastAsia="zh-CN"/>
              </w:rPr>
              <w:t>提供证书复印件）</w:t>
            </w:r>
          </w:p>
          <w:p w14:paraId="4621D542">
            <w:pPr>
              <w:keepNext w:val="0"/>
              <w:keepLines w:val="0"/>
              <w:suppressLineNumbers w:val="0"/>
              <w:autoSpaceDE w:val="0"/>
              <w:autoSpaceDN w:val="0"/>
              <w:spacing w:before="0" w:beforeAutospacing="0" w:after="0" w:afterAutospacing="0" w:line="36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val="zh-CN"/>
              </w:rPr>
              <w:t>4.已领购本次采购文件。(具体方式详见本项目公告)</w:t>
            </w:r>
          </w:p>
          <w:p w14:paraId="5696F0E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lang w:val="zh-CN"/>
              </w:rPr>
            </w:pPr>
            <w:r>
              <w:rPr>
                <w:rFonts w:hint="eastAsia" w:ascii="宋体" w:hAnsi="宋体" w:cs="宋体"/>
                <w:color w:val="auto"/>
                <w:szCs w:val="21"/>
                <w:highlight w:val="none"/>
                <w:lang w:val="zh-CN"/>
              </w:rPr>
              <w:t>5.本项目不接受联合体投标。</w:t>
            </w:r>
          </w:p>
        </w:tc>
        <w:tc>
          <w:tcPr>
            <w:tcW w:w="912" w:type="dxa"/>
            <w:vAlign w:val="center"/>
          </w:tcPr>
          <w:p w14:paraId="73F127F9">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03B2468E">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016" w:type="dxa"/>
            <w:vAlign w:val="center"/>
          </w:tcPr>
          <w:p w14:paraId="35415DC7">
            <w:pPr>
              <w:keepNext w:val="0"/>
              <w:keepLines w:val="0"/>
              <w:suppressLineNumbers w:val="0"/>
              <w:spacing w:before="0" w:beforeAutospacing="0" w:after="0" w:afterAutospacing="0"/>
              <w:ind w:left="0" w:right="-19" w:rightChars="-9"/>
              <w:rPr>
                <w:rFonts w:hint="default"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见投标文件第( )页</w:t>
            </w:r>
          </w:p>
        </w:tc>
      </w:tr>
    </w:tbl>
    <w:p w14:paraId="0B2B58F4">
      <w:pPr>
        <w:pStyle w:val="1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注：以上材料将作为投标人资格审核的重要内容之一，投标人必须严格按照其内容及序列要求在投标文件中对应如实提供，对缺漏和不符合项将会直接导致无效投标！在对应的□打“√”。</w:t>
      </w:r>
    </w:p>
    <w:p w14:paraId="6A7FBFCC">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投标人法定代表人（或法定代表人授权代表）签字：</w:t>
      </w:r>
    </w:p>
    <w:p w14:paraId="42B04C90">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38C1A09B">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4B9D3D49">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br w:type="page"/>
      </w:r>
    </w:p>
    <w:p w14:paraId="770A6792">
      <w:pPr>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1.2符合性自查表</w:t>
      </w:r>
    </w:p>
    <w:tbl>
      <w:tblPr>
        <w:tblStyle w:val="3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4046"/>
        <w:gridCol w:w="1097"/>
        <w:gridCol w:w="1950"/>
      </w:tblGrid>
      <w:tr w14:paraId="0DAE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16C569D">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评审内容</w:t>
            </w:r>
          </w:p>
        </w:tc>
        <w:tc>
          <w:tcPr>
            <w:tcW w:w="4046" w:type="dxa"/>
            <w:vAlign w:val="center"/>
          </w:tcPr>
          <w:p w14:paraId="67A79CC3">
            <w:pPr>
              <w:keepNext w:val="0"/>
              <w:keepLines w:val="0"/>
              <w:suppressLineNumbers w:val="0"/>
              <w:spacing w:before="0" w:beforeAutospacing="0" w:after="0" w:afterAutospacing="0"/>
              <w:ind w:left="0" w:right="0" w:firstLine="19" w:firstLineChars="9"/>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招标文件要求</w:t>
            </w:r>
          </w:p>
        </w:tc>
        <w:tc>
          <w:tcPr>
            <w:tcW w:w="1097" w:type="dxa"/>
            <w:vAlign w:val="center"/>
          </w:tcPr>
          <w:p w14:paraId="75981D72">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自查结论</w:t>
            </w:r>
          </w:p>
        </w:tc>
        <w:tc>
          <w:tcPr>
            <w:tcW w:w="1950" w:type="dxa"/>
            <w:vAlign w:val="center"/>
          </w:tcPr>
          <w:p w14:paraId="1C31E4D3">
            <w:pPr>
              <w:keepNext w:val="0"/>
              <w:keepLines w:val="0"/>
              <w:suppressLineNumbers w:val="0"/>
              <w:spacing w:before="0" w:beforeAutospacing="0" w:after="0" w:afterAutospacing="0"/>
              <w:ind w:left="0" w:right="-178" w:rightChars="-85"/>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证明资料</w:t>
            </w:r>
          </w:p>
        </w:tc>
      </w:tr>
      <w:tr w14:paraId="067C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C99D1C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投标报价</w:t>
            </w:r>
          </w:p>
        </w:tc>
        <w:tc>
          <w:tcPr>
            <w:tcW w:w="4046" w:type="dxa"/>
            <w:vAlign w:val="center"/>
          </w:tcPr>
          <w:p w14:paraId="260C3E62">
            <w:pPr>
              <w:keepNext w:val="0"/>
              <w:keepLines w:val="0"/>
              <w:suppressLineNumbers w:val="0"/>
              <w:autoSpaceDE w:val="0"/>
              <w:autoSpaceDN w:val="0"/>
              <w:adjustRightInd w:val="0"/>
              <w:snapToGrid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zh-CN"/>
              </w:rPr>
              <w:t>投标报价未超过本项目最高限价</w:t>
            </w:r>
          </w:p>
          <w:p w14:paraId="7A8DD12A">
            <w:pPr>
              <w:keepNext w:val="0"/>
              <w:keepLines w:val="0"/>
              <w:suppressLineNumbers w:val="0"/>
              <w:autoSpaceDE w:val="0"/>
              <w:autoSpaceDN w:val="0"/>
              <w:adjustRightInd w:val="0"/>
              <w:snapToGrid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2）对全部招标内容进行投标报价</w:t>
            </w:r>
          </w:p>
          <w:p w14:paraId="588E648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3）投标报价是唯一确定</w:t>
            </w:r>
          </w:p>
        </w:tc>
        <w:tc>
          <w:tcPr>
            <w:tcW w:w="1097" w:type="dxa"/>
            <w:vAlign w:val="center"/>
          </w:tcPr>
          <w:p w14:paraId="6CF70CE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12123CA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49497DDB">
            <w:pPr>
              <w:keepNext w:val="0"/>
              <w:keepLines w:val="0"/>
              <w:suppressLineNumbers w:val="0"/>
              <w:spacing w:before="0" w:beforeAutospacing="0" w:after="0" w:afterAutospacing="0"/>
              <w:ind w:left="0" w:right="-178" w:rightChars="-85"/>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r>
      <w:tr w14:paraId="0BBA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8B3A7C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投标有效期</w:t>
            </w:r>
          </w:p>
        </w:tc>
        <w:tc>
          <w:tcPr>
            <w:tcW w:w="4046" w:type="dxa"/>
            <w:vAlign w:val="center"/>
          </w:tcPr>
          <w:p w14:paraId="6E31E95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提供《投标函》，报价有效期为报价截止日后的90天</w:t>
            </w:r>
          </w:p>
        </w:tc>
        <w:tc>
          <w:tcPr>
            <w:tcW w:w="1097" w:type="dxa"/>
            <w:vAlign w:val="center"/>
          </w:tcPr>
          <w:p w14:paraId="4A314150">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75B457F6">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25B8769B">
            <w:pPr>
              <w:keepNext w:val="0"/>
              <w:keepLines w:val="0"/>
              <w:suppressLineNumbers w:val="0"/>
              <w:spacing w:before="0" w:beforeAutospacing="0" w:after="0" w:afterAutospacing="0"/>
              <w:ind w:left="0" w:right="-178" w:rightChars="-85"/>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0B70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76E8934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法定代表人证明书及授权委托书</w:t>
            </w:r>
          </w:p>
        </w:tc>
        <w:tc>
          <w:tcPr>
            <w:tcW w:w="4046" w:type="dxa"/>
            <w:vAlign w:val="center"/>
          </w:tcPr>
          <w:p w14:paraId="330ED0D0">
            <w:pPr>
              <w:keepNext w:val="0"/>
              <w:keepLines w:val="0"/>
              <w:suppressLineNumbers w:val="0"/>
              <w:spacing w:before="0" w:beforeAutospacing="0" w:after="0" w:afterAutospacing="0"/>
              <w:ind w:left="40" w:leftChars="19" w:right="0" w:firstLine="18" w:firstLineChars="9"/>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按对应格式文件签署、盖章(原件)</w:t>
            </w:r>
          </w:p>
        </w:tc>
        <w:tc>
          <w:tcPr>
            <w:tcW w:w="1097" w:type="dxa"/>
            <w:vAlign w:val="center"/>
          </w:tcPr>
          <w:p w14:paraId="7919F34C">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03E16F91">
            <w:pPr>
              <w:keepNext w:val="0"/>
              <w:keepLines w:val="0"/>
              <w:suppressLineNumbers w:val="0"/>
              <w:spacing w:before="0" w:beforeAutospacing="0" w:after="0" w:afterAutospacing="0"/>
              <w:ind w:left="36" w:leftChars="17"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0ADF20A3">
            <w:pPr>
              <w:keepNext w:val="0"/>
              <w:keepLines w:val="0"/>
              <w:suppressLineNumbers w:val="0"/>
              <w:spacing w:before="0" w:beforeAutospacing="0" w:after="0" w:afterAutospacing="0"/>
              <w:ind w:left="0" w:right="-178" w:rightChars="-85"/>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2D29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5642240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投标文件签署、盖章</w:t>
            </w:r>
          </w:p>
        </w:tc>
        <w:tc>
          <w:tcPr>
            <w:tcW w:w="4046" w:type="dxa"/>
            <w:vAlign w:val="center"/>
          </w:tcPr>
          <w:p w14:paraId="6B9A6C64">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按照招标文件规定要求签署、盖章</w:t>
            </w:r>
          </w:p>
        </w:tc>
        <w:tc>
          <w:tcPr>
            <w:tcW w:w="1097" w:type="dxa"/>
            <w:vAlign w:val="center"/>
          </w:tcPr>
          <w:p w14:paraId="248929B6">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4F9B1CEA">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120D3EB9">
            <w:pPr>
              <w:keepNext w:val="0"/>
              <w:keepLines w:val="0"/>
              <w:suppressLineNumbers w:val="0"/>
              <w:spacing w:before="0" w:beforeAutospacing="0" w:after="0" w:afterAutospacing="0"/>
              <w:ind w:left="40" w:leftChars="19"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r>
      <w:tr w14:paraId="5078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04A0AB58">
            <w:pPr>
              <w:keepNext w:val="0"/>
              <w:keepLines w:val="0"/>
              <w:suppressLineNumbers w:val="0"/>
              <w:tabs>
                <w:tab w:val="left" w:pos="2880"/>
              </w:tabs>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实质性响应招标文件中“★”号条款的服务、商务要求</w:t>
            </w:r>
          </w:p>
        </w:tc>
        <w:tc>
          <w:tcPr>
            <w:tcW w:w="4046" w:type="dxa"/>
            <w:vAlign w:val="center"/>
          </w:tcPr>
          <w:p w14:paraId="137142F2">
            <w:pPr>
              <w:pStyle w:val="11"/>
              <w:keepNext w:val="0"/>
              <w:keepLines w:val="0"/>
              <w:suppressLineNumbers w:val="0"/>
              <w:spacing w:before="0" w:beforeAutospacing="0" w:afterAutospacing="0" w:line="360" w:lineRule="exact"/>
              <w:ind w:left="0" w:right="0" w:firstLine="18" w:firstLineChars="9"/>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投标方案不得对实质性服务与商务的（即标注★号条款）条款产生偏离</w:t>
            </w:r>
          </w:p>
        </w:tc>
        <w:tc>
          <w:tcPr>
            <w:tcW w:w="1097" w:type="dxa"/>
            <w:vAlign w:val="center"/>
          </w:tcPr>
          <w:p w14:paraId="15F1B8FD">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48ED734F">
            <w:pPr>
              <w:pStyle w:val="11"/>
              <w:keepNext w:val="0"/>
              <w:keepLines w:val="0"/>
              <w:suppressLineNumbers w:val="0"/>
              <w:spacing w:before="0" w:beforeAutospacing="0" w:afterAutospacing="0" w:line="360" w:lineRule="exact"/>
              <w:ind w:left="36" w:leftChars="17"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□不通过</w:t>
            </w:r>
          </w:p>
        </w:tc>
        <w:tc>
          <w:tcPr>
            <w:tcW w:w="1950" w:type="dxa"/>
            <w:vAlign w:val="center"/>
          </w:tcPr>
          <w:p w14:paraId="7593C758">
            <w:pPr>
              <w:pStyle w:val="11"/>
              <w:keepNext w:val="0"/>
              <w:keepLines w:val="0"/>
              <w:suppressLineNumbers w:val="0"/>
              <w:spacing w:before="0" w:beforeAutospacing="0" w:afterAutospacing="0" w:line="360" w:lineRule="exact"/>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见投标文件第( )页</w:t>
            </w:r>
          </w:p>
        </w:tc>
      </w:tr>
      <w:tr w14:paraId="7434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0913A837">
            <w:pPr>
              <w:keepNext w:val="0"/>
              <w:keepLines w:val="0"/>
              <w:suppressLineNumbers w:val="0"/>
              <w:tabs>
                <w:tab w:val="left" w:pos="2880"/>
              </w:tabs>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 w:val="21"/>
                <w:szCs w:val="21"/>
                <w:highlight w:val="none"/>
              </w:rPr>
              <w:t>异常低价审查</w:t>
            </w:r>
          </w:p>
        </w:tc>
        <w:tc>
          <w:tcPr>
            <w:tcW w:w="4046" w:type="dxa"/>
            <w:vAlign w:val="center"/>
          </w:tcPr>
          <w:p w14:paraId="73CA565E">
            <w:pPr>
              <w:pStyle w:val="11"/>
              <w:keepNext w:val="0"/>
              <w:keepLines w:val="0"/>
              <w:suppressLineNumbers w:val="0"/>
              <w:spacing w:before="0" w:beforeAutospacing="0" w:afterAutospacing="0" w:line="360" w:lineRule="exact"/>
              <w:ind w:left="0" w:right="0" w:firstLine="18" w:firstLineChars="9"/>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w:t>
            </w:r>
          </w:p>
        </w:tc>
        <w:tc>
          <w:tcPr>
            <w:tcW w:w="1097" w:type="dxa"/>
            <w:vAlign w:val="center"/>
          </w:tcPr>
          <w:p w14:paraId="69EA3CF1">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54DEEAE2">
            <w:pPr>
              <w:pStyle w:val="11"/>
              <w:keepNext w:val="0"/>
              <w:keepLines w:val="0"/>
              <w:suppressLineNumbers w:val="0"/>
              <w:spacing w:before="0" w:beforeAutospacing="0" w:afterAutospacing="0" w:line="360" w:lineRule="exact"/>
              <w:ind w:left="36" w:leftChars="17" w:right="0" w:rightChars="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□不通过</w:t>
            </w:r>
          </w:p>
        </w:tc>
        <w:tc>
          <w:tcPr>
            <w:tcW w:w="1950" w:type="dxa"/>
            <w:vAlign w:val="center"/>
          </w:tcPr>
          <w:p w14:paraId="3E792447">
            <w:pPr>
              <w:pStyle w:val="11"/>
              <w:keepNext w:val="0"/>
              <w:keepLines w:val="0"/>
              <w:suppressLineNumbers w:val="0"/>
              <w:spacing w:before="0" w:beforeAutospacing="0" w:afterAutospacing="0" w:line="360" w:lineRule="exact"/>
              <w:ind w:left="0" w:leftChars="0" w:right="0" w:rightChars="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见投标文件第( )页</w:t>
            </w:r>
          </w:p>
        </w:tc>
      </w:tr>
      <w:tr w14:paraId="062F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53" w:type="dxa"/>
            <w:vAlign w:val="center"/>
          </w:tcPr>
          <w:p w14:paraId="3BA7FF48">
            <w:pPr>
              <w:keepNext w:val="0"/>
              <w:keepLines w:val="0"/>
              <w:suppressLineNumbers w:val="0"/>
              <w:tabs>
                <w:tab w:val="left" w:pos="7740"/>
              </w:tabs>
              <w:spacing w:before="0" w:beforeAutospacing="0" w:after="0" w:afterAutospacing="0"/>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其他</w:t>
            </w:r>
          </w:p>
        </w:tc>
        <w:tc>
          <w:tcPr>
            <w:tcW w:w="4046" w:type="dxa"/>
            <w:vAlign w:val="center"/>
          </w:tcPr>
          <w:p w14:paraId="19B5B7BA">
            <w:pPr>
              <w:keepNext w:val="0"/>
              <w:keepLines w:val="0"/>
              <w:suppressLineNumbers w:val="0"/>
              <w:tabs>
                <w:tab w:val="left" w:pos="7740"/>
              </w:tabs>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实质性响应招标文件中规定的其它情况</w:t>
            </w:r>
          </w:p>
        </w:tc>
        <w:tc>
          <w:tcPr>
            <w:tcW w:w="1097" w:type="dxa"/>
            <w:vAlign w:val="center"/>
          </w:tcPr>
          <w:p w14:paraId="3B831BB1">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□通过</w:t>
            </w:r>
          </w:p>
          <w:p w14:paraId="19B85452">
            <w:pPr>
              <w:keepNext w:val="0"/>
              <w:keepLines w:val="0"/>
              <w:suppressLineNumbers w:val="0"/>
              <w:spacing w:before="0" w:beforeAutospacing="0" w:after="0" w:afterAutospacing="0"/>
              <w:ind w:left="40" w:leftChars="19"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□不通过</w:t>
            </w:r>
          </w:p>
        </w:tc>
        <w:tc>
          <w:tcPr>
            <w:tcW w:w="1950" w:type="dxa"/>
            <w:vAlign w:val="center"/>
          </w:tcPr>
          <w:p w14:paraId="1F51A4D7">
            <w:pPr>
              <w:pStyle w:val="11"/>
              <w:keepNext w:val="0"/>
              <w:keepLines w:val="0"/>
              <w:suppressLineNumbers w:val="0"/>
              <w:spacing w:before="0" w:beforeAutospacing="0" w:afterAutospacing="0" w:line="360" w:lineRule="exact"/>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见投标文件第( )页</w:t>
            </w:r>
          </w:p>
        </w:tc>
      </w:tr>
    </w:tbl>
    <w:p w14:paraId="3D616B5A">
      <w:pPr>
        <w:pStyle w:val="1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注：以上材料将作为投标人符合性审核的重要内容之一，投标人必须严格按照其内容及序列要求在投标文件中对应如实提供，对缺漏和不符合项将会直接导致无效投标！在对应的□打“√”。</w:t>
      </w:r>
    </w:p>
    <w:p w14:paraId="2DBB2B9C">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投标人法定代表人（或法定代表人授权代表）签字：</w:t>
      </w:r>
    </w:p>
    <w:p w14:paraId="065D3A9F">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60F64500">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4240305F">
      <w:pPr>
        <w:adjustRightInd w:val="0"/>
        <w:snapToGrid w:val="0"/>
        <w:rPr>
          <w:rFonts w:asciiTheme="minorEastAsia" w:hAnsiTheme="minorEastAsia" w:eastAsiaTheme="minorEastAsia"/>
          <w:color w:val="auto"/>
          <w:sz w:val="24"/>
          <w:highlight w:val="none"/>
        </w:rPr>
      </w:pPr>
    </w:p>
    <w:p w14:paraId="1AC446B9">
      <w:pPr>
        <w:adjustRightInd w:val="0"/>
        <w:snapToGrid w:val="0"/>
        <w:rPr>
          <w:rFonts w:asciiTheme="minorEastAsia" w:hAnsiTheme="minorEastAsia" w:eastAsiaTheme="minorEastAsia"/>
          <w:color w:val="auto"/>
          <w:sz w:val="24"/>
          <w:highlight w:val="none"/>
        </w:rPr>
      </w:pPr>
    </w:p>
    <w:p w14:paraId="5BC98663">
      <w:pPr>
        <w:adjustRightInd w:val="0"/>
        <w:snapToGrid w:val="0"/>
        <w:rPr>
          <w:rFonts w:asciiTheme="minorEastAsia" w:hAnsiTheme="minorEastAsia" w:eastAsiaTheme="minorEastAsia"/>
          <w:color w:val="auto"/>
          <w:sz w:val="24"/>
          <w:highlight w:val="none"/>
        </w:rPr>
      </w:pPr>
    </w:p>
    <w:p w14:paraId="3FBD3D2C">
      <w:pPr>
        <w:adjustRightInd w:val="0"/>
        <w:snapToGrid w:val="0"/>
        <w:rPr>
          <w:rFonts w:asciiTheme="minorEastAsia" w:hAnsiTheme="minorEastAsia" w:eastAsiaTheme="minorEastAsia"/>
          <w:color w:val="auto"/>
          <w:sz w:val="24"/>
          <w:highlight w:val="none"/>
        </w:rPr>
      </w:pPr>
    </w:p>
    <w:p w14:paraId="3E42C523">
      <w:pPr>
        <w:adjustRightInd w:val="0"/>
        <w:snapToGrid w:val="0"/>
        <w:rPr>
          <w:rFonts w:asciiTheme="minorEastAsia" w:hAnsiTheme="minorEastAsia" w:eastAsiaTheme="minorEastAsia"/>
          <w:color w:val="auto"/>
          <w:sz w:val="24"/>
          <w:highlight w:val="none"/>
        </w:rPr>
      </w:pPr>
    </w:p>
    <w:p w14:paraId="217D8DB1">
      <w:pPr>
        <w:adjustRightInd w:val="0"/>
        <w:snapToGrid w:val="0"/>
        <w:rPr>
          <w:rFonts w:asciiTheme="minorEastAsia" w:hAnsiTheme="minorEastAsia" w:eastAsiaTheme="minorEastAsia"/>
          <w:color w:val="auto"/>
          <w:sz w:val="24"/>
          <w:highlight w:val="none"/>
        </w:rPr>
      </w:pPr>
    </w:p>
    <w:p w14:paraId="266E20F2">
      <w:pPr>
        <w:adjustRightInd w:val="0"/>
        <w:snapToGrid w:val="0"/>
        <w:rPr>
          <w:rFonts w:asciiTheme="minorEastAsia" w:hAnsiTheme="minorEastAsia" w:eastAsiaTheme="minorEastAsia"/>
          <w:color w:val="auto"/>
          <w:sz w:val="24"/>
          <w:highlight w:val="none"/>
        </w:rPr>
      </w:pPr>
    </w:p>
    <w:p w14:paraId="0DDBEC41">
      <w:pPr>
        <w:adjustRightInd w:val="0"/>
        <w:snapToGrid w:val="0"/>
        <w:rPr>
          <w:rFonts w:asciiTheme="minorEastAsia" w:hAnsiTheme="minorEastAsia" w:eastAsiaTheme="minorEastAsia"/>
          <w:color w:val="auto"/>
          <w:sz w:val="24"/>
          <w:highlight w:val="none"/>
        </w:rPr>
      </w:pPr>
    </w:p>
    <w:p w14:paraId="7B91A3AE">
      <w:pPr>
        <w:adjustRightInd w:val="0"/>
        <w:snapToGrid w:val="0"/>
        <w:rPr>
          <w:rFonts w:asciiTheme="minorEastAsia" w:hAnsiTheme="minorEastAsia" w:eastAsiaTheme="minorEastAsia"/>
          <w:color w:val="auto"/>
          <w:sz w:val="24"/>
          <w:highlight w:val="none"/>
        </w:rPr>
      </w:pPr>
    </w:p>
    <w:p w14:paraId="178A8B4A">
      <w:pPr>
        <w:adjustRightInd w:val="0"/>
        <w:snapToGrid w:val="0"/>
        <w:rPr>
          <w:rFonts w:asciiTheme="minorEastAsia" w:hAnsiTheme="minorEastAsia" w:eastAsiaTheme="minorEastAsia"/>
          <w:color w:val="auto"/>
          <w:sz w:val="24"/>
          <w:highlight w:val="none"/>
        </w:rPr>
      </w:pPr>
    </w:p>
    <w:p w14:paraId="2FC86A31">
      <w:pPr>
        <w:adjustRightInd w:val="0"/>
        <w:snapToGrid w:val="0"/>
        <w:rPr>
          <w:rFonts w:asciiTheme="minorEastAsia" w:hAnsiTheme="minorEastAsia" w:eastAsiaTheme="minorEastAsia"/>
          <w:color w:val="auto"/>
          <w:sz w:val="24"/>
          <w:highlight w:val="none"/>
        </w:rPr>
      </w:pPr>
    </w:p>
    <w:p w14:paraId="3F3B4581">
      <w:pPr>
        <w:adjustRightInd w:val="0"/>
        <w:snapToGrid w:val="0"/>
        <w:rPr>
          <w:rFonts w:asciiTheme="minorEastAsia" w:hAnsiTheme="minorEastAsia" w:eastAsiaTheme="minorEastAsia"/>
          <w:b/>
          <w:bCs/>
          <w:color w:val="auto"/>
          <w:sz w:val="28"/>
          <w:highlight w:val="none"/>
        </w:rPr>
      </w:pPr>
    </w:p>
    <w:p w14:paraId="63DD551B">
      <w:pPr>
        <w:adjustRightInd w:val="0"/>
        <w:snapToGrid w:val="0"/>
        <w:rPr>
          <w:rFonts w:asciiTheme="minorEastAsia" w:hAnsiTheme="minorEastAsia" w:eastAsiaTheme="minorEastAsia"/>
          <w:b/>
          <w:bCs/>
          <w:color w:val="auto"/>
          <w:sz w:val="28"/>
          <w:highlight w:val="none"/>
        </w:rPr>
      </w:pPr>
    </w:p>
    <w:p w14:paraId="5F18FB45">
      <w:pPr>
        <w:adjustRightInd w:val="0"/>
        <w:snapToGrid w:val="0"/>
        <w:rPr>
          <w:rFonts w:asciiTheme="minorEastAsia" w:hAnsiTheme="minorEastAsia" w:eastAsiaTheme="minorEastAsia"/>
          <w:b/>
          <w:bCs/>
          <w:color w:val="auto"/>
          <w:sz w:val="28"/>
          <w:highlight w:val="none"/>
        </w:rPr>
      </w:pPr>
    </w:p>
    <w:p w14:paraId="2FA8EB49">
      <w:pPr>
        <w:adjustRightInd w:val="0"/>
        <w:snapToGrid w:val="0"/>
        <w:rPr>
          <w:rFonts w:asciiTheme="minorEastAsia" w:hAnsiTheme="minorEastAsia" w:eastAsiaTheme="minorEastAsia"/>
          <w:b/>
          <w:bCs/>
          <w:color w:val="auto"/>
          <w:sz w:val="28"/>
          <w:highlight w:val="none"/>
        </w:rPr>
      </w:pPr>
    </w:p>
    <w:p w14:paraId="7B632AB8">
      <w:pPr>
        <w:adjustRightInd w:val="0"/>
        <w:snapToGrid w:val="0"/>
        <w:rPr>
          <w:rFonts w:asciiTheme="minorEastAsia" w:hAnsiTheme="minorEastAsia" w:eastAsiaTheme="minorEastAsia"/>
          <w:b/>
          <w:bCs/>
          <w:color w:val="auto"/>
          <w:sz w:val="28"/>
          <w:highlight w:val="none"/>
        </w:rPr>
      </w:pPr>
    </w:p>
    <w:p w14:paraId="40C7C5F4">
      <w:pP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br w:type="page"/>
      </w:r>
      <w:r>
        <w:rPr>
          <w:rFonts w:hint="eastAsia" w:asciiTheme="minorEastAsia" w:hAnsiTheme="minorEastAsia" w:eastAsiaTheme="minorEastAsia"/>
          <w:b/>
          <w:bCs/>
          <w:color w:val="auto"/>
          <w:sz w:val="24"/>
          <w:highlight w:val="none"/>
        </w:rPr>
        <w:t>1.3评审项目投标资料表</w:t>
      </w:r>
    </w:p>
    <w:p w14:paraId="3CAE843B">
      <w:pPr>
        <w:rPr>
          <w:rFonts w:asciiTheme="minorEastAsia" w:hAnsiTheme="minorEastAsia" w:eastAsiaTheme="minorEastAsia"/>
          <w:color w:val="auto"/>
          <w:highlight w:val="none"/>
        </w:rPr>
      </w:pPr>
    </w:p>
    <w:p w14:paraId="255B2286">
      <w:pPr>
        <w:rPr>
          <w:rFonts w:asciiTheme="minorEastAsia" w:hAnsiTheme="minorEastAsia" w:eastAsiaTheme="minorEastAsia"/>
          <w:color w:val="auto"/>
          <w:highlight w:val="none"/>
        </w:rPr>
      </w:pPr>
    </w:p>
    <w:tbl>
      <w:tblPr>
        <w:tblStyle w:val="39"/>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5016"/>
        <w:gridCol w:w="1978"/>
      </w:tblGrid>
      <w:tr w14:paraId="037B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5" w:type="dxa"/>
            <w:vAlign w:val="center"/>
          </w:tcPr>
          <w:p w14:paraId="70A410E9">
            <w:pPr>
              <w:pStyle w:val="71"/>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b/>
                <w:bCs/>
                <w:snapToGrid/>
                <w:color w:val="auto"/>
                <w:spacing w:val="0"/>
                <w:kern w:val="2"/>
                <w:szCs w:val="24"/>
                <w:highlight w:val="none"/>
              </w:rPr>
            </w:pPr>
            <w:r>
              <w:rPr>
                <w:rFonts w:hint="eastAsia" w:asciiTheme="minorEastAsia" w:hAnsiTheme="minorEastAsia" w:eastAsiaTheme="minorEastAsia"/>
                <w:b/>
                <w:bCs/>
                <w:snapToGrid/>
                <w:color w:val="auto"/>
                <w:spacing w:val="0"/>
                <w:kern w:val="2"/>
                <w:szCs w:val="24"/>
                <w:highlight w:val="none"/>
              </w:rPr>
              <w:t>评审项</w:t>
            </w:r>
          </w:p>
        </w:tc>
        <w:tc>
          <w:tcPr>
            <w:tcW w:w="5016" w:type="dxa"/>
            <w:vAlign w:val="center"/>
          </w:tcPr>
          <w:p w14:paraId="799957DA">
            <w:pPr>
              <w:pStyle w:val="71"/>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b/>
                <w:bCs/>
                <w:snapToGrid/>
                <w:color w:val="auto"/>
                <w:spacing w:val="0"/>
                <w:kern w:val="2"/>
                <w:szCs w:val="24"/>
                <w:highlight w:val="none"/>
              </w:rPr>
            </w:pPr>
            <w:r>
              <w:rPr>
                <w:rFonts w:hint="eastAsia" w:asciiTheme="minorEastAsia" w:hAnsiTheme="minorEastAsia" w:eastAsiaTheme="minorEastAsia"/>
                <w:b/>
                <w:bCs/>
                <w:snapToGrid/>
                <w:color w:val="auto"/>
                <w:spacing w:val="0"/>
                <w:kern w:val="2"/>
                <w:szCs w:val="24"/>
                <w:highlight w:val="none"/>
              </w:rPr>
              <w:t>评审细则</w:t>
            </w:r>
          </w:p>
        </w:tc>
        <w:tc>
          <w:tcPr>
            <w:tcW w:w="1978" w:type="dxa"/>
            <w:vAlign w:val="center"/>
          </w:tcPr>
          <w:p w14:paraId="04B8C74A">
            <w:pPr>
              <w:pStyle w:val="71"/>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b/>
                <w:bCs/>
                <w:snapToGrid/>
                <w:color w:val="auto"/>
                <w:spacing w:val="0"/>
                <w:kern w:val="2"/>
                <w:szCs w:val="24"/>
                <w:highlight w:val="none"/>
              </w:rPr>
            </w:pPr>
            <w:r>
              <w:rPr>
                <w:rFonts w:hint="eastAsia" w:asciiTheme="minorEastAsia" w:hAnsiTheme="minorEastAsia" w:eastAsiaTheme="minorEastAsia"/>
                <w:b/>
                <w:bCs/>
                <w:snapToGrid/>
                <w:color w:val="auto"/>
                <w:spacing w:val="0"/>
                <w:kern w:val="2"/>
                <w:szCs w:val="24"/>
                <w:highlight w:val="none"/>
              </w:rPr>
              <w:t>证明文件</w:t>
            </w:r>
          </w:p>
        </w:tc>
      </w:tr>
      <w:tr w14:paraId="4F86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547BAF4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55937164">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19C3FDC1">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6795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10A74E47">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2E5E1FFE">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312C8691">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72CF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7C77163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71A9DBD5">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30211FC2">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58A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3D923D5D">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792FF48A">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53F1C0F9">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109D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1CE5D6C0">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7B7C0FA4">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49CBEB24">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35E7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053F0D5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5633F2FA">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6101E375">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638B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62C814B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576F5850">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7B0CFC9D">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0F34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6F6973BB">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18AAF34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7F083F06">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045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6EEBAB71">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6D835D8E">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5A3D41A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3AF3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079192B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62B38FB3">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0DCA9D1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5179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3930CF6B">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25921F4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28BD2463">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2C4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4D570AB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182ED74C">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72A76BF8">
            <w:pPr>
              <w:pStyle w:val="26"/>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13E3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7ECCED1B">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326730D5">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1006E4A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r w14:paraId="1B41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Pr>
          <w:p w14:paraId="746B7631">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5016" w:type="dxa"/>
          </w:tcPr>
          <w:p w14:paraId="7EA8B248">
            <w:pPr>
              <w:keepNext w:val="0"/>
              <w:keepLines w:val="0"/>
              <w:suppressLineNumbers w:val="0"/>
              <w:spacing w:before="0" w:beforeAutospacing="0" w:after="0" w:afterAutospacing="0"/>
              <w:ind w:left="0" w:right="0"/>
              <w:rPr>
                <w:rFonts w:hint="default" w:asciiTheme="minorEastAsia" w:hAnsiTheme="minorEastAsia" w:eastAsiaTheme="minorEastAsia"/>
                <w:color w:val="auto"/>
                <w:highlight w:val="none"/>
              </w:rPr>
            </w:pPr>
          </w:p>
        </w:tc>
        <w:tc>
          <w:tcPr>
            <w:tcW w:w="1978" w:type="dxa"/>
            <w:vAlign w:val="center"/>
          </w:tcPr>
          <w:p w14:paraId="0112909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见投标文件第( )页</w:t>
            </w:r>
          </w:p>
        </w:tc>
      </w:tr>
    </w:tbl>
    <w:p w14:paraId="74EF72FB">
      <w:pPr>
        <w:rPr>
          <w:rFonts w:asciiTheme="minorEastAsia" w:hAnsiTheme="minorEastAsia" w:eastAsiaTheme="minorEastAsia"/>
          <w:color w:val="auto"/>
          <w:highlight w:val="none"/>
        </w:rPr>
      </w:pPr>
    </w:p>
    <w:p w14:paraId="689DE6DF">
      <w:pPr>
        <w:rPr>
          <w:rFonts w:asciiTheme="minorEastAsia" w:hAnsiTheme="minorEastAsia" w:eastAsiaTheme="minorEastAsia"/>
          <w:color w:val="auto"/>
          <w:highlight w:val="none"/>
        </w:rPr>
      </w:pPr>
    </w:p>
    <w:p w14:paraId="0A341C55">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注：投标人应当根据服务及商务评审打分内容提供相应的证明材料，如未提供，评委有权认为不具备或不符合，并影响投标人的得分。</w:t>
      </w:r>
    </w:p>
    <w:p w14:paraId="70C22DE4">
      <w:pPr>
        <w:rPr>
          <w:rFonts w:asciiTheme="minorEastAsia" w:hAnsiTheme="minorEastAsia" w:eastAsiaTheme="minorEastAsia"/>
          <w:color w:val="auto"/>
          <w:highlight w:val="none"/>
        </w:rPr>
      </w:pPr>
    </w:p>
    <w:p w14:paraId="49CF9A83">
      <w:pPr>
        <w:adjustRightInd w:val="0"/>
        <w:snapToGrid w:val="0"/>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投标人法定代表人（或法定代表人授权代表）签字：</w:t>
      </w:r>
    </w:p>
    <w:p w14:paraId="0FE7835B">
      <w:pPr>
        <w:adjustRightInd w:val="0"/>
        <w:snapToGrid w:val="0"/>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57A82259">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6FB04B68">
      <w:pPr>
        <w:rPr>
          <w:rFonts w:asciiTheme="minorEastAsia" w:hAnsiTheme="minorEastAsia" w:eastAsiaTheme="minorEastAsia"/>
          <w:color w:val="auto"/>
          <w:highlight w:val="none"/>
        </w:rPr>
      </w:pPr>
    </w:p>
    <w:p w14:paraId="20D7811B">
      <w:pPr>
        <w:rPr>
          <w:rFonts w:asciiTheme="minorEastAsia" w:hAnsiTheme="minorEastAsia" w:eastAsiaTheme="minorEastAsia"/>
          <w:color w:val="auto"/>
          <w:highlight w:val="none"/>
        </w:rPr>
      </w:pPr>
    </w:p>
    <w:p w14:paraId="7A3C11DA">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color w:val="auto"/>
          <w:highlight w:val="none"/>
        </w:rPr>
        <w:br w:type="page"/>
      </w:r>
      <w:bookmarkStart w:id="107" w:name="_Toc202251700"/>
      <w:bookmarkStart w:id="108" w:name="_Toc202252034"/>
      <w:bookmarkStart w:id="109" w:name="_Toc202819878"/>
      <w:bookmarkStart w:id="110" w:name="_Toc202254105"/>
      <w:bookmarkStart w:id="111" w:name="_Toc202820351"/>
      <w:bookmarkStart w:id="112" w:name="_Toc202251075"/>
      <w:bookmarkStart w:id="113" w:name="_Toc202816996"/>
      <w:r>
        <w:rPr>
          <w:rFonts w:hint="eastAsia" w:asciiTheme="minorEastAsia" w:hAnsiTheme="minorEastAsia" w:eastAsiaTheme="minorEastAsia"/>
          <w:b/>
          <w:color w:val="auto"/>
          <w:sz w:val="32"/>
          <w:szCs w:val="32"/>
          <w:highlight w:val="none"/>
        </w:rPr>
        <w:t>二、资格文件</w:t>
      </w:r>
      <w:bookmarkEnd w:id="107"/>
      <w:bookmarkEnd w:id="108"/>
      <w:bookmarkEnd w:id="109"/>
      <w:bookmarkEnd w:id="110"/>
      <w:bookmarkEnd w:id="111"/>
      <w:bookmarkEnd w:id="112"/>
      <w:bookmarkEnd w:id="113"/>
    </w:p>
    <w:p w14:paraId="09061E37">
      <w:pPr>
        <w:jc w:val="center"/>
        <w:outlineLvl w:val="2"/>
        <w:rPr>
          <w:rFonts w:asciiTheme="minorEastAsia" w:hAnsiTheme="minorEastAsia" w:eastAsiaTheme="minorEastAsia"/>
          <w:b/>
          <w:color w:val="auto"/>
          <w:sz w:val="28"/>
          <w:szCs w:val="28"/>
          <w:highlight w:val="none"/>
        </w:rPr>
      </w:pPr>
      <w:bookmarkStart w:id="114" w:name="_Toc435515295"/>
      <w:bookmarkStart w:id="115" w:name="_Toc435514855"/>
      <w:bookmarkStart w:id="116" w:name="_Toc275865606"/>
    </w:p>
    <w:p w14:paraId="64E472C0">
      <w:pP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2.1投标人资格声明函</w:t>
      </w:r>
      <w:bookmarkEnd w:id="114"/>
      <w:bookmarkEnd w:id="115"/>
      <w:bookmarkEnd w:id="116"/>
    </w:p>
    <w:p w14:paraId="1C3CBE0A">
      <w:pPr>
        <w:adjustRightInd w:val="0"/>
        <w:snapToGrid w:val="0"/>
        <w:spacing w:line="360" w:lineRule="auto"/>
        <w:rPr>
          <w:rFonts w:asciiTheme="minorEastAsia" w:hAnsiTheme="minorEastAsia" w:eastAsiaTheme="minorEastAsia"/>
          <w:b/>
          <w:color w:val="auto"/>
          <w:highlight w:val="none"/>
        </w:rPr>
      </w:pPr>
    </w:p>
    <w:p w14:paraId="1D0F4B7F">
      <w:pPr>
        <w:adjustRightInd w:val="0"/>
        <w:snapToGrid w:val="0"/>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国义招标股份有限公司：</w:t>
      </w:r>
    </w:p>
    <w:p w14:paraId="64C93F5B">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关于贵公司</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日发布项目（项目编号：）的采购公告，本公司（企业）愿意参加投标，并声明如下：</w:t>
      </w:r>
    </w:p>
    <w:p w14:paraId="1EBCABC6">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(1)本公司（企业）具备</w:t>
      </w:r>
      <w:r>
        <w:rPr>
          <w:rFonts w:hint="eastAsia" w:asciiTheme="minorEastAsia" w:hAnsiTheme="minorEastAsia" w:eastAsiaTheme="minorEastAsia"/>
          <w:bCs/>
          <w:color w:val="auto"/>
          <w:szCs w:val="21"/>
          <w:highlight w:val="none"/>
        </w:rPr>
        <w:t>《中华人民共和国政府采购法》第二十二条资格条件，</w:t>
      </w:r>
      <w:r>
        <w:rPr>
          <w:rFonts w:hint="eastAsia" w:asciiTheme="minorEastAsia" w:hAnsiTheme="minorEastAsia" w:eastAsiaTheme="minorEastAsia"/>
          <w:color w:val="auto"/>
          <w:highlight w:val="none"/>
        </w:rPr>
        <w:t>并已清楚招标文件的要求及有关文件规定。</w:t>
      </w:r>
    </w:p>
    <w:p w14:paraId="5DE40BC9">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(2)本公司（企业）</w:t>
      </w:r>
      <w:r>
        <w:rPr>
          <w:rFonts w:asciiTheme="minorEastAsia" w:hAnsiTheme="minorEastAsia" w:eastAsiaTheme="minorEastAsia"/>
          <w:color w:val="auto"/>
          <w:highlight w:val="none"/>
        </w:rPr>
        <w:t>具有履行合同所必需的设备和专业技术能力</w:t>
      </w:r>
      <w:r>
        <w:rPr>
          <w:rFonts w:hint="eastAsia" w:asciiTheme="minorEastAsia" w:hAnsiTheme="minorEastAsia" w:eastAsiaTheme="minorEastAsia"/>
          <w:color w:val="auto"/>
          <w:highlight w:val="none"/>
        </w:rPr>
        <w:t>，且本公司（企业）参加政府采购活动前</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年内在经营活动中没有重大违法记录。否则，由此所造成的损失、不良后果及法律责任，一律由我公司（企业）承担。</w:t>
      </w:r>
    </w:p>
    <w:p w14:paraId="03D662FD">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(3)本公司（企业）不存在以下情况：单位负责人为同一人或者存在直接控股、管理关系的不同投标人，参加</w:t>
      </w:r>
      <w:r>
        <w:rPr>
          <w:rFonts w:hint="eastAsia" w:asciiTheme="minorEastAsia" w:hAnsiTheme="minorEastAsia" w:eastAsiaTheme="minorEastAsia"/>
          <w:color w:val="auto"/>
          <w:szCs w:val="21"/>
          <w:highlight w:val="none"/>
        </w:rPr>
        <w:t>同一包号投标或者未划分包号的同一招标项目投标</w:t>
      </w:r>
      <w:r>
        <w:rPr>
          <w:rFonts w:hint="eastAsia" w:asciiTheme="minorEastAsia" w:hAnsiTheme="minorEastAsia" w:eastAsiaTheme="minorEastAsia"/>
          <w:color w:val="auto"/>
          <w:highlight w:val="none"/>
        </w:rPr>
        <w:t>。</w:t>
      </w:r>
    </w:p>
    <w:p w14:paraId="4412F540">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(4)本公司（企业）不存在以下情况：为采购项目提供整体设计、规范编制或者项目管理、监理、检测等服务的供应商，再参加本采购项目的其他采购活动。</w:t>
      </w:r>
    </w:p>
    <w:p w14:paraId="365C9885">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本次招标采购活动中，本单位保证全部投标文件和问题的回答是真实和有效的，并对所提供资料的真实性和正确性承担法律责任。</w:t>
      </w:r>
    </w:p>
    <w:p w14:paraId="51AD7B04">
      <w:pPr>
        <w:adjustRightInd w:val="0"/>
        <w:snapToGrid w:val="0"/>
        <w:spacing w:line="360" w:lineRule="auto"/>
        <w:ind w:firstLine="424" w:firstLineChars="20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如有违法、违规、弄虚作假行为，所造成的损失、不良后果及法律责任，一律由我公司（企业）承担。</w:t>
      </w:r>
    </w:p>
    <w:p w14:paraId="35EC4583">
      <w:pPr>
        <w:adjustRightInd w:val="0"/>
        <w:snapToGrid w:val="0"/>
        <w:spacing w:line="360" w:lineRule="auto"/>
        <w:ind w:firstLine="424" w:firstLineChars="202"/>
        <w:rPr>
          <w:rFonts w:asciiTheme="minorEastAsia" w:hAnsiTheme="minorEastAsia" w:eastAsiaTheme="minorEastAsia"/>
          <w:color w:val="auto"/>
          <w:highlight w:val="none"/>
        </w:rPr>
      </w:pPr>
    </w:p>
    <w:p w14:paraId="7616E52E">
      <w:pPr>
        <w:spacing w:line="360" w:lineRule="auto"/>
        <w:ind w:firstLine="42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特此声明！</w:t>
      </w:r>
    </w:p>
    <w:p w14:paraId="6A06AA1C">
      <w:pPr>
        <w:rPr>
          <w:rFonts w:asciiTheme="minorEastAsia" w:hAnsiTheme="minorEastAsia" w:eastAsiaTheme="minorEastAsia"/>
          <w:b/>
          <w:color w:val="auto"/>
          <w:highlight w:val="none"/>
        </w:rPr>
      </w:pPr>
    </w:p>
    <w:p w14:paraId="1AE52CD5">
      <w:pP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后附附件如下：</w:t>
      </w:r>
    </w:p>
    <w:p w14:paraId="22A1A445">
      <w:pPr>
        <w:tabs>
          <w:tab w:val="left" w:pos="426"/>
        </w:tabs>
        <w:adjustRightInd w:val="0"/>
        <w:snapToGrid w:val="0"/>
        <w:spacing w:line="360" w:lineRule="auto"/>
        <w:rPr>
          <w:rFonts w:asciiTheme="minorEastAsia" w:hAnsiTheme="minorEastAsia" w:eastAsiaTheme="minorEastAsia"/>
          <w:bCs/>
          <w:color w:val="auto"/>
          <w:szCs w:val="20"/>
          <w:highlight w:val="none"/>
        </w:rPr>
      </w:pPr>
      <w:r>
        <w:rPr>
          <w:rFonts w:ascii="宋体" w:hAnsi="宋体"/>
          <w:color w:val="auto"/>
          <w:highlight w:val="none"/>
        </w:rPr>
        <w:t>1.</w:t>
      </w:r>
      <w:r>
        <w:rPr>
          <w:rFonts w:ascii="宋体" w:hAnsi="宋体"/>
          <w:color w:val="auto"/>
          <w:highlight w:val="none"/>
          <w:lang w:val="zh-CN"/>
        </w:rPr>
        <w:t>企业股东构成情况表</w:t>
      </w:r>
    </w:p>
    <w:p w14:paraId="6466B329">
      <w:pPr>
        <w:adjustRightInd w:val="0"/>
        <w:snapToGrid w:val="0"/>
        <w:spacing w:line="360" w:lineRule="auto"/>
        <w:ind w:left="425"/>
        <w:rPr>
          <w:rFonts w:asciiTheme="minorEastAsia" w:hAnsiTheme="minorEastAsia" w:eastAsiaTheme="minorEastAsia"/>
          <w:color w:val="auto"/>
          <w:spacing w:val="4"/>
          <w:highlight w:val="none"/>
        </w:rPr>
      </w:pPr>
    </w:p>
    <w:p w14:paraId="194A0825">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r>
        <w:rPr>
          <w:rFonts w:hint="eastAsia" w:asciiTheme="minorEastAsia" w:hAnsiTheme="minorEastAsia" w:eastAsiaTheme="minorEastAsia"/>
          <w:color w:val="auto"/>
          <w:szCs w:val="21"/>
          <w:highlight w:val="none"/>
          <w:u w:val="single"/>
        </w:rPr>
        <w:t xml:space="preserve">                   </w:t>
      </w:r>
    </w:p>
    <w:p w14:paraId="2E2F6DFF">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r>
        <w:rPr>
          <w:rFonts w:hint="eastAsia" w:asciiTheme="minorEastAsia" w:hAnsiTheme="minorEastAsia" w:eastAsiaTheme="minorEastAsia"/>
          <w:color w:val="auto"/>
          <w:szCs w:val="21"/>
          <w:highlight w:val="none"/>
          <w:u w:val="single"/>
        </w:rPr>
        <w:t xml:space="preserve">                        </w:t>
      </w:r>
    </w:p>
    <w:p w14:paraId="72E12128">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日</w:t>
      </w:r>
    </w:p>
    <w:p w14:paraId="3C162E1E">
      <w:pPr>
        <w:rPr>
          <w:rFonts w:asciiTheme="minorEastAsia" w:hAnsiTheme="minorEastAsia" w:eastAsiaTheme="minorEastAsia"/>
          <w:color w:val="auto"/>
          <w:spacing w:val="4"/>
          <w:highlight w:val="none"/>
        </w:rPr>
      </w:pPr>
      <w:r>
        <w:rPr>
          <w:rFonts w:asciiTheme="minorEastAsia" w:hAnsiTheme="minorEastAsia" w:eastAsiaTheme="minorEastAsia"/>
          <w:color w:val="auto"/>
          <w:spacing w:val="4"/>
          <w:highlight w:val="none"/>
        </w:rPr>
        <w:br w:type="page"/>
      </w:r>
    </w:p>
    <w:p w14:paraId="04E3D6ED">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企业股东构成情况表</w:t>
      </w:r>
    </w:p>
    <w:p w14:paraId="6C8FC452">
      <w:pPr>
        <w:jc w:val="left"/>
        <w:rPr>
          <w:rFonts w:asciiTheme="minorEastAsia" w:hAnsiTheme="minorEastAsia" w:eastAsiaTheme="minorEastAsia"/>
          <w:b/>
          <w:color w:val="auto"/>
          <w:sz w:val="24"/>
          <w:highlight w:val="none"/>
        </w:rPr>
      </w:pPr>
    </w:p>
    <w:tbl>
      <w:tblPr>
        <w:tblStyle w:val="39"/>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1D2BE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650068E">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CC0701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1C959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16C831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5D095E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432B60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01EEFB">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1F067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F7421B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746EC9E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C58D24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95EBB2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2DB54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6E514EB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股东及出资信息</w:t>
            </w:r>
          </w:p>
        </w:tc>
      </w:tr>
      <w:tr w14:paraId="7AA79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F7623A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2EB641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3A15BB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股东类型</w:t>
            </w:r>
          </w:p>
          <w:p w14:paraId="472830B7">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3A79EE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身份证号</w:t>
            </w:r>
          </w:p>
          <w:p w14:paraId="506E466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w:t>
            </w:r>
            <w:r>
              <w:rPr>
                <w:rFonts w:hint="default" w:asciiTheme="minorEastAsia" w:hAnsiTheme="minorEastAsia" w:eastAsiaTheme="minorEastAsia"/>
                <w:b/>
                <w:color w:val="auto"/>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85028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ECA2D55">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26052F9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占全部股份比例</w:t>
            </w:r>
          </w:p>
        </w:tc>
      </w:tr>
      <w:tr w14:paraId="780C1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1D5912B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794750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89B108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75469F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EE57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1B869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D2B26D">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61B24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9C0C09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748BAB">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5987327">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E079F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75185E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F5A5F5">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FB2A1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47E0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DDA639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E2A916">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E34F3C">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3F7D9E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F95E69E">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E3B48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70164E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3D57F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1FC97EE">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48D46C">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2F67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D8D0CF">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3D43C7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D9CAD3F">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99D392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40CEE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C39CF95">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FFCB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7D56F7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2738680">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719ABD3">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D73D2F">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7DA448">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r w14:paraId="45C16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08E45E0A">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E8214E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F16D4C">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281757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A50CCC2">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E56E29">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9CCD01">
            <w:pPr>
              <w:keepNext w:val="0"/>
              <w:keepLines w:val="0"/>
              <w:suppressLineNumbers w:val="0"/>
              <w:topLinePunct/>
              <w:spacing w:before="0" w:beforeAutospacing="0" w:after="0" w:afterAutospacing="0" w:line="440" w:lineRule="exact"/>
              <w:ind w:left="0" w:right="0"/>
              <w:jc w:val="center"/>
              <w:rPr>
                <w:rFonts w:hint="default" w:asciiTheme="minorEastAsia" w:hAnsiTheme="minorEastAsia" w:eastAsiaTheme="minorEastAsia"/>
                <w:color w:val="auto"/>
                <w:szCs w:val="21"/>
                <w:highlight w:val="none"/>
              </w:rPr>
            </w:pPr>
          </w:p>
        </w:tc>
      </w:tr>
    </w:tbl>
    <w:p w14:paraId="699CF600">
      <w:pPr>
        <w:jc w:val="left"/>
        <w:rPr>
          <w:rFonts w:asciiTheme="minorEastAsia" w:hAnsiTheme="minorEastAsia" w:eastAsiaTheme="minorEastAsia"/>
          <w:color w:val="auto"/>
          <w:szCs w:val="21"/>
          <w:highlight w:val="none"/>
        </w:rPr>
      </w:pPr>
    </w:p>
    <w:p w14:paraId="11CF8D6A">
      <w:pPr>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r>
        <w:rPr>
          <w:rFonts w:hint="eastAsia" w:asciiTheme="minorEastAsia" w:hAnsiTheme="minorEastAsia" w:eastAsiaTheme="minorEastAsia"/>
          <w:color w:val="auto"/>
          <w:szCs w:val="21"/>
          <w:highlight w:val="none"/>
        </w:rPr>
        <w:t>：</w:t>
      </w:r>
    </w:p>
    <w:p w14:paraId="6E3C441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1.股东或出资人为自然人的，填写自然人姓名及身份证号；股东或出资人为法人的，填写法人企业全称及</w:t>
      </w:r>
      <w:r>
        <w:rPr>
          <w:rFonts w:asciiTheme="minorEastAsia" w:hAnsiTheme="minorEastAsia" w:eastAsiaTheme="minorEastAsia"/>
          <w:color w:val="auto"/>
          <w:szCs w:val="21"/>
          <w:highlight w:val="none"/>
        </w:rPr>
        <w:t>统一社会信用代码</w:t>
      </w:r>
      <w:r>
        <w:rPr>
          <w:rFonts w:hint="eastAsia" w:asciiTheme="minorEastAsia" w:hAnsiTheme="minorEastAsia" w:eastAsiaTheme="minorEastAsia"/>
          <w:color w:val="auto"/>
          <w:szCs w:val="21"/>
          <w:highlight w:val="none"/>
        </w:rPr>
        <w:t>。出资方式填写：货物、实物、工艺产权和非专利技术、土地使用权等。</w:t>
      </w:r>
    </w:p>
    <w:p w14:paraId="0548606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sz w:val="20"/>
          <w:szCs w:val="18"/>
          <w:highlight w:val="none"/>
        </w:rPr>
        <w:t>投标人必须如实填写股东构成情况</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具体信息情况应与“国家企业信用信息公示系统” (网站：</w:t>
      </w:r>
      <w:r>
        <w:rPr>
          <w:rFonts w:asciiTheme="minorEastAsia" w:hAnsiTheme="minorEastAsia" w:eastAsiaTheme="minorEastAsia"/>
          <w:color w:val="auto"/>
          <w:szCs w:val="21"/>
          <w:highlight w:val="none"/>
          <w:u w:val="single"/>
        </w:rPr>
        <w:t>http://www.gsxt.gov.cn</w:t>
      </w:r>
      <w:r>
        <w:rPr>
          <w:rFonts w:hint="eastAsia" w:asciiTheme="minorEastAsia" w:hAnsiTheme="minorEastAsia" w:eastAsiaTheme="minorEastAsia"/>
          <w:color w:val="auto"/>
          <w:szCs w:val="21"/>
          <w:highlight w:val="none"/>
          <w:u w:val="single"/>
        </w:rPr>
        <w:t>)查询的信息一致。</w:t>
      </w:r>
    </w:p>
    <w:p w14:paraId="5D75D674">
      <w:pPr>
        <w:rPr>
          <w:rFonts w:asciiTheme="minorEastAsia" w:hAnsiTheme="minorEastAsia" w:eastAsiaTheme="minorEastAsia"/>
          <w:b/>
          <w:color w:val="auto"/>
          <w:sz w:val="24"/>
          <w:highlight w:val="none"/>
        </w:rPr>
      </w:pPr>
    </w:p>
    <w:p w14:paraId="37624598">
      <w:pPr>
        <w:tabs>
          <w:tab w:val="left" w:pos="654"/>
          <w:tab w:val="left" w:pos="1734"/>
          <w:tab w:val="left" w:pos="2814"/>
          <w:tab w:val="left" w:pos="3894"/>
          <w:tab w:val="left" w:pos="5334"/>
          <w:tab w:val="left" w:pos="6414"/>
          <w:tab w:val="left" w:pos="7254"/>
          <w:tab w:val="left" w:pos="8574"/>
          <w:tab w:val="left" w:pos="9654"/>
        </w:tabs>
        <w:rPr>
          <w:rFonts w:ascii="宋体" w:hAnsi="宋体"/>
          <w:b/>
          <w:color w:val="auto"/>
          <w:sz w:val="24"/>
          <w:highlight w:val="none"/>
        </w:rPr>
      </w:pPr>
      <w:r>
        <w:rPr>
          <w:rFonts w:asciiTheme="minorEastAsia" w:hAnsiTheme="minorEastAsia" w:eastAsiaTheme="minorEastAsia"/>
          <w:color w:val="auto"/>
          <w:sz w:val="28"/>
          <w:szCs w:val="28"/>
          <w:highlight w:val="none"/>
        </w:rPr>
        <w:br w:type="page"/>
      </w:r>
      <w:r>
        <w:rPr>
          <w:rFonts w:ascii="宋体" w:hAnsi="宋体"/>
          <w:b/>
          <w:color w:val="auto"/>
          <w:sz w:val="24"/>
          <w:highlight w:val="none"/>
        </w:rPr>
        <w:t>2.2</w:t>
      </w:r>
      <w:r>
        <w:rPr>
          <w:rFonts w:hint="eastAsia" w:ascii="宋体" w:hAnsi="宋体"/>
          <w:b/>
          <w:color w:val="auto"/>
          <w:sz w:val="24"/>
          <w:highlight w:val="none"/>
        </w:rPr>
        <w:t>资格条件承诺函</w:t>
      </w:r>
    </w:p>
    <w:p w14:paraId="2848D3C6">
      <w:pPr>
        <w:tabs>
          <w:tab w:val="left" w:pos="654"/>
          <w:tab w:val="left" w:pos="1734"/>
          <w:tab w:val="left" w:pos="2814"/>
          <w:tab w:val="left" w:pos="3894"/>
          <w:tab w:val="left" w:pos="5334"/>
          <w:tab w:val="left" w:pos="6414"/>
          <w:tab w:val="left" w:pos="7254"/>
          <w:tab w:val="left" w:pos="8574"/>
          <w:tab w:val="left" w:pos="9654"/>
        </w:tabs>
        <w:rPr>
          <w:rFonts w:ascii="宋体" w:hAnsi="宋体"/>
          <w:color w:val="auto"/>
          <w:szCs w:val="21"/>
          <w:highlight w:val="none"/>
        </w:rPr>
      </w:pPr>
      <w:r>
        <w:rPr>
          <w:rFonts w:hint="eastAsia" w:ascii="宋体" w:hAnsi="宋体"/>
          <w:color w:val="auto"/>
          <w:szCs w:val="21"/>
          <w:highlight w:val="none"/>
        </w:rPr>
        <w:t>备注：以下《资格条件承诺函》模板供资格响应时使用。</w:t>
      </w:r>
    </w:p>
    <w:p w14:paraId="6E57E6F9">
      <w:pPr>
        <w:pStyle w:val="12"/>
        <w:rPr>
          <w:color w:val="auto"/>
          <w:highlight w:val="none"/>
        </w:rPr>
      </w:pPr>
    </w:p>
    <w:p w14:paraId="29F3AB50">
      <w:pPr>
        <w:jc w:val="center"/>
        <w:rPr>
          <w:b/>
          <w:bCs/>
          <w:color w:val="auto"/>
          <w:sz w:val="44"/>
          <w:szCs w:val="44"/>
          <w:highlight w:val="none"/>
        </w:rPr>
      </w:pPr>
      <w:r>
        <w:rPr>
          <w:rFonts w:hint="eastAsia"/>
          <w:b/>
          <w:bCs/>
          <w:color w:val="auto"/>
          <w:sz w:val="44"/>
          <w:szCs w:val="44"/>
          <w:highlight w:val="none"/>
        </w:rPr>
        <w:t>资格条件承诺函</w:t>
      </w:r>
    </w:p>
    <w:p w14:paraId="00825171">
      <w:pPr>
        <w:rPr>
          <w:rFonts w:ascii="仿宋_GB2312" w:hAnsi="仿宋_GB2312" w:eastAsia="仿宋_GB2312" w:cs="仿宋_GB2312"/>
          <w:color w:val="auto"/>
          <w:sz w:val="32"/>
          <w:szCs w:val="32"/>
          <w:highlight w:val="none"/>
        </w:rPr>
      </w:pPr>
    </w:p>
    <w:p w14:paraId="2971CAE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w:t>
      </w: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符合《中华人民共和国政府采购法》第二十二条第一款第（二）项、第（三）项、第（四）项、第（五）项规定条件，具体包括：</w:t>
      </w:r>
    </w:p>
    <w:p w14:paraId="782AA38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1.具有良好的商业信誉和健全的财务会计制度；</w:t>
      </w:r>
    </w:p>
    <w:p w14:paraId="4DC9A3C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2.具有履行合同所必需的设备和专业技术能力；</w:t>
      </w:r>
    </w:p>
    <w:p w14:paraId="66F539D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3.具有依法缴纳税收和社会保障资金的良好记录；</w:t>
      </w:r>
    </w:p>
    <w:p w14:paraId="269B57D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4.参加政府采购活动前三年内，在经营活动中没有重大违法记录。</w:t>
      </w:r>
    </w:p>
    <w:p w14:paraId="26E5A92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95AC1F1">
      <w:pPr>
        <w:rPr>
          <w:rFonts w:ascii="Calibri"/>
          <w:color w:val="auto"/>
          <w:szCs w:val="21"/>
          <w:highlight w:val="none"/>
        </w:rPr>
      </w:pPr>
      <w:r>
        <w:rPr>
          <w:rFonts w:hint="eastAsia" w:ascii="仿宋_GB2312" w:eastAsia="仿宋_GB2312"/>
          <w:color w:val="auto"/>
          <w:sz w:val="32"/>
          <w:szCs w:val="32"/>
          <w:highlight w:val="none"/>
        </w:rPr>
        <w:t>特此承诺。</w:t>
      </w:r>
    </w:p>
    <w:p w14:paraId="359FBB49">
      <w:pPr>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供应商名称（公章）</w:t>
      </w:r>
    </w:p>
    <w:p w14:paraId="02D4EB8E">
      <w:pPr>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p>
    <w:p w14:paraId="5BAAD4A7">
      <w:pPr>
        <w:tabs>
          <w:tab w:val="left" w:pos="654"/>
          <w:tab w:val="left" w:pos="1734"/>
          <w:tab w:val="left" w:pos="2814"/>
          <w:tab w:val="left" w:pos="3894"/>
          <w:tab w:val="left" w:pos="5334"/>
          <w:tab w:val="left" w:pos="6414"/>
          <w:tab w:val="left" w:pos="7254"/>
          <w:tab w:val="left" w:pos="8574"/>
          <w:tab w:val="left" w:pos="9654"/>
        </w:tabs>
        <w:jc w:val="left"/>
        <w:rPr>
          <w:rFonts w:ascii="宋体" w:hAnsi="宋体"/>
          <w:color w:val="auto"/>
          <w:szCs w:val="21"/>
          <w:highlight w:val="none"/>
        </w:rPr>
      </w:pPr>
    </w:p>
    <w:p w14:paraId="21F5C312">
      <w:pPr>
        <w:tabs>
          <w:tab w:val="left" w:pos="654"/>
          <w:tab w:val="left" w:pos="1734"/>
          <w:tab w:val="left" w:pos="2814"/>
          <w:tab w:val="left" w:pos="3894"/>
          <w:tab w:val="left" w:pos="5334"/>
          <w:tab w:val="left" w:pos="6414"/>
          <w:tab w:val="left" w:pos="7254"/>
          <w:tab w:val="left" w:pos="8574"/>
          <w:tab w:val="left" w:pos="9654"/>
        </w:tabs>
        <w:jc w:val="left"/>
        <w:rPr>
          <w:rFonts w:ascii="宋体" w:hAnsi="宋体"/>
          <w:color w:val="auto"/>
          <w:szCs w:val="21"/>
          <w:highlight w:val="none"/>
        </w:rPr>
      </w:pPr>
      <w:r>
        <w:rPr>
          <w:rFonts w:ascii="宋体" w:hAnsi="宋体"/>
          <w:color w:val="auto"/>
          <w:szCs w:val="21"/>
          <w:highlight w:val="none"/>
        </w:rPr>
        <w:t>说明</w:t>
      </w:r>
      <w:r>
        <w:rPr>
          <w:rFonts w:hint="eastAsia" w:ascii="宋体" w:hAnsi="宋体"/>
          <w:color w:val="auto"/>
          <w:szCs w:val="21"/>
          <w:highlight w:val="none"/>
        </w:rPr>
        <w:t>：</w:t>
      </w:r>
    </w:p>
    <w:p w14:paraId="790AAC71">
      <w:pPr>
        <w:pStyle w:val="12"/>
        <w:rPr>
          <w:rFonts w:ascii="宋体" w:hAnsi="宋体"/>
          <w:color w:val="auto"/>
          <w:szCs w:val="21"/>
          <w:highlight w:val="none"/>
        </w:rPr>
      </w:pPr>
      <w:r>
        <w:rPr>
          <w:rFonts w:hint="eastAsia" w:ascii="宋体" w:hAnsi="宋体"/>
          <w:color w:val="auto"/>
          <w:szCs w:val="21"/>
          <w:highlight w:val="none"/>
        </w:rPr>
        <w:t>1、本承诺函必须提供且内容不得擅自删改，否则视为无效投标；</w:t>
      </w:r>
    </w:p>
    <w:p w14:paraId="10ACE41A">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color w:val="auto"/>
          <w:sz w:val="28"/>
          <w:szCs w:val="28"/>
          <w:highlight w:val="none"/>
        </w:rPr>
      </w:pPr>
      <w:r>
        <w:rPr>
          <w:rFonts w:hint="eastAsia" w:ascii="宋体" w:hAnsi="宋体"/>
          <w:color w:val="auto"/>
          <w:szCs w:val="21"/>
          <w:highlight w:val="none"/>
        </w:rPr>
        <w:t>2、本承诺函如有虚假或与事实不符的，作无效投标处理。</w:t>
      </w:r>
      <w:r>
        <w:rPr>
          <w:rFonts w:asciiTheme="minorEastAsia" w:hAnsiTheme="minorEastAsia" w:eastAsiaTheme="minorEastAsia"/>
          <w:color w:val="auto"/>
          <w:sz w:val="28"/>
          <w:szCs w:val="28"/>
          <w:highlight w:val="none"/>
        </w:rPr>
        <w:br w:type="page"/>
      </w:r>
    </w:p>
    <w:p w14:paraId="29A7A127">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 政府采购活动信用记录自查承诺函及相关网页证明</w:t>
      </w:r>
    </w:p>
    <w:p w14:paraId="2821697D">
      <w:pPr>
        <w:ind w:left="405"/>
        <w:rPr>
          <w:rFonts w:asciiTheme="minorEastAsia" w:hAnsiTheme="minorEastAsia" w:eastAsiaTheme="minorEastAsia"/>
          <w:color w:val="auto"/>
          <w:sz w:val="24"/>
          <w:highlight w:val="none"/>
        </w:rPr>
      </w:pPr>
    </w:p>
    <w:p w14:paraId="5618AAD2">
      <w:pPr>
        <w:adjustRightInd w:val="0"/>
        <w:snapToGrid w:val="0"/>
        <w:spacing w:line="360" w:lineRule="auto"/>
        <w:ind w:firstLine="420" w:firstLineChars="200"/>
        <w:rPr>
          <w:rFonts w:asciiTheme="minorEastAsia" w:hAnsiTheme="minorEastAsia" w:eastAsiaTheme="minorEastAsia"/>
          <w:color w:val="auto"/>
          <w:szCs w:val="21"/>
          <w:highlight w:val="none"/>
        </w:rPr>
      </w:pPr>
    </w:p>
    <w:p w14:paraId="6954F222">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国义招标股份有限公司</w:t>
      </w:r>
      <w:r>
        <w:rPr>
          <w:rFonts w:asciiTheme="minorEastAsia" w:hAnsiTheme="minorEastAsia" w:eastAsiaTheme="minorEastAsia"/>
          <w:color w:val="auto"/>
          <w:sz w:val="24"/>
          <w:highlight w:val="none"/>
        </w:rPr>
        <w:t>：</w:t>
      </w:r>
    </w:p>
    <w:p w14:paraId="7D5A878A">
      <w:pPr>
        <w:adjustRightInd w:val="0"/>
        <w:snapToGrid w:val="0"/>
        <w:spacing w:line="360" w:lineRule="auto"/>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关于本企业信用情况，经对“信用中国”网站（www.creditchina.gov.cn）中企业信用信息、“中国政府采购网”（ www.ccgp.gov.cn）中“政府采购严重违法失信行为信息记录”、“信用中国（广东珠海）网站（http：//credit.zhuhai.gov.cn）”的网上查询，截至规定的投标截止时间，我司没有被列入失信被执行人、重大税收违法案件当事人名单、政府采购严重违法失信行为记录名单、不存在近三年因违法经营受到责令停产停业、吊销许可证或者执照、较大数额罚款等重大违法记录及其他不符合规定条件的情况，同时提供信用记录查询结果的打印页面(具体详见后附网页打印)。特此承诺！</w:t>
      </w:r>
    </w:p>
    <w:p w14:paraId="671EBF51">
      <w:pPr>
        <w:ind w:left="405"/>
        <w:rPr>
          <w:rFonts w:asciiTheme="minorEastAsia" w:hAnsiTheme="minorEastAsia" w:eastAsiaTheme="minorEastAsia"/>
          <w:b/>
          <w:color w:val="auto"/>
          <w:szCs w:val="21"/>
          <w:highlight w:val="none"/>
        </w:rPr>
      </w:pPr>
    </w:p>
    <w:p w14:paraId="76ED76E5">
      <w:pPr>
        <w:ind w:left="405"/>
        <w:rPr>
          <w:rFonts w:asciiTheme="minorEastAsia" w:hAnsiTheme="minorEastAsia" w:eastAsiaTheme="minorEastAsia"/>
          <w:b/>
          <w:color w:val="auto"/>
          <w:szCs w:val="21"/>
          <w:highlight w:val="none"/>
        </w:rPr>
      </w:pPr>
    </w:p>
    <w:p w14:paraId="4A0A8D8E">
      <w:pPr>
        <w:ind w:left="405"/>
        <w:rPr>
          <w:rFonts w:asciiTheme="minorEastAsia" w:hAnsiTheme="minorEastAsia" w:eastAsiaTheme="minorEastAsia"/>
          <w:b/>
          <w:color w:val="auto"/>
          <w:szCs w:val="21"/>
          <w:highlight w:val="none"/>
        </w:rPr>
      </w:pPr>
    </w:p>
    <w:p w14:paraId="321B800A">
      <w:pPr>
        <w:ind w:left="405"/>
        <w:rPr>
          <w:rFonts w:asciiTheme="minorEastAsia" w:hAnsiTheme="minorEastAsia" w:eastAsiaTheme="minorEastAsia"/>
          <w:b/>
          <w:color w:val="auto"/>
          <w:szCs w:val="21"/>
          <w:highlight w:val="none"/>
        </w:rPr>
      </w:pPr>
    </w:p>
    <w:p w14:paraId="0AE7E2C9">
      <w:pPr>
        <w:ind w:left="405"/>
        <w:rPr>
          <w:rFonts w:asciiTheme="minorEastAsia" w:hAnsiTheme="minorEastAsia" w:eastAsiaTheme="minorEastAsia"/>
          <w:b/>
          <w:color w:val="auto"/>
          <w:szCs w:val="21"/>
          <w:highlight w:val="none"/>
        </w:rPr>
      </w:pPr>
    </w:p>
    <w:p w14:paraId="62E3B7E0">
      <w:pPr>
        <w:ind w:left="405"/>
        <w:rPr>
          <w:rFonts w:asciiTheme="minorEastAsia" w:hAnsiTheme="minorEastAsia" w:eastAsiaTheme="minorEastAsia"/>
          <w:b/>
          <w:color w:val="auto"/>
          <w:szCs w:val="21"/>
          <w:highlight w:val="none"/>
        </w:rPr>
      </w:pPr>
    </w:p>
    <w:p w14:paraId="73C0A2E2">
      <w:pPr>
        <w:ind w:left="405"/>
        <w:rPr>
          <w:rFonts w:asciiTheme="minorEastAsia" w:hAnsiTheme="minorEastAsia" w:eastAsiaTheme="minorEastAsia"/>
          <w:b/>
          <w:color w:val="auto"/>
          <w:szCs w:val="21"/>
          <w:highlight w:val="none"/>
        </w:rPr>
      </w:pPr>
    </w:p>
    <w:p w14:paraId="3ABD6620">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p>
    <w:p w14:paraId="72A77671">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p>
    <w:p w14:paraId="7A6BDBE0">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 月 日</w:t>
      </w:r>
    </w:p>
    <w:p w14:paraId="447799C1">
      <w:pPr>
        <w:ind w:left="405"/>
        <w:rPr>
          <w:rFonts w:asciiTheme="minorEastAsia" w:hAnsiTheme="minorEastAsia" w:eastAsiaTheme="minorEastAsia"/>
          <w:b/>
          <w:color w:val="auto"/>
          <w:szCs w:val="21"/>
          <w:highlight w:val="none"/>
        </w:rPr>
      </w:pPr>
    </w:p>
    <w:p w14:paraId="3863C6FC">
      <w:pPr>
        <w:ind w:left="405"/>
        <w:rPr>
          <w:rFonts w:asciiTheme="minorEastAsia" w:hAnsiTheme="minorEastAsia" w:eastAsiaTheme="minorEastAsia"/>
          <w:b/>
          <w:color w:val="auto"/>
          <w:szCs w:val="21"/>
          <w:highlight w:val="none"/>
        </w:rPr>
      </w:pPr>
    </w:p>
    <w:p w14:paraId="131FF6DC">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备注：网上信用记录须打印放投标文件中，招标方将对函件内容及网页证明的真实性和有效性进行审查、验证。</w:t>
      </w:r>
      <w:r>
        <w:rPr>
          <w:rFonts w:asciiTheme="minorEastAsia" w:hAnsiTheme="minorEastAsia" w:eastAsiaTheme="minorEastAsia"/>
          <w:b/>
          <w:color w:val="auto"/>
          <w:szCs w:val="21"/>
          <w:highlight w:val="none"/>
        </w:rPr>
        <w:t xml:space="preserve"> </w:t>
      </w:r>
    </w:p>
    <w:p w14:paraId="0243B502">
      <w:pPr>
        <w:rPr>
          <w:rFonts w:asciiTheme="minorEastAsia" w:hAnsiTheme="minorEastAsia" w:eastAsiaTheme="minorEastAsia"/>
          <w:b/>
          <w:color w:val="auto"/>
          <w:szCs w:val="21"/>
          <w:highlight w:val="none"/>
        </w:rPr>
      </w:pPr>
    </w:p>
    <w:p w14:paraId="0F048823">
      <w:pPr>
        <w:rPr>
          <w:rFonts w:asciiTheme="minorEastAsia" w:hAnsiTheme="minorEastAsia" w:eastAsiaTheme="minorEastAsia"/>
          <w:b/>
          <w:color w:val="auto"/>
          <w:sz w:val="24"/>
          <w:highlight w:val="none"/>
        </w:rPr>
      </w:pPr>
    </w:p>
    <w:p w14:paraId="24279E09">
      <w:pPr>
        <w:rPr>
          <w:rFonts w:asciiTheme="minorEastAsia" w:hAnsiTheme="minorEastAsia" w:eastAsiaTheme="minorEastAsia"/>
          <w:b/>
          <w:color w:val="auto"/>
          <w:sz w:val="24"/>
          <w:highlight w:val="none"/>
        </w:rPr>
      </w:pPr>
    </w:p>
    <w:p w14:paraId="4EDFD4FC">
      <w:pPr>
        <w:rPr>
          <w:rFonts w:asciiTheme="minorEastAsia" w:hAnsiTheme="minorEastAsia" w:eastAsiaTheme="minorEastAsia"/>
          <w:b/>
          <w:color w:val="auto"/>
          <w:sz w:val="24"/>
          <w:highlight w:val="none"/>
        </w:rPr>
      </w:pPr>
    </w:p>
    <w:p w14:paraId="47926CBD">
      <w:pPr>
        <w:rPr>
          <w:rFonts w:asciiTheme="minorEastAsia" w:hAnsiTheme="minorEastAsia" w:eastAsiaTheme="minorEastAsia"/>
          <w:b/>
          <w:color w:val="auto"/>
          <w:sz w:val="24"/>
          <w:highlight w:val="none"/>
        </w:rPr>
      </w:pPr>
    </w:p>
    <w:p w14:paraId="74583F95">
      <w:pPr>
        <w:rPr>
          <w:rFonts w:asciiTheme="minorEastAsia" w:hAnsiTheme="minorEastAsia" w:eastAsiaTheme="minorEastAsia"/>
          <w:b/>
          <w:color w:val="auto"/>
          <w:sz w:val="24"/>
          <w:highlight w:val="none"/>
        </w:rPr>
      </w:pPr>
    </w:p>
    <w:p w14:paraId="7C452DF5">
      <w:pPr>
        <w:rPr>
          <w:rFonts w:asciiTheme="minorEastAsia" w:hAnsiTheme="minorEastAsia" w:eastAsiaTheme="minorEastAsia"/>
          <w:b/>
          <w:color w:val="auto"/>
          <w:sz w:val="24"/>
          <w:highlight w:val="none"/>
        </w:rPr>
      </w:pPr>
    </w:p>
    <w:p w14:paraId="015D0424">
      <w:pPr>
        <w:rPr>
          <w:rFonts w:asciiTheme="minorEastAsia" w:hAnsiTheme="minorEastAsia" w:eastAsiaTheme="minorEastAsia"/>
          <w:b/>
          <w:color w:val="auto"/>
          <w:sz w:val="24"/>
          <w:highlight w:val="none"/>
        </w:rPr>
      </w:pPr>
    </w:p>
    <w:p w14:paraId="3DCD283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4507884">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2.4其他资格证明文件</w:t>
      </w:r>
    </w:p>
    <w:p w14:paraId="6138A5C9">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2.4.1有效的营业执照副本复印件（复印件加盖公章）</w:t>
      </w:r>
    </w:p>
    <w:p w14:paraId="098FFEAD">
      <w:pPr>
        <w:adjustRightInd w:val="0"/>
        <w:snapToGrid w:val="0"/>
        <w:rPr>
          <w:rFonts w:asciiTheme="minorEastAsia" w:hAnsiTheme="minorEastAsia" w:eastAsiaTheme="minorEastAsia"/>
          <w:color w:val="auto"/>
          <w:sz w:val="24"/>
          <w:highlight w:val="none"/>
        </w:rPr>
      </w:pPr>
      <w:bookmarkStart w:id="117" w:name="_Toc202819879"/>
      <w:bookmarkStart w:id="118" w:name="_Toc202820352"/>
      <w:bookmarkStart w:id="119" w:name="_Toc202251701"/>
      <w:bookmarkStart w:id="120" w:name="_Toc202254106"/>
      <w:bookmarkStart w:id="121" w:name="_Toc202816997"/>
      <w:bookmarkStart w:id="122" w:name="_Toc202251076"/>
      <w:bookmarkStart w:id="123" w:name="_Toc202252035"/>
    </w:p>
    <w:p w14:paraId="25598378">
      <w:pPr>
        <w:adjustRightInd w:val="0"/>
        <w:snapToGrid w:val="0"/>
        <w:rPr>
          <w:rFonts w:asciiTheme="minorEastAsia" w:hAnsiTheme="minorEastAsia" w:eastAsiaTheme="minorEastAsia"/>
          <w:color w:val="auto"/>
          <w:sz w:val="24"/>
          <w:highlight w:val="none"/>
        </w:rPr>
      </w:pPr>
    </w:p>
    <w:p w14:paraId="3C7068ED">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F487F45">
      <w:pPr>
        <w:adjustRightInd w:val="0"/>
        <w:snapToGrid w:val="0"/>
        <w:rPr>
          <w:rFonts w:asciiTheme="minorEastAsia" w:hAnsiTheme="minorEastAsia" w:eastAsiaTheme="minorEastAsia"/>
          <w:b/>
          <w:color w:val="auto"/>
          <w:szCs w:val="21"/>
          <w:highlight w:val="none"/>
        </w:rPr>
      </w:pPr>
    </w:p>
    <w:p w14:paraId="626E83ED">
      <w:pPr>
        <w:adjustRightInd w:val="0"/>
        <w:snapToGrid w:val="0"/>
        <w:rPr>
          <w:rFonts w:asciiTheme="minorEastAsia" w:hAnsiTheme="minorEastAsia" w:eastAsiaTheme="minorEastAsia"/>
          <w:b/>
          <w:color w:val="auto"/>
          <w:szCs w:val="21"/>
          <w:highlight w:val="none"/>
        </w:rPr>
      </w:pPr>
    </w:p>
    <w:p w14:paraId="1B5C3138">
      <w:pPr>
        <w:adjustRightInd w:val="0"/>
        <w:snapToGrid w:val="0"/>
        <w:rPr>
          <w:rFonts w:asciiTheme="minorEastAsia" w:hAnsiTheme="minorEastAsia" w:eastAsiaTheme="minorEastAsia"/>
          <w:b/>
          <w:color w:val="auto"/>
          <w:szCs w:val="21"/>
          <w:highlight w:val="none"/>
        </w:rPr>
      </w:pPr>
    </w:p>
    <w:p w14:paraId="254A85C3">
      <w:pPr>
        <w:adjustRightInd w:val="0"/>
        <w:snapToGrid w:val="0"/>
        <w:rPr>
          <w:rFonts w:asciiTheme="minorEastAsia" w:hAnsiTheme="minorEastAsia" w:eastAsiaTheme="minorEastAsia"/>
          <w:b/>
          <w:color w:val="auto"/>
          <w:szCs w:val="21"/>
          <w:highlight w:val="none"/>
        </w:rPr>
      </w:pPr>
    </w:p>
    <w:p w14:paraId="57E86C35">
      <w:pPr>
        <w:adjustRightInd w:val="0"/>
        <w:snapToGrid w:val="0"/>
        <w:rPr>
          <w:rFonts w:asciiTheme="minorEastAsia" w:hAnsiTheme="minorEastAsia" w:eastAsiaTheme="minorEastAsia"/>
          <w:b/>
          <w:color w:val="auto"/>
          <w:szCs w:val="21"/>
          <w:highlight w:val="none"/>
        </w:rPr>
      </w:pPr>
    </w:p>
    <w:p w14:paraId="042E8232">
      <w:pPr>
        <w:adjustRightInd w:val="0"/>
        <w:snapToGrid w:val="0"/>
        <w:rPr>
          <w:rFonts w:asciiTheme="minorEastAsia" w:hAnsiTheme="minorEastAsia" w:eastAsiaTheme="minorEastAsia"/>
          <w:b/>
          <w:color w:val="auto"/>
          <w:szCs w:val="21"/>
          <w:highlight w:val="none"/>
        </w:rPr>
      </w:pPr>
    </w:p>
    <w:p w14:paraId="134904D0">
      <w:pPr>
        <w:adjustRightInd w:val="0"/>
        <w:snapToGrid w:val="0"/>
        <w:rPr>
          <w:rFonts w:asciiTheme="minorEastAsia" w:hAnsiTheme="minorEastAsia" w:eastAsiaTheme="minorEastAsia"/>
          <w:b/>
          <w:color w:val="auto"/>
          <w:szCs w:val="21"/>
          <w:highlight w:val="none"/>
        </w:rPr>
      </w:pPr>
    </w:p>
    <w:p w14:paraId="2570B58A">
      <w:pPr>
        <w:adjustRightInd w:val="0"/>
        <w:snapToGrid w:val="0"/>
        <w:rPr>
          <w:rFonts w:asciiTheme="minorEastAsia" w:hAnsiTheme="minorEastAsia" w:eastAsiaTheme="minorEastAsia"/>
          <w:b/>
          <w:color w:val="auto"/>
          <w:szCs w:val="21"/>
          <w:highlight w:val="none"/>
        </w:rPr>
      </w:pPr>
    </w:p>
    <w:p w14:paraId="530C506A">
      <w:pPr>
        <w:adjustRightInd w:val="0"/>
        <w:snapToGrid w:val="0"/>
        <w:rPr>
          <w:rFonts w:asciiTheme="minorEastAsia" w:hAnsiTheme="minorEastAsia" w:eastAsiaTheme="minorEastAsia"/>
          <w:b/>
          <w:color w:val="auto"/>
          <w:szCs w:val="21"/>
          <w:highlight w:val="none"/>
        </w:rPr>
      </w:pPr>
    </w:p>
    <w:p w14:paraId="52904318">
      <w:pPr>
        <w:adjustRightInd w:val="0"/>
        <w:snapToGrid w:val="0"/>
        <w:rPr>
          <w:rFonts w:asciiTheme="minorEastAsia" w:hAnsiTheme="minorEastAsia" w:eastAsiaTheme="minorEastAsia"/>
          <w:b/>
          <w:color w:val="auto"/>
          <w:szCs w:val="21"/>
          <w:highlight w:val="none"/>
        </w:rPr>
      </w:pPr>
    </w:p>
    <w:p w14:paraId="200EE2A4">
      <w:pPr>
        <w:adjustRightInd w:val="0"/>
        <w:snapToGrid w:val="0"/>
        <w:rPr>
          <w:rFonts w:asciiTheme="minorEastAsia" w:hAnsiTheme="minorEastAsia" w:eastAsiaTheme="minorEastAsia"/>
          <w:b/>
          <w:color w:val="auto"/>
          <w:szCs w:val="21"/>
          <w:highlight w:val="none"/>
        </w:rPr>
      </w:pPr>
    </w:p>
    <w:p w14:paraId="537C549F">
      <w:pPr>
        <w:adjustRightInd w:val="0"/>
        <w:snapToGrid w:val="0"/>
        <w:rPr>
          <w:rFonts w:asciiTheme="minorEastAsia" w:hAnsiTheme="minorEastAsia" w:eastAsiaTheme="minorEastAsia"/>
          <w:b/>
          <w:color w:val="auto"/>
          <w:szCs w:val="21"/>
          <w:highlight w:val="none"/>
        </w:rPr>
      </w:pPr>
    </w:p>
    <w:p w14:paraId="71BD4941">
      <w:pPr>
        <w:autoSpaceDE w:val="0"/>
        <w:autoSpaceDN w:val="0"/>
        <w:spacing w:line="360" w:lineRule="auto"/>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8"/>
          <w:szCs w:val="28"/>
          <w:highlight w:val="none"/>
        </w:rPr>
        <w:t>三、符合性文件</w:t>
      </w:r>
    </w:p>
    <w:p w14:paraId="3A247491">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 投标函</w:t>
      </w:r>
    </w:p>
    <w:p w14:paraId="1BCAA409">
      <w:pPr>
        <w:rPr>
          <w:rFonts w:asciiTheme="minorEastAsia" w:hAnsiTheme="minorEastAsia" w:eastAsiaTheme="minorEastAsia"/>
          <w:b/>
          <w:color w:val="auto"/>
          <w:sz w:val="24"/>
          <w:highlight w:val="none"/>
        </w:rPr>
      </w:pPr>
    </w:p>
    <w:p w14:paraId="4BEB94BC">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国义招标股份有限公司</w:t>
      </w:r>
      <w:r>
        <w:rPr>
          <w:rFonts w:hint="eastAsia" w:asciiTheme="minorEastAsia" w:hAnsiTheme="minorEastAsia" w:eastAsiaTheme="minorEastAsia"/>
          <w:color w:val="auto"/>
          <w:szCs w:val="21"/>
          <w:highlight w:val="none"/>
        </w:rPr>
        <w:t>：</w:t>
      </w:r>
    </w:p>
    <w:p w14:paraId="1EBDEC41">
      <w:pPr>
        <w:autoSpaceDE w:val="0"/>
        <w:autoSpaceDN w:val="0"/>
        <w:adjustRightInd w:val="0"/>
        <w:ind w:right="2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依据贵方</w:t>
      </w:r>
      <w:r>
        <w:rPr>
          <w:rFonts w:hint="eastAsia" w:asciiTheme="minorEastAsia" w:hAnsiTheme="minorEastAsia" w:eastAsiaTheme="minorEastAsia"/>
          <w:color w:val="auto"/>
          <w:szCs w:val="21"/>
          <w:highlight w:val="none"/>
          <w:u w:val="single"/>
        </w:rPr>
        <w:t xml:space="preserve">           项目（</w:t>
      </w:r>
      <w:r>
        <w:rPr>
          <w:rFonts w:asciiTheme="minorEastAsia" w:hAnsiTheme="minorEastAsia" w:eastAsiaTheme="minorEastAsia"/>
          <w:color w:val="auto"/>
          <w:szCs w:val="21"/>
          <w:highlight w:val="none"/>
          <w:u w:val="single"/>
        </w:rPr>
        <w:t>0724-</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kern w:val="0"/>
          <w:szCs w:val="21"/>
          <w:highlight w:val="none"/>
        </w:rPr>
        <w:t>的投标邀请，我方代表</w:t>
      </w:r>
      <w:r>
        <w:rPr>
          <w:rFonts w:hint="eastAsia" w:asciiTheme="minorEastAsia" w:hAnsiTheme="minorEastAsia" w:eastAsiaTheme="minorEastAsia"/>
          <w:color w:val="auto"/>
          <w:szCs w:val="21"/>
          <w:highlight w:val="none"/>
          <w:u w:val="single"/>
        </w:rPr>
        <w:t>（姓名、职务）</w:t>
      </w:r>
      <w:r>
        <w:rPr>
          <w:rFonts w:hint="eastAsia" w:asciiTheme="minorEastAsia" w:hAnsiTheme="minorEastAsia" w:eastAsiaTheme="minorEastAsia"/>
          <w:color w:val="auto"/>
          <w:kern w:val="0"/>
          <w:szCs w:val="21"/>
          <w:highlight w:val="none"/>
        </w:rPr>
        <w:t>经正式授权并代表</w:t>
      </w:r>
      <w:r>
        <w:rPr>
          <w:rFonts w:hint="eastAsia" w:asciiTheme="minorEastAsia" w:hAnsiTheme="minorEastAsia" w:eastAsiaTheme="minorEastAsia"/>
          <w:color w:val="auto"/>
          <w:szCs w:val="21"/>
          <w:highlight w:val="none"/>
          <w:u w:val="single"/>
        </w:rPr>
        <w:t>（投标人名称、地址）</w:t>
      </w:r>
      <w:r>
        <w:rPr>
          <w:rFonts w:hint="eastAsia" w:asciiTheme="minorEastAsia" w:hAnsiTheme="minorEastAsia" w:eastAsiaTheme="minorEastAsia"/>
          <w:color w:val="auto"/>
          <w:kern w:val="0"/>
          <w:szCs w:val="21"/>
          <w:highlight w:val="none"/>
        </w:rPr>
        <w:t>提交下述文件正本</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份，副本</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w:t>
      </w:r>
    </w:p>
    <w:p w14:paraId="71FF6DDA">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1. </w:t>
      </w:r>
      <w:r>
        <w:rPr>
          <w:rFonts w:hint="eastAsia" w:asciiTheme="minorEastAsia" w:hAnsiTheme="minorEastAsia" w:eastAsiaTheme="minorEastAsia"/>
          <w:color w:val="auto"/>
          <w:szCs w:val="21"/>
          <w:highlight w:val="none"/>
        </w:rPr>
        <w:t>自查表</w:t>
      </w:r>
      <w:r>
        <w:rPr>
          <w:rFonts w:hint="eastAsia" w:asciiTheme="minorEastAsia" w:hAnsiTheme="minorEastAsia" w:eastAsiaTheme="minorEastAsia"/>
          <w:color w:val="auto"/>
          <w:kern w:val="0"/>
          <w:szCs w:val="21"/>
          <w:highlight w:val="none"/>
        </w:rPr>
        <w:t>；</w:t>
      </w:r>
    </w:p>
    <w:p w14:paraId="37F7E828">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2. </w:t>
      </w:r>
      <w:r>
        <w:rPr>
          <w:rFonts w:hint="eastAsia" w:asciiTheme="minorEastAsia" w:hAnsiTheme="minorEastAsia" w:eastAsiaTheme="minorEastAsia"/>
          <w:color w:val="auto"/>
          <w:szCs w:val="21"/>
          <w:highlight w:val="none"/>
        </w:rPr>
        <w:t>资格文件</w:t>
      </w:r>
      <w:r>
        <w:rPr>
          <w:rFonts w:hint="eastAsia" w:asciiTheme="minorEastAsia" w:hAnsiTheme="minorEastAsia" w:eastAsiaTheme="minorEastAsia"/>
          <w:color w:val="auto"/>
          <w:kern w:val="0"/>
          <w:szCs w:val="21"/>
          <w:highlight w:val="none"/>
        </w:rPr>
        <w:t>；</w:t>
      </w:r>
    </w:p>
    <w:p w14:paraId="0CE0FB9A">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3. 符合性文件</w:t>
      </w:r>
    </w:p>
    <w:p w14:paraId="5A98E775">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4. 商务部分；</w:t>
      </w:r>
    </w:p>
    <w:p w14:paraId="57E56E58">
      <w:pPr>
        <w:autoSpaceDE w:val="0"/>
        <w:autoSpaceDN w:val="0"/>
        <w:adjustRightInd w:val="0"/>
        <w:ind w:right="246"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5. 服务部分；</w:t>
      </w:r>
    </w:p>
    <w:p w14:paraId="62DFF41C">
      <w:pPr>
        <w:autoSpaceDE w:val="0"/>
        <w:autoSpaceDN w:val="0"/>
        <w:adjustRightInd w:val="0"/>
        <w:ind w:right="32"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6. </w:t>
      </w:r>
      <w:r>
        <w:rPr>
          <w:rFonts w:hint="eastAsia" w:asciiTheme="minorEastAsia" w:hAnsiTheme="minorEastAsia" w:eastAsiaTheme="minorEastAsia"/>
          <w:color w:val="auto"/>
          <w:szCs w:val="21"/>
          <w:highlight w:val="none"/>
        </w:rPr>
        <w:t>价格部分。</w:t>
      </w:r>
    </w:p>
    <w:p w14:paraId="46CFBD52">
      <w:pPr>
        <w:autoSpaceDE w:val="0"/>
        <w:autoSpaceDN w:val="0"/>
        <w:adjustRightInd w:val="0"/>
        <w:ind w:right="246" w:firstLine="315" w:firstLineChars="15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在此，我方声明如下：</w:t>
      </w:r>
    </w:p>
    <w:p w14:paraId="6DABC70A">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1.同意并接受招标文件的各项要求，遵守招标文件中的各项规定，按招标文件的要求提供报价。</w:t>
      </w:r>
    </w:p>
    <w:p w14:paraId="50B57F6E">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2.投标有效期为递交投标文件之日起</w:t>
      </w:r>
      <w:r>
        <w:rPr>
          <w:rFonts w:hint="eastAsia" w:asciiTheme="minorEastAsia" w:hAnsiTheme="minorEastAsia" w:eastAsiaTheme="minorEastAsia"/>
          <w:color w:val="auto"/>
          <w:szCs w:val="21"/>
          <w:highlight w:val="none"/>
          <w:u w:val="single"/>
        </w:rPr>
        <w:t>九十</w:t>
      </w:r>
      <w:r>
        <w:rPr>
          <w:rFonts w:hint="eastAsia" w:asciiTheme="minorEastAsia" w:hAnsiTheme="minorEastAsia" w:eastAsiaTheme="minorEastAsia"/>
          <w:color w:val="auto"/>
          <w:szCs w:val="21"/>
          <w:highlight w:val="none"/>
        </w:rPr>
        <w:t>天，中标人投标有效期延至合同验收之日。</w:t>
      </w:r>
    </w:p>
    <w:p w14:paraId="4E96E438">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23FE6BC3">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4.我方已毫无保留地向贵方提供一切所需的证明材料。</w:t>
      </w:r>
    </w:p>
    <w:p w14:paraId="5F60B180">
      <w:pPr>
        <w:ind w:left="388" w:leftChars="1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5.我方承诺在本次投标中提供的一切文件，无论是原件还是复印件均为真实和准确的，绝无任何虚假、伪造和夸大的成份，否则，愿承担相应的后果和法律责任。</w:t>
      </w:r>
    </w:p>
    <w:p w14:paraId="5BDA6416">
      <w:pPr>
        <w:ind w:left="388" w:leftChars="18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6.我方完全服从和尊重评委会所作的评定结果，同时清楚理解到报价最低并非意味着必定获得中标资格。</w:t>
      </w:r>
    </w:p>
    <w:p w14:paraId="736B13CE">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7.我方同意按招标文件规定向采购代理机构缴纳</w:t>
      </w:r>
      <w:r>
        <w:rPr>
          <w:rFonts w:hint="eastAsia" w:asciiTheme="minorEastAsia" w:hAnsiTheme="minorEastAsia" w:eastAsiaTheme="minorEastAsia"/>
          <w:color w:val="auto"/>
          <w:szCs w:val="21"/>
          <w:highlight w:val="none"/>
          <w:lang w:val="en-GB"/>
        </w:rPr>
        <w:t>中标服务费</w:t>
      </w:r>
      <w:r>
        <w:rPr>
          <w:rFonts w:hint="eastAsia" w:asciiTheme="minorEastAsia" w:hAnsiTheme="minorEastAsia" w:eastAsiaTheme="minorEastAsia"/>
          <w:color w:val="auto"/>
          <w:szCs w:val="21"/>
          <w:highlight w:val="none"/>
        </w:rPr>
        <w:t>。</w:t>
      </w:r>
    </w:p>
    <w:p w14:paraId="05F484A0">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投标人：</w:t>
      </w:r>
    </w:p>
    <w:p w14:paraId="4210B478">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地址：</w:t>
      </w:r>
    </w:p>
    <w:p w14:paraId="52FA4E97">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传真：</w:t>
      </w:r>
    </w:p>
    <w:p w14:paraId="3DC9FC69">
      <w:pPr>
        <w:autoSpaceDE w:val="0"/>
        <w:autoSpaceDN w:val="0"/>
        <w:adjustRightInd w:val="0"/>
        <w:ind w:right="33"/>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电话：</w:t>
      </w:r>
    </w:p>
    <w:p w14:paraId="0D2E4E47">
      <w:pPr>
        <w:autoSpaceDE w:val="0"/>
        <w:autoSpaceDN w:val="0"/>
        <w:adjustRightInd w:val="0"/>
        <w:ind w:right="246"/>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电子邮件：</w:t>
      </w:r>
    </w:p>
    <w:p w14:paraId="7F1C11D7">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投标人法定代表人（或法定代表人授权代表）签字：</w:t>
      </w:r>
    </w:p>
    <w:p w14:paraId="5B025C19">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 xml:space="preserve">投标人名称(公章)： </w:t>
      </w:r>
    </w:p>
    <w:p w14:paraId="3A726DD3">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开户银行：</w:t>
      </w:r>
    </w:p>
    <w:p w14:paraId="776FC391">
      <w:pPr>
        <w:tabs>
          <w:tab w:val="left" w:pos="5250"/>
        </w:tabs>
        <w:autoSpaceDE w:val="0"/>
        <w:autoSpaceDN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账号：</w:t>
      </w:r>
    </w:p>
    <w:p w14:paraId="5E2B5500">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日期：</w:t>
      </w:r>
    </w:p>
    <w:p w14:paraId="07167EFB">
      <w:pPr>
        <w:adjustRightInd w:val="0"/>
        <w:snapToGrid w:val="0"/>
        <w:rPr>
          <w:rFonts w:asciiTheme="minorEastAsia" w:hAnsiTheme="minorEastAsia" w:eastAsiaTheme="minorEastAsia"/>
          <w:color w:val="auto"/>
          <w:szCs w:val="21"/>
          <w:highlight w:val="none"/>
          <w:u w:val="single"/>
        </w:rPr>
      </w:pPr>
    </w:p>
    <w:p w14:paraId="42230A1A">
      <w:pPr>
        <w:rPr>
          <w:rFonts w:asciiTheme="minorEastAsia" w:hAnsiTheme="minorEastAsia" w:eastAsiaTheme="minorEastAsia"/>
          <w:b/>
          <w:color w:val="auto"/>
          <w:sz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4"/>
          <w:highlight w:val="none"/>
        </w:rPr>
        <w:t>3.2法定代表人/负责人证明书及授权委托书</w:t>
      </w:r>
    </w:p>
    <w:p w14:paraId="2E4BC13D">
      <w:pPr>
        <w:spacing w:line="480" w:lineRule="exact"/>
        <w:jc w:val="center"/>
        <w:rPr>
          <w:rFonts w:asciiTheme="minorEastAsia" w:hAnsiTheme="minorEastAsia" w:eastAsiaTheme="minorEastAsia"/>
          <w:b/>
          <w:color w:val="auto"/>
          <w:sz w:val="28"/>
          <w:szCs w:val="28"/>
          <w:highlight w:val="none"/>
        </w:rPr>
      </w:pPr>
    </w:p>
    <w:p w14:paraId="3175CF50">
      <w:pPr>
        <w:spacing w:line="480" w:lineRule="exact"/>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（1）法定代表人/负责人证明书</w:t>
      </w:r>
    </w:p>
    <w:p w14:paraId="59D75F5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致：</w:t>
      </w:r>
      <w:r>
        <w:rPr>
          <w:rFonts w:hint="eastAsia" w:asciiTheme="minorEastAsia" w:hAnsiTheme="minorEastAsia" w:eastAsiaTheme="minorEastAsia"/>
          <w:color w:val="auto"/>
          <w:szCs w:val="21"/>
          <w:highlight w:val="none"/>
          <w:u w:val="single"/>
        </w:rPr>
        <w:t>国义招标股份有限公司</w:t>
      </w:r>
      <w:r>
        <w:rPr>
          <w:rFonts w:hint="eastAsia" w:asciiTheme="minorEastAsia" w:hAnsiTheme="minorEastAsia" w:eastAsiaTheme="minorEastAsia"/>
          <w:color w:val="auto"/>
          <w:szCs w:val="21"/>
          <w:highlight w:val="none"/>
        </w:rPr>
        <w:t>：</w:t>
      </w:r>
    </w:p>
    <w:p w14:paraId="35EA0081">
      <w:pPr>
        <w:rPr>
          <w:rFonts w:asciiTheme="minorEastAsia" w:hAnsiTheme="minorEastAsia" w:eastAsiaTheme="minorEastAsia"/>
          <w:color w:val="auto"/>
          <w:szCs w:val="21"/>
          <w:highlight w:val="none"/>
        </w:rPr>
      </w:pPr>
    </w:p>
    <w:p w14:paraId="1876327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同志，现任我单位职务，为法定代表人，特此证明。</w:t>
      </w:r>
    </w:p>
    <w:p w14:paraId="40F881C2">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签发日期：           单位：           （单位公章）</w:t>
      </w:r>
    </w:p>
    <w:p w14:paraId="1C75DC11">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附：代表人性别：            年龄：           身份证号码：</w:t>
      </w:r>
    </w:p>
    <w:p w14:paraId="0DEF0710">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联系电话：</w:t>
      </w:r>
    </w:p>
    <w:p w14:paraId="0762392F">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营业执照号码：                       经济性质：</w:t>
      </w:r>
    </w:p>
    <w:p w14:paraId="6978EEE7">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主营：</w:t>
      </w:r>
    </w:p>
    <w:p w14:paraId="1858E3DB">
      <w:pPr>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兼营：</w:t>
      </w:r>
    </w:p>
    <w:p w14:paraId="164A92B5">
      <w:pPr>
        <w:ind w:firstLine="210" w:firstLineChars="100"/>
        <w:rPr>
          <w:rFonts w:asciiTheme="minorEastAsia" w:hAnsiTheme="minorEastAsia" w:eastAsiaTheme="minorEastAsia"/>
          <w:color w:val="auto"/>
          <w:szCs w:val="21"/>
          <w:highlight w:val="none"/>
        </w:rPr>
      </w:pPr>
    </w:p>
    <w:p w14:paraId="02D02A2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说明：1.法定代表人为企业事业单位、国家机关、社会团体的主要行政负责人。</w:t>
      </w:r>
    </w:p>
    <w:p w14:paraId="4C51D12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2.内容必须填写真实、清楚、涂改无效，不得转让、买卖。</w:t>
      </w:r>
    </w:p>
    <w:p w14:paraId="73FB867B">
      <w:pPr>
        <w:ind w:firstLine="630" w:firstLineChars="3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3.将此证明书提交对方作为合同附件</w:t>
      </w:r>
      <w:r>
        <w:rPr>
          <w:rFonts w:hint="eastAsia" w:asciiTheme="minorEastAsia" w:hAnsiTheme="minorEastAsia" w:eastAsiaTheme="minorEastAsia"/>
          <w:b/>
          <w:color w:val="auto"/>
          <w:szCs w:val="21"/>
          <w:highlight w:val="none"/>
        </w:rPr>
        <w:t>。</w:t>
      </w:r>
    </w:p>
    <w:p w14:paraId="19BF6AFC">
      <w:pPr>
        <w:rPr>
          <w:rFonts w:asciiTheme="minorEastAsia" w:hAnsiTheme="minorEastAsia" w:eastAsiaTheme="minorEastAsia"/>
          <w:color w:val="auto"/>
          <w:sz w:val="28"/>
          <w:szCs w:val="28"/>
          <w:highlight w:val="none"/>
        </w:rPr>
      </w:pPr>
    </w:p>
    <w:tbl>
      <w:tblPr>
        <w:tblStyle w:val="3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80A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7" w:type="dxa"/>
            <w:vAlign w:val="center"/>
          </w:tcPr>
          <w:p w14:paraId="2599EF8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u w:val="single"/>
              </w:rPr>
              <w:t>粘贴法定代表人身份证复印件</w:t>
            </w:r>
          </w:p>
        </w:tc>
      </w:tr>
    </w:tbl>
    <w:p w14:paraId="59502D07">
      <w:pPr>
        <w:rPr>
          <w:rFonts w:asciiTheme="minorEastAsia" w:hAnsiTheme="minorEastAsia" w:eastAsiaTheme="minorEastAsia"/>
          <w:b/>
          <w:color w:val="auto"/>
          <w:sz w:val="28"/>
          <w:szCs w:val="28"/>
          <w:highlight w:val="none"/>
        </w:rPr>
      </w:pPr>
    </w:p>
    <w:p w14:paraId="4FCE712A">
      <w:pPr>
        <w:rPr>
          <w:rFonts w:asciiTheme="minorEastAsia" w:hAnsiTheme="minorEastAsia" w:eastAsiaTheme="minorEastAsia"/>
          <w:b/>
          <w:color w:val="auto"/>
          <w:sz w:val="28"/>
          <w:szCs w:val="28"/>
          <w:highlight w:val="none"/>
        </w:rPr>
      </w:pPr>
    </w:p>
    <w:p w14:paraId="18BF4BD5">
      <w:pPr>
        <w:tabs>
          <w:tab w:val="left" w:pos="654"/>
          <w:tab w:val="left" w:pos="1734"/>
          <w:tab w:val="left" w:pos="2814"/>
          <w:tab w:val="left" w:pos="3894"/>
          <w:tab w:val="left" w:pos="5334"/>
          <w:tab w:val="left" w:pos="6414"/>
          <w:tab w:val="left" w:pos="7254"/>
          <w:tab w:val="left" w:pos="8574"/>
          <w:tab w:val="left" w:pos="9654"/>
        </w:tabs>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8"/>
          <w:szCs w:val="28"/>
          <w:highlight w:val="none"/>
        </w:rPr>
        <w:t>（2）法定代表人/负责人授权委托书</w:t>
      </w:r>
    </w:p>
    <w:p w14:paraId="06CFEFA7">
      <w:pPr>
        <w:spacing w:line="360" w:lineRule="auto"/>
        <w:rPr>
          <w:rFonts w:asciiTheme="minorEastAsia" w:hAnsiTheme="minorEastAsia" w:eastAsiaTheme="minorEastAsia"/>
          <w:color w:val="auto"/>
          <w:sz w:val="28"/>
          <w:szCs w:val="28"/>
          <w:highlight w:val="none"/>
        </w:rPr>
      </w:pPr>
    </w:p>
    <w:p w14:paraId="4BE3FAF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致：国义招标股份有限公司：</w:t>
      </w:r>
    </w:p>
    <w:p w14:paraId="15BE47D3">
      <w:pPr>
        <w:rPr>
          <w:rFonts w:asciiTheme="minorEastAsia" w:hAnsiTheme="minorEastAsia" w:eastAsiaTheme="minorEastAsia"/>
          <w:color w:val="auto"/>
          <w:sz w:val="24"/>
          <w:highlight w:val="none"/>
        </w:rPr>
      </w:pPr>
    </w:p>
    <w:p w14:paraId="64CEC2AB">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兹授权</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同志，为我方签订经济合同及办理其他事务代理人，其权限是：</w:t>
      </w:r>
    </w:p>
    <w:p w14:paraId="1E4A32B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6D69CF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授权单位：          （盖章）     法定代表人            （签名或盖私章）</w:t>
      </w:r>
    </w:p>
    <w:p w14:paraId="7308BE9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有效期限：至        年       月      日       签发日期：</w:t>
      </w:r>
    </w:p>
    <w:p w14:paraId="4EF95E1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附：代理人性别：        年龄：       职务：         身份证号码：</w:t>
      </w:r>
    </w:p>
    <w:p w14:paraId="45F3F1FA">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联系电话：</w:t>
      </w:r>
    </w:p>
    <w:p w14:paraId="3FC88902">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营业执照号码：                         经济性质：</w:t>
      </w:r>
    </w:p>
    <w:p w14:paraId="2A9F9B2D">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主营（产）：</w:t>
      </w:r>
    </w:p>
    <w:p w14:paraId="5EAE8794">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兼营（产）：</w:t>
      </w:r>
    </w:p>
    <w:p w14:paraId="2D601D49">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进口物品经营许可证号码：</w:t>
      </w:r>
    </w:p>
    <w:p w14:paraId="13A3107F">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主营：</w:t>
      </w:r>
    </w:p>
    <w:p w14:paraId="0565D466">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兼营：</w:t>
      </w:r>
    </w:p>
    <w:p w14:paraId="674E7553">
      <w:pPr>
        <w:ind w:left="1"/>
        <w:rPr>
          <w:rFonts w:asciiTheme="minorEastAsia" w:hAnsiTheme="minorEastAsia" w:eastAsiaTheme="minorEastAsia"/>
          <w:color w:val="auto"/>
          <w:sz w:val="24"/>
          <w:highlight w:val="none"/>
        </w:rPr>
      </w:pPr>
    </w:p>
    <w:p w14:paraId="5BAB2250">
      <w:pPr>
        <w:ind w:left="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p w14:paraId="11B0F644">
      <w:pPr>
        <w:ind w:left="1"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1.法定代表人为企业事业单位、国家机关、社会团体的主要行政负责人。</w:t>
      </w:r>
    </w:p>
    <w:p w14:paraId="132FA1D6">
      <w:pPr>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2.内容必须填写真实、清楚、涂改无效，不得转让、买卖。</w:t>
      </w:r>
    </w:p>
    <w:p w14:paraId="793A5594">
      <w:pPr>
        <w:ind w:firstLine="537" w:firstLineChars="224"/>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3.将此证明书提交对方作为合同附件</w:t>
      </w:r>
      <w:r>
        <w:rPr>
          <w:rFonts w:hint="eastAsia" w:asciiTheme="minorEastAsia" w:hAnsiTheme="minorEastAsia" w:eastAsiaTheme="minorEastAsia"/>
          <w:b/>
          <w:color w:val="auto"/>
          <w:sz w:val="24"/>
          <w:highlight w:val="none"/>
        </w:rPr>
        <w:t>。</w:t>
      </w:r>
    </w:p>
    <w:p w14:paraId="649D752D">
      <w:pPr>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4.授权权限：全权代表本公司参与上述采购项目的投标响应，负责提供与签署确认一切文书资料，以及向贵方递交的任何补充承诺。</w:t>
      </w:r>
    </w:p>
    <w:p w14:paraId="511A9D84">
      <w:pPr>
        <w:ind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5.有效期限：与本公司投标文件中标注的投标有效期相同，自本单位盖公章之日起生效。</w:t>
      </w:r>
    </w:p>
    <w:p w14:paraId="1A11A035">
      <w:pPr>
        <w:ind w:left="1" w:firstLine="537" w:firstLineChars="22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6.投标签字代表为法定代表人，则本表不适用。</w:t>
      </w:r>
    </w:p>
    <w:p w14:paraId="0189F723">
      <w:pPr>
        <w:ind w:left="1" w:firstLine="537" w:firstLineChars="224"/>
        <w:rPr>
          <w:rFonts w:asciiTheme="minorEastAsia" w:hAnsiTheme="minorEastAsia" w:eastAsiaTheme="minorEastAsia"/>
          <w:color w:val="auto"/>
          <w:sz w:val="24"/>
          <w:highlight w:val="none"/>
        </w:rPr>
      </w:pPr>
    </w:p>
    <w:tbl>
      <w:tblPr>
        <w:tblStyle w:val="3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ECD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vAlign w:val="center"/>
          </w:tcPr>
          <w:p w14:paraId="0331EE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u w:val="single"/>
              </w:rPr>
              <w:t>粘贴代理人身份证复印件</w:t>
            </w:r>
          </w:p>
        </w:tc>
      </w:tr>
    </w:tbl>
    <w:p w14:paraId="69B4457A">
      <w:pPr>
        <w:spacing w:line="360" w:lineRule="auto"/>
        <w:rPr>
          <w:rFonts w:asciiTheme="minorEastAsia" w:hAnsiTheme="minorEastAsia" w:eastAsiaTheme="minorEastAsia"/>
          <w:color w:val="auto"/>
          <w:sz w:val="28"/>
          <w:szCs w:val="28"/>
          <w:highlight w:val="none"/>
          <w:u w:val="single"/>
        </w:rPr>
      </w:pPr>
    </w:p>
    <w:p w14:paraId="1A4FD5EF">
      <w:pPr>
        <w:spacing w:line="300" w:lineRule="auto"/>
        <w:rPr>
          <w:rFonts w:asciiTheme="minorEastAsia" w:hAnsiTheme="minorEastAsia" w:eastAsiaTheme="minorEastAsia"/>
          <w:b/>
          <w:color w:val="auto"/>
          <w:szCs w:val="21"/>
          <w:highlight w:val="none"/>
        </w:rPr>
      </w:pPr>
    </w:p>
    <w:p w14:paraId="49F1F993">
      <w:pPr>
        <w:rPr>
          <w:rFonts w:asciiTheme="minorEastAsia" w:hAnsiTheme="minorEastAsia" w:eastAsiaTheme="minorEastAsia"/>
          <w:b/>
          <w:color w:val="auto"/>
          <w:szCs w:val="21"/>
          <w:highlight w:val="none"/>
        </w:rPr>
      </w:pPr>
    </w:p>
    <w:p w14:paraId="686DAD36">
      <w:pPr>
        <w:adjustRightInd w:val="0"/>
        <w:snapToGrid w:val="0"/>
        <w:rPr>
          <w:rFonts w:asciiTheme="minorEastAsia" w:hAnsiTheme="minorEastAsia" w:eastAsiaTheme="minorEastAsia"/>
          <w:b/>
          <w:color w:val="auto"/>
          <w:szCs w:val="21"/>
          <w:highlight w:val="none"/>
        </w:rPr>
      </w:pPr>
      <w:r>
        <w:rPr>
          <w:rFonts w:asciiTheme="minorEastAsia" w:hAnsiTheme="minorEastAsia" w:eastAsiaTheme="minorEastAsia"/>
          <w:color w:val="auto"/>
          <w:sz w:val="28"/>
          <w:szCs w:val="28"/>
          <w:highlight w:val="none"/>
        </w:rPr>
        <w:br w:type="page"/>
      </w:r>
      <w:r>
        <w:rPr>
          <w:rFonts w:hint="eastAsia" w:asciiTheme="minorEastAsia" w:hAnsiTheme="minorEastAsia" w:eastAsiaTheme="minorEastAsia"/>
          <w:b/>
          <w:color w:val="auto"/>
          <w:sz w:val="24"/>
          <w:highlight w:val="none"/>
        </w:rPr>
        <w:t>3.3. 联合体共同投标协议书</w:t>
      </w:r>
      <w:r>
        <w:rPr>
          <w:rFonts w:hint="eastAsia" w:asciiTheme="minorEastAsia" w:hAnsiTheme="minorEastAsia" w:eastAsiaTheme="minorEastAsia"/>
          <w:b/>
          <w:color w:val="auto"/>
          <w:szCs w:val="21"/>
          <w:highlight w:val="none"/>
        </w:rPr>
        <w:t>（本项目不适用）</w:t>
      </w:r>
    </w:p>
    <w:p w14:paraId="0228DE8B">
      <w:pPr>
        <w:spacing w:line="480" w:lineRule="exact"/>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联合体共同投标协议书</w:t>
      </w:r>
    </w:p>
    <w:p w14:paraId="57CA1ED9">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kern w:val="10"/>
          <w:szCs w:val="21"/>
          <w:highlight w:val="none"/>
        </w:rPr>
        <w:t>立约方：</w:t>
      </w:r>
      <w:r>
        <w:rPr>
          <w:rFonts w:hint="eastAsia" w:asciiTheme="minorEastAsia" w:hAnsiTheme="minorEastAsia" w:eastAsiaTheme="minorEastAsia"/>
          <w:color w:val="auto"/>
          <w:szCs w:val="21"/>
          <w:highlight w:val="none"/>
          <w:u w:val="single"/>
        </w:rPr>
        <w:t>（甲公司全称）</w:t>
      </w:r>
    </w:p>
    <w:p w14:paraId="0C960C76">
      <w:pPr>
        <w:ind w:firstLine="945" w:firstLineChars="45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（乙公司全称）</w:t>
      </w:r>
    </w:p>
    <w:p w14:paraId="6BC7B91E">
      <w:pPr>
        <w:ind w:firstLine="840" w:firstLineChars="4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（……公司全称）</w:t>
      </w:r>
    </w:p>
    <w:p w14:paraId="5EBE5907">
      <w:pPr>
        <w:rPr>
          <w:rFonts w:asciiTheme="minorEastAsia" w:hAnsiTheme="minorEastAsia" w:eastAsiaTheme="minorEastAsia"/>
          <w:color w:val="auto"/>
          <w:szCs w:val="21"/>
          <w:highlight w:val="none"/>
        </w:rPr>
      </w:pPr>
    </w:p>
    <w:p w14:paraId="54473249">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u w:val="single"/>
        </w:rPr>
        <w:t>（甲公司全称）</w:t>
      </w:r>
      <w:r>
        <w:rPr>
          <w:rFonts w:hint="eastAsia" w:asciiTheme="minorEastAsia" w:hAnsiTheme="minorEastAsia" w:eastAsiaTheme="minorEastAsia"/>
          <w:color w:val="auto"/>
          <w:kern w:val="0"/>
          <w:szCs w:val="21"/>
          <w:highlight w:val="none"/>
        </w:rPr>
        <w:t xml:space="preserve"> 、 </w:t>
      </w:r>
      <w:r>
        <w:rPr>
          <w:rFonts w:hint="eastAsia" w:asciiTheme="minorEastAsia" w:hAnsiTheme="minorEastAsia" w:eastAsiaTheme="minorEastAsia"/>
          <w:color w:val="auto"/>
          <w:kern w:val="0"/>
          <w:szCs w:val="21"/>
          <w:highlight w:val="none"/>
          <w:u w:val="single"/>
        </w:rPr>
        <w:t>（乙公司全称）</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u w:val="single"/>
        </w:rPr>
        <w:t>（……公司全称）</w:t>
      </w:r>
      <w:r>
        <w:rPr>
          <w:rFonts w:hint="eastAsia" w:asciiTheme="minorEastAsia" w:hAnsiTheme="minorEastAsia" w:eastAsiaTheme="minorEastAsia"/>
          <w:color w:val="auto"/>
          <w:kern w:val="0"/>
          <w:szCs w:val="21"/>
          <w:highlight w:val="none"/>
        </w:rPr>
        <w:t>自愿组成联合体，</w:t>
      </w:r>
      <w:r>
        <w:rPr>
          <w:rFonts w:hint="eastAsia" w:asciiTheme="minorEastAsia" w:hAnsiTheme="minorEastAsia" w:eastAsiaTheme="minorEastAsia"/>
          <w:color w:val="auto"/>
          <w:kern w:val="10"/>
          <w:szCs w:val="21"/>
          <w:highlight w:val="none"/>
        </w:rPr>
        <w:t>以一个投标人的身份共同</w:t>
      </w:r>
      <w:r>
        <w:rPr>
          <w:rFonts w:hint="eastAsia" w:asciiTheme="minorEastAsia" w:hAnsiTheme="minorEastAsia" w:eastAsiaTheme="minorEastAsia"/>
          <w:color w:val="auto"/>
          <w:kern w:val="0"/>
          <w:szCs w:val="21"/>
          <w:highlight w:val="none"/>
        </w:rPr>
        <w:t>参加</w:t>
      </w:r>
      <w:r>
        <w:rPr>
          <w:rFonts w:hint="eastAsia" w:asciiTheme="minorEastAsia" w:hAnsiTheme="minorEastAsia" w:eastAsiaTheme="minorEastAsia"/>
          <w:color w:val="auto"/>
          <w:kern w:val="0"/>
          <w:szCs w:val="21"/>
          <w:highlight w:val="none"/>
          <w:u w:val="single"/>
        </w:rPr>
        <w:t>（采购项目名称）</w:t>
      </w:r>
      <w:r>
        <w:rPr>
          <w:rFonts w:hint="eastAsia"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u w:val="single"/>
        </w:rPr>
        <w:t>（项目编号）</w:t>
      </w:r>
      <w:r>
        <w:rPr>
          <w:rFonts w:hint="eastAsia" w:asciiTheme="minorEastAsia" w:hAnsiTheme="minorEastAsia" w:eastAsiaTheme="minorEastAsia"/>
          <w:color w:val="auto"/>
          <w:kern w:val="0"/>
          <w:szCs w:val="21"/>
          <w:highlight w:val="none"/>
        </w:rPr>
        <w:t>的投标活动。</w:t>
      </w:r>
      <w:r>
        <w:rPr>
          <w:rFonts w:hint="eastAsia" w:asciiTheme="minorEastAsia" w:hAnsiTheme="minorEastAsia" w:eastAsiaTheme="minorEastAsia"/>
          <w:color w:val="auto"/>
          <w:szCs w:val="21"/>
          <w:highlight w:val="none"/>
        </w:rPr>
        <w:t>经各方充分协商一致，就</w:t>
      </w:r>
      <w:r>
        <w:rPr>
          <w:rFonts w:hint="eastAsia" w:asciiTheme="minorEastAsia" w:hAnsiTheme="minorEastAsia" w:eastAsiaTheme="minorEastAsia"/>
          <w:color w:val="auto"/>
          <w:kern w:val="10"/>
          <w:szCs w:val="21"/>
          <w:highlight w:val="none"/>
        </w:rPr>
        <w:t>项目的投标和合同实施阶段的有关事务协商一致</w:t>
      </w:r>
      <w:r>
        <w:rPr>
          <w:rFonts w:hint="eastAsia" w:asciiTheme="minorEastAsia" w:hAnsiTheme="minorEastAsia" w:eastAsiaTheme="minorEastAsia"/>
          <w:color w:val="auto"/>
          <w:kern w:val="0"/>
          <w:szCs w:val="21"/>
          <w:highlight w:val="none"/>
        </w:rPr>
        <w:t>订立协议如下</w:t>
      </w:r>
      <w:r>
        <w:rPr>
          <w:rFonts w:hint="eastAsia" w:asciiTheme="minorEastAsia" w:hAnsiTheme="minorEastAsia" w:eastAsiaTheme="minorEastAsia"/>
          <w:color w:val="auto"/>
          <w:szCs w:val="21"/>
          <w:highlight w:val="none"/>
        </w:rPr>
        <w:t>：</w:t>
      </w:r>
    </w:p>
    <w:p w14:paraId="417841C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一、联合体各方方关系</w:t>
      </w:r>
    </w:p>
    <w:p w14:paraId="5CB78EC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u w:val="single"/>
        </w:rPr>
        <w:t>（甲公司全称）</w:t>
      </w:r>
      <w:r>
        <w:rPr>
          <w:rFonts w:hint="eastAsia" w:asciiTheme="minorEastAsia" w:hAnsiTheme="minorEastAsia" w:eastAsiaTheme="minorEastAsia"/>
          <w:color w:val="auto"/>
          <w:kern w:val="0"/>
          <w:szCs w:val="21"/>
          <w:highlight w:val="none"/>
        </w:rPr>
        <w:t xml:space="preserve"> 、 </w:t>
      </w:r>
      <w:r>
        <w:rPr>
          <w:rFonts w:hint="eastAsia" w:asciiTheme="minorEastAsia" w:hAnsiTheme="minorEastAsia" w:eastAsiaTheme="minorEastAsia"/>
          <w:color w:val="auto"/>
          <w:kern w:val="0"/>
          <w:szCs w:val="21"/>
          <w:highlight w:val="none"/>
          <w:u w:val="single"/>
        </w:rPr>
        <w:t>（乙公司全称）</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u w:val="single"/>
        </w:rPr>
        <w:t>（……公司全称）</w:t>
      </w:r>
      <w:r>
        <w:rPr>
          <w:rFonts w:hint="eastAsia" w:asciiTheme="minorEastAsia" w:hAnsiTheme="minorEastAsia" w:eastAsiaTheme="minorEastAsia"/>
          <w:color w:val="auto"/>
          <w:szCs w:val="21"/>
          <w:highlight w:val="none"/>
        </w:rPr>
        <w:t>共同组成一个联合体，以一个投标人</w:t>
      </w:r>
      <w:r>
        <w:rPr>
          <w:rFonts w:hint="eastAsia" w:asciiTheme="minorEastAsia" w:hAnsiTheme="minorEastAsia" w:eastAsiaTheme="minorEastAsia"/>
          <w:color w:val="auto"/>
          <w:kern w:val="0"/>
          <w:szCs w:val="21"/>
          <w:highlight w:val="none"/>
          <w:u w:val="single"/>
        </w:rPr>
        <w:t>（……公司全称）</w:t>
      </w:r>
      <w:r>
        <w:rPr>
          <w:rFonts w:hint="eastAsia" w:asciiTheme="minorEastAsia" w:hAnsiTheme="minorEastAsia" w:eastAsiaTheme="minorEastAsia"/>
          <w:color w:val="auto"/>
          <w:szCs w:val="21"/>
          <w:highlight w:val="none"/>
        </w:rPr>
        <w:t>的身份共同参加本项目的投标。</w:t>
      </w:r>
      <w:r>
        <w:rPr>
          <w:rFonts w:hint="eastAsia" w:asciiTheme="minorEastAsia" w:hAnsiTheme="minorEastAsia" w:eastAsiaTheme="minorEastAsia"/>
          <w:color w:val="auto"/>
          <w:kern w:val="0"/>
          <w:szCs w:val="21"/>
          <w:highlight w:val="none"/>
          <w:u w:val="single"/>
        </w:rPr>
        <w:t>（甲公司全称）</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kern w:val="0"/>
          <w:szCs w:val="21"/>
          <w:highlight w:val="none"/>
          <w:u w:val="single"/>
        </w:rPr>
        <w:t>（乙公司全称）</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u w:val="single"/>
        </w:rPr>
        <w:t>（……公司全称）</w:t>
      </w:r>
      <w:r>
        <w:rPr>
          <w:rFonts w:hint="eastAsia" w:asciiTheme="minorEastAsia" w:hAnsiTheme="minorEastAsia" w:eastAsiaTheme="minorEastAsia"/>
          <w:color w:val="auto"/>
          <w:szCs w:val="21"/>
          <w:highlight w:val="none"/>
        </w:rPr>
        <w:t>作为联合体成员,若中标，联合体各方共同与</w:t>
      </w:r>
      <w:r>
        <w:rPr>
          <w:rFonts w:hint="eastAsia" w:asciiTheme="minorEastAsia" w:hAnsiTheme="minorEastAsia" w:eastAsiaTheme="minorEastAsia"/>
          <w:color w:val="auto"/>
          <w:szCs w:val="21"/>
          <w:highlight w:val="none"/>
          <w:u w:val="single"/>
        </w:rPr>
        <w:t>（采购人）</w:t>
      </w:r>
      <w:r>
        <w:rPr>
          <w:rFonts w:hint="eastAsia" w:asciiTheme="minorEastAsia" w:hAnsiTheme="minorEastAsia" w:eastAsiaTheme="minorEastAsia"/>
          <w:color w:val="auto"/>
          <w:szCs w:val="21"/>
          <w:highlight w:val="none"/>
        </w:rPr>
        <w:t>签订政府采购合同。</w:t>
      </w:r>
    </w:p>
    <w:p w14:paraId="0FC54AC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二、联合体内部有关事项约定如下：</w:t>
      </w:r>
    </w:p>
    <w:p w14:paraId="620F432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1.联合体由联合体共同授权人员负责与招标采购单位联系。</w:t>
      </w:r>
    </w:p>
    <w:p w14:paraId="6D5246D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2.联合体投标工作由联合体共同负责，由联合体各方组成的投标小组具体实施。</w:t>
      </w:r>
    </w:p>
    <w:p w14:paraId="45B29B1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3.联合体将严格按照招标文件的各项要求，递交投标文件，切实执行一切合同文件，共同承担合同规定的一切义务和责任，同时按照内部职责的划分，承担自身所负的责任和风险，在法律在承担连带责任。</w:t>
      </w:r>
    </w:p>
    <w:p w14:paraId="7DC508C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4.如中标，联合体各方共同与</w:t>
      </w:r>
      <w:r>
        <w:rPr>
          <w:rFonts w:hint="eastAsia" w:asciiTheme="minorEastAsia" w:hAnsiTheme="minorEastAsia" w:eastAsiaTheme="minorEastAsia"/>
          <w:color w:val="auto"/>
          <w:szCs w:val="21"/>
          <w:highlight w:val="none"/>
          <w:u w:val="single"/>
        </w:rPr>
        <w:t>（采购人）</w:t>
      </w:r>
      <w:r>
        <w:rPr>
          <w:rFonts w:hint="eastAsia" w:asciiTheme="minorEastAsia" w:hAnsiTheme="minorEastAsia" w:eastAsiaTheme="minorEastAsia"/>
          <w:color w:val="auto"/>
          <w:szCs w:val="21"/>
          <w:highlight w:val="none"/>
        </w:rPr>
        <w:t>签订合同书，并就中标项目向采购人负责有连带的和各自的法律责任；</w:t>
      </w:r>
    </w:p>
    <w:p w14:paraId="0709C323">
      <w:pP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14:paraId="55088250">
      <w:pP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四、联合体如因违约过失责任而导致采购人经济损失或被索赔时，本联合体任何一方均同意无条件优先清偿采购人的一切债务和经济赔偿。</w:t>
      </w:r>
    </w:p>
    <w:p w14:paraId="10FB61D2">
      <w:pPr>
        <w:ind w:left="23" w:leftChars="11"/>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五、</w:t>
      </w:r>
      <w:r>
        <w:rPr>
          <w:rFonts w:hint="eastAsia" w:asciiTheme="minorEastAsia" w:hAnsiTheme="minorEastAsia" w:eastAsiaTheme="minorEastAsia"/>
          <w:color w:val="auto"/>
          <w:szCs w:val="21"/>
          <w:highlight w:val="none"/>
        </w:rPr>
        <w:t>本协议在</w:t>
      </w:r>
      <w:r>
        <w:rPr>
          <w:rFonts w:hint="eastAsia" w:asciiTheme="minorEastAsia" w:hAnsiTheme="minorEastAsia" w:eastAsiaTheme="minorEastAsia"/>
          <w:color w:val="auto"/>
          <w:kern w:val="0"/>
          <w:szCs w:val="21"/>
          <w:highlight w:val="none"/>
        </w:rPr>
        <w:t>自签署之日起生效，</w:t>
      </w:r>
      <w:r>
        <w:rPr>
          <w:rFonts w:hint="eastAsia" w:asciiTheme="minorEastAsia" w:hAnsiTheme="minorEastAsia" w:eastAsiaTheme="minorEastAsia"/>
          <w:color w:val="auto"/>
          <w:szCs w:val="21"/>
          <w:highlight w:val="none"/>
        </w:rPr>
        <w:t>投标有效期内有效，如获中标资格，合同有效期延续至合同履行完毕之日。</w:t>
      </w:r>
    </w:p>
    <w:p w14:paraId="47649914">
      <w:pPr>
        <w:widowControl/>
        <w:ind w:left="34" w:leftChars="16"/>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六、本协议书正本一式  份，随投标文件装订</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份，送采购人</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份，联合体成员各一份；副本一式</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份，联合体成员各执</w:t>
      </w:r>
      <w:r>
        <w:rPr>
          <w:rFonts w:hint="eastAsia" w:asciiTheme="minorEastAsia" w:hAnsiTheme="minorEastAsia" w:eastAsiaTheme="minorEastAsia"/>
          <w:color w:val="auto"/>
          <w:kern w:val="0"/>
          <w:szCs w:val="21"/>
          <w:highlight w:val="none"/>
          <w:u w:val="single"/>
        </w:rPr>
        <w:t xml:space="preserve">   </w:t>
      </w:r>
      <w:r>
        <w:rPr>
          <w:rFonts w:hint="eastAsia" w:asciiTheme="minorEastAsia" w:hAnsiTheme="minorEastAsia" w:eastAsiaTheme="minorEastAsia"/>
          <w:color w:val="auto"/>
          <w:kern w:val="0"/>
          <w:szCs w:val="21"/>
          <w:highlight w:val="none"/>
        </w:rPr>
        <w:t xml:space="preserve"> 份。</w:t>
      </w:r>
    </w:p>
    <w:p w14:paraId="41A588F6">
      <w:pPr>
        <w:pStyle w:val="3"/>
        <w:rPr>
          <w:color w:val="auto"/>
          <w:highlight w:val="none"/>
        </w:rPr>
      </w:pPr>
    </w:p>
    <w:p w14:paraId="0C3F1370">
      <w:pPr>
        <w:widowControl/>
        <w:jc w:val="left"/>
        <w:rPr>
          <w:rFonts w:asciiTheme="minorEastAsia" w:hAnsiTheme="minorEastAsia" w:eastAsiaTheme="minorEastAsia"/>
          <w:color w:val="auto"/>
          <w:kern w:val="0"/>
          <w:szCs w:val="21"/>
          <w:highlight w:val="none"/>
        </w:rPr>
      </w:pPr>
    </w:p>
    <w:p w14:paraId="55768B4A">
      <w:pPr>
        <w:widowControl/>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甲公司全称：（盖章）  乙公司全称：（盖章）         ……公司全称（盖章）</w:t>
      </w:r>
    </w:p>
    <w:p w14:paraId="0780CD48">
      <w:pPr>
        <w:widowControl/>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法定代表人：（签字）  法定代表人（签字）           法定代表人（签字）</w:t>
      </w:r>
    </w:p>
    <w:p w14:paraId="6FFF5CD1">
      <w:pPr>
        <w:widowControl/>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        年   月   日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年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 月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 日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年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 月 </w:t>
      </w:r>
      <w:r>
        <w:rPr>
          <w:rFonts w:hint="eastAsia" w:cs="宋体" w:asciiTheme="minorEastAsia" w:hAnsiTheme="minorEastAsia" w:eastAsiaTheme="minorEastAsia"/>
          <w:color w:val="auto"/>
          <w:kern w:val="0"/>
          <w:szCs w:val="21"/>
          <w:highlight w:val="none"/>
        </w:rPr>
        <w:t> </w:t>
      </w:r>
      <w:r>
        <w:rPr>
          <w:rFonts w:hint="eastAsia" w:asciiTheme="minorEastAsia" w:hAnsiTheme="minorEastAsia" w:eastAsiaTheme="minorEastAsia"/>
          <w:color w:val="auto"/>
          <w:kern w:val="0"/>
          <w:szCs w:val="21"/>
          <w:highlight w:val="none"/>
        </w:rPr>
        <w:t xml:space="preserve"> 日</w:t>
      </w:r>
    </w:p>
    <w:p w14:paraId="68C58795">
      <w:pPr>
        <w:ind w:left="620" w:hanging="620" w:hangingChars="294"/>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注：1．联合投标时应签订本协议，联合体各方成员应在本协议上共同盖章确认。</w:t>
      </w:r>
    </w:p>
    <w:p w14:paraId="3BAB65C4">
      <w:pPr>
        <w:spacing w:line="480" w:lineRule="exact"/>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zCs w:val="21"/>
          <w:highlight w:val="none"/>
        </w:rPr>
        <w:t>2．本协议是合同的附件之一。</w:t>
      </w:r>
    </w:p>
    <w:p w14:paraId="29209D0E">
      <w:pPr>
        <w:autoSpaceDE w:val="0"/>
        <w:autoSpaceDN w:val="0"/>
        <w:spacing w:line="360" w:lineRule="auto"/>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8"/>
          <w:szCs w:val="28"/>
          <w:highlight w:val="none"/>
        </w:rPr>
        <w:t>四、商务</w:t>
      </w:r>
      <w:bookmarkEnd w:id="117"/>
      <w:bookmarkEnd w:id="118"/>
      <w:bookmarkEnd w:id="119"/>
      <w:bookmarkEnd w:id="120"/>
      <w:bookmarkEnd w:id="121"/>
      <w:bookmarkEnd w:id="122"/>
      <w:bookmarkEnd w:id="123"/>
      <w:r>
        <w:rPr>
          <w:rFonts w:hint="eastAsia" w:asciiTheme="minorEastAsia" w:hAnsiTheme="minorEastAsia" w:eastAsiaTheme="minorEastAsia"/>
          <w:b/>
          <w:color w:val="auto"/>
          <w:sz w:val="28"/>
          <w:szCs w:val="28"/>
          <w:highlight w:val="none"/>
        </w:rPr>
        <w:t>部分</w:t>
      </w:r>
    </w:p>
    <w:p w14:paraId="257D1E5B">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4.1投标人综合概况</w:t>
      </w:r>
    </w:p>
    <w:p w14:paraId="02A0E666">
      <w:pPr>
        <w:tabs>
          <w:tab w:val="left" w:pos="180"/>
        </w:tabs>
        <w:ind w:left="-24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一、投标人情况介绍表</w:t>
      </w:r>
    </w:p>
    <w:tbl>
      <w:tblPr>
        <w:tblStyle w:val="39"/>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100"/>
      </w:tblGrid>
      <w:tr w14:paraId="621E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7CE5893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单位名称</w:t>
            </w:r>
          </w:p>
        </w:tc>
        <w:tc>
          <w:tcPr>
            <w:tcW w:w="7938" w:type="dxa"/>
            <w:gridSpan w:val="9"/>
            <w:vAlign w:val="center"/>
          </w:tcPr>
          <w:p w14:paraId="6DC95A2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5017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245768B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注册</w:t>
            </w:r>
            <w:r>
              <w:rPr>
                <w:rFonts w:hint="eastAsia" w:asciiTheme="minorEastAsia" w:hAnsiTheme="minorEastAsia" w:eastAsiaTheme="minorEastAsia"/>
                <w:color w:val="auto"/>
                <w:szCs w:val="21"/>
                <w:highlight w:val="none"/>
              </w:rPr>
              <w:t>地址</w:t>
            </w:r>
          </w:p>
        </w:tc>
        <w:tc>
          <w:tcPr>
            <w:tcW w:w="7938" w:type="dxa"/>
            <w:gridSpan w:val="9"/>
            <w:vAlign w:val="center"/>
          </w:tcPr>
          <w:p w14:paraId="50253801">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0BD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40E1DD2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联系方式</w:t>
            </w:r>
          </w:p>
        </w:tc>
        <w:tc>
          <w:tcPr>
            <w:tcW w:w="1418" w:type="dxa"/>
            <w:vAlign w:val="center"/>
          </w:tcPr>
          <w:p w14:paraId="59F3D34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法人代表</w:t>
            </w:r>
            <w:r>
              <w:rPr>
                <w:rFonts w:hint="default" w:asciiTheme="minorEastAsia" w:hAnsiTheme="minorEastAsia" w:eastAsiaTheme="minorEastAsia"/>
                <w:color w:val="auto"/>
                <w:szCs w:val="21"/>
                <w:highlight w:val="none"/>
              </w:rPr>
              <w:t>姓名</w:t>
            </w:r>
          </w:p>
        </w:tc>
        <w:tc>
          <w:tcPr>
            <w:tcW w:w="1687" w:type="dxa"/>
            <w:gridSpan w:val="2"/>
            <w:vAlign w:val="center"/>
          </w:tcPr>
          <w:p w14:paraId="7F3C713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49" w:type="dxa"/>
            <w:gridSpan w:val="2"/>
            <w:vAlign w:val="center"/>
          </w:tcPr>
          <w:p w14:paraId="73F86F8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电话</w:t>
            </w:r>
            <w:r>
              <w:rPr>
                <w:rFonts w:hint="eastAsia" w:asciiTheme="minorEastAsia" w:hAnsiTheme="minorEastAsia" w:eastAsiaTheme="minorEastAsia"/>
                <w:color w:val="auto"/>
                <w:szCs w:val="21"/>
                <w:highlight w:val="none"/>
              </w:rPr>
              <w:t>/</w:t>
            </w:r>
            <w:r>
              <w:rPr>
                <w:rFonts w:hint="default" w:asciiTheme="minorEastAsia" w:hAnsiTheme="minorEastAsia" w:eastAsiaTheme="minorEastAsia"/>
                <w:color w:val="auto"/>
                <w:szCs w:val="21"/>
                <w:highlight w:val="none"/>
              </w:rPr>
              <w:t>技术职称</w:t>
            </w:r>
          </w:p>
        </w:tc>
        <w:tc>
          <w:tcPr>
            <w:tcW w:w="1792" w:type="dxa"/>
            <w:gridSpan w:val="2"/>
            <w:vAlign w:val="center"/>
          </w:tcPr>
          <w:p w14:paraId="47B7907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392" w:type="dxa"/>
            <w:gridSpan w:val="2"/>
          </w:tcPr>
          <w:p w14:paraId="59DA8986">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75E7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37C83EF4">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vAlign w:val="center"/>
          </w:tcPr>
          <w:p w14:paraId="4638895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授权代表</w:t>
            </w:r>
            <w:r>
              <w:rPr>
                <w:rFonts w:hint="default" w:asciiTheme="minorEastAsia" w:hAnsiTheme="minorEastAsia" w:eastAsiaTheme="minorEastAsia"/>
                <w:color w:val="auto"/>
                <w:szCs w:val="21"/>
                <w:highlight w:val="none"/>
              </w:rPr>
              <w:t>姓名</w:t>
            </w:r>
          </w:p>
        </w:tc>
        <w:tc>
          <w:tcPr>
            <w:tcW w:w="1687" w:type="dxa"/>
            <w:gridSpan w:val="2"/>
            <w:vAlign w:val="center"/>
          </w:tcPr>
          <w:p w14:paraId="2682D86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49" w:type="dxa"/>
            <w:gridSpan w:val="2"/>
            <w:vAlign w:val="center"/>
          </w:tcPr>
          <w:p w14:paraId="2CED58B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电话</w:t>
            </w:r>
            <w:r>
              <w:rPr>
                <w:rFonts w:hint="eastAsia" w:asciiTheme="minorEastAsia" w:hAnsiTheme="minorEastAsia" w:eastAsiaTheme="minorEastAsia"/>
                <w:color w:val="auto"/>
                <w:szCs w:val="21"/>
                <w:highlight w:val="none"/>
              </w:rPr>
              <w:t>/职务</w:t>
            </w:r>
          </w:p>
        </w:tc>
        <w:tc>
          <w:tcPr>
            <w:tcW w:w="1792" w:type="dxa"/>
            <w:gridSpan w:val="2"/>
            <w:vAlign w:val="center"/>
          </w:tcPr>
          <w:p w14:paraId="6783AB9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392" w:type="dxa"/>
            <w:gridSpan w:val="2"/>
          </w:tcPr>
          <w:p w14:paraId="7849F7B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5E20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78B1B28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成立时间</w:t>
            </w:r>
          </w:p>
        </w:tc>
        <w:tc>
          <w:tcPr>
            <w:tcW w:w="1418" w:type="dxa"/>
            <w:vAlign w:val="center"/>
          </w:tcPr>
          <w:p w14:paraId="366F5F6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87" w:type="dxa"/>
            <w:gridSpan w:val="2"/>
            <w:vAlign w:val="center"/>
          </w:tcPr>
          <w:p w14:paraId="3C8086FC">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经济类型</w:t>
            </w:r>
          </w:p>
        </w:tc>
        <w:tc>
          <w:tcPr>
            <w:tcW w:w="1649" w:type="dxa"/>
            <w:gridSpan w:val="2"/>
            <w:vAlign w:val="center"/>
          </w:tcPr>
          <w:p w14:paraId="50C9126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792" w:type="dxa"/>
            <w:gridSpan w:val="2"/>
            <w:vAlign w:val="center"/>
          </w:tcPr>
          <w:p w14:paraId="41E450B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登记机关</w:t>
            </w:r>
          </w:p>
        </w:tc>
        <w:tc>
          <w:tcPr>
            <w:tcW w:w="1392" w:type="dxa"/>
            <w:gridSpan w:val="2"/>
          </w:tcPr>
          <w:p w14:paraId="2D2B334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2B5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78A4A9B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邮编</w:t>
            </w:r>
          </w:p>
        </w:tc>
        <w:tc>
          <w:tcPr>
            <w:tcW w:w="1418" w:type="dxa"/>
            <w:vAlign w:val="center"/>
          </w:tcPr>
          <w:p w14:paraId="4A9A558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87" w:type="dxa"/>
            <w:gridSpan w:val="2"/>
            <w:vAlign w:val="center"/>
          </w:tcPr>
          <w:p w14:paraId="0B07389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联系人姓名</w:t>
            </w:r>
            <w:r>
              <w:rPr>
                <w:rFonts w:hint="eastAsia" w:asciiTheme="minorEastAsia" w:hAnsiTheme="minorEastAsia" w:eastAsiaTheme="minorEastAsia"/>
                <w:color w:val="auto"/>
                <w:szCs w:val="21"/>
                <w:highlight w:val="none"/>
              </w:rPr>
              <w:t>电话</w:t>
            </w:r>
          </w:p>
        </w:tc>
        <w:tc>
          <w:tcPr>
            <w:tcW w:w="1649" w:type="dxa"/>
            <w:gridSpan w:val="2"/>
            <w:vAlign w:val="center"/>
          </w:tcPr>
          <w:p w14:paraId="6AD0772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792" w:type="dxa"/>
            <w:gridSpan w:val="2"/>
            <w:vAlign w:val="center"/>
          </w:tcPr>
          <w:p w14:paraId="19C8159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p>
        </w:tc>
        <w:tc>
          <w:tcPr>
            <w:tcW w:w="1392" w:type="dxa"/>
            <w:gridSpan w:val="2"/>
          </w:tcPr>
          <w:p w14:paraId="4090101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5174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487BCD7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单位简介及机构设置(</w:t>
            </w:r>
            <w:r>
              <w:rPr>
                <w:rFonts w:hint="eastAsia" w:asciiTheme="minorEastAsia" w:hAnsiTheme="minorEastAsia" w:eastAsiaTheme="minorEastAsia"/>
                <w:color w:val="auto"/>
                <w:szCs w:val="21"/>
                <w:highlight w:val="none"/>
                <w:lang w:val="en-GB"/>
              </w:rPr>
              <w:t>单位性质、发展历程、经营规模及服务理念、主营产品、技术力量、实施履行本项目合同所必需的设备等</w:t>
            </w:r>
            <w:r>
              <w:rPr>
                <w:rFonts w:hint="eastAsia" w:asciiTheme="minorEastAsia" w:hAnsiTheme="minorEastAsia" w:eastAsiaTheme="minorEastAsia"/>
                <w:color w:val="auto"/>
                <w:szCs w:val="21"/>
                <w:highlight w:val="none"/>
              </w:rPr>
              <w:t>)</w:t>
            </w:r>
          </w:p>
        </w:tc>
        <w:tc>
          <w:tcPr>
            <w:tcW w:w="7938" w:type="dxa"/>
            <w:gridSpan w:val="9"/>
            <w:vAlign w:val="center"/>
          </w:tcPr>
          <w:p w14:paraId="04E6617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7CE6549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79A8EE4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2394DCA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4E55A51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p w14:paraId="2E4C42E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0F69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3680080F">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单位概况</w:t>
            </w:r>
          </w:p>
        </w:tc>
        <w:tc>
          <w:tcPr>
            <w:tcW w:w="1418" w:type="dxa"/>
          </w:tcPr>
          <w:p w14:paraId="203AE5E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注册资本</w:t>
            </w:r>
          </w:p>
        </w:tc>
        <w:tc>
          <w:tcPr>
            <w:tcW w:w="1460" w:type="dxa"/>
          </w:tcPr>
          <w:p w14:paraId="2CD84F28">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620" w:type="dxa"/>
            <w:gridSpan w:val="2"/>
          </w:tcPr>
          <w:p w14:paraId="1525959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占地面积</w:t>
            </w:r>
          </w:p>
        </w:tc>
        <w:tc>
          <w:tcPr>
            <w:tcW w:w="3440" w:type="dxa"/>
            <w:gridSpan w:val="5"/>
          </w:tcPr>
          <w:p w14:paraId="482D782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vertAlign w:val="superscript"/>
              </w:rPr>
              <w:t>2</w:t>
            </w:r>
          </w:p>
        </w:tc>
      </w:tr>
      <w:tr w14:paraId="7FDA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785A0A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tcPr>
          <w:p w14:paraId="443ED78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职工总数</w:t>
            </w:r>
          </w:p>
        </w:tc>
        <w:tc>
          <w:tcPr>
            <w:tcW w:w="1460" w:type="dxa"/>
          </w:tcPr>
          <w:p w14:paraId="0CD2B1E2">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人</w:t>
            </w:r>
          </w:p>
        </w:tc>
        <w:tc>
          <w:tcPr>
            <w:tcW w:w="1620" w:type="dxa"/>
            <w:gridSpan w:val="2"/>
          </w:tcPr>
          <w:p w14:paraId="5AE041D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建筑面积</w:t>
            </w:r>
          </w:p>
        </w:tc>
        <w:tc>
          <w:tcPr>
            <w:tcW w:w="3440" w:type="dxa"/>
            <w:gridSpan w:val="5"/>
          </w:tcPr>
          <w:p w14:paraId="6BDA5D1F">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M</w:t>
            </w:r>
            <w:r>
              <w:rPr>
                <w:rFonts w:hint="eastAsia" w:asciiTheme="minorEastAsia" w:hAnsiTheme="minorEastAsia" w:eastAsiaTheme="minorEastAsia"/>
                <w:color w:val="auto"/>
                <w:szCs w:val="21"/>
                <w:highlight w:val="none"/>
                <w:vertAlign w:val="superscript"/>
              </w:rPr>
              <w:t>2</w:t>
            </w:r>
          </w:p>
        </w:tc>
      </w:tr>
      <w:tr w14:paraId="3A5E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91E53F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vMerge w:val="restart"/>
            <w:vAlign w:val="center"/>
          </w:tcPr>
          <w:p w14:paraId="7894E61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资产情况</w:t>
            </w:r>
          </w:p>
        </w:tc>
        <w:tc>
          <w:tcPr>
            <w:tcW w:w="1460" w:type="dxa"/>
          </w:tcPr>
          <w:p w14:paraId="11DD3F1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净资产</w:t>
            </w:r>
          </w:p>
        </w:tc>
        <w:tc>
          <w:tcPr>
            <w:tcW w:w="1620" w:type="dxa"/>
            <w:gridSpan w:val="2"/>
            <w:vAlign w:val="center"/>
          </w:tcPr>
          <w:p w14:paraId="40DC37CA">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3440" w:type="dxa"/>
            <w:gridSpan w:val="5"/>
          </w:tcPr>
          <w:p w14:paraId="473280EC">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固定资产原值           万元</w:t>
            </w:r>
          </w:p>
        </w:tc>
      </w:tr>
      <w:tr w14:paraId="614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3847E09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vMerge w:val="continue"/>
          </w:tcPr>
          <w:p w14:paraId="690A099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60" w:type="dxa"/>
          </w:tcPr>
          <w:p w14:paraId="42123851">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负债</w:t>
            </w:r>
          </w:p>
        </w:tc>
        <w:tc>
          <w:tcPr>
            <w:tcW w:w="1620" w:type="dxa"/>
            <w:gridSpan w:val="2"/>
            <w:vAlign w:val="center"/>
          </w:tcPr>
          <w:p w14:paraId="24358C5A">
            <w:pPr>
              <w:keepNext w:val="0"/>
              <w:keepLines w:val="0"/>
              <w:suppressLineNumbers w:val="0"/>
              <w:tabs>
                <w:tab w:val="left" w:pos="540"/>
              </w:tabs>
              <w:spacing w:before="0" w:beforeAutospacing="0" w:after="0" w:afterAutospacing="0"/>
              <w:ind w:left="-132" w:leftChars="-64" w:right="-105" w:rightChars="-50" w:hanging="2"/>
              <w:jc w:val="righ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3440" w:type="dxa"/>
            <w:gridSpan w:val="5"/>
          </w:tcPr>
          <w:p w14:paraId="35F660F5">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固定资产净值           万元</w:t>
            </w:r>
          </w:p>
        </w:tc>
      </w:tr>
      <w:tr w14:paraId="37C3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389BFE7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财务状况</w:t>
            </w:r>
          </w:p>
        </w:tc>
        <w:tc>
          <w:tcPr>
            <w:tcW w:w="1418" w:type="dxa"/>
          </w:tcPr>
          <w:p w14:paraId="739EE2F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年度</w:t>
            </w:r>
          </w:p>
        </w:tc>
        <w:tc>
          <w:tcPr>
            <w:tcW w:w="1460" w:type="dxa"/>
            <w:vAlign w:val="center"/>
          </w:tcPr>
          <w:p w14:paraId="79E2F04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主营收入</w:t>
            </w:r>
          </w:p>
          <w:p w14:paraId="55AE55F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620" w:type="dxa"/>
            <w:gridSpan w:val="2"/>
            <w:vAlign w:val="center"/>
          </w:tcPr>
          <w:p w14:paraId="5AA438C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收入总额</w:t>
            </w:r>
          </w:p>
          <w:p w14:paraId="5234F75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（万元）</w:t>
            </w:r>
          </w:p>
        </w:tc>
        <w:tc>
          <w:tcPr>
            <w:tcW w:w="1260" w:type="dxa"/>
            <w:gridSpan w:val="2"/>
          </w:tcPr>
          <w:p w14:paraId="16B9CBA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利润总额（万元）</w:t>
            </w:r>
          </w:p>
        </w:tc>
        <w:tc>
          <w:tcPr>
            <w:tcW w:w="1080" w:type="dxa"/>
            <w:gridSpan w:val="2"/>
          </w:tcPr>
          <w:p w14:paraId="1798B3D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净利润（万元）</w:t>
            </w:r>
          </w:p>
        </w:tc>
        <w:tc>
          <w:tcPr>
            <w:tcW w:w="1100" w:type="dxa"/>
          </w:tcPr>
          <w:p w14:paraId="304E5508">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资产负债率</w:t>
            </w:r>
          </w:p>
        </w:tc>
      </w:tr>
      <w:tr w14:paraId="1D53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09FFF0E3">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tcPr>
          <w:p w14:paraId="34B9BA4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60" w:type="dxa"/>
          </w:tcPr>
          <w:p w14:paraId="47288757">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20" w:type="dxa"/>
            <w:gridSpan w:val="2"/>
          </w:tcPr>
          <w:p w14:paraId="69D1B7B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260" w:type="dxa"/>
            <w:gridSpan w:val="2"/>
          </w:tcPr>
          <w:p w14:paraId="59BC07DD">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080" w:type="dxa"/>
            <w:gridSpan w:val="2"/>
          </w:tcPr>
          <w:p w14:paraId="723B6B0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100" w:type="dxa"/>
          </w:tcPr>
          <w:p w14:paraId="47CAB10E">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r w14:paraId="4E27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35F583E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18" w:type="dxa"/>
          </w:tcPr>
          <w:p w14:paraId="3399BA22">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460" w:type="dxa"/>
          </w:tcPr>
          <w:p w14:paraId="3448138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620" w:type="dxa"/>
            <w:gridSpan w:val="2"/>
          </w:tcPr>
          <w:p w14:paraId="6D19247C">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260" w:type="dxa"/>
            <w:gridSpan w:val="2"/>
          </w:tcPr>
          <w:p w14:paraId="4F7AADDB">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080" w:type="dxa"/>
            <w:gridSpan w:val="2"/>
          </w:tcPr>
          <w:p w14:paraId="2905FEC0">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c>
          <w:tcPr>
            <w:tcW w:w="1100" w:type="dxa"/>
          </w:tcPr>
          <w:p w14:paraId="37A0F21A">
            <w:pPr>
              <w:keepNext w:val="0"/>
              <w:keepLines w:val="0"/>
              <w:suppressLineNumbers w:val="0"/>
              <w:tabs>
                <w:tab w:val="left" w:pos="540"/>
              </w:tabs>
              <w:spacing w:before="0" w:beforeAutospacing="0" w:after="0" w:afterAutospacing="0"/>
              <w:ind w:left="-132" w:leftChars="-64" w:right="-105" w:rightChars="-50" w:hanging="2"/>
              <w:jc w:val="center"/>
              <w:rPr>
                <w:rFonts w:hint="default" w:asciiTheme="minorEastAsia" w:hAnsiTheme="minorEastAsia" w:eastAsiaTheme="minorEastAsia"/>
                <w:color w:val="auto"/>
                <w:szCs w:val="21"/>
                <w:highlight w:val="none"/>
              </w:rPr>
            </w:pPr>
          </w:p>
        </w:tc>
      </w:tr>
    </w:tbl>
    <w:p w14:paraId="36D130F0">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注：1）文字描述：单位性质、发展历程、经营规模及服务理念、主营产品、技术力量、实施履行本项目合同所必需的设备、财务状况等。</w:t>
      </w:r>
    </w:p>
    <w:p w14:paraId="52311AE3">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2) 图片描述：经营场所、主要或关键产品介绍、生产场所及工艺流程等。</w:t>
      </w:r>
    </w:p>
    <w:p w14:paraId="4937BA09">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3）投标人可提供上述情况的证明材料.</w:t>
      </w:r>
    </w:p>
    <w:p w14:paraId="698C7325">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4）如投标人此表数据有虚假，一经查实，自行承担相关责任。</w:t>
      </w:r>
    </w:p>
    <w:p w14:paraId="00274340">
      <w:pPr>
        <w:tabs>
          <w:tab w:val="left" w:pos="540"/>
        </w:tabs>
        <w:rPr>
          <w:rFonts w:asciiTheme="minorEastAsia" w:hAnsiTheme="minorEastAsia" w:eastAsiaTheme="minorEastAsia"/>
          <w:b/>
          <w:color w:val="auto"/>
          <w:sz w:val="24"/>
          <w:highlight w:val="none"/>
        </w:rPr>
      </w:pPr>
    </w:p>
    <w:p w14:paraId="0204A37B">
      <w:pPr>
        <w:tabs>
          <w:tab w:val="left" w:pos="54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二、同类项目业绩介绍</w:t>
      </w:r>
    </w:p>
    <w:tbl>
      <w:tblPr>
        <w:tblStyle w:val="39"/>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38"/>
        <w:gridCol w:w="2984"/>
        <w:gridCol w:w="1151"/>
        <w:gridCol w:w="2083"/>
      </w:tblGrid>
      <w:tr w14:paraId="1A7A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shd w:val="clear" w:color="auto" w:fill="F3F3F3"/>
            <w:vAlign w:val="center"/>
          </w:tcPr>
          <w:p w14:paraId="7CB8241C">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2338" w:type="dxa"/>
            <w:shd w:val="clear" w:color="auto" w:fill="F3F3F3"/>
            <w:vAlign w:val="center"/>
          </w:tcPr>
          <w:p w14:paraId="48272897">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客户名称</w:t>
            </w:r>
          </w:p>
        </w:tc>
        <w:tc>
          <w:tcPr>
            <w:tcW w:w="2984" w:type="dxa"/>
            <w:shd w:val="clear" w:color="auto" w:fill="F3F3F3"/>
            <w:vAlign w:val="center"/>
          </w:tcPr>
          <w:p w14:paraId="4E614D47">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项目名称及合同金额（万元）</w:t>
            </w:r>
          </w:p>
        </w:tc>
        <w:tc>
          <w:tcPr>
            <w:tcW w:w="1151" w:type="dxa"/>
            <w:shd w:val="clear" w:color="auto" w:fill="F3F3F3"/>
            <w:vAlign w:val="center"/>
          </w:tcPr>
          <w:p w14:paraId="594D4089">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完成时间</w:t>
            </w:r>
          </w:p>
        </w:tc>
        <w:tc>
          <w:tcPr>
            <w:tcW w:w="2083" w:type="dxa"/>
            <w:shd w:val="clear" w:color="auto" w:fill="F3F3F3"/>
            <w:vAlign w:val="center"/>
          </w:tcPr>
          <w:p w14:paraId="0591629B">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联系人及电话</w:t>
            </w:r>
          </w:p>
        </w:tc>
      </w:tr>
      <w:tr w14:paraId="752D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vAlign w:val="center"/>
          </w:tcPr>
          <w:p w14:paraId="52AD513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338" w:type="dxa"/>
            <w:vAlign w:val="center"/>
          </w:tcPr>
          <w:p w14:paraId="5A67D4F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984" w:type="dxa"/>
            <w:vAlign w:val="center"/>
          </w:tcPr>
          <w:p w14:paraId="6AFF021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151" w:type="dxa"/>
            <w:vAlign w:val="center"/>
          </w:tcPr>
          <w:p w14:paraId="30E0FEB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083" w:type="dxa"/>
            <w:vAlign w:val="center"/>
          </w:tcPr>
          <w:p w14:paraId="4EEB26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1FAC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vAlign w:val="center"/>
          </w:tcPr>
          <w:p w14:paraId="3206CA3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338" w:type="dxa"/>
            <w:vAlign w:val="center"/>
          </w:tcPr>
          <w:p w14:paraId="7C55673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984" w:type="dxa"/>
            <w:vAlign w:val="center"/>
          </w:tcPr>
          <w:p w14:paraId="2414A99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151" w:type="dxa"/>
            <w:vAlign w:val="center"/>
          </w:tcPr>
          <w:p w14:paraId="63D18576">
            <w:pPr>
              <w:keepNext w:val="0"/>
              <w:keepLines w:val="0"/>
              <w:suppressLineNumbers w:val="0"/>
              <w:spacing w:before="0" w:beforeAutospacing="0" w:after="0" w:afterAutospacing="0"/>
              <w:ind w:left="-132" w:leftChars="-64" w:right="-105" w:rightChars="-50" w:hanging="2"/>
              <w:jc w:val="center"/>
              <w:rPr>
                <w:rFonts w:hint="default" w:asciiTheme="minorEastAsia" w:hAnsiTheme="minorEastAsia" w:eastAsiaTheme="minorEastAsia"/>
                <w:b/>
                <w:color w:val="auto"/>
                <w:szCs w:val="21"/>
                <w:highlight w:val="none"/>
                <w:lang w:val="en-GB"/>
              </w:rPr>
            </w:pPr>
          </w:p>
        </w:tc>
        <w:tc>
          <w:tcPr>
            <w:tcW w:w="2083" w:type="dxa"/>
            <w:vAlign w:val="center"/>
          </w:tcPr>
          <w:p w14:paraId="1F4D91E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7AFB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1" w:type="dxa"/>
            <w:vAlign w:val="center"/>
          </w:tcPr>
          <w:p w14:paraId="7456DB9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2338" w:type="dxa"/>
            <w:vAlign w:val="center"/>
          </w:tcPr>
          <w:p w14:paraId="3CACA96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984" w:type="dxa"/>
            <w:vAlign w:val="center"/>
          </w:tcPr>
          <w:p w14:paraId="73ED4BE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151" w:type="dxa"/>
            <w:vAlign w:val="center"/>
          </w:tcPr>
          <w:p w14:paraId="7B6AAF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083" w:type="dxa"/>
            <w:vAlign w:val="center"/>
          </w:tcPr>
          <w:p w14:paraId="1ECD419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2203D76A">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注：业绩是以投标人名义完成的项目。投标人应同时提供业绩证明文件。</w:t>
      </w:r>
    </w:p>
    <w:p w14:paraId="6A391A0B">
      <w:pPr>
        <w:tabs>
          <w:tab w:val="left" w:pos="540"/>
        </w:tabs>
        <w:rPr>
          <w:rFonts w:asciiTheme="minorEastAsia" w:hAnsiTheme="minorEastAsia" w:eastAsiaTheme="minorEastAsia"/>
          <w:b/>
          <w:color w:val="auto"/>
          <w:sz w:val="18"/>
          <w:szCs w:val="18"/>
          <w:highlight w:val="none"/>
        </w:rPr>
      </w:pPr>
    </w:p>
    <w:p w14:paraId="5B803AC5">
      <w:pPr>
        <w:tabs>
          <w:tab w:val="left" w:pos="54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三、拟任执行管理及技术人员情况</w:t>
      </w:r>
    </w:p>
    <w:tbl>
      <w:tblPr>
        <w:tblStyle w:val="3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423"/>
        <w:gridCol w:w="890"/>
        <w:gridCol w:w="2587"/>
        <w:gridCol w:w="714"/>
        <w:gridCol w:w="714"/>
        <w:gridCol w:w="1597"/>
      </w:tblGrid>
      <w:tr w14:paraId="398F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538" w:type="dxa"/>
            <w:tcBorders>
              <w:top w:val="single" w:color="auto" w:sz="4" w:space="0"/>
              <w:left w:val="single" w:color="auto" w:sz="4" w:space="0"/>
              <w:bottom w:val="nil"/>
              <w:right w:val="single" w:color="auto" w:sz="4" w:space="0"/>
            </w:tcBorders>
            <w:shd w:val="clear" w:color="auto" w:fill="F3F3F3"/>
            <w:vAlign w:val="center"/>
          </w:tcPr>
          <w:p w14:paraId="298146A1">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职责分工</w:t>
            </w:r>
          </w:p>
        </w:tc>
        <w:tc>
          <w:tcPr>
            <w:tcW w:w="1423" w:type="dxa"/>
            <w:tcBorders>
              <w:top w:val="single" w:color="auto" w:sz="4" w:space="0"/>
              <w:left w:val="single" w:color="auto" w:sz="4" w:space="0"/>
              <w:bottom w:val="nil"/>
              <w:right w:val="single" w:color="auto" w:sz="4" w:space="0"/>
            </w:tcBorders>
            <w:shd w:val="clear" w:color="auto" w:fill="F3F3F3"/>
            <w:vAlign w:val="center"/>
          </w:tcPr>
          <w:p w14:paraId="3C233F37">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姓名</w:t>
            </w:r>
          </w:p>
        </w:tc>
        <w:tc>
          <w:tcPr>
            <w:tcW w:w="890" w:type="dxa"/>
            <w:tcBorders>
              <w:top w:val="single" w:color="auto" w:sz="4" w:space="0"/>
              <w:left w:val="single" w:color="auto" w:sz="4" w:space="0"/>
              <w:bottom w:val="nil"/>
            </w:tcBorders>
            <w:shd w:val="clear" w:color="auto" w:fill="F3F3F3"/>
            <w:vAlign w:val="center"/>
          </w:tcPr>
          <w:p w14:paraId="594909C1">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现职务</w:t>
            </w:r>
          </w:p>
        </w:tc>
        <w:tc>
          <w:tcPr>
            <w:tcW w:w="2587" w:type="dxa"/>
            <w:tcBorders>
              <w:top w:val="single" w:color="auto" w:sz="4" w:space="0"/>
              <w:bottom w:val="nil"/>
            </w:tcBorders>
            <w:shd w:val="clear" w:color="auto" w:fill="F3F3F3"/>
            <w:vAlign w:val="center"/>
          </w:tcPr>
          <w:p w14:paraId="3F521F10">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曾主持/参与的同类项目经历</w:t>
            </w:r>
          </w:p>
        </w:tc>
        <w:tc>
          <w:tcPr>
            <w:tcW w:w="714" w:type="dxa"/>
            <w:tcBorders>
              <w:top w:val="single" w:color="auto" w:sz="4" w:space="0"/>
              <w:bottom w:val="nil"/>
            </w:tcBorders>
            <w:shd w:val="clear" w:color="auto" w:fill="F3F3F3"/>
            <w:vAlign w:val="center"/>
          </w:tcPr>
          <w:p w14:paraId="62D072F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职称</w:t>
            </w:r>
          </w:p>
        </w:tc>
        <w:tc>
          <w:tcPr>
            <w:tcW w:w="714" w:type="dxa"/>
            <w:tcBorders>
              <w:top w:val="single" w:color="auto" w:sz="4" w:space="0"/>
              <w:bottom w:val="nil"/>
              <w:right w:val="single" w:color="auto" w:sz="4" w:space="0"/>
            </w:tcBorders>
            <w:shd w:val="clear" w:color="auto" w:fill="F3F3F3"/>
            <w:vAlign w:val="center"/>
          </w:tcPr>
          <w:p w14:paraId="3F93B2F8">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专业工龄</w:t>
            </w:r>
          </w:p>
        </w:tc>
        <w:tc>
          <w:tcPr>
            <w:tcW w:w="1597" w:type="dxa"/>
            <w:tcBorders>
              <w:top w:val="single" w:color="auto" w:sz="4" w:space="0"/>
              <w:bottom w:val="nil"/>
              <w:right w:val="single" w:color="auto" w:sz="4" w:space="0"/>
            </w:tcBorders>
            <w:shd w:val="clear" w:color="auto" w:fill="F3F3F3"/>
            <w:vAlign w:val="center"/>
          </w:tcPr>
          <w:p w14:paraId="56E7959A">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联系电话/手机</w:t>
            </w:r>
          </w:p>
        </w:tc>
      </w:tr>
      <w:tr w14:paraId="2B5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538" w:type="dxa"/>
            <w:tcBorders>
              <w:top w:val="single" w:color="auto" w:sz="4" w:space="0"/>
              <w:left w:val="single" w:color="auto" w:sz="4" w:space="0"/>
              <w:bottom w:val="nil"/>
              <w:right w:val="single" w:color="auto" w:sz="4" w:space="0"/>
            </w:tcBorders>
            <w:vAlign w:val="center"/>
          </w:tcPr>
          <w:p w14:paraId="7248390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总负责人</w:t>
            </w:r>
          </w:p>
        </w:tc>
        <w:tc>
          <w:tcPr>
            <w:tcW w:w="1423" w:type="dxa"/>
            <w:tcBorders>
              <w:top w:val="single" w:color="auto" w:sz="4" w:space="0"/>
              <w:left w:val="single" w:color="auto" w:sz="4" w:space="0"/>
              <w:bottom w:val="nil"/>
              <w:right w:val="single" w:color="auto" w:sz="4" w:space="0"/>
            </w:tcBorders>
            <w:vAlign w:val="center"/>
          </w:tcPr>
          <w:p w14:paraId="1126F26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890" w:type="dxa"/>
            <w:tcBorders>
              <w:top w:val="single" w:color="auto" w:sz="4" w:space="0"/>
              <w:left w:val="single" w:color="auto" w:sz="4" w:space="0"/>
              <w:bottom w:val="nil"/>
            </w:tcBorders>
            <w:vAlign w:val="center"/>
          </w:tcPr>
          <w:p w14:paraId="38BFA6F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tcBorders>
              <w:top w:val="single" w:color="auto" w:sz="4" w:space="0"/>
              <w:bottom w:val="nil"/>
            </w:tcBorders>
            <w:vAlign w:val="center"/>
          </w:tcPr>
          <w:p w14:paraId="39BF8FB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top w:val="single" w:color="auto" w:sz="4" w:space="0"/>
              <w:bottom w:val="nil"/>
            </w:tcBorders>
            <w:vAlign w:val="center"/>
          </w:tcPr>
          <w:p w14:paraId="5C74F88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top w:val="single" w:color="auto" w:sz="4" w:space="0"/>
              <w:bottom w:val="nil"/>
              <w:right w:val="single" w:color="auto" w:sz="4" w:space="0"/>
            </w:tcBorders>
            <w:vAlign w:val="center"/>
          </w:tcPr>
          <w:p w14:paraId="679F7981">
            <w:pPr>
              <w:keepNext w:val="0"/>
              <w:keepLines w:val="0"/>
              <w:suppressLineNumbers w:val="0"/>
              <w:spacing w:before="0" w:beforeAutospacing="0" w:after="0" w:afterAutospacing="0"/>
              <w:ind w:left="0" w:right="0" w:firstLine="12"/>
              <w:jc w:val="center"/>
              <w:rPr>
                <w:rFonts w:hint="default" w:asciiTheme="minorEastAsia" w:hAnsiTheme="minorEastAsia" w:eastAsiaTheme="minorEastAsia"/>
                <w:color w:val="auto"/>
                <w:szCs w:val="21"/>
                <w:highlight w:val="none"/>
              </w:rPr>
            </w:pPr>
          </w:p>
        </w:tc>
        <w:tc>
          <w:tcPr>
            <w:tcW w:w="1597" w:type="dxa"/>
            <w:tcBorders>
              <w:top w:val="single" w:color="auto" w:sz="4" w:space="0"/>
              <w:bottom w:val="nil"/>
              <w:right w:val="single" w:color="auto" w:sz="4" w:space="0"/>
            </w:tcBorders>
            <w:vAlign w:val="center"/>
          </w:tcPr>
          <w:p w14:paraId="4B24166B">
            <w:pPr>
              <w:keepNext w:val="0"/>
              <w:keepLines w:val="0"/>
              <w:suppressLineNumbers w:val="0"/>
              <w:spacing w:before="0" w:beforeAutospacing="0" w:after="0" w:afterAutospacing="0"/>
              <w:ind w:left="0" w:right="0" w:firstLine="12"/>
              <w:jc w:val="center"/>
              <w:rPr>
                <w:rFonts w:hint="default" w:asciiTheme="minorEastAsia" w:hAnsiTheme="minorEastAsia" w:eastAsiaTheme="minorEastAsia"/>
                <w:color w:val="auto"/>
                <w:szCs w:val="21"/>
                <w:highlight w:val="none"/>
              </w:rPr>
            </w:pPr>
          </w:p>
        </w:tc>
      </w:tr>
      <w:tr w14:paraId="4BA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538" w:type="dxa"/>
            <w:vMerge w:val="restart"/>
            <w:tcBorders>
              <w:left w:val="single" w:color="auto" w:sz="4" w:space="0"/>
              <w:right w:val="single" w:color="auto" w:sz="4" w:space="0"/>
            </w:tcBorders>
            <w:vAlign w:val="center"/>
          </w:tcPr>
          <w:p w14:paraId="15E4FE2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其他主要技术人员</w:t>
            </w:r>
          </w:p>
        </w:tc>
        <w:tc>
          <w:tcPr>
            <w:tcW w:w="1423" w:type="dxa"/>
            <w:tcBorders>
              <w:left w:val="single" w:color="auto" w:sz="4" w:space="0"/>
              <w:right w:val="single" w:color="auto" w:sz="4" w:space="0"/>
            </w:tcBorders>
            <w:vAlign w:val="center"/>
          </w:tcPr>
          <w:p w14:paraId="22AF1C1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890" w:type="dxa"/>
            <w:tcBorders>
              <w:left w:val="single" w:color="auto" w:sz="4" w:space="0"/>
            </w:tcBorders>
            <w:vAlign w:val="center"/>
          </w:tcPr>
          <w:p w14:paraId="5DC9118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vAlign w:val="center"/>
          </w:tcPr>
          <w:p w14:paraId="539BDD3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vAlign w:val="center"/>
          </w:tcPr>
          <w:p w14:paraId="15B8321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right w:val="single" w:color="auto" w:sz="4" w:space="0"/>
            </w:tcBorders>
            <w:vAlign w:val="center"/>
          </w:tcPr>
          <w:p w14:paraId="4552E1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597" w:type="dxa"/>
            <w:tcBorders>
              <w:right w:val="single" w:color="auto" w:sz="4" w:space="0"/>
            </w:tcBorders>
            <w:vAlign w:val="center"/>
          </w:tcPr>
          <w:p w14:paraId="7CCC1C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5575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538" w:type="dxa"/>
            <w:vMerge w:val="continue"/>
            <w:tcBorders>
              <w:left w:val="single" w:color="auto" w:sz="4" w:space="0"/>
              <w:right w:val="single" w:color="auto" w:sz="4" w:space="0"/>
            </w:tcBorders>
            <w:vAlign w:val="center"/>
          </w:tcPr>
          <w:p w14:paraId="5FDADF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423" w:type="dxa"/>
            <w:tcBorders>
              <w:left w:val="single" w:color="auto" w:sz="4" w:space="0"/>
              <w:right w:val="single" w:color="auto" w:sz="4" w:space="0"/>
            </w:tcBorders>
            <w:vAlign w:val="center"/>
          </w:tcPr>
          <w:p w14:paraId="704E71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890" w:type="dxa"/>
            <w:tcBorders>
              <w:left w:val="single" w:color="auto" w:sz="4" w:space="0"/>
            </w:tcBorders>
            <w:vAlign w:val="center"/>
          </w:tcPr>
          <w:p w14:paraId="42A301D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vAlign w:val="center"/>
          </w:tcPr>
          <w:p w14:paraId="6B8C587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vAlign w:val="center"/>
          </w:tcPr>
          <w:p w14:paraId="4DD4103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right w:val="single" w:color="auto" w:sz="4" w:space="0"/>
            </w:tcBorders>
            <w:vAlign w:val="center"/>
          </w:tcPr>
          <w:p w14:paraId="27E90A5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597" w:type="dxa"/>
            <w:tcBorders>
              <w:right w:val="single" w:color="auto" w:sz="4" w:space="0"/>
            </w:tcBorders>
            <w:vAlign w:val="center"/>
          </w:tcPr>
          <w:p w14:paraId="61AC8B7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0E3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538" w:type="dxa"/>
            <w:vMerge w:val="continue"/>
            <w:tcBorders>
              <w:left w:val="single" w:color="auto" w:sz="4" w:space="0"/>
              <w:right w:val="single" w:color="auto" w:sz="4" w:space="0"/>
            </w:tcBorders>
            <w:vAlign w:val="center"/>
          </w:tcPr>
          <w:p w14:paraId="38049A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423" w:type="dxa"/>
            <w:tcBorders>
              <w:left w:val="single" w:color="auto" w:sz="4" w:space="0"/>
              <w:right w:val="single" w:color="auto" w:sz="4" w:space="0"/>
            </w:tcBorders>
            <w:vAlign w:val="center"/>
          </w:tcPr>
          <w:p w14:paraId="1638C0A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890" w:type="dxa"/>
            <w:tcBorders>
              <w:left w:val="single" w:color="auto" w:sz="4" w:space="0"/>
            </w:tcBorders>
            <w:vAlign w:val="center"/>
          </w:tcPr>
          <w:p w14:paraId="64B1138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7" w:type="dxa"/>
            <w:vAlign w:val="center"/>
          </w:tcPr>
          <w:p w14:paraId="3CE7F37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vAlign w:val="center"/>
          </w:tcPr>
          <w:p w14:paraId="1C6124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714" w:type="dxa"/>
            <w:tcBorders>
              <w:right w:val="single" w:color="auto" w:sz="4" w:space="0"/>
            </w:tcBorders>
            <w:vAlign w:val="center"/>
          </w:tcPr>
          <w:p w14:paraId="3B7DB2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597" w:type="dxa"/>
            <w:tcBorders>
              <w:right w:val="single" w:color="auto" w:sz="4" w:space="0"/>
            </w:tcBorders>
            <w:vAlign w:val="center"/>
          </w:tcPr>
          <w:p w14:paraId="33B15AE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48626B5C">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注：提供上述人员在投标单位购买社保证明文件。</w:t>
      </w:r>
    </w:p>
    <w:p w14:paraId="2B8E2AC1">
      <w:pPr>
        <w:tabs>
          <w:tab w:val="left" w:pos="540"/>
        </w:tabs>
        <w:rPr>
          <w:rFonts w:asciiTheme="minorEastAsia" w:hAnsiTheme="minorEastAsia" w:eastAsiaTheme="minorEastAsia"/>
          <w:b/>
          <w:color w:val="auto"/>
          <w:sz w:val="18"/>
          <w:szCs w:val="18"/>
          <w:highlight w:val="none"/>
          <w:lang w:val="en-GB"/>
        </w:rPr>
      </w:pPr>
    </w:p>
    <w:p w14:paraId="70E78E97">
      <w:pPr>
        <w:tabs>
          <w:tab w:val="left" w:pos="540"/>
        </w:tabs>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GB"/>
        </w:rPr>
        <w:t>四、</w:t>
      </w:r>
      <w:r>
        <w:rPr>
          <w:rFonts w:hint="eastAsia" w:asciiTheme="minorEastAsia" w:hAnsiTheme="minorEastAsia" w:eastAsiaTheme="minorEastAsia"/>
          <w:b/>
          <w:color w:val="auto"/>
          <w:sz w:val="24"/>
          <w:highlight w:val="none"/>
        </w:rPr>
        <w:t>履约进度计划表</w:t>
      </w:r>
    </w:p>
    <w:tbl>
      <w:tblPr>
        <w:tblStyle w:val="3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4CC6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vAlign w:val="center"/>
          </w:tcPr>
          <w:p w14:paraId="7B285E5F">
            <w:pPr>
              <w:keepNext w:val="0"/>
              <w:keepLines w:val="0"/>
              <w:suppressLineNumbers w:val="0"/>
              <w:tabs>
                <w:tab w:val="left" w:pos="540"/>
              </w:tabs>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2701" w:type="dxa"/>
            <w:shd w:val="clear" w:color="auto" w:fill="F3F3F3"/>
            <w:vAlign w:val="center"/>
          </w:tcPr>
          <w:p w14:paraId="0CF48034">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拟定时间安排</w:t>
            </w:r>
          </w:p>
        </w:tc>
        <w:tc>
          <w:tcPr>
            <w:tcW w:w="3217" w:type="dxa"/>
            <w:shd w:val="clear" w:color="auto" w:fill="F3F3F3"/>
            <w:vAlign w:val="center"/>
          </w:tcPr>
          <w:p w14:paraId="2993935E">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计划完成的工作内容</w:t>
            </w:r>
          </w:p>
        </w:tc>
        <w:tc>
          <w:tcPr>
            <w:tcW w:w="2589" w:type="dxa"/>
            <w:shd w:val="clear" w:color="auto" w:fill="F3F3F3"/>
            <w:vAlign w:val="center"/>
          </w:tcPr>
          <w:p w14:paraId="5DC33EAE">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实施方建议或要求</w:t>
            </w:r>
          </w:p>
        </w:tc>
      </w:tr>
      <w:tr w14:paraId="4BFF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03A5EB85">
            <w:pPr>
              <w:keepNext w:val="0"/>
              <w:keepLines w:val="0"/>
              <w:numPr>
                <w:ilvl w:val="0"/>
                <w:numId w:val="7"/>
              </w:numPr>
              <w:suppressLineNumbers w:val="0"/>
              <w:spacing w:before="0" w:beforeAutospacing="0" w:after="0" w:afterAutospacing="0"/>
              <w:ind w:right="0"/>
              <w:jc w:val="center"/>
              <w:rPr>
                <w:rFonts w:hint="default" w:asciiTheme="minorEastAsia" w:hAnsiTheme="minorEastAsia" w:eastAsiaTheme="minorEastAsia"/>
                <w:color w:val="auto"/>
                <w:szCs w:val="21"/>
                <w:highlight w:val="none"/>
              </w:rPr>
            </w:pPr>
          </w:p>
        </w:tc>
        <w:tc>
          <w:tcPr>
            <w:tcW w:w="2701" w:type="dxa"/>
            <w:vAlign w:val="center"/>
          </w:tcPr>
          <w:p w14:paraId="10B6E00F">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拟定  年  月   日</w:t>
            </w:r>
          </w:p>
        </w:tc>
        <w:tc>
          <w:tcPr>
            <w:tcW w:w="3217" w:type="dxa"/>
            <w:vAlign w:val="center"/>
          </w:tcPr>
          <w:p w14:paraId="0C0E94DB">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签定合同并生效</w:t>
            </w:r>
          </w:p>
        </w:tc>
        <w:tc>
          <w:tcPr>
            <w:tcW w:w="2589" w:type="dxa"/>
            <w:vAlign w:val="center"/>
          </w:tcPr>
          <w:p w14:paraId="2A2F5608">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05D8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6C58CF62">
            <w:pPr>
              <w:keepNext w:val="0"/>
              <w:keepLines w:val="0"/>
              <w:numPr>
                <w:ilvl w:val="0"/>
                <w:numId w:val="7"/>
              </w:numPr>
              <w:suppressLineNumbers w:val="0"/>
              <w:spacing w:before="0" w:beforeAutospacing="0" w:after="0" w:afterAutospacing="0"/>
              <w:ind w:right="0"/>
              <w:jc w:val="center"/>
              <w:rPr>
                <w:rFonts w:hint="default" w:asciiTheme="minorEastAsia" w:hAnsiTheme="minorEastAsia" w:eastAsiaTheme="minorEastAsia"/>
                <w:color w:val="auto"/>
                <w:szCs w:val="21"/>
                <w:highlight w:val="none"/>
              </w:rPr>
            </w:pPr>
          </w:p>
        </w:tc>
        <w:tc>
          <w:tcPr>
            <w:tcW w:w="2701" w:type="dxa"/>
            <w:vAlign w:val="center"/>
          </w:tcPr>
          <w:p w14:paraId="5A5C6A45">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   日—   月   日</w:t>
            </w:r>
          </w:p>
        </w:tc>
        <w:tc>
          <w:tcPr>
            <w:tcW w:w="3217" w:type="dxa"/>
            <w:vAlign w:val="center"/>
          </w:tcPr>
          <w:p w14:paraId="6C4A14BD">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2589" w:type="dxa"/>
            <w:vAlign w:val="center"/>
          </w:tcPr>
          <w:p w14:paraId="00DE6796">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06DA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vAlign w:val="center"/>
          </w:tcPr>
          <w:p w14:paraId="38CA02BC">
            <w:pPr>
              <w:keepNext w:val="0"/>
              <w:keepLines w:val="0"/>
              <w:numPr>
                <w:ilvl w:val="0"/>
                <w:numId w:val="7"/>
              </w:numPr>
              <w:suppressLineNumbers w:val="0"/>
              <w:spacing w:before="0" w:beforeAutospacing="0" w:after="0" w:afterAutospacing="0"/>
              <w:ind w:right="0"/>
              <w:jc w:val="center"/>
              <w:rPr>
                <w:rFonts w:hint="default" w:asciiTheme="minorEastAsia" w:hAnsiTheme="minorEastAsia" w:eastAsiaTheme="minorEastAsia"/>
                <w:color w:val="auto"/>
                <w:szCs w:val="21"/>
                <w:highlight w:val="none"/>
              </w:rPr>
            </w:pPr>
          </w:p>
        </w:tc>
        <w:tc>
          <w:tcPr>
            <w:tcW w:w="2701" w:type="dxa"/>
            <w:vAlign w:val="center"/>
          </w:tcPr>
          <w:p w14:paraId="4D3FC90E">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   日—   月   日</w:t>
            </w:r>
          </w:p>
        </w:tc>
        <w:tc>
          <w:tcPr>
            <w:tcW w:w="3217" w:type="dxa"/>
            <w:vAlign w:val="center"/>
          </w:tcPr>
          <w:p w14:paraId="565A8E51">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质保期</w:t>
            </w:r>
          </w:p>
        </w:tc>
        <w:tc>
          <w:tcPr>
            <w:tcW w:w="2589" w:type="dxa"/>
            <w:vAlign w:val="center"/>
          </w:tcPr>
          <w:p w14:paraId="3DE88455">
            <w:pPr>
              <w:keepNext w:val="0"/>
              <w:keepLines w:val="0"/>
              <w:suppressLineNumbers w:val="0"/>
              <w:tabs>
                <w:tab w:val="left" w:pos="540"/>
              </w:tabs>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5D3BD257">
      <w:pPr>
        <w:tabs>
          <w:tab w:val="left" w:pos="540"/>
        </w:tabs>
        <w:rPr>
          <w:rFonts w:asciiTheme="minorEastAsia" w:hAnsiTheme="minorEastAsia" w:eastAsiaTheme="minorEastAsia"/>
          <w:b/>
          <w:color w:val="auto"/>
          <w:sz w:val="18"/>
          <w:szCs w:val="18"/>
          <w:highlight w:val="none"/>
          <w:lang w:val="en-GB"/>
        </w:rPr>
      </w:pPr>
    </w:p>
    <w:p w14:paraId="5C6DF3A1">
      <w:pPr>
        <w:tabs>
          <w:tab w:val="left" w:pos="540"/>
        </w:tabs>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highlight w:val="none"/>
          <w:lang w:val="en-GB"/>
        </w:rPr>
        <w:t>五、</w:t>
      </w:r>
      <w:r>
        <w:rPr>
          <w:rFonts w:hint="eastAsia" w:asciiTheme="minorEastAsia" w:hAnsiTheme="minorEastAsia" w:eastAsiaTheme="minorEastAsia"/>
          <w:b/>
          <w:color w:val="auto"/>
          <w:sz w:val="24"/>
          <w:highlight w:val="none"/>
        </w:rPr>
        <w:t>规章管理制度一览表</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Cs w:val="21"/>
          <w:highlight w:val="none"/>
          <w:lang w:val="en-GB"/>
        </w:rPr>
        <w:t>所列制度均为目前仍在执行的制度，包括质量保证体系和操作管理制度等,提供附复印件并加盖公章</w:t>
      </w:r>
      <w:r>
        <w:rPr>
          <w:rFonts w:hint="eastAsia" w:asciiTheme="minorEastAsia" w:hAnsiTheme="minorEastAsia" w:eastAsiaTheme="minorEastAsia"/>
          <w:color w:val="auto"/>
          <w:sz w:val="24"/>
          <w:highlight w:val="none"/>
        </w:rPr>
        <w:t>）</w:t>
      </w:r>
    </w:p>
    <w:tbl>
      <w:tblPr>
        <w:tblStyle w:val="3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57E0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03" w:type="dxa"/>
            <w:vAlign w:val="center"/>
          </w:tcPr>
          <w:p w14:paraId="5B90623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 号</w:t>
            </w:r>
          </w:p>
        </w:tc>
        <w:tc>
          <w:tcPr>
            <w:tcW w:w="4487" w:type="dxa"/>
            <w:vAlign w:val="center"/>
          </w:tcPr>
          <w:p w14:paraId="12540BD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相关规章管理制度名称</w:t>
            </w:r>
          </w:p>
        </w:tc>
        <w:tc>
          <w:tcPr>
            <w:tcW w:w="1801" w:type="dxa"/>
            <w:vAlign w:val="center"/>
          </w:tcPr>
          <w:p w14:paraId="5B5D014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开始执行时间</w:t>
            </w:r>
          </w:p>
        </w:tc>
        <w:tc>
          <w:tcPr>
            <w:tcW w:w="1359" w:type="dxa"/>
            <w:vAlign w:val="center"/>
          </w:tcPr>
          <w:p w14:paraId="02EEB0C5">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备注</w:t>
            </w:r>
          </w:p>
        </w:tc>
      </w:tr>
      <w:tr w14:paraId="42C3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03" w:type="dxa"/>
            <w:vAlign w:val="center"/>
          </w:tcPr>
          <w:p w14:paraId="61C181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4487" w:type="dxa"/>
            <w:vAlign w:val="center"/>
          </w:tcPr>
          <w:p w14:paraId="3761D52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801" w:type="dxa"/>
            <w:vAlign w:val="center"/>
          </w:tcPr>
          <w:p w14:paraId="5EEE823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59" w:type="dxa"/>
            <w:vAlign w:val="center"/>
          </w:tcPr>
          <w:p w14:paraId="1DA0CD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408F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03" w:type="dxa"/>
            <w:vAlign w:val="center"/>
          </w:tcPr>
          <w:p w14:paraId="058286B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4487" w:type="dxa"/>
            <w:vAlign w:val="center"/>
          </w:tcPr>
          <w:p w14:paraId="3489C3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801" w:type="dxa"/>
            <w:vAlign w:val="center"/>
          </w:tcPr>
          <w:p w14:paraId="6E406A3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59" w:type="dxa"/>
            <w:vAlign w:val="center"/>
          </w:tcPr>
          <w:p w14:paraId="4E8145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58D0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03" w:type="dxa"/>
            <w:vAlign w:val="center"/>
          </w:tcPr>
          <w:p w14:paraId="522E40B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4487" w:type="dxa"/>
            <w:vAlign w:val="center"/>
          </w:tcPr>
          <w:p w14:paraId="25264AF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801" w:type="dxa"/>
            <w:vAlign w:val="center"/>
          </w:tcPr>
          <w:p w14:paraId="254BCE8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59" w:type="dxa"/>
            <w:vAlign w:val="center"/>
          </w:tcPr>
          <w:p w14:paraId="4C9EDA8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bl>
    <w:p w14:paraId="37A700D6">
      <w:pPr>
        <w:tabs>
          <w:tab w:val="left" w:pos="540"/>
        </w:tabs>
        <w:rPr>
          <w:rFonts w:asciiTheme="minorEastAsia" w:hAnsiTheme="minorEastAsia" w:eastAsiaTheme="minorEastAsia"/>
          <w:b/>
          <w:color w:val="auto"/>
          <w:sz w:val="24"/>
          <w:highlight w:val="none"/>
          <w:lang w:val="en-GB"/>
        </w:rPr>
      </w:pPr>
    </w:p>
    <w:p w14:paraId="1A596EB1">
      <w:pPr>
        <w:tabs>
          <w:tab w:val="left" w:pos="540"/>
        </w:tabs>
        <w:rPr>
          <w:rFonts w:asciiTheme="minorEastAsia" w:hAnsiTheme="minorEastAsia" w:eastAsiaTheme="minorEastAsia"/>
          <w:b/>
          <w:color w:val="auto"/>
          <w:sz w:val="24"/>
          <w:highlight w:val="none"/>
          <w:lang w:val="en-GB"/>
        </w:rPr>
      </w:pPr>
      <w:r>
        <w:rPr>
          <w:rFonts w:hint="eastAsia" w:asciiTheme="minorEastAsia" w:hAnsiTheme="minorEastAsia" w:eastAsiaTheme="minorEastAsia"/>
          <w:b/>
          <w:color w:val="auto"/>
          <w:sz w:val="24"/>
          <w:highlight w:val="none"/>
          <w:lang w:val="en-GB"/>
        </w:rPr>
        <w:t>六、其它重要事项说明及承诺(请扼要叙述)</w:t>
      </w:r>
    </w:p>
    <w:p w14:paraId="00D67C46">
      <w:pPr>
        <w:tabs>
          <w:tab w:val="left" w:pos="540"/>
        </w:tabs>
        <w:rPr>
          <w:rFonts w:asciiTheme="minorEastAsia" w:hAnsiTheme="minorEastAsia" w:eastAsiaTheme="minorEastAsia"/>
          <w:color w:val="auto"/>
          <w:szCs w:val="21"/>
          <w:highlight w:val="none"/>
        </w:rPr>
      </w:pPr>
    </w:p>
    <w:p w14:paraId="143E1BB7">
      <w:pPr>
        <w:pStyle w:val="70"/>
        <w:outlineLvl w:val="0"/>
        <w:rPr>
          <w:rFonts w:asciiTheme="minorEastAsia" w:hAnsiTheme="minorEastAsia" w:eastAsiaTheme="minorEastAsia"/>
          <w:b/>
          <w:color w:val="auto"/>
          <w:szCs w:val="24"/>
          <w:highlight w:val="none"/>
        </w:rPr>
      </w:pPr>
      <w:r>
        <w:rPr>
          <w:rFonts w:asciiTheme="minorEastAsia" w:hAnsiTheme="minorEastAsia" w:eastAsiaTheme="minorEastAsia"/>
          <w:b/>
          <w:color w:val="auto"/>
          <w:szCs w:val="24"/>
          <w:highlight w:val="none"/>
        </w:rPr>
        <w:br w:type="page"/>
      </w:r>
      <w:r>
        <w:rPr>
          <w:rFonts w:hint="eastAsia" w:asciiTheme="minorEastAsia" w:hAnsiTheme="minorEastAsia" w:eastAsiaTheme="minorEastAsia"/>
          <w:b/>
          <w:color w:val="auto"/>
          <w:szCs w:val="24"/>
          <w:highlight w:val="none"/>
        </w:rPr>
        <w:t>七、中标服务费承诺书（格式）</w:t>
      </w:r>
    </w:p>
    <w:p w14:paraId="48B67373">
      <w:pPr>
        <w:adjustRightInd w:val="0"/>
        <w:snapToGrid w:val="0"/>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国义招标股份有限公司：</w:t>
      </w:r>
    </w:p>
    <w:p w14:paraId="4C8793B9">
      <w:pPr>
        <w:adjustRightInd w:val="0"/>
        <w:snapToGrid w:val="0"/>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u w:val="single"/>
        </w:rPr>
        <w:t xml:space="preserve">   （投标人名称）   </w:t>
      </w:r>
      <w:r>
        <w:rPr>
          <w:rFonts w:hint="eastAsia" w:asciiTheme="minorEastAsia" w:hAnsiTheme="minorEastAsia" w:eastAsiaTheme="minorEastAsia"/>
          <w:color w:val="auto"/>
          <w:szCs w:val="21"/>
          <w:highlight w:val="none"/>
        </w:rPr>
        <w:t>公司在参加在贵司进行的</w:t>
      </w:r>
      <w:r>
        <w:rPr>
          <w:rFonts w:hint="eastAsia" w:asciiTheme="minorEastAsia" w:hAnsiTheme="minorEastAsia" w:eastAsiaTheme="minorEastAsia"/>
          <w:color w:val="auto"/>
          <w:szCs w:val="21"/>
          <w:highlight w:val="none"/>
          <w:u w:val="single"/>
        </w:rPr>
        <w:t xml:space="preserve">   （项目名称）  </w:t>
      </w:r>
      <w:r>
        <w:rPr>
          <w:rFonts w:hint="eastAsia" w:asciiTheme="minorEastAsia" w:hAnsiTheme="minorEastAsia" w:eastAsiaTheme="minorEastAsia"/>
          <w:color w:val="auto"/>
          <w:szCs w:val="21"/>
          <w:highlight w:val="none"/>
        </w:rPr>
        <w:t>(项目编号：)招标中如获中标，我司保证在领取“中标通知书”前，按本项目投标人须知相关规定向贵司缴纳 “中标服务费”。</w:t>
      </w:r>
    </w:p>
    <w:p w14:paraId="7A751B17">
      <w:pPr>
        <w:adjustRightInd w:val="0"/>
        <w:snapToGrid w:val="0"/>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如我方违约，愿凭贵方开出的违约通知，按上述承付金额的200%由采购人在支付我司的合同款中代为扣付。</w:t>
      </w:r>
    </w:p>
    <w:p w14:paraId="3F08E5AD">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特此承诺。</w:t>
      </w:r>
    </w:p>
    <w:p w14:paraId="4FD7B96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另关于我司缴纳中标服务费后开具中标服务费发票的事宜，我司声明如下：</w:t>
      </w:r>
    </w:p>
    <w:p w14:paraId="22A8E75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A：</w:t>
      </w:r>
      <w:r>
        <w:rPr>
          <w:rFonts w:hint="eastAsia" w:asciiTheme="minorEastAsia" w:hAnsiTheme="minorEastAsia" w:eastAsiaTheme="minorEastAsia"/>
          <w:color w:val="auto"/>
          <w:szCs w:val="21"/>
          <w:highlight w:val="none"/>
        </w:rPr>
        <w:t>如需开具</w:t>
      </w:r>
      <w:r>
        <w:rPr>
          <w:rFonts w:hint="eastAsia" w:asciiTheme="minorEastAsia" w:hAnsiTheme="minorEastAsia" w:eastAsiaTheme="minorEastAsia"/>
          <w:b/>
          <w:color w:val="auto"/>
          <w:szCs w:val="21"/>
          <w:highlight w:val="none"/>
          <w:u w:val="single"/>
        </w:rPr>
        <w:t>增值税普通发票</w:t>
      </w:r>
      <w:r>
        <w:rPr>
          <w:rFonts w:hint="eastAsia" w:asciiTheme="minorEastAsia" w:hAnsiTheme="minorEastAsia" w:eastAsiaTheme="minorEastAsia"/>
          <w:color w:val="auto"/>
          <w:szCs w:val="21"/>
          <w:highlight w:val="none"/>
        </w:rPr>
        <w:t>，请于下方（ ）打“√”</w:t>
      </w:r>
    </w:p>
    <w:p w14:paraId="48258E4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）请向我司开具中标费的“</w:t>
      </w:r>
      <w:r>
        <w:rPr>
          <w:rFonts w:hint="eastAsia" w:asciiTheme="minorEastAsia" w:hAnsiTheme="minorEastAsia" w:eastAsiaTheme="minorEastAsia"/>
          <w:b/>
          <w:color w:val="auto"/>
          <w:szCs w:val="21"/>
          <w:highlight w:val="none"/>
          <w:u w:val="single"/>
        </w:rPr>
        <w:t>增值税普通发票</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，开票信息如下：</w:t>
      </w:r>
    </w:p>
    <w:p w14:paraId="4B62907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1、</w:t>
      </w:r>
      <w:r>
        <w:rPr>
          <w:rFonts w:hint="eastAsia" w:asciiTheme="minorEastAsia" w:hAnsiTheme="minorEastAsia" w:eastAsiaTheme="minorEastAsia"/>
          <w:color w:val="auto"/>
          <w:szCs w:val="21"/>
          <w:highlight w:val="none"/>
        </w:rPr>
        <w:t>我司工商注册名称为：；</w:t>
      </w:r>
    </w:p>
    <w:p w14:paraId="588D543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2、纳税人识别号（国税）/或统一社会信用代码：</w:t>
      </w:r>
      <w:r>
        <w:rPr>
          <w:rFonts w:hint="eastAsia" w:asciiTheme="minorEastAsia" w:hAnsiTheme="minorEastAsia" w:eastAsiaTheme="minorEastAsia"/>
          <w:color w:val="auto"/>
          <w:szCs w:val="21"/>
          <w:highlight w:val="none"/>
          <w:u w:val="single"/>
        </w:rPr>
        <w:t xml:space="preserve">    （请填写）              </w:t>
      </w:r>
    </w:p>
    <w:p w14:paraId="3F29BB7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B：</w:t>
      </w:r>
      <w:r>
        <w:rPr>
          <w:rFonts w:hint="eastAsia" w:asciiTheme="minorEastAsia" w:hAnsiTheme="minorEastAsia" w:eastAsiaTheme="minorEastAsia"/>
          <w:color w:val="auto"/>
          <w:szCs w:val="21"/>
          <w:highlight w:val="none"/>
        </w:rPr>
        <w:t>如需开具增值税专用发票，请于下方（ ）打“√”,并提供相关资料</w:t>
      </w:r>
    </w:p>
    <w:p w14:paraId="448B40B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）请向我司开具中标费的“</w:t>
      </w:r>
      <w:r>
        <w:rPr>
          <w:rFonts w:hint="eastAsia" w:asciiTheme="minorEastAsia" w:hAnsiTheme="minorEastAsia" w:eastAsiaTheme="minorEastAsia"/>
          <w:b/>
          <w:color w:val="auto"/>
          <w:szCs w:val="21"/>
          <w:highlight w:val="none"/>
          <w:u w:val="single"/>
        </w:rPr>
        <w:t>增值税专用发票</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，开票信息为：</w:t>
      </w:r>
    </w:p>
    <w:p w14:paraId="542A2FE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1、我司工商注册名称：</w:t>
      </w:r>
      <w:r>
        <w:rPr>
          <w:rFonts w:hint="eastAsia" w:asciiTheme="minorEastAsia" w:hAnsiTheme="minorEastAsia" w:eastAsiaTheme="minorEastAsia"/>
          <w:color w:val="auto"/>
          <w:szCs w:val="21"/>
          <w:highlight w:val="none"/>
          <w:u w:val="single"/>
        </w:rPr>
        <w:t xml:space="preserve">    （请填写）              </w:t>
      </w:r>
    </w:p>
    <w:p w14:paraId="35444C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2、纳税人识别号（国税）/或统一社会信用代码：</w:t>
      </w:r>
      <w:r>
        <w:rPr>
          <w:rFonts w:hint="eastAsia" w:asciiTheme="minorEastAsia" w:hAnsiTheme="minorEastAsia" w:eastAsiaTheme="minorEastAsia"/>
          <w:color w:val="auto"/>
          <w:szCs w:val="21"/>
          <w:highlight w:val="none"/>
          <w:u w:val="single"/>
        </w:rPr>
        <w:t xml:space="preserve">    （请填写）              </w:t>
      </w:r>
    </w:p>
    <w:p w14:paraId="513768C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3、注册地址：</w:t>
      </w:r>
      <w:r>
        <w:rPr>
          <w:rFonts w:hint="eastAsia" w:asciiTheme="minorEastAsia" w:hAnsiTheme="minorEastAsia" w:eastAsiaTheme="minorEastAsia"/>
          <w:color w:val="auto"/>
          <w:szCs w:val="21"/>
          <w:highlight w:val="none"/>
          <w:u w:val="single"/>
        </w:rPr>
        <w:t xml:space="preserve">    （请填写）              </w:t>
      </w:r>
    </w:p>
    <w:p w14:paraId="18AB5C5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4、办公电话（固话）：</w:t>
      </w:r>
      <w:r>
        <w:rPr>
          <w:rFonts w:hint="eastAsia" w:asciiTheme="minorEastAsia" w:hAnsiTheme="minorEastAsia" w:eastAsiaTheme="minorEastAsia"/>
          <w:color w:val="auto"/>
          <w:szCs w:val="21"/>
          <w:highlight w:val="none"/>
          <w:u w:val="single"/>
        </w:rPr>
        <w:t xml:space="preserve">    （请填写）              </w:t>
      </w:r>
    </w:p>
    <w:p w14:paraId="6D2C1E0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5、开户银行及账号：</w:t>
      </w:r>
      <w:r>
        <w:rPr>
          <w:rFonts w:hint="eastAsia" w:asciiTheme="minorEastAsia" w:hAnsiTheme="minorEastAsia" w:eastAsiaTheme="minorEastAsia"/>
          <w:color w:val="auto"/>
          <w:szCs w:val="21"/>
          <w:highlight w:val="none"/>
          <w:u w:val="single"/>
        </w:rPr>
        <w:t xml:space="preserve">    （请填写）              </w:t>
      </w:r>
    </w:p>
    <w:p w14:paraId="2CB5A148">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6、一般纳税人资格证书/或加盖了税务局“增值税一般纳税人”条章的国税登记证扫描件/或在所属国税局网站的查询结果截图</w:t>
      </w:r>
      <w:r>
        <w:rPr>
          <w:rFonts w:hint="eastAsia" w:asciiTheme="minorEastAsia" w:hAnsiTheme="minorEastAsia" w:eastAsiaTheme="minorEastAsia"/>
          <w:color w:val="auto"/>
          <w:szCs w:val="21"/>
          <w:highlight w:val="none"/>
          <w:u w:val="single"/>
        </w:rPr>
        <w:t>（截图后附）</w:t>
      </w:r>
    </w:p>
    <w:p w14:paraId="4EDF73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中标单位联系人：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 手机</w:t>
      </w:r>
      <w:r>
        <w:rPr>
          <w:rFonts w:hint="eastAsia" w:asciiTheme="minorEastAsia" w:hAnsiTheme="minorEastAsia" w:eastAsiaTheme="minorEastAsia"/>
          <w:color w:val="auto"/>
          <w:szCs w:val="21"/>
          <w:highlight w:val="none"/>
          <w:u w:val="single"/>
        </w:rPr>
        <w:t>号：            ;</w:t>
      </w:r>
    </w:p>
    <w:p w14:paraId="43AEB76C">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单位地址：电话：传真：</w:t>
      </w:r>
      <w:r>
        <w:rPr>
          <w:rFonts w:hint="eastAsia" w:asciiTheme="minorEastAsia" w:hAnsiTheme="minorEastAsia" w:eastAsiaTheme="minorEastAsia"/>
          <w:color w:val="auto"/>
          <w:szCs w:val="21"/>
          <w:highlight w:val="none"/>
          <w:u w:val="single"/>
        </w:rPr>
        <w:t xml:space="preserve">        。</w:t>
      </w:r>
    </w:p>
    <w:p w14:paraId="38D252A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特此声明。</w:t>
      </w:r>
    </w:p>
    <w:p w14:paraId="7E2AFAD1">
      <w:pPr>
        <w:rPr>
          <w:rFonts w:asciiTheme="minorEastAsia" w:hAnsiTheme="minorEastAsia" w:eastAsiaTheme="minorEastAsia"/>
          <w:color w:val="auto"/>
          <w:szCs w:val="21"/>
          <w:highlight w:val="none"/>
        </w:rPr>
      </w:pPr>
    </w:p>
    <w:p w14:paraId="71AC9CA2">
      <w:pPr>
        <w:rPr>
          <w:rFonts w:asciiTheme="minorEastAsia" w:hAnsiTheme="minorEastAsia" w:eastAsiaTheme="minorEastAsia"/>
          <w:color w:val="auto"/>
          <w:szCs w:val="21"/>
          <w:highlight w:val="none"/>
        </w:rPr>
      </w:pPr>
    </w:p>
    <w:p w14:paraId="22558980">
      <w:pPr>
        <w:rPr>
          <w:rFonts w:asciiTheme="minorEastAsia" w:hAnsiTheme="minorEastAsia" w:eastAsiaTheme="minorEastAsia"/>
          <w:color w:val="auto"/>
          <w:szCs w:val="21"/>
          <w:highlight w:val="none"/>
        </w:rPr>
      </w:pPr>
    </w:p>
    <w:p w14:paraId="256557DB">
      <w:pPr>
        <w:rPr>
          <w:rFonts w:asciiTheme="minorEastAsia" w:hAnsiTheme="minorEastAsia" w:eastAsiaTheme="minorEastAsia"/>
          <w:color w:val="auto"/>
          <w:szCs w:val="21"/>
          <w:highlight w:val="none"/>
        </w:rPr>
      </w:pPr>
    </w:p>
    <w:p w14:paraId="7C80911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投标人法定代表人（或法定代表人授权代表）签字：                   </w:t>
      </w:r>
    </w:p>
    <w:p w14:paraId="52BA1DC2">
      <w:pP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 xml:space="preserve">投标人名称（加盖公章）：                </w:t>
      </w:r>
    </w:p>
    <w:p w14:paraId="753D66AF">
      <w:pPr>
        <w:pStyle w:val="70"/>
        <w:rPr>
          <w:rFonts w:asciiTheme="minorEastAsia" w:hAnsiTheme="minorEastAsia" w:eastAsiaTheme="minorEastAsia"/>
          <w:color w:val="auto"/>
          <w:sz w:val="21"/>
          <w:szCs w:val="21"/>
          <w:highlight w:val="none"/>
        </w:rPr>
      </w:pPr>
      <w:r>
        <w:rPr>
          <w:rFonts w:hint="eastAsia" w:asciiTheme="minorEastAsia" w:hAnsiTheme="minorEastAsia" w:eastAsiaTheme="minorEastAsia"/>
          <w:bCs w:val="0"/>
          <w:color w:val="auto"/>
          <w:spacing w:val="0"/>
          <w:kern w:val="2"/>
          <w:sz w:val="21"/>
          <w:szCs w:val="24"/>
          <w:highlight w:val="none"/>
        </w:rPr>
        <w:t>日期：年月日</w:t>
      </w:r>
    </w:p>
    <w:p w14:paraId="16B826E5">
      <w:pPr>
        <w:widowControl/>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p>
    <w:p w14:paraId="59D17F3D">
      <w:pPr>
        <w:pStyle w:val="18"/>
        <w:tabs>
          <w:tab w:val="left" w:pos="360"/>
        </w:tabs>
        <w:adjustRightInd w:val="0"/>
        <w:snapToGrid w:val="0"/>
        <w:rPr>
          <w:rFonts w:cs="Times New Roman" w:asciiTheme="minorEastAsia" w:hAnsiTheme="minorEastAsia" w:eastAsiaTheme="minorEastAsia"/>
          <w:b/>
          <w:snapToGrid w:val="0"/>
          <w:color w:val="auto"/>
          <w:kern w:val="0"/>
          <w:sz w:val="24"/>
          <w:szCs w:val="24"/>
          <w:highlight w:val="none"/>
        </w:rPr>
      </w:pPr>
      <w:r>
        <w:rPr>
          <w:rFonts w:hint="eastAsia" w:cs="Times New Roman" w:asciiTheme="minorEastAsia" w:hAnsiTheme="minorEastAsia" w:eastAsiaTheme="minorEastAsia"/>
          <w:b/>
          <w:snapToGrid w:val="0"/>
          <w:color w:val="auto"/>
          <w:kern w:val="0"/>
          <w:sz w:val="24"/>
          <w:szCs w:val="24"/>
          <w:highlight w:val="none"/>
        </w:rPr>
        <w:t>八、政府采购政策适用性相关函件（如投标人不符合条件，不需提供）</w:t>
      </w:r>
    </w:p>
    <w:p w14:paraId="1DD20ED6">
      <w:pPr>
        <w:pStyle w:val="18"/>
        <w:tabs>
          <w:tab w:val="left" w:pos="360"/>
        </w:tabs>
        <w:adjustRightInd w:val="0"/>
        <w:snapToGrid w:val="0"/>
        <w:rPr>
          <w:rFonts w:cs="Times New Roman" w:asciiTheme="minorEastAsia" w:hAnsiTheme="minorEastAsia" w:eastAsiaTheme="minorEastAsia"/>
          <w:b/>
          <w:snapToGrid w:val="0"/>
          <w:color w:val="auto"/>
          <w:kern w:val="0"/>
          <w:sz w:val="24"/>
          <w:szCs w:val="24"/>
          <w:highlight w:val="none"/>
        </w:rPr>
      </w:pPr>
      <w:r>
        <w:rPr>
          <w:rFonts w:hint="eastAsia" w:cs="Times New Roman" w:asciiTheme="minorEastAsia" w:hAnsiTheme="minorEastAsia" w:eastAsiaTheme="minorEastAsia"/>
          <w:b/>
          <w:snapToGrid w:val="0"/>
          <w:color w:val="auto"/>
          <w:kern w:val="0"/>
          <w:sz w:val="24"/>
          <w:szCs w:val="24"/>
          <w:highlight w:val="none"/>
        </w:rPr>
        <w:t>1. 政策适用性说明表</w:t>
      </w:r>
    </w:p>
    <w:tbl>
      <w:tblPr>
        <w:tblStyle w:val="3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48"/>
        <w:gridCol w:w="1112"/>
        <w:gridCol w:w="1112"/>
        <w:gridCol w:w="1112"/>
        <w:gridCol w:w="1112"/>
        <w:gridCol w:w="1112"/>
        <w:gridCol w:w="1527"/>
      </w:tblGrid>
      <w:tr w14:paraId="6A8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0B3CB1F3">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p w14:paraId="285F285C">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1548" w:type="dxa"/>
          </w:tcPr>
          <w:p w14:paraId="1B9C59D9">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标的名称（规格型号、注册商标）</w:t>
            </w:r>
          </w:p>
        </w:tc>
        <w:tc>
          <w:tcPr>
            <w:tcW w:w="1112" w:type="dxa"/>
          </w:tcPr>
          <w:p w14:paraId="016F3507">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制造商</w:t>
            </w:r>
            <w:r>
              <w:rPr>
                <w:rFonts w:hint="default"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rPr>
              <w:t>服务商</w:t>
            </w:r>
            <w:r>
              <w:rPr>
                <w:rFonts w:hint="default" w:asciiTheme="minorEastAsia" w:hAnsiTheme="minorEastAsia" w:eastAsiaTheme="minorEastAsia"/>
                <w:color w:val="auto"/>
                <w:sz w:val="21"/>
                <w:szCs w:val="21"/>
                <w:highlight w:val="none"/>
              </w:rPr>
              <w:t xml:space="preserve">) </w:t>
            </w:r>
          </w:p>
        </w:tc>
        <w:tc>
          <w:tcPr>
            <w:tcW w:w="1112" w:type="dxa"/>
          </w:tcPr>
          <w:p w14:paraId="40D9F789">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制造商</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服务商</w:t>
            </w:r>
            <w:r>
              <w:rPr>
                <w:rFonts w:hint="default"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rPr>
              <w:t>企业类型</w:t>
            </w:r>
          </w:p>
        </w:tc>
        <w:tc>
          <w:tcPr>
            <w:tcW w:w="1112" w:type="dxa"/>
          </w:tcPr>
          <w:p w14:paraId="3B354EF6">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节能产品</w:t>
            </w:r>
          </w:p>
        </w:tc>
        <w:tc>
          <w:tcPr>
            <w:tcW w:w="1112" w:type="dxa"/>
          </w:tcPr>
          <w:p w14:paraId="38965D92">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环保标志产品</w:t>
            </w:r>
          </w:p>
        </w:tc>
        <w:tc>
          <w:tcPr>
            <w:tcW w:w="1112" w:type="dxa"/>
          </w:tcPr>
          <w:p w14:paraId="4093AF6E">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认证证书编号</w:t>
            </w:r>
          </w:p>
        </w:tc>
        <w:tc>
          <w:tcPr>
            <w:tcW w:w="1527" w:type="dxa"/>
          </w:tcPr>
          <w:p w14:paraId="4F5AED9A">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该产品报价在总报价中占比（</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p>
        </w:tc>
      </w:tr>
      <w:tr w14:paraId="4D25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7266724C">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48" w:type="dxa"/>
          </w:tcPr>
          <w:p w14:paraId="107F291B">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45A6AF80">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6B800632">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4856DA0E">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F0ADF87">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7B53D37B">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27" w:type="dxa"/>
          </w:tcPr>
          <w:p w14:paraId="77DDC741">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r>
      <w:tr w14:paraId="7065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0CB0CC54">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48" w:type="dxa"/>
          </w:tcPr>
          <w:p w14:paraId="17B6BC06">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07990C6D">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26FFC7A7">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60EC43DB">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8249448">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CD55CE8">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27" w:type="dxa"/>
          </w:tcPr>
          <w:p w14:paraId="4758B9D8">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r>
      <w:tr w14:paraId="164B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12" w:type="dxa"/>
          </w:tcPr>
          <w:p w14:paraId="64816F5B">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48" w:type="dxa"/>
          </w:tcPr>
          <w:p w14:paraId="03CF9033">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2C677555">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638BD93F">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2DDFCC67">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33334179">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112" w:type="dxa"/>
          </w:tcPr>
          <w:p w14:paraId="04648351">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c>
          <w:tcPr>
            <w:tcW w:w="1527" w:type="dxa"/>
          </w:tcPr>
          <w:p w14:paraId="4DF05B91">
            <w:pPr>
              <w:pStyle w:val="99"/>
              <w:keepNext w:val="0"/>
              <w:keepLines w:val="0"/>
              <w:widowControl/>
              <w:suppressLineNumbers w:val="0"/>
              <w:spacing w:before="0" w:beforeAutospacing="0" w:after="0" w:afterAutospacing="0"/>
              <w:ind w:left="0" w:right="0"/>
              <w:rPr>
                <w:rFonts w:hint="default" w:asciiTheme="minorEastAsia" w:hAnsiTheme="minorEastAsia" w:eastAsiaTheme="minorEastAsia"/>
                <w:color w:val="auto"/>
                <w:sz w:val="21"/>
                <w:szCs w:val="21"/>
                <w:highlight w:val="none"/>
              </w:rPr>
            </w:pPr>
          </w:p>
        </w:tc>
      </w:tr>
    </w:tbl>
    <w:p w14:paraId="647CABAD">
      <w:pPr>
        <w:pStyle w:val="99"/>
        <w:spacing w:line="240" w:lineRule="atLeas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w:t>
      </w:r>
      <w:r>
        <w:rPr>
          <w:rFonts w:asciiTheme="minorEastAsia" w:hAnsiTheme="minorEastAsia" w:eastAsiaTheme="minorEastAsia"/>
          <w:color w:val="auto"/>
          <w:sz w:val="21"/>
          <w:szCs w:val="21"/>
          <w:highlight w:val="none"/>
        </w:rPr>
        <w:t xml:space="preserve"> 1</w:t>
      </w:r>
      <w:r>
        <w:rPr>
          <w:rFonts w:hint="eastAsia" w:asciiTheme="minorEastAsia" w:hAnsiTheme="minorEastAsia" w:eastAsiaTheme="minorEastAsia"/>
          <w:color w:val="auto"/>
          <w:sz w:val="21"/>
          <w:szCs w:val="21"/>
          <w:highlight w:val="none"/>
        </w:rPr>
        <w:t>、制造商为小型或微型企业时才需要填</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制造商企业类型</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栏，填写内容为</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小型</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或</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微型</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rPr>
        <w:t>；</w:t>
      </w:r>
    </w:p>
    <w:p w14:paraId="463EE7A9">
      <w:pPr>
        <w:spacing w:line="240" w:lineRule="atLeast"/>
        <w:ind w:firstLine="411" w:firstLineChars="196"/>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政府采购节能产品、环境标志产品实施品目清单管理。投标人所投的“节能产品、环境标志产品”属于品目清单范围内的，须提供国家确定的认证机构出具的处于有效期之内的节能产品、环境标志产品认证证书复印件</w:t>
      </w:r>
      <w:r>
        <w:rPr>
          <w:rFonts w:asciiTheme="minorEastAsia" w:hAnsiTheme="minorEastAsia" w:eastAsiaTheme="minorEastAsia"/>
          <w:color w:val="auto"/>
          <w:szCs w:val="21"/>
          <w:highlight w:val="none"/>
        </w:rPr>
        <w:t>，并填写证书号</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节能产品、</w:t>
      </w:r>
      <w:r>
        <w:rPr>
          <w:rFonts w:hint="eastAsia" w:asciiTheme="minorEastAsia" w:hAnsiTheme="minorEastAsia" w:eastAsiaTheme="minorEastAsia"/>
          <w:color w:val="auto"/>
          <w:szCs w:val="21"/>
          <w:highlight w:val="none"/>
        </w:rPr>
        <w:t>环境标志产品</w:t>
      </w:r>
      <w:r>
        <w:rPr>
          <w:rFonts w:asciiTheme="minorEastAsia" w:hAnsiTheme="minorEastAsia" w:eastAsiaTheme="minorEastAsia"/>
          <w:color w:val="auto"/>
          <w:szCs w:val="21"/>
          <w:highlight w:val="none"/>
        </w:rPr>
        <w:t>相关</w:t>
      </w:r>
      <w:r>
        <w:rPr>
          <w:rFonts w:hint="eastAsia" w:asciiTheme="minorEastAsia" w:hAnsiTheme="minorEastAsia" w:eastAsiaTheme="minorEastAsia"/>
          <w:color w:val="auto"/>
          <w:szCs w:val="21"/>
          <w:highlight w:val="none"/>
        </w:rPr>
        <w:t>信息可于中国政府采购网（www.ccgp.gov.cn）查询）</w:t>
      </w:r>
    </w:p>
    <w:p w14:paraId="18FEC1E2">
      <w:pPr>
        <w:spacing w:line="240" w:lineRule="atLeast"/>
        <w:ind w:firstLine="411" w:firstLineChars="196"/>
        <w:rPr>
          <w:rFonts w:asciiTheme="minorEastAsia" w:hAnsiTheme="minorEastAsia" w:eastAsiaTheme="minorEastAsia"/>
          <w:b/>
          <w:bCs/>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、最终报价中</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该产品报价占总报价比重</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视作不变。</w:t>
      </w:r>
    </w:p>
    <w:p w14:paraId="3A0A09E7">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55D66736">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15EC41F">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36F465BE">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00CB6DC2">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r>
        <w:rPr>
          <w:rFonts w:hint="eastAsia" w:asciiTheme="minorEastAsia" w:hAnsiTheme="minorEastAsia" w:eastAsiaTheme="minorEastAsia"/>
          <w:color w:val="auto"/>
          <w:szCs w:val="21"/>
          <w:highlight w:val="none"/>
          <w:u w:val="single"/>
        </w:rPr>
        <w:t xml:space="preserve">                   </w:t>
      </w:r>
    </w:p>
    <w:p w14:paraId="63D9712C">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r>
        <w:rPr>
          <w:rFonts w:hint="eastAsia" w:asciiTheme="minorEastAsia" w:hAnsiTheme="minorEastAsia" w:eastAsiaTheme="minorEastAsia"/>
          <w:color w:val="auto"/>
          <w:szCs w:val="21"/>
          <w:highlight w:val="none"/>
          <w:u w:val="single"/>
        </w:rPr>
        <w:t xml:space="preserve">                        </w:t>
      </w:r>
    </w:p>
    <w:p w14:paraId="795192F9">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日</w:t>
      </w:r>
    </w:p>
    <w:p w14:paraId="2B6EFFD5">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61139F9">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17DC15CF">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5F53B6AB">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1EC6A21E">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31C76863">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1C68D74">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4E830C19">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007F9BD7">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277781DC">
      <w:pPr>
        <w:tabs>
          <w:tab w:val="left" w:pos="567"/>
          <w:tab w:val="left" w:pos="993"/>
        </w:tabs>
        <w:ind w:firstLine="422" w:firstLineChars="200"/>
        <w:jc w:val="left"/>
        <w:rPr>
          <w:rFonts w:asciiTheme="minorEastAsia" w:hAnsiTheme="minorEastAsia" w:eastAsiaTheme="minorEastAsia"/>
          <w:b/>
          <w:bCs/>
          <w:color w:val="auto"/>
          <w:szCs w:val="21"/>
          <w:highlight w:val="none"/>
        </w:rPr>
      </w:pPr>
    </w:p>
    <w:p w14:paraId="32AA4428">
      <w:pPr>
        <w:tabs>
          <w:tab w:val="left" w:pos="567"/>
          <w:tab w:val="left" w:pos="993"/>
        </w:tabs>
        <w:ind w:firstLine="420" w:firstLineChars="200"/>
        <w:jc w:val="left"/>
        <w:rPr>
          <w:rFonts w:asciiTheme="minorEastAsia" w:hAnsiTheme="minorEastAsia" w:eastAsiaTheme="minorEastAsia"/>
          <w:color w:val="auto"/>
          <w:szCs w:val="21"/>
          <w:highlight w:val="none"/>
        </w:rPr>
      </w:pPr>
    </w:p>
    <w:p w14:paraId="627C0689">
      <w:pPr>
        <w:tabs>
          <w:tab w:val="left" w:pos="567"/>
          <w:tab w:val="left" w:pos="993"/>
        </w:tabs>
        <w:spacing w:line="480" w:lineRule="exac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Cs w:val="21"/>
          <w:highlight w:val="none"/>
        </w:rPr>
        <w:t>2.中小企业声明函</w:t>
      </w:r>
    </w:p>
    <w:p w14:paraId="06FF661B">
      <w:pPr>
        <w:tabs>
          <w:tab w:val="left" w:pos="567"/>
          <w:tab w:val="left" w:pos="993"/>
        </w:tabs>
        <w:spacing w:line="480" w:lineRule="exact"/>
        <w:rPr>
          <w:rFonts w:asciiTheme="minorEastAsia" w:hAnsiTheme="minorEastAsia" w:eastAsiaTheme="minorEastAsia"/>
          <w:b/>
          <w:color w:val="auto"/>
          <w:szCs w:val="21"/>
          <w:highlight w:val="none"/>
        </w:rPr>
      </w:pPr>
    </w:p>
    <w:p w14:paraId="13C5DCEE">
      <w:pPr>
        <w:autoSpaceDE w:val="0"/>
        <w:autoSpaceDN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中小企业声明函</w:t>
      </w:r>
      <w:r>
        <w:rPr>
          <w:rFonts w:hint="eastAsia" w:asciiTheme="minorEastAsia" w:hAnsiTheme="minorEastAsia" w:eastAsiaTheme="minorEastAsia"/>
          <w:b/>
          <w:color w:val="auto"/>
          <w:sz w:val="28"/>
          <w:szCs w:val="28"/>
          <w:highlight w:val="none"/>
          <w:lang w:val="zh-CN"/>
        </w:rPr>
        <w:t>（服务）</w:t>
      </w:r>
    </w:p>
    <w:p w14:paraId="151B65CB">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本公司（联合体）郑重声明，根据《政府采购促进中小企业发展管理办法》（财库﹝2020﹞46 号）的规定，本公司（联合体）参加（</w:t>
      </w:r>
      <w:r>
        <w:rPr>
          <w:rFonts w:hint="eastAsia" w:asciiTheme="minorEastAsia" w:hAnsiTheme="minorEastAsia" w:eastAsiaTheme="minorEastAsia"/>
          <w:color w:val="auto"/>
          <w:spacing w:val="6"/>
          <w:szCs w:val="21"/>
          <w:highlight w:val="none"/>
          <w:u w:val="single"/>
          <w:lang w:val="zh-CN"/>
        </w:rPr>
        <w:t>单位名称</w:t>
      </w:r>
      <w:r>
        <w:rPr>
          <w:rFonts w:hint="eastAsia" w:asciiTheme="minorEastAsia" w:hAnsiTheme="minorEastAsia" w:eastAsiaTheme="minorEastAsia"/>
          <w:color w:val="auto"/>
          <w:spacing w:val="6"/>
          <w:szCs w:val="21"/>
          <w:highlight w:val="none"/>
          <w:lang w:val="zh-CN"/>
        </w:rPr>
        <w:t>）的（</w:t>
      </w:r>
      <w:r>
        <w:rPr>
          <w:rFonts w:hint="eastAsia" w:asciiTheme="minorEastAsia" w:hAnsiTheme="minorEastAsia" w:eastAsiaTheme="minorEastAsia"/>
          <w:color w:val="auto"/>
          <w:spacing w:val="6"/>
          <w:szCs w:val="21"/>
          <w:highlight w:val="none"/>
          <w:u w:val="single"/>
          <w:lang w:val="zh-CN"/>
        </w:rPr>
        <w:t>项目名称</w:t>
      </w:r>
      <w:r>
        <w:rPr>
          <w:rFonts w:hint="eastAsia" w:asciiTheme="minorEastAsia" w:hAnsiTheme="minorEastAsia" w:eastAsiaTheme="minorEastAsia"/>
          <w:color w:val="auto"/>
          <w:spacing w:val="6"/>
          <w:szCs w:val="21"/>
          <w:highlight w:val="none"/>
          <w:lang w:val="zh-CN"/>
        </w:rPr>
        <w:t>）采购活动，服务全部由符合政策要求的中小企业承接。相关企业（含联合体中的中小企业、签订分包意向协议的中小企业）的具体情况如下：</w:t>
      </w:r>
    </w:p>
    <w:p w14:paraId="1986C30C">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1. （</w:t>
      </w:r>
      <w:r>
        <w:rPr>
          <w:rFonts w:hint="eastAsia" w:asciiTheme="minorEastAsia" w:hAnsiTheme="minorEastAsia" w:eastAsiaTheme="minorEastAsia"/>
          <w:color w:val="auto"/>
          <w:spacing w:val="6"/>
          <w:szCs w:val="21"/>
          <w:highlight w:val="none"/>
          <w:u w:val="single"/>
          <w:lang w:val="zh-CN"/>
        </w:rPr>
        <w:t>标的名称</w:t>
      </w:r>
      <w:r>
        <w:rPr>
          <w:rFonts w:hint="eastAsia" w:asciiTheme="minorEastAsia" w:hAnsiTheme="minorEastAsia" w:eastAsiaTheme="minorEastAsia"/>
          <w:color w:val="auto"/>
          <w:spacing w:val="6"/>
          <w:szCs w:val="21"/>
          <w:highlight w:val="none"/>
          <w:lang w:val="zh-CN"/>
        </w:rPr>
        <w:t>），属于（</w:t>
      </w:r>
      <w:r>
        <w:rPr>
          <w:rFonts w:hint="eastAsia" w:asciiTheme="minorEastAsia" w:hAnsiTheme="minorEastAsia" w:eastAsiaTheme="minorEastAsia"/>
          <w:color w:val="auto"/>
          <w:spacing w:val="6"/>
          <w:szCs w:val="21"/>
          <w:highlight w:val="none"/>
          <w:u w:val="single"/>
          <w:lang w:val="zh-CN"/>
        </w:rPr>
        <w:t>采购文件中明确的所属行业</w:t>
      </w:r>
      <w:r>
        <w:rPr>
          <w:rFonts w:hint="eastAsia" w:asciiTheme="minorEastAsia" w:hAnsiTheme="minorEastAsia" w:eastAsiaTheme="minorEastAsia"/>
          <w:color w:val="auto"/>
          <w:spacing w:val="6"/>
          <w:szCs w:val="21"/>
          <w:highlight w:val="none"/>
          <w:lang w:val="zh-CN"/>
        </w:rPr>
        <w:t>）；承接企业为（</w:t>
      </w:r>
      <w:r>
        <w:rPr>
          <w:rFonts w:hint="eastAsia" w:asciiTheme="minorEastAsia" w:hAnsiTheme="minorEastAsia" w:eastAsiaTheme="minorEastAsia"/>
          <w:color w:val="auto"/>
          <w:spacing w:val="6"/>
          <w:szCs w:val="21"/>
          <w:highlight w:val="none"/>
          <w:u w:val="single"/>
          <w:lang w:val="zh-CN"/>
        </w:rPr>
        <w:t>企业名称</w:t>
      </w:r>
      <w:r>
        <w:rPr>
          <w:rFonts w:hint="eastAsia" w:asciiTheme="minorEastAsia" w:hAnsiTheme="minorEastAsia" w:eastAsiaTheme="minorEastAsia"/>
          <w:color w:val="auto"/>
          <w:spacing w:val="6"/>
          <w:szCs w:val="21"/>
          <w:highlight w:val="none"/>
          <w:lang w:val="zh-CN"/>
        </w:rPr>
        <w:t>），从业人员</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lang w:val="zh-CN"/>
        </w:rPr>
        <w:t>人，营业收入为</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lang w:val="zh-CN"/>
        </w:rPr>
        <w:t>万元，资产总额为</w:t>
      </w:r>
      <w:r>
        <w:rPr>
          <w:rFonts w:hint="eastAsia" w:asciiTheme="minorEastAsia" w:hAnsiTheme="minorEastAsia" w:eastAsiaTheme="minorEastAsia"/>
          <w:color w:val="auto"/>
          <w:spacing w:val="6"/>
          <w:szCs w:val="21"/>
          <w:highlight w:val="none"/>
          <w:u w:val="single"/>
        </w:rPr>
        <w:t xml:space="preserve">    </w:t>
      </w:r>
      <w:r>
        <w:rPr>
          <w:rFonts w:hint="eastAsia" w:asciiTheme="minorEastAsia" w:hAnsiTheme="minorEastAsia" w:eastAsiaTheme="minorEastAsia"/>
          <w:color w:val="auto"/>
          <w:spacing w:val="6"/>
          <w:szCs w:val="21"/>
          <w:highlight w:val="none"/>
          <w:lang w:val="zh-CN"/>
        </w:rPr>
        <w:t>万元，属于（中型企业、小型企业、微型企业）；</w:t>
      </w:r>
    </w:p>
    <w:p w14:paraId="043802AE">
      <w:pPr>
        <w:spacing w:line="480" w:lineRule="exact"/>
        <w:ind w:firstLine="444" w:firstLineChars="200"/>
        <w:rPr>
          <w:rFonts w:asciiTheme="minorEastAsia" w:hAnsiTheme="minorEastAsia" w:eastAsiaTheme="minorEastAsia"/>
          <w:color w:val="auto"/>
          <w:spacing w:val="6"/>
          <w:szCs w:val="21"/>
          <w:highlight w:val="none"/>
          <w:lang w:val="zh-CN"/>
        </w:rPr>
      </w:pPr>
    </w:p>
    <w:p w14:paraId="2DA2621F">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w:t>
      </w:r>
    </w:p>
    <w:p w14:paraId="38260F6E">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以上企业，不属于大企业的分支机构，不存在控股股东为大企业的情形，也不存在与大企业的负责人为同一人的情形。</w:t>
      </w:r>
    </w:p>
    <w:p w14:paraId="3EE1CF04">
      <w:pPr>
        <w:spacing w:line="480" w:lineRule="exact"/>
        <w:ind w:firstLine="444" w:firstLineChars="200"/>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本企业对上述声明内容的真实性负责。如有虚假，将依法承担相应责任。</w:t>
      </w:r>
    </w:p>
    <w:p w14:paraId="51FAA96A">
      <w:pPr>
        <w:spacing w:line="480" w:lineRule="exact"/>
        <w:ind w:firstLine="444" w:firstLineChars="200"/>
        <w:rPr>
          <w:rFonts w:asciiTheme="minorEastAsia" w:hAnsiTheme="minorEastAsia" w:eastAsiaTheme="minorEastAsia"/>
          <w:color w:val="auto"/>
          <w:spacing w:val="6"/>
          <w:szCs w:val="21"/>
          <w:highlight w:val="none"/>
          <w:lang w:val="zh-CN"/>
        </w:rPr>
      </w:pPr>
    </w:p>
    <w:p w14:paraId="2E80A7FE">
      <w:pPr>
        <w:spacing w:line="480" w:lineRule="exact"/>
        <w:ind w:firstLine="444" w:firstLineChars="200"/>
        <w:rPr>
          <w:rFonts w:asciiTheme="minorEastAsia" w:hAnsiTheme="minorEastAsia" w:eastAsiaTheme="minorEastAsia"/>
          <w:color w:val="auto"/>
          <w:spacing w:val="6"/>
          <w:szCs w:val="21"/>
          <w:highlight w:val="none"/>
          <w:lang w:val="zh-CN"/>
        </w:rPr>
      </w:pPr>
    </w:p>
    <w:p w14:paraId="1B850C71">
      <w:pPr>
        <w:spacing w:line="480" w:lineRule="exact"/>
        <w:ind w:firstLine="444" w:firstLineChars="200"/>
        <w:rPr>
          <w:rFonts w:asciiTheme="minorEastAsia" w:hAnsiTheme="minorEastAsia" w:eastAsiaTheme="minorEastAsia"/>
          <w:color w:val="auto"/>
          <w:spacing w:val="6"/>
          <w:szCs w:val="21"/>
          <w:highlight w:val="none"/>
          <w:lang w:val="zh-CN"/>
        </w:rPr>
      </w:pPr>
    </w:p>
    <w:p w14:paraId="49D982F9">
      <w:pPr>
        <w:spacing w:line="480" w:lineRule="exact"/>
        <w:ind w:firstLine="6660" w:firstLineChars="3000"/>
        <w:jc w:val="left"/>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企业名称（盖章）：</w:t>
      </w:r>
    </w:p>
    <w:p w14:paraId="46C66EAC">
      <w:pPr>
        <w:spacing w:line="480" w:lineRule="exact"/>
        <w:ind w:firstLine="6660" w:firstLineChars="3000"/>
        <w:jc w:val="left"/>
        <w:rPr>
          <w:rFonts w:asciiTheme="minorEastAsia" w:hAnsiTheme="minorEastAsia" w:eastAsiaTheme="minorEastAsia"/>
          <w:color w:val="auto"/>
          <w:spacing w:val="6"/>
          <w:szCs w:val="21"/>
          <w:highlight w:val="none"/>
          <w:lang w:val="zh-CN"/>
        </w:rPr>
      </w:pPr>
      <w:r>
        <w:rPr>
          <w:rFonts w:hint="eastAsia" w:asciiTheme="minorEastAsia" w:hAnsiTheme="minorEastAsia" w:eastAsiaTheme="minorEastAsia"/>
          <w:color w:val="auto"/>
          <w:spacing w:val="6"/>
          <w:szCs w:val="21"/>
          <w:highlight w:val="none"/>
          <w:lang w:val="zh-CN"/>
        </w:rPr>
        <w:t>日期：</w:t>
      </w:r>
    </w:p>
    <w:p w14:paraId="49C03A7F">
      <w:pPr>
        <w:spacing w:line="480" w:lineRule="exact"/>
        <w:ind w:firstLine="444" w:firstLineChars="200"/>
        <w:rPr>
          <w:rFonts w:asciiTheme="minorEastAsia" w:hAnsiTheme="minorEastAsia" w:eastAsiaTheme="minorEastAsia"/>
          <w:color w:val="auto"/>
          <w:spacing w:val="6"/>
          <w:szCs w:val="21"/>
          <w:highlight w:val="none"/>
        </w:rPr>
      </w:pPr>
    </w:p>
    <w:p w14:paraId="4AFF2A9C">
      <w:pPr>
        <w:autoSpaceDE w:val="0"/>
        <w:autoSpaceDN w:val="0"/>
        <w:spacing w:line="360" w:lineRule="auto"/>
        <w:rPr>
          <w:rFonts w:asciiTheme="minorEastAsia" w:hAnsiTheme="minorEastAsia" w:eastAsiaTheme="minorEastAsia"/>
          <w:b/>
          <w:color w:val="auto"/>
          <w:sz w:val="28"/>
          <w:szCs w:val="28"/>
          <w:highlight w:val="none"/>
        </w:rPr>
      </w:pPr>
    </w:p>
    <w:p w14:paraId="27AF31B3">
      <w:pPr>
        <w:spacing w:line="588" w:lineRule="exact"/>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注：</w:t>
      </w:r>
    </w:p>
    <w:p w14:paraId="1E10428F">
      <w:pPr>
        <w:spacing w:line="588" w:lineRule="exact"/>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1、从业人员、营业收入、资产总额填报上一年度数据，无上一年度数据的新成立企业可不填报。</w:t>
      </w:r>
    </w:p>
    <w:p w14:paraId="247E61FD">
      <w:pPr>
        <w:spacing w:line="588" w:lineRule="exact"/>
        <w:jc w:val="left"/>
        <w:rPr>
          <w:rFonts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2、中标、成交供应商享受中小企业扶持政策的，中标、成交供应商的《中小企业声明函》随中标、成交结果公开。</w:t>
      </w:r>
      <w:r>
        <w:rPr>
          <w:rFonts w:asciiTheme="minorEastAsia" w:hAnsiTheme="minorEastAsia" w:eastAsiaTheme="minorEastAsia"/>
          <w:b/>
          <w:color w:val="auto"/>
          <w:szCs w:val="21"/>
          <w:highlight w:val="none"/>
        </w:rPr>
        <w:br w:type="page"/>
      </w:r>
    </w:p>
    <w:p w14:paraId="18F688FE">
      <w:pPr>
        <w:spacing w:line="588" w:lineRule="exact"/>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3.残疾人福利性单位声明函</w:t>
      </w:r>
    </w:p>
    <w:p w14:paraId="5A2A70D5">
      <w:pPr>
        <w:spacing w:line="480" w:lineRule="exact"/>
        <w:ind w:firstLine="586" w:firstLineChars="200"/>
        <w:jc w:val="center"/>
        <w:rPr>
          <w:rFonts w:asciiTheme="minorEastAsia" w:hAnsiTheme="minorEastAsia" w:eastAsiaTheme="minorEastAsia"/>
          <w:b/>
          <w:color w:val="auto"/>
          <w:spacing w:val="6"/>
          <w:sz w:val="28"/>
          <w:szCs w:val="28"/>
          <w:highlight w:val="none"/>
        </w:rPr>
      </w:pPr>
      <w:bookmarkStart w:id="124" w:name="OLE_LINK14"/>
      <w:bookmarkStart w:id="125" w:name="OLE_LINK13"/>
      <w:r>
        <w:rPr>
          <w:rFonts w:hint="eastAsia" w:asciiTheme="minorEastAsia" w:hAnsiTheme="minorEastAsia" w:eastAsiaTheme="minorEastAsia"/>
          <w:b/>
          <w:color w:val="auto"/>
          <w:spacing w:val="6"/>
          <w:sz w:val="28"/>
          <w:szCs w:val="28"/>
          <w:highlight w:val="none"/>
        </w:rPr>
        <w:t>残疾人福利性单位声明函</w:t>
      </w:r>
    </w:p>
    <w:bookmarkEnd w:id="124"/>
    <w:bookmarkEnd w:id="125"/>
    <w:p w14:paraId="4C8602D2">
      <w:pPr>
        <w:spacing w:line="588" w:lineRule="exact"/>
        <w:rPr>
          <w:rFonts w:asciiTheme="minorEastAsia" w:hAnsiTheme="minorEastAsia" w:eastAsiaTheme="minorEastAsia"/>
          <w:b/>
          <w:color w:val="auto"/>
          <w:spacing w:val="6"/>
          <w:sz w:val="30"/>
          <w:szCs w:val="30"/>
          <w:highlight w:val="none"/>
        </w:rPr>
      </w:pPr>
    </w:p>
    <w:p w14:paraId="22DFECB3">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663537">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本单位对上述声明的真实性负责。如有虚假，将依法承担相应责任。</w:t>
      </w:r>
    </w:p>
    <w:p w14:paraId="3610945A">
      <w:pPr>
        <w:spacing w:line="480" w:lineRule="exact"/>
        <w:ind w:firstLine="444" w:firstLineChars="200"/>
        <w:rPr>
          <w:rFonts w:asciiTheme="minorEastAsia" w:hAnsiTheme="minorEastAsia" w:eastAsiaTheme="minorEastAsia"/>
          <w:color w:val="auto"/>
          <w:spacing w:val="6"/>
          <w:szCs w:val="21"/>
          <w:highlight w:val="none"/>
        </w:rPr>
      </w:pPr>
    </w:p>
    <w:p w14:paraId="59C071C8">
      <w:pPr>
        <w:spacing w:line="480" w:lineRule="exact"/>
        <w:ind w:firstLine="444" w:firstLineChars="200"/>
        <w:rPr>
          <w:rFonts w:asciiTheme="minorEastAsia" w:hAnsiTheme="minorEastAsia" w:eastAsiaTheme="minorEastAsia"/>
          <w:color w:val="auto"/>
          <w:spacing w:val="6"/>
          <w:szCs w:val="21"/>
          <w:highlight w:val="none"/>
        </w:rPr>
      </w:pPr>
    </w:p>
    <w:p w14:paraId="1B291D16">
      <w:pPr>
        <w:spacing w:line="480" w:lineRule="exact"/>
        <w:ind w:firstLine="444" w:firstLineChars="200"/>
        <w:rPr>
          <w:rFonts w:asciiTheme="minorEastAsia" w:hAnsiTheme="minorEastAsia" w:eastAsiaTheme="minorEastAsia"/>
          <w:color w:val="auto"/>
          <w:spacing w:val="6"/>
          <w:szCs w:val="21"/>
          <w:highlight w:val="none"/>
        </w:rPr>
      </w:pPr>
    </w:p>
    <w:p w14:paraId="4DCF3C30">
      <w:pPr>
        <w:spacing w:line="480" w:lineRule="exact"/>
        <w:ind w:firstLine="444" w:firstLineChars="200"/>
        <w:rPr>
          <w:rFonts w:asciiTheme="minorEastAsia" w:hAnsiTheme="minorEastAsia" w:eastAsiaTheme="minorEastAsia"/>
          <w:color w:val="auto"/>
          <w:spacing w:val="6"/>
          <w:szCs w:val="21"/>
          <w:highlight w:val="none"/>
        </w:rPr>
      </w:pPr>
    </w:p>
    <w:p w14:paraId="3FE3CF18">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投标单位名称（盖章）：</w:t>
      </w:r>
    </w:p>
    <w:p w14:paraId="072101CC">
      <w:pPr>
        <w:spacing w:line="480" w:lineRule="exact"/>
        <w:ind w:firstLine="444" w:firstLineChars="200"/>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日  期：</w:t>
      </w:r>
    </w:p>
    <w:p w14:paraId="70E39F2E">
      <w:pPr>
        <w:autoSpaceDE w:val="0"/>
        <w:autoSpaceDN w:val="0"/>
        <w:spacing w:line="360" w:lineRule="auto"/>
        <w:rPr>
          <w:rFonts w:asciiTheme="minorEastAsia" w:hAnsiTheme="minorEastAsia" w:eastAsiaTheme="minorEastAsia"/>
          <w:b/>
          <w:color w:val="auto"/>
          <w:sz w:val="28"/>
          <w:szCs w:val="28"/>
          <w:highlight w:val="none"/>
        </w:rPr>
      </w:pPr>
    </w:p>
    <w:p w14:paraId="5B2ED931">
      <w:pPr>
        <w:autoSpaceDE w:val="0"/>
        <w:autoSpaceDN w:val="0"/>
        <w:spacing w:line="360" w:lineRule="auto"/>
        <w:rPr>
          <w:rFonts w:asciiTheme="minorEastAsia" w:hAnsiTheme="minorEastAsia" w:eastAsiaTheme="minorEastAsia"/>
          <w:b/>
          <w:color w:val="auto"/>
          <w:sz w:val="28"/>
          <w:szCs w:val="28"/>
          <w:highlight w:val="none"/>
        </w:rPr>
      </w:pPr>
    </w:p>
    <w:p w14:paraId="2969F602">
      <w:pPr>
        <w:autoSpaceDE w:val="0"/>
        <w:autoSpaceDN w:val="0"/>
        <w:spacing w:line="360" w:lineRule="auto"/>
        <w:rPr>
          <w:rFonts w:asciiTheme="minorEastAsia" w:hAnsiTheme="minorEastAsia" w:eastAsiaTheme="minorEastAsia"/>
          <w:b/>
          <w:color w:val="auto"/>
          <w:sz w:val="28"/>
          <w:szCs w:val="28"/>
          <w:highlight w:val="none"/>
        </w:rPr>
      </w:pPr>
    </w:p>
    <w:p w14:paraId="1A8E8FA1">
      <w:pPr>
        <w:autoSpaceDE w:val="0"/>
        <w:autoSpaceDN w:val="0"/>
        <w:spacing w:line="360" w:lineRule="auto"/>
        <w:rPr>
          <w:rFonts w:asciiTheme="minorEastAsia" w:hAnsiTheme="minorEastAsia" w:eastAsiaTheme="minorEastAsia"/>
          <w:b/>
          <w:color w:val="auto"/>
          <w:sz w:val="28"/>
          <w:szCs w:val="28"/>
          <w:highlight w:val="none"/>
        </w:rPr>
      </w:pPr>
    </w:p>
    <w:p w14:paraId="0E76A217">
      <w:pPr>
        <w:rPr>
          <w:rFonts w:asciiTheme="minorEastAsia" w:hAnsiTheme="minorEastAsia" w:eastAsiaTheme="minorEastAsia"/>
          <w:color w:val="auto"/>
          <w:spacing w:val="6"/>
          <w:szCs w:val="21"/>
          <w:highlight w:val="none"/>
        </w:rPr>
      </w:pPr>
      <w:r>
        <w:rPr>
          <w:rFonts w:hint="eastAsia" w:asciiTheme="minorEastAsia" w:hAnsiTheme="minorEastAsia" w:eastAsiaTheme="minorEastAsia"/>
          <w:color w:val="auto"/>
          <w:spacing w:val="6"/>
          <w:szCs w:val="21"/>
          <w:highlight w:val="none"/>
        </w:rPr>
        <w:t>备注：中标、成交供应商承诺为残疾人福利性单位的，供应商的《残疾人福利性单位声明函》将随中标、成交结果同时公告，接受社会监督。</w:t>
      </w:r>
    </w:p>
    <w:p w14:paraId="2447DBC8">
      <w:pPr>
        <w:autoSpaceDE w:val="0"/>
        <w:autoSpaceDN w:val="0"/>
        <w:spacing w:line="360" w:lineRule="auto"/>
        <w:rPr>
          <w:rFonts w:asciiTheme="minorEastAsia" w:hAnsiTheme="minorEastAsia" w:eastAsiaTheme="minorEastAsia"/>
          <w:b/>
          <w:color w:val="auto"/>
          <w:sz w:val="28"/>
          <w:szCs w:val="28"/>
          <w:highlight w:val="none"/>
        </w:rPr>
      </w:pPr>
    </w:p>
    <w:p w14:paraId="00BF8DCE">
      <w:pPr>
        <w:autoSpaceDE w:val="0"/>
        <w:autoSpaceDN w:val="0"/>
        <w:spacing w:line="360" w:lineRule="auto"/>
        <w:rPr>
          <w:rFonts w:asciiTheme="minorEastAsia" w:hAnsiTheme="minorEastAsia" w:eastAsiaTheme="minorEastAsia"/>
          <w:b/>
          <w:color w:val="auto"/>
          <w:sz w:val="28"/>
          <w:szCs w:val="28"/>
          <w:highlight w:val="none"/>
        </w:rPr>
      </w:pPr>
    </w:p>
    <w:p w14:paraId="52C3AA13">
      <w:pPr>
        <w:autoSpaceDE w:val="0"/>
        <w:autoSpaceDN w:val="0"/>
        <w:spacing w:line="360" w:lineRule="auto"/>
        <w:rPr>
          <w:rFonts w:asciiTheme="minorEastAsia" w:hAnsiTheme="minorEastAsia" w:eastAsiaTheme="minorEastAsia"/>
          <w:b/>
          <w:color w:val="auto"/>
          <w:sz w:val="28"/>
          <w:szCs w:val="28"/>
          <w:highlight w:val="none"/>
        </w:rPr>
      </w:pPr>
    </w:p>
    <w:p w14:paraId="22581FE6">
      <w:pPr>
        <w:autoSpaceDE w:val="0"/>
        <w:autoSpaceDN w:val="0"/>
        <w:spacing w:line="360" w:lineRule="auto"/>
        <w:rPr>
          <w:rFonts w:asciiTheme="minorEastAsia" w:hAnsiTheme="minorEastAsia" w:eastAsiaTheme="minorEastAsia"/>
          <w:b/>
          <w:color w:val="auto"/>
          <w:sz w:val="28"/>
          <w:szCs w:val="28"/>
          <w:highlight w:val="none"/>
        </w:rPr>
      </w:pPr>
    </w:p>
    <w:p w14:paraId="0FBC0DD5">
      <w:pPr>
        <w:autoSpaceDE w:val="0"/>
        <w:autoSpaceDN w:val="0"/>
        <w:spacing w:line="360" w:lineRule="auto"/>
        <w:rPr>
          <w:rFonts w:asciiTheme="minorEastAsia" w:hAnsiTheme="minorEastAsia" w:eastAsiaTheme="minorEastAsia"/>
          <w:b/>
          <w:color w:val="auto"/>
          <w:sz w:val="28"/>
          <w:szCs w:val="28"/>
          <w:highlight w:val="none"/>
        </w:rPr>
      </w:pPr>
    </w:p>
    <w:p w14:paraId="03F21A30">
      <w:pPr>
        <w:tabs>
          <w:tab w:val="left" w:pos="567"/>
          <w:tab w:val="left" w:pos="993"/>
        </w:tabs>
        <w:spacing w:line="480" w:lineRule="exac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r>
        <w:rPr>
          <w:rFonts w:hint="eastAsia" w:asciiTheme="minorEastAsia" w:hAnsiTheme="minorEastAsia" w:eastAsiaTheme="minorEastAsia"/>
          <w:b/>
          <w:color w:val="auto"/>
          <w:szCs w:val="21"/>
          <w:highlight w:val="none"/>
        </w:rPr>
        <w:t>4.政府采购履约担保函（适用于履约保证金以保函形式提交）</w:t>
      </w:r>
    </w:p>
    <w:p w14:paraId="469E9C82">
      <w:pPr>
        <w:jc w:val="center"/>
        <w:rPr>
          <w:rFonts w:asciiTheme="minorEastAsia" w:hAnsiTheme="minorEastAsia" w:eastAsiaTheme="minorEastAsia"/>
          <w:b/>
          <w:color w:val="auto"/>
          <w:sz w:val="32"/>
          <w:szCs w:val="32"/>
          <w:highlight w:val="none"/>
        </w:rPr>
      </w:pPr>
    </w:p>
    <w:p w14:paraId="09F0D10D">
      <w:pPr>
        <w:jc w:val="center"/>
        <w:rPr>
          <w:rFonts w:asciiTheme="minorEastAsia" w:hAnsiTheme="minorEastAsia" w:eastAsiaTheme="minorEastAsia"/>
          <w:color w:val="auto"/>
          <w:sz w:val="30"/>
          <w:szCs w:val="30"/>
          <w:highlight w:val="none"/>
        </w:rPr>
      </w:pPr>
      <w:r>
        <w:rPr>
          <w:rFonts w:hint="eastAsia" w:asciiTheme="minorEastAsia" w:hAnsiTheme="minorEastAsia" w:eastAsiaTheme="minorEastAsia"/>
          <w:b/>
          <w:color w:val="auto"/>
          <w:sz w:val="32"/>
          <w:szCs w:val="32"/>
          <w:highlight w:val="none"/>
        </w:rPr>
        <w:t>政府采购履约担保函</w:t>
      </w:r>
    </w:p>
    <w:p w14:paraId="7D6EC746">
      <w:pPr>
        <w:spacing w:after="312" w:afterLines="100"/>
        <w:jc w:val="center"/>
        <w:rPr>
          <w:rFonts w:asciiTheme="minorEastAsia" w:hAnsiTheme="minorEastAsia" w:eastAsiaTheme="minorEastAsia"/>
          <w:color w:val="auto"/>
          <w:highlight w:val="none"/>
        </w:rPr>
      </w:pPr>
      <w:r>
        <w:rPr>
          <w:rFonts w:hint="eastAsia" w:asciiTheme="minorEastAsia" w:hAnsiTheme="minorEastAsia" w:eastAsiaTheme="minorEastAsia"/>
          <w:b/>
          <w:color w:val="auto"/>
          <w:szCs w:val="21"/>
          <w:highlight w:val="none"/>
        </w:rPr>
        <w:t>（适用于履约保证金以保函形式提交）</w:t>
      </w:r>
    </w:p>
    <w:p w14:paraId="19D998D8">
      <w:pPr>
        <w:spacing w:before="156" w:beforeLines="50" w:after="156" w:afterLines="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（采购人）：</w:t>
      </w:r>
    </w:p>
    <w:p w14:paraId="1FBB791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鉴于你方与</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（以下简称供应商）于</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日签定编号为   的《</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政府采购合同》（以下简称主合同），且依据该合同的约定，供应商应在</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年</w:t>
      </w:r>
    </w:p>
    <w:p w14:paraId="093E5275">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日前向你方交纳履约保证金，且可以履约担保函的形式交纳履约保证金。应供应商的申请，我方以保证的方式向你方提供如下履约保证金担保：</w:t>
      </w:r>
    </w:p>
    <w:p w14:paraId="5A427DE9">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一、保证责任的情形及保证金额</w:t>
      </w:r>
    </w:p>
    <w:p w14:paraId="7FC8323A">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（一）在供应商出现下列情形之一时，我方承担保证责任：</w:t>
      </w:r>
    </w:p>
    <w:p w14:paraId="64C7EE5D">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1．将中标项目转让给他人，或者在投标文件中未说明，且未经采购招标机构人同意，将中标项目分包给他人的；</w:t>
      </w:r>
    </w:p>
    <w:p w14:paraId="4B30BCAE">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2．主合同约定的应当缴纳履约保证金的情形: </w:t>
      </w:r>
    </w:p>
    <w:p w14:paraId="4224F8A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（1）未按主合同约定的质量、数量和期限供应货物/提供服务/完成工程的；</w:t>
      </w:r>
    </w:p>
    <w:p w14:paraId="62F676E9">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6496579C">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（二）我方的保证范围是主合同约定的合同价款总额的</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%数额为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元（大写</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），币种为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。（即主合同履约保证金金额）</w:t>
      </w:r>
    </w:p>
    <w:p w14:paraId="33878838">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二、保证的方式及保证期间</w:t>
      </w:r>
    </w:p>
    <w:p w14:paraId="0BE4BC7C">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我方保证的方式为：连带责任保证。</w:t>
      </w:r>
    </w:p>
    <w:p w14:paraId="435CBC3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我方保证的期间为：自本合同生效之日起至供应商按照主合同约定的供货/完工期限届满后</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日内。</w:t>
      </w:r>
    </w:p>
    <w:p w14:paraId="322E0B1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如果供应商未按主合同约定向贵方供应货物/提供服务/完成工程的，由我方在保证金额内向你方支付上述款项。</w:t>
      </w:r>
    </w:p>
    <w:p w14:paraId="3F45DD5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三、承担保证责任的程序</w:t>
      </w:r>
    </w:p>
    <w:p w14:paraId="5CCF4A7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1．你方要求我方承担保证责任的，应在本保函保证期间内向我方发出书面索赔通知。索赔通知应写明要求索赔的金额，支付款项应到达的账号。并附有证明供应商违约事实的证明材料。</w:t>
      </w:r>
    </w:p>
    <w:p w14:paraId="308D5AB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如果你方与供应商因货物质量问题产生争议，你方还需同时提供</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部门出具的质量检测报告，或经诉讼（仲裁）程序裁决后的裁决书、调解书，本保证人即按照检测结果或裁决书、调解书决定是否承担保证责任。</w:t>
      </w:r>
    </w:p>
    <w:p w14:paraId="60BF550E">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 我方收到你方的书面索赔通知及相应证明材料，在</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工作日内进行核定后按照本保函的承诺承担保证责任。</w:t>
      </w:r>
    </w:p>
    <w:p w14:paraId="4E18A944">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四、保证责任的终止</w:t>
      </w:r>
    </w:p>
    <w:p w14:paraId="1FFB4C0D">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51EC4B1">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2．我方按照本保函向你方履行了保证责任后，自我方向你方支付款项（支付款项从我方账户划出）之日起，保证责任即终止。</w:t>
      </w:r>
    </w:p>
    <w:p w14:paraId="664F2FE1">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3．按照法律法规的规定或出现应终止我方保证责任的其它情形的，我方在本保函项下的保证责任亦终止。</w:t>
      </w:r>
    </w:p>
    <w:p w14:paraId="3E4FBE55">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A13E9C8">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五、免责条款</w:t>
      </w:r>
    </w:p>
    <w:p w14:paraId="5B5E99C4">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1．因你方违反主合同约定致使供应商不能履行义务的，我方不承担保证责任。</w:t>
      </w:r>
    </w:p>
    <w:p w14:paraId="54B2D465">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2．依照法律法规的规定或你方与供应商的另行约定，全部或者部分免除供应商应缴纳的保证金义务的，我方亦免除相应的保证责任。</w:t>
      </w:r>
    </w:p>
    <w:p w14:paraId="58A26940">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3．因不可抗力造成供应商不能履行供货义务的，我方不承担保证责任。</w:t>
      </w:r>
    </w:p>
    <w:p w14:paraId="04F9E6BE">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六、争议的解决</w:t>
      </w:r>
    </w:p>
    <w:p w14:paraId="53EB1F06">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因本保函发生的纠纷，由你我双方协商解决，协商不成的，通过诉讼程序解决，诉讼管辖地法院为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法院。</w:t>
      </w:r>
    </w:p>
    <w:p w14:paraId="69FA041D">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七、保函的生效</w:t>
      </w:r>
    </w:p>
    <w:p w14:paraId="0206A93F">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本保函自我方加盖公章之日起生效。</w:t>
      </w:r>
    </w:p>
    <w:p w14:paraId="744D434A">
      <w:pPr>
        <w:spacing w:before="624" w:beforeLines="200"/>
        <w:ind w:right="1558"/>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保证人：（公章）</w:t>
      </w:r>
    </w:p>
    <w:p w14:paraId="07BE3F46">
      <w:pPr>
        <w:spacing w:before="156" w:beforeLines="50"/>
        <w:ind w:right="1418"/>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年     月      日</w:t>
      </w:r>
    </w:p>
    <w:p w14:paraId="5A986FA5">
      <w:pPr>
        <w:autoSpaceDE w:val="0"/>
        <w:autoSpaceDN w:val="0"/>
        <w:spacing w:line="360" w:lineRule="auto"/>
        <w:rPr>
          <w:rFonts w:asciiTheme="minorEastAsia" w:hAnsiTheme="minorEastAsia" w:eastAsiaTheme="minorEastAsia"/>
          <w:b/>
          <w:color w:val="auto"/>
          <w:sz w:val="28"/>
          <w:szCs w:val="28"/>
          <w:highlight w:val="none"/>
        </w:rPr>
      </w:pPr>
    </w:p>
    <w:p w14:paraId="069450EC">
      <w:pPr>
        <w:autoSpaceDE w:val="0"/>
        <w:autoSpaceDN w:val="0"/>
        <w:spacing w:line="360" w:lineRule="auto"/>
        <w:rPr>
          <w:rFonts w:asciiTheme="minorEastAsia" w:hAnsiTheme="minorEastAsia" w:eastAsiaTheme="minorEastAsia"/>
          <w:b/>
          <w:color w:val="auto"/>
          <w:sz w:val="28"/>
          <w:szCs w:val="28"/>
          <w:highlight w:val="none"/>
        </w:rPr>
      </w:pPr>
    </w:p>
    <w:p w14:paraId="3ED4747C">
      <w:pPr>
        <w:autoSpaceDE w:val="0"/>
        <w:autoSpaceDN w:val="0"/>
        <w:spacing w:line="360" w:lineRule="auto"/>
        <w:rPr>
          <w:rFonts w:asciiTheme="minorEastAsia" w:hAnsiTheme="minorEastAsia" w:eastAsiaTheme="minorEastAsia"/>
          <w:b/>
          <w:color w:val="auto"/>
          <w:sz w:val="28"/>
          <w:szCs w:val="28"/>
          <w:highlight w:val="none"/>
        </w:rPr>
      </w:pPr>
    </w:p>
    <w:p w14:paraId="0800B51F">
      <w:pPr>
        <w:autoSpaceDE w:val="0"/>
        <w:autoSpaceDN w:val="0"/>
        <w:spacing w:line="360" w:lineRule="auto"/>
        <w:rPr>
          <w:rFonts w:asciiTheme="minorEastAsia" w:hAnsiTheme="minorEastAsia" w:eastAsiaTheme="minorEastAsia"/>
          <w:b/>
          <w:color w:val="auto"/>
          <w:sz w:val="28"/>
          <w:szCs w:val="28"/>
          <w:highlight w:val="none"/>
        </w:rPr>
      </w:pPr>
    </w:p>
    <w:p w14:paraId="3B5C2369">
      <w:pPr>
        <w:autoSpaceDE w:val="0"/>
        <w:autoSpaceDN w:val="0"/>
        <w:spacing w:line="360" w:lineRule="auto"/>
        <w:rPr>
          <w:rFonts w:asciiTheme="minorEastAsia" w:hAnsiTheme="minorEastAsia" w:eastAsiaTheme="minorEastAsia"/>
          <w:b/>
          <w:color w:val="auto"/>
          <w:sz w:val="28"/>
          <w:szCs w:val="28"/>
          <w:highlight w:val="none"/>
        </w:rPr>
      </w:pPr>
    </w:p>
    <w:p w14:paraId="7164CC89">
      <w:pPr>
        <w:autoSpaceDE w:val="0"/>
        <w:autoSpaceDN w:val="0"/>
        <w:spacing w:line="360" w:lineRule="auto"/>
        <w:rPr>
          <w:rFonts w:asciiTheme="minorEastAsia" w:hAnsiTheme="minorEastAsia" w:eastAsiaTheme="minorEastAsia"/>
          <w:b/>
          <w:color w:val="auto"/>
          <w:sz w:val="28"/>
          <w:szCs w:val="28"/>
          <w:highlight w:val="none"/>
        </w:rPr>
      </w:pPr>
    </w:p>
    <w:p w14:paraId="2E4F70DE">
      <w:pPr>
        <w:autoSpaceDE w:val="0"/>
        <w:autoSpaceDN w:val="0"/>
        <w:spacing w:line="360" w:lineRule="auto"/>
        <w:rPr>
          <w:rFonts w:asciiTheme="minorEastAsia" w:hAnsiTheme="minorEastAsia" w:eastAsiaTheme="minorEastAsia"/>
          <w:b/>
          <w:color w:val="auto"/>
          <w:sz w:val="28"/>
          <w:szCs w:val="28"/>
          <w:highlight w:val="none"/>
        </w:rPr>
      </w:pPr>
    </w:p>
    <w:p w14:paraId="5EED0770">
      <w:pPr>
        <w:autoSpaceDE w:val="0"/>
        <w:autoSpaceDN w:val="0"/>
        <w:spacing w:line="360" w:lineRule="auto"/>
        <w:rPr>
          <w:rFonts w:asciiTheme="minorEastAsia" w:hAnsiTheme="minorEastAsia" w:eastAsiaTheme="minorEastAsia"/>
          <w:b/>
          <w:color w:val="auto"/>
          <w:sz w:val="28"/>
          <w:szCs w:val="28"/>
          <w:highlight w:val="none"/>
        </w:rPr>
      </w:pPr>
    </w:p>
    <w:p w14:paraId="280B99DD">
      <w:pPr>
        <w:autoSpaceDE w:val="0"/>
        <w:autoSpaceDN w:val="0"/>
        <w:spacing w:line="360" w:lineRule="auto"/>
        <w:rPr>
          <w:rFonts w:asciiTheme="minorEastAsia" w:hAnsiTheme="minorEastAsia" w:eastAsiaTheme="minorEastAsia"/>
          <w:b/>
          <w:color w:val="auto"/>
          <w:sz w:val="28"/>
          <w:szCs w:val="28"/>
          <w:highlight w:val="none"/>
        </w:rPr>
      </w:pPr>
    </w:p>
    <w:p w14:paraId="645C080D">
      <w:pPr>
        <w:autoSpaceDE w:val="0"/>
        <w:autoSpaceDN w:val="0"/>
        <w:spacing w:line="360" w:lineRule="auto"/>
        <w:rPr>
          <w:rFonts w:asciiTheme="minorEastAsia" w:hAnsiTheme="minorEastAsia" w:eastAsiaTheme="minorEastAsia"/>
          <w:b/>
          <w:color w:val="auto"/>
          <w:sz w:val="28"/>
          <w:szCs w:val="28"/>
          <w:highlight w:val="none"/>
        </w:rPr>
      </w:pPr>
    </w:p>
    <w:p w14:paraId="7FE1E1BC">
      <w:pPr>
        <w:autoSpaceDE w:val="0"/>
        <w:autoSpaceDN w:val="0"/>
        <w:spacing w:line="360" w:lineRule="auto"/>
        <w:rPr>
          <w:rFonts w:asciiTheme="minorEastAsia" w:hAnsiTheme="minorEastAsia" w:eastAsiaTheme="minorEastAsia"/>
          <w:b/>
          <w:color w:val="auto"/>
          <w:sz w:val="28"/>
          <w:szCs w:val="28"/>
          <w:highlight w:val="none"/>
        </w:rPr>
      </w:pPr>
    </w:p>
    <w:p w14:paraId="199EC570">
      <w:pPr>
        <w:autoSpaceDE w:val="0"/>
        <w:autoSpaceDN w:val="0"/>
        <w:spacing w:line="360" w:lineRule="auto"/>
        <w:rPr>
          <w:rFonts w:asciiTheme="minorEastAsia" w:hAnsiTheme="minorEastAsia" w:eastAsiaTheme="minorEastAsia"/>
          <w:b/>
          <w:color w:val="auto"/>
          <w:sz w:val="28"/>
          <w:szCs w:val="28"/>
          <w:highlight w:val="none"/>
        </w:rPr>
      </w:pPr>
    </w:p>
    <w:p w14:paraId="38BF0848">
      <w:pPr>
        <w:autoSpaceDE w:val="0"/>
        <w:autoSpaceDN w:val="0"/>
        <w:spacing w:line="360" w:lineRule="auto"/>
        <w:rPr>
          <w:rFonts w:asciiTheme="minorEastAsia" w:hAnsiTheme="minorEastAsia" w:eastAsiaTheme="minorEastAsia"/>
          <w:b/>
          <w:color w:val="auto"/>
          <w:sz w:val="28"/>
          <w:szCs w:val="28"/>
          <w:highlight w:val="none"/>
        </w:rPr>
      </w:pPr>
    </w:p>
    <w:p w14:paraId="3764EC1A">
      <w:pP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p>
    <w:p w14:paraId="11995226">
      <w:pPr>
        <w:tabs>
          <w:tab w:val="left" w:pos="567"/>
          <w:tab w:val="left" w:pos="993"/>
        </w:tabs>
        <w:spacing w:line="48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九、质疑函格式</w:t>
      </w:r>
    </w:p>
    <w:p w14:paraId="24185705">
      <w:pPr>
        <w:tabs>
          <w:tab w:val="left" w:pos="567"/>
          <w:tab w:val="left" w:pos="993"/>
        </w:tabs>
        <w:spacing w:line="48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说明：本部分格式文件为供应商提交质疑函时使用，不属于投标文件格式的组成部分。</w:t>
      </w:r>
    </w:p>
    <w:p w14:paraId="4E39DD03">
      <w:pPr>
        <w:ind w:right="840"/>
        <w:jc w:val="left"/>
        <w:rPr>
          <w:rFonts w:asciiTheme="minorEastAsia" w:hAnsiTheme="minorEastAsia" w:eastAsiaTheme="minorEastAsia"/>
          <w:color w:val="auto"/>
          <w:sz w:val="24"/>
          <w:highlight w:val="none"/>
        </w:rPr>
      </w:pPr>
    </w:p>
    <w:p w14:paraId="69DB33AF">
      <w:pPr>
        <w:jc w:val="center"/>
        <w:rPr>
          <w:rFonts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质疑函</w:t>
      </w:r>
    </w:p>
    <w:p w14:paraId="1BAE8F20">
      <w:pPr>
        <w:adjustRightInd w:val="0"/>
        <w:snapToGrid w:val="0"/>
        <w:spacing w:before="312" w:beforeLines="100"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一、质疑供应商基本信息</w:t>
      </w:r>
    </w:p>
    <w:p w14:paraId="70813DD9">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质疑供应商：</w:t>
      </w:r>
    </w:p>
    <w:p w14:paraId="22A5C847">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是否参与所质疑项目的采购活动： □是    □否</w:t>
      </w:r>
    </w:p>
    <w:p w14:paraId="223CE854">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地址：邮编：</w:t>
      </w:r>
    </w:p>
    <w:p w14:paraId="2DB006ED">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联系人：联系电话：</w:t>
      </w:r>
    </w:p>
    <w:p w14:paraId="70F8D47E">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授权代表：</w:t>
      </w:r>
    </w:p>
    <w:p w14:paraId="5865C010">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联系电话：</w:t>
      </w:r>
    </w:p>
    <w:p w14:paraId="2A3D5D33">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地址：邮编：</w:t>
      </w:r>
    </w:p>
    <w:p w14:paraId="5A879F15">
      <w:pPr>
        <w:adjustRightInd w:val="0"/>
        <w:snapToGri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二、质疑项目基本情况</w:t>
      </w:r>
    </w:p>
    <w:p w14:paraId="4110C423">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质疑项目的名称：</w:t>
      </w:r>
    </w:p>
    <w:p w14:paraId="5214905B">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质疑项目的编号：包号：</w:t>
      </w:r>
    </w:p>
    <w:p w14:paraId="1066C458">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采购人名称：</w:t>
      </w:r>
    </w:p>
    <w:p w14:paraId="740E534C">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采购文件获取日期：</w:t>
      </w:r>
    </w:p>
    <w:p w14:paraId="296994FD">
      <w:pPr>
        <w:adjustRightInd w:val="0"/>
        <w:snapToGri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三、质疑事项具体内容</w:t>
      </w:r>
    </w:p>
    <w:p w14:paraId="1E0A80B5">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质疑事项1：</w:t>
      </w:r>
    </w:p>
    <w:p w14:paraId="203DC7D7">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事实依据：</w:t>
      </w:r>
    </w:p>
    <w:p w14:paraId="457AF390">
      <w:pPr>
        <w:adjustRightInd w:val="0"/>
        <w:snapToGrid w:val="0"/>
        <w:spacing w:line="360" w:lineRule="auto"/>
        <w:rPr>
          <w:rFonts w:cs="仿宋" w:asciiTheme="minorEastAsia" w:hAnsiTheme="minorEastAsia" w:eastAsiaTheme="minorEastAsia"/>
          <w:color w:val="auto"/>
          <w:sz w:val="24"/>
          <w:highlight w:val="none"/>
        </w:rPr>
      </w:pPr>
    </w:p>
    <w:p w14:paraId="1EF02692">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法律依据：</w:t>
      </w:r>
    </w:p>
    <w:p w14:paraId="49FE1A54">
      <w:pPr>
        <w:adjustRightInd w:val="0"/>
        <w:snapToGrid w:val="0"/>
        <w:spacing w:line="360" w:lineRule="auto"/>
        <w:rPr>
          <w:rFonts w:cs="仿宋" w:asciiTheme="minorEastAsia" w:hAnsiTheme="minorEastAsia" w:eastAsiaTheme="minorEastAsia"/>
          <w:color w:val="auto"/>
          <w:sz w:val="24"/>
          <w:highlight w:val="none"/>
          <w:u w:val="dotted"/>
        </w:rPr>
      </w:pPr>
    </w:p>
    <w:p w14:paraId="48A2517A">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质疑事项2</w:t>
      </w:r>
    </w:p>
    <w:p w14:paraId="45287CB9">
      <w:pPr>
        <w:adjustRightInd w:val="0"/>
        <w:snapToGrid w:val="0"/>
        <w:spacing w:line="360" w:lineRule="auto"/>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p>
    <w:p w14:paraId="529240C9">
      <w:pPr>
        <w:adjustRightInd w:val="0"/>
        <w:snapToGri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四、与质疑事项相关的质疑请求</w:t>
      </w:r>
    </w:p>
    <w:p w14:paraId="07D378A3">
      <w:pPr>
        <w:adjustRightInd w:val="0"/>
        <w:snapToGrid w:val="0"/>
        <w:spacing w:line="360" w:lineRule="auto"/>
        <w:rPr>
          <w:rFonts w:cs="仿宋" w:asciiTheme="minorEastAsia" w:hAnsiTheme="minorEastAsia" w:eastAsiaTheme="minorEastAsia"/>
          <w:color w:val="auto"/>
          <w:sz w:val="24"/>
          <w:highlight w:val="none"/>
          <w:u w:val="dotted"/>
        </w:rPr>
      </w:pPr>
      <w:r>
        <w:rPr>
          <w:rFonts w:hint="eastAsia" w:cs="仿宋" w:asciiTheme="minorEastAsia" w:hAnsiTheme="minorEastAsia" w:eastAsiaTheme="minorEastAsia"/>
          <w:color w:val="auto"/>
          <w:sz w:val="24"/>
          <w:highlight w:val="none"/>
        </w:rPr>
        <w:t>请求：</w:t>
      </w:r>
    </w:p>
    <w:p w14:paraId="380EF1F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签字(签章)：                   公章：                      </w:t>
      </w:r>
    </w:p>
    <w:p w14:paraId="50817FA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日期：    </w:t>
      </w:r>
    </w:p>
    <w:p w14:paraId="21454452">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说明：</w:t>
      </w:r>
    </w:p>
    <w:p w14:paraId="70298A57">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1.供应商提出质疑时，应提交质疑函和必要的证明材料，供应商在法定质疑期内应一次性提出针对同一采购程序环节的质疑。</w:t>
      </w:r>
    </w:p>
    <w:p w14:paraId="2B7BC790">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宋体"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2C39E82F">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D4B36FA">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71F8AB4">
      <w:pPr>
        <w:widowControl/>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D647BA7">
      <w:pPr>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asciiTheme="minorEastAsia" w:hAnsiTheme="minorEastAsia" w:eastAsiaTheme="minorEastAsia"/>
          <w:color w:val="auto"/>
          <w:szCs w:val="21"/>
          <w:highlight w:val="none"/>
        </w:rPr>
        <w:br w:type="page"/>
      </w:r>
      <w:r>
        <w:rPr>
          <w:rFonts w:hint="eastAsia" w:asciiTheme="minorEastAsia" w:hAnsiTheme="minorEastAsia" w:eastAsiaTheme="minorEastAsia"/>
          <w:b/>
          <w:color w:val="auto"/>
          <w:sz w:val="24"/>
          <w:highlight w:val="none"/>
        </w:rPr>
        <w:t>4.2</w:t>
      </w:r>
      <w:r>
        <w:rPr>
          <w:rFonts w:hint="eastAsia" w:asciiTheme="minorEastAsia" w:hAnsiTheme="minorEastAsia" w:eastAsiaTheme="minorEastAsia"/>
          <w:b/>
          <w:color w:val="auto"/>
          <w:sz w:val="24"/>
          <w:highlight w:val="none"/>
        </w:rPr>
        <w:fldChar w:fldCharType="begin"/>
      </w:r>
      <w:r>
        <w:rPr>
          <w:rFonts w:hint="eastAsia" w:asciiTheme="minorEastAsia" w:hAnsiTheme="minorEastAsia" w:eastAsiaTheme="minorEastAsia"/>
          <w:b/>
          <w:color w:val="auto"/>
          <w:sz w:val="24"/>
          <w:highlight w:val="none"/>
        </w:rPr>
        <w:instrText xml:space="preserve"> DOCVARIABLE  商务条款响应表开始  \* MERGEFORMAT </w:instrText>
      </w:r>
      <w:r>
        <w:rPr>
          <w:rFonts w:hint="eastAsia" w:asciiTheme="minorEastAsia" w:hAnsiTheme="minorEastAsia" w:eastAsiaTheme="minorEastAsia"/>
          <w:b/>
          <w:color w:val="auto"/>
          <w:sz w:val="24"/>
          <w:highlight w:val="none"/>
        </w:rPr>
        <w:fldChar w:fldCharType="end"/>
      </w:r>
      <w:r>
        <w:rPr>
          <w:rFonts w:hint="eastAsia" w:asciiTheme="minorEastAsia" w:hAnsiTheme="minorEastAsia" w:eastAsiaTheme="minorEastAsia"/>
          <w:b/>
          <w:color w:val="auto"/>
          <w:sz w:val="24"/>
          <w:highlight w:val="none"/>
        </w:rPr>
        <w:fldChar w:fldCharType="begin"/>
      </w:r>
      <w:r>
        <w:rPr>
          <w:rFonts w:hint="eastAsia" w:asciiTheme="minorEastAsia" w:hAnsiTheme="minorEastAsia" w:eastAsiaTheme="minorEastAsia"/>
          <w:b/>
          <w:color w:val="auto"/>
          <w:sz w:val="24"/>
          <w:highlight w:val="none"/>
        </w:rPr>
        <w:instrText xml:space="preserve"> DOCVARIABLE  商务条款响应表开始  \* MERGEFORMAT </w:instrText>
      </w:r>
      <w:r>
        <w:rPr>
          <w:rFonts w:hint="eastAsia" w:asciiTheme="minorEastAsia" w:hAnsiTheme="minorEastAsia" w:eastAsiaTheme="minorEastAsia"/>
          <w:b/>
          <w:color w:val="auto"/>
          <w:sz w:val="24"/>
          <w:highlight w:val="none"/>
        </w:rPr>
        <w:fldChar w:fldCharType="end"/>
      </w:r>
      <w:r>
        <w:rPr>
          <w:rFonts w:hint="eastAsia" w:asciiTheme="minorEastAsia" w:hAnsiTheme="minorEastAsia" w:eastAsiaTheme="minorEastAsia"/>
          <w:b/>
          <w:color w:val="auto"/>
          <w:sz w:val="24"/>
          <w:highlight w:val="none"/>
        </w:rPr>
        <w:t>商务条款响应表</w:t>
      </w:r>
    </w:p>
    <w:p w14:paraId="0BD127F6">
      <w:pPr>
        <w:pStyle w:val="7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（1）实质性商务条款（“★”项）响应表</w:t>
      </w:r>
    </w:p>
    <w:tbl>
      <w:tblPr>
        <w:tblStyle w:val="39"/>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6997"/>
        <w:gridCol w:w="712"/>
        <w:gridCol w:w="788"/>
      </w:tblGrid>
      <w:tr w14:paraId="2575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7" w:type="dxa"/>
            <w:shd w:val="clear" w:color="auto" w:fill="F3F3F3"/>
            <w:vAlign w:val="center"/>
          </w:tcPr>
          <w:p w14:paraId="372842B1">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序号</w:t>
            </w:r>
          </w:p>
        </w:tc>
        <w:tc>
          <w:tcPr>
            <w:tcW w:w="6997" w:type="dxa"/>
            <w:shd w:val="clear" w:color="auto" w:fill="F3F3F3"/>
            <w:vAlign w:val="center"/>
          </w:tcPr>
          <w:p w14:paraId="06560743">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实质性响应商务条款要求</w:t>
            </w:r>
          </w:p>
        </w:tc>
        <w:tc>
          <w:tcPr>
            <w:tcW w:w="712" w:type="dxa"/>
            <w:shd w:val="clear" w:color="auto" w:fill="F3F3F3"/>
            <w:vAlign w:val="center"/>
          </w:tcPr>
          <w:p w14:paraId="0416CB49">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是否响应</w:t>
            </w:r>
          </w:p>
        </w:tc>
        <w:tc>
          <w:tcPr>
            <w:tcW w:w="788" w:type="dxa"/>
            <w:shd w:val="clear" w:color="auto" w:fill="F3F3F3"/>
            <w:vAlign w:val="center"/>
          </w:tcPr>
          <w:p w14:paraId="36BE6EF4">
            <w:pPr>
              <w:keepNext w:val="0"/>
              <w:keepLines w:val="0"/>
              <w:suppressLineNumbers w:val="0"/>
              <w:spacing w:before="0" w:beforeAutospacing="0" w:after="0" w:afterAutospacing="0"/>
              <w:ind w:left="0" w:right="0"/>
              <w:jc w:val="center"/>
              <w:rPr>
                <w:rFonts w:hint="default" w:asciiTheme="majorEastAsia" w:hAnsiTheme="majorEastAsia" w:eastAsiaTheme="majorEastAsia"/>
                <w:b/>
                <w:bCs/>
                <w:color w:val="auto"/>
                <w:szCs w:val="21"/>
                <w:highlight w:val="none"/>
              </w:rPr>
            </w:pPr>
            <w:r>
              <w:rPr>
                <w:rFonts w:hint="eastAsia" w:asciiTheme="majorEastAsia" w:hAnsiTheme="majorEastAsia" w:eastAsiaTheme="majorEastAsia"/>
                <w:b/>
                <w:bCs/>
                <w:color w:val="auto"/>
                <w:szCs w:val="21"/>
                <w:highlight w:val="none"/>
              </w:rPr>
              <w:t>偏离说明</w:t>
            </w:r>
          </w:p>
        </w:tc>
      </w:tr>
      <w:tr w14:paraId="1253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31099048">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p>
        </w:tc>
        <w:tc>
          <w:tcPr>
            <w:tcW w:w="6997" w:type="dxa"/>
            <w:vAlign w:val="center"/>
          </w:tcPr>
          <w:p w14:paraId="39EBBEE9">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3E486BCA">
            <w:pPr>
              <w:pStyle w:val="71"/>
              <w:keepNext w:val="0"/>
              <w:keepLines w:val="0"/>
              <w:suppressLineNumbers w:val="0"/>
              <w:adjustRightInd/>
              <w:spacing w:before="0" w:beforeAutospacing="0" w:after="0" w:afterAutospacing="0" w:line="240" w:lineRule="auto"/>
              <w:ind w:left="0" w:right="0"/>
              <w:textAlignment w:val="auto"/>
              <w:rPr>
                <w:rFonts w:hint="default" w:asciiTheme="majorEastAsia" w:hAnsiTheme="majorEastAsia" w:eastAsiaTheme="majorEastAsia"/>
                <w:snapToGrid/>
                <w:color w:val="auto"/>
                <w:spacing w:val="0"/>
                <w:kern w:val="2"/>
                <w:sz w:val="21"/>
                <w:szCs w:val="21"/>
                <w:highlight w:val="none"/>
              </w:rPr>
            </w:pPr>
          </w:p>
        </w:tc>
        <w:tc>
          <w:tcPr>
            <w:tcW w:w="788" w:type="dxa"/>
            <w:vAlign w:val="center"/>
          </w:tcPr>
          <w:p w14:paraId="02072264">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r>
      <w:tr w14:paraId="2CC9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1E703668">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p>
        </w:tc>
        <w:tc>
          <w:tcPr>
            <w:tcW w:w="6997" w:type="dxa"/>
            <w:vAlign w:val="center"/>
          </w:tcPr>
          <w:p w14:paraId="5EF9F298">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42CE1607">
            <w:pPr>
              <w:pStyle w:val="71"/>
              <w:keepNext w:val="0"/>
              <w:keepLines w:val="0"/>
              <w:suppressLineNumbers w:val="0"/>
              <w:adjustRightInd/>
              <w:spacing w:before="0" w:beforeAutospacing="0" w:after="0" w:afterAutospacing="0" w:line="240" w:lineRule="auto"/>
              <w:ind w:left="0" w:right="0"/>
              <w:textAlignment w:val="auto"/>
              <w:rPr>
                <w:rFonts w:hint="default" w:asciiTheme="majorEastAsia" w:hAnsiTheme="majorEastAsia" w:eastAsiaTheme="majorEastAsia"/>
                <w:snapToGrid/>
                <w:color w:val="auto"/>
                <w:spacing w:val="0"/>
                <w:kern w:val="2"/>
                <w:sz w:val="21"/>
                <w:szCs w:val="21"/>
                <w:highlight w:val="none"/>
              </w:rPr>
            </w:pPr>
          </w:p>
        </w:tc>
        <w:tc>
          <w:tcPr>
            <w:tcW w:w="788" w:type="dxa"/>
            <w:vAlign w:val="center"/>
          </w:tcPr>
          <w:p w14:paraId="4A0DDA3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r>
      <w:tr w14:paraId="3263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6CFA714B">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w:t>
            </w:r>
          </w:p>
        </w:tc>
        <w:tc>
          <w:tcPr>
            <w:tcW w:w="6997" w:type="dxa"/>
            <w:vAlign w:val="center"/>
          </w:tcPr>
          <w:p w14:paraId="413163D9">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002A114A">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799020FE">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3344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0071747C">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4</w:t>
            </w:r>
          </w:p>
        </w:tc>
        <w:tc>
          <w:tcPr>
            <w:tcW w:w="6997" w:type="dxa"/>
            <w:vAlign w:val="center"/>
          </w:tcPr>
          <w:p w14:paraId="1F1AA191">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0CAA5CB9">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24A07027">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2E9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5613FB71">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w:t>
            </w:r>
          </w:p>
        </w:tc>
        <w:tc>
          <w:tcPr>
            <w:tcW w:w="6997" w:type="dxa"/>
            <w:vAlign w:val="center"/>
          </w:tcPr>
          <w:p w14:paraId="56406E43">
            <w:pPr>
              <w:keepNext w:val="0"/>
              <w:keepLines w:val="0"/>
              <w:suppressLineNumbers w:val="0"/>
              <w:spacing w:before="0" w:beforeAutospacing="0" w:after="0" w:afterAutospacing="0"/>
              <w:ind w:left="0" w:right="0"/>
              <w:rPr>
                <w:rFonts w:hint="default" w:asciiTheme="majorEastAsia" w:hAnsiTheme="majorEastAsia" w:eastAsiaTheme="majorEastAsia"/>
                <w:iCs/>
                <w:color w:val="auto"/>
                <w:szCs w:val="21"/>
                <w:highlight w:val="none"/>
              </w:rPr>
            </w:pPr>
          </w:p>
        </w:tc>
        <w:tc>
          <w:tcPr>
            <w:tcW w:w="712" w:type="dxa"/>
            <w:vAlign w:val="center"/>
          </w:tcPr>
          <w:p w14:paraId="7AAE7D8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1C83F970">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4C02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07CE0126">
            <w:pPr>
              <w:keepNext w:val="0"/>
              <w:keepLines w:val="0"/>
              <w:suppressLineNumbers w:val="0"/>
              <w:tabs>
                <w:tab w:val="left" w:pos="7740"/>
              </w:tabs>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w:t>
            </w:r>
          </w:p>
        </w:tc>
        <w:tc>
          <w:tcPr>
            <w:tcW w:w="6997" w:type="dxa"/>
            <w:vAlign w:val="center"/>
          </w:tcPr>
          <w:p w14:paraId="71B980E9">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48A21AF4">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61D03A32">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r w14:paraId="5D07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97" w:type="dxa"/>
            <w:vAlign w:val="center"/>
          </w:tcPr>
          <w:p w14:paraId="42D77B97">
            <w:pPr>
              <w:keepNext w:val="0"/>
              <w:keepLines w:val="0"/>
              <w:suppressLineNumbers w:val="0"/>
              <w:tabs>
                <w:tab w:val="left" w:pos="7740"/>
              </w:tabs>
              <w:spacing w:before="0" w:beforeAutospacing="0" w:after="0" w:afterAutospacing="0"/>
              <w:ind w:left="0" w:right="0"/>
              <w:jc w:val="center"/>
              <w:rPr>
                <w:rFonts w:hint="eastAsia"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7</w:t>
            </w:r>
          </w:p>
        </w:tc>
        <w:tc>
          <w:tcPr>
            <w:tcW w:w="6997" w:type="dxa"/>
            <w:vAlign w:val="center"/>
          </w:tcPr>
          <w:p w14:paraId="1D7E6E45">
            <w:pPr>
              <w:keepNext w:val="0"/>
              <w:keepLines w:val="0"/>
              <w:suppressLineNumbers w:val="0"/>
              <w:spacing w:before="0" w:beforeAutospacing="0" w:after="0" w:afterAutospacing="0"/>
              <w:ind w:left="0" w:right="0"/>
              <w:rPr>
                <w:rFonts w:hint="default" w:asciiTheme="majorEastAsia" w:hAnsiTheme="majorEastAsia" w:eastAsiaTheme="majorEastAsia"/>
                <w:color w:val="auto"/>
                <w:szCs w:val="21"/>
                <w:highlight w:val="none"/>
              </w:rPr>
            </w:pPr>
          </w:p>
        </w:tc>
        <w:tc>
          <w:tcPr>
            <w:tcW w:w="712" w:type="dxa"/>
            <w:vAlign w:val="center"/>
          </w:tcPr>
          <w:p w14:paraId="6EC5FA7E">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p>
        </w:tc>
        <w:tc>
          <w:tcPr>
            <w:tcW w:w="788" w:type="dxa"/>
            <w:vAlign w:val="center"/>
          </w:tcPr>
          <w:p w14:paraId="261E2279">
            <w:pPr>
              <w:keepNext w:val="0"/>
              <w:keepLines w:val="0"/>
              <w:suppressLineNumbers w:val="0"/>
              <w:spacing w:before="0" w:beforeAutospacing="0" w:after="0" w:afterAutospacing="0"/>
              <w:ind w:left="0" w:right="-35"/>
              <w:jc w:val="center"/>
              <w:rPr>
                <w:rFonts w:hint="default" w:asciiTheme="majorEastAsia" w:hAnsiTheme="majorEastAsia" w:eastAsiaTheme="majorEastAsia"/>
                <w:color w:val="auto"/>
                <w:szCs w:val="21"/>
                <w:highlight w:val="none"/>
              </w:rPr>
            </w:pPr>
          </w:p>
        </w:tc>
      </w:tr>
    </w:tbl>
    <w:p w14:paraId="65955CBD">
      <w:pPr>
        <w:ind w:left="178" w:leftChars="85" w:firstLine="1"/>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注：</w:t>
      </w:r>
    </w:p>
    <w:p w14:paraId="3EC06EA7">
      <w:pPr>
        <w:ind w:left="178" w:leftChars="85" w:firstLine="362"/>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1.</w:t>
      </w:r>
      <w:r>
        <w:rPr>
          <w:rFonts w:hint="eastAsia" w:asciiTheme="minorEastAsia" w:hAnsiTheme="minorEastAsia" w:eastAsiaTheme="minorEastAsia"/>
          <w:color w:val="auto"/>
          <w:szCs w:val="21"/>
          <w:highlight w:val="none"/>
        </w:rPr>
        <w:t>对</w:t>
      </w:r>
      <w:r>
        <w:rPr>
          <w:rFonts w:hint="eastAsia" w:asciiTheme="minorEastAsia" w:hAnsiTheme="minorEastAsia" w:eastAsiaTheme="minorEastAsia"/>
          <w:color w:val="auto"/>
          <w:szCs w:val="21"/>
          <w:highlight w:val="none"/>
          <w:lang w:val="en-GB"/>
        </w:rPr>
        <w:t>于上述要求，如投标人完全响应，则请在“是否响应”栏内打“√”，对空白或打“×”视为偏离，请在“偏离说明”栏内扼要说明偏离情况。</w:t>
      </w:r>
    </w:p>
    <w:p w14:paraId="08A51168">
      <w:pPr>
        <w:ind w:left="178" w:leftChars="85" w:firstLine="362"/>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2.此表内容必须与实施方案中所介绍的内容一致，打“★”项为不可负偏离(劣于)的重要项。</w:t>
      </w:r>
    </w:p>
    <w:p w14:paraId="5EA849C3">
      <w:pPr>
        <w:ind w:left="178" w:leftChars="85" w:firstLine="362"/>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3.本表内容不得擅自修改。</w:t>
      </w:r>
    </w:p>
    <w:p w14:paraId="406F2408">
      <w:pPr>
        <w:ind w:left="178" w:leftChars="85" w:firstLine="362"/>
        <w:rPr>
          <w:rFonts w:asciiTheme="minorEastAsia" w:hAnsiTheme="minorEastAsia" w:eastAsiaTheme="minorEastAsia"/>
          <w:color w:val="auto"/>
          <w:szCs w:val="21"/>
          <w:highlight w:val="none"/>
          <w:u w:val="single"/>
          <w:lang w:val="en-GB"/>
        </w:rPr>
      </w:pPr>
      <w:r>
        <w:rPr>
          <w:rFonts w:hint="eastAsia" w:asciiTheme="minorEastAsia" w:hAnsiTheme="minorEastAsia" w:eastAsiaTheme="minorEastAsia"/>
          <w:color w:val="auto"/>
          <w:szCs w:val="21"/>
          <w:highlight w:val="none"/>
          <w:u w:val="single"/>
          <w:lang w:val="en-GB"/>
        </w:rPr>
        <w:t>4.当招标文件中未设置“★”项商务条款时，应在此表中第一行直接填写：本项目未设置“★”项商务条款</w:t>
      </w:r>
      <w:r>
        <w:rPr>
          <w:rFonts w:hint="eastAsia" w:asciiTheme="minorEastAsia" w:hAnsiTheme="minorEastAsia" w:eastAsiaTheme="minorEastAsia"/>
          <w:color w:val="auto"/>
          <w:highlight w:val="none"/>
          <w:u w:val="single"/>
          <w:lang w:val="en-GB"/>
        </w:rPr>
        <w:t>。</w:t>
      </w:r>
    </w:p>
    <w:p w14:paraId="58F6B853">
      <w:pPr>
        <w:adjustRightInd w:val="0"/>
        <w:snapToGrid w:val="0"/>
        <w:spacing w:line="300" w:lineRule="auto"/>
        <w:rPr>
          <w:rFonts w:asciiTheme="minorEastAsia" w:hAnsiTheme="minorEastAsia" w:eastAsiaTheme="minorEastAsia"/>
          <w:color w:val="auto"/>
          <w:szCs w:val="21"/>
          <w:highlight w:val="none"/>
        </w:rPr>
      </w:pPr>
    </w:p>
    <w:p w14:paraId="0DB483EA">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p>
    <w:p w14:paraId="5A395D1B">
      <w:pPr>
        <w:adjustRightInd w:val="0"/>
        <w:snapToGrid w:val="0"/>
        <w:spacing w:line="300" w:lineRule="auto"/>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p>
    <w:p w14:paraId="22D591AA">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 月 日</w:t>
      </w:r>
    </w:p>
    <w:p w14:paraId="7245F9DB">
      <w:pPr>
        <w:pStyle w:val="70"/>
        <w:rPr>
          <w:rFonts w:asciiTheme="minorEastAsia" w:hAnsiTheme="minorEastAsia" w:eastAsiaTheme="minorEastAsia"/>
          <w:b/>
          <w:color w:val="auto"/>
          <w:szCs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Cs w:val="24"/>
          <w:highlight w:val="none"/>
        </w:rPr>
        <w:t>（2）非实质性</w:t>
      </w:r>
      <w:r>
        <w:rPr>
          <w:rFonts w:hint="eastAsia" w:asciiTheme="minorEastAsia" w:hAnsiTheme="minorEastAsia" w:eastAsiaTheme="minorEastAsia"/>
          <w:b/>
          <w:color w:val="auto"/>
          <w:szCs w:val="24"/>
          <w:highlight w:val="none"/>
        </w:rPr>
        <w:fldChar w:fldCharType="begin"/>
      </w:r>
      <w:r>
        <w:rPr>
          <w:rFonts w:hint="eastAsia" w:asciiTheme="minorEastAsia" w:hAnsiTheme="minorEastAsia" w:eastAsiaTheme="minorEastAsia"/>
          <w:b/>
          <w:color w:val="auto"/>
          <w:szCs w:val="24"/>
          <w:highlight w:val="none"/>
        </w:rPr>
        <w:instrText xml:space="preserve"> DOCVARIABLE  商务条款响应表开始  \* MERGEFORMAT </w:instrText>
      </w:r>
      <w:r>
        <w:rPr>
          <w:rFonts w:hint="eastAsia" w:asciiTheme="minorEastAsia" w:hAnsiTheme="minorEastAsia" w:eastAsiaTheme="minorEastAsia"/>
          <w:b/>
          <w:color w:val="auto"/>
          <w:szCs w:val="24"/>
          <w:highlight w:val="none"/>
        </w:rPr>
        <w:fldChar w:fldCharType="end"/>
      </w:r>
      <w:r>
        <w:rPr>
          <w:rFonts w:hint="eastAsia" w:asciiTheme="minorEastAsia" w:hAnsiTheme="minorEastAsia" w:eastAsiaTheme="minorEastAsia"/>
          <w:b/>
          <w:color w:val="auto"/>
          <w:szCs w:val="24"/>
          <w:highlight w:val="none"/>
        </w:rPr>
        <w:fldChar w:fldCharType="begin"/>
      </w:r>
      <w:r>
        <w:rPr>
          <w:rFonts w:hint="eastAsia" w:asciiTheme="minorEastAsia" w:hAnsiTheme="minorEastAsia" w:eastAsiaTheme="minorEastAsia"/>
          <w:b/>
          <w:color w:val="auto"/>
          <w:szCs w:val="24"/>
          <w:highlight w:val="none"/>
        </w:rPr>
        <w:instrText xml:space="preserve"> DOCVARIABLE  商务条款响应表开始  \* MERGEFORMAT </w:instrText>
      </w:r>
      <w:r>
        <w:rPr>
          <w:rFonts w:hint="eastAsia" w:asciiTheme="minorEastAsia" w:hAnsiTheme="minorEastAsia" w:eastAsiaTheme="minorEastAsia"/>
          <w:b/>
          <w:color w:val="auto"/>
          <w:szCs w:val="24"/>
          <w:highlight w:val="none"/>
        </w:rPr>
        <w:fldChar w:fldCharType="end"/>
      </w:r>
      <w:r>
        <w:rPr>
          <w:rFonts w:hint="eastAsia" w:asciiTheme="minorEastAsia" w:hAnsiTheme="minorEastAsia" w:eastAsiaTheme="minorEastAsia"/>
          <w:b/>
          <w:color w:val="auto"/>
          <w:szCs w:val="24"/>
          <w:highlight w:val="none"/>
        </w:rPr>
        <w:t>商务条款响应表</w:t>
      </w:r>
    </w:p>
    <w:tbl>
      <w:tblPr>
        <w:tblStyle w:val="39"/>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5798"/>
        <w:gridCol w:w="726"/>
        <w:gridCol w:w="1360"/>
      </w:tblGrid>
      <w:tr w14:paraId="57D8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59" w:type="dxa"/>
            <w:shd w:val="clear" w:color="auto" w:fill="F3F3F3"/>
            <w:vAlign w:val="center"/>
          </w:tcPr>
          <w:p w14:paraId="14D42BF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5798" w:type="dxa"/>
            <w:shd w:val="clear" w:color="auto" w:fill="F3F3F3"/>
            <w:vAlign w:val="center"/>
          </w:tcPr>
          <w:p w14:paraId="52A1512B">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一般商务条款要求</w:t>
            </w:r>
          </w:p>
        </w:tc>
        <w:tc>
          <w:tcPr>
            <w:tcW w:w="726" w:type="dxa"/>
            <w:shd w:val="clear" w:color="auto" w:fill="F3F3F3"/>
            <w:vAlign w:val="center"/>
          </w:tcPr>
          <w:p w14:paraId="6B189560">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是否响应</w:t>
            </w:r>
          </w:p>
        </w:tc>
        <w:tc>
          <w:tcPr>
            <w:tcW w:w="1360" w:type="dxa"/>
            <w:shd w:val="clear" w:color="auto" w:fill="F3F3F3"/>
            <w:vAlign w:val="center"/>
          </w:tcPr>
          <w:p w14:paraId="3BEFF076">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偏离说明</w:t>
            </w:r>
          </w:p>
        </w:tc>
      </w:tr>
      <w:tr w14:paraId="2BD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9" w:type="dxa"/>
            <w:vAlign w:val="center"/>
          </w:tcPr>
          <w:p w14:paraId="0955F0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5798" w:type="dxa"/>
            <w:vAlign w:val="center"/>
          </w:tcPr>
          <w:p w14:paraId="1DD0993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726" w:type="dxa"/>
            <w:vAlign w:val="center"/>
          </w:tcPr>
          <w:p w14:paraId="0CE3BF4D">
            <w:pPr>
              <w:pStyle w:val="71"/>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snapToGrid/>
                <w:color w:val="auto"/>
                <w:spacing w:val="0"/>
                <w:kern w:val="2"/>
                <w:sz w:val="21"/>
                <w:szCs w:val="21"/>
                <w:highlight w:val="none"/>
              </w:rPr>
            </w:pPr>
          </w:p>
        </w:tc>
        <w:tc>
          <w:tcPr>
            <w:tcW w:w="1360" w:type="dxa"/>
            <w:vAlign w:val="center"/>
          </w:tcPr>
          <w:p w14:paraId="7F29222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3347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9" w:type="dxa"/>
            <w:vAlign w:val="center"/>
          </w:tcPr>
          <w:p w14:paraId="32CF3C3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5798" w:type="dxa"/>
            <w:vAlign w:val="center"/>
          </w:tcPr>
          <w:p w14:paraId="3D95516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726" w:type="dxa"/>
            <w:vAlign w:val="center"/>
          </w:tcPr>
          <w:p w14:paraId="20957044">
            <w:pPr>
              <w:pStyle w:val="71"/>
              <w:keepNext w:val="0"/>
              <w:keepLines w:val="0"/>
              <w:suppressLineNumbers w:val="0"/>
              <w:adjustRightInd/>
              <w:spacing w:before="0" w:beforeAutospacing="0" w:after="0" w:afterAutospacing="0" w:line="240" w:lineRule="auto"/>
              <w:ind w:left="0" w:right="0"/>
              <w:textAlignment w:val="auto"/>
              <w:rPr>
                <w:rFonts w:hint="default" w:asciiTheme="minorEastAsia" w:hAnsiTheme="minorEastAsia" w:eastAsiaTheme="minorEastAsia"/>
                <w:snapToGrid/>
                <w:color w:val="auto"/>
                <w:spacing w:val="0"/>
                <w:kern w:val="2"/>
                <w:sz w:val="21"/>
                <w:szCs w:val="21"/>
                <w:highlight w:val="none"/>
              </w:rPr>
            </w:pPr>
          </w:p>
        </w:tc>
        <w:tc>
          <w:tcPr>
            <w:tcW w:w="1360" w:type="dxa"/>
            <w:vAlign w:val="center"/>
          </w:tcPr>
          <w:p w14:paraId="3A44D05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r>
      <w:tr w14:paraId="14F8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59" w:type="dxa"/>
            <w:vAlign w:val="center"/>
          </w:tcPr>
          <w:p w14:paraId="4C0393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5798" w:type="dxa"/>
            <w:vAlign w:val="center"/>
          </w:tcPr>
          <w:p w14:paraId="14FFC09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726" w:type="dxa"/>
            <w:vAlign w:val="center"/>
          </w:tcPr>
          <w:p w14:paraId="6CBE242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44E9D57C">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5AB6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Align w:val="center"/>
          </w:tcPr>
          <w:p w14:paraId="7CC71ED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5798" w:type="dxa"/>
            <w:vAlign w:val="center"/>
          </w:tcPr>
          <w:p w14:paraId="3E120B2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726" w:type="dxa"/>
            <w:vAlign w:val="center"/>
          </w:tcPr>
          <w:p w14:paraId="6B01C21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02548540">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58F2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59" w:type="dxa"/>
            <w:vAlign w:val="center"/>
          </w:tcPr>
          <w:p w14:paraId="4A18607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5798" w:type="dxa"/>
          </w:tcPr>
          <w:p w14:paraId="3C54D95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726" w:type="dxa"/>
            <w:vAlign w:val="center"/>
          </w:tcPr>
          <w:p w14:paraId="651087A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5EB796C7">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0B11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59" w:type="dxa"/>
            <w:vAlign w:val="center"/>
          </w:tcPr>
          <w:p w14:paraId="5E8DA00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5798" w:type="dxa"/>
          </w:tcPr>
          <w:p w14:paraId="42BED69F">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726" w:type="dxa"/>
            <w:vAlign w:val="center"/>
          </w:tcPr>
          <w:p w14:paraId="34B05A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26EB1F41">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5AB4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7382A48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5798" w:type="dxa"/>
          </w:tcPr>
          <w:p w14:paraId="19DE9B66">
            <w:pPr>
              <w:keepNext w:val="0"/>
              <w:keepLines w:val="0"/>
              <w:suppressLineNumbers w:val="0"/>
              <w:spacing w:before="0" w:beforeAutospacing="0" w:after="0" w:afterAutospacing="0"/>
              <w:ind w:left="0" w:right="0"/>
              <w:rPr>
                <w:rStyle w:val="85"/>
                <w:rFonts w:hint="default" w:asciiTheme="minorEastAsia" w:hAnsiTheme="minorEastAsia" w:eastAsiaTheme="minorEastAsia"/>
                <w:color w:val="auto"/>
                <w:sz w:val="21"/>
                <w:szCs w:val="21"/>
                <w:highlight w:val="none"/>
              </w:rPr>
            </w:pPr>
          </w:p>
        </w:tc>
        <w:tc>
          <w:tcPr>
            <w:tcW w:w="726" w:type="dxa"/>
            <w:vAlign w:val="center"/>
          </w:tcPr>
          <w:p w14:paraId="627D85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5F5605D0">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r w14:paraId="1E5E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9" w:type="dxa"/>
            <w:vAlign w:val="center"/>
          </w:tcPr>
          <w:p w14:paraId="6CDCC9A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5798" w:type="dxa"/>
          </w:tcPr>
          <w:p w14:paraId="4F7ED0D6">
            <w:pPr>
              <w:keepNext w:val="0"/>
              <w:keepLines w:val="0"/>
              <w:suppressLineNumbers w:val="0"/>
              <w:spacing w:before="0" w:beforeAutospacing="0" w:after="0" w:afterAutospacing="0"/>
              <w:ind w:left="0" w:right="0"/>
              <w:rPr>
                <w:rStyle w:val="85"/>
                <w:rFonts w:hint="default" w:asciiTheme="minorEastAsia" w:hAnsiTheme="minorEastAsia" w:eastAsiaTheme="minorEastAsia"/>
                <w:color w:val="auto"/>
                <w:sz w:val="21"/>
                <w:szCs w:val="21"/>
                <w:highlight w:val="none"/>
              </w:rPr>
            </w:pPr>
          </w:p>
        </w:tc>
        <w:tc>
          <w:tcPr>
            <w:tcW w:w="726" w:type="dxa"/>
            <w:vAlign w:val="center"/>
          </w:tcPr>
          <w:p w14:paraId="4A87A5D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360" w:type="dxa"/>
            <w:vAlign w:val="center"/>
          </w:tcPr>
          <w:p w14:paraId="2CA39758">
            <w:pPr>
              <w:keepNext w:val="0"/>
              <w:keepLines w:val="0"/>
              <w:suppressLineNumbers w:val="0"/>
              <w:spacing w:before="0" w:beforeAutospacing="0" w:after="0" w:afterAutospacing="0"/>
              <w:ind w:left="0" w:right="-35"/>
              <w:jc w:val="center"/>
              <w:rPr>
                <w:rFonts w:hint="default" w:asciiTheme="minorEastAsia" w:hAnsiTheme="minorEastAsia" w:eastAsiaTheme="minorEastAsia"/>
                <w:color w:val="auto"/>
                <w:szCs w:val="21"/>
                <w:highlight w:val="none"/>
              </w:rPr>
            </w:pPr>
          </w:p>
        </w:tc>
      </w:tr>
    </w:tbl>
    <w:p w14:paraId="50AD4C6D">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 xml:space="preserve">注： </w:t>
      </w:r>
    </w:p>
    <w:p w14:paraId="4C35C282">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1.</w:t>
      </w:r>
      <w:r>
        <w:rPr>
          <w:rFonts w:hint="eastAsia" w:asciiTheme="minorEastAsia" w:hAnsiTheme="minorEastAsia" w:eastAsiaTheme="minorEastAsia"/>
          <w:color w:val="auto"/>
          <w:szCs w:val="21"/>
          <w:highlight w:val="none"/>
        </w:rPr>
        <w:t>对</w:t>
      </w:r>
      <w:r>
        <w:rPr>
          <w:rFonts w:hint="eastAsia" w:asciiTheme="minorEastAsia" w:hAnsiTheme="minorEastAsia" w:eastAsiaTheme="minorEastAsia"/>
          <w:color w:val="auto"/>
          <w:szCs w:val="21"/>
          <w:highlight w:val="none"/>
          <w:lang w:val="en-GB"/>
        </w:rPr>
        <w:t>于上述要求，如投标人完全响应，则请在“是否响应”栏内打“√”，对空白或打“×”视为偏离，请在“偏离说明”栏内扼要说明偏离情况。</w:t>
      </w:r>
    </w:p>
    <w:p w14:paraId="7F72AFF6">
      <w:pPr>
        <w:rPr>
          <w:rFonts w:asciiTheme="minorEastAsia" w:hAnsiTheme="minorEastAsia" w:eastAsiaTheme="minorEastAsia"/>
          <w:color w:val="auto"/>
          <w:szCs w:val="21"/>
          <w:highlight w:val="none"/>
          <w:lang w:val="en-GB"/>
        </w:rPr>
      </w:pPr>
      <w:r>
        <w:rPr>
          <w:rFonts w:hint="eastAsia" w:asciiTheme="minorEastAsia" w:hAnsiTheme="minorEastAsia" w:eastAsiaTheme="minorEastAsia"/>
          <w:color w:val="auto"/>
          <w:szCs w:val="21"/>
          <w:highlight w:val="none"/>
          <w:lang w:val="en-GB"/>
        </w:rPr>
        <w:t>2.本表内容不得擅自修改。</w:t>
      </w:r>
    </w:p>
    <w:p w14:paraId="12C045E5">
      <w:pPr>
        <w:adjustRightInd w:val="0"/>
        <w:snapToGrid w:val="0"/>
        <w:spacing w:line="300" w:lineRule="auto"/>
        <w:rPr>
          <w:rFonts w:asciiTheme="minorEastAsia" w:hAnsiTheme="minorEastAsia" w:eastAsiaTheme="minorEastAsia"/>
          <w:color w:val="auto"/>
          <w:szCs w:val="21"/>
          <w:highlight w:val="none"/>
        </w:rPr>
      </w:pPr>
    </w:p>
    <w:p w14:paraId="4DD11F43">
      <w:pPr>
        <w:adjustRightInd w:val="0"/>
        <w:snapToGrid w:val="0"/>
        <w:spacing w:line="300" w:lineRule="auto"/>
        <w:rPr>
          <w:rFonts w:asciiTheme="minorEastAsia" w:hAnsiTheme="minorEastAsia" w:eastAsiaTheme="minorEastAsia"/>
          <w:color w:val="auto"/>
          <w:szCs w:val="21"/>
          <w:highlight w:val="none"/>
        </w:rPr>
      </w:pPr>
    </w:p>
    <w:p w14:paraId="7A0BBAB0">
      <w:pPr>
        <w:adjustRightInd w:val="0"/>
        <w:snapToGrid w:val="0"/>
        <w:spacing w:line="300" w:lineRule="auto"/>
        <w:rPr>
          <w:rFonts w:asciiTheme="minorEastAsia" w:hAnsiTheme="minorEastAsia" w:eastAsiaTheme="minorEastAsia"/>
          <w:color w:val="auto"/>
          <w:szCs w:val="21"/>
          <w:highlight w:val="none"/>
        </w:rPr>
      </w:pPr>
    </w:p>
    <w:p w14:paraId="19141DE6">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p>
    <w:p w14:paraId="67012CAC">
      <w:pPr>
        <w:adjustRightInd w:val="0"/>
        <w:snapToGrid w:val="0"/>
        <w:spacing w:line="300" w:lineRule="auto"/>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p>
    <w:p w14:paraId="1AFEE2CF">
      <w:pPr>
        <w:adjustRightInd w:val="0"/>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日期：年 月 日</w:t>
      </w:r>
    </w:p>
    <w:p w14:paraId="17BAB95D">
      <w:pPr>
        <w:rPr>
          <w:rFonts w:asciiTheme="minorEastAsia" w:hAnsiTheme="minorEastAsia" w:eastAsiaTheme="minorEastAsia"/>
          <w:b/>
          <w:color w:val="auto"/>
          <w:sz w:val="32"/>
          <w:szCs w:val="32"/>
          <w:highlight w:val="none"/>
        </w:rPr>
      </w:pPr>
      <w:r>
        <w:rPr>
          <w:rFonts w:asciiTheme="minorEastAsia" w:hAnsiTheme="minorEastAsia" w:eastAsiaTheme="minorEastAsia"/>
          <w:b/>
          <w:color w:val="auto"/>
          <w:sz w:val="28"/>
          <w:szCs w:val="28"/>
          <w:highlight w:val="none"/>
        </w:rPr>
        <w:br w:type="page"/>
      </w:r>
      <w:bookmarkStart w:id="126" w:name="_Toc202252036"/>
      <w:bookmarkStart w:id="127" w:name="_Toc202819880"/>
      <w:bookmarkStart w:id="128" w:name="_Toc202251077"/>
      <w:bookmarkStart w:id="129" w:name="_Toc202254107"/>
      <w:bookmarkStart w:id="130" w:name="_Toc202251702"/>
      <w:bookmarkStart w:id="131" w:name="_Toc202820353"/>
      <w:bookmarkStart w:id="132" w:name="_Toc202816998"/>
    </w:p>
    <w:p w14:paraId="01B06BDD">
      <w:pPr>
        <w:pStyle w:val="70"/>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五、</w:t>
      </w:r>
      <w:bookmarkEnd w:id="126"/>
      <w:bookmarkEnd w:id="127"/>
      <w:bookmarkEnd w:id="128"/>
      <w:bookmarkEnd w:id="129"/>
      <w:bookmarkEnd w:id="130"/>
      <w:bookmarkEnd w:id="131"/>
      <w:bookmarkEnd w:id="132"/>
      <w:r>
        <w:rPr>
          <w:rFonts w:hint="eastAsia" w:asciiTheme="minorEastAsia" w:hAnsiTheme="minorEastAsia" w:eastAsiaTheme="minorEastAsia"/>
          <w:b/>
          <w:color w:val="auto"/>
          <w:sz w:val="32"/>
          <w:szCs w:val="32"/>
          <w:highlight w:val="none"/>
        </w:rPr>
        <w:t>服务部分</w:t>
      </w:r>
    </w:p>
    <w:p w14:paraId="312DCB4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5.1服务说明一览表</w:t>
      </w:r>
    </w:p>
    <w:tbl>
      <w:tblPr>
        <w:tblStyle w:val="39"/>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6426"/>
        <w:gridCol w:w="1080"/>
      </w:tblGrid>
      <w:tr w14:paraId="0195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F70515F">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服务类型</w:t>
            </w:r>
          </w:p>
        </w:tc>
        <w:tc>
          <w:tcPr>
            <w:tcW w:w="6426" w:type="dxa"/>
          </w:tcPr>
          <w:p w14:paraId="13C4A4FE">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服务内容</w:t>
            </w:r>
          </w:p>
        </w:tc>
        <w:tc>
          <w:tcPr>
            <w:tcW w:w="1080" w:type="dxa"/>
          </w:tcPr>
          <w:p w14:paraId="1B4BEAE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02B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76CB3A6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238D49C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33A9B5C8">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5463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11DE082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FD01BEA">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72C215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5AE5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0006A49E">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65307DE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FCA52C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5D0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BCD1E9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4E68EFD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1AE771B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62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72139BD">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0A1CB00">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0C1175E0">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721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3DD3EDE">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C3AF8B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07BD2BC8">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0A4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3BE98D2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06BEAA6A">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A2DD23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1590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3F7248B5">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43AC648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360F299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1395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2A117AC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12D7EB44">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132901C">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C22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71B45D31">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67A79C14">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6622BFB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2DAC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9703FC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23344D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1DAC7FB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4078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9F6B89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5FE99A8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155F152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7021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522EAA89">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735D61E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565CB2F8">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3307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625FDB9B">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6E44D0D6">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689B163C">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0EFA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31B40EC2">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23B37A1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2D3C0A1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55F4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5A6C78D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477F4FA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69EA1C90">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r w14:paraId="669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Pr>
          <w:p w14:paraId="483D0A1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6426" w:type="dxa"/>
          </w:tcPr>
          <w:p w14:paraId="217E02A3">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c>
          <w:tcPr>
            <w:tcW w:w="1080" w:type="dxa"/>
          </w:tcPr>
          <w:p w14:paraId="4406AC07">
            <w:pPr>
              <w:keepNext w:val="0"/>
              <w:keepLines w:val="0"/>
              <w:suppressLineNumbers w:val="0"/>
              <w:spacing w:before="0" w:beforeAutospacing="0" w:after="0" w:afterAutospacing="0" w:line="480" w:lineRule="exact"/>
              <w:ind w:left="0" w:right="0"/>
              <w:jc w:val="center"/>
              <w:rPr>
                <w:rFonts w:hint="default" w:asciiTheme="minorEastAsia" w:hAnsiTheme="minorEastAsia" w:eastAsiaTheme="minorEastAsia"/>
                <w:color w:val="auto"/>
                <w:highlight w:val="none"/>
              </w:rPr>
            </w:pPr>
          </w:p>
        </w:tc>
      </w:tr>
    </w:tbl>
    <w:p w14:paraId="3FCF4AE8">
      <w:pPr>
        <w:spacing w:line="480" w:lineRule="exact"/>
        <w:rPr>
          <w:rFonts w:asciiTheme="minorEastAsia" w:hAnsiTheme="minorEastAsia" w:eastAsiaTheme="minorEastAsia"/>
          <w:b/>
          <w:color w:val="auto"/>
          <w:sz w:val="24"/>
          <w:highlight w:val="none"/>
          <w:u w:val="single"/>
        </w:rPr>
      </w:pPr>
      <w:r>
        <w:rPr>
          <w:rFonts w:hint="eastAsia" w:asciiTheme="minorEastAsia" w:hAnsiTheme="minorEastAsia" w:eastAsiaTheme="minorEastAsia"/>
          <w:b/>
          <w:color w:val="auto"/>
          <w:sz w:val="24"/>
          <w:highlight w:val="none"/>
          <w:u w:val="single"/>
        </w:rPr>
        <w:t>投标文件中还应后附服务内容中相关服务资格、技术证明材料，否则评标委员会有权认为所提供服务不符合要求：</w:t>
      </w:r>
    </w:p>
    <w:p w14:paraId="708C216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.如本表格式内容不能满足需要，投标人可根据本表格格式自行划表填写，但必须体现以上内容。</w:t>
      </w:r>
    </w:p>
    <w:p w14:paraId="3347477A">
      <w:pPr>
        <w:rPr>
          <w:rFonts w:asciiTheme="minorEastAsia" w:hAnsiTheme="minorEastAsia" w:eastAsiaTheme="minorEastAsia"/>
          <w:color w:val="auto"/>
          <w:sz w:val="24"/>
          <w:highlight w:val="none"/>
        </w:rPr>
      </w:pPr>
    </w:p>
    <w:p w14:paraId="6B7DC288">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p>
    <w:p w14:paraId="1C9BAF4D">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57B7247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253E3BE6">
      <w:pPr>
        <w:rPr>
          <w:rFonts w:asciiTheme="minorEastAsia" w:hAnsiTheme="minorEastAsia" w:eastAsiaTheme="minorEastAsia"/>
          <w:b/>
          <w:color w:val="auto"/>
          <w:sz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4"/>
          <w:highlight w:val="none"/>
        </w:rPr>
        <w:t>5.2服务条款响应表</w:t>
      </w:r>
    </w:p>
    <w:p w14:paraId="799FF62D">
      <w:pPr>
        <w:pStyle w:val="7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（1）实质性响应服务条款（“★”项）响应表</w:t>
      </w:r>
    </w:p>
    <w:tbl>
      <w:tblPr>
        <w:tblStyle w:val="39"/>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4800"/>
        <w:gridCol w:w="1789"/>
        <w:gridCol w:w="1200"/>
        <w:gridCol w:w="504"/>
      </w:tblGrid>
      <w:tr w14:paraId="125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vAlign w:val="center"/>
          </w:tcPr>
          <w:p w14:paraId="04363AD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4800" w:type="dxa"/>
            <w:vAlign w:val="center"/>
          </w:tcPr>
          <w:p w14:paraId="30D1DB7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用户需求</w:t>
            </w:r>
          </w:p>
        </w:tc>
        <w:tc>
          <w:tcPr>
            <w:tcW w:w="1789" w:type="dxa"/>
            <w:vAlign w:val="center"/>
          </w:tcPr>
          <w:p w14:paraId="4248F50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投标实际参数</w:t>
            </w:r>
          </w:p>
          <w:p w14:paraId="0B9149C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(投标人应按投标服务实际数据填写，不能照抄招标要求)</w:t>
            </w:r>
          </w:p>
        </w:tc>
        <w:tc>
          <w:tcPr>
            <w:tcW w:w="1200" w:type="dxa"/>
            <w:vAlign w:val="center"/>
          </w:tcPr>
          <w:p w14:paraId="7943608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是否偏离（无偏离/正偏离/负偏离）</w:t>
            </w:r>
          </w:p>
        </w:tc>
        <w:tc>
          <w:tcPr>
            <w:tcW w:w="504" w:type="dxa"/>
            <w:vAlign w:val="center"/>
          </w:tcPr>
          <w:p w14:paraId="13225D6A">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偏离简述</w:t>
            </w:r>
          </w:p>
        </w:tc>
      </w:tr>
      <w:tr w14:paraId="6C57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2585143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w:t>
            </w:r>
          </w:p>
        </w:tc>
        <w:tc>
          <w:tcPr>
            <w:tcW w:w="4800" w:type="dxa"/>
            <w:vAlign w:val="center"/>
          </w:tcPr>
          <w:p w14:paraId="175A76E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textAlignment w:val="auto"/>
              <w:rPr>
                <w:rFonts w:hint="default" w:ascii="宋体" w:hAnsi="宋体" w:cs="宋体"/>
                <w:color w:val="auto"/>
                <w:spacing w:val="-6"/>
                <w:szCs w:val="21"/>
                <w:highlight w:val="none"/>
              </w:rPr>
            </w:pPr>
          </w:p>
        </w:tc>
        <w:tc>
          <w:tcPr>
            <w:tcW w:w="1789" w:type="dxa"/>
          </w:tcPr>
          <w:p w14:paraId="2BD3E46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5C14E59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21D5D08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087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2508E5DC">
            <w:pPr>
              <w:keepNext w:val="0"/>
              <w:keepLines w:val="0"/>
              <w:suppressLineNumbers w:val="0"/>
              <w:spacing w:before="0" w:beforeAutospacing="0" w:after="0" w:afterAutospacing="0"/>
              <w:ind w:left="0" w:right="0"/>
              <w:jc w:val="center"/>
              <w:rPr>
                <w:rFonts w:hint="default"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w:t>
            </w:r>
          </w:p>
        </w:tc>
        <w:tc>
          <w:tcPr>
            <w:tcW w:w="4800" w:type="dxa"/>
          </w:tcPr>
          <w:p w14:paraId="16D423F7">
            <w:pPr>
              <w:keepNext w:val="0"/>
              <w:keepLines w:val="0"/>
              <w:suppressLineNumbers w:val="0"/>
              <w:spacing w:before="0" w:beforeAutospacing="0" w:after="0" w:afterAutospacing="0"/>
              <w:ind w:left="0" w:right="0"/>
              <w:jc w:val="left"/>
              <w:rPr>
                <w:rFonts w:hint="default" w:asciiTheme="majorEastAsia" w:hAnsiTheme="majorEastAsia" w:eastAsiaTheme="majorEastAsia"/>
                <w:b/>
                <w:color w:val="auto"/>
                <w:szCs w:val="21"/>
                <w:highlight w:val="none"/>
              </w:rPr>
            </w:pPr>
          </w:p>
        </w:tc>
        <w:tc>
          <w:tcPr>
            <w:tcW w:w="1789" w:type="dxa"/>
          </w:tcPr>
          <w:p w14:paraId="7BDDB42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73AF3FA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43E9240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749A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3557D2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4800" w:type="dxa"/>
          </w:tcPr>
          <w:p w14:paraId="72B70E9B">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p>
        </w:tc>
        <w:tc>
          <w:tcPr>
            <w:tcW w:w="1789" w:type="dxa"/>
          </w:tcPr>
          <w:p w14:paraId="139A7D6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26D853E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641B395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5416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76A647A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4800" w:type="dxa"/>
          </w:tcPr>
          <w:p w14:paraId="17F7FDB0">
            <w:pPr>
              <w:keepNext w:val="0"/>
              <w:keepLines w:val="0"/>
              <w:suppressLineNumbers w:val="0"/>
              <w:spacing w:before="0" w:beforeAutospacing="0" w:after="0" w:afterAutospacing="0"/>
              <w:ind w:left="0" w:right="0"/>
              <w:jc w:val="left"/>
              <w:rPr>
                <w:rFonts w:hint="eastAsia" w:asciiTheme="minorEastAsia" w:hAnsiTheme="minorEastAsia" w:eastAsiaTheme="minorEastAsia"/>
                <w:color w:val="auto"/>
                <w:szCs w:val="21"/>
                <w:highlight w:val="none"/>
              </w:rPr>
            </w:pPr>
          </w:p>
        </w:tc>
        <w:tc>
          <w:tcPr>
            <w:tcW w:w="1789" w:type="dxa"/>
          </w:tcPr>
          <w:p w14:paraId="4F465F3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399302F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42C1CFA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0AB0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dxa"/>
          </w:tcPr>
          <w:p w14:paraId="2D7FAB2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4800" w:type="dxa"/>
          </w:tcPr>
          <w:p w14:paraId="7EC1F6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1789" w:type="dxa"/>
          </w:tcPr>
          <w:p w14:paraId="6A7070F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200" w:type="dxa"/>
          </w:tcPr>
          <w:p w14:paraId="60BE574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504" w:type="dxa"/>
          </w:tcPr>
          <w:p w14:paraId="1541764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bl>
    <w:p w14:paraId="3D149D73">
      <w:pPr>
        <w:ind w:left="2" w:hanging="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4B3109EF">
      <w:pPr>
        <w:ind w:left="2" w:leftChars="1"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1.投标人必须对应招标文件“用户需求书”的“★” 项内容逐条响应。如有缺漏，缺漏项视同不符合招标要求。打“★” 项为不可负偏离(劣于)的重要项。</w:t>
      </w:r>
    </w:p>
    <w:p w14:paraId="330A7D49">
      <w:pPr>
        <w:ind w:left="2" w:leftChars="1"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2.投标人响应采购需求应具体、明确，含糊不清、不确切或伪造、变造证明材料的，按照不完全响应或者完全不响应处理。构成提供虚假材料的，移送监管部门查处。</w:t>
      </w:r>
    </w:p>
    <w:p w14:paraId="4CF37227">
      <w:pPr>
        <w:ind w:left="2" w:leftChars="1"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3.本表内容不得擅自修改。</w:t>
      </w:r>
    </w:p>
    <w:p w14:paraId="2293E27B">
      <w:pPr>
        <w:ind w:firstLine="315" w:firstLineChars="150"/>
        <w:rPr>
          <w:rFonts w:asciiTheme="minorEastAsia" w:hAnsiTheme="minorEastAsia" w:eastAsiaTheme="minorEastAsia"/>
          <w:color w:val="auto"/>
          <w:szCs w:val="21"/>
          <w:highlight w:val="none"/>
          <w:u w:val="single"/>
          <w:lang w:val="en-GB"/>
        </w:rPr>
      </w:pPr>
      <w:r>
        <w:rPr>
          <w:rFonts w:hint="eastAsia" w:asciiTheme="minorEastAsia" w:hAnsiTheme="minorEastAsia" w:eastAsiaTheme="minorEastAsia"/>
          <w:color w:val="auto"/>
          <w:szCs w:val="21"/>
          <w:highlight w:val="none"/>
          <w:u w:val="single"/>
          <w:lang w:val="en-GB"/>
        </w:rPr>
        <w:t>4.当招标文件中</w:t>
      </w:r>
      <w:r>
        <w:rPr>
          <w:rFonts w:hint="eastAsia" w:asciiTheme="minorEastAsia" w:hAnsiTheme="minorEastAsia" w:eastAsiaTheme="minorEastAsia"/>
          <w:color w:val="auto"/>
          <w:szCs w:val="21"/>
          <w:highlight w:val="none"/>
          <w:u w:val="single"/>
        </w:rPr>
        <w:t>服务</w:t>
      </w:r>
      <w:r>
        <w:rPr>
          <w:rFonts w:hint="eastAsia" w:asciiTheme="minorEastAsia" w:hAnsiTheme="minorEastAsia" w:eastAsiaTheme="minorEastAsia"/>
          <w:color w:val="auto"/>
          <w:szCs w:val="21"/>
          <w:highlight w:val="none"/>
          <w:u w:val="single"/>
          <w:lang w:val="en-GB"/>
        </w:rPr>
        <w:t>要求未设置“★”项</w:t>
      </w:r>
      <w:r>
        <w:rPr>
          <w:rFonts w:hint="eastAsia" w:asciiTheme="minorEastAsia" w:hAnsiTheme="minorEastAsia" w:eastAsiaTheme="minorEastAsia"/>
          <w:color w:val="auto"/>
          <w:szCs w:val="21"/>
          <w:highlight w:val="none"/>
          <w:u w:val="single"/>
        </w:rPr>
        <w:t>服务</w:t>
      </w:r>
      <w:r>
        <w:rPr>
          <w:rFonts w:hint="eastAsia" w:asciiTheme="minorEastAsia" w:hAnsiTheme="minorEastAsia" w:eastAsiaTheme="minorEastAsia"/>
          <w:color w:val="auto"/>
          <w:szCs w:val="21"/>
          <w:highlight w:val="none"/>
          <w:u w:val="single"/>
          <w:lang w:val="en-GB"/>
        </w:rPr>
        <w:t>条款时，应在此表中第一行直接填写：本项目未设置“★”项</w:t>
      </w:r>
      <w:r>
        <w:rPr>
          <w:rFonts w:hint="eastAsia" w:asciiTheme="minorEastAsia" w:hAnsiTheme="minorEastAsia" w:eastAsiaTheme="minorEastAsia"/>
          <w:color w:val="auto"/>
          <w:szCs w:val="21"/>
          <w:highlight w:val="none"/>
          <w:u w:val="single"/>
        </w:rPr>
        <w:t>服务</w:t>
      </w:r>
      <w:r>
        <w:rPr>
          <w:rFonts w:hint="eastAsia" w:asciiTheme="minorEastAsia" w:hAnsiTheme="minorEastAsia" w:eastAsiaTheme="minorEastAsia"/>
          <w:color w:val="auto"/>
          <w:szCs w:val="21"/>
          <w:highlight w:val="none"/>
          <w:u w:val="single"/>
          <w:lang w:val="en-GB"/>
        </w:rPr>
        <w:t>条款。</w:t>
      </w:r>
    </w:p>
    <w:p w14:paraId="56A2CE7D">
      <w:pPr>
        <w:adjustRightInd w:val="0"/>
        <w:snapToGrid w:val="0"/>
        <w:spacing w:line="300" w:lineRule="auto"/>
        <w:rPr>
          <w:rFonts w:asciiTheme="minorEastAsia" w:hAnsiTheme="minorEastAsia" w:eastAsiaTheme="minorEastAsia"/>
          <w:color w:val="auto"/>
          <w:szCs w:val="21"/>
          <w:highlight w:val="none"/>
          <w:lang w:val="en-GB"/>
        </w:rPr>
      </w:pPr>
    </w:p>
    <w:p w14:paraId="3E9CEE22">
      <w:pPr>
        <w:adjustRightInd w:val="0"/>
        <w:snapToGrid w:val="0"/>
        <w:spacing w:line="30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r>
        <w:rPr>
          <w:rFonts w:hint="eastAsia" w:asciiTheme="minorEastAsia" w:hAnsiTheme="minorEastAsia" w:eastAsiaTheme="minorEastAsia"/>
          <w:color w:val="auto"/>
          <w:sz w:val="24"/>
          <w:highlight w:val="none"/>
          <w:u w:val="single"/>
        </w:rPr>
        <w:t xml:space="preserve">                 </w:t>
      </w:r>
    </w:p>
    <w:p w14:paraId="138C706D">
      <w:pPr>
        <w:adjustRightInd w:val="0"/>
        <w:snapToGrid w:val="0"/>
        <w:spacing w:line="30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r>
        <w:rPr>
          <w:rFonts w:hint="eastAsia" w:asciiTheme="minorEastAsia" w:hAnsiTheme="minorEastAsia" w:eastAsiaTheme="minorEastAsia"/>
          <w:color w:val="auto"/>
          <w:sz w:val="24"/>
          <w:highlight w:val="none"/>
          <w:u w:val="single"/>
        </w:rPr>
        <w:t xml:space="preserve">                 </w:t>
      </w:r>
    </w:p>
    <w:p w14:paraId="643365E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D10C4F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br w:type="page"/>
      </w:r>
    </w:p>
    <w:p w14:paraId="215002DE">
      <w:pPr>
        <w:pStyle w:val="7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4"/>
          <w:highlight w:val="none"/>
        </w:rPr>
        <w:t>非实质性服务条款响应表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72BB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3A79EC75">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716" w:type="dxa"/>
            <w:vAlign w:val="center"/>
          </w:tcPr>
          <w:p w14:paraId="017A2D3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用户需求</w:t>
            </w:r>
          </w:p>
        </w:tc>
        <w:tc>
          <w:tcPr>
            <w:tcW w:w="3207" w:type="dxa"/>
            <w:vAlign w:val="center"/>
          </w:tcPr>
          <w:p w14:paraId="74F50AF4">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投标实际参数</w:t>
            </w:r>
          </w:p>
          <w:p w14:paraId="303D5FE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(投标人应按投标服务实际数据填写，不能照抄招标要求)</w:t>
            </w:r>
          </w:p>
        </w:tc>
        <w:tc>
          <w:tcPr>
            <w:tcW w:w="1890" w:type="dxa"/>
            <w:vAlign w:val="center"/>
          </w:tcPr>
          <w:p w14:paraId="50EBEC3C">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是否偏离（无偏离/正偏离/负偏离）</w:t>
            </w:r>
          </w:p>
        </w:tc>
        <w:tc>
          <w:tcPr>
            <w:tcW w:w="1157" w:type="dxa"/>
            <w:vAlign w:val="center"/>
          </w:tcPr>
          <w:p w14:paraId="3CEC7FC1">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偏离简述</w:t>
            </w:r>
          </w:p>
        </w:tc>
      </w:tr>
      <w:tr w14:paraId="175B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7339EA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1716" w:type="dxa"/>
          </w:tcPr>
          <w:p w14:paraId="00ADFA2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0F5F33A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E6B5EC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245285A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3DA8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132522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716" w:type="dxa"/>
          </w:tcPr>
          <w:p w14:paraId="30BE904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6A3291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042BBF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7C55022E">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6FD3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D2A754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716" w:type="dxa"/>
          </w:tcPr>
          <w:p w14:paraId="1E71522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153A4B5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62A0328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2B368F3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2EDF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78A10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716" w:type="dxa"/>
          </w:tcPr>
          <w:p w14:paraId="4F473FF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2EE8057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C6CC99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55986B8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38E0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B575D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716" w:type="dxa"/>
          </w:tcPr>
          <w:p w14:paraId="1CBD63E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1A3DA69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3B69F00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007A1EC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647F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757EB8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1716" w:type="dxa"/>
          </w:tcPr>
          <w:p w14:paraId="64E44A7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0051403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42377B6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443F762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796E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1E63DF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1716" w:type="dxa"/>
          </w:tcPr>
          <w:p w14:paraId="5E5C1A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782AB84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1CF6CD2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3EA6580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7530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49818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1716" w:type="dxa"/>
          </w:tcPr>
          <w:p w14:paraId="23DE9CC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7407628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451068E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35E8BC7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r w14:paraId="49DD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B32219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716" w:type="dxa"/>
          </w:tcPr>
          <w:p w14:paraId="41B8B63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207" w:type="dxa"/>
          </w:tcPr>
          <w:p w14:paraId="2B0E2BCB">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890" w:type="dxa"/>
          </w:tcPr>
          <w:p w14:paraId="7239743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c>
          <w:tcPr>
            <w:tcW w:w="1157" w:type="dxa"/>
          </w:tcPr>
          <w:p w14:paraId="013A5C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bl>
    <w:p w14:paraId="5444EAB1">
      <w:pPr>
        <w:rPr>
          <w:rFonts w:asciiTheme="minorEastAsia" w:hAnsiTheme="minorEastAsia" w:eastAsiaTheme="minorEastAsia"/>
          <w:color w:val="auto"/>
          <w:szCs w:val="21"/>
          <w:highlight w:val="none"/>
        </w:rPr>
      </w:pPr>
    </w:p>
    <w:p w14:paraId="6268F90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62685DEB">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1.投标人必须对应招标文件“用户需求书”的内容逐条响应。如有缺漏，缺漏项视同不符合招标要求。</w:t>
      </w:r>
    </w:p>
    <w:p w14:paraId="050A4824">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2.投标人响应采购需求应具体、明确，含糊不清、不确切或伪造、变造证明材料的，按照不完全响应或者完全不响应处理。构成提供虚假材料的，移送监管部门查处。</w:t>
      </w:r>
    </w:p>
    <w:p w14:paraId="65286F2B">
      <w:pPr>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3.本表内容不得擅自修改。</w:t>
      </w:r>
    </w:p>
    <w:p w14:paraId="5D32866D">
      <w:pPr>
        <w:pStyle w:val="70"/>
        <w:rPr>
          <w:rFonts w:asciiTheme="minorEastAsia" w:hAnsiTheme="minorEastAsia" w:eastAsiaTheme="minorEastAsia"/>
          <w:color w:val="auto"/>
          <w:highlight w:val="none"/>
        </w:rPr>
      </w:pPr>
    </w:p>
    <w:p w14:paraId="33E0E802">
      <w:pPr>
        <w:adjustRightInd w:val="0"/>
        <w:snapToGrid w:val="0"/>
        <w:rPr>
          <w:rFonts w:asciiTheme="minorEastAsia" w:hAnsiTheme="minorEastAsia" w:eastAsiaTheme="minorEastAsia"/>
          <w:color w:val="auto"/>
          <w:sz w:val="24"/>
          <w:highlight w:val="none"/>
        </w:rPr>
      </w:pPr>
    </w:p>
    <w:p w14:paraId="390E7ACE">
      <w:pPr>
        <w:adjustRightInd w:val="0"/>
        <w:snapToGrid w:val="0"/>
        <w:rPr>
          <w:rFonts w:asciiTheme="minorEastAsia" w:hAnsiTheme="minorEastAsia" w:eastAsiaTheme="minorEastAsia"/>
          <w:color w:val="auto"/>
          <w:sz w:val="24"/>
          <w:highlight w:val="none"/>
        </w:rPr>
      </w:pPr>
    </w:p>
    <w:p w14:paraId="2184CB51">
      <w:pPr>
        <w:adjustRightInd w:val="0"/>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p>
    <w:p w14:paraId="1BFACC4C">
      <w:pPr>
        <w:adjustRightInd w:val="0"/>
        <w:snapToGrid w:val="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302F400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5F92ADFC">
      <w:pPr>
        <w:rPr>
          <w:rFonts w:asciiTheme="minorEastAsia" w:hAnsiTheme="minorEastAsia" w:eastAsiaTheme="minorEastAsia"/>
          <w:color w:val="auto"/>
          <w:highlight w:val="none"/>
        </w:rPr>
      </w:pPr>
    </w:p>
    <w:p w14:paraId="246C8732">
      <w:pPr>
        <w:rPr>
          <w:rFonts w:asciiTheme="minorEastAsia" w:hAnsiTheme="minorEastAsia" w:eastAsiaTheme="minorEastAsia"/>
          <w:color w:val="auto"/>
          <w:highlight w:val="none"/>
        </w:rPr>
      </w:pPr>
    </w:p>
    <w:p w14:paraId="1D88DC2A">
      <w:pPr>
        <w:rPr>
          <w:rFonts w:asciiTheme="minorEastAsia" w:hAnsiTheme="minorEastAsia" w:eastAsiaTheme="minorEastAsia"/>
          <w:color w:val="auto"/>
          <w:highlight w:val="none"/>
        </w:rPr>
      </w:pPr>
    </w:p>
    <w:p w14:paraId="5AF1D21E">
      <w:pPr>
        <w:rPr>
          <w:rFonts w:asciiTheme="minorEastAsia" w:hAnsiTheme="minorEastAsia" w:eastAsiaTheme="minorEastAsia"/>
          <w:color w:val="auto"/>
          <w:highlight w:val="none"/>
        </w:rPr>
      </w:pPr>
    </w:p>
    <w:p w14:paraId="59E6CA4B">
      <w:pPr>
        <w:rPr>
          <w:rFonts w:asciiTheme="minorEastAsia" w:hAnsiTheme="minorEastAsia" w:eastAsiaTheme="minorEastAsia"/>
          <w:color w:val="auto"/>
          <w:highlight w:val="none"/>
        </w:rPr>
      </w:pPr>
    </w:p>
    <w:p w14:paraId="1FFA77C1">
      <w:pPr>
        <w:rPr>
          <w:rFonts w:asciiTheme="minorEastAsia" w:hAnsiTheme="minorEastAsia" w:eastAsiaTheme="minorEastAsia"/>
          <w:color w:val="auto"/>
          <w:highlight w:val="none"/>
        </w:rPr>
      </w:pPr>
    </w:p>
    <w:p w14:paraId="6123F350">
      <w:pPr>
        <w:rPr>
          <w:rFonts w:asciiTheme="minorEastAsia" w:hAnsiTheme="minorEastAsia" w:eastAsiaTheme="minorEastAsia"/>
          <w:color w:val="auto"/>
          <w:highlight w:val="none"/>
        </w:rPr>
      </w:pPr>
    </w:p>
    <w:p w14:paraId="2A6E41B4">
      <w:pPr>
        <w:rPr>
          <w:rFonts w:asciiTheme="minorEastAsia" w:hAnsiTheme="minorEastAsia" w:eastAsiaTheme="minorEastAsia"/>
          <w:color w:val="auto"/>
          <w:highlight w:val="none"/>
        </w:rPr>
      </w:pPr>
    </w:p>
    <w:p w14:paraId="4D94251C">
      <w:pPr>
        <w:rPr>
          <w:rFonts w:asciiTheme="minorEastAsia" w:hAnsiTheme="minorEastAsia" w:eastAsiaTheme="minorEastAsia"/>
          <w:color w:val="auto"/>
          <w:highlight w:val="none"/>
        </w:rPr>
      </w:pPr>
    </w:p>
    <w:p w14:paraId="080EAFA9">
      <w:pPr>
        <w:rPr>
          <w:rFonts w:asciiTheme="minorEastAsia" w:hAnsiTheme="minorEastAsia" w:eastAsiaTheme="minorEastAsia"/>
          <w:color w:val="auto"/>
          <w:sz w:val="24"/>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color w:val="auto"/>
          <w:sz w:val="24"/>
          <w:highlight w:val="none"/>
        </w:rPr>
        <w:t>5.3服务承诺书(服务方案承诺书必须科学合理、真实可行、具体详细，依据用户需求书编制，格式自定，包括但不限于以下内容) ：</w:t>
      </w:r>
    </w:p>
    <w:p w14:paraId="258EF135">
      <w:pPr>
        <w:rPr>
          <w:rFonts w:asciiTheme="minorEastAsia" w:hAnsiTheme="minorEastAsia" w:eastAsiaTheme="minorEastAsia"/>
          <w:color w:val="auto"/>
          <w:sz w:val="24"/>
          <w:highlight w:val="none"/>
        </w:rPr>
      </w:pPr>
    </w:p>
    <w:p w14:paraId="5C9D6F95">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1. 建设运营方案</w:t>
      </w:r>
    </w:p>
    <w:p w14:paraId="2F5111B6">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2. 质量控制方案</w:t>
      </w:r>
    </w:p>
    <w:p w14:paraId="34C5F1AD">
      <w:pPr>
        <w:rPr>
          <w:rFonts w:hint="eastAsia"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GB"/>
        </w:rPr>
        <w:t>3. 应急措施</w:t>
      </w:r>
    </w:p>
    <w:p w14:paraId="5B4F56FD">
      <w:pP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 专业技术能力</w:t>
      </w:r>
    </w:p>
    <w:p w14:paraId="16D74282">
      <w:pPr>
        <w:rPr>
          <w:rFonts w:asciiTheme="minorEastAsia" w:hAnsiTheme="minorEastAsia" w:eastAsiaTheme="minorEastAsia"/>
          <w:color w:val="auto"/>
          <w:sz w:val="24"/>
          <w:highlight w:val="none"/>
          <w:lang w:val="en-GB"/>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val="en-GB"/>
        </w:rPr>
        <w:t xml:space="preserve">. </w:t>
      </w:r>
      <w:r>
        <w:rPr>
          <w:rFonts w:asciiTheme="minorEastAsia" w:hAnsiTheme="minorEastAsia" w:eastAsiaTheme="minorEastAsia"/>
          <w:color w:val="auto"/>
          <w:sz w:val="24"/>
          <w:highlight w:val="none"/>
          <w:lang w:val="en-GB"/>
        </w:rPr>
        <w:t>……</w:t>
      </w:r>
    </w:p>
    <w:p w14:paraId="13796FD4">
      <w:pPr>
        <w:rPr>
          <w:rFonts w:asciiTheme="minorEastAsia" w:hAnsiTheme="minorEastAsia" w:eastAsiaTheme="minorEastAsia"/>
          <w:color w:val="auto"/>
          <w:sz w:val="28"/>
          <w:szCs w:val="28"/>
          <w:highlight w:val="none"/>
          <w:lang w:val="en-GB"/>
        </w:rPr>
      </w:pPr>
    </w:p>
    <w:p w14:paraId="16565DF8">
      <w:pPr>
        <w:adjustRightInd w:val="0"/>
        <w:snapToGrid w:val="0"/>
        <w:spacing w:line="300" w:lineRule="auto"/>
        <w:rPr>
          <w:rFonts w:asciiTheme="minorEastAsia" w:hAnsiTheme="minorEastAsia" w:eastAsiaTheme="minorEastAsia"/>
          <w:color w:val="auto"/>
          <w:sz w:val="28"/>
          <w:szCs w:val="28"/>
          <w:highlight w:val="none"/>
        </w:rPr>
      </w:pPr>
    </w:p>
    <w:p w14:paraId="53FAD000">
      <w:pPr>
        <w:adjustRightInd w:val="0"/>
        <w:snapToGrid w:val="0"/>
        <w:spacing w:line="300" w:lineRule="auto"/>
        <w:rPr>
          <w:rFonts w:asciiTheme="minorEastAsia" w:hAnsiTheme="minorEastAsia" w:eastAsiaTheme="minorEastAsia"/>
          <w:color w:val="auto"/>
          <w:sz w:val="28"/>
          <w:szCs w:val="28"/>
          <w:highlight w:val="none"/>
        </w:rPr>
      </w:pPr>
    </w:p>
    <w:p w14:paraId="1D279EA8">
      <w:pPr>
        <w:adjustRightInd w:val="0"/>
        <w:snapToGrid w:val="0"/>
        <w:spacing w:line="300" w:lineRule="auto"/>
        <w:rPr>
          <w:rFonts w:asciiTheme="minorEastAsia" w:hAnsiTheme="minorEastAsia" w:eastAsiaTheme="minorEastAsia"/>
          <w:color w:val="auto"/>
          <w:sz w:val="28"/>
          <w:szCs w:val="28"/>
          <w:highlight w:val="none"/>
        </w:rPr>
      </w:pPr>
    </w:p>
    <w:p w14:paraId="08DF5D8C">
      <w:pPr>
        <w:adjustRightInd w:val="0"/>
        <w:snapToGrid w:val="0"/>
        <w:spacing w:line="300" w:lineRule="auto"/>
        <w:rPr>
          <w:rFonts w:asciiTheme="minorEastAsia" w:hAnsiTheme="minorEastAsia" w:eastAsiaTheme="minorEastAsia"/>
          <w:color w:val="auto"/>
          <w:sz w:val="28"/>
          <w:szCs w:val="28"/>
          <w:highlight w:val="none"/>
        </w:rPr>
      </w:pPr>
    </w:p>
    <w:p w14:paraId="2F9330F8">
      <w:pPr>
        <w:adjustRightInd w:val="0"/>
        <w:snapToGrid w:val="0"/>
        <w:spacing w:line="300" w:lineRule="auto"/>
        <w:rPr>
          <w:rFonts w:asciiTheme="minorEastAsia" w:hAnsiTheme="minorEastAsia" w:eastAsiaTheme="minorEastAsia"/>
          <w:color w:val="auto"/>
          <w:sz w:val="24"/>
          <w:highlight w:val="none"/>
        </w:rPr>
      </w:pPr>
    </w:p>
    <w:p w14:paraId="3E912D61">
      <w:pPr>
        <w:adjustRightInd w:val="0"/>
        <w:snapToGrid w:val="0"/>
        <w:spacing w:line="300" w:lineRule="auto"/>
        <w:rPr>
          <w:rFonts w:asciiTheme="minorEastAsia" w:hAnsiTheme="minorEastAsia" w:eastAsiaTheme="minorEastAsia"/>
          <w:color w:val="auto"/>
          <w:sz w:val="24"/>
          <w:highlight w:val="none"/>
        </w:rPr>
      </w:pPr>
    </w:p>
    <w:p w14:paraId="42CA4B37">
      <w:pPr>
        <w:adjustRightInd w:val="0"/>
        <w:snapToGrid w:val="0"/>
        <w:spacing w:line="300" w:lineRule="auto"/>
        <w:rPr>
          <w:rFonts w:asciiTheme="minorEastAsia" w:hAnsiTheme="minorEastAsia" w:eastAsiaTheme="minorEastAsia"/>
          <w:color w:val="auto"/>
          <w:sz w:val="24"/>
          <w:highlight w:val="none"/>
        </w:rPr>
      </w:pPr>
    </w:p>
    <w:p w14:paraId="776B7D04">
      <w:pPr>
        <w:adjustRightInd w:val="0"/>
        <w:snapToGrid w:val="0"/>
        <w:spacing w:line="30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投标人法定代表人（或法定代表人授权代表）签字：</w:t>
      </w:r>
    </w:p>
    <w:p w14:paraId="0809ACED">
      <w:pPr>
        <w:adjustRightInd w:val="0"/>
        <w:snapToGrid w:val="0"/>
        <w:spacing w:line="30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投标人名称（加盖公章）：</w:t>
      </w:r>
    </w:p>
    <w:p w14:paraId="0B84274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14ABBDC9">
      <w:pPr>
        <w:tabs>
          <w:tab w:val="left" w:pos="1322"/>
        </w:tabs>
        <w:ind w:left="420"/>
        <w:rPr>
          <w:rFonts w:asciiTheme="minorEastAsia" w:hAnsiTheme="minorEastAsia" w:eastAsiaTheme="minorEastAsia"/>
          <w:b/>
          <w:color w:val="auto"/>
          <w:sz w:val="28"/>
          <w:szCs w:val="28"/>
          <w:highlight w:val="none"/>
          <w:lang w:val="en-GB"/>
        </w:rPr>
      </w:pPr>
    </w:p>
    <w:p w14:paraId="66149330">
      <w:pPr>
        <w:rPr>
          <w:rFonts w:asciiTheme="minorEastAsia" w:hAnsiTheme="minorEastAsia" w:eastAsiaTheme="minorEastAsia"/>
          <w:color w:val="auto"/>
          <w:highlight w:val="none"/>
        </w:rPr>
      </w:pPr>
      <w:bookmarkStart w:id="133" w:name="_Toc202816999"/>
      <w:bookmarkStart w:id="134" w:name="_Toc202819881"/>
      <w:bookmarkStart w:id="135" w:name="_Toc202820354"/>
    </w:p>
    <w:p w14:paraId="0B04FFA8">
      <w:pPr>
        <w:rPr>
          <w:rFonts w:asciiTheme="minorEastAsia" w:hAnsiTheme="minorEastAsia" w:eastAsiaTheme="minorEastAsia"/>
          <w:color w:val="auto"/>
          <w:sz w:val="28"/>
          <w:szCs w:val="28"/>
          <w:highlight w:val="none"/>
        </w:rPr>
      </w:pPr>
    </w:p>
    <w:p w14:paraId="05F52961">
      <w:pPr>
        <w:rPr>
          <w:rFonts w:asciiTheme="minorEastAsia" w:hAnsiTheme="minorEastAsia" w:eastAsiaTheme="minorEastAsia"/>
          <w:color w:val="auto"/>
          <w:sz w:val="28"/>
          <w:szCs w:val="28"/>
          <w:highlight w:val="none"/>
        </w:rPr>
      </w:pPr>
    </w:p>
    <w:p w14:paraId="5EC46951">
      <w:pPr>
        <w:rPr>
          <w:rFonts w:asciiTheme="minorEastAsia" w:hAnsiTheme="minorEastAsia" w:eastAsiaTheme="minorEastAsia"/>
          <w:color w:val="auto"/>
          <w:sz w:val="28"/>
          <w:szCs w:val="28"/>
          <w:highlight w:val="none"/>
        </w:rPr>
      </w:pPr>
    </w:p>
    <w:p w14:paraId="32AA6285">
      <w:pPr>
        <w:rPr>
          <w:rFonts w:asciiTheme="minorEastAsia" w:hAnsiTheme="minorEastAsia" w:eastAsiaTheme="minorEastAsia"/>
          <w:color w:val="auto"/>
          <w:sz w:val="28"/>
          <w:szCs w:val="28"/>
          <w:highlight w:val="none"/>
        </w:rPr>
      </w:pPr>
    </w:p>
    <w:p w14:paraId="3C54967F">
      <w:pPr>
        <w:rPr>
          <w:rFonts w:asciiTheme="minorEastAsia" w:hAnsiTheme="minorEastAsia" w:eastAsiaTheme="minorEastAsia"/>
          <w:color w:val="auto"/>
          <w:sz w:val="28"/>
          <w:szCs w:val="28"/>
          <w:highlight w:val="none"/>
        </w:rPr>
      </w:pPr>
    </w:p>
    <w:p w14:paraId="3858C0BE">
      <w:pPr>
        <w:rPr>
          <w:rFonts w:asciiTheme="minorEastAsia" w:hAnsiTheme="minorEastAsia" w:eastAsiaTheme="minorEastAsia"/>
          <w:color w:val="auto"/>
          <w:sz w:val="28"/>
          <w:szCs w:val="28"/>
          <w:highlight w:val="none"/>
        </w:rPr>
      </w:pPr>
    </w:p>
    <w:p w14:paraId="7FA54602">
      <w:pPr>
        <w:rPr>
          <w:rFonts w:asciiTheme="minorEastAsia" w:hAnsiTheme="minorEastAsia" w:eastAsiaTheme="minorEastAsia"/>
          <w:color w:val="auto"/>
          <w:sz w:val="28"/>
          <w:szCs w:val="28"/>
          <w:highlight w:val="none"/>
        </w:rPr>
      </w:pPr>
    </w:p>
    <w:p w14:paraId="79FAB023">
      <w:pPr>
        <w:rPr>
          <w:rFonts w:asciiTheme="minorEastAsia" w:hAnsiTheme="minorEastAsia" w:eastAsiaTheme="minorEastAsia"/>
          <w:color w:val="auto"/>
          <w:sz w:val="28"/>
          <w:szCs w:val="28"/>
          <w:highlight w:val="none"/>
        </w:rPr>
      </w:pPr>
    </w:p>
    <w:p w14:paraId="22841E9D">
      <w:pPr>
        <w:rPr>
          <w:rFonts w:asciiTheme="minorEastAsia" w:hAnsiTheme="minorEastAsia" w:eastAsiaTheme="minorEastAsia"/>
          <w:color w:val="auto"/>
          <w:sz w:val="28"/>
          <w:szCs w:val="28"/>
          <w:highlight w:val="none"/>
        </w:rPr>
      </w:pPr>
    </w:p>
    <w:p w14:paraId="6642AB97">
      <w:pPr>
        <w:rPr>
          <w:rFonts w:asciiTheme="minorEastAsia" w:hAnsiTheme="minorEastAsia" w:eastAsiaTheme="minorEastAsia"/>
          <w:color w:val="auto"/>
          <w:sz w:val="28"/>
          <w:szCs w:val="28"/>
          <w:highlight w:val="none"/>
        </w:rPr>
      </w:pPr>
    </w:p>
    <w:bookmarkEnd w:id="133"/>
    <w:bookmarkEnd w:id="134"/>
    <w:bookmarkEnd w:id="135"/>
    <w:p w14:paraId="6A4E1C95">
      <w:pPr>
        <w:rPr>
          <w:rFonts w:hint="eastAsia" w:asciiTheme="minorEastAsia" w:hAnsiTheme="minorEastAsia" w:eastAsiaTheme="minorEastAsia"/>
          <w:b/>
          <w:color w:val="auto"/>
          <w:sz w:val="28"/>
          <w:szCs w:val="28"/>
          <w:highlight w:val="none"/>
        </w:rPr>
      </w:pPr>
      <w:bookmarkStart w:id="136" w:name="_Toc202251078"/>
      <w:bookmarkStart w:id="137" w:name="_Toc202251703"/>
      <w:bookmarkStart w:id="138" w:name="_Toc202819882"/>
      <w:bookmarkStart w:id="139" w:name="_Toc202820355"/>
      <w:bookmarkStart w:id="140" w:name="_Toc202817000"/>
      <w:bookmarkStart w:id="141" w:name="_Toc202252037"/>
      <w:bookmarkStart w:id="142" w:name="_Toc202254108"/>
      <w:r>
        <w:rPr>
          <w:rFonts w:hint="eastAsia" w:asciiTheme="minorEastAsia" w:hAnsiTheme="minorEastAsia" w:eastAsiaTheme="minorEastAsia"/>
          <w:b/>
          <w:color w:val="auto"/>
          <w:sz w:val="28"/>
          <w:szCs w:val="28"/>
          <w:highlight w:val="none"/>
        </w:rPr>
        <w:br w:type="page"/>
      </w:r>
    </w:p>
    <w:p w14:paraId="5E01650A">
      <w:pPr>
        <w:pStyle w:val="7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六、价格</w:t>
      </w:r>
      <w:bookmarkEnd w:id="136"/>
      <w:bookmarkEnd w:id="137"/>
      <w:bookmarkEnd w:id="138"/>
      <w:bookmarkEnd w:id="139"/>
      <w:bookmarkEnd w:id="140"/>
      <w:bookmarkEnd w:id="141"/>
      <w:bookmarkEnd w:id="142"/>
      <w:r>
        <w:rPr>
          <w:rFonts w:hint="eastAsia" w:asciiTheme="minorEastAsia" w:hAnsiTheme="minorEastAsia" w:eastAsiaTheme="minorEastAsia"/>
          <w:b/>
          <w:color w:val="auto"/>
          <w:sz w:val="28"/>
          <w:szCs w:val="28"/>
          <w:highlight w:val="none"/>
        </w:rPr>
        <w:t>部分</w:t>
      </w:r>
    </w:p>
    <w:p w14:paraId="289ED290">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6.1开标一览表</w:t>
      </w:r>
    </w:p>
    <w:p w14:paraId="550F4AAE">
      <w:pPr>
        <w:tabs>
          <w:tab w:val="left" w:pos="8364"/>
        </w:tabs>
        <w:snapToGrid w:val="0"/>
        <w:ind w:right="-5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投标人名称：</w:t>
      </w:r>
    </w:p>
    <w:p w14:paraId="4012B546">
      <w:pPr>
        <w:tabs>
          <w:tab w:val="left" w:pos="8364"/>
        </w:tabs>
        <w:snapToGrid w:val="0"/>
        <w:ind w:right="-58"/>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招标编号：</w:t>
      </w:r>
      <w:r>
        <w:rPr>
          <w:rFonts w:hint="eastAsia" w:asciiTheme="minorEastAsia" w:hAnsiTheme="minorEastAsia" w:eastAsiaTheme="minorEastAsia"/>
          <w:color w:val="auto"/>
          <w:highlight w:val="none"/>
          <w:lang w:eastAsia="zh-CN"/>
        </w:rPr>
        <w:t>0724-2610ZH411952</w:t>
      </w:r>
    </w:p>
    <w:p w14:paraId="67E4364E">
      <w:pPr>
        <w:tabs>
          <w:tab w:val="left" w:pos="8364"/>
        </w:tabs>
        <w:snapToGrid w:val="0"/>
        <w:ind w:right="-58"/>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标的名称：</w:t>
      </w:r>
    </w:p>
    <w:tbl>
      <w:tblPr>
        <w:tblStyle w:val="39"/>
        <w:tblW w:w="4595"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459"/>
        <w:gridCol w:w="1408"/>
        <w:gridCol w:w="2655"/>
        <w:gridCol w:w="1019"/>
        <w:gridCol w:w="3462"/>
      </w:tblGrid>
      <w:tr w14:paraId="7A2EC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255" w:type="pct"/>
            <w:tcBorders>
              <w:top w:val="single" w:color="auto" w:sz="4" w:space="0"/>
              <w:left w:val="single" w:color="auto" w:sz="4" w:space="0"/>
              <w:bottom w:val="single" w:color="auto" w:sz="6" w:space="0"/>
              <w:right w:val="single" w:color="auto" w:sz="6" w:space="0"/>
            </w:tcBorders>
            <w:shd w:val="clear" w:color="auto" w:fill="auto"/>
            <w:vAlign w:val="center"/>
          </w:tcPr>
          <w:p w14:paraId="184ABA5B">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782" w:type="pct"/>
            <w:tcBorders>
              <w:top w:val="single" w:color="auto" w:sz="4" w:space="0"/>
              <w:left w:val="single" w:color="auto" w:sz="6" w:space="0"/>
              <w:bottom w:val="single" w:color="auto" w:sz="6" w:space="0"/>
              <w:right w:val="single" w:color="auto" w:sz="6" w:space="0"/>
            </w:tcBorders>
            <w:shd w:val="clear" w:color="auto" w:fill="auto"/>
            <w:vAlign w:val="center"/>
          </w:tcPr>
          <w:p w14:paraId="668D9010">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内容</w:t>
            </w:r>
          </w:p>
        </w:tc>
        <w:tc>
          <w:tcPr>
            <w:tcW w:w="1474" w:type="pct"/>
            <w:tcBorders>
              <w:top w:val="single" w:color="auto" w:sz="4" w:space="0"/>
              <w:left w:val="single" w:color="auto" w:sz="6" w:space="0"/>
              <w:bottom w:val="single" w:color="auto" w:sz="6" w:space="0"/>
              <w:right w:val="single" w:color="auto" w:sz="6" w:space="0"/>
            </w:tcBorders>
            <w:shd w:val="clear" w:color="auto" w:fill="auto"/>
            <w:vAlign w:val="center"/>
          </w:tcPr>
          <w:p w14:paraId="4B3F1843">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标的名称</w:t>
            </w:r>
          </w:p>
        </w:tc>
        <w:tc>
          <w:tcPr>
            <w:tcW w:w="566" w:type="pct"/>
            <w:tcBorders>
              <w:top w:val="single" w:color="auto" w:sz="4" w:space="0"/>
              <w:left w:val="single" w:color="auto" w:sz="6" w:space="0"/>
              <w:bottom w:val="single" w:color="auto" w:sz="6" w:space="0"/>
              <w:right w:val="single" w:color="auto" w:sz="4" w:space="0"/>
            </w:tcBorders>
            <w:shd w:val="clear" w:color="auto" w:fill="auto"/>
            <w:vAlign w:val="center"/>
          </w:tcPr>
          <w:p w14:paraId="5FA1F6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922" w:type="pct"/>
            <w:tcBorders>
              <w:top w:val="single" w:color="auto" w:sz="4" w:space="0"/>
              <w:left w:val="single" w:color="auto" w:sz="4" w:space="0"/>
              <w:bottom w:val="single" w:color="auto" w:sz="6" w:space="0"/>
              <w:right w:val="single" w:color="auto" w:sz="6" w:space="0"/>
            </w:tcBorders>
            <w:shd w:val="clear" w:color="auto" w:fill="auto"/>
            <w:vAlign w:val="center"/>
          </w:tcPr>
          <w:p w14:paraId="2CF66BCC">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折扣率</w:t>
            </w:r>
          </w:p>
          <w:p w14:paraId="296AAEF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p>
          <w:p w14:paraId="3D75B6C2">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大写及小写</w:t>
            </w:r>
          </w:p>
        </w:tc>
      </w:tr>
      <w:tr w14:paraId="3632D0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93" w:hRule="atLeast"/>
        </w:trPr>
        <w:tc>
          <w:tcPr>
            <w:tcW w:w="255" w:type="pct"/>
            <w:tcBorders>
              <w:top w:val="single" w:color="auto" w:sz="6" w:space="0"/>
              <w:left w:val="single" w:color="auto" w:sz="4" w:space="0"/>
              <w:bottom w:val="single" w:color="auto" w:sz="6" w:space="0"/>
              <w:right w:val="single" w:color="auto" w:sz="6" w:space="0"/>
            </w:tcBorders>
            <w:shd w:val="clear" w:color="auto" w:fill="auto"/>
            <w:vAlign w:val="center"/>
          </w:tcPr>
          <w:p w14:paraId="11FFC5FF">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1</w:t>
            </w:r>
          </w:p>
        </w:tc>
        <w:tc>
          <w:tcPr>
            <w:tcW w:w="782" w:type="pct"/>
            <w:tcBorders>
              <w:top w:val="single" w:color="auto" w:sz="6" w:space="0"/>
              <w:left w:val="single" w:color="auto" w:sz="6" w:space="0"/>
              <w:right w:val="single" w:color="auto" w:sz="6" w:space="0"/>
            </w:tcBorders>
            <w:shd w:val="clear" w:color="auto" w:fill="auto"/>
            <w:vAlign w:val="center"/>
          </w:tcPr>
          <w:p w14:paraId="1F605D05">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w:t>
            </w:r>
          </w:p>
        </w:tc>
        <w:tc>
          <w:tcPr>
            <w:tcW w:w="1474" w:type="pct"/>
            <w:tcBorders>
              <w:top w:val="single" w:color="auto" w:sz="6" w:space="0"/>
              <w:left w:val="single" w:color="auto" w:sz="6" w:space="0"/>
              <w:bottom w:val="single" w:color="auto" w:sz="6" w:space="0"/>
              <w:right w:val="single" w:color="auto" w:sz="6" w:space="0"/>
            </w:tcBorders>
            <w:shd w:val="clear" w:color="auto" w:fill="auto"/>
            <w:vAlign w:val="center"/>
          </w:tcPr>
          <w:p w14:paraId="097D60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检验服务集约化保障项目</w:t>
            </w:r>
          </w:p>
        </w:tc>
        <w:tc>
          <w:tcPr>
            <w:tcW w:w="566" w:type="pct"/>
            <w:tcBorders>
              <w:top w:val="single" w:color="auto" w:sz="6" w:space="0"/>
              <w:left w:val="single" w:color="auto" w:sz="6" w:space="0"/>
              <w:bottom w:val="single" w:color="auto" w:sz="6" w:space="0"/>
              <w:right w:val="single" w:color="auto" w:sz="4" w:space="0"/>
            </w:tcBorders>
            <w:shd w:val="clear" w:color="auto" w:fill="auto"/>
            <w:vAlign w:val="center"/>
          </w:tcPr>
          <w:p w14:paraId="62CA55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922" w:type="pct"/>
            <w:tcBorders>
              <w:top w:val="single" w:color="auto" w:sz="6" w:space="0"/>
              <w:left w:val="single" w:color="auto" w:sz="4" w:space="0"/>
              <w:bottom w:val="single" w:color="auto" w:sz="6" w:space="0"/>
              <w:right w:val="single" w:color="auto" w:sz="6" w:space="0"/>
            </w:tcBorders>
            <w:shd w:val="clear" w:color="auto" w:fill="auto"/>
            <w:vAlign w:val="center"/>
          </w:tcPr>
          <w:p w14:paraId="6DB48180">
            <w:pPr>
              <w:keepNext w:val="0"/>
              <w:keepLines w:val="0"/>
              <w:pageBreakBefore w:val="0"/>
              <w:widowControl w:val="0"/>
              <w:suppressLineNumbers w:val="0"/>
              <w:tabs>
                <w:tab w:val="left" w:pos="8364"/>
              </w:tabs>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大写：</w:t>
            </w:r>
          </w:p>
          <w:p w14:paraId="18D9EBC5">
            <w:pPr>
              <w:pStyle w:val="3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小写：</w:t>
            </w:r>
          </w:p>
        </w:tc>
      </w:tr>
      <w:tr w14:paraId="09C4C8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255" w:type="pct"/>
            <w:tcBorders>
              <w:top w:val="single" w:color="auto" w:sz="6" w:space="0"/>
              <w:left w:val="single" w:color="auto" w:sz="4" w:space="0"/>
              <w:bottom w:val="single" w:color="auto" w:sz="6" w:space="0"/>
              <w:right w:val="single" w:color="auto" w:sz="6" w:space="0"/>
            </w:tcBorders>
            <w:shd w:val="clear" w:color="auto" w:fill="auto"/>
            <w:vAlign w:val="center"/>
          </w:tcPr>
          <w:p w14:paraId="30CAD9F8">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2</w:t>
            </w:r>
          </w:p>
        </w:tc>
        <w:tc>
          <w:tcPr>
            <w:tcW w:w="782" w:type="pct"/>
            <w:tcBorders>
              <w:top w:val="single" w:color="auto" w:sz="6" w:space="0"/>
              <w:left w:val="single" w:color="auto" w:sz="6" w:space="0"/>
              <w:bottom w:val="single" w:color="auto" w:sz="6" w:space="0"/>
              <w:right w:val="single" w:color="auto" w:sz="6" w:space="0"/>
            </w:tcBorders>
            <w:shd w:val="clear" w:color="auto" w:fill="auto"/>
            <w:vAlign w:val="center"/>
          </w:tcPr>
          <w:p w14:paraId="25CFCD91">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报价有效期</w:t>
            </w:r>
          </w:p>
        </w:tc>
        <w:tc>
          <w:tcPr>
            <w:tcW w:w="3962" w:type="pct"/>
            <w:gridSpan w:val="3"/>
            <w:tcBorders>
              <w:top w:val="single" w:color="auto" w:sz="6" w:space="0"/>
              <w:left w:val="single" w:color="auto" w:sz="6" w:space="0"/>
              <w:bottom w:val="single" w:color="auto" w:sz="6" w:space="0"/>
              <w:right w:val="single" w:color="auto" w:sz="4" w:space="0"/>
            </w:tcBorders>
            <w:shd w:val="clear" w:color="auto" w:fill="auto"/>
            <w:vAlign w:val="center"/>
          </w:tcPr>
          <w:p w14:paraId="5E2DA368">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投标</w:t>
            </w:r>
            <w:r>
              <w:rPr>
                <w:rFonts w:hint="eastAsia" w:ascii="宋体" w:hAnsi="宋体" w:eastAsia="宋体" w:cs="宋体"/>
                <w:color w:val="auto"/>
                <w:sz w:val="21"/>
                <w:szCs w:val="21"/>
                <w:highlight w:val="none"/>
                <w:lang w:bidi="ar"/>
              </w:rPr>
              <w:t>截止之日起90天</w:t>
            </w:r>
          </w:p>
        </w:tc>
      </w:tr>
      <w:tr w14:paraId="3F7536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7" w:hRule="atLeast"/>
        </w:trPr>
        <w:tc>
          <w:tcPr>
            <w:tcW w:w="255" w:type="pct"/>
            <w:tcBorders>
              <w:top w:val="single" w:color="auto" w:sz="6" w:space="0"/>
              <w:left w:val="single" w:color="auto" w:sz="4" w:space="0"/>
              <w:bottom w:val="single" w:color="auto" w:sz="4" w:space="0"/>
              <w:right w:val="single" w:color="auto" w:sz="6" w:space="0"/>
            </w:tcBorders>
            <w:shd w:val="clear" w:color="auto" w:fill="auto"/>
            <w:vAlign w:val="center"/>
          </w:tcPr>
          <w:p w14:paraId="1E5EF995">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3</w:t>
            </w:r>
          </w:p>
        </w:tc>
        <w:tc>
          <w:tcPr>
            <w:tcW w:w="782" w:type="pct"/>
            <w:tcBorders>
              <w:top w:val="single" w:color="auto" w:sz="6" w:space="0"/>
              <w:left w:val="single" w:color="auto" w:sz="6" w:space="0"/>
              <w:bottom w:val="single" w:color="auto" w:sz="4" w:space="0"/>
              <w:right w:val="single" w:color="auto" w:sz="6" w:space="0"/>
            </w:tcBorders>
            <w:shd w:val="clear" w:color="auto" w:fill="auto"/>
            <w:vAlign w:val="center"/>
          </w:tcPr>
          <w:p w14:paraId="643926B8">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备注</w:t>
            </w:r>
          </w:p>
        </w:tc>
        <w:tc>
          <w:tcPr>
            <w:tcW w:w="3962" w:type="pct"/>
            <w:gridSpan w:val="3"/>
            <w:tcBorders>
              <w:top w:val="single" w:color="auto" w:sz="6" w:space="0"/>
              <w:left w:val="single" w:color="auto" w:sz="6" w:space="0"/>
              <w:bottom w:val="single" w:color="auto" w:sz="4" w:space="0"/>
              <w:right w:val="single" w:color="auto" w:sz="4" w:space="0"/>
            </w:tcBorders>
            <w:shd w:val="clear" w:color="auto" w:fill="auto"/>
          </w:tcPr>
          <w:p w14:paraId="24F7B31F">
            <w:pPr>
              <w:keepNext w:val="0"/>
              <w:keepLines w:val="0"/>
              <w:suppressLineNumbers w:val="0"/>
              <w:tabs>
                <w:tab w:val="left" w:pos="8364"/>
              </w:tabs>
              <w:snapToGrid w:val="0"/>
              <w:spacing w:before="0" w:beforeAutospacing="0" w:after="0" w:afterAutospacing="0"/>
              <w:ind w:left="0" w:right="-58"/>
              <w:rPr>
                <w:rFonts w:hint="eastAsia" w:ascii="宋体" w:hAnsi="宋体" w:eastAsia="宋体" w:cs="宋体"/>
                <w:color w:val="auto"/>
                <w:sz w:val="21"/>
                <w:szCs w:val="21"/>
                <w:highlight w:val="none"/>
              </w:rPr>
            </w:pPr>
          </w:p>
        </w:tc>
      </w:tr>
    </w:tbl>
    <w:p w14:paraId="6A1D9E39">
      <w:pPr>
        <w:spacing w:line="28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r>
        <w:rPr>
          <w:rFonts w:asciiTheme="minorEastAsia" w:hAnsiTheme="minorEastAsia" w:eastAsiaTheme="minorEastAsia"/>
          <w:color w:val="auto"/>
          <w:szCs w:val="21"/>
          <w:highlight w:val="none"/>
        </w:rPr>
        <w:t>1.投标人须按要求填写所有信息，不得随意更改本表格式。</w:t>
      </w:r>
    </w:p>
    <w:p w14:paraId="62ECF234">
      <w:pPr>
        <w:numPr>
          <w:ilvl w:val="0"/>
          <w:numId w:val="0"/>
        </w:numPr>
        <w:rPr>
          <w:rStyle w:val="85"/>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kern w:val="2"/>
          <w:sz w:val="21"/>
          <w:szCs w:val="21"/>
          <w:highlight w:val="none"/>
          <w:lang w:val="en-US" w:eastAsia="zh-CN" w:bidi="ar-SA"/>
        </w:rPr>
        <w:t>2.</w:t>
      </w:r>
      <w:r>
        <w:rPr>
          <w:rStyle w:val="85"/>
          <w:rFonts w:hint="eastAsia" w:cs="宋体" w:asciiTheme="minorEastAsia" w:hAnsiTheme="minorEastAsia" w:eastAsiaTheme="minorEastAsia"/>
          <w:color w:val="auto"/>
          <w:sz w:val="21"/>
          <w:szCs w:val="21"/>
          <w:highlight w:val="none"/>
        </w:rPr>
        <w:t>本项目报价：</w:t>
      </w:r>
    </w:p>
    <w:p w14:paraId="030F1979">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1）投标人统一按广东省珠海市二级医院的项目物价标准折扣率进行报价，针对报价表须报出唯一的折扣率，投标折扣率应≤35%，投标报价折扣率必须为固定的报价（如35%），不得存在区间值（如30-35%）。否则将被视为非实质性投标文件，按无效响应处理。医院根据实际收费与投标人进行结算。</w:t>
      </w:r>
    </w:p>
    <w:p w14:paraId="348EFB0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（2）投标人的报价包含但不限于以下内容：</w:t>
      </w:r>
    </w:p>
    <w:p w14:paraId="504BCB0B">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1）新增设备及对应的维保、维修、更换、计量认证等，全部检测试剂、耗材供应，智能化信息平台建设，投标人运营服务团队人员薪资等完成建设运营内容所需的全部费用。</w:t>
      </w:r>
    </w:p>
    <w:p w14:paraId="4A8B4F71">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2）学术活动举办，项目手册、样本采集手册、宣传手册等制定的全部费用。</w:t>
      </w:r>
    </w:p>
    <w:p w14:paraId="03AF4778">
      <w:pPr>
        <w:pStyle w:val="3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textAlignment w:val="auto"/>
        <w:rPr>
          <w:rFonts w:hint="eastAsia" w:cs="Times New Roman" w:asciiTheme="minorEastAsia" w:hAnsiTheme="minorEastAsia" w:eastAsiaTheme="minorEastAsia"/>
          <w:b w:val="0"/>
          <w:bCs w:val="0"/>
          <w:color w:val="auto"/>
          <w:kern w:val="2"/>
          <w:sz w:val="21"/>
          <w:szCs w:val="21"/>
          <w:highlight w:val="none"/>
          <w:lang w:val="en-US" w:eastAsia="zh-CN" w:bidi="ar-SA"/>
        </w:rPr>
      </w:pPr>
      <w:r>
        <w:rPr>
          <w:rFonts w:hint="eastAsia" w:cs="Times New Roman" w:asciiTheme="minorEastAsia" w:hAnsiTheme="minorEastAsia" w:eastAsiaTheme="minorEastAsia"/>
          <w:b w:val="0"/>
          <w:bCs w:val="0"/>
          <w:color w:val="auto"/>
          <w:kern w:val="2"/>
          <w:sz w:val="21"/>
          <w:szCs w:val="21"/>
          <w:highlight w:val="none"/>
          <w:lang w:val="en-US" w:eastAsia="zh-CN" w:bidi="ar-SA"/>
        </w:rPr>
        <w:t>3）合理的投资风险、利润、税金等。</w:t>
      </w:r>
    </w:p>
    <w:p w14:paraId="33A3102D">
      <w:pPr>
        <w:ind w:firstLine="420" w:firstLineChars="200"/>
        <w:rPr>
          <w:rStyle w:val="85"/>
          <w:rFonts w:hint="eastAsia" w:cs="宋体" w:asciiTheme="minorEastAsia" w:hAnsiTheme="minorEastAsia" w:eastAsiaTheme="minorEastAsia"/>
          <w:color w:val="auto"/>
          <w:sz w:val="21"/>
          <w:szCs w:val="21"/>
          <w:highlight w:val="none"/>
        </w:rPr>
      </w:pPr>
      <w:r>
        <w:rPr>
          <w:rFonts w:hint="eastAsia" w:cs="Times New Roman" w:asciiTheme="minorEastAsia" w:hAnsiTheme="minorEastAsia" w:eastAsiaTheme="minorEastAsia"/>
          <w:b w:val="0"/>
          <w:bCs w:val="0"/>
          <w:color w:val="auto"/>
          <w:kern w:val="2"/>
          <w:sz w:val="21"/>
          <w:szCs w:val="21"/>
          <w:highlight w:val="none"/>
          <w:lang w:val="en-US" w:eastAsia="zh-CN" w:bidi="ar-SA"/>
        </w:rPr>
        <w:t>4）原则上不得调整折扣率，如遇国家法律法规或上级政策变动，部分试剂、耗材纳入集中带量采购中选产品，双方须重新协商调整折扣率或合作方式。</w:t>
      </w:r>
    </w:p>
    <w:p w14:paraId="01957C9A">
      <w:pPr>
        <w:spacing w:line="28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此表是投标文件的必要文件，是投标文件的组成部分，且封装在一个信封中，作为唱标之用。</w:t>
      </w:r>
    </w:p>
    <w:p w14:paraId="72692B6A">
      <w:pPr>
        <w:spacing w:line="280" w:lineRule="exact"/>
        <w:ind w:firstLine="420" w:firstLineChars="200"/>
        <w:rPr>
          <w:rFonts w:asciiTheme="minorEastAsia" w:hAnsiTheme="minorEastAsia" w:eastAsiaTheme="minorEastAsia"/>
          <w:color w:val="auto"/>
          <w:szCs w:val="21"/>
          <w:highlight w:val="none"/>
        </w:rPr>
      </w:pPr>
    </w:p>
    <w:p w14:paraId="132BE522">
      <w:pPr>
        <w:spacing w:line="280" w:lineRule="exact"/>
        <w:ind w:firstLine="420" w:firstLineChars="200"/>
        <w:rPr>
          <w:rFonts w:asciiTheme="minorEastAsia" w:hAnsiTheme="minorEastAsia" w:eastAsiaTheme="minorEastAsia"/>
          <w:color w:val="auto"/>
          <w:szCs w:val="21"/>
          <w:highlight w:val="none"/>
        </w:rPr>
      </w:pPr>
    </w:p>
    <w:p w14:paraId="71B5EAF9">
      <w:pPr>
        <w:jc w:val="right"/>
        <w:rPr>
          <w:rFonts w:asciiTheme="minorEastAsia" w:hAnsiTheme="minorEastAsia" w:eastAsiaTheme="minorEastAsia"/>
          <w:color w:val="auto"/>
          <w:szCs w:val="21"/>
          <w:highlight w:val="none"/>
        </w:rPr>
      </w:pPr>
    </w:p>
    <w:p w14:paraId="1C6473CE">
      <w:pPr>
        <w:adjustRightInd w:val="0"/>
        <w:snapToGrid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投标人法定代表人（或法定代表人授权代表）签字：</w:t>
      </w:r>
      <w:r>
        <w:rPr>
          <w:rFonts w:hint="eastAsia" w:asciiTheme="minorEastAsia" w:hAnsiTheme="minorEastAsia" w:eastAsiaTheme="minorEastAsia"/>
          <w:color w:val="auto"/>
          <w:szCs w:val="21"/>
          <w:highlight w:val="none"/>
          <w:u w:val="single"/>
        </w:rPr>
        <w:t xml:space="preserve">                   </w:t>
      </w:r>
    </w:p>
    <w:p w14:paraId="6ED763F5">
      <w:pPr>
        <w:adjustRightInd w:val="0"/>
        <w:snapToGrid w:val="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投标人名称（加盖公章）：</w:t>
      </w:r>
      <w:r>
        <w:rPr>
          <w:rFonts w:hint="eastAsia" w:asciiTheme="minorEastAsia" w:hAnsiTheme="minorEastAsia" w:eastAsiaTheme="minorEastAsia"/>
          <w:color w:val="auto"/>
          <w:szCs w:val="21"/>
          <w:highlight w:val="none"/>
          <w:u w:val="single"/>
        </w:rPr>
        <w:t xml:space="preserve">                        </w:t>
      </w:r>
    </w:p>
    <w:p w14:paraId="09EF2C5F">
      <w:pPr>
        <w:ind w:right="84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日</w:t>
      </w:r>
    </w:p>
    <w:p w14:paraId="1D80BCB7">
      <w:pPr>
        <w:rPr>
          <w:rFonts w:ascii="宋体" w:hAnsi="宋体"/>
          <w:color w:val="auto"/>
          <w:szCs w:val="21"/>
          <w:highlight w:val="none"/>
        </w:rPr>
      </w:pPr>
    </w:p>
    <w:sectPr>
      <w:headerReference r:id="rId5" w:type="default"/>
      <w:footerReference r:id="rId6" w:type="default"/>
      <w:pgSz w:w="11906" w:h="16838"/>
      <w:pgMar w:top="1440" w:right="1083" w:bottom="1440" w:left="1083" w:header="0" w:footer="567" w:gutter="0"/>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634635-BD4E-4847-97EF-C4A949491A0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9A2BD8-B2E9-4AC5-8178-960F93824FD0}"/>
  </w:font>
  <w:font w:name="仿宋_GB2312">
    <w:panose1 w:val="02010609030101010101"/>
    <w:charset w:val="86"/>
    <w:family w:val="modern"/>
    <w:pitch w:val="default"/>
    <w:sig w:usb0="00000001" w:usb1="080E0000" w:usb2="00000000" w:usb3="00000000" w:csb0="00040000" w:csb1="00000000"/>
    <w:embedRegular r:id="rId3" w:fontKey="{C0FC8861-A709-47FF-9A5E-CCDF48E071F8}"/>
  </w:font>
  <w:font w:name="仿宋">
    <w:panose1 w:val="02010609060101010101"/>
    <w:charset w:val="86"/>
    <w:family w:val="auto"/>
    <w:pitch w:val="default"/>
    <w:sig w:usb0="800002BF" w:usb1="38CF7CFA" w:usb2="00000016" w:usb3="00000000" w:csb0="00040001" w:csb1="00000000"/>
    <w:embedRegular r:id="rId4" w:fontKey="{D13396AE-64D4-454C-8AF1-989CFC40E8B3}"/>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阿里巴巴普惠体 Light">
    <w:altName w:val="微软雅黑"/>
    <w:panose1 w:val="00000000000000000000"/>
    <w:charset w:val="86"/>
    <w:family w:val="auto"/>
    <w:pitch w:val="default"/>
    <w:sig w:usb0="00000000" w:usb1="00000000" w:usb2="0000001E" w:usb3="00000000" w:csb0="0004009F" w:csb1="00000000"/>
    <w:embedRegular r:id="rId5" w:fontKey="{8B0BD1AC-A851-4EB5-87BC-F1CEEDB3A4E8}"/>
  </w:font>
  <w:font w:name="WPSEMBED1">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0A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DFC5">
    <w:pPr>
      <w:pStyle w:val="22"/>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ED99">
    <w:pPr>
      <w:pStyle w:val="22"/>
      <w:ind w:firstLine="2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0731651"/>
                          </w:sdtPr>
                          <w:sdtContent>
                            <w:p w14:paraId="6442D0B0">
                              <w:pPr>
                                <w:pStyle w:val="22"/>
                                <w:ind w:firstLine="210"/>
                                <w:jc w:val="center"/>
                              </w:pPr>
                              <w:r>
                                <w:fldChar w:fldCharType="begin"/>
                              </w:r>
                              <w:r>
                                <w:instrText xml:space="preserve">PAGE   \* MERGEFORMAT</w:instrText>
                              </w:r>
                              <w:r>
                                <w:fldChar w:fldCharType="separate"/>
                              </w:r>
                              <w:r>
                                <w:rPr>
                                  <w:lang w:val="zh-CN"/>
                                </w:rPr>
                                <w:t>8</w:t>
                              </w:r>
                              <w:r>
                                <w:rPr>
                                  <w:lang w:val="zh-CN"/>
                                </w:rPr>
                                <w:fldChar w:fldCharType="end"/>
                              </w:r>
                            </w:p>
                          </w:sdtContent>
                        </w:sdt>
                        <w:p w14:paraId="22FE3099">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320731651"/>
                    </w:sdtPr>
                    <w:sdtContent>
                      <w:p w14:paraId="6442D0B0">
                        <w:pPr>
                          <w:pStyle w:val="22"/>
                          <w:ind w:firstLine="210"/>
                          <w:jc w:val="center"/>
                        </w:pPr>
                        <w:r>
                          <w:fldChar w:fldCharType="begin"/>
                        </w:r>
                        <w:r>
                          <w:instrText xml:space="preserve">PAGE   \* MERGEFORMAT</w:instrText>
                        </w:r>
                        <w:r>
                          <w:fldChar w:fldCharType="separate"/>
                        </w:r>
                        <w:r>
                          <w:rPr>
                            <w:lang w:val="zh-CN"/>
                          </w:rPr>
                          <w:t>8</w:t>
                        </w:r>
                        <w:r>
                          <w:rPr>
                            <w:lang w:val="zh-CN"/>
                          </w:rPr>
                          <w:fldChar w:fldCharType="end"/>
                        </w:r>
                      </w:p>
                    </w:sdtContent>
                  </w:sdt>
                  <w:p w14:paraId="22FE3099">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24DD">
    <w:pPr>
      <w:pStyle w:val="23"/>
      <w:pBdr>
        <w:bottom w:val="none" w:color="auto" w:sz="0" w:space="0"/>
      </w:pBdr>
      <w:tabs>
        <w:tab w:val="clear" w:pos="8306"/>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6D79B"/>
    <w:multiLevelType w:val="singleLevel"/>
    <w:tmpl w:val="D0B6D79B"/>
    <w:lvl w:ilvl="0" w:tentative="0">
      <w:start w:val="1"/>
      <w:numFmt w:val="decimal"/>
      <w:suff w:val="nothing"/>
      <w:lvlText w:val="（%1）"/>
      <w:lvlJc w:val="left"/>
    </w:lvl>
  </w:abstractNum>
  <w:abstractNum w:abstractNumId="1">
    <w:nsid w:val="F10257E3"/>
    <w:multiLevelType w:val="singleLevel"/>
    <w:tmpl w:val="F10257E3"/>
    <w:lvl w:ilvl="0" w:tentative="0">
      <w:start w:val="1"/>
      <w:numFmt w:val="decimal"/>
      <w:suff w:val="nothing"/>
      <w:lvlText w:val="（%1）"/>
      <w:lvlJc w:val="left"/>
    </w:lvl>
  </w:abstractNum>
  <w:abstractNum w:abstractNumId="2">
    <w:nsid w:val="00D8053D"/>
    <w:multiLevelType w:val="multilevel"/>
    <w:tmpl w:val="00D805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6C7C35"/>
    <w:multiLevelType w:val="multilevel"/>
    <w:tmpl w:val="076C7C35"/>
    <w:lvl w:ilvl="0" w:tentative="0">
      <w:start w:val="1"/>
      <w:numFmt w:val="decimal"/>
      <w:pStyle w:val="6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C1565D0"/>
    <w:multiLevelType w:val="multilevel"/>
    <w:tmpl w:val="5C1565D0"/>
    <w:lvl w:ilvl="0" w:tentative="0">
      <w:start w:val="1"/>
      <w:numFmt w:val="bullet"/>
      <w:pStyle w:val="100"/>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abstractNum w:abstractNumId="5">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DFkZmU2M2FmOGI1ODlkZDVkNTEzYjgzMGMyNDcifQ=="/>
  </w:docVars>
  <w:rsids>
    <w:rsidRoot w:val="009833EC"/>
    <w:rsid w:val="000004A9"/>
    <w:rsid w:val="00000E0A"/>
    <w:rsid w:val="000011FC"/>
    <w:rsid w:val="000041FB"/>
    <w:rsid w:val="0000467D"/>
    <w:rsid w:val="00004870"/>
    <w:rsid w:val="00005E7A"/>
    <w:rsid w:val="000077AE"/>
    <w:rsid w:val="00007E9D"/>
    <w:rsid w:val="00010294"/>
    <w:rsid w:val="000109C1"/>
    <w:rsid w:val="00010D83"/>
    <w:rsid w:val="0001123D"/>
    <w:rsid w:val="00011B1F"/>
    <w:rsid w:val="00011E6C"/>
    <w:rsid w:val="0001282C"/>
    <w:rsid w:val="00012AA9"/>
    <w:rsid w:val="0001319A"/>
    <w:rsid w:val="000136E5"/>
    <w:rsid w:val="0001390D"/>
    <w:rsid w:val="000139CE"/>
    <w:rsid w:val="00014517"/>
    <w:rsid w:val="000145F4"/>
    <w:rsid w:val="0001478E"/>
    <w:rsid w:val="000150DE"/>
    <w:rsid w:val="000157D3"/>
    <w:rsid w:val="0001591C"/>
    <w:rsid w:val="00015CD5"/>
    <w:rsid w:val="00016C07"/>
    <w:rsid w:val="00016EE4"/>
    <w:rsid w:val="0001744B"/>
    <w:rsid w:val="00017524"/>
    <w:rsid w:val="000176CA"/>
    <w:rsid w:val="00021BD9"/>
    <w:rsid w:val="00022761"/>
    <w:rsid w:val="00023279"/>
    <w:rsid w:val="00023830"/>
    <w:rsid w:val="00024860"/>
    <w:rsid w:val="00026CDE"/>
    <w:rsid w:val="0003063D"/>
    <w:rsid w:val="00032B42"/>
    <w:rsid w:val="00032E70"/>
    <w:rsid w:val="00032E7B"/>
    <w:rsid w:val="00033200"/>
    <w:rsid w:val="00034FF6"/>
    <w:rsid w:val="0003507D"/>
    <w:rsid w:val="0003519E"/>
    <w:rsid w:val="0003538B"/>
    <w:rsid w:val="000353FE"/>
    <w:rsid w:val="00035AE5"/>
    <w:rsid w:val="00037323"/>
    <w:rsid w:val="00040E0A"/>
    <w:rsid w:val="00041103"/>
    <w:rsid w:val="00044B8F"/>
    <w:rsid w:val="0004541A"/>
    <w:rsid w:val="000458CD"/>
    <w:rsid w:val="00047158"/>
    <w:rsid w:val="00047857"/>
    <w:rsid w:val="00050518"/>
    <w:rsid w:val="00050D25"/>
    <w:rsid w:val="0005134E"/>
    <w:rsid w:val="00051F9B"/>
    <w:rsid w:val="0005244F"/>
    <w:rsid w:val="00052AD4"/>
    <w:rsid w:val="00052E89"/>
    <w:rsid w:val="000530EC"/>
    <w:rsid w:val="00053D72"/>
    <w:rsid w:val="00055A76"/>
    <w:rsid w:val="00060030"/>
    <w:rsid w:val="00060498"/>
    <w:rsid w:val="000604E2"/>
    <w:rsid w:val="000607A2"/>
    <w:rsid w:val="00061296"/>
    <w:rsid w:val="000617B2"/>
    <w:rsid w:val="000620EF"/>
    <w:rsid w:val="000629DB"/>
    <w:rsid w:val="000640DA"/>
    <w:rsid w:val="00064268"/>
    <w:rsid w:val="00064348"/>
    <w:rsid w:val="0006452E"/>
    <w:rsid w:val="00064E19"/>
    <w:rsid w:val="00064E50"/>
    <w:rsid w:val="00065135"/>
    <w:rsid w:val="00065EA9"/>
    <w:rsid w:val="00067EAC"/>
    <w:rsid w:val="00070A99"/>
    <w:rsid w:val="00070E70"/>
    <w:rsid w:val="0007159D"/>
    <w:rsid w:val="0007169C"/>
    <w:rsid w:val="00071D42"/>
    <w:rsid w:val="000727EF"/>
    <w:rsid w:val="00072B02"/>
    <w:rsid w:val="00072EC1"/>
    <w:rsid w:val="00073169"/>
    <w:rsid w:val="00074020"/>
    <w:rsid w:val="00074525"/>
    <w:rsid w:val="00074CD3"/>
    <w:rsid w:val="00075178"/>
    <w:rsid w:val="00077230"/>
    <w:rsid w:val="000808A8"/>
    <w:rsid w:val="00081256"/>
    <w:rsid w:val="00082408"/>
    <w:rsid w:val="000838B0"/>
    <w:rsid w:val="00083A60"/>
    <w:rsid w:val="000850E9"/>
    <w:rsid w:val="00085F75"/>
    <w:rsid w:val="000873BE"/>
    <w:rsid w:val="00087CBB"/>
    <w:rsid w:val="000907FC"/>
    <w:rsid w:val="00091411"/>
    <w:rsid w:val="00091C56"/>
    <w:rsid w:val="0009272A"/>
    <w:rsid w:val="0009293E"/>
    <w:rsid w:val="00093AA6"/>
    <w:rsid w:val="00095612"/>
    <w:rsid w:val="000960A6"/>
    <w:rsid w:val="000960D3"/>
    <w:rsid w:val="0009663B"/>
    <w:rsid w:val="00097EC8"/>
    <w:rsid w:val="00097FDE"/>
    <w:rsid w:val="000A025A"/>
    <w:rsid w:val="000A096A"/>
    <w:rsid w:val="000A09B2"/>
    <w:rsid w:val="000A1A04"/>
    <w:rsid w:val="000A24B9"/>
    <w:rsid w:val="000A267A"/>
    <w:rsid w:val="000A30A7"/>
    <w:rsid w:val="000A3247"/>
    <w:rsid w:val="000A37DA"/>
    <w:rsid w:val="000A3AE2"/>
    <w:rsid w:val="000A3DB9"/>
    <w:rsid w:val="000A4F7A"/>
    <w:rsid w:val="000A69E6"/>
    <w:rsid w:val="000A7CB5"/>
    <w:rsid w:val="000A7F36"/>
    <w:rsid w:val="000B0104"/>
    <w:rsid w:val="000B018B"/>
    <w:rsid w:val="000B10B9"/>
    <w:rsid w:val="000B19E5"/>
    <w:rsid w:val="000B324C"/>
    <w:rsid w:val="000B3CF1"/>
    <w:rsid w:val="000B44BB"/>
    <w:rsid w:val="000B4CBA"/>
    <w:rsid w:val="000B5122"/>
    <w:rsid w:val="000B68FA"/>
    <w:rsid w:val="000B7185"/>
    <w:rsid w:val="000C0EF0"/>
    <w:rsid w:val="000C16DA"/>
    <w:rsid w:val="000C1920"/>
    <w:rsid w:val="000C2A07"/>
    <w:rsid w:val="000C2AD7"/>
    <w:rsid w:val="000C3014"/>
    <w:rsid w:val="000C35FE"/>
    <w:rsid w:val="000C43F0"/>
    <w:rsid w:val="000C4498"/>
    <w:rsid w:val="000C454B"/>
    <w:rsid w:val="000C4A04"/>
    <w:rsid w:val="000C4AC4"/>
    <w:rsid w:val="000C50DF"/>
    <w:rsid w:val="000C5685"/>
    <w:rsid w:val="000C5B7A"/>
    <w:rsid w:val="000C5C4C"/>
    <w:rsid w:val="000C5FE1"/>
    <w:rsid w:val="000C65F5"/>
    <w:rsid w:val="000C71E7"/>
    <w:rsid w:val="000C7628"/>
    <w:rsid w:val="000C7BF8"/>
    <w:rsid w:val="000D049E"/>
    <w:rsid w:val="000D08D8"/>
    <w:rsid w:val="000D1162"/>
    <w:rsid w:val="000D1880"/>
    <w:rsid w:val="000D2321"/>
    <w:rsid w:val="000D2428"/>
    <w:rsid w:val="000D29E5"/>
    <w:rsid w:val="000D2A9E"/>
    <w:rsid w:val="000D3F22"/>
    <w:rsid w:val="000D48C3"/>
    <w:rsid w:val="000D6CA6"/>
    <w:rsid w:val="000D7701"/>
    <w:rsid w:val="000E2B40"/>
    <w:rsid w:val="000E59E2"/>
    <w:rsid w:val="000E5B0E"/>
    <w:rsid w:val="000E64F3"/>
    <w:rsid w:val="000E72EC"/>
    <w:rsid w:val="000E7CBB"/>
    <w:rsid w:val="000F0F19"/>
    <w:rsid w:val="000F1ACF"/>
    <w:rsid w:val="000F1C17"/>
    <w:rsid w:val="000F2669"/>
    <w:rsid w:val="000F2FFC"/>
    <w:rsid w:val="000F3B33"/>
    <w:rsid w:val="000F67BA"/>
    <w:rsid w:val="000F6BFB"/>
    <w:rsid w:val="000F7021"/>
    <w:rsid w:val="001036E0"/>
    <w:rsid w:val="00104335"/>
    <w:rsid w:val="001044D8"/>
    <w:rsid w:val="00104BC1"/>
    <w:rsid w:val="00105DDE"/>
    <w:rsid w:val="001065B9"/>
    <w:rsid w:val="00110BB4"/>
    <w:rsid w:val="001111A0"/>
    <w:rsid w:val="00111332"/>
    <w:rsid w:val="00113165"/>
    <w:rsid w:val="001143E5"/>
    <w:rsid w:val="0011449D"/>
    <w:rsid w:val="00114801"/>
    <w:rsid w:val="001151E8"/>
    <w:rsid w:val="00115B09"/>
    <w:rsid w:val="0011655E"/>
    <w:rsid w:val="001172D1"/>
    <w:rsid w:val="001172FD"/>
    <w:rsid w:val="00117C0E"/>
    <w:rsid w:val="00120080"/>
    <w:rsid w:val="00120955"/>
    <w:rsid w:val="00120E91"/>
    <w:rsid w:val="001218EE"/>
    <w:rsid w:val="00122A7E"/>
    <w:rsid w:val="00122D9B"/>
    <w:rsid w:val="001244F2"/>
    <w:rsid w:val="001261FB"/>
    <w:rsid w:val="0012674F"/>
    <w:rsid w:val="001278AA"/>
    <w:rsid w:val="00127D80"/>
    <w:rsid w:val="001301F6"/>
    <w:rsid w:val="0013020F"/>
    <w:rsid w:val="001304E0"/>
    <w:rsid w:val="001324D1"/>
    <w:rsid w:val="00132EFA"/>
    <w:rsid w:val="00133D0D"/>
    <w:rsid w:val="00134018"/>
    <w:rsid w:val="001350CF"/>
    <w:rsid w:val="00135218"/>
    <w:rsid w:val="0013569D"/>
    <w:rsid w:val="00135AC5"/>
    <w:rsid w:val="00136297"/>
    <w:rsid w:val="001370C2"/>
    <w:rsid w:val="00137B49"/>
    <w:rsid w:val="00140C09"/>
    <w:rsid w:val="00140EEC"/>
    <w:rsid w:val="00140F81"/>
    <w:rsid w:val="0014152D"/>
    <w:rsid w:val="0014195D"/>
    <w:rsid w:val="00142DFA"/>
    <w:rsid w:val="001433B9"/>
    <w:rsid w:val="001436A8"/>
    <w:rsid w:val="00143C1B"/>
    <w:rsid w:val="00143D50"/>
    <w:rsid w:val="00143FBF"/>
    <w:rsid w:val="00144D40"/>
    <w:rsid w:val="00145012"/>
    <w:rsid w:val="00145418"/>
    <w:rsid w:val="00146272"/>
    <w:rsid w:val="00146A5D"/>
    <w:rsid w:val="00150CDA"/>
    <w:rsid w:val="00150CEE"/>
    <w:rsid w:val="001528CE"/>
    <w:rsid w:val="00152DCA"/>
    <w:rsid w:val="00155367"/>
    <w:rsid w:val="001554AA"/>
    <w:rsid w:val="00156621"/>
    <w:rsid w:val="00156D61"/>
    <w:rsid w:val="0016104B"/>
    <w:rsid w:val="0016180E"/>
    <w:rsid w:val="00161E99"/>
    <w:rsid w:val="00166517"/>
    <w:rsid w:val="001667BE"/>
    <w:rsid w:val="00167B7F"/>
    <w:rsid w:val="00167E7E"/>
    <w:rsid w:val="001701A8"/>
    <w:rsid w:val="00170345"/>
    <w:rsid w:val="001708EF"/>
    <w:rsid w:val="00171083"/>
    <w:rsid w:val="00171AAE"/>
    <w:rsid w:val="00171D37"/>
    <w:rsid w:val="001724C2"/>
    <w:rsid w:val="00172A3C"/>
    <w:rsid w:val="00174273"/>
    <w:rsid w:val="0017436D"/>
    <w:rsid w:val="00175971"/>
    <w:rsid w:val="00175C84"/>
    <w:rsid w:val="001760CD"/>
    <w:rsid w:val="0017693A"/>
    <w:rsid w:val="00176B26"/>
    <w:rsid w:val="00177C2C"/>
    <w:rsid w:val="00180B70"/>
    <w:rsid w:val="001811D4"/>
    <w:rsid w:val="00181299"/>
    <w:rsid w:val="001836AE"/>
    <w:rsid w:val="00183FC7"/>
    <w:rsid w:val="001849A5"/>
    <w:rsid w:val="00184A81"/>
    <w:rsid w:val="00186157"/>
    <w:rsid w:val="0018620F"/>
    <w:rsid w:val="001878B0"/>
    <w:rsid w:val="00187C30"/>
    <w:rsid w:val="001905FC"/>
    <w:rsid w:val="0019080E"/>
    <w:rsid w:val="00190C79"/>
    <w:rsid w:val="00190E78"/>
    <w:rsid w:val="001911BC"/>
    <w:rsid w:val="00193836"/>
    <w:rsid w:val="00194297"/>
    <w:rsid w:val="001943F5"/>
    <w:rsid w:val="00194EF8"/>
    <w:rsid w:val="001952E5"/>
    <w:rsid w:val="00195A25"/>
    <w:rsid w:val="00196EC4"/>
    <w:rsid w:val="001970F2"/>
    <w:rsid w:val="001972D0"/>
    <w:rsid w:val="00197C2E"/>
    <w:rsid w:val="001A021A"/>
    <w:rsid w:val="001A0BDA"/>
    <w:rsid w:val="001A0EE2"/>
    <w:rsid w:val="001A2252"/>
    <w:rsid w:val="001A2575"/>
    <w:rsid w:val="001A2A16"/>
    <w:rsid w:val="001A32B1"/>
    <w:rsid w:val="001A33B5"/>
    <w:rsid w:val="001A4894"/>
    <w:rsid w:val="001A501C"/>
    <w:rsid w:val="001A54F8"/>
    <w:rsid w:val="001A562B"/>
    <w:rsid w:val="001A697A"/>
    <w:rsid w:val="001A74D6"/>
    <w:rsid w:val="001A7847"/>
    <w:rsid w:val="001A7AAF"/>
    <w:rsid w:val="001A7B51"/>
    <w:rsid w:val="001A7BF3"/>
    <w:rsid w:val="001B0737"/>
    <w:rsid w:val="001B0964"/>
    <w:rsid w:val="001B1F69"/>
    <w:rsid w:val="001B29E6"/>
    <w:rsid w:val="001B2DCD"/>
    <w:rsid w:val="001B3034"/>
    <w:rsid w:val="001B3E82"/>
    <w:rsid w:val="001B51AA"/>
    <w:rsid w:val="001B5C73"/>
    <w:rsid w:val="001B66F0"/>
    <w:rsid w:val="001B68A0"/>
    <w:rsid w:val="001B68EA"/>
    <w:rsid w:val="001B759A"/>
    <w:rsid w:val="001B7AF1"/>
    <w:rsid w:val="001B7B77"/>
    <w:rsid w:val="001B7CC4"/>
    <w:rsid w:val="001C0668"/>
    <w:rsid w:val="001C12A9"/>
    <w:rsid w:val="001C2592"/>
    <w:rsid w:val="001C4212"/>
    <w:rsid w:val="001C4607"/>
    <w:rsid w:val="001C4CA5"/>
    <w:rsid w:val="001C4F33"/>
    <w:rsid w:val="001C5654"/>
    <w:rsid w:val="001C5C6F"/>
    <w:rsid w:val="001C6ADD"/>
    <w:rsid w:val="001C6E7A"/>
    <w:rsid w:val="001C7C88"/>
    <w:rsid w:val="001C7CB8"/>
    <w:rsid w:val="001D04D2"/>
    <w:rsid w:val="001D077E"/>
    <w:rsid w:val="001D0CB6"/>
    <w:rsid w:val="001D0EAF"/>
    <w:rsid w:val="001D1982"/>
    <w:rsid w:val="001D2966"/>
    <w:rsid w:val="001D3617"/>
    <w:rsid w:val="001D3ACC"/>
    <w:rsid w:val="001D407C"/>
    <w:rsid w:val="001D574E"/>
    <w:rsid w:val="001D5ECD"/>
    <w:rsid w:val="001D73D3"/>
    <w:rsid w:val="001D73E8"/>
    <w:rsid w:val="001D7C92"/>
    <w:rsid w:val="001E050E"/>
    <w:rsid w:val="001E0A63"/>
    <w:rsid w:val="001E11C2"/>
    <w:rsid w:val="001E1385"/>
    <w:rsid w:val="001E1A96"/>
    <w:rsid w:val="001E384E"/>
    <w:rsid w:val="001E4149"/>
    <w:rsid w:val="001E47F9"/>
    <w:rsid w:val="001E4E86"/>
    <w:rsid w:val="001E52EF"/>
    <w:rsid w:val="001E5687"/>
    <w:rsid w:val="001E6122"/>
    <w:rsid w:val="001F1A50"/>
    <w:rsid w:val="001F1F0D"/>
    <w:rsid w:val="001F1F97"/>
    <w:rsid w:val="001F21A6"/>
    <w:rsid w:val="001F271A"/>
    <w:rsid w:val="001F35CF"/>
    <w:rsid w:val="001F3AF1"/>
    <w:rsid w:val="001F44AC"/>
    <w:rsid w:val="001F54BA"/>
    <w:rsid w:val="001F625B"/>
    <w:rsid w:val="001F64F1"/>
    <w:rsid w:val="001F6FAE"/>
    <w:rsid w:val="00200FEA"/>
    <w:rsid w:val="00201484"/>
    <w:rsid w:val="00201BD6"/>
    <w:rsid w:val="00202646"/>
    <w:rsid w:val="002028A5"/>
    <w:rsid w:val="0020298A"/>
    <w:rsid w:val="002035D3"/>
    <w:rsid w:val="00203D30"/>
    <w:rsid w:val="002045EA"/>
    <w:rsid w:val="00204C9C"/>
    <w:rsid w:val="00206D45"/>
    <w:rsid w:val="0020704B"/>
    <w:rsid w:val="00207B48"/>
    <w:rsid w:val="00210351"/>
    <w:rsid w:val="0021121D"/>
    <w:rsid w:val="00213198"/>
    <w:rsid w:val="002137C1"/>
    <w:rsid w:val="002137F2"/>
    <w:rsid w:val="00213853"/>
    <w:rsid w:val="00213CE5"/>
    <w:rsid w:val="002140BA"/>
    <w:rsid w:val="002143BE"/>
    <w:rsid w:val="0021443B"/>
    <w:rsid w:val="0021549D"/>
    <w:rsid w:val="00215582"/>
    <w:rsid w:val="00215790"/>
    <w:rsid w:val="00215AC8"/>
    <w:rsid w:val="00215EFC"/>
    <w:rsid w:val="00215FC2"/>
    <w:rsid w:val="002173AB"/>
    <w:rsid w:val="00217911"/>
    <w:rsid w:val="002208EE"/>
    <w:rsid w:val="00220AB7"/>
    <w:rsid w:val="00220F64"/>
    <w:rsid w:val="0022151A"/>
    <w:rsid w:val="00222983"/>
    <w:rsid w:val="0022302C"/>
    <w:rsid w:val="00223481"/>
    <w:rsid w:val="002245FF"/>
    <w:rsid w:val="00224C6E"/>
    <w:rsid w:val="0022564B"/>
    <w:rsid w:val="00227628"/>
    <w:rsid w:val="002302E9"/>
    <w:rsid w:val="00230D43"/>
    <w:rsid w:val="00230EDC"/>
    <w:rsid w:val="002328CD"/>
    <w:rsid w:val="00233DF7"/>
    <w:rsid w:val="002365DA"/>
    <w:rsid w:val="00236671"/>
    <w:rsid w:val="00236915"/>
    <w:rsid w:val="00237021"/>
    <w:rsid w:val="00240E7D"/>
    <w:rsid w:val="0024114F"/>
    <w:rsid w:val="00243634"/>
    <w:rsid w:val="00243FD9"/>
    <w:rsid w:val="00244320"/>
    <w:rsid w:val="002448B7"/>
    <w:rsid w:val="00244993"/>
    <w:rsid w:val="002460A1"/>
    <w:rsid w:val="00246DEF"/>
    <w:rsid w:val="0025043D"/>
    <w:rsid w:val="00250D3D"/>
    <w:rsid w:val="00251F9F"/>
    <w:rsid w:val="002522CD"/>
    <w:rsid w:val="00253185"/>
    <w:rsid w:val="0025339A"/>
    <w:rsid w:val="002545A9"/>
    <w:rsid w:val="0025467C"/>
    <w:rsid w:val="0025689A"/>
    <w:rsid w:val="00256E9B"/>
    <w:rsid w:val="002573BC"/>
    <w:rsid w:val="0025759F"/>
    <w:rsid w:val="00260B13"/>
    <w:rsid w:val="00260C43"/>
    <w:rsid w:val="00260FDD"/>
    <w:rsid w:val="00261409"/>
    <w:rsid w:val="00262269"/>
    <w:rsid w:val="00262B78"/>
    <w:rsid w:val="00263863"/>
    <w:rsid w:val="00263C8C"/>
    <w:rsid w:val="002659D6"/>
    <w:rsid w:val="002674CE"/>
    <w:rsid w:val="00270091"/>
    <w:rsid w:val="0027192C"/>
    <w:rsid w:val="002726F2"/>
    <w:rsid w:val="002730E3"/>
    <w:rsid w:val="002734C7"/>
    <w:rsid w:val="002736A1"/>
    <w:rsid w:val="002741D1"/>
    <w:rsid w:val="00274A50"/>
    <w:rsid w:val="0027538C"/>
    <w:rsid w:val="00275BE5"/>
    <w:rsid w:val="00276397"/>
    <w:rsid w:val="002773D2"/>
    <w:rsid w:val="00277B6F"/>
    <w:rsid w:val="00277D41"/>
    <w:rsid w:val="0028020B"/>
    <w:rsid w:val="002806EA"/>
    <w:rsid w:val="00280CA9"/>
    <w:rsid w:val="00280D47"/>
    <w:rsid w:val="00280F94"/>
    <w:rsid w:val="00282008"/>
    <w:rsid w:val="002822B1"/>
    <w:rsid w:val="00282427"/>
    <w:rsid w:val="0028313E"/>
    <w:rsid w:val="00283C48"/>
    <w:rsid w:val="0028436A"/>
    <w:rsid w:val="00284461"/>
    <w:rsid w:val="0028464F"/>
    <w:rsid w:val="002846B3"/>
    <w:rsid w:val="00284DF3"/>
    <w:rsid w:val="0028508F"/>
    <w:rsid w:val="00285681"/>
    <w:rsid w:val="00285A12"/>
    <w:rsid w:val="00286EF4"/>
    <w:rsid w:val="0028743C"/>
    <w:rsid w:val="002904F3"/>
    <w:rsid w:val="00292106"/>
    <w:rsid w:val="00292C7D"/>
    <w:rsid w:val="002944A0"/>
    <w:rsid w:val="00297260"/>
    <w:rsid w:val="0029753E"/>
    <w:rsid w:val="002A042C"/>
    <w:rsid w:val="002A0EAA"/>
    <w:rsid w:val="002A16ED"/>
    <w:rsid w:val="002A2069"/>
    <w:rsid w:val="002A22DA"/>
    <w:rsid w:val="002A298C"/>
    <w:rsid w:val="002A3788"/>
    <w:rsid w:val="002A3AAB"/>
    <w:rsid w:val="002A4E11"/>
    <w:rsid w:val="002A5323"/>
    <w:rsid w:val="002A6519"/>
    <w:rsid w:val="002A6DF0"/>
    <w:rsid w:val="002A7642"/>
    <w:rsid w:val="002B001A"/>
    <w:rsid w:val="002B0185"/>
    <w:rsid w:val="002B12DC"/>
    <w:rsid w:val="002B1756"/>
    <w:rsid w:val="002B1D45"/>
    <w:rsid w:val="002B237F"/>
    <w:rsid w:val="002B2427"/>
    <w:rsid w:val="002B2BD6"/>
    <w:rsid w:val="002B33D3"/>
    <w:rsid w:val="002B36B0"/>
    <w:rsid w:val="002B4C73"/>
    <w:rsid w:val="002B5573"/>
    <w:rsid w:val="002B583C"/>
    <w:rsid w:val="002B731F"/>
    <w:rsid w:val="002B7C6D"/>
    <w:rsid w:val="002B7F7E"/>
    <w:rsid w:val="002B7FA4"/>
    <w:rsid w:val="002C0716"/>
    <w:rsid w:val="002C1802"/>
    <w:rsid w:val="002C25E2"/>
    <w:rsid w:val="002C285F"/>
    <w:rsid w:val="002C298F"/>
    <w:rsid w:val="002C2B26"/>
    <w:rsid w:val="002C2DCC"/>
    <w:rsid w:val="002C3EA3"/>
    <w:rsid w:val="002C4E83"/>
    <w:rsid w:val="002C5390"/>
    <w:rsid w:val="002C54F9"/>
    <w:rsid w:val="002C618B"/>
    <w:rsid w:val="002C7667"/>
    <w:rsid w:val="002D029C"/>
    <w:rsid w:val="002D056D"/>
    <w:rsid w:val="002D1746"/>
    <w:rsid w:val="002D19D9"/>
    <w:rsid w:val="002D1DCA"/>
    <w:rsid w:val="002D27C4"/>
    <w:rsid w:val="002D34AD"/>
    <w:rsid w:val="002D38ED"/>
    <w:rsid w:val="002D4027"/>
    <w:rsid w:val="002D465F"/>
    <w:rsid w:val="002D4ADB"/>
    <w:rsid w:val="002D556A"/>
    <w:rsid w:val="002D660E"/>
    <w:rsid w:val="002D680A"/>
    <w:rsid w:val="002D68E5"/>
    <w:rsid w:val="002D6D06"/>
    <w:rsid w:val="002D781B"/>
    <w:rsid w:val="002E0089"/>
    <w:rsid w:val="002E0CCC"/>
    <w:rsid w:val="002E1935"/>
    <w:rsid w:val="002E1B76"/>
    <w:rsid w:val="002E2048"/>
    <w:rsid w:val="002E21C4"/>
    <w:rsid w:val="002E3214"/>
    <w:rsid w:val="002E32D7"/>
    <w:rsid w:val="002E3524"/>
    <w:rsid w:val="002E360E"/>
    <w:rsid w:val="002E3E66"/>
    <w:rsid w:val="002E4718"/>
    <w:rsid w:val="002E5013"/>
    <w:rsid w:val="002E5E87"/>
    <w:rsid w:val="002E698F"/>
    <w:rsid w:val="002E6D9E"/>
    <w:rsid w:val="002E71E0"/>
    <w:rsid w:val="002E7381"/>
    <w:rsid w:val="002E791C"/>
    <w:rsid w:val="002F019D"/>
    <w:rsid w:val="002F0962"/>
    <w:rsid w:val="002F14B5"/>
    <w:rsid w:val="002F2146"/>
    <w:rsid w:val="002F2AAD"/>
    <w:rsid w:val="002F2AEF"/>
    <w:rsid w:val="002F381B"/>
    <w:rsid w:val="002F39AE"/>
    <w:rsid w:val="002F49C8"/>
    <w:rsid w:val="002F4F55"/>
    <w:rsid w:val="002F50CB"/>
    <w:rsid w:val="002F6DD3"/>
    <w:rsid w:val="002F704E"/>
    <w:rsid w:val="002F72F6"/>
    <w:rsid w:val="002F734E"/>
    <w:rsid w:val="002F74EF"/>
    <w:rsid w:val="00300095"/>
    <w:rsid w:val="003009D8"/>
    <w:rsid w:val="00300A96"/>
    <w:rsid w:val="0030227F"/>
    <w:rsid w:val="0030281D"/>
    <w:rsid w:val="00304F34"/>
    <w:rsid w:val="00305588"/>
    <w:rsid w:val="003055A2"/>
    <w:rsid w:val="00305827"/>
    <w:rsid w:val="00306AF7"/>
    <w:rsid w:val="0030712C"/>
    <w:rsid w:val="00311E40"/>
    <w:rsid w:val="00311F73"/>
    <w:rsid w:val="00313640"/>
    <w:rsid w:val="00313FAA"/>
    <w:rsid w:val="0031520B"/>
    <w:rsid w:val="00315F28"/>
    <w:rsid w:val="00316D38"/>
    <w:rsid w:val="003173AF"/>
    <w:rsid w:val="003175BA"/>
    <w:rsid w:val="003218F6"/>
    <w:rsid w:val="00321E6D"/>
    <w:rsid w:val="00321ECE"/>
    <w:rsid w:val="003232C7"/>
    <w:rsid w:val="00323595"/>
    <w:rsid w:val="00323A66"/>
    <w:rsid w:val="00323D73"/>
    <w:rsid w:val="00323F1C"/>
    <w:rsid w:val="00323F4C"/>
    <w:rsid w:val="003241CB"/>
    <w:rsid w:val="00325DD8"/>
    <w:rsid w:val="003263B3"/>
    <w:rsid w:val="00326F9B"/>
    <w:rsid w:val="00330CF7"/>
    <w:rsid w:val="00331678"/>
    <w:rsid w:val="003320A8"/>
    <w:rsid w:val="003323EF"/>
    <w:rsid w:val="003334F3"/>
    <w:rsid w:val="003335FA"/>
    <w:rsid w:val="00333BE3"/>
    <w:rsid w:val="00333DEB"/>
    <w:rsid w:val="00333FEB"/>
    <w:rsid w:val="003365A0"/>
    <w:rsid w:val="00337069"/>
    <w:rsid w:val="003373EE"/>
    <w:rsid w:val="00337B00"/>
    <w:rsid w:val="00337D8F"/>
    <w:rsid w:val="00337EAC"/>
    <w:rsid w:val="003402A7"/>
    <w:rsid w:val="00341CB2"/>
    <w:rsid w:val="00341F13"/>
    <w:rsid w:val="00343113"/>
    <w:rsid w:val="00343387"/>
    <w:rsid w:val="00344802"/>
    <w:rsid w:val="003448F4"/>
    <w:rsid w:val="00344E7E"/>
    <w:rsid w:val="0034518B"/>
    <w:rsid w:val="00345261"/>
    <w:rsid w:val="003453A0"/>
    <w:rsid w:val="00345E72"/>
    <w:rsid w:val="003465B7"/>
    <w:rsid w:val="00346809"/>
    <w:rsid w:val="00346D29"/>
    <w:rsid w:val="00347B32"/>
    <w:rsid w:val="003505CD"/>
    <w:rsid w:val="00350D86"/>
    <w:rsid w:val="00351B3A"/>
    <w:rsid w:val="00351ED1"/>
    <w:rsid w:val="00351F37"/>
    <w:rsid w:val="00352F55"/>
    <w:rsid w:val="00353CD2"/>
    <w:rsid w:val="003544D8"/>
    <w:rsid w:val="003545FA"/>
    <w:rsid w:val="0035466C"/>
    <w:rsid w:val="00354A60"/>
    <w:rsid w:val="00356020"/>
    <w:rsid w:val="00360739"/>
    <w:rsid w:val="00360A10"/>
    <w:rsid w:val="0036167A"/>
    <w:rsid w:val="00361DAD"/>
    <w:rsid w:val="003626D2"/>
    <w:rsid w:val="003628CD"/>
    <w:rsid w:val="00363538"/>
    <w:rsid w:val="00363831"/>
    <w:rsid w:val="00364A8D"/>
    <w:rsid w:val="00364DE2"/>
    <w:rsid w:val="00364E1C"/>
    <w:rsid w:val="00364FF4"/>
    <w:rsid w:val="00366EC0"/>
    <w:rsid w:val="0036700E"/>
    <w:rsid w:val="003674AF"/>
    <w:rsid w:val="0036776A"/>
    <w:rsid w:val="00370653"/>
    <w:rsid w:val="00370FC2"/>
    <w:rsid w:val="00371005"/>
    <w:rsid w:val="003718E1"/>
    <w:rsid w:val="00371F43"/>
    <w:rsid w:val="003730D0"/>
    <w:rsid w:val="003739D2"/>
    <w:rsid w:val="00373B34"/>
    <w:rsid w:val="00374019"/>
    <w:rsid w:val="00374786"/>
    <w:rsid w:val="003753D7"/>
    <w:rsid w:val="003754CE"/>
    <w:rsid w:val="003766AB"/>
    <w:rsid w:val="00376ADE"/>
    <w:rsid w:val="003807A3"/>
    <w:rsid w:val="003828F1"/>
    <w:rsid w:val="00382C9E"/>
    <w:rsid w:val="00383225"/>
    <w:rsid w:val="00383E5C"/>
    <w:rsid w:val="00383EBE"/>
    <w:rsid w:val="00383FA4"/>
    <w:rsid w:val="00383FB5"/>
    <w:rsid w:val="00387C14"/>
    <w:rsid w:val="00390C93"/>
    <w:rsid w:val="003911C1"/>
    <w:rsid w:val="003914C9"/>
    <w:rsid w:val="00392613"/>
    <w:rsid w:val="00394029"/>
    <w:rsid w:val="003941A6"/>
    <w:rsid w:val="0039447D"/>
    <w:rsid w:val="00395014"/>
    <w:rsid w:val="00395151"/>
    <w:rsid w:val="003954CB"/>
    <w:rsid w:val="00396E5B"/>
    <w:rsid w:val="00396F98"/>
    <w:rsid w:val="00397BF2"/>
    <w:rsid w:val="00397E5B"/>
    <w:rsid w:val="00397F79"/>
    <w:rsid w:val="003A0292"/>
    <w:rsid w:val="003A068A"/>
    <w:rsid w:val="003A1DA2"/>
    <w:rsid w:val="003A2519"/>
    <w:rsid w:val="003A2859"/>
    <w:rsid w:val="003A3ABE"/>
    <w:rsid w:val="003A49FC"/>
    <w:rsid w:val="003A4F67"/>
    <w:rsid w:val="003A535A"/>
    <w:rsid w:val="003A6387"/>
    <w:rsid w:val="003A6D70"/>
    <w:rsid w:val="003A6E84"/>
    <w:rsid w:val="003A73CB"/>
    <w:rsid w:val="003A7DB4"/>
    <w:rsid w:val="003B0332"/>
    <w:rsid w:val="003B1312"/>
    <w:rsid w:val="003B176B"/>
    <w:rsid w:val="003B18DF"/>
    <w:rsid w:val="003B1BB1"/>
    <w:rsid w:val="003B1F60"/>
    <w:rsid w:val="003B201C"/>
    <w:rsid w:val="003B2801"/>
    <w:rsid w:val="003B29CA"/>
    <w:rsid w:val="003B3664"/>
    <w:rsid w:val="003B3857"/>
    <w:rsid w:val="003B48AC"/>
    <w:rsid w:val="003B4DB7"/>
    <w:rsid w:val="003B5517"/>
    <w:rsid w:val="003B67D4"/>
    <w:rsid w:val="003B7549"/>
    <w:rsid w:val="003B793D"/>
    <w:rsid w:val="003C0212"/>
    <w:rsid w:val="003C102C"/>
    <w:rsid w:val="003C17C4"/>
    <w:rsid w:val="003C2BB7"/>
    <w:rsid w:val="003C2D8A"/>
    <w:rsid w:val="003C2E84"/>
    <w:rsid w:val="003C470F"/>
    <w:rsid w:val="003C5F78"/>
    <w:rsid w:val="003C61FA"/>
    <w:rsid w:val="003C6418"/>
    <w:rsid w:val="003D0E43"/>
    <w:rsid w:val="003D14AF"/>
    <w:rsid w:val="003D2664"/>
    <w:rsid w:val="003D3334"/>
    <w:rsid w:val="003D3AD6"/>
    <w:rsid w:val="003D422A"/>
    <w:rsid w:val="003D5C11"/>
    <w:rsid w:val="003D5C83"/>
    <w:rsid w:val="003D6E9E"/>
    <w:rsid w:val="003D7449"/>
    <w:rsid w:val="003E0922"/>
    <w:rsid w:val="003E0F42"/>
    <w:rsid w:val="003E1ADC"/>
    <w:rsid w:val="003E3358"/>
    <w:rsid w:val="003E4D8B"/>
    <w:rsid w:val="003E5499"/>
    <w:rsid w:val="003E5EF0"/>
    <w:rsid w:val="003E5F7D"/>
    <w:rsid w:val="003E626F"/>
    <w:rsid w:val="003E629B"/>
    <w:rsid w:val="003E6880"/>
    <w:rsid w:val="003E68ED"/>
    <w:rsid w:val="003E6BE9"/>
    <w:rsid w:val="003E776C"/>
    <w:rsid w:val="003E798A"/>
    <w:rsid w:val="003E7B57"/>
    <w:rsid w:val="003F018F"/>
    <w:rsid w:val="003F0C00"/>
    <w:rsid w:val="003F240C"/>
    <w:rsid w:val="003F30E7"/>
    <w:rsid w:val="003F3860"/>
    <w:rsid w:val="003F3DC3"/>
    <w:rsid w:val="003F46B0"/>
    <w:rsid w:val="003F566F"/>
    <w:rsid w:val="003F5AB4"/>
    <w:rsid w:val="003F6A06"/>
    <w:rsid w:val="003F6F47"/>
    <w:rsid w:val="003F7255"/>
    <w:rsid w:val="003F777F"/>
    <w:rsid w:val="003F7D9C"/>
    <w:rsid w:val="003F7DE1"/>
    <w:rsid w:val="004004FA"/>
    <w:rsid w:val="004005BA"/>
    <w:rsid w:val="00400B38"/>
    <w:rsid w:val="00400E31"/>
    <w:rsid w:val="004010AA"/>
    <w:rsid w:val="004012CE"/>
    <w:rsid w:val="00402F44"/>
    <w:rsid w:val="00404DD4"/>
    <w:rsid w:val="00404E43"/>
    <w:rsid w:val="00406587"/>
    <w:rsid w:val="004072A2"/>
    <w:rsid w:val="004074CC"/>
    <w:rsid w:val="004110DC"/>
    <w:rsid w:val="004110DD"/>
    <w:rsid w:val="004116A2"/>
    <w:rsid w:val="00411860"/>
    <w:rsid w:val="00411BB8"/>
    <w:rsid w:val="00412664"/>
    <w:rsid w:val="0041346E"/>
    <w:rsid w:val="004140D3"/>
    <w:rsid w:val="00414F8E"/>
    <w:rsid w:val="004153FC"/>
    <w:rsid w:val="00416063"/>
    <w:rsid w:val="004164A9"/>
    <w:rsid w:val="00417443"/>
    <w:rsid w:val="004179D7"/>
    <w:rsid w:val="00417A08"/>
    <w:rsid w:val="0042099B"/>
    <w:rsid w:val="004216C2"/>
    <w:rsid w:val="00422395"/>
    <w:rsid w:val="00422609"/>
    <w:rsid w:val="00423995"/>
    <w:rsid w:val="004241C4"/>
    <w:rsid w:val="004245E6"/>
    <w:rsid w:val="00424AD3"/>
    <w:rsid w:val="00424B0F"/>
    <w:rsid w:val="00424B8D"/>
    <w:rsid w:val="00424D68"/>
    <w:rsid w:val="0042506F"/>
    <w:rsid w:val="00425197"/>
    <w:rsid w:val="00425831"/>
    <w:rsid w:val="004277A1"/>
    <w:rsid w:val="004277EA"/>
    <w:rsid w:val="0043088B"/>
    <w:rsid w:val="00430BBF"/>
    <w:rsid w:val="0043122F"/>
    <w:rsid w:val="004313A1"/>
    <w:rsid w:val="00431FA6"/>
    <w:rsid w:val="00435405"/>
    <w:rsid w:val="00435443"/>
    <w:rsid w:val="004356F6"/>
    <w:rsid w:val="00440253"/>
    <w:rsid w:val="004408EB"/>
    <w:rsid w:val="0044096F"/>
    <w:rsid w:val="0044266D"/>
    <w:rsid w:val="00443D95"/>
    <w:rsid w:val="00444354"/>
    <w:rsid w:val="0044435B"/>
    <w:rsid w:val="004460B5"/>
    <w:rsid w:val="004466D6"/>
    <w:rsid w:val="00447353"/>
    <w:rsid w:val="00450155"/>
    <w:rsid w:val="00450A23"/>
    <w:rsid w:val="004515B7"/>
    <w:rsid w:val="004523AA"/>
    <w:rsid w:val="004523D7"/>
    <w:rsid w:val="004528DF"/>
    <w:rsid w:val="00452B33"/>
    <w:rsid w:val="00455424"/>
    <w:rsid w:val="00455C3B"/>
    <w:rsid w:val="00455CCA"/>
    <w:rsid w:val="00457B13"/>
    <w:rsid w:val="004603CF"/>
    <w:rsid w:val="00461585"/>
    <w:rsid w:val="00461A0F"/>
    <w:rsid w:val="00462A5B"/>
    <w:rsid w:val="00463425"/>
    <w:rsid w:val="004637F4"/>
    <w:rsid w:val="00463D39"/>
    <w:rsid w:val="00464B3D"/>
    <w:rsid w:val="00465449"/>
    <w:rsid w:val="00465ADF"/>
    <w:rsid w:val="00465EA5"/>
    <w:rsid w:val="004661A4"/>
    <w:rsid w:val="004674D4"/>
    <w:rsid w:val="004703C2"/>
    <w:rsid w:val="0047138E"/>
    <w:rsid w:val="00472570"/>
    <w:rsid w:val="004732F0"/>
    <w:rsid w:val="004735DD"/>
    <w:rsid w:val="0047365A"/>
    <w:rsid w:val="00473ADD"/>
    <w:rsid w:val="004747DB"/>
    <w:rsid w:val="00474E8C"/>
    <w:rsid w:val="00475651"/>
    <w:rsid w:val="004770DC"/>
    <w:rsid w:val="004772D1"/>
    <w:rsid w:val="00477E6F"/>
    <w:rsid w:val="00477EFE"/>
    <w:rsid w:val="00480973"/>
    <w:rsid w:val="004816AD"/>
    <w:rsid w:val="00481A37"/>
    <w:rsid w:val="00482A5A"/>
    <w:rsid w:val="00483C18"/>
    <w:rsid w:val="00483D0B"/>
    <w:rsid w:val="00484A61"/>
    <w:rsid w:val="00484B43"/>
    <w:rsid w:val="00485F0C"/>
    <w:rsid w:val="0048631A"/>
    <w:rsid w:val="00487632"/>
    <w:rsid w:val="0049036C"/>
    <w:rsid w:val="00490564"/>
    <w:rsid w:val="00490EAD"/>
    <w:rsid w:val="00491DA7"/>
    <w:rsid w:val="00491F10"/>
    <w:rsid w:val="00492192"/>
    <w:rsid w:val="00494A03"/>
    <w:rsid w:val="00494E17"/>
    <w:rsid w:val="00495103"/>
    <w:rsid w:val="0049548E"/>
    <w:rsid w:val="00495936"/>
    <w:rsid w:val="004A02AF"/>
    <w:rsid w:val="004A0530"/>
    <w:rsid w:val="004A0E05"/>
    <w:rsid w:val="004A1455"/>
    <w:rsid w:val="004A16AC"/>
    <w:rsid w:val="004A1E87"/>
    <w:rsid w:val="004A2F8D"/>
    <w:rsid w:val="004A30F1"/>
    <w:rsid w:val="004A4A2F"/>
    <w:rsid w:val="004A5DE8"/>
    <w:rsid w:val="004A6072"/>
    <w:rsid w:val="004A622A"/>
    <w:rsid w:val="004A7910"/>
    <w:rsid w:val="004A7AE2"/>
    <w:rsid w:val="004B0E6D"/>
    <w:rsid w:val="004B22C9"/>
    <w:rsid w:val="004B2673"/>
    <w:rsid w:val="004B2AB2"/>
    <w:rsid w:val="004B2D3C"/>
    <w:rsid w:val="004B2D6A"/>
    <w:rsid w:val="004B3858"/>
    <w:rsid w:val="004B3E5E"/>
    <w:rsid w:val="004B4058"/>
    <w:rsid w:val="004B47D7"/>
    <w:rsid w:val="004B577C"/>
    <w:rsid w:val="004B57E6"/>
    <w:rsid w:val="004B5A42"/>
    <w:rsid w:val="004B62D7"/>
    <w:rsid w:val="004B6BB6"/>
    <w:rsid w:val="004B72D3"/>
    <w:rsid w:val="004B773F"/>
    <w:rsid w:val="004C0528"/>
    <w:rsid w:val="004C0F6E"/>
    <w:rsid w:val="004C192D"/>
    <w:rsid w:val="004C1BFA"/>
    <w:rsid w:val="004C1CFE"/>
    <w:rsid w:val="004C1E85"/>
    <w:rsid w:val="004C224E"/>
    <w:rsid w:val="004C2A07"/>
    <w:rsid w:val="004C30BE"/>
    <w:rsid w:val="004C37A3"/>
    <w:rsid w:val="004C5C64"/>
    <w:rsid w:val="004C6E94"/>
    <w:rsid w:val="004D0258"/>
    <w:rsid w:val="004D2451"/>
    <w:rsid w:val="004D2640"/>
    <w:rsid w:val="004D2AE8"/>
    <w:rsid w:val="004D303A"/>
    <w:rsid w:val="004D34E6"/>
    <w:rsid w:val="004D352F"/>
    <w:rsid w:val="004D5C76"/>
    <w:rsid w:val="004D6B9F"/>
    <w:rsid w:val="004E4A6A"/>
    <w:rsid w:val="004E4BF9"/>
    <w:rsid w:val="004E5227"/>
    <w:rsid w:val="004E565D"/>
    <w:rsid w:val="004E5A84"/>
    <w:rsid w:val="004E60D7"/>
    <w:rsid w:val="004E6BB3"/>
    <w:rsid w:val="004E7037"/>
    <w:rsid w:val="004F0BC3"/>
    <w:rsid w:val="004F1531"/>
    <w:rsid w:val="004F23DB"/>
    <w:rsid w:val="004F265F"/>
    <w:rsid w:val="004F2FBB"/>
    <w:rsid w:val="004F31D9"/>
    <w:rsid w:val="004F4060"/>
    <w:rsid w:val="004F46D7"/>
    <w:rsid w:val="004F4C84"/>
    <w:rsid w:val="004F5821"/>
    <w:rsid w:val="004F5893"/>
    <w:rsid w:val="004F590A"/>
    <w:rsid w:val="004F60CB"/>
    <w:rsid w:val="004F710E"/>
    <w:rsid w:val="005008BD"/>
    <w:rsid w:val="00500980"/>
    <w:rsid w:val="005009F9"/>
    <w:rsid w:val="00501516"/>
    <w:rsid w:val="00502397"/>
    <w:rsid w:val="00503303"/>
    <w:rsid w:val="005041D5"/>
    <w:rsid w:val="00504359"/>
    <w:rsid w:val="00504A73"/>
    <w:rsid w:val="005053F1"/>
    <w:rsid w:val="0050578C"/>
    <w:rsid w:val="0050648F"/>
    <w:rsid w:val="0050669C"/>
    <w:rsid w:val="0050720C"/>
    <w:rsid w:val="00507E0C"/>
    <w:rsid w:val="00507E4C"/>
    <w:rsid w:val="00510737"/>
    <w:rsid w:val="00510B63"/>
    <w:rsid w:val="0051185D"/>
    <w:rsid w:val="005119CF"/>
    <w:rsid w:val="00512BB5"/>
    <w:rsid w:val="005144AB"/>
    <w:rsid w:val="005146B5"/>
    <w:rsid w:val="00514865"/>
    <w:rsid w:val="00515288"/>
    <w:rsid w:val="0051594D"/>
    <w:rsid w:val="00515956"/>
    <w:rsid w:val="00515B37"/>
    <w:rsid w:val="0051640E"/>
    <w:rsid w:val="005172E7"/>
    <w:rsid w:val="00517B8B"/>
    <w:rsid w:val="005200FF"/>
    <w:rsid w:val="00520227"/>
    <w:rsid w:val="00520C9A"/>
    <w:rsid w:val="00521041"/>
    <w:rsid w:val="005228A3"/>
    <w:rsid w:val="005232A1"/>
    <w:rsid w:val="00523CBC"/>
    <w:rsid w:val="0052439A"/>
    <w:rsid w:val="005243EE"/>
    <w:rsid w:val="00524A72"/>
    <w:rsid w:val="005254B1"/>
    <w:rsid w:val="0052574F"/>
    <w:rsid w:val="00525ACB"/>
    <w:rsid w:val="00526DD9"/>
    <w:rsid w:val="005278FB"/>
    <w:rsid w:val="00527915"/>
    <w:rsid w:val="00527CC7"/>
    <w:rsid w:val="005316B2"/>
    <w:rsid w:val="005336BB"/>
    <w:rsid w:val="0053421A"/>
    <w:rsid w:val="0053468B"/>
    <w:rsid w:val="00535750"/>
    <w:rsid w:val="00536BC0"/>
    <w:rsid w:val="00537A44"/>
    <w:rsid w:val="00537E81"/>
    <w:rsid w:val="00542C7E"/>
    <w:rsid w:val="00542F69"/>
    <w:rsid w:val="0054335A"/>
    <w:rsid w:val="00543A8B"/>
    <w:rsid w:val="00543AEF"/>
    <w:rsid w:val="00544AFA"/>
    <w:rsid w:val="005450CD"/>
    <w:rsid w:val="00545413"/>
    <w:rsid w:val="00545746"/>
    <w:rsid w:val="005460A5"/>
    <w:rsid w:val="0054637B"/>
    <w:rsid w:val="0054773E"/>
    <w:rsid w:val="005479A6"/>
    <w:rsid w:val="005509EA"/>
    <w:rsid w:val="00551194"/>
    <w:rsid w:val="005517A7"/>
    <w:rsid w:val="005518F4"/>
    <w:rsid w:val="00551EA9"/>
    <w:rsid w:val="00552D6F"/>
    <w:rsid w:val="00553792"/>
    <w:rsid w:val="00553A34"/>
    <w:rsid w:val="00554DC5"/>
    <w:rsid w:val="005555D5"/>
    <w:rsid w:val="00556EA1"/>
    <w:rsid w:val="005600AD"/>
    <w:rsid w:val="0056050C"/>
    <w:rsid w:val="00560593"/>
    <w:rsid w:val="00560A79"/>
    <w:rsid w:val="00560BBD"/>
    <w:rsid w:val="00560D00"/>
    <w:rsid w:val="00560E1C"/>
    <w:rsid w:val="00561B91"/>
    <w:rsid w:val="00561DE1"/>
    <w:rsid w:val="0056210C"/>
    <w:rsid w:val="00562984"/>
    <w:rsid w:val="005639D6"/>
    <w:rsid w:val="00563C7D"/>
    <w:rsid w:val="00564E5D"/>
    <w:rsid w:val="00565436"/>
    <w:rsid w:val="005654BC"/>
    <w:rsid w:val="005658C0"/>
    <w:rsid w:val="00565A76"/>
    <w:rsid w:val="00566CDC"/>
    <w:rsid w:val="0056705C"/>
    <w:rsid w:val="005673E4"/>
    <w:rsid w:val="005701D9"/>
    <w:rsid w:val="00572A83"/>
    <w:rsid w:val="00572B28"/>
    <w:rsid w:val="00572E5D"/>
    <w:rsid w:val="00573188"/>
    <w:rsid w:val="00573432"/>
    <w:rsid w:val="0057441C"/>
    <w:rsid w:val="005748DC"/>
    <w:rsid w:val="00574B9B"/>
    <w:rsid w:val="005753D5"/>
    <w:rsid w:val="00577517"/>
    <w:rsid w:val="00580F65"/>
    <w:rsid w:val="00580F71"/>
    <w:rsid w:val="00581092"/>
    <w:rsid w:val="00582040"/>
    <w:rsid w:val="00582045"/>
    <w:rsid w:val="00582692"/>
    <w:rsid w:val="005835E1"/>
    <w:rsid w:val="00583980"/>
    <w:rsid w:val="005843B4"/>
    <w:rsid w:val="005847EE"/>
    <w:rsid w:val="00584CF7"/>
    <w:rsid w:val="00585C8C"/>
    <w:rsid w:val="00585F67"/>
    <w:rsid w:val="00586635"/>
    <w:rsid w:val="0059021E"/>
    <w:rsid w:val="00591ACD"/>
    <w:rsid w:val="0059255A"/>
    <w:rsid w:val="005925D8"/>
    <w:rsid w:val="005927E5"/>
    <w:rsid w:val="0059281C"/>
    <w:rsid w:val="00592843"/>
    <w:rsid w:val="00594D14"/>
    <w:rsid w:val="00595552"/>
    <w:rsid w:val="0059579B"/>
    <w:rsid w:val="00595C98"/>
    <w:rsid w:val="005960E7"/>
    <w:rsid w:val="00596933"/>
    <w:rsid w:val="0059766F"/>
    <w:rsid w:val="005A055F"/>
    <w:rsid w:val="005A0F89"/>
    <w:rsid w:val="005A1E0B"/>
    <w:rsid w:val="005A2FDD"/>
    <w:rsid w:val="005A3574"/>
    <w:rsid w:val="005A4E04"/>
    <w:rsid w:val="005A5685"/>
    <w:rsid w:val="005A68EF"/>
    <w:rsid w:val="005A732B"/>
    <w:rsid w:val="005A7C3C"/>
    <w:rsid w:val="005B0BD0"/>
    <w:rsid w:val="005B1235"/>
    <w:rsid w:val="005B1334"/>
    <w:rsid w:val="005B224C"/>
    <w:rsid w:val="005B2F76"/>
    <w:rsid w:val="005B3D83"/>
    <w:rsid w:val="005B4B98"/>
    <w:rsid w:val="005B593B"/>
    <w:rsid w:val="005B5FD6"/>
    <w:rsid w:val="005B6739"/>
    <w:rsid w:val="005B69D0"/>
    <w:rsid w:val="005B6E45"/>
    <w:rsid w:val="005B7236"/>
    <w:rsid w:val="005B7387"/>
    <w:rsid w:val="005B79E5"/>
    <w:rsid w:val="005C03A0"/>
    <w:rsid w:val="005C0EA5"/>
    <w:rsid w:val="005C12A1"/>
    <w:rsid w:val="005C1FD1"/>
    <w:rsid w:val="005C2134"/>
    <w:rsid w:val="005C44A6"/>
    <w:rsid w:val="005C47FE"/>
    <w:rsid w:val="005C4A1C"/>
    <w:rsid w:val="005C4B42"/>
    <w:rsid w:val="005C5014"/>
    <w:rsid w:val="005C51C7"/>
    <w:rsid w:val="005C64BF"/>
    <w:rsid w:val="005C65B3"/>
    <w:rsid w:val="005C6E20"/>
    <w:rsid w:val="005D1492"/>
    <w:rsid w:val="005D15ED"/>
    <w:rsid w:val="005D1E9B"/>
    <w:rsid w:val="005D2FF9"/>
    <w:rsid w:val="005D3C03"/>
    <w:rsid w:val="005D4967"/>
    <w:rsid w:val="005D54FE"/>
    <w:rsid w:val="005D5876"/>
    <w:rsid w:val="005D62ED"/>
    <w:rsid w:val="005D680B"/>
    <w:rsid w:val="005D6C60"/>
    <w:rsid w:val="005D6F06"/>
    <w:rsid w:val="005D76AE"/>
    <w:rsid w:val="005E00A0"/>
    <w:rsid w:val="005E0BD8"/>
    <w:rsid w:val="005E0ED5"/>
    <w:rsid w:val="005E1629"/>
    <w:rsid w:val="005E1A7E"/>
    <w:rsid w:val="005E2517"/>
    <w:rsid w:val="005E421B"/>
    <w:rsid w:val="005E4AAC"/>
    <w:rsid w:val="005E545D"/>
    <w:rsid w:val="005E6182"/>
    <w:rsid w:val="005E72BE"/>
    <w:rsid w:val="005E7B72"/>
    <w:rsid w:val="005F046F"/>
    <w:rsid w:val="005F1443"/>
    <w:rsid w:val="005F1D19"/>
    <w:rsid w:val="005F26FE"/>
    <w:rsid w:val="005F2ECA"/>
    <w:rsid w:val="005F3870"/>
    <w:rsid w:val="005F38C5"/>
    <w:rsid w:val="005F5143"/>
    <w:rsid w:val="005F608B"/>
    <w:rsid w:val="005F6E11"/>
    <w:rsid w:val="005F767C"/>
    <w:rsid w:val="00600690"/>
    <w:rsid w:val="006006B0"/>
    <w:rsid w:val="00601012"/>
    <w:rsid w:val="006017EA"/>
    <w:rsid w:val="00602467"/>
    <w:rsid w:val="006034B4"/>
    <w:rsid w:val="006036BC"/>
    <w:rsid w:val="0060383C"/>
    <w:rsid w:val="006039E2"/>
    <w:rsid w:val="006041DB"/>
    <w:rsid w:val="006058E2"/>
    <w:rsid w:val="0060599C"/>
    <w:rsid w:val="0060605F"/>
    <w:rsid w:val="00606A22"/>
    <w:rsid w:val="006077E6"/>
    <w:rsid w:val="00612038"/>
    <w:rsid w:val="0061218C"/>
    <w:rsid w:val="006129E7"/>
    <w:rsid w:val="00613458"/>
    <w:rsid w:val="00613D42"/>
    <w:rsid w:val="00613EF0"/>
    <w:rsid w:val="006158BA"/>
    <w:rsid w:val="006159FC"/>
    <w:rsid w:val="00615DC3"/>
    <w:rsid w:val="006163C7"/>
    <w:rsid w:val="00616CA2"/>
    <w:rsid w:val="0061780C"/>
    <w:rsid w:val="00620C89"/>
    <w:rsid w:val="00621070"/>
    <w:rsid w:val="006216CA"/>
    <w:rsid w:val="00621BFF"/>
    <w:rsid w:val="00622142"/>
    <w:rsid w:val="0062364F"/>
    <w:rsid w:val="00624634"/>
    <w:rsid w:val="006246FC"/>
    <w:rsid w:val="006262AC"/>
    <w:rsid w:val="00627F78"/>
    <w:rsid w:val="006301B9"/>
    <w:rsid w:val="00630591"/>
    <w:rsid w:val="00630983"/>
    <w:rsid w:val="00630E5A"/>
    <w:rsid w:val="0063191B"/>
    <w:rsid w:val="00632E0D"/>
    <w:rsid w:val="006340A5"/>
    <w:rsid w:val="00634D5C"/>
    <w:rsid w:val="00635478"/>
    <w:rsid w:val="006357E3"/>
    <w:rsid w:val="006377F6"/>
    <w:rsid w:val="006404F3"/>
    <w:rsid w:val="00640E6A"/>
    <w:rsid w:val="0064163B"/>
    <w:rsid w:val="006419BB"/>
    <w:rsid w:val="00641F90"/>
    <w:rsid w:val="006421C3"/>
    <w:rsid w:val="0064274C"/>
    <w:rsid w:val="00642A38"/>
    <w:rsid w:val="006435F1"/>
    <w:rsid w:val="006436E8"/>
    <w:rsid w:val="00643BBB"/>
    <w:rsid w:val="00644802"/>
    <w:rsid w:val="00645CB6"/>
    <w:rsid w:val="0064607F"/>
    <w:rsid w:val="00646292"/>
    <w:rsid w:val="0064634F"/>
    <w:rsid w:val="00646481"/>
    <w:rsid w:val="006466F8"/>
    <w:rsid w:val="00646C42"/>
    <w:rsid w:val="00647338"/>
    <w:rsid w:val="00647684"/>
    <w:rsid w:val="0064768F"/>
    <w:rsid w:val="0064777D"/>
    <w:rsid w:val="006501EE"/>
    <w:rsid w:val="006513CB"/>
    <w:rsid w:val="00652015"/>
    <w:rsid w:val="006522C1"/>
    <w:rsid w:val="00652B88"/>
    <w:rsid w:val="00652D35"/>
    <w:rsid w:val="006531D8"/>
    <w:rsid w:val="00653B6C"/>
    <w:rsid w:val="00653F2C"/>
    <w:rsid w:val="00654B2E"/>
    <w:rsid w:val="00654E2F"/>
    <w:rsid w:val="00655885"/>
    <w:rsid w:val="00655DDF"/>
    <w:rsid w:val="0065688D"/>
    <w:rsid w:val="006574DD"/>
    <w:rsid w:val="00657B46"/>
    <w:rsid w:val="00657DC3"/>
    <w:rsid w:val="00657E69"/>
    <w:rsid w:val="0066191D"/>
    <w:rsid w:val="00661ECD"/>
    <w:rsid w:val="0066357C"/>
    <w:rsid w:val="00663BCC"/>
    <w:rsid w:val="006640FB"/>
    <w:rsid w:val="0066471E"/>
    <w:rsid w:val="00666B64"/>
    <w:rsid w:val="00666F25"/>
    <w:rsid w:val="00667490"/>
    <w:rsid w:val="006674E7"/>
    <w:rsid w:val="00670508"/>
    <w:rsid w:val="00671F54"/>
    <w:rsid w:val="00672B92"/>
    <w:rsid w:val="00672CF5"/>
    <w:rsid w:val="00672D0C"/>
    <w:rsid w:val="006747DF"/>
    <w:rsid w:val="00675636"/>
    <w:rsid w:val="006767B6"/>
    <w:rsid w:val="00680E12"/>
    <w:rsid w:val="00681202"/>
    <w:rsid w:val="00681AE4"/>
    <w:rsid w:val="00682FE8"/>
    <w:rsid w:val="006837D6"/>
    <w:rsid w:val="006843A0"/>
    <w:rsid w:val="00684AB8"/>
    <w:rsid w:val="006866CE"/>
    <w:rsid w:val="00686A25"/>
    <w:rsid w:val="00686FE9"/>
    <w:rsid w:val="00687730"/>
    <w:rsid w:val="006906DB"/>
    <w:rsid w:val="006911B8"/>
    <w:rsid w:val="00691634"/>
    <w:rsid w:val="0069413B"/>
    <w:rsid w:val="0069456C"/>
    <w:rsid w:val="00694C80"/>
    <w:rsid w:val="00695185"/>
    <w:rsid w:val="0069564E"/>
    <w:rsid w:val="00695B52"/>
    <w:rsid w:val="00696023"/>
    <w:rsid w:val="006A1FAF"/>
    <w:rsid w:val="006A276E"/>
    <w:rsid w:val="006A2D84"/>
    <w:rsid w:val="006A3654"/>
    <w:rsid w:val="006A488E"/>
    <w:rsid w:val="006A48E7"/>
    <w:rsid w:val="006A5D4E"/>
    <w:rsid w:val="006A6024"/>
    <w:rsid w:val="006A666D"/>
    <w:rsid w:val="006A6A36"/>
    <w:rsid w:val="006A72B2"/>
    <w:rsid w:val="006A76E3"/>
    <w:rsid w:val="006A7AE4"/>
    <w:rsid w:val="006B0310"/>
    <w:rsid w:val="006B0372"/>
    <w:rsid w:val="006B1CE0"/>
    <w:rsid w:val="006B1F7F"/>
    <w:rsid w:val="006B2001"/>
    <w:rsid w:val="006B26E5"/>
    <w:rsid w:val="006B2CDD"/>
    <w:rsid w:val="006B39FE"/>
    <w:rsid w:val="006B405F"/>
    <w:rsid w:val="006B44B4"/>
    <w:rsid w:val="006B4DE8"/>
    <w:rsid w:val="006B4F81"/>
    <w:rsid w:val="006B61DB"/>
    <w:rsid w:val="006B7773"/>
    <w:rsid w:val="006B77B8"/>
    <w:rsid w:val="006C02C0"/>
    <w:rsid w:val="006C03AB"/>
    <w:rsid w:val="006C0F44"/>
    <w:rsid w:val="006C10BB"/>
    <w:rsid w:val="006C29AC"/>
    <w:rsid w:val="006C4BDC"/>
    <w:rsid w:val="006C4BE0"/>
    <w:rsid w:val="006C51B8"/>
    <w:rsid w:val="006C6031"/>
    <w:rsid w:val="006C62DD"/>
    <w:rsid w:val="006C6781"/>
    <w:rsid w:val="006C6C6D"/>
    <w:rsid w:val="006C7053"/>
    <w:rsid w:val="006C74FC"/>
    <w:rsid w:val="006C791F"/>
    <w:rsid w:val="006C7B35"/>
    <w:rsid w:val="006D276B"/>
    <w:rsid w:val="006D3175"/>
    <w:rsid w:val="006D388B"/>
    <w:rsid w:val="006D4159"/>
    <w:rsid w:val="006D4467"/>
    <w:rsid w:val="006D517A"/>
    <w:rsid w:val="006D5B41"/>
    <w:rsid w:val="006D5BBE"/>
    <w:rsid w:val="006D5C53"/>
    <w:rsid w:val="006D6689"/>
    <w:rsid w:val="006D66D3"/>
    <w:rsid w:val="006D6BFB"/>
    <w:rsid w:val="006D7002"/>
    <w:rsid w:val="006D74BE"/>
    <w:rsid w:val="006D7A6E"/>
    <w:rsid w:val="006E15E7"/>
    <w:rsid w:val="006E16B0"/>
    <w:rsid w:val="006E1CBF"/>
    <w:rsid w:val="006E23BB"/>
    <w:rsid w:val="006E28B5"/>
    <w:rsid w:val="006E28CF"/>
    <w:rsid w:val="006E2BC5"/>
    <w:rsid w:val="006E2BFE"/>
    <w:rsid w:val="006E2CB7"/>
    <w:rsid w:val="006E37F4"/>
    <w:rsid w:val="006E3AC9"/>
    <w:rsid w:val="006E40F6"/>
    <w:rsid w:val="006E5766"/>
    <w:rsid w:val="006E6319"/>
    <w:rsid w:val="006E77B2"/>
    <w:rsid w:val="006E77FA"/>
    <w:rsid w:val="006F0C41"/>
    <w:rsid w:val="006F1326"/>
    <w:rsid w:val="006F15E4"/>
    <w:rsid w:val="006F16F8"/>
    <w:rsid w:val="006F178E"/>
    <w:rsid w:val="006F18F0"/>
    <w:rsid w:val="006F1B71"/>
    <w:rsid w:val="006F29B7"/>
    <w:rsid w:val="006F3E3F"/>
    <w:rsid w:val="006F4F72"/>
    <w:rsid w:val="006F536D"/>
    <w:rsid w:val="006F56FE"/>
    <w:rsid w:val="006F5AF1"/>
    <w:rsid w:val="006F6086"/>
    <w:rsid w:val="006F656D"/>
    <w:rsid w:val="006F748A"/>
    <w:rsid w:val="006F759B"/>
    <w:rsid w:val="006F7FF0"/>
    <w:rsid w:val="007003D9"/>
    <w:rsid w:val="00700C69"/>
    <w:rsid w:val="00700CC6"/>
    <w:rsid w:val="00701495"/>
    <w:rsid w:val="00701D2B"/>
    <w:rsid w:val="007021AC"/>
    <w:rsid w:val="00702A5A"/>
    <w:rsid w:val="00702E1E"/>
    <w:rsid w:val="007030C5"/>
    <w:rsid w:val="00704AC9"/>
    <w:rsid w:val="00706F35"/>
    <w:rsid w:val="00707A9F"/>
    <w:rsid w:val="00707B26"/>
    <w:rsid w:val="007103A2"/>
    <w:rsid w:val="00711CBA"/>
    <w:rsid w:val="007128FF"/>
    <w:rsid w:val="00712BBD"/>
    <w:rsid w:val="00713013"/>
    <w:rsid w:val="00713474"/>
    <w:rsid w:val="00713CD5"/>
    <w:rsid w:val="007145E3"/>
    <w:rsid w:val="00716A5E"/>
    <w:rsid w:val="00716D9F"/>
    <w:rsid w:val="00716E5A"/>
    <w:rsid w:val="00717A12"/>
    <w:rsid w:val="0072268F"/>
    <w:rsid w:val="00723548"/>
    <w:rsid w:val="0072382E"/>
    <w:rsid w:val="007247AF"/>
    <w:rsid w:val="00725489"/>
    <w:rsid w:val="00725F97"/>
    <w:rsid w:val="0072642D"/>
    <w:rsid w:val="0072775D"/>
    <w:rsid w:val="00727D33"/>
    <w:rsid w:val="00731292"/>
    <w:rsid w:val="0073375F"/>
    <w:rsid w:val="007337BD"/>
    <w:rsid w:val="00734327"/>
    <w:rsid w:val="00735261"/>
    <w:rsid w:val="0073560A"/>
    <w:rsid w:val="00736265"/>
    <w:rsid w:val="00736C26"/>
    <w:rsid w:val="0073705A"/>
    <w:rsid w:val="0073731C"/>
    <w:rsid w:val="00737601"/>
    <w:rsid w:val="00740D5E"/>
    <w:rsid w:val="00741420"/>
    <w:rsid w:val="00741498"/>
    <w:rsid w:val="0074163B"/>
    <w:rsid w:val="007419BE"/>
    <w:rsid w:val="00741C14"/>
    <w:rsid w:val="00741E01"/>
    <w:rsid w:val="00743162"/>
    <w:rsid w:val="00743275"/>
    <w:rsid w:val="007435EB"/>
    <w:rsid w:val="00743F0F"/>
    <w:rsid w:val="0074413E"/>
    <w:rsid w:val="0074566B"/>
    <w:rsid w:val="00746352"/>
    <w:rsid w:val="007476E4"/>
    <w:rsid w:val="00750BA4"/>
    <w:rsid w:val="00750E69"/>
    <w:rsid w:val="007517AD"/>
    <w:rsid w:val="0075279A"/>
    <w:rsid w:val="00752EC6"/>
    <w:rsid w:val="00753333"/>
    <w:rsid w:val="007544A4"/>
    <w:rsid w:val="0075471F"/>
    <w:rsid w:val="00754FA9"/>
    <w:rsid w:val="00756AE4"/>
    <w:rsid w:val="00756D49"/>
    <w:rsid w:val="007610FE"/>
    <w:rsid w:val="00762FDD"/>
    <w:rsid w:val="00764247"/>
    <w:rsid w:val="00764982"/>
    <w:rsid w:val="00764D31"/>
    <w:rsid w:val="007655AB"/>
    <w:rsid w:val="00765BB6"/>
    <w:rsid w:val="00765EDB"/>
    <w:rsid w:val="00766863"/>
    <w:rsid w:val="00766AF1"/>
    <w:rsid w:val="00767D49"/>
    <w:rsid w:val="007705AD"/>
    <w:rsid w:val="00770D47"/>
    <w:rsid w:val="00771394"/>
    <w:rsid w:val="00771511"/>
    <w:rsid w:val="0077180E"/>
    <w:rsid w:val="007725D5"/>
    <w:rsid w:val="0077396E"/>
    <w:rsid w:val="007741C8"/>
    <w:rsid w:val="00775327"/>
    <w:rsid w:val="007754FC"/>
    <w:rsid w:val="00775A57"/>
    <w:rsid w:val="007768A6"/>
    <w:rsid w:val="00776C36"/>
    <w:rsid w:val="00777016"/>
    <w:rsid w:val="007774F3"/>
    <w:rsid w:val="007775D1"/>
    <w:rsid w:val="0077773D"/>
    <w:rsid w:val="00777868"/>
    <w:rsid w:val="00777DA6"/>
    <w:rsid w:val="00780A52"/>
    <w:rsid w:val="00780C30"/>
    <w:rsid w:val="00781E73"/>
    <w:rsid w:val="0078237C"/>
    <w:rsid w:val="00782389"/>
    <w:rsid w:val="007826CA"/>
    <w:rsid w:val="00782EBF"/>
    <w:rsid w:val="00783AB3"/>
    <w:rsid w:val="00783EBC"/>
    <w:rsid w:val="0078439D"/>
    <w:rsid w:val="0078450E"/>
    <w:rsid w:val="007859B7"/>
    <w:rsid w:val="00785C37"/>
    <w:rsid w:val="00786B5D"/>
    <w:rsid w:val="00787B4D"/>
    <w:rsid w:val="00787F73"/>
    <w:rsid w:val="00791AFF"/>
    <w:rsid w:val="007923FC"/>
    <w:rsid w:val="00792EEA"/>
    <w:rsid w:val="00792EFD"/>
    <w:rsid w:val="00794FBA"/>
    <w:rsid w:val="007950DD"/>
    <w:rsid w:val="007963FE"/>
    <w:rsid w:val="007968F2"/>
    <w:rsid w:val="00796D63"/>
    <w:rsid w:val="00796DDE"/>
    <w:rsid w:val="00797265"/>
    <w:rsid w:val="00797E52"/>
    <w:rsid w:val="007A0FBD"/>
    <w:rsid w:val="007A1BB7"/>
    <w:rsid w:val="007A2A0D"/>
    <w:rsid w:val="007A2A76"/>
    <w:rsid w:val="007A2AD5"/>
    <w:rsid w:val="007A2D76"/>
    <w:rsid w:val="007A5B9A"/>
    <w:rsid w:val="007A5EF2"/>
    <w:rsid w:val="007A5F89"/>
    <w:rsid w:val="007A785F"/>
    <w:rsid w:val="007B0253"/>
    <w:rsid w:val="007B0E71"/>
    <w:rsid w:val="007B0E79"/>
    <w:rsid w:val="007B2257"/>
    <w:rsid w:val="007B33DF"/>
    <w:rsid w:val="007B3978"/>
    <w:rsid w:val="007B495A"/>
    <w:rsid w:val="007B4F79"/>
    <w:rsid w:val="007B595B"/>
    <w:rsid w:val="007B61FE"/>
    <w:rsid w:val="007B7503"/>
    <w:rsid w:val="007B7EAD"/>
    <w:rsid w:val="007B7F3B"/>
    <w:rsid w:val="007C05A7"/>
    <w:rsid w:val="007C12C3"/>
    <w:rsid w:val="007C1478"/>
    <w:rsid w:val="007C3B5F"/>
    <w:rsid w:val="007C3C24"/>
    <w:rsid w:val="007C5258"/>
    <w:rsid w:val="007C593C"/>
    <w:rsid w:val="007C5F0F"/>
    <w:rsid w:val="007C6322"/>
    <w:rsid w:val="007C6998"/>
    <w:rsid w:val="007C6C1A"/>
    <w:rsid w:val="007D17C4"/>
    <w:rsid w:val="007D192F"/>
    <w:rsid w:val="007D29B9"/>
    <w:rsid w:val="007D2A4F"/>
    <w:rsid w:val="007D2FE4"/>
    <w:rsid w:val="007D3C32"/>
    <w:rsid w:val="007D3F71"/>
    <w:rsid w:val="007D4B3F"/>
    <w:rsid w:val="007D5A54"/>
    <w:rsid w:val="007D6A79"/>
    <w:rsid w:val="007D73E5"/>
    <w:rsid w:val="007E2346"/>
    <w:rsid w:val="007E2800"/>
    <w:rsid w:val="007E30AB"/>
    <w:rsid w:val="007E56B1"/>
    <w:rsid w:val="007F0261"/>
    <w:rsid w:val="007F08EA"/>
    <w:rsid w:val="007F0EA1"/>
    <w:rsid w:val="007F22E0"/>
    <w:rsid w:val="007F2A1A"/>
    <w:rsid w:val="007F4ED1"/>
    <w:rsid w:val="007F5269"/>
    <w:rsid w:val="007F7288"/>
    <w:rsid w:val="007F7CDD"/>
    <w:rsid w:val="0080035E"/>
    <w:rsid w:val="00800BD9"/>
    <w:rsid w:val="008013FF"/>
    <w:rsid w:val="00802C1E"/>
    <w:rsid w:val="00802D39"/>
    <w:rsid w:val="008036FD"/>
    <w:rsid w:val="008044E2"/>
    <w:rsid w:val="0080569F"/>
    <w:rsid w:val="008063AC"/>
    <w:rsid w:val="00807B89"/>
    <w:rsid w:val="008104CE"/>
    <w:rsid w:val="00810951"/>
    <w:rsid w:val="00810C30"/>
    <w:rsid w:val="008114DB"/>
    <w:rsid w:val="008118A6"/>
    <w:rsid w:val="00811AE5"/>
    <w:rsid w:val="0081228A"/>
    <w:rsid w:val="00812824"/>
    <w:rsid w:val="00812EDF"/>
    <w:rsid w:val="00813629"/>
    <w:rsid w:val="00813EBC"/>
    <w:rsid w:val="00813F3D"/>
    <w:rsid w:val="00815499"/>
    <w:rsid w:val="0081717B"/>
    <w:rsid w:val="00817EA1"/>
    <w:rsid w:val="00821033"/>
    <w:rsid w:val="008219D6"/>
    <w:rsid w:val="0082208C"/>
    <w:rsid w:val="00822D7C"/>
    <w:rsid w:val="00822FD2"/>
    <w:rsid w:val="008230AD"/>
    <w:rsid w:val="00824409"/>
    <w:rsid w:val="0082502D"/>
    <w:rsid w:val="008257C3"/>
    <w:rsid w:val="00825AEB"/>
    <w:rsid w:val="0083005D"/>
    <w:rsid w:val="0083020B"/>
    <w:rsid w:val="008306D0"/>
    <w:rsid w:val="0083117E"/>
    <w:rsid w:val="00831531"/>
    <w:rsid w:val="00831836"/>
    <w:rsid w:val="008322B9"/>
    <w:rsid w:val="008323DC"/>
    <w:rsid w:val="00832C67"/>
    <w:rsid w:val="0083310A"/>
    <w:rsid w:val="00833279"/>
    <w:rsid w:val="00833981"/>
    <w:rsid w:val="00836489"/>
    <w:rsid w:val="0083682E"/>
    <w:rsid w:val="00836F98"/>
    <w:rsid w:val="008374EE"/>
    <w:rsid w:val="008412A0"/>
    <w:rsid w:val="00843059"/>
    <w:rsid w:val="0084351F"/>
    <w:rsid w:val="00844B5C"/>
    <w:rsid w:val="00845442"/>
    <w:rsid w:val="00847667"/>
    <w:rsid w:val="008479E1"/>
    <w:rsid w:val="008479E2"/>
    <w:rsid w:val="00850316"/>
    <w:rsid w:val="00850A58"/>
    <w:rsid w:val="00850EF3"/>
    <w:rsid w:val="00850FBD"/>
    <w:rsid w:val="0085270B"/>
    <w:rsid w:val="00852F3A"/>
    <w:rsid w:val="008546F0"/>
    <w:rsid w:val="00856C12"/>
    <w:rsid w:val="008604AD"/>
    <w:rsid w:val="0086069F"/>
    <w:rsid w:val="00860850"/>
    <w:rsid w:val="00861AE4"/>
    <w:rsid w:val="00861E7B"/>
    <w:rsid w:val="00862346"/>
    <w:rsid w:val="0086301C"/>
    <w:rsid w:val="00863D61"/>
    <w:rsid w:val="00864611"/>
    <w:rsid w:val="00864E0A"/>
    <w:rsid w:val="008654A1"/>
    <w:rsid w:val="00866E00"/>
    <w:rsid w:val="008712AF"/>
    <w:rsid w:val="0087141E"/>
    <w:rsid w:val="0087254C"/>
    <w:rsid w:val="00872AD3"/>
    <w:rsid w:val="00873147"/>
    <w:rsid w:val="00873AF8"/>
    <w:rsid w:val="00873E69"/>
    <w:rsid w:val="008740DB"/>
    <w:rsid w:val="00875C7C"/>
    <w:rsid w:val="00876348"/>
    <w:rsid w:val="00876501"/>
    <w:rsid w:val="008777A3"/>
    <w:rsid w:val="00877BBD"/>
    <w:rsid w:val="00883ABA"/>
    <w:rsid w:val="00883CA9"/>
    <w:rsid w:val="00884BF2"/>
    <w:rsid w:val="0088511B"/>
    <w:rsid w:val="00885AEB"/>
    <w:rsid w:val="00885C57"/>
    <w:rsid w:val="00885D64"/>
    <w:rsid w:val="008872BA"/>
    <w:rsid w:val="008872F4"/>
    <w:rsid w:val="008876D2"/>
    <w:rsid w:val="00890A53"/>
    <w:rsid w:val="00890B44"/>
    <w:rsid w:val="0089142A"/>
    <w:rsid w:val="008923CF"/>
    <w:rsid w:val="008932E3"/>
    <w:rsid w:val="008932EA"/>
    <w:rsid w:val="008933A7"/>
    <w:rsid w:val="00893C20"/>
    <w:rsid w:val="008946F1"/>
    <w:rsid w:val="00894AFC"/>
    <w:rsid w:val="0089572F"/>
    <w:rsid w:val="008968B5"/>
    <w:rsid w:val="00896C0E"/>
    <w:rsid w:val="008971D4"/>
    <w:rsid w:val="008A0596"/>
    <w:rsid w:val="008A1198"/>
    <w:rsid w:val="008A1967"/>
    <w:rsid w:val="008A1E9C"/>
    <w:rsid w:val="008A25F9"/>
    <w:rsid w:val="008A27A8"/>
    <w:rsid w:val="008A27F5"/>
    <w:rsid w:val="008A2CCD"/>
    <w:rsid w:val="008A3210"/>
    <w:rsid w:val="008A32BD"/>
    <w:rsid w:val="008A3A76"/>
    <w:rsid w:val="008A3AA7"/>
    <w:rsid w:val="008A4372"/>
    <w:rsid w:val="008A4376"/>
    <w:rsid w:val="008A44DC"/>
    <w:rsid w:val="008A50FB"/>
    <w:rsid w:val="008A58E3"/>
    <w:rsid w:val="008A59CB"/>
    <w:rsid w:val="008A626D"/>
    <w:rsid w:val="008A65FE"/>
    <w:rsid w:val="008B0825"/>
    <w:rsid w:val="008B13E5"/>
    <w:rsid w:val="008B1642"/>
    <w:rsid w:val="008B250E"/>
    <w:rsid w:val="008B2759"/>
    <w:rsid w:val="008B4B95"/>
    <w:rsid w:val="008B57AE"/>
    <w:rsid w:val="008B5DA2"/>
    <w:rsid w:val="008B634D"/>
    <w:rsid w:val="008B7166"/>
    <w:rsid w:val="008B7778"/>
    <w:rsid w:val="008B7AFB"/>
    <w:rsid w:val="008C02A9"/>
    <w:rsid w:val="008C311B"/>
    <w:rsid w:val="008C341B"/>
    <w:rsid w:val="008C346B"/>
    <w:rsid w:val="008C583D"/>
    <w:rsid w:val="008C60E4"/>
    <w:rsid w:val="008C6908"/>
    <w:rsid w:val="008C78D1"/>
    <w:rsid w:val="008C7C40"/>
    <w:rsid w:val="008D0698"/>
    <w:rsid w:val="008D0844"/>
    <w:rsid w:val="008D15BB"/>
    <w:rsid w:val="008D17E5"/>
    <w:rsid w:val="008D1F95"/>
    <w:rsid w:val="008D292B"/>
    <w:rsid w:val="008D2F1E"/>
    <w:rsid w:val="008D3B0E"/>
    <w:rsid w:val="008D438E"/>
    <w:rsid w:val="008D5303"/>
    <w:rsid w:val="008D720A"/>
    <w:rsid w:val="008D7476"/>
    <w:rsid w:val="008E0946"/>
    <w:rsid w:val="008E0C74"/>
    <w:rsid w:val="008E1AFF"/>
    <w:rsid w:val="008E1ED2"/>
    <w:rsid w:val="008E24E7"/>
    <w:rsid w:val="008E2791"/>
    <w:rsid w:val="008E30D4"/>
    <w:rsid w:val="008E34ED"/>
    <w:rsid w:val="008E41E3"/>
    <w:rsid w:val="008E4CF5"/>
    <w:rsid w:val="008E5712"/>
    <w:rsid w:val="008E5CCF"/>
    <w:rsid w:val="008E6534"/>
    <w:rsid w:val="008E6A9F"/>
    <w:rsid w:val="008E7481"/>
    <w:rsid w:val="008E771A"/>
    <w:rsid w:val="008E7F37"/>
    <w:rsid w:val="008F0430"/>
    <w:rsid w:val="008F045A"/>
    <w:rsid w:val="008F08E0"/>
    <w:rsid w:val="008F0A65"/>
    <w:rsid w:val="008F1415"/>
    <w:rsid w:val="008F1592"/>
    <w:rsid w:val="008F169A"/>
    <w:rsid w:val="008F16AA"/>
    <w:rsid w:val="008F20E1"/>
    <w:rsid w:val="008F2EFC"/>
    <w:rsid w:val="008F32A1"/>
    <w:rsid w:val="008F3E3A"/>
    <w:rsid w:val="008F53F5"/>
    <w:rsid w:val="008F5421"/>
    <w:rsid w:val="008F5EDC"/>
    <w:rsid w:val="008F689A"/>
    <w:rsid w:val="008F74EB"/>
    <w:rsid w:val="008F7D19"/>
    <w:rsid w:val="008F7F9C"/>
    <w:rsid w:val="0090076E"/>
    <w:rsid w:val="00900FC0"/>
    <w:rsid w:val="00900FF4"/>
    <w:rsid w:val="0090136D"/>
    <w:rsid w:val="00901475"/>
    <w:rsid w:val="00902A34"/>
    <w:rsid w:val="00903701"/>
    <w:rsid w:val="00903A17"/>
    <w:rsid w:val="00904CA7"/>
    <w:rsid w:val="009065A2"/>
    <w:rsid w:val="0090664A"/>
    <w:rsid w:val="00906A1F"/>
    <w:rsid w:val="00907087"/>
    <w:rsid w:val="00907142"/>
    <w:rsid w:val="00910172"/>
    <w:rsid w:val="0091027F"/>
    <w:rsid w:val="00910DF8"/>
    <w:rsid w:val="00911E56"/>
    <w:rsid w:val="00912454"/>
    <w:rsid w:val="00912889"/>
    <w:rsid w:val="00913B2D"/>
    <w:rsid w:val="00914D60"/>
    <w:rsid w:val="0091526D"/>
    <w:rsid w:val="009158D4"/>
    <w:rsid w:val="00915C96"/>
    <w:rsid w:val="009167F3"/>
    <w:rsid w:val="009168C5"/>
    <w:rsid w:val="0091727A"/>
    <w:rsid w:val="00917439"/>
    <w:rsid w:val="00917A9B"/>
    <w:rsid w:val="0092020A"/>
    <w:rsid w:val="0092042E"/>
    <w:rsid w:val="009205A1"/>
    <w:rsid w:val="00920C33"/>
    <w:rsid w:val="00921852"/>
    <w:rsid w:val="00922A3E"/>
    <w:rsid w:val="00923853"/>
    <w:rsid w:val="00924047"/>
    <w:rsid w:val="009245FC"/>
    <w:rsid w:val="009249FC"/>
    <w:rsid w:val="00924A9D"/>
    <w:rsid w:val="00925B49"/>
    <w:rsid w:val="0092616C"/>
    <w:rsid w:val="009266D0"/>
    <w:rsid w:val="009268B0"/>
    <w:rsid w:val="0092698F"/>
    <w:rsid w:val="0092766E"/>
    <w:rsid w:val="0093023D"/>
    <w:rsid w:val="009304F5"/>
    <w:rsid w:val="00930FC0"/>
    <w:rsid w:val="00931349"/>
    <w:rsid w:val="0093163B"/>
    <w:rsid w:val="0093339C"/>
    <w:rsid w:val="0093631C"/>
    <w:rsid w:val="009363DB"/>
    <w:rsid w:val="0093650B"/>
    <w:rsid w:val="009367E3"/>
    <w:rsid w:val="00936DD5"/>
    <w:rsid w:val="00937876"/>
    <w:rsid w:val="009418CE"/>
    <w:rsid w:val="00941993"/>
    <w:rsid w:val="00942BF8"/>
    <w:rsid w:val="0094343A"/>
    <w:rsid w:val="009448FF"/>
    <w:rsid w:val="00944B77"/>
    <w:rsid w:val="00944E33"/>
    <w:rsid w:val="0094644A"/>
    <w:rsid w:val="009465F1"/>
    <w:rsid w:val="00946741"/>
    <w:rsid w:val="00946B2F"/>
    <w:rsid w:val="00947C4C"/>
    <w:rsid w:val="009503E4"/>
    <w:rsid w:val="00951F64"/>
    <w:rsid w:val="0095228F"/>
    <w:rsid w:val="00952BC0"/>
    <w:rsid w:val="00953578"/>
    <w:rsid w:val="0095495C"/>
    <w:rsid w:val="009554A4"/>
    <w:rsid w:val="00955723"/>
    <w:rsid w:val="00955FCE"/>
    <w:rsid w:val="00960EED"/>
    <w:rsid w:val="00963B91"/>
    <w:rsid w:val="00965260"/>
    <w:rsid w:val="009657A8"/>
    <w:rsid w:val="00965DC1"/>
    <w:rsid w:val="00965E51"/>
    <w:rsid w:val="009663DC"/>
    <w:rsid w:val="0096645E"/>
    <w:rsid w:val="00966DBE"/>
    <w:rsid w:val="00967221"/>
    <w:rsid w:val="009673A5"/>
    <w:rsid w:val="009701B1"/>
    <w:rsid w:val="0097207A"/>
    <w:rsid w:val="00972310"/>
    <w:rsid w:val="00972564"/>
    <w:rsid w:val="0097272C"/>
    <w:rsid w:val="009727F0"/>
    <w:rsid w:val="00972B89"/>
    <w:rsid w:val="00973219"/>
    <w:rsid w:val="00973363"/>
    <w:rsid w:val="00973B94"/>
    <w:rsid w:val="00973D37"/>
    <w:rsid w:val="00973F38"/>
    <w:rsid w:val="00973F8B"/>
    <w:rsid w:val="0097444B"/>
    <w:rsid w:val="00974E68"/>
    <w:rsid w:val="00975990"/>
    <w:rsid w:val="00975E76"/>
    <w:rsid w:val="00975F43"/>
    <w:rsid w:val="0097619B"/>
    <w:rsid w:val="009767CB"/>
    <w:rsid w:val="00977805"/>
    <w:rsid w:val="00977B99"/>
    <w:rsid w:val="00981F7B"/>
    <w:rsid w:val="009830F8"/>
    <w:rsid w:val="009833EC"/>
    <w:rsid w:val="009846F9"/>
    <w:rsid w:val="00984804"/>
    <w:rsid w:val="00984994"/>
    <w:rsid w:val="00984A56"/>
    <w:rsid w:val="009854FD"/>
    <w:rsid w:val="00985810"/>
    <w:rsid w:val="00985954"/>
    <w:rsid w:val="00986AE5"/>
    <w:rsid w:val="00986D92"/>
    <w:rsid w:val="00987897"/>
    <w:rsid w:val="00987CC1"/>
    <w:rsid w:val="0099019C"/>
    <w:rsid w:val="00990A67"/>
    <w:rsid w:val="00990B66"/>
    <w:rsid w:val="00991BBE"/>
    <w:rsid w:val="009925E5"/>
    <w:rsid w:val="0099294D"/>
    <w:rsid w:val="00993720"/>
    <w:rsid w:val="009939AA"/>
    <w:rsid w:val="00993A63"/>
    <w:rsid w:val="00994253"/>
    <w:rsid w:val="00994CE0"/>
    <w:rsid w:val="00995774"/>
    <w:rsid w:val="00996052"/>
    <w:rsid w:val="00996682"/>
    <w:rsid w:val="00996F3F"/>
    <w:rsid w:val="00997AE2"/>
    <w:rsid w:val="009A0D63"/>
    <w:rsid w:val="009A0D78"/>
    <w:rsid w:val="009A142C"/>
    <w:rsid w:val="009A1483"/>
    <w:rsid w:val="009A238B"/>
    <w:rsid w:val="009A2514"/>
    <w:rsid w:val="009A264C"/>
    <w:rsid w:val="009A3767"/>
    <w:rsid w:val="009A7045"/>
    <w:rsid w:val="009A7DCA"/>
    <w:rsid w:val="009B0C33"/>
    <w:rsid w:val="009B1490"/>
    <w:rsid w:val="009B1B28"/>
    <w:rsid w:val="009B2120"/>
    <w:rsid w:val="009B279B"/>
    <w:rsid w:val="009B2A87"/>
    <w:rsid w:val="009B2AB5"/>
    <w:rsid w:val="009B3726"/>
    <w:rsid w:val="009B3EC8"/>
    <w:rsid w:val="009B48D3"/>
    <w:rsid w:val="009B4E3C"/>
    <w:rsid w:val="009B6A07"/>
    <w:rsid w:val="009B71F7"/>
    <w:rsid w:val="009B7D2B"/>
    <w:rsid w:val="009C02EF"/>
    <w:rsid w:val="009C113D"/>
    <w:rsid w:val="009C16AD"/>
    <w:rsid w:val="009C1FF3"/>
    <w:rsid w:val="009C3D79"/>
    <w:rsid w:val="009C40F9"/>
    <w:rsid w:val="009C4C4D"/>
    <w:rsid w:val="009C503B"/>
    <w:rsid w:val="009C50E0"/>
    <w:rsid w:val="009C59EA"/>
    <w:rsid w:val="009C5B54"/>
    <w:rsid w:val="009C6659"/>
    <w:rsid w:val="009C6726"/>
    <w:rsid w:val="009C7658"/>
    <w:rsid w:val="009C766A"/>
    <w:rsid w:val="009C7A31"/>
    <w:rsid w:val="009D050A"/>
    <w:rsid w:val="009D082F"/>
    <w:rsid w:val="009D10A4"/>
    <w:rsid w:val="009D20B5"/>
    <w:rsid w:val="009D2C0A"/>
    <w:rsid w:val="009D2E39"/>
    <w:rsid w:val="009D32AD"/>
    <w:rsid w:val="009D39A4"/>
    <w:rsid w:val="009D3C41"/>
    <w:rsid w:val="009D4365"/>
    <w:rsid w:val="009D579C"/>
    <w:rsid w:val="009D57E6"/>
    <w:rsid w:val="009D5865"/>
    <w:rsid w:val="009D5883"/>
    <w:rsid w:val="009D5E51"/>
    <w:rsid w:val="009D7671"/>
    <w:rsid w:val="009D7895"/>
    <w:rsid w:val="009D7AB0"/>
    <w:rsid w:val="009D7E02"/>
    <w:rsid w:val="009D7F34"/>
    <w:rsid w:val="009E07E3"/>
    <w:rsid w:val="009E09A1"/>
    <w:rsid w:val="009E0ADA"/>
    <w:rsid w:val="009E0BED"/>
    <w:rsid w:val="009E1BFD"/>
    <w:rsid w:val="009E2920"/>
    <w:rsid w:val="009E2E1C"/>
    <w:rsid w:val="009E43F5"/>
    <w:rsid w:val="009E52D3"/>
    <w:rsid w:val="009E68C3"/>
    <w:rsid w:val="009E79F4"/>
    <w:rsid w:val="009E7CE7"/>
    <w:rsid w:val="009F002B"/>
    <w:rsid w:val="009F0100"/>
    <w:rsid w:val="009F0C78"/>
    <w:rsid w:val="009F1ED5"/>
    <w:rsid w:val="009F2531"/>
    <w:rsid w:val="009F34F3"/>
    <w:rsid w:val="009F39F8"/>
    <w:rsid w:val="009F3C1C"/>
    <w:rsid w:val="009F412C"/>
    <w:rsid w:val="009F4466"/>
    <w:rsid w:val="009F4BFF"/>
    <w:rsid w:val="009F56F2"/>
    <w:rsid w:val="009F5F24"/>
    <w:rsid w:val="009F61FA"/>
    <w:rsid w:val="00A00E1B"/>
    <w:rsid w:val="00A010BF"/>
    <w:rsid w:val="00A014C8"/>
    <w:rsid w:val="00A016D8"/>
    <w:rsid w:val="00A026D9"/>
    <w:rsid w:val="00A02DAE"/>
    <w:rsid w:val="00A032F0"/>
    <w:rsid w:val="00A040B7"/>
    <w:rsid w:val="00A04971"/>
    <w:rsid w:val="00A05EFF"/>
    <w:rsid w:val="00A0641E"/>
    <w:rsid w:val="00A101ED"/>
    <w:rsid w:val="00A119C6"/>
    <w:rsid w:val="00A12B53"/>
    <w:rsid w:val="00A1357A"/>
    <w:rsid w:val="00A13973"/>
    <w:rsid w:val="00A14284"/>
    <w:rsid w:val="00A1441C"/>
    <w:rsid w:val="00A145E1"/>
    <w:rsid w:val="00A16390"/>
    <w:rsid w:val="00A169AC"/>
    <w:rsid w:val="00A16E46"/>
    <w:rsid w:val="00A17728"/>
    <w:rsid w:val="00A2016C"/>
    <w:rsid w:val="00A2186A"/>
    <w:rsid w:val="00A218BB"/>
    <w:rsid w:val="00A21CD6"/>
    <w:rsid w:val="00A2259A"/>
    <w:rsid w:val="00A231D8"/>
    <w:rsid w:val="00A2415C"/>
    <w:rsid w:val="00A24409"/>
    <w:rsid w:val="00A2481F"/>
    <w:rsid w:val="00A2494E"/>
    <w:rsid w:val="00A25582"/>
    <w:rsid w:val="00A265A3"/>
    <w:rsid w:val="00A278D0"/>
    <w:rsid w:val="00A27B74"/>
    <w:rsid w:val="00A301A8"/>
    <w:rsid w:val="00A309B5"/>
    <w:rsid w:val="00A32731"/>
    <w:rsid w:val="00A32A8B"/>
    <w:rsid w:val="00A335A8"/>
    <w:rsid w:val="00A34571"/>
    <w:rsid w:val="00A34B48"/>
    <w:rsid w:val="00A34E73"/>
    <w:rsid w:val="00A3698D"/>
    <w:rsid w:val="00A36C39"/>
    <w:rsid w:val="00A36C49"/>
    <w:rsid w:val="00A36DB6"/>
    <w:rsid w:val="00A37974"/>
    <w:rsid w:val="00A37EAF"/>
    <w:rsid w:val="00A40069"/>
    <w:rsid w:val="00A40170"/>
    <w:rsid w:val="00A4086C"/>
    <w:rsid w:val="00A40955"/>
    <w:rsid w:val="00A40A97"/>
    <w:rsid w:val="00A40CD7"/>
    <w:rsid w:val="00A42BC3"/>
    <w:rsid w:val="00A43077"/>
    <w:rsid w:val="00A436C3"/>
    <w:rsid w:val="00A4388F"/>
    <w:rsid w:val="00A44CC5"/>
    <w:rsid w:val="00A44FF5"/>
    <w:rsid w:val="00A4596A"/>
    <w:rsid w:val="00A45CFB"/>
    <w:rsid w:val="00A45DF3"/>
    <w:rsid w:val="00A46543"/>
    <w:rsid w:val="00A504B9"/>
    <w:rsid w:val="00A51C6F"/>
    <w:rsid w:val="00A51E7D"/>
    <w:rsid w:val="00A52075"/>
    <w:rsid w:val="00A52416"/>
    <w:rsid w:val="00A53087"/>
    <w:rsid w:val="00A53127"/>
    <w:rsid w:val="00A534DF"/>
    <w:rsid w:val="00A538E8"/>
    <w:rsid w:val="00A53DD3"/>
    <w:rsid w:val="00A53F7B"/>
    <w:rsid w:val="00A55492"/>
    <w:rsid w:val="00A56127"/>
    <w:rsid w:val="00A565FE"/>
    <w:rsid w:val="00A56A36"/>
    <w:rsid w:val="00A56C89"/>
    <w:rsid w:val="00A57CD5"/>
    <w:rsid w:val="00A604D6"/>
    <w:rsid w:val="00A60C7F"/>
    <w:rsid w:val="00A61798"/>
    <w:rsid w:val="00A61B2E"/>
    <w:rsid w:val="00A620F5"/>
    <w:rsid w:val="00A62863"/>
    <w:rsid w:val="00A62C3F"/>
    <w:rsid w:val="00A633B1"/>
    <w:rsid w:val="00A643FE"/>
    <w:rsid w:val="00A64968"/>
    <w:rsid w:val="00A65317"/>
    <w:rsid w:val="00A65BEA"/>
    <w:rsid w:val="00A65DFA"/>
    <w:rsid w:val="00A6619D"/>
    <w:rsid w:val="00A666C8"/>
    <w:rsid w:val="00A66FED"/>
    <w:rsid w:val="00A675C7"/>
    <w:rsid w:val="00A712BC"/>
    <w:rsid w:val="00A71967"/>
    <w:rsid w:val="00A7201F"/>
    <w:rsid w:val="00A7240F"/>
    <w:rsid w:val="00A72469"/>
    <w:rsid w:val="00A7253D"/>
    <w:rsid w:val="00A74E84"/>
    <w:rsid w:val="00A75036"/>
    <w:rsid w:val="00A7636B"/>
    <w:rsid w:val="00A768BB"/>
    <w:rsid w:val="00A7777A"/>
    <w:rsid w:val="00A8004E"/>
    <w:rsid w:val="00A82DA1"/>
    <w:rsid w:val="00A836DF"/>
    <w:rsid w:val="00A84302"/>
    <w:rsid w:val="00A8484D"/>
    <w:rsid w:val="00A85109"/>
    <w:rsid w:val="00A86076"/>
    <w:rsid w:val="00A86DD3"/>
    <w:rsid w:val="00A900C6"/>
    <w:rsid w:val="00A904D4"/>
    <w:rsid w:val="00A9116B"/>
    <w:rsid w:val="00A92927"/>
    <w:rsid w:val="00A92957"/>
    <w:rsid w:val="00A9363C"/>
    <w:rsid w:val="00A94373"/>
    <w:rsid w:val="00A950A6"/>
    <w:rsid w:val="00A950EC"/>
    <w:rsid w:val="00A954DB"/>
    <w:rsid w:val="00A95C16"/>
    <w:rsid w:val="00A9600F"/>
    <w:rsid w:val="00AA0DB4"/>
    <w:rsid w:val="00AA1414"/>
    <w:rsid w:val="00AA1D27"/>
    <w:rsid w:val="00AA2038"/>
    <w:rsid w:val="00AA2434"/>
    <w:rsid w:val="00AA24BE"/>
    <w:rsid w:val="00AA412A"/>
    <w:rsid w:val="00AA4E5B"/>
    <w:rsid w:val="00AA54C0"/>
    <w:rsid w:val="00AA5A4D"/>
    <w:rsid w:val="00AB04F5"/>
    <w:rsid w:val="00AB0A84"/>
    <w:rsid w:val="00AB0FA1"/>
    <w:rsid w:val="00AB14DC"/>
    <w:rsid w:val="00AB14EE"/>
    <w:rsid w:val="00AB1943"/>
    <w:rsid w:val="00AB2710"/>
    <w:rsid w:val="00AB2F47"/>
    <w:rsid w:val="00AB2F6F"/>
    <w:rsid w:val="00AB3838"/>
    <w:rsid w:val="00AB3E91"/>
    <w:rsid w:val="00AB50DD"/>
    <w:rsid w:val="00AB5726"/>
    <w:rsid w:val="00AB7F64"/>
    <w:rsid w:val="00AC082F"/>
    <w:rsid w:val="00AC08FA"/>
    <w:rsid w:val="00AC125A"/>
    <w:rsid w:val="00AC15A4"/>
    <w:rsid w:val="00AC2C6D"/>
    <w:rsid w:val="00AC35F9"/>
    <w:rsid w:val="00AC3B17"/>
    <w:rsid w:val="00AC4499"/>
    <w:rsid w:val="00AC5771"/>
    <w:rsid w:val="00AC5928"/>
    <w:rsid w:val="00AC5B6B"/>
    <w:rsid w:val="00AC664A"/>
    <w:rsid w:val="00AC6A22"/>
    <w:rsid w:val="00AC6A37"/>
    <w:rsid w:val="00AC6D57"/>
    <w:rsid w:val="00AC73DB"/>
    <w:rsid w:val="00AC7B45"/>
    <w:rsid w:val="00AD0109"/>
    <w:rsid w:val="00AD0209"/>
    <w:rsid w:val="00AD1122"/>
    <w:rsid w:val="00AD16CB"/>
    <w:rsid w:val="00AD22C2"/>
    <w:rsid w:val="00AD25AF"/>
    <w:rsid w:val="00AD26C8"/>
    <w:rsid w:val="00AD2C85"/>
    <w:rsid w:val="00AD3414"/>
    <w:rsid w:val="00AD38B6"/>
    <w:rsid w:val="00AD3B9E"/>
    <w:rsid w:val="00AD4C51"/>
    <w:rsid w:val="00AD50AD"/>
    <w:rsid w:val="00AD5387"/>
    <w:rsid w:val="00AD671F"/>
    <w:rsid w:val="00AD74B0"/>
    <w:rsid w:val="00AD7BA0"/>
    <w:rsid w:val="00AE06AF"/>
    <w:rsid w:val="00AE0FAA"/>
    <w:rsid w:val="00AE1A52"/>
    <w:rsid w:val="00AE1BA8"/>
    <w:rsid w:val="00AE258C"/>
    <w:rsid w:val="00AE3187"/>
    <w:rsid w:val="00AE329D"/>
    <w:rsid w:val="00AE3799"/>
    <w:rsid w:val="00AE3FA7"/>
    <w:rsid w:val="00AE47AD"/>
    <w:rsid w:val="00AE4FF8"/>
    <w:rsid w:val="00AE609B"/>
    <w:rsid w:val="00AE6D37"/>
    <w:rsid w:val="00AF0343"/>
    <w:rsid w:val="00AF03A1"/>
    <w:rsid w:val="00AF03DE"/>
    <w:rsid w:val="00AF0D28"/>
    <w:rsid w:val="00AF11E0"/>
    <w:rsid w:val="00AF20FA"/>
    <w:rsid w:val="00AF2B1A"/>
    <w:rsid w:val="00AF3C6C"/>
    <w:rsid w:val="00AF3F5F"/>
    <w:rsid w:val="00AF4C48"/>
    <w:rsid w:val="00AF58A2"/>
    <w:rsid w:val="00AF5F61"/>
    <w:rsid w:val="00AF6E05"/>
    <w:rsid w:val="00B008A6"/>
    <w:rsid w:val="00B015CF"/>
    <w:rsid w:val="00B01601"/>
    <w:rsid w:val="00B02FD1"/>
    <w:rsid w:val="00B03BC5"/>
    <w:rsid w:val="00B04F66"/>
    <w:rsid w:val="00B0551E"/>
    <w:rsid w:val="00B05F92"/>
    <w:rsid w:val="00B05FB7"/>
    <w:rsid w:val="00B0722D"/>
    <w:rsid w:val="00B073BF"/>
    <w:rsid w:val="00B106A3"/>
    <w:rsid w:val="00B129A4"/>
    <w:rsid w:val="00B12FF1"/>
    <w:rsid w:val="00B13D2C"/>
    <w:rsid w:val="00B16DAE"/>
    <w:rsid w:val="00B17B2B"/>
    <w:rsid w:val="00B216F1"/>
    <w:rsid w:val="00B22126"/>
    <w:rsid w:val="00B2272D"/>
    <w:rsid w:val="00B22FF2"/>
    <w:rsid w:val="00B237F9"/>
    <w:rsid w:val="00B262E9"/>
    <w:rsid w:val="00B262EB"/>
    <w:rsid w:val="00B2758D"/>
    <w:rsid w:val="00B27664"/>
    <w:rsid w:val="00B31390"/>
    <w:rsid w:val="00B3145E"/>
    <w:rsid w:val="00B3148F"/>
    <w:rsid w:val="00B321C0"/>
    <w:rsid w:val="00B3242A"/>
    <w:rsid w:val="00B342CA"/>
    <w:rsid w:val="00B34631"/>
    <w:rsid w:val="00B35F2F"/>
    <w:rsid w:val="00B36DA9"/>
    <w:rsid w:val="00B37032"/>
    <w:rsid w:val="00B3782A"/>
    <w:rsid w:val="00B37D9F"/>
    <w:rsid w:val="00B400D2"/>
    <w:rsid w:val="00B4041D"/>
    <w:rsid w:val="00B40647"/>
    <w:rsid w:val="00B40E57"/>
    <w:rsid w:val="00B414DD"/>
    <w:rsid w:val="00B41D41"/>
    <w:rsid w:val="00B41F51"/>
    <w:rsid w:val="00B421EA"/>
    <w:rsid w:val="00B424F7"/>
    <w:rsid w:val="00B436E3"/>
    <w:rsid w:val="00B44525"/>
    <w:rsid w:val="00B44931"/>
    <w:rsid w:val="00B451DD"/>
    <w:rsid w:val="00B45A42"/>
    <w:rsid w:val="00B45F21"/>
    <w:rsid w:val="00B460F7"/>
    <w:rsid w:val="00B464C5"/>
    <w:rsid w:val="00B46FA0"/>
    <w:rsid w:val="00B510EF"/>
    <w:rsid w:val="00B512C8"/>
    <w:rsid w:val="00B518A4"/>
    <w:rsid w:val="00B53073"/>
    <w:rsid w:val="00B5331A"/>
    <w:rsid w:val="00B535D0"/>
    <w:rsid w:val="00B536C2"/>
    <w:rsid w:val="00B53BBB"/>
    <w:rsid w:val="00B55261"/>
    <w:rsid w:val="00B56930"/>
    <w:rsid w:val="00B56CFC"/>
    <w:rsid w:val="00B57412"/>
    <w:rsid w:val="00B57726"/>
    <w:rsid w:val="00B603E5"/>
    <w:rsid w:val="00B61457"/>
    <w:rsid w:val="00B6279E"/>
    <w:rsid w:val="00B637FA"/>
    <w:rsid w:val="00B64AAF"/>
    <w:rsid w:val="00B654CC"/>
    <w:rsid w:val="00B67ADF"/>
    <w:rsid w:val="00B67D13"/>
    <w:rsid w:val="00B70624"/>
    <w:rsid w:val="00B71B0E"/>
    <w:rsid w:val="00B726AE"/>
    <w:rsid w:val="00B7274F"/>
    <w:rsid w:val="00B72811"/>
    <w:rsid w:val="00B72AE1"/>
    <w:rsid w:val="00B75BFC"/>
    <w:rsid w:val="00B75E57"/>
    <w:rsid w:val="00B7636F"/>
    <w:rsid w:val="00B7697B"/>
    <w:rsid w:val="00B77979"/>
    <w:rsid w:val="00B806F2"/>
    <w:rsid w:val="00B808B5"/>
    <w:rsid w:val="00B81774"/>
    <w:rsid w:val="00B817FA"/>
    <w:rsid w:val="00B8226F"/>
    <w:rsid w:val="00B82421"/>
    <w:rsid w:val="00B83022"/>
    <w:rsid w:val="00B830E8"/>
    <w:rsid w:val="00B83544"/>
    <w:rsid w:val="00B8357E"/>
    <w:rsid w:val="00B83E89"/>
    <w:rsid w:val="00B84FDA"/>
    <w:rsid w:val="00B8545C"/>
    <w:rsid w:val="00B85CB1"/>
    <w:rsid w:val="00B85E76"/>
    <w:rsid w:val="00B86C80"/>
    <w:rsid w:val="00B87D28"/>
    <w:rsid w:val="00B90315"/>
    <w:rsid w:val="00B90C38"/>
    <w:rsid w:val="00B90DD3"/>
    <w:rsid w:val="00B914FF"/>
    <w:rsid w:val="00B9260F"/>
    <w:rsid w:val="00B927A0"/>
    <w:rsid w:val="00B931A3"/>
    <w:rsid w:val="00B93301"/>
    <w:rsid w:val="00B94D51"/>
    <w:rsid w:val="00B963D7"/>
    <w:rsid w:val="00B97B41"/>
    <w:rsid w:val="00B97E10"/>
    <w:rsid w:val="00BA024C"/>
    <w:rsid w:val="00BA06D9"/>
    <w:rsid w:val="00BA1663"/>
    <w:rsid w:val="00BA1835"/>
    <w:rsid w:val="00BA2277"/>
    <w:rsid w:val="00BA49BD"/>
    <w:rsid w:val="00BA6080"/>
    <w:rsid w:val="00BA656B"/>
    <w:rsid w:val="00BA663C"/>
    <w:rsid w:val="00BA67F2"/>
    <w:rsid w:val="00BA751E"/>
    <w:rsid w:val="00BA7816"/>
    <w:rsid w:val="00BB00A7"/>
    <w:rsid w:val="00BB04D4"/>
    <w:rsid w:val="00BB0F9D"/>
    <w:rsid w:val="00BB1163"/>
    <w:rsid w:val="00BB1753"/>
    <w:rsid w:val="00BB18C3"/>
    <w:rsid w:val="00BB201D"/>
    <w:rsid w:val="00BB2236"/>
    <w:rsid w:val="00BB26A2"/>
    <w:rsid w:val="00BB2DD6"/>
    <w:rsid w:val="00BB376B"/>
    <w:rsid w:val="00BB3CE0"/>
    <w:rsid w:val="00BB3D28"/>
    <w:rsid w:val="00BB47F6"/>
    <w:rsid w:val="00BB487A"/>
    <w:rsid w:val="00BB493C"/>
    <w:rsid w:val="00BB4F1A"/>
    <w:rsid w:val="00BB5253"/>
    <w:rsid w:val="00BB5285"/>
    <w:rsid w:val="00BB5793"/>
    <w:rsid w:val="00BB7297"/>
    <w:rsid w:val="00BB7C61"/>
    <w:rsid w:val="00BC0517"/>
    <w:rsid w:val="00BC0F38"/>
    <w:rsid w:val="00BC18E0"/>
    <w:rsid w:val="00BC219D"/>
    <w:rsid w:val="00BC25C2"/>
    <w:rsid w:val="00BC2919"/>
    <w:rsid w:val="00BC2DB4"/>
    <w:rsid w:val="00BC3833"/>
    <w:rsid w:val="00BC3959"/>
    <w:rsid w:val="00BC6381"/>
    <w:rsid w:val="00BC6E49"/>
    <w:rsid w:val="00BD001C"/>
    <w:rsid w:val="00BD00B0"/>
    <w:rsid w:val="00BD235C"/>
    <w:rsid w:val="00BD27E3"/>
    <w:rsid w:val="00BD3FEF"/>
    <w:rsid w:val="00BD47D5"/>
    <w:rsid w:val="00BD4CC7"/>
    <w:rsid w:val="00BD6350"/>
    <w:rsid w:val="00BD7196"/>
    <w:rsid w:val="00BD75EB"/>
    <w:rsid w:val="00BD7A8A"/>
    <w:rsid w:val="00BE012E"/>
    <w:rsid w:val="00BE1478"/>
    <w:rsid w:val="00BE2383"/>
    <w:rsid w:val="00BE319C"/>
    <w:rsid w:val="00BE5235"/>
    <w:rsid w:val="00BE6BA8"/>
    <w:rsid w:val="00BE6FB8"/>
    <w:rsid w:val="00BF0EA8"/>
    <w:rsid w:val="00BF205D"/>
    <w:rsid w:val="00BF2CDF"/>
    <w:rsid w:val="00BF4322"/>
    <w:rsid w:val="00BF48BD"/>
    <w:rsid w:val="00BF562F"/>
    <w:rsid w:val="00BF5718"/>
    <w:rsid w:val="00BF5C1E"/>
    <w:rsid w:val="00BF70AB"/>
    <w:rsid w:val="00BF72DF"/>
    <w:rsid w:val="00BF75F7"/>
    <w:rsid w:val="00BF7BA6"/>
    <w:rsid w:val="00C0072F"/>
    <w:rsid w:val="00C00A8F"/>
    <w:rsid w:val="00C0137D"/>
    <w:rsid w:val="00C01A56"/>
    <w:rsid w:val="00C01A60"/>
    <w:rsid w:val="00C01AF2"/>
    <w:rsid w:val="00C02280"/>
    <w:rsid w:val="00C024E6"/>
    <w:rsid w:val="00C0355C"/>
    <w:rsid w:val="00C035B0"/>
    <w:rsid w:val="00C04128"/>
    <w:rsid w:val="00C041F0"/>
    <w:rsid w:val="00C04DAD"/>
    <w:rsid w:val="00C05359"/>
    <w:rsid w:val="00C05BE9"/>
    <w:rsid w:val="00C060E5"/>
    <w:rsid w:val="00C06282"/>
    <w:rsid w:val="00C063ED"/>
    <w:rsid w:val="00C10C5E"/>
    <w:rsid w:val="00C1200C"/>
    <w:rsid w:val="00C12C00"/>
    <w:rsid w:val="00C12E2B"/>
    <w:rsid w:val="00C13AD1"/>
    <w:rsid w:val="00C13C96"/>
    <w:rsid w:val="00C161A6"/>
    <w:rsid w:val="00C16379"/>
    <w:rsid w:val="00C1747D"/>
    <w:rsid w:val="00C17F69"/>
    <w:rsid w:val="00C20242"/>
    <w:rsid w:val="00C20CBD"/>
    <w:rsid w:val="00C20FE0"/>
    <w:rsid w:val="00C21525"/>
    <w:rsid w:val="00C228B3"/>
    <w:rsid w:val="00C2376A"/>
    <w:rsid w:val="00C23C13"/>
    <w:rsid w:val="00C24136"/>
    <w:rsid w:val="00C2417C"/>
    <w:rsid w:val="00C244E3"/>
    <w:rsid w:val="00C24854"/>
    <w:rsid w:val="00C25417"/>
    <w:rsid w:val="00C255C3"/>
    <w:rsid w:val="00C26805"/>
    <w:rsid w:val="00C27936"/>
    <w:rsid w:val="00C3027C"/>
    <w:rsid w:val="00C3079B"/>
    <w:rsid w:val="00C3085A"/>
    <w:rsid w:val="00C30A86"/>
    <w:rsid w:val="00C30CAF"/>
    <w:rsid w:val="00C30E1F"/>
    <w:rsid w:val="00C3116B"/>
    <w:rsid w:val="00C32092"/>
    <w:rsid w:val="00C3278E"/>
    <w:rsid w:val="00C34929"/>
    <w:rsid w:val="00C35F63"/>
    <w:rsid w:val="00C36192"/>
    <w:rsid w:val="00C361D9"/>
    <w:rsid w:val="00C363D9"/>
    <w:rsid w:val="00C3698B"/>
    <w:rsid w:val="00C375F6"/>
    <w:rsid w:val="00C37A7E"/>
    <w:rsid w:val="00C40060"/>
    <w:rsid w:val="00C432A1"/>
    <w:rsid w:val="00C4374C"/>
    <w:rsid w:val="00C45100"/>
    <w:rsid w:val="00C45398"/>
    <w:rsid w:val="00C455D9"/>
    <w:rsid w:val="00C4569E"/>
    <w:rsid w:val="00C50612"/>
    <w:rsid w:val="00C5175E"/>
    <w:rsid w:val="00C51870"/>
    <w:rsid w:val="00C537E4"/>
    <w:rsid w:val="00C54A97"/>
    <w:rsid w:val="00C5539F"/>
    <w:rsid w:val="00C5544C"/>
    <w:rsid w:val="00C555FD"/>
    <w:rsid w:val="00C55BD9"/>
    <w:rsid w:val="00C55EC9"/>
    <w:rsid w:val="00C56116"/>
    <w:rsid w:val="00C56A9C"/>
    <w:rsid w:val="00C56C28"/>
    <w:rsid w:val="00C577FC"/>
    <w:rsid w:val="00C5791D"/>
    <w:rsid w:val="00C579AE"/>
    <w:rsid w:val="00C57C94"/>
    <w:rsid w:val="00C60D95"/>
    <w:rsid w:val="00C619A4"/>
    <w:rsid w:val="00C61DE6"/>
    <w:rsid w:val="00C623B6"/>
    <w:rsid w:val="00C639B7"/>
    <w:rsid w:val="00C64520"/>
    <w:rsid w:val="00C6492E"/>
    <w:rsid w:val="00C64ED7"/>
    <w:rsid w:val="00C65046"/>
    <w:rsid w:val="00C653FF"/>
    <w:rsid w:val="00C670A8"/>
    <w:rsid w:val="00C674FE"/>
    <w:rsid w:val="00C71456"/>
    <w:rsid w:val="00C7215D"/>
    <w:rsid w:val="00C7225D"/>
    <w:rsid w:val="00C7250D"/>
    <w:rsid w:val="00C727B5"/>
    <w:rsid w:val="00C72B59"/>
    <w:rsid w:val="00C735AC"/>
    <w:rsid w:val="00C73C48"/>
    <w:rsid w:val="00C74E71"/>
    <w:rsid w:val="00C7522C"/>
    <w:rsid w:val="00C75514"/>
    <w:rsid w:val="00C77923"/>
    <w:rsid w:val="00C80239"/>
    <w:rsid w:val="00C80AEF"/>
    <w:rsid w:val="00C81723"/>
    <w:rsid w:val="00C81B50"/>
    <w:rsid w:val="00C82171"/>
    <w:rsid w:val="00C82E03"/>
    <w:rsid w:val="00C8318A"/>
    <w:rsid w:val="00C83369"/>
    <w:rsid w:val="00C850F8"/>
    <w:rsid w:val="00C85652"/>
    <w:rsid w:val="00C874DA"/>
    <w:rsid w:val="00C901D5"/>
    <w:rsid w:val="00C901F7"/>
    <w:rsid w:val="00C90B00"/>
    <w:rsid w:val="00C915E6"/>
    <w:rsid w:val="00C93525"/>
    <w:rsid w:val="00C9361A"/>
    <w:rsid w:val="00C94841"/>
    <w:rsid w:val="00C94A0A"/>
    <w:rsid w:val="00C94A59"/>
    <w:rsid w:val="00C969F5"/>
    <w:rsid w:val="00CA1763"/>
    <w:rsid w:val="00CA1F2D"/>
    <w:rsid w:val="00CA29CE"/>
    <w:rsid w:val="00CA31F0"/>
    <w:rsid w:val="00CA4BE4"/>
    <w:rsid w:val="00CA50ED"/>
    <w:rsid w:val="00CA5C6C"/>
    <w:rsid w:val="00CA5D71"/>
    <w:rsid w:val="00CA73D6"/>
    <w:rsid w:val="00CB065E"/>
    <w:rsid w:val="00CB0709"/>
    <w:rsid w:val="00CB2493"/>
    <w:rsid w:val="00CB33E2"/>
    <w:rsid w:val="00CB3BB1"/>
    <w:rsid w:val="00CB4791"/>
    <w:rsid w:val="00CB4CC7"/>
    <w:rsid w:val="00CB6DE1"/>
    <w:rsid w:val="00CC0539"/>
    <w:rsid w:val="00CC094B"/>
    <w:rsid w:val="00CC0985"/>
    <w:rsid w:val="00CC1A92"/>
    <w:rsid w:val="00CC1E15"/>
    <w:rsid w:val="00CC266B"/>
    <w:rsid w:val="00CC2B18"/>
    <w:rsid w:val="00CC31DA"/>
    <w:rsid w:val="00CC3EDC"/>
    <w:rsid w:val="00CC3F79"/>
    <w:rsid w:val="00CC5060"/>
    <w:rsid w:val="00CC5517"/>
    <w:rsid w:val="00CC6769"/>
    <w:rsid w:val="00CC773F"/>
    <w:rsid w:val="00CC7AA2"/>
    <w:rsid w:val="00CC7DF4"/>
    <w:rsid w:val="00CD1BAD"/>
    <w:rsid w:val="00CD45F5"/>
    <w:rsid w:val="00CD4AF8"/>
    <w:rsid w:val="00CD5874"/>
    <w:rsid w:val="00CD60BF"/>
    <w:rsid w:val="00CD60E3"/>
    <w:rsid w:val="00CD6E60"/>
    <w:rsid w:val="00CD79FC"/>
    <w:rsid w:val="00CE02CB"/>
    <w:rsid w:val="00CE1C8B"/>
    <w:rsid w:val="00CE1D7D"/>
    <w:rsid w:val="00CE1E6A"/>
    <w:rsid w:val="00CE2611"/>
    <w:rsid w:val="00CE2903"/>
    <w:rsid w:val="00CE2D87"/>
    <w:rsid w:val="00CE34DB"/>
    <w:rsid w:val="00CE3D70"/>
    <w:rsid w:val="00CE4E31"/>
    <w:rsid w:val="00CE5575"/>
    <w:rsid w:val="00CE58A1"/>
    <w:rsid w:val="00CE6878"/>
    <w:rsid w:val="00CE6B40"/>
    <w:rsid w:val="00CE7217"/>
    <w:rsid w:val="00CF056E"/>
    <w:rsid w:val="00CF0CCA"/>
    <w:rsid w:val="00CF17F9"/>
    <w:rsid w:val="00CF1F22"/>
    <w:rsid w:val="00CF2711"/>
    <w:rsid w:val="00CF3BE8"/>
    <w:rsid w:val="00CF4008"/>
    <w:rsid w:val="00CF4B68"/>
    <w:rsid w:val="00CF4E3D"/>
    <w:rsid w:val="00CF5106"/>
    <w:rsid w:val="00CF6C7C"/>
    <w:rsid w:val="00CF76EB"/>
    <w:rsid w:val="00CF79FF"/>
    <w:rsid w:val="00CF7F3D"/>
    <w:rsid w:val="00D004A9"/>
    <w:rsid w:val="00D00C38"/>
    <w:rsid w:val="00D00F30"/>
    <w:rsid w:val="00D01F0F"/>
    <w:rsid w:val="00D031BD"/>
    <w:rsid w:val="00D03509"/>
    <w:rsid w:val="00D03611"/>
    <w:rsid w:val="00D03E35"/>
    <w:rsid w:val="00D03E76"/>
    <w:rsid w:val="00D0527D"/>
    <w:rsid w:val="00D056C4"/>
    <w:rsid w:val="00D05EE1"/>
    <w:rsid w:val="00D0721A"/>
    <w:rsid w:val="00D07AB1"/>
    <w:rsid w:val="00D07C63"/>
    <w:rsid w:val="00D11496"/>
    <w:rsid w:val="00D11847"/>
    <w:rsid w:val="00D11FF9"/>
    <w:rsid w:val="00D12CEB"/>
    <w:rsid w:val="00D12DDE"/>
    <w:rsid w:val="00D138EB"/>
    <w:rsid w:val="00D13905"/>
    <w:rsid w:val="00D13C66"/>
    <w:rsid w:val="00D14853"/>
    <w:rsid w:val="00D14A2E"/>
    <w:rsid w:val="00D14C0F"/>
    <w:rsid w:val="00D15691"/>
    <w:rsid w:val="00D158B5"/>
    <w:rsid w:val="00D16819"/>
    <w:rsid w:val="00D16AC5"/>
    <w:rsid w:val="00D16EA3"/>
    <w:rsid w:val="00D17F18"/>
    <w:rsid w:val="00D215CD"/>
    <w:rsid w:val="00D22832"/>
    <w:rsid w:val="00D22A71"/>
    <w:rsid w:val="00D23103"/>
    <w:rsid w:val="00D236EA"/>
    <w:rsid w:val="00D2433A"/>
    <w:rsid w:val="00D24F11"/>
    <w:rsid w:val="00D25833"/>
    <w:rsid w:val="00D26BB3"/>
    <w:rsid w:val="00D27A57"/>
    <w:rsid w:val="00D31DC3"/>
    <w:rsid w:val="00D31E56"/>
    <w:rsid w:val="00D329F6"/>
    <w:rsid w:val="00D34007"/>
    <w:rsid w:val="00D34C3B"/>
    <w:rsid w:val="00D3555C"/>
    <w:rsid w:val="00D36E53"/>
    <w:rsid w:val="00D37447"/>
    <w:rsid w:val="00D37DEF"/>
    <w:rsid w:val="00D4048A"/>
    <w:rsid w:val="00D40BBA"/>
    <w:rsid w:val="00D41032"/>
    <w:rsid w:val="00D41C28"/>
    <w:rsid w:val="00D42434"/>
    <w:rsid w:val="00D42830"/>
    <w:rsid w:val="00D439A3"/>
    <w:rsid w:val="00D4405D"/>
    <w:rsid w:val="00D441F9"/>
    <w:rsid w:val="00D45482"/>
    <w:rsid w:val="00D45B72"/>
    <w:rsid w:val="00D45C4B"/>
    <w:rsid w:val="00D46B2D"/>
    <w:rsid w:val="00D46BAC"/>
    <w:rsid w:val="00D4774F"/>
    <w:rsid w:val="00D4777D"/>
    <w:rsid w:val="00D50687"/>
    <w:rsid w:val="00D506AA"/>
    <w:rsid w:val="00D51122"/>
    <w:rsid w:val="00D51D51"/>
    <w:rsid w:val="00D52DA4"/>
    <w:rsid w:val="00D53574"/>
    <w:rsid w:val="00D5382E"/>
    <w:rsid w:val="00D541D1"/>
    <w:rsid w:val="00D55725"/>
    <w:rsid w:val="00D55B3F"/>
    <w:rsid w:val="00D55DB4"/>
    <w:rsid w:val="00D563CD"/>
    <w:rsid w:val="00D56C20"/>
    <w:rsid w:val="00D56F99"/>
    <w:rsid w:val="00D57069"/>
    <w:rsid w:val="00D601A0"/>
    <w:rsid w:val="00D60FD1"/>
    <w:rsid w:val="00D61585"/>
    <w:rsid w:val="00D616DE"/>
    <w:rsid w:val="00D61753"/>
    <w:rsid w:val="00D61D6D"/>
    <w:rsid w:val="00D62A5D"/>
    <w:rsid w:val="00D62DD4"/>
    <w:rsid w:val="00D63589"/>
    <w:rsid w:val="00D641FE"/>
    <w:rsid w:val="00D64BF5"/>
    <w:rsid w:val="00D651C8"/>
    <w:rsid w:val="00D66718"/>
    <w:rsid w:val="00D66798"/>
    <w:rsid w:val="00D66AD1"/>
    <w:rsid w:val="00D70F2E"/>
    <w:rsid w:val="00D71865"/>
    <w:rsid w:val="00D72153"/>
    <w:rsid w:val="00D730E5"/>
    <w:rsid w:val="00D73A3F"/>
    <w:rsid w:val="00D75705"/>
    <w:rsid w:val="00D75CE8"/>
    <w:rsid w:val="00D77F55"/>
    <w:rsid w:val="00D80393"/>
    <w:rsid w:val="00D80908"/>
    <w:rsid w:val="00D81418"/>
    <w:rsid w:val="00D82586"/>
    <w:rsid w:val="00D828B8"/>
    <w:rsid w:val="00D828C6"/>
    <w:rsid w:val="00D83066"/>
    <w:rsid w:val="00D85128"/>
    <w:rsid w:val="00D85357"/>
    <w:rsid w:val="00D85CA0"/>
    <w:rsid w:val="00D86822"/>
    <w:rsid w:val="00D8705F"/>
    <w:rsid w:val="00D9013F"/>
    <w:rsid w:val="00D91B35"/>
    <w:rsid w:val="00D91E7F"/>
    <w:rsid w:val="00D92028"/>
    <w:rsid w:val="00D928C1"/>
    <w:rsid w:val="00D92F59"/>
    <w:rsid w:val="00D930FE"/>
    <w:rsid w:val="00D93617"/>
    <w:rsid w:val="00D93E7F"/>
    <w:rsid w:val="00D93F52"/>
    <w:rsid w:val="00D941C4"/>
    <w:rsid w:val="00D95281"/>
    <w:rsid w:val="00D9637F"/>
    <w:rsid w:val="00D96E24"/>
    <w:rsid w:val="00D97DF8"/>
    <w:rsid w:val="00DA0081"/>
    <w:rsid w:val="00DA0D41"/>
    <w:rsid w:val="00DA20A6"/>
    <w:rsid w:val="00DA2346"/>
    <w:rsid w:val="00DA2AB8"/>
    <w:rsid w:val="00DA32B6"/>
    <w:rsid w:val="00DA48BA"/>
    <w:rsid w:val="00DA55B2"/>
    <w:rsid w:val="00DA7C80"/>
    <w:rsid w:val="00DB02A4"/>
    <w:rsid w:val="00DB0CA0"/>
    <w:rsid w:val="00DB1AF0"/>
    <w:rsid w:val="00DB3248"/>
    <w:rsid w:val="00DB35FC"/>
    <w:rsid w:val="00DB36A2"/>
    <w:rsid w:val="00DB3915"/>
    <w:rsid w:val="00DB4066"/>
    <w:rsid w:val="00DB5828"/>
    <w:rsid w:val="00DB58B4"/>
    <w:rsid w:val="00DB6EB9"/>
    <w:rsid w:val="00DB7974"/>
    <w:rsid w:val="00DC0076"/>
    <w:rsid w:val="00DC0425"/>
    <w:rsid w:val="00DC0682"/>
    <w:rsid w:val="00DC0857"/>
    <w:rsid w:val="00DC08E2"/>
    <w:rsid w:val="00DC0E6B"/>
    <w:rsid w:val="00DC1AAA"/>
    <w:rsid w:val="00DC20CE"/>
    <w:rsid w:val="00DC2B2E"/>
    <w:rsid w:val="00DC2E34"/>
    <w:rsid w:val="00DC32E5"/>
    <w:rsid w:val="00DC3930"/>
    <w:rsid w:val="00DC3F5E"/>
    <w:rsid w:val="00DC3F9F"/>
    <w:rsid w:val="00DC52CD"/>
    <w:rsid w:val="00DC76BD"/>
    <w:rsid w:val="00DD094D"/>
    <w:rsid w:val="00DD0E3C"/>
    <w:rsid w:val="00DD2CC9"/>
    <w:rsid w:val="00DD2EAC"/>
    <w:rsid w:val="00DD6562"/>
    <w:rsid w:val="00DD68E1"/>
    <w:rsid w:val="00DD764F"/>
    <w:rsid w:val="00DD7E90"/>
    <w:rsid w:val="00DE0A28"/>
    <w:rsid w:val="00DE1E21"/>
    <w:rsid w:val="00DE33F2"/>
    <w:rsid w:val="00DE453A"/>
    <w:rsid w:val="00DE496D"/>
    <w:rsid w:val="00DE4E34"/>
    <w:rsid w:val="00DE54E9"/>
    <w:rsid w:val="00DE6411"/>
    <w:rsid w:val="00DE66A5"/>
    <w:rsid w:val="00DE6708"/>
    <w:rsid w:val="00DE7D3C"/>
    <w:rsid w:val="00DF1333"/>
    <w:rsid w:val="00DF1AA0"/>
    <w:rsid w:val="00DF1D62"/>
    <w:rsid w:val="00DF1FFD"/>
    <w:rsid w:val="00DF23DD"/>
    <w:rsid w:val="00DF25AF"/>
    <w:rsid w:val="00DF376D"/>
    <w:rsid w:val="00DF37FA"/>
    <w:rsid w:val="00DF39B1"/>
    <w:rsid w:val="00DF55AB"/>
    <w:rsid w:val="00DF7C3A"/>
    <w:rsid w:val="00DF7F12"/>
    <w:rsid w:val="00E001DB"/>
    <w:rsid w:val="00E005A5"/>
    <w:rsid w:val="00E02618"/>
    <w:rsid w:val="00E02C66"/>
    <w:rsid w:val="00E03B8E"/>
    <w:rsid w:val="00E03D12"/>
    <w:rsid w:val="00E03E65"/>
    <w:rsid w:val="00E04BF4"/>
    <w:rsid w:val="00E04CD9"/>
    <w:rsid w:val="00E050E4"/>
    <w:rsid w:val="00E063FC"/>
    <w:rsid w:val="00E06EE5"/>
    <w:rsid w:val="00E0755B"/>
    <w:rsid w:val="00E07FA2"/>
    <w:rsid w:val="00E10196"/>
    <w:rsid w:val="00E10BE0"/>
    <w:rsid w:val="00E110D9"/>
    <w:rsid w:val="00E11744"/>
    <w:rsid w:val="00E124CD"/>
    <w:rsid w:val="00E12E32"/>
    <w:rsid w:val="00E1378B"/>
    <w:rsid w:val="00E13D12"/>
    <w:rsid w:val="00E14246"/>
    <w:rsid w:val="00E142B7"/>
    <w:rsid w:val="00E1437D"/>
    <w:rsid w:val="00E143B4"/>
    <w:rsid w:val="00E1482D"/>
    <w:rsid w:val="00E14967"/>
    <w:rsid w:val="00E150B5"/>
    <w:rsid w:val="00E1639F"/>
    <w:rsid w:val="00E1640C"/>
    <w:rsid w:val="00E16E7F"/>
    <w:rsid w:val="00E203F7"/>
    <w:rsid w:val="00E20633"/>
    <w:rsid w:val="00E2139F"/>
    <w:rsid w:val="00E2212A"/>
    <w:rsid w:val="00E22148"/>
    <w:rsid w:val="00E221CA"/>
    <w:rsid w:val="00E2322F"/>
    <w:rsid w:val="00E23BA7"/>
    <w:rsid w:val="00E23C04"/>
    <w:rsid w:val="00E2547F"/>
    <w:rsid w:val="00E255BA"/>
    <w:rsid w:val="00E25B9C"/>
    <w:rsid w:val="00E2616A"/>
    <w:rsid w:val="00E27636"/>
    <w:rsid w:val="00E305A3"/>
    <w:rsid w:val="00E30EDA"/>
    <w:rsid w:val="00E31D58"/>
    <w:rsid w:val="00E33AE9"/>
    <w:rsid w:val="00E34348"/>
    <w:rsid w:val="00E34E28"/>
    <w:rsid w:val="00E36700"/>
    <w:rsid w:val="00E3671C"/>
    <w:rsid w:val="00E368D4"/>
    <w:rsid w:val="00E37F05"/>
    <w:rsid w:val="00E410FD"/>
    <w:rsid w:val="00E41E2B"/>
    <w:rsid w:val="00E423C8"/>
    <w:rsid w:val="00E42D74"/>
    <w:rsid w:val="00E43157"/>
    <w:rsid w:val="00E448D8"/>
    <w:rsid w:val="00E44A3E"/>
    <w:rsid w:val="00E44DF1"/>
    <w:rsid w:val="00E45A9B"/>
    <w:rsid w:val="00E47065"/>
    <w:rsid w:val="00E4758B"/>
    <w:rsid w:val="00E478D0"/>
    <w:rsid w:val="00E47D23"/>
    <w:rsid w:val="00E47E47"/>
    <w:rsid w:val="00E5044B"/>
    <w:rsid w:val="00E519A3"/>
    <w:rsid w:val="00E51B55"/>
    <w:rsid w:val="00E521A0"/>
    <w:rsid w:val="00E521C0"/>
    <w:rsid w:val="00E5246E"/>
    <w:rsid w:val="00E52D45"/>
    <w:rsid w:val="00E55441"/>
    <w:rsid w:val="00E560A4"/>
    <w:rsid w:val="00E56416"/>
    <w:rsid w:val="00E572F4"/>
    <w:rsid w:val="00E57BBC"/>
    <w:rsid w:val="00E6078F"/>
    <w:rsid w:val="00E60F55"/>
    <w:rsid w:val="00E622DD"/>
    <w:rsid w:val="00E626DD"/>
    <w:rsid w:val="00E626F5"/>
    <w:rsid w:val="00E633F6"/>
    <w:rsid w:val="00E63CEF"/>
    <w:rsid w:val="00E64C75"/>
    <w:rsid w:val="00E6599D"/>
    <w:rsid w:val="00E66473"/>
    <w:rsid w:val="00E666CB"/>
    <w:rsid w:val="00E6680F"/>
    <w:rsid w:val="00E66FE6"/>
    <w:rsid w:val="00E67164"/>
    <w:rsid w:val="00E707FB"/>
    <w:rsid w:val="00E70DFB"/>
    <w:rsid w:val="00E718B2"/>
    <w:rsid w:val="00E72B88"/>
    <w:rsid w:val="00E75245"/>
    <w:rsid w:val="00E75B5D"/>
    <w:rsid w:val="00E76C85"/>
    <w:rsid w:val="00E7710C"/>
    <w:rsid w:val="00E772C0"/>
    <w:rsid w:val="00E80E77"/>
    <w:rsid w:val="00E817B1"/>
    <w:rsid w:val="00E8208B"/>
    <w:rsid w:val="00E82160"/>
    <w:rsid w:val="00E82EB1"/>
    <w:rsid w:val="00E84280"/>
    <w:rsid w:val="00E84A94"/>
    <w:rsid w:val="00E86287"/>
    <w:rsid w:val="00E86F02"/>
    <w:rsid w:val="00E90977"/>
    <w:rsid w:val="00E911E7"/>
    <w:rsid w:val="00E9195F"/>
    <w:rsid w:val="00E94101"/>
    <w:rsid w:val="00E94BA2"/>
    <w:rsid w:val="00E9537D"/>
    <w:rsid w:val="00E97466"/>
    <w:rsid w:val="00EA1724"/>
    <w:rsid w:val="00EA20AE"/>
    <w:rsid w:val="00EA2563"/>
    <w:rsid w:val="00EA25F9"/>
    <w:rsid w:val="00EA272D"/>
    <w:rsid w:val="00EA328D"/>
    <w:rsid w:val="00EA33FB"/>
    <w:rsid w:val="00EA3DB5"/>
    <w:rsid w:val="00EA5761"/>
    <w:rsid w:val="00EA7F80"/>
    <w:rsid w:val="00EB0306"/>
    <w:rsid w:val="00EB1420"/>
    <w:rsid w:val="00EB1576"/>
    <w:rsid w:val="00EB1614"/>
    <w:rsid w:val="00EB2082"/>
    <w:rsid w:val="00EB220B"/>
    <w:rsid w:val="00EB249D"/>
    <w:rsid w:val="00EB2530"/>
    <w:rsid w:val="00EB2CB6"/>
    <w:rsid w:val="00EB48C6"/>
    <w:rsid w:val="00EB7139"/>
    <w:rsid w:val="00EB72FA"/>
    <w:rsid w:val="00EC1E3A"/>
    <w:rsid w:val="00EC2DB2"/>
    <w:rsid w:val="00EC331E"/>
    <w:rsid w:val="00EC36E3"/>
    <w:rsid w:val="00EC37C0"/>
    <w:rsid w:val="00EC3BE1"/>
    <w:rsid w:val="00EC405B"/>
    <w:rsid w:val="00EC42AE"/>
    <w:rsid w:val="00EC49EE"/>
    <w:rsid w:val="00EC5EE2"/>
    <w:rsid w:val="00EC63EB"/>
    <w:rsid w:val="00EC751A"/>
    <w:rsid w:val="00EC780E"/>
    <w:rsid w:val="00ED1AC2"/>
    <w:rsid w:val="00ED38A0"/>
    <w:rsid w:val="00ED4233"/>
    <w:rsid w:val="00ED4252"/>
    <w:rsid w:val="00ED4BA1"/>
    <w:rsid w:val="00ED64D3"/>
    <w:rsid w:val="00ED675B"/>
    <w:rsid w:val="00ED6BBE"/>
    <w:rsid w:val="00EE0486"/>
    <w:rsid w:val="00EE071E"/>
    <w:rsid w:val="00EE07EE"/>
    <w:rsid w:val="00EE198F"/>
    <w:rsid w:val="00EE2361"/>
    <w:rsid w:val="00EE2449"/>
    <w:rsid w:val="00EE28D6"/>
    <w:rsid w:val="00EE2D42"/>
    <w:rsid w:val="00EE3B4C"/>
    <w:rsid w:val="00EE3F2C"/>
    <w:rsid w:val="00EE6D3B"/>
    <w:rsid w:val="00EE7E68"/>
    <w:rsid w:val="00EF0197"/>
    <w:rsid w:val="00EF0C24"/>
    <w:rsid w:val="00EF1478"/>
    <w:rsid w:val="00EF1B76"/>
    <w:rsid w:val="00EF2584"/>
    <w:rsid w:val="00EF5107"/>
    <w:rsid w:val="00EF5CC7"/>
    <w:rsid w:val="00EF7121"/>
    <w:rsid w:val="00F00CBE"/>
    <w:rsid w:val="00F0124D"/>
    <w:rsid w:val="00F02888"/>
    <w:rsid w:val="00F04019"/>
    <w:rsid w:val="00F04F16"/>
    <w:rsid w:val="00F04F2A"/>
    <w:rsid w:val="00F05126"/>
    <w:rsid w:val="00F05489"/>
    <w:rsid w:val="00F05BE0"/>
    <w:rsid w:val="00F06222"/>
    <w:rsid w:val="00F06FB8"/>
    <w:rsid w:val="00F078DC"/>
    <w:rsid w:val="00F07C68"/>
    <w:rsid w:val="00F100E5"/>
    <w:rsid w:val="00F101EF"/>
    <w:rsid w:val="00F106E3"/>
    <w:rsid w:val="00F10A64"/>
    <w:rsid w:val="00F1141B"/>
    <w:rsid w:val="00F117C6"/>
    <w:rsid w:val="00F12421"/>
    <w:rsid w:val="00F12842"/>
    <w:rsid w:val="00F135FA"/>
    <w:rsid w:val="00F14248"/>
    <w:rsid w:val="00F14FF4"/>
    <w:rsid w:val="00F1571F"/>
    <w:rsid w:val="00F15FD8"/>
    <w:rsid w:val="00F160B6"/>
    <w:rsid w:val="00F16E09"/>
    <w:rsid w:val="00F170C0"/>
    <w:rsid w:val="00F21738"/>
    <w:rsid w:val="00F21C55"/>
    <w:rsid w:val="00F220C5"/>
    <w:rsid w:val="00F22240"/>
    <w:rsid w:val="00F2325B"/>
    <w:rsid w:val="00F23703"/>
    <w:rsid w:val="00F23838"/>
    <w:rsid w:val="00F241BD"/>
    <w:rsid w:val="00F241E5"/>
    <w:rsid w:val="00F24CB8"/>
    <w:rsid w:val="00F24FBF"/>
    <w:rsid w:val="00F25656"/>
    <w:rsid w:val="00F261CF"/>
    <w:rsid w:val="00F261D5"/>
    <w:rsid w:val="00F261FB"/>
    <w:rsid w:val="00F27E2B"/>
    <w:rsid w:val="00F27E60"/>
    <w:rsid w:val="00F3058C"/>
    <w:rsid w:val="00F3120F"/>
    <w:rsid w:val="00F32E61"/>
    <w:rsid w:val="00F33FA5"/>
    <w:rsid w:val="00F34915"/>
    <w:rsid w:val="00F35469"/>
    <w:rsid w:val="00F35B98"/>
    <w:rsid w:val="00F35CC8"/>
    <w:rsid w:val="00F377A4"/>
    <w:rsid w:val="00F40436"/>
    <w:rsid w:val="00F405C0"/>
    <w:rsid w:val="00F409BA"/>
    <w:rsid w:val="00F41D90"/>
    <w:rsid w:val="00F43C56"/>
    <w:rsid w:val="00F43E95"/>
    <w:rsid w:val="00F4434A"/>
    <w:rsid w:val="00F4548D"/>
    <w:rsid w:val="00F459C7"/>
    <w:rsid w:val="00F46797"/>
    <w:rsid w:val="00F47072"/>
    <w:rsid w:val="00F5004B"/>
    <w:rsid w:val="00F50216"/>
    <w:rsid w:val="00F505D7"/>
    <w:rsid w:val="00F50888"/>
    <w:rsid w:val="00F50893"/>
    <w:rsid w:val="00F51A99"/>
    <w:rsid w:val="00F51BFF"/>
    <w:rsid w:val="00F538C1"/>
    <w:rsid w:val="00F5399D"/>
    <w:rsid w:val="00F53B0D"/>
    <w:rsid w:val="00F5452E"/>
    <w:rsid w:val="00F54642"/>
    <w:rsid w:val="00F550E9"/>
    <w:rsid w:val="00F560BF"/>
    <w:rsid w:val="00F56337"/>
    <w:rsid w:val="00F566DE"/>
    <w:rsid w:val="00F601E6"/>
    <w:rsid w:val="00F61C76"/>
    <w:rsid w:val="00F62490"/>
    <w:rsid w:val="00F62787"/>
    <w:rsid w:val="00F62854"/>
    <w:rsid w:val="00F62A18"/>
    <w:rsid w:val="00F62B75"/>
    <w:rsid w:val="00F644BE"/>
    <w:rsid w:val="00F651CA"/>
    <w:rsid w:val="00F65C67"/>
    <w:rsid w:val="00F65DF5"/>
    <w:rsid w:val="00F660D4"/>
    <w:rsid w:val="00F66B96"/>
    <w:rsid w:val="00F67DD9"/>
    <w:rsid w:val="00F70AA4"/>
    <w:rsid w:val="00F70FEB"/>
    <w:rsid w:val="00F70FF3"/>
    <w:rsid w:val="00F71210"/>
    <w:rsid w:val="00F712CE"/>
    <w:rsid w:val="00F71838"/>
    <w:rsid w:val="00F71CED"/>
    <w:rsid w:val="00F71E12"/>
    <w:rsid w:val="00F728EF"/>
    <w:rsid w:val="00F72F75"/>
    <w:rsid w:val="00F7379B"/>
    <w:rsid w:val="00F7418E"/>
    <w:rsid w:val="00F7459C"/>
    <w:rsid w:val="00F74D2E"/>
    <w:rsid w:val="00F755F9"/>
    <w:rsid w:val="00F772CB"/>
    <w:rsid w:val="00F801BE"/>
    <w:rsid w:val="00F8087E"/>
    <w:rsid w:val="00F81032"/>
    <w:rsid w:val="00F8110A"/>
    <w:rsid w:val="00F834B8"/>
    <w:rsid w:val="00F83798"/>
    <w:rsid w:val="00F83910"/>
    <w:rsid w:val="00F83ACE"/>
    <w:rsid w:val="00F83D42"/>
    <w:rsid w:val="00F855BD"/>
    <w:rsid w:val="00F856EE"/>
    <w:rsid w:val="00F857CC"/>
    <w:rsid w:val="00F90CE2"/>
    <w:rsid w:val="00F92101"/>
    <w:rsid w:val="00F93196"/>
    <w:rsid w:val="00F9361F"/>
    <w:rsid w:val="00F93B37"/>
    <w:rsid w:val="00F94487"/>
    <w:rsid w:val="00F944C6"/>
    <w:rsid w:val="00F94942"/>
    <w:rsid w:val="00F94A9B"/>
    <w:rsid w:val="00F95921"/>
    <w:rsid w:val="00F964F0"/>
    <w:rsid w:val="00F974E1"/>
    <w:rsid w:val="00F97C73"/>
    <w:rsid w:val="00FA05B4"/>
    <w:rsid w:val="00FA1DB1"/>
    <w:rsid w:val="00FA1E1D"/>
    <w:rsid w:val="00FA2830"/>
    <w:rsid w:val="00FA2BC9"/>
    <w:rsid w:val="00FA2E85"/>
    <w:rsid w:val="00FA2EB0"/>
    <w:rsid w:val="00FA358A"/>
    <w:rsid w:val="00FA3A04"/>
    <w:rsid w:val="00FA4AD8"/>
    <w:rsid w:val="00FA4B5E"/>
    <w:rsid w:val="00FA5474"/>
    <w:rsid w:val="00FA5F6E"/>
    <w:rsid w:val="00FA617C"/>
    <w:rsid w:val="00FA688A"/>
    <w:rsid w:val="00FA7D08"/>
    <w:rsid w:val="00FA7FAC"/>
    <w:rsid w:val="00FB26DF"/>
    <w:rsid w:val="00FB2D2B"/>
    <w:rsid w:val="00FB2E8A"/>
    <w:rsid w:val="00FB36CE"/>
    <w:rsid w:val="00FB3A00"/>
    <w:rsid w:val="00FB47DA"/>
    <w:rsid w:val="00FB5148"/>
    <w:rsid w:val="00FB5D3E"/>
    <w:rsid w:val="00FB5D3F"/>
    <w:rsid w:val="00FB76B6"/>
    <w:rsid w:val="00FC093B"/>
    <w:rsid w:val="00FC0BAF"/>
    <w:rsid w:val="00FC2316"/>
    <w:rsid w:val="00FC2418"/>
    <w:rsid w:val="00FC2979"/>
    <w:rsid w:val="00FC3A95"/>
    <w:rsid w:val="00FC46F5"/>
    <w:rsid w:val="00FC4B61"/>
    <w:rsid w:val="00FC4BC8"/>
    <w:rsid w:val="00FC4DC7"/>
    <w:rsid w:val="00FC5124"/>
    <w:rsid w:val="00FC6599"/>
    <w:rsid w:val="00FC70D9"/>
    <w:rsid w:val="00FC7817"/>
    <w:rsid w:val="00FD0566"/>
    <w:rsid w:val="00FD060B"/>
    <w:rsid w:val="00FD0DF6"/>
    <w:rsid w:val="00FD0F51"/>
    <w:rsid w:val="00FD1217"/>
    <w:rsid w:val="00FD1732"/>
    <w:rsid w:val="00FD1FD7"/>
    <w:rsid w:val="00FD2F37"/>
    <w:rsid w:val="00FD4BB2"/>
    <w:rsid w:val="00FD52D2"/>
    <w:rsid w:val="00FD552F"/>
    <w:rsid w:val="00FD5D88"/>
    <w:rsid w:val="00FD608A"/>
    <w:rsid w:val="00FD7ACE"/>
    <w:rsid w:val="00FD7E0A"/>
    <w:rsid w:val="00FE10E4"/>
    <w:rsid w:val="00FE1237"/>
    <w:rsid w:val="00FE2084"/>
    <w:rsid w:val="00FE34DC"/>
    <w:rsid w:val="00FE3A5F"/>
    <w:rsid w:val="00FE433F"/>
    <w:rsid w:val="00FE44FE"/>
    <w:rsid w:val="00FE4827"/>
    <w:rsid w:val="00FE5E54"/>
    <w:rsid w:val="00FE5F1E"/>
    <w:rsid w:val="00FE6102"/>
    <w:rsid w:val="00FE6D0A"/>
    <w:rsid w:val="00FE7A5B"/>
    <w:rsid w:val="00FF05B7"/>
    <w:rsid w:val="00FF0A47"/>
    <w:rsid w:val="00FF0D50"/>
    <w:rsid w:val="00FF0FA0"/>
    <w:rsid w:val="00FF1956"/>
    <w:rsid w:val="00FF1E17"/>
    <w:rsid w:val="00FF1EB4"/>
    <w:rsid w:val="00FF26FF"/>
    <w:rsid w:val="00FF2FC2"/>
    <w:rsid w:val="00FF3B74"/>
    <w:rsid w:val="00FF3C08"/>
    <w:rsid w:val="00FF3D93"/>
    <w:rsid w:val="00FF41F8"/>
    <w:rsid w:val="00FF4283"/>
    <w:rsid w:val="00FF45C2"/>
    <w:rsid w:val="00FF4AAB"/>
    <w:rsid w:val="00FF4D78"/>
    <w:rsid w:val="00FF6573"/>
    <w:rsid w:val="00FF65BD"/>
    <w:rsid w:val="00FF67ED"/>
    <w:rsid w:val="00FF7575"/>
    <w:rsid w:val="00FF75B3"/>
    <w:rsid w:val="00FF7A07"/>
    <w:rsid w:val="014221E6"/>
    <w:rsid w:val="01984408"/>
    <w:rsid w:val="031E6741"/>
    <w:rsid w:val="035F4942"/>
    <w:rsid w:val="04FE7CA5"/>
    <w:rsid w:val="05BE5C3D"/>
    <w:rsid w:val="05D42582"/>
    <w:rsid w:val="060F4DFF"/>
    <w:rsid w:val="06813F88"/>
    <w:rsid w:val="06935FF3"/>
    <w:rsid w:val="06F772FB"/>
    <w:rsid w:val="07F70F5D"/>
    <w:rsid w:val="084F31C7"/>
    <w:rsid w:val="08B404EB"/>
    <w:rsid w:val="09D03DDA"/>
    <w:rsid w:val="0A076F31"/>
    <w:rsid w:val="0A206F8A"/>
    <w:rsid w:val="0B1457E3"/>
    <w:rsid w:val="0B661ABC"/>
    <w:rsid w:val="0DB81440"/>
    <w:rsid w:val="0E667B55"/>
    <w:rsid w:val="0E6851E4"/>
    <w:rsid w:val="0E932064"/>
    <w:rsid w:val="0EBC4F8B"/>
    <w:rsid w:val="0EBD55E6"/>
    <w:rsid w:val="0F677355"/>
    <w:rsid w:val="0FD90917"/>
    <w:rsid w:val="10052A7C"/>
    <w:rsid w:val="101D04AB"/>
    <w:rsid w:val="11F14111"/>
    <w:rsid w:val="11F55ACB"/>
    <w:rsid w:val="131B5F9D"/>
    <w:rsid w:val="1322101F"/>
    <w:rsid w:val="13531FC1"/>
    <w:rsid w:val="14A934ED"/>
    <w:rsid w:val="14C83F4F"/>
    <w:rsid w:val="169E7DA3"/>
    <w:rsid w:val="16D90693"/>
    <w:rsid w:val="176A708E"/>
    <w:rsid w:val="17DD56F5"/>
    <w:rsid w:val="188303F6"/>
    <w:rsid w:val="19C52C06"/>
    <w:rsid w:val="19E61A94"/>
    <w:rsid w:val="1AB33A36"/>
    <w:rsid w:val="1AC33ABB"/>
    <w:rsid w:val="1AC97E55"/>
    <w:rsid w:val="1AFD3CD7"/>
    <w:rsid w:val="1BCD0FC2"/>
    <w:rsid w:val="1C18440A"/>
    <w:rsid w:val="1C6C42D9"/>
    <w:rsid w:val="1C9A3279"/>
    <w:rsid w:val="1CEB2B47"/>
    <w:rsid w:val="1D015E7B"/>
    <w:rsid w:val="1D2C4A50"/>
    <w:rsid w:val="1D7460FB"/>
    <w:rsid w:val="1E4A465E"/>
    <w:rsid w:val="201051DF"/>
    <w:rsid w:val="205822D1"/>
    <w:rsid w:val="206E0865"/>
    <w:rsid w:val="20726FAE"/>
    <w:rsid w:val="20754889"/>
    <w:rsid w:val="223833FD"/>
    <w:rsid w:val="22DF12CC"/>
    <w:rsid w:val="22F35F48"/>
    <w:rsid w:val="23140BEF"/>
    <w:rsid w:val="232C7836"/>
    <w:rsid w:val="24725A4E"/>
    <w:rsid w:val="24AC7783"/>
    <w:rsid w:val="25E40200"/>
    <w:rsid w:val="26B84614"/>
    <w:rsid w:val="26CE1737"/>
    <w:rsid w:val="273B2A99"/>
    <w:rsid w:val="284801E8"/>
    <w:rsid w:val="2A1F141B"/>
    <w:rsid w:val="2AB925A6"/>
    <w:rsid w:val="2B2F519A"/>
    <w:rsid w:val="2B3637E9"/>
    <w:rsid w:val="2B394636"/>
    <w:rsid w:val="2B6C5576"/>
    <w:rsid w:val="2DA31C0B"/>
    <w:rsid w:val="2DEC7C45"/>
    <w:rsid w:val="2E916236"/>
    <w:rsid w:val="2EF53FFF"/>
    <w:rsid w:val="2FA6143A"/>
    <w:rsid w:val="314553B9"/>
    <w:rsid w:val="31642738"/>
    <w:rsid w:val="31CE7548"/>
    <w:rsid w:val="325207E4"/>
    <w:rsid w:val="32980097"/>
    <w:rsid w:val="330D7CFE"/>
    <w:rsid w:val="341E66A5"/>
    <w:rsid w:val="34490C26"/>
    <w:rsid w:val="34B87EDC"/>
    <w:rsid w:val="34E432EA"/>
    <w:rsid w:val="34EC45AF"/>
    <w:rsid w:val="35617FFB"/>
    <w:rsid w:val="35DC6634"/>
    <w:rsid w:val="36A84D5E"/>
    <w:rsid w:val="38894341"/>
    <w:rsid w:val="398B3D44"/>
    <w:rsid w:val="39D448E6"/>
    <w:rsid w:val="3B792769"/>
    <w:rsid w:val="3BCE402B"/>
    <w:rsid w:val="3CA23785"/>
    <w:rsid w:val="3CAE61BF"/>
    <w:rsid w:val="3CCC47CD"/>
    <w:rsid w:val="3D402D06"/>
    <w:rsid w:val="3DF63E27"/>
    <w:rsid w:val="3F1D583F"/>
    <w:rsid w:val="3F7F64A7"/>
    <w:rsid w:val="40526FD9"/>
    <w:rsid w:val="4063441B"/>
    <w:rsid w:val="414428FF"/>
    <w:rsid w:val="41D239D8"/>
    <w:rsid w:val="4224642B"/>
    <w:rsid w:val="423E1155"/>
    <w:rsid w:val="42685CED"/>
    <w:rsid w:val="427E662A"/>
    <w:rsid w:val="42C833A5"/>
    <w:rsid w:val="42DE71A2"/>
    <w:rsid w:val="435E37B8"/>
    <w:rsid w:val="43740BAD"/>
    <w:rsid w:val="43BD3F61"/>
    <w:rsid w:val="43C93302"/>
    <w:rsid w:val="43F4339A"/>
    <w:rsid w:val="44061EA9"/>
    <w:rsid w:val="44451D70"/>
    <w:rsid w:val="44520CC1"/>
    <w:rsid w:val="45A62CB9"/>
    <w:rsid w:val="464A3201"/>
    <w:rsid w:val="467714BB"/>
    <w:rsid w:val="46B54B75"/>
    <w:rsid w:val="46E501BE"/>
    <w:rsid w:val="479127CF"/>
    <w:rsid w:val="48022A26"/>
    <w:rsid w:val="480D0C34"/>
    <w:rsid w:val="485C5E5F"/>
    <w:rsid w:val="488E3745"/>
    <w:rsid w:val="48CF4F0C"/>
    <w:rsid w:val="49E67F3B"/>
    <w:rsid w:val="4AD6465B"/>
    <w:rsid w:val="4B02515F"/>
    <w:rsid w:val="4B984D46"/>
    <w:rsid w:val="4C087FCB"/>
    <w:rsid w:val="4C8669D3"/>
    <w:rsid w:val="4D1B3FA7"/>
    <w:rsid w:val="4D795963"/>
    <w:rsid w:val="4DF127BD"/>
    <w:rsid w:val="4E640135"/>
    <w:rsid w:val="4ED32F41"/>
    <w:rsid w:val="4F3D6648"/>
    <w:rsid w:val="4FA64DEB"/>
    <w:rsid w:val="4FE13187"/>
    <w:rsid w:val="4FFD2A13"/>
    <w:rsid w:val="519B4AD0"/>
    <w:rsid w:val="51CE326F"/>
    <w:rsid w:val="51D756D4"/>
    <w:rsid w:val="52EF652D"/>
    <w:rsid w:val="53DA3115"/>
    <w:rsid w:val="53F742CA"/>
    <w:rsid w:val="5411123E"/>
    <w:rsid w:val="54EA7388"/>
    <w:rsid w:val="54F552C3"/>
    <w:rsid w:val="55A559A5"/>
    <w:rsid w:val="569E1CD8"/>
    <w:rsid w:val="573242BF"/>
    <w:rsid w:val="57865A73"/>
    <w:rsid w:val="57911D3D"/>
    <w:rsid w:val="57AE4C6B"/>
    <w:rsid w:val="58AF6179"/>
    <w:rsid w:val="58BB32BA"/>
    <w:rsid w:val="597573DE"/>
    <w:rsid w:val="59E87E68"/>
    <w:rsid w:val="5A1B6236"/>
    <w:rsid w:val="5B785767"/>
    <w:rsid w:val="5BA5655A"/>
    <w:rsid w:val="5BE448F1"/>
    <w:rsid w:val="5C3D24FB"/>
    <w:rsid w:val="5C9A2CF1"/>
    <w:rsid w:val="5CF16BBE"/>
    <w:rsid w:val="5E4C4D2E"/>
    <w:rsid w:val="5F237B9F"/>
    <w:rsid w:val="5F3D638A"/>
    <w:rsid w:val="5F743CC5"/>
    <w:rsid w:val="608B01D5"/>
    <w:rsid w:val="614B7B7B"/>
    <w:rsid w:val="618B1EF3"/>
    <w:rsid w:val="61BE384A"/>
    <w:rsid w:val="61FD3258"/>
    <w:rsid w:val="623C7A3B"/>
    <w:rsid w:val="62816D04"/>
    <w:rsid w:val="63D53F5A"/>
    <w:rsid w:val="657A307A"/>
    <w:rsid w:val="669D5738"/>
    <w:rsid w:val="66F05574"/>
    <w:rsid w:val="66FC2959"/>
    <w:rsid w:val="67163834"/>
    <w:rsid w:val="671963AA"/>
    <w:rsid w:val="67230AA1"/>
    <w:rsid w:val="672415A1"/>
    <w:rsid w:val="68325491"/>
    <w:rsid w:val="686C37A2"/>
    <w:rsid w:val="688058A9"/>
    <w:rsid w:val="690901C4"/>
    <w:rsid w:val="69187C62"/>
    <w:rsid w:val="69383087"/>
    <w:rsid w:val="69BD56F1"/>
    <w:rsid w:val="6A100EBC"/>
    <w:rsid w:val="6A44216A"/>
    <w:rsid w:val="6A663DB8"/>
    <w:rsid w:val="6B503C5A"/>
    <w:rsid w:val="6B5E20AF"/>
    <w:rsid w:val="6B9F0C1C"/>
    <w:rsid w:val="6BA3145D"/>
    <w:rsid w:val="6C4054FC"/>
    <w:rsid w:val="6C542469"/>
    <w:rsid w:val="6CDE5B45"/>
    <w:rsid w:val="6CF71342"/>
    <w:rsid w:val="6D365658"/>
    <w:rsid w:val="6D8F0C5D"/>
    <w:rsid w:val="6E625048"/>
    <w:rsid w:val="6EC35CBF"/>
    <w:rsid w:val="6EDB7E75"/>
    <w:rsid w:val="6F052F71"/>
    <w:rsid w:val="6F5907DF"/>
    <w:rsid w:val="6F945683"/>
    <w:rsid w:val="705638DF"/>
    <w:rsid w:val="70A857BF"/>
    <w:rsid w:val="70BD5D6D"/>
    <w:rsid w:val="72492CB2"/>
    <w:rsid w:val="728E25D9"/>
    <w:rsid w:val="72902F04"/>
    <w:rsid w:val="733E310D"/>
    <w:rsid w:val="74AD48D4"/>
    <w:rsid w:val="759A0DB1"/>
    <w:rsid w:val="76437539"/>
    <w:rsid w:val="76CA3B4A"/>
    <w:rsid w:val="776021D8"/>
    <w:rsid w:val="77814B86"/>
    <w:rsid w:val="779D6084"/>
    <w:rsid w:val="780F55BB"/>
    <w:rsid w:val="78362761"/>
    <w:rsid w:val="79442DBA"/>
    <w:rsid w:val="795463B7"/>
    <w:rsid w:val="7961392C"/>
    <w:rsid w:val="79A34A87"/>
    <w:rsid w:val="7A9D1B6B"/>
    <w:rsid w:val="7AE67B41"/>
    <w:rsid w:val="7AEF0439"/>
    <w:rsid w:val="7B077C5F"/>
    <w:rsid w:val="7C37687D"/>
    <w:rsid w:val="7D0D1339"/>
    <w:rsid w:val="7D3F1196"/>
    <w:rsid w:val="7DED1FB1"/>
    <w:rsid w:val="7E81400A"/>
    <w:rsid w:val="7E8F2BCB"/>
    <w:rsid w:val="7E9A3C91"/>
    <w:rsid w:val="7EB03F69"/>
    <w:rsid w:val="7ECF4B58"/>
    <w:rsid w:val="7F0239F5"/>
    <w:rsid w:val="7F971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120"/>
    <w:unhideWhenUsed/>
    <w:qFormat/>
    <w:uiPriority w:val="0"/>
    <w:rPr>
      <w:rFonts w:ascii="宋体"/>
      <w:sz w:val="18"/>
      <w:szCs w:val="18"/>
    </w:rPr>
  </w:style>
  <w:style w:type="paragraph" w:styleId="10">
    <w:name w:val="annotation text"/>
    <w:basedOn w:val="1"/>
    <w:link w:val="52"/>
    <w:qFormat/>
    <w:uiPriority w:val="0"/>
    <w:pPr>
      <w:jc w:val="left"/>
    </w:pPr>
  </w:style>
  <w:style w:type="paragraph" w:styleId="11">
    <w:name w:val="Body Text 3"/>
    <w:basedOn w:val="1"/>
    <w:link w:val="53"/>
    <w:qFormat/>
    <w:uiPriority w:val="0"/>
    <w:pPr>
      <w:spacing w:after="120"/>
    </w:pPr>
    <w:rPr>
      <w:sz w:val="16"/>
      <w:szCs w:val="16"/>
    </w:rPr>
  </w:style>
  <w:style w:type="paragraph" w:styleId="12">
    <w:name w:val="Body Text"/>
    <w:basedOn w:val="1"/>
    <w:link w:val="54"/>
    <w:qFormat/>
    <w:uiPriority w:val="0"/>
    <w:pPr>
      <w:spacing w:line="360" w:lineRule="auto"/>
    </w:pPr>
    <w:rPr>
      <w:szCs w:val="20"/>
    </w:rPr>
  </w:style>
  <w:style w:type="paragraph" w:styleId="13">
    <w:name w:val="Body Text Indent"/>
    <w:basedOn w:val="1"/>
    <w:next w:val="14"/>
    <w:link w:val="55"/>
    <w:qFormat/>
    <w:uiPriority w:val="99"/>
    <w:pPr>
      <w:ind w:firstLine="830" w:firstLineChars="352"/>
    </w:pPr>
    <w:rPr>
      <w:rFonts w:ascii="仿宋_GB2312" w:eastAsia="仿宋_GB2312"/>
      <w:sz w:val="32"/>
      <w:szCs w:val="20"/>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0"/>
    <w:pPr>
      <w:spacing w:line="360" w:lineRule="auto"/>
      <w:ind w:left="-85" w:right="-244" w:firstLine="435"/>
    </w:p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semiHidden/>
    <w:qFormat/>
    <w:uiPriority w:val="0"/>
    <w:pPr>
      <w:tabs>
        <w:tab w:val="left" w:pos="900"/>
        <w:tab w:val="left" w:pos="1080"/>
      </w:tabs>
      <w:ind w:left="840" w:leftChars="400"/>
    </w:pPr>
    <w:rPr>
      <w:rFonts w:ascii="宋体" w:hAnsi="宋体"/>
      <w:i/>
      <w:iCs/>
    </w:rPr>
  </w:style>
  <w:style w:type="paragraph" w:styleId="18">
    <w:name w:val="Plain Text"/>
    <w:basedOn w:val="1"/>
    <w:link w:val="56"/>
    <w:qFormat/>
    <w:uiPriority w:val="99"/>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Body Text Indent 2"/>
    <w:basedOn w:val="1"/>
    <w:link w:val="57"/>
    <w:qFormat/>
    <w:uiPriority w:val="0"/>
    <w:pPr>
      <w:spacing w:after="120" w:line="480" w:lineRule="auto"/>
      <w:ind w:left="420" w:leftChars="200"/>
    </w:pPr>
  </w:style>
  <w:style w:type="paragraph" w:styleId="21">
    <w:name w:val="Balloon Text"/>
    <w:basedOn w:val="1"/>
    <w:link w:val="58"/>
    <w:qFormat/>
    <w:uiPriority w:val="0"/>
    <w:rPr>
      <w:sz w:val="18"/>
      <w:szCs w:val="18"/>
    </w:rPr>
  </w:style>
  <w:style w:type="paragraph" w:styleId="22">
    <w:name w:val="footer"/>
    <w:basedOn w:val="1"/>
    <w:link w:val="59"/>
    <w:qFormat/>
    <w:uiPriority w:val="99"/>
    <w:pPr>
      <w:tabs>
        <w:tab w:val="center" w:pos="4153"/>
        <w:tab w:val="right" w:pos="8306"/>
      </w:tabs>
      <w:snapToGrid w:val="0"/>
      <w:jc w:val="left"/>
    </w:pPr>
    <w:rPr>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link w:val="61"/>
    <w:qFormat/>
    <w:uiPriority w:val="0"/>
    <w:pPr>
      <w:spacing w:line="360" w:lineRule="auto"/>
      <w:ind w:firstLine="420" w:firstLineChars="200"/>
    </w:pPr>
    <w:rPr>
      <w:szCs w:val="20"/>
    </w:rPr>
  </w:style>
  <w:style w:type="paragraph" w:styleId="30">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Body Text 2"/>
    <w:basedOn w:val="1"/>
    <w:qFormat/>
    <w:uiPriority w:val="0"/>
    <w:pPr>
      <w:jc w:val="center"/>
    </w:pPr>
    <w:rPr>
      <w:rFonts w:ascii="宋体" w:hAnsi="宋体" w:eastAsiaTheme="minorEastAsia" w:cstheme="minorBidi"/>
    </w:rPr>
  </w:style>
  <w:style w:type="paragraph" w:styleId="33">
    <w:name w:val="HTML Preformatted"/>
    <w:basedOn w:val="1"/>
    <w:link w:val="62"/>
    <w:qFormat/>
    <w:uiPriority w:val="0"/>
    <w:rPr>
      <w:rFonts w:ascii="Courier New" w:hAnsi="Courier New"/>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5">
    <w:name w:val="Title"/>
    <w:basedOn w:val="1"/>
    <w:link w:val="63"/>
    <w:qFormat/>
    <w:uiPriority w:val="0"/>
    <w:pPr>
      <w:spacing w:before="240" w:after="60"/>
      <w:jc w:val="center"/>
      <w:outlineLvl w:val="0"/>
    </w:pPr>
    <w:rPr>
      <w:rFonts w:ascii="Arial" w:hAnsi="Arial"/>
      <w:b/>
      <w:bCs/>
      <w:sz w:val="32"/>
      <w:szCs w:val="32"/>
    </w:rPr>
  </w:style>
  <w:style w:type="paragraph" w:styleId="36">
    <w:name w:val="annotation subject"/>
    <w:basedOn w:val="10"/>
    <w:next w:val="10"/>
    <w:link w:val="64"/>
    <w:semiHidden/>
    <w:qFormat/>
    <w:uiPriority w:val="0"/>
    <w:rPr>
      <w:b/>
      <w:bCs/>
    </w:rPr>
  </w:style>
  <w:style w:type="paragraph" w:styleId="37">
    <w:name w:val="Body Text First Indent"/>
    <w:basedOn w:val="12"/>
    <w:link w:val="65"/>
    <w:qFormat/>
    <w:uiPriority w:val="0"/>
    <w:pPr>
      <w:spacing w:after="120" w:line="240" w:lineRule="auto"/>
      <w:ind w:firstLine="420" w:firstLineChars="100"/>
    </w:pPr>
    <w:rPr>
      <w:szCs w:val="24"/>
    </w:rPr>
  </w:style>
  <w:style w:type="paragraph" w:styleId="38">
    <w:name w:val="Body Text First Indent 2"/>
    <w:basedOn w:val="13"/>
    <w:link w:val="124"/>
    <w:semiHidden/>
    <w:unhideWhenUsed/>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2">
    <w:name w:val="Strong"/>
    <w:qFormat/>
    <w:uiPriority w:val="0"/>
    <w:rPr>
      <w:rFonts w:ascii="Tahoma" w:hAnsi="Tahoma" w:eastAsia="宋体"/>
      <w:b/>
      <w:bCs/>
      <w:spacing w:val="10"/>
      <w:kern w:val="2"/>
      <w:sz w:val="24"/>
      <w:szCs w:val="24"/>
      <w:lang w:val="en-US" w:eastAsia="zh-CN" w:bidi="ar-SA"/>
    </w:rPr>
  </w:style>
  <w:style w:type="character" w:styleId="43">
    <w:name w:val="page number"/>
    <w:basedOn w:val="41"/>
    <w:qFormat/>
    <w:uiPriority w:val="0"/>
    <w:rPr>
      <w:rFonts w:eastAsia="宋体"/>
      <w:kern w:val="2"/>
      <w:sz w:val="24"/>
      <w:szCs w:val="24"/>
      <w:lang w:val="en-US" w:eastAsia="zh-CN" w:bidi="ar-SA"/>
    </w:rPr>
  </w:style>
  <w:style w:type="character" w:styleId="44">
    <w:name w:val="FollowedHyperlink"/>
    <w:qFormat/>
    <w:uiPriority w:val="0"/>
    <w:rPr>
      <w:color w:val="800080"/>
      <w:u w:val="single"/>
    </w:rPr>
  </w:style>
  <w:style w:type="character" w:styleId="45">
    <w:name w:val="Emphasis"/>
    <w:basedOn w:val="41"/>
    <w:qFormat/>
    <w:uiPriority w:val="20"/>
    <w:rPr>
      <w:i/>
      <w:iCs/>
    </w:rPr>
  </w:style>
  <w:style w:type="character" w:styleId="46">
    <w:name w:val="Hyperlink"/>
    <w:qFormat/>
    <w:uiPriority w:val="0"/>
    <w:rPr>
      <w:rFonts w:eastAsia="宋体"/>
      <w:color w:val="0000FF"/>
      <w:kern w:val="2"/>
      <w:sz w:val="24"/>
      <w:szCs w:val="24"/>
      <w:u w:val="single"/>
      <w:lang w:val="en-US" w:eastAsia="zh-CN" w:bidi="ar-SA"/>
    </w:rPr>
  </w:style>
  <w:style w:type="character" w:styleId="47">
    <w:name w:val="annotation reference"/>
    <w:basedOn w:val="41"/>
    <w:qFormat/>
    <w:uiPriority w:val="0"/>
    <w:rPr>
      <w:rFonts w:eastAsia="宋体"/>
      <w:kern w:val="2"/>
      <w:sz w:val="21"/>
      <w:szCs w:val="21"/>
      <w:lang w:val="en-US" w:eastAsia="zh-CN" w:bidi="ar-SA"/>
    </w:rPr>
  </w:style>
  <w:style w:type="character" w:customStyle="1" w:styleId="48">
    <w:name w:val="标题 1 字符"/>
    <w:link w:val="2"/>
    <w:qFormat/>
    <w:uiPriority w:val="9"/>
    <w:rPr>
      <w:b/>
      <w:bCs/>
      <w:kern w:val="44"/>
      <w:sz w:val="44"/>
      <w:szCs w:val="44"/>
    </w:rPr>
  </w:style>
  <w:style w:type="character" w:customStyle="1" w:styleId="49">
    <w:name w:val="标题 3 字符"/>
    <w:link w:val="4"/>
    <w:qFormat/>
    <w:uiPriority w:val="0"/>
    <w:rPr>
      <w:rFonts w:eastAsia="宋体"/>
      <w:b/>
      <w:bCs/>
      <w:kern w:val="2"/>
      <w:sz w:val="32"/>
      <w:szCs w:val="32"/>
      <w:lang w:val="en-US" w:eastAsia="zh-CN" w:bidi="ar-SA"/>
    </w:rPr>
  </w:style>
  <w:style w:type="character" w:customStyle="1" w:styleId="50">
    <w:name w:val="标题 4 字符"/>
    <w:link w:val="5"/>
    <w:qFormat/>
    <w:uiPriority w:val="0"/>
    <w:rPr>
      <w:rFonts w:ascii="Arial" w:hAnsi="Arial" w:eastAsia="黑体"/>
      <w:b/>
      <w:bCs/>
      <w:kern w:val="2"/>
      <w:sz w:val="28"/>
      <w:szCs w:val="28"/>
    </w:rPr>
  </w:style>
  <w:style w:type="character" w:customStyle="1" w:styleId="51">
    <w:name w:val="正文缩进 字符"/>
    <w:link w:val="7"/>
    <w:qFormat/>
    <w:uiPriority w:val="0"/>
    <w:rPr>
      <w:rFonts w:eastAsia="宋体"/>
      <w:kern w:val="2"/>
      <w:sz w:val="21"/>
      <w:szCs w:val="24"/>
      <w:lang w:val="en-US" w:eastAsia="zh-CN" w:bidi="ar-SA"/>
    </w:rPr>
  </w:style>
  <w:style w:type="character" w:customStyle="1" w:styleId="52">
    <w:name w:val="批注文字 字符"/>
    <w:link w:val="10"/>
    <w:qFormat/>
    <w:uiPriority w:val="0"/>
    <w:rPr>
      <w:kern w:val="2"/>
      <w:sz w:val="21"/>
      <w:szCs w:val="24"/>
    </w:rPr>
  </w:style>
  <w:style w:type="character" w:customStyle="1" w:styleId="53">
    <w:name w:val="正文文本 3 字符"/>
    <w:link w:val="11"/>
    <w:qFormat/>
    <w:uiPriority w:val="0"/>
    <w:rPr>
      <w:kern w:val="2"/>
      <w:sz w:val="16"/>
      <w:szCs w:val="16"/>
    </w:rPr>
  </w:style>
  <w:style w:type="character" w:customStyle="1" w:styleId="54">
    <w:name w:val="正文文本 字符"/>
    <w:basedOn w:val="41"/>
    <w:link w:val="12"/>
    <w:qFormat/>
    <w:uiPriority w:val="99"/>
    <w:rPr>
      <w:kern w:val="2"/>
      <w:sz w:val="21"/>
    </w:rPr>
  </w:style>
  <w:style w:type="character" w:customStyle="1" w:styleId="55">
    <w:name w:val="正文文本缩进 字符"/>
    <w:link w:val="13"/>
    <w:qFormat/>
    <w:locked/>
    <w:uiPriority w:val="99"/>
    <w:rPr>
      <w:rFonts w:ascii="仿宋_GB2312" w:eastAsia="仿宋_GB2312"/>
      <w:kern w:val="2"/>
      <w:sz w:val="32"/>
      <w:lang w:val="en-US" w:eastAsia="zh-CN" w:bidi="ar-SA"/>
    </w:rPr>
  </w:style>
  <w:style w:type="character" w:customStyle="1" w:styleId="56">
    <w:name w:val="纯文本 字符1"/>
    <w:link w:val="18"/>
    <w:qFormat/>
    <w:uiPriority w:val="0"/>
    <w:rPr>
      <w:rFonts w:ascii="宋体" w:hAnsi="Courier New" w:eastAsia="宋体" w:cs="Courier New"/>
      <w:kern w:val="2"/>
      <w:sz w:val="21"/>
      <w:szCs w:val="21"/>
      <w:lang w:val="en-US" w:eastAsia="zh-CN" w:bidi="ar-SA"/>
    </w:rPr>
  </w:style>
  <w:style w:type="character" w:customStyle="1" w:styleId="57">
    <w:name w:val="正文文本缩进 2 字符"/>
    <w:link w:val="20"/>
    <w:qFormat/>
    <w:uiPriority w:val="0"/>
    <w:rPr>
      <w:kern w:val="2"/>
      <w:sz w:val="21"/>
      <w:szCs w:val="24"/>
    </w:rPr>
  </w:style>
  <w:style w:type="character" w:customStyle="1" w:styleId="58">
    <w:name w:val="批注框文本 字符1"/>
    <w:link w:val="21"/>
    <w:semiHidden/>
    <w:qFormat/>
    <w:uiPriority w:val="99"/>
    <w:rPr>
      <w:kern w:val="2"/>
      <w:sz w:val="18"/>
      <w:szCs w:val="18"/>
    </w:rPr>
  </w:style>
  <w:style w:type="character" w:customStyle="1" w:styleId="59">
    <w:name w:val="页脚 字符"/>
    <w:link w:val="22"/>
    <w:qFormat/>
    <w:uiPriority w:val="99"/>
    <w:rPr>
      <w:rFonts w:eastAsia="宋体"/>
      <w:kern w:val="2"/>
      <w:sz w:val="18"/>
      <w:szCs w:val="18"/>
      <w:lang w:val="en-US" w:eastAsia="zh-CN" w:bidi="ar-SA"/>
    </w:rPr>
  </w:style>
  <w:style w:type="character" w:customStyle="1" w:styleId="60">
    <w:name w:val="页眉 字符"/>
    <w:link w:val="23"/>
    <w:qFormat/>
    <w:locked/>
    <w:uiPriority w:val="99"/>
    <w:rPr>
      <w:rFonts w:eastAsia="宋体"/>
      <w:kern w:val="2"/>
      <w:sz w:val="18"/>
      <w:szCs w:val="18"/>
      <w:lang w:val="en-US" w:eastAsia="zh-CN" w:bidi="ar-SA"/>
    </w:rPr>
  </w:style>
  <w:style w:type="character" w:customStyle="1" w:styleId="61">
    <w:name w:val="正文文本缩进 3 字符"/>
    <w:link w:val="29"/>
    <w:qFormat/>
    <w:uiPriority w:val="0"/>
    <w:rPr>
      <w:kern w:val="2"/>
      <w:sz w:val="21"/>
    </w:rPr>
  </w:style>
  <w:style w:type="character" w:customStyle="1" w:styleId="62">
    <w:name w:val="HTML 预设格式 字符"/>
    <w:link w:val="33"/>
    <w:qFormat/>
    <w:uiPriority w:val="0"/>
    <w:rPr>
      <w:rFonts w:ascii="Courier New" w:hAnsi="Courier New" w:cs="Courier New"/>
      <w:kern w:val="2"/>
    </w:rPr>
  </w:style>
  <w:style w:type="character" w:customStyle="1" w:styleId="63">
    <w:name w:val="标题 字符"/>
    <w:link w:val="35"/>
    <w:qFormat/>
    <w:uiPriority w:val="0"/>
    <w:rPr>
      <w:rFonts w:ascii="Arial" w:hAnsi="Arial" w:cs="Arial"/>
      <w:b/>
      <w:bCs/>
      <w:kern w:val="2"/>
      <w:sz w:val="32"/>
      <w:szCs w:val="32"/>
    </w:rPr>
  </w:style>
  <w:style w:type="character" w:customStyle="1" w:styleId="64">
    <w:name w:val="批注主题 字符"/>
    <w:link w:val="36"/>
    <w:semiHidden/>
    <w:qFormat/>
    <w:uiPriority w:val="0"/>
    <w:rPr>
      <w:b/>
      <w:bCs/>
      <w:kern w:val="2"/>
      <w:sz w:val="21"/>
      <w:szCs w:val="24"/>
    </w:rPr>
  </w:style>
  <w:style w:type="character" w:customStyle="1" w:styleId="65">
    <w:name w:val="正文首行缩进 字符"/>
    <w:link w:val="37"/>
    <w:qFormat/>
    <w:uiPriority w:val="0"/>
    <w:rPr>
      <w:kern w:val="2"/>
      <w:sz w:val="21"/>
      <w:szCs w:val="24"/>
    </w:rPr>
  </w:style>
  <w:style w:type="paragraph" w:customStyle="1" w:styleId="66">
    <w:name w:val="Char Char2 Char Char Char"/>
    <w:basedOn w:val="1"/>
    <w:qFormat/>
    <w:uiPriority w:val="0"/>
    <w:pPr>
      <w:numPr>
        <w:ilvl w:val="0"/>
        <w:numId w:val="1"/>
      </w:numPr>
    </w:pPr>
    <w:rPr>
      <w:sz w:val="24"/>
    </w:rPr>
  </w:style>
  <w:style w:type="paragraph" w:customStyle="1" w:styleId="6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68">
    <w:name w:val="默认段落字体 Para Char"/>
    <w:basedOn w:val="1"/>
    <w:qFormat/>
    <w:uiPriority w:val="0"/>
    <w:rPr>
      <w:rFonts w:ascii="宋体" w:hAnsi="宋体"/>
      <w:b/>
      <w:sz w:val="28"/>
      <w:szCs w:val="28"/>
    </w:rPr>
  </w:style>
  <w:style w:type="paragraph" w:customStyle="1" w:styleId="6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0">
    <w:name w:val="表格文字"/>
    <w:basedOn w:val="1"/>
    <w:qFormat/>
    <w:uiPriority w:val="0"/>
    <w:pPr>
      <w:spacing w:before="25" w:after="25"/>
      <w:jc w:val="left"/>
    </w:pPr>
    <w:rPr>
      <w:bCs/>
      <w:spacing w:val="10"/>
      <w:kern w:val="0"/>
      <w:sz w:val="24"/>
      <w:szCs w:val="20"/>
    </w:rPr>
  </w:style>
  <w:style w:type="paragraph" w:customStyle="1" w:styleId="7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2">
    <w:name w:val="题注5"/>
    <w:basedOn w:val="1"/>
    <w:next w:val="8"/>
    <w:qFormat/>
    <w:uiPriority w:val="0"/>
    <w:pPr>
      <w:jc w:val="center"/>
    </w:pPr>
    <w:rPr>
      <w:b/>
      <w:color w:val="000000"/>
      <w:sz w:val="24"/>
      <w:szCs w:val="21"/>
    </w:rPr>
  </w:style>
  <w:style w:type="paragraph" w:customStyle="1" w:styleId="73">
    <w:name w:val="Char Char Char Char Char Char Char"/>
    <w:basedOn w:val="1"/>
    <w:qFormat/>
    <w:uiPriority w:val="0"/>
    <w:pPr>
      <w:tabs>
        <w:tab w:val="left" w:pos="425"/>
      </w:tabs>
      <w:ind w:left="425" w:hanging="425"/>
    </w:pPr>
    <w:rPr>
      <w:rFonts w:eastAsia="仿宋_GB2312"/>
      <w:kern w:val="24"/>
      <w:sz w:val="24"/>
    </w:rPr>
  </w:style>
  <w:style w:type="paragraph" w:customStyle="1" w:styleId="74">
    <w:name w:val="题注4"/>
    <w:basedOn w:val="1"/>
    <w:next w:val="8"/>
    <w:qFormat/>
    <w:uiPriority w:val="0"/>
    <w:pPr>
      <w:ind w:left="-132" w:leftChars="-64" w:right="-105" w:rightChars="-50" w:hanging="2"/>
      <w:jc w:val="center"/>
    </w:pPr>
    <w:rPr>
      <w:b/>
      <w:color w:val="FF0000"/>
      <w:szCs w:val="21"/>
      <w:lang w:val="en-GB"/>
    </w:rPr>
  </w:style>
  <w:style w:type="character" w:customStyle="1" w:styleId="75">
    <w:name w:val="标题 2 Char"/>
    <w:qFormat/>
    <w:uiPriority w:val="9"/>
    <w:rPr>
      <w:rFonts w:ascii="Arial" w:hAnsi="Arial" w:eastAsia="黑体"/>
      <w:b/>
      <w:bCs/>
      <w:kern w:val="2"/>
      <w:sz w:val="32"/>
      <w:szCs w:val="32"/>
      <w:lang w:val="en-US" w:eastAsia="zh-CN" w:bidi="ar-SA"/>
    </w:rPr>
  </w:style>
  <w:style w:type="paragraph" w:customStyle="1" w:styleId="76">
    <w:name w:val="Char Char2 Char"/>
    <w:basedOn w:val="1"/>
    <w:qFormat/>
    <w:uiPriority w:val="0"/>
    <w:rPr>
      <w:rFonts w:ascii="宋体" w:hAnsi="宋体"/>
      <w:b/>
      <w:sz w:val="28"/>
      <w:szCs w:val="28"/>
    </w:rPr>
  </w:style>
  <w:style w:type="paragraph" w:customStyle="1" w:styleId="7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办公自动化专用标题"/>
    <w:basedOn w:val="35"/>
    <w:qFormat/>
    <w:uiPriority w:val="0"/>
    <w:pPr>
      <w:spacing w:line="560" w:lineRule="atLeast"/>
    </w:pPr>
    <w:rPr>
      <w:rFonts w:ascii="宋体"/>
      <w:bCs w:val="0"/>
      <w:sz w:val="44"/>
      <w:szCs w:val="20"/>
    </w:rPr>
  </w:style>
  <w:style w:type="paragraph" w:customStyle="1" w:styleId="80">
    <w:name w:val="Char Char1"/>
    <w:basedOn w:val="1"/>
    <w:qFormat/>
    <w:uiPriority w:val="0"/>
    <w:rPr>
      <w:rFonts w:ascii="宋体" w:hAnsi="宋体"/>
      <w:b/>
      <w:sz w:val="28"/>
      <w:szCs w:val="28"/>
    </w:rPr>
  </w:style>
  <w:style w:type="paragraph" w:customStyle="1" w:styleId="81">
    <w:name w:val="Zchn Zchn"/>
    <w:basedOn w:val="1"/>
    <w:qFormat/>
    <w:uiPriority w:val="0"/>
    <w:rPr>
      <w:rFonts w:ascii="Tahoma" w:hAnsi="Tahoma"/>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84">
    <w:name w:val="Char Char1 Char Char Char Char Char Char Char Char Char Char Char Char Char Char Char Char Char Char1 Char"/>
    <w:basedOn w:val="1"/>
    <w:qFormat/>
    <w:uiPriority w:val="0"/>
    <w:rPr>
      <w:rFonts w:ascii="Tahoma" w:hAnsi="Tahoma"/>
      <w:sz w:val="24"/>
    </w:rPr>
  </w:style>
  <w:style w:type="character" w:customStyle="1" w:styleId="85">
    <w:name w:val="ca-12"/>
    <w:qFormat/>
    <w:uiPriority w:val="0"/>
    <w:rPr>
      <w:rFonts w:eastAsia="宋体" w:cs="Times New Roman"/>
      <w:kern w:val="2"/>
      <w:sz w:val="24"/>
      <w:szCs w:val="24"/>
      <w:lang w:val="en-US" w:eastAsia="zh-CN" w:bidi="ar-SA"/>
    </w:rPr>
  </w:style>
  <w:style w:type="paragraph" w:customStyle="1" w:styleId="86">
    <w:name w:val="列出段落2"/>
    <w:basedOn w:val="1"/>
    <w:link w:val="87"/>
    <w:qFormat/>
    <w:uiPriority w:val="34"/>
    <w:pPr>
      <w:ind w:firstLine="420" w:firstLineChars="200"/>
      <w:jc w:val="center"/>
    </w:pPr>
    <w:rPr>
      <w:rFonts w:ascii="Calibri" w:hAnsi="Calibri"/>
      <w:szCs w:val="22"/>
    </w:rPr>
  </w:style>
  <w:style w:type="character" w:customStyle="1" w:styleId="87">
    <w:name w:val="列出段落 Char"/>
    <w:link w:val="86"/>
    <w:qFormat/>
    <w:uiPriority w:val="0"/>
    <w:rPr>
      <w:rFonts w:ascii="Calibri" w:hAnsi="Calibri"/>
      <w:kern w:val="2"/>
      <w:sz w:val="21"/>
      <w:szCs w:val="22"/>
    </w:rPr>
  </w:style>
  <w:style w:type="paragraph" w:customStyle="1" w:styleId="88">
    <w:name w:val="正文列表"/>
    <w:basedOn w:val="1"/>
    <w:qFormat/>
    <w:uiPriority w:val="0"/>
    <w:pPr>
      <w:autoSpaceDE w:val="0"/>
      <w:autoSpaceDN w:val="0"/>
      <w:adjustRightInd w:val="0"/>
      <w:jc w:val="center"/>
      <w:textAlignment w:val="baseline"/>
    </w:pPr>
    <w:rPr>
      <w:rFonts w:ascii="宋体" w:hAnsi="宋体"/>
      <w:kern w:val="0"/>
      <w:sz w:val="24"/>
      <w:szCs w:val="20"/>
    </w:rPr>
  </w:style>
  <w:style w:type="character" w:customStyle="1" w:styleId="89">
    <w:name w:val="f Char"/>
    <w:qFormat/>
    <w:uiPriority w:val="0"/>
    <w:rPr>
      <w:rFonts w:eastAsia="宋体"/>
      <w:kern w:val="2"/>
      <w:sz w:val="18"/>
      <w:lang w:val="en-US" w:eastAsia="zh-CN" w:bidi="ar-SA"/>
    </w:rPr>
  </w:style>
  <w:style w:type="paragraph" w:customStyle="1" w:styleId="90">
    <w:name w:val="列出段落1"/>
    <w:basedOn w:val="1"/>
    <w:qFormat/>
    <w:uiPriority w:val="0"/>
    <w:pPr>
      <w:ind w:firstLine="420" w:firstLineChars="200"/>
    </w:pPr>
    <w:rPr>
      <w:szCs w:val="21"/>
    </w:rPr>
  </w:style>
  <w:style w:type="paragraph" w:customStyle="1" w:styleId="9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93">
    <w:name w:val="No Spacing"/>
    <w:qFormat/>
    <w:uiPriority w:val="0"/>
    <w:rPr>
      <w:rFonts w:ascii="Calibri" w:hAnsi="Calibri" w:eastAsia="宋体" w:cs="Calibri"/>
      <w:sz w:val="22"/>
      <w:szCs w:val="22"/>
      <w:lang w:val="en-US" w:eastAsia="en-US" w:bidi="ar-SA"/>
    </w:rPr>
  </w:style>
  <w:style w:type="paragraph" w:customStyle="1" w:styleId="94">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List Paragraph1"/>
    <w:basedOn w:val="1"/>
    <w:qFormat/>
    <w:uiPriority w:val="0"/>
    <w:pPr>
      <w:ind w:firstLine="420" w:firstLineChars="200"/>
    </w:pPr>
    <w:rPr>
      <w:rFonts w:ascii="Calibri" w:hAnsi="Calibri"/>
      <w:szCs w:val="22"/>
    </w:rPr>
  </w:style>
  <w:style w:type="paragraph" w:customStyle="1" w:styleId="96">
    <w:name w:val="Char Char Char Char"/>
    <w:basedOn w:val="1"/>
    <w:qFormat/>
    <w:uiPriority w:val="0"/>
    <w:pPr>
      <w:tabs>
        <w:tab w:val="left" w:pos="780"/>
      </w:tabs>
      <w:ind w:left="780" w:hanging="360"/>
    </w:pPr>
    <w:rPr>
      <w:sz w:val="24"/>
    </w:rPr>
  </w:style>
  <w:style w:type="paragraph" w:customStyle="1" w:styleId="97">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98">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100">
    <w:name w:val="列题"/>
    <w:basedOn w:val="1"/>
    <w:link w:val="101"/>
    <w:qFormat/>
    <w:uiPriority w:val="0"/>
    <w:pPr>
      <w:numPr>
        <w:ilvl w:val="0"/>
        <w:numId w:val="2"/>
      </w:numPr>
      <w:spacing w:line="360" w:lineRule="auto"/>
    </w:pPr>
    <w:rPr>
      <w:rFonts w:ascii="Calibri" w:hAnsi="Calibri" w:eastAsia="仿宋"/>
      <w:b/>
      <w:sz w:val="28"/>
      <w:szCs w:val="22"/>
    </w:rPr>
  </w:style>
  <w:style w:type="character" w:customStyle="1" w:styleId="101">
    <w:name w:val="列题 Char"/>
    <w:link w:val="100"/>
    <w:qFormat/>
    <w:uiPriority w:val="0"/>
    <w:rPr>
      <w:rFonts w:ascii="Calibri" w:hAnsi="Calibri" w:eastAsia="仿宋"/>
      <w:b/>
      <w:kern w:val="2"/>
      <w:sz w:val="28"/>
      <w:szCs w:val="22"/>
    </w:rPr>
  </w:style>
  <w:style w:type="table" w:customStyle="1" w:styleId="102">
    <w:name w:val="Table Normal"/>
    <w:qFormat/>
    <w:uiPriority w:val="0"/>
    <w:tblPr>
      <w:tblCellMar>
        <w:top w:w="0" w:type="dxa"/>
        <w:left w:w="0" w:type="dxa"/>
        <w:bottom w:w="0" w:type="dxa"/>
        <w:right w:w="0" w:type="dxa"/>
      </w:tblCellMar>
    </w:tblPr>
  </w:style>
  <w:style w:type="paragraph" w:customStyle="1" w:styleId="103">
    <w:name w:val="样式 宋体 居中 行距: 最小值 16 磅"/>
    <w:basedOn w:val="1"/>
    <w:qFormat/>
    <w:uiPriority w:val="0"/>
    <w:pPr>
      <w:spacing w:line="320" w:lineRule="atLeast"/>
      <w:jc w:val="center"/>
    </w:pPr>
    <w:rPr>
      <w:rFonts w:ascii="宋体" w:hAnsi="宋体" w:cs="宋体"/>
      <w:sz w:val="18"/>
      <w:szCs w:val="20"/>
    </w:rPr>
  </w:style>
  <w:style w:type="paragraph" w:styleId="10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5">
    <w:name w:val="纯文本 Char1"/>
    <w:qFormat/>
    <w:uiPriority w:val="0"/>
    <w:rPr>
      <w:rFonts w:ascii="宋体" w:hAnsi="Courier New" w:eastAsia="宋体" w:cs="Courier New"/>
      <w:kern w:val="2"/>
      <w:sz w:val="21"/>
      <w:szCs w:val="21"/>
      <w:lang w:val="en-US" w:eastAsia="zh-CN" w:bidi="ar-SA"/>
    </w:rPr>
  </w:style>
  <w:style w:type="table" w:customStyle="1" w:styleId="106">
    <w:name w:val="网格型1"/>
    <w:basedOn w:val="3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2"/>
    <w:basedOn w:val="3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09">
    <w:name w:val="纯文本 字符"/>
    <w:qFormat/>
    <w:uiPriority w:val="0"/>
    <w:rPr>
      <w:rFonts w:ascii="宋体" w:hAnsi="Courier New" w:eastAsia="宋体" w:cs="Courier New"/>
      <w:kern w:val="2"/>
      <w:sz w:val="21"/>
      <w:szCs w:val="21"/>
      <w:lang w:val="en-US" w:eastAsia="zh-CN" w:bidi="ar-SA"/>
    </w:rPr>
  </w:style>
  <w:style w:type="character" w:customStyle="1" w:styleId="110">
    <w:name w:val="font61"/>
    <w:basedOn w:val="41"/>
    <w:qFormat/>
    <w:uiPriority w:val="0"/>
    <w:rPr>
      <w:rFonts w:hint="eastAsia" w:ascii="宋体" w:hAnsi="宋体" w:eastAsia="宋体" w:cs="宋体"/>
      <w:color w:val="000000"/>
      <w:sz w:val="24"/>
      <w:szCs w:val="24"/>
      <w:u w:val="none"/>
    </w:rPr>
  </w:style>
  <w:style w:type="character" w:customStyle="1" w:styleId="111">
    <w:name w:val="font71"/>
    <w:basedOn w:val="41"/>
    <w:qFormat/>
    <w:uiPriority w:val="0"/>
    <w:rPr>
      <w:rFonts w:hint="default" w:ascii="Times New Roman" w:hAnsi="Times New Roman" w:cs="Times New Roman"/>
      <w:color w:val="000000"/>
      <w:sz w:val="22"/>
      <w:szCs w:val="22"/>
      <w:u w:val="none"/>
    </w:rPr>
  </w:style>
  <w:style w:type="character" w:customStyle="1" w:styleId="112">
    <w:name w:val="font81"/>
    <w:basedOn w:val="41"/>
    <w:qFormat/>
    <w:uiPriority w:val="0"/>
    <w:rPr>
      <w:rFonts w:hint="eastAsia" w:ascii="宋体" w:hAnsi="宋体" w:eastAsia="宋体" w:cs="宋体"/>
      <w:color w:val="000000"/>
      <w:sz w:val="22"/>
      <w:szCs w:val="22"/>
      <w:u w:val="none"/>
    </w:rPr>
  </w:style>
  <w:style w:type="character" w:customStyle="1" w:styleId="113">
    <w:name w:val="font51"/>
    <w:qFormat/>
    <w:uiPriority w:val="0"/>
    <w:rPr>
      <w:rFonts w:hint="eastAsia" w:ascii="宋体" w:hAnsi="宋体" w:eastAsia="宋体" w:cs="宋体"/>
      <w:color w:val="000000"/>
      <w:sz w:val="24"/>
      <w:szCs w:val="24"/>
      <w:u w:val="none"/>
    </w:rPr>
  </w:style>
  <w:style w:type="character" w:customStyle="1" w:styleId="114">
    <w:name w:val="Char Char162"/>
    <w:qFormat/>
    <w:uiPriority w:val="0"/>
    <w:rPr>
      <w:sz w:val="18"/>
      <w:szCs w:val="18"/>
    </w:rPr>
  </w:style>
  <w:style w:type="character" w:customStyle="1" w:styleId="115">
    <w:name w:val="批注框文本 字符"/>
    <w:qFormat/>
    <w:uiPriority w:val="0"/>
    <w:rPr>
      <w:kern w:val="2"/>
      <w:sz w:val="18"/>
      <w:szCs w:val="18"/>
    </w:rPr>
  </w:style>
  <w:style w:type="paragraph" w:customStyle="1" w:styleId="116">
    <w:name w:val="列表段落1"/>
    <w:basedOn w:val="1"/>
    <w:qFormat/>
    <w:uiPriority w:val="34"/>
    <w:pPr>
      <w:ind w:firstLine="420" w:firstLineChars="200"/>
    </w:pPr>
    <w:rPr>
      <w:rFonts w:ascii="Calibri" w:hAnsi="Calibri"/>
      <w:szCs w:val="22"/>
    </w:rPr>
  </w:style>
  <w:style w:type="paragraph" w:customStyle="1" w:styleId="117">
    <w:name w:val="一级条标题"/>
    <w:basedOn w:val="1"/>
    <w:next w:val="1"/>
    <w:qFormat/>
    <w:uiPriority w:val="0"/>
    <w:pPr>
      <w:widowControl/>
      <w:jc w:val="left"/>
      <w:outlineLvl w:val="2"/>
    </w:pPr>
    <w:rPr>
      <w:rFonts w:eastAsia="黑体"/>
      <w:kern w:val="0"/>
      <w:szCs w:val="21"/>
    </w:rPr>
  </w:style>
  <w:style w:type="character" w:customStyle="1" w:styleId="118">
    <w:name w:val="font11"/>
    <w:basedOn w:val="41"/>
    <w:qFormat/>
    <w:uiPriority w:val="0"/>
    <w:rPr>
      <w:rFonts w:hint="eastAsia" w:ascii="宋体" w:hAnsi="宋体" w:eastAsia="宋体" w:cs="宋体"/>
      <w:color w:val="000000"/>
      <w:sz w:val="20"/>
      <w:szCs w:val="20"/>
      <w:u w:val="none"/>
    </w:rPr>
  </w:style>
  <w:style w:type="character" w:customStyle="1" w:styleId="119">
    <w:name w:val="font01"/>
    <w:basedOn w:val="41"/>
    <w:qFormat/>
    <w:uiPriority w:val="0"/>
    <w:rPr>
      <w:rFonts w:hint="eastAsia" w:ascii="宋体" w:hAnsi="宋体" w:eastAsia="宋体" w:cs="宋体"/>
      <w:color w:val="000000"/>
      <w:sz w:val="20"/>
      <w:szCs w:val="20"/>
      <w:u w:val="none"/>
      <w:vertAlign w:val="superscript"/>
    </w:rPr>
  </w:style>
  <w:style w:type="character" w:customStyle="1" w:styleId="120">
    <w:name w:val="文档结构图 字符"/>
    <w:basedOn w:val="41"/>
    <w:link w:val="9"/>
    <w:qFormat/>
    <w:uiPriority w:val="0"/>
    <w:rPr>
      <w:rFonts w:ascii="宋体"/>
      <w:kern w:val="2"/>
      <w:sz w:val="18"/>
      <w:szCs w:val="18"/>
    </w:rPr>
  </w:style>
  <w:style w:type="paragraph" w:customStyle="1" w:styleId="121">
    <w:name w:val="样式 首行缩进:  2 字符 段前: 0.5 行 行距: 固定值 23 磅"/>
    <w:qFormat/>
    <w:uiPriority w:val="0"/>
    <w:pPr>
      <w:spacing w:beforeLines="50" w:after="200" w:line="460" w:lineRule="exact"/>
      <w:ind w:firstLine="420" w:firstLineChars="200"/>
      <w:jc w:val="both"/>
    </w:pPr>
    <w:rPr>
      <w:rFonts w:ascii="宋体" w:hAnsi="Calibri" w:eastAsia="宋体" w:cs="宋体"/>
      <w:bCs/>
      <w:sz w:val="28"/>
      <w:szCs w:val="24"/>
      <w:lang w:val="en-US" w:eastAsia="en-US" w:bidi="en-US"/>
    </w:rPr>
  </w:style>
  <w:style w:type="character" w:customStyle="1" w:styleId="122">
    <w:name w:val="纯文本 Char2"/>
    <w:qFormat/>
    <w:uiPriority w:val="0"/>
    <w:rPr>
      <w:rFonts w:ascii="宋体" w:hAnsi="Courier New" w:eastAsia="宋体" w:cs="Courier New"/>
      <w:kern w:val="2"/>
      <w:sz w:val="21"/>
      <w:szCs w:val="21"/>
      <w:lang w:val="en-US" w:eastAsia="zh-CN" w:bidi="ar-SA"/>
    </w:rPr>
  </w:style>
  <w:style w:type="paragraph" w:customStyle="1" w:styleId="123">
    <w:name w:val="正文_0"/>
    <w:qFormat/>
    <w:uiPriority w:val="0"/>
    <w:pPr>
      <w:widowControl w:val="0"/>
      <w:jc w:val="both"/>
    </w:pPr>
    <w:rPr>
      <w:rFonts w:ascii="Times New Roman" w:hAnsi="Times New Roman" w:eastAsia="宋体" w:cs="黑体"/>
      <w:kern w:val="2"/>
      <w:sz w:val="21"/>
      <w:lang w:val="en-US" w:eastAsia="zh-CN" w:bidi="ar-SA"/>
    </w:rPr>
  </w:style>
  <w:style w:type="character" w:customStyle="1" w:styleId="124">
    <w:name w:val="正文首行缩进 2 字符"/>
    <w:link w:val="38"/>
    <w:qFormat/>
    <w:uiPriority w:val="0"/>
    <w:rPr>
      <w:rFonts w:hint="default" w:ascii="Calibri" w:hAnsi="Calibri" w:cs="黑体"/>
      <w:kern w:val="2"/>
      <w:sz w:val="21"/>
      <w:szCs w:val="22"/>
    </w:rPr>
  </w:style>
  <w:style w:type="paragraph" w:customStyle="1" w:styleId="125">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6">
    <w:name w:val="next"/>
    <w:basedOn w:val="41"/>
    <w:qFormat/>
    <w:uiPriority w:val="0"/>
    <w:rPr>
      <w:color w:val="888888"/>
    </w:rPr>
  </w:style>
  <w:style w:type="character" w:customStyle="1" w:styleId="127">
    <w:name w:val="next1"/>
    <w:basedOn w:val="41"/>
    <w:qFormat/>
    <w:uiPriority w:val="0"/>
    <w:rPr>
      <w:rFonts w:ascii="微软雅黑" w:hAnsi="微软雅黑" w:eastAsia="微软雅黑" w:cs="微软雅黑"/>
      <w:sz w:val="21"/>
      <w:szCs w:val="21"/>
    </w:rPr>
  </w:style>
  <w:style w:type="character" w:customStyle="1" w:styleId="128">
    <w:name w:val="redfilefwwh"/>
    <w:basedOn w:val="41"/>
    <w:qFormat/>
    <w:uiPriority w:val="0"/>
    <w:rPr>
      <w:color w:val="BA2636"/>
      <w:sz w:val="18"/>
      <w:szCs w:val="18"/>
    </w:rPr>
  </w:style>
  <w:style w:type="character" w:customStyle="1" w:styleId="129">
    <w:name w:val="prev"/>
    <w:basedOn w:val="41"/>
    <w:qFormat/>
    <w:uiPriority w:val="0"/>
    <w:rPr>
      <w:color w:val="888888"/>
    </w:rPr>
  </w:style>
  <w:style w:type="character" w:customStyle="1" w:styleId="130">
    <w:name w:val="prev1"/>
    <w:basedOn w:val="41"/>
    <w:qFormat/>
    <w:uiPriority w:val="0"/>
    <w:rPr>
      <w:rFonts w:hint="eastAsia" w:ascii="微软雅黑" w:hAnsi="微软雅黑" w:eastAsia="微软雅黑" w:cs="微软雅黑"/>
      <w:sz w:val="21"/>
      <w:szCs w:val="21"/>
    </w:rPr>
  </w:style>
  <w:style w:type="character" w:customStyle="1" w:styleId="131">
    <w:name w:val="gjfg"/>
    <w:basedOn w:val="41"/>
    <w:qFormat/>
    <w:uiPriority w:val="0"/>
  </w:style>
  <w:style w:type="character" w:customStyle="1" w:styleId="132">
    <w:name w:val="cfdate"/>
    <w:basedOn w:val="41"/>
    <w:qFormat/>
    <w:uiPriority w:val="0"/>
    <w:rPr>
      <w:color w:val="333333"/>
      <w:sz w:val="18"/>
      <w:szCs w:val="18"/>
    </w:rPr>
  </w:style>
  <w:style w:type="character" w:customStyle="1" w:styleId="133">
    <w:name w:val="displayarti"/>
    <w:basedOn w:val="41"/>
    <w:qFormat/>
    <w:uiPriority w:val="0"/>
    <w:rPr>
      <w:color w:val="FFFFFF"/>
      <w:shd w:val="clear" w:fill="A00000"/>
    </w:rPr>
  </w:style>
  <w:style w:type="character" w:customStyle="1" w:styleId="134">
    <w:name w:val="qxdate"/>
    <w:basedOn w:val="41"/>
    <w:qFormat/>
    <w:uiPriority w:val="0"/>
    <w:rPr>
      <w:color w:val="333333"/>
      <w:sz w:val="18"/>
      <w:szCs w:val="18"/>
    </w:rPr>
  </w:style>
  <w:style w:type="character" w:customStyle="1" w:styleId="135">
    <w:name w:val="redfilenumber"/>
    <w:basedOn w:val="41"/>
    <w:qFormat/>
    <w:uiPriority w:val="0"/>
    <w:rPr>
      <w:color w:val="BA2636"/>
      <w:sz w:val="18"/>
      <w:szCs w:val="18"/>
    </w:rPr>
  </w:style>
  <w:style w:type="paragraph" w:customStyle="1" w:styleId="136">
    <w:name w:val="null3"/>
    <w:hidden/>
    <w:qFormat/>
    <w:uiPriority w:val="0"/>
    <w:rPr>
      <w:rFonts w:hint="eastAsia" w:asciiTheme="minorHAnsi" w:hAnsiTheme="minorHAnsi" w:eastAsiaTheme="minorEastAsia" w:cstheme="minorBidi"/>
      <w:lang w:val="en-US" w:eastAsia="zh-Hans"/>
    </w:rPr>
  </w:style>
  <w:style w:type="paragraph" w:customStyle="1" w:styleId="137">
    <w:name w:val="Table Text"/>
    <w:basedOn w:val="1"/>
    <w:semiHidden/>
    <w:qFormat/>
    <w:uiPriority w:val="0"/>
    <w:rPr>
      <w:rFonts w:ascii="宋体" w:hAnsi="宋体" w:eastAsia="宋体" w:cs="宋体"/>
      <w:sz w:val="22"/>
      <w:szCs w:val="22"/>
      <w:lang w:val="en-US" w:eastAsia="en-US" w:bidi="ar-SA"/>
    </w:rPr>
  </w:style>
  <w:style w:type="character" w:customStyle="1" w:styleId="138">
    <w:name w:val="font21"/>
    <w:qFormat/>
    <w:uiPriority w:val="0"/>
    <w:rPr>
      <w:rFonts w:ascii="Times New Roman" w:hAnsi="Times New Roman" w:eastAsia="宋体" w:cs="Times New Roman"/>
      <w:color w:val="417998"/>
      <w:sz w:val="18"/>
      <w:szCs w:val="18"/>
    </w:rPr>
  </w:style>
  <w:style w:type="paragraph" w:customStyle="1" w:styleId="139">
    <w:name w:val="Table Paragraph"/>
    <w:basedOn w:val="1"/>
    <w:qFormat/>
    <w:uiPriority w:val="1"/>
    <w:pPr>
      <w:autoSpaceDE w:val="0"/>
      <w:autoSpaceDN w:val="0"/>
      <w:jc w:val="left"/>
    </w:pPr>
    <w:rPr>
      <w:rFonts w:ascii="仿宋" w:hAnsi="仿宋" w:eastAsia="仿宋" w:cs="仿宋"/>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5219</Words>
  <Characters>5682</Characters>
  <Lines>368</Lines>
  <Paragraphs>103</Paragraphs>
  <TotalTime>2</TotalTime>
  <ScaleCrop>false</ScaleCrop>
  <LinksUpToDate>false</LinksUpToDate>
  <CharactersWithSpaces>5822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2023-10-18T06:56:00Z</dcterms:created>
  <dc:creator>ZSY</dc:creator>
  <cp:lastModifiedBy>国义</cp:lastModifiedBy>
  <cp:lastPrinted>2020-11-05T02:03:00Z</cp:lastPrinted>
  <dcterms:modified xsi:type="dcterms:W3CDTF">2026-04-10T03:06:03Z</dcterms:modified>
  <dc:title>第三部分  政府采购规范文本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ED5A2B8FE3FB4E04AF9C161DDEE0277C_13</vt:lpwstr>
  </property>
  <property fmtid="{D5CDD505-2E9C-101B-9397-08002B2CF9AE}" pid="4" name="KSOTemplateDocerSaveRecord">
    <vt:lpwstr>eyJoZGlkIjoiZGQ4MDQ5M2FkMTlhM2IwYTFiZjQ1YmUyOWViMWMyMTUiLCJ1c2VySWQiOiIzODI2ODQzNDkifQ==</vt:lpwstr>
  </property>
</Properties>
</file>