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440513-2026-01258</w:t>
      </w:r>
    </w:p>
    <w:p>
      <w:pPr>
        <w:pStyle w:val="null3"/>
        <w:jc w:val="center"/>
        <w:outlineLvl w:val="3"/>
      </w:pPr>
      <w:r>
        <w:rPr>
          <w:sz w:val="24"/>
          <w:b/>
        </w:rPr>
        <w:t>采购项目编号：</w:t>
      </w:r>
      <w:r>
        <w:rPr>
          <w:sz w:val="24"/>
          <w:b/>
        </w:rPr>
        <w:t>0724-2631ST643133</w:t>
      </w:r>
    </w:p>
    <w:p>
      <w:pPr>
        <w:pStyle w:val="null3"/>
        <w:jc w:val="center"/>
        <w:outlineLvl w:val="3"/>
      </w:pPr>
      <w:r>
        <w:rPr>
          <w:sz w:val="24"/>
          <w:b/>
        </w:rPr>
        <w:t>项目名称：</w:t>
      </w:r>
      <w:r>
        <w:rPr>
          <w:sz w:val="24"/>
          <w:b/>
        </w:rPr>
        <w:t>汕头市潮阳区大峰医院医疗设备维保服务项目</w:t>
      </w:r>
    </w:p>
    <w:p>
      <w:pPr>
        <w:pStyle w:val="null3"/>
        <w:jc w:val="center"/>
        <w:outlineLvl w:val="3"/>
      </w:pPr>
      <w:r>
        <w:rPr>
          <w:sz w:val="24"/>
          <w:b/>
        </w:rPr>
        <w:t>采购人：</w:t>
      </w:r>
      <w:r>
        <w:rPr>
          <w:sz w:val="24"/>
          <w:b/>
        </w:rPr>
        <w:t>汕头市潮阳区大峰医院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汕头市潮阳区大峰医院</w:t>
      </w:r>
      <w:r>
        <w:rPr/>
        <w:t>的委托，采用</w:t>
      </w:r>
      <w:r>
        <w:rPr/>
        <w:t>公开招标</w:t>
      </w:r>
      <w:r>
        <w:rPr/>
        <w:t>方式组织采购</w:t>
      </w:r>
      <w:r>
        <w:rPr/>
        <w:t>汕头市潮阳区大峰医院医疗设备维保服务项目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汕头市潮阳区大峰医院医疗设备维保服务项目</w:t>
      </w:r>
    </w:p>
    <w:p>
      <w:pPr>
        <w:pStyle w:val="null3"/>
        <w:ind w:firstLine="480"/>
      </w:pPr>
      <w:r>
        <w:rPr/>
        <w:t>采购计划编号：</w:t>
      </w:r>
      <w:r>
        <w:rPr/>
        <w:t>440513-2026-01258</w:t>
      </w:r>
    </w:p>
    <w:p>
      <w:pPr>
        <w:pStyle w:val="null3"/>
        <w:ind w:firstLine="480"/>
      </w:pPr>
      <w:r>
        <w:rPr/>
        <w:t>采购项目编号：</w:t>
      </w:r>
      <w:r>
        <w:rPr/>
        <w:t>0724-2631ST643133</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采购包1(医用血管造影X射线系统三年维保服务):</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医用血管造影X射线系统三年维保服务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3）具有良好的商业信誉和健全的财务会计制度：提供《汕头市政府采购供应商信用承诺函》（或者提供2024年度或2025年度财务状况报告（新成立公司提供成立至今的月或季度财务报表）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采购包1（医用血管造影X射线系统三年维保服务）：</w:t>
      </w:r>
      <w:r>
        <w:rPr/>
        <w:t>本项目属于专门面向中小企业采购的项目（参与的供应商服务全部由符合政策要求的中小企业承接，供应商须按投标文件格式提供《中小企业声明函》，本项目对应的中小企业划分标准所属行业为“工业”）。</w:t>
      </w:r>
    </w:p>
    <w:p>
      <w:pPr>
        <w:pStyle w:val="null3"/>
        <w:outlineLvl w:val="3"/>
      </w:pPr>
      <w:r>
        <w:rPr>
          <w:sz w:val="24"/>
          <w:b/>
        </w:rPr>
        <w:t>3.本项目特定的资格要求：</w:t>
      </w:r>
    </w:p>
    <w:p>
      <w:pPr>
        <w:pStyle w:val="null3"/>
      </w:pPr>
      <w:r>
        <w:rPr/>
        <w:t>采购包1（医用血管造影X射线系统三年维保服务）：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3)投标人需具备有效的《辐射安全许可证》。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汕头市潮阳区大峰医院</w:t>
      </w:r>
    </w:p>
    <w:p>
      <w:pPr>
        <w:pStyle w:val="null3"/>
        <w:ind w:firstLine="480"/>
      </w:pPr>
      <w:r>
        <w:rPr/>
        <w:t xml:space="preserve"> 地址：</w:t>
      </w:r>
      <w:r>
        <w:rPr/>
        <w:t>汕头市潮阳区和平镇大峰风景区东侧</w:t>
      </w:r>
    </w:p>
    <w:p>
      <w:pPr>
        <w:pStyle w:val="null3"/>
        <w:ind w:firstLine="480"/>
      </w:pPr>
      <w:r>
        <w:rPr/>
        <w:t xml:space="preserve"> 联系方式：</w:t>
      </w:r>
      <w:r>
        <w:rPr/>
        <w:t>0754-82275007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w:t>
      </w:r>
    </w:p>
    <w:p>
      <w:pPr>
        <w:pStyle w:val="null3"/>
        <w:ind w:firstLine="480"/>
      </w:pPr>
      <w:r>
        <w:rPr/>
        <w:t xml:space="preserve"> 联系方式：</w:t>
      </w:r>
      <w:r>
        <w:rPr/>
        <w:t>020-37860529、37860521</w:t>
      </w:r>
    </w:p>
    <w:p>
      <w:pPr>
        <w:pStyle w:val="null3"/>
        <w:outlineLvl w:val="3"/>
      </w:pPr>
      <w:r>
        <w:rPr>
          <w:sz w:val="24"/>
          <w:b/>
        </w:rPr>
        <w:t xml:space="preserve"> 3.项目联系方式</w:t>
      </w:r>
    </w:p>
    <w:p>
      <w:pPr>
        <w:pStyle w:val="null3"/>
        <w:ind w:firstLine="480"/>
      </w:pPr>
      <w:r>
        <w:rPr/>
        <w:t xml:space="preserve"> 项目联系人：</w:t>
      </w:r>
      <w:r>
        <w:rPr/>
        <w:t>邓超妍、戴琨琳</w:t>
      </w:r>
    </w:p>
    <w:p>
      <w:pPr>
        <w:pStyle w:val="null3"/>
        <w:ind w:firstLine="480"/>
      </w:pPr>
      <w:r>
        <w:rPr/>
        <w:t xml:space="preserve"> 电话：</w:t>
      </w:r>
      <w:r>
        <w:rPr/>
        <w:t>020-37860529、37860521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4742"/>
        <w:gridCol w:w="938"/>
        <w:gridCol w:w="2623"/>
      </w:tblGrid>
      <w:tr>
        <w:tc>
          <w:tcPr>
            <w:tcW w:type="dxa" w:w="4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9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最高采购限价</w:t>
            </w:r>
          </w:p>
        </w:tc>
      </w:tr>
      <w:tr>
        <w:tc>
          <w:tcPr>
            <w:tcW w:type="dxa" w:w="4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医用血管造影</w:t>
            </w:r>
            <w:r>
              <w:rPr>
                <w:sz w:val="21"/>
              </w:rPr>
              <w:t>X射线系统维保服务（3年）</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180</w:t>
            </w:r>
            <w:r>
              <w:rPr>
                <w:sz w:val="21"/>
              </w:rPr>
              <w:t>万元</w:t>
            </w:r>
          </w:p>
        </w:tc>
      </w:tr>
    </w:tbl>
    <w:p>
      <w:pPr>
        <w:pStyle w:val="null3"/>
        <w:ind w:firstLine="420"/>
        <w:jc w:val="both"/>
      </w:pPr>
      <w:r>
        <w:rPr>
          <w:sz w:val="21"/>
        </w:rPr>
        <w:t>详细技术规范以用户需求书为准。投标人必须对本项目的全部内容进行投标报价，如有缺漏或超出最高</w:t>
      </w:r>
      <w:r>
        <w:rPr>
          <w:sz w:val="21"/>
        </w:rPr>
        <w:t>采购</w:t>
      </w:r>
      <w:r>
        <w:rPr>
          <w:sz w:val="21"/>
        </w:rPr>
        <w:t>限价，将导致投标无效。</w:t>
      </w:r>
    </w:p>
    <w:p>
      <w:pPr>
        <w:pStyle w:val="null3"/>
        <w:ind w:firstLine="420"/>
        <w:jc w:val="both"/>
      </w:pPr>
      <w:r>
        <w:rPr>
          <w:sz w:val="21"/>
        </w:rPr>
        <w:t>2．服务时间：采购人指定时间</w:t>
      </w:r>
    </w:p>
    <w:p>
      <w:pPr>
        <w:pStyle w:val="null3"/>
        <w:ind w:firstLine="420"/>
        <w:jc w:val="both"/>
      </w:pPr>
      <w:r>
        <w:rPr>
          <w:sz w:val="21"/>
        </w:rPr>
        <w:t>3．服务地点：采购人指定地点</w:t>
      </w:r>
    </w:p>
    <w:p>
      <w:pPr>
        <w:pStyle w:val="null3"/>
        <w:ind w:firstLine="42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w:t>
      </w:r>
      <w:r>
        <w:rPr>
          <w:sz w:val="21"/>
        </w:rPr>
        <w:t>)</w:t>
      </w:r>
      <w:r>
        <w:rPr>
          <w:sz w:val="21"/>
        </w:rPr>
        <w:t>；《关于政府采购支持监狱企业发展有关问题的通知》（财库〔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号）等；《国务院办公厅关于在政府采购中实施本国产品标准及相关政策的通知》（国办发〔</w:t>
      </w:r>
      <w:r>
        <w:rPr>
          <w:sz w:val="21"/>
        </w:rPr>
        <w:t>2025</w:t>
      </w:r>
      <w:r>
        <w:rPr>
          <w:sz w:val="21"/>
        </w:rPr>
        <w:t>〕</w:t>
      </w:r>
      <w:r>
        <w:rPr>
          <w:sz w:val="21"/>
        </w:rPr>
        <w:t>34</w:t>
      </w:r>
      <w:r>
        <w:rPr>
          <w:sz w:val="21"/>
        </w:rPr>
        <w:t>号）；《财政部关于贯彻落实</w:t>
      </w:r>
      <w:r>
        <w:rPr>
          <w:sz w:val="21"/>
        </w:rPr>
        <w:t>&lt;</w:t>
      </w:r>
      <w:r>
        <w:rPr>
          <w:sz w:val="21"/>
        </w:rPr>
        <w:t>国务院办公厅关于在政府采购中实施本国产品标准及相关政策的通知</w:t>
      </w:r>
      <w:r>
        <w:rPr>
          <w:sz w:val="21"/>
        </w:rPr>
        <w:t>&gt;</w:t>
      </w:r>
      <w:r>
        <w:rPr>
          <w:sz w:val="21"/>
        </w:rPr>
        <w:t>的意见》（财库〔</w:t>
      </w:r>
      <w:r>
        <w:rPr>
          <w:sz w:val="21"/>
        </w:rPr>
        <w:t>2025</w:t>
      </w:r>
      <w:r>
        <w:rPr>
          <w:sz w:val="21"/>
        </w:rPr>
        <w:t>〕</w:t>
      </w:r>
      <w:r>
        <w:rPr>
          <w:sz w:val="21"/>
        </w:rPr>
        <w:t>30</w:t>
      </w:r>
      <w:r>
        <w:rPr>
          <w:sz w:val="21"/>
        </w:rPr>
        <w:t>号）；《关于推动解决政府采购异常低价问题的通知》（财库〔</w:t>
      </w:r>
      <w:r>
        <w:rPr>
          <w:sz w:val="21"/>
        </w:rPr>
        <w:t>2026</w:t>
      </w:r>
      <w:r>
        <w:rPr>
          <w:sz w:val="21"/>
        </w:rPr>
        <w:t>〕</w:t>
      </w:r>
      <w:r>
        <w:rPr>
          <w:sz w:val="21"/>
        </w:rPr>
        <w:t>2</w:t>
      </w:r>
      <w:r>
        <w:rPr>
          <w:sz w:val="21"/>
        </w:rPr>
        <w:t>号）等。</w:t>
      </w:r>
    </w:p>
    <w:p>
      <w:pPr>
        <w:pStyle w:val="null3"/>
        <w:jc w:val="both"/>
      </w:pPr>
      <w:r>
        <w:rPr>
          <w:sz w:val="21"/>
        </w:rPr>
        <w:t xml:space="preserve">    </w:t>
      </w:r>
      <w:r>
        <w:rPr>
          <w:sz w:val="21"/>
        </w:rPr>
        <w:t xml:space="preserve">5. </w:t>
      </w:r>
      <w:r>
        <w:rPr>
          <w:sz w:val="21"/>
        </w:rPr>
        <w:t>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采购包1（医用血管造影X射线系统三年维保服务）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项目自签订合同之日起，服务期为三年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采用分期付款方式，合同签订后15天内先支付15%的合同款作为首期维保服务款，余款分6期支付，每6个月支付一次，即合同签订后的第7个月内支付第2期款，合同签订后的第13个月内支付第3期款，以此类推。第2期至第6期的付款比例为14%，第7期的付款比例为15%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1期：根据中标人的投标承诺及行业标准、国家标准进行验收。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医用血管造影X射线系统三年维保服务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1,800,000.00</w:t>
            </w:r>
          </w:p>
        </w:tc>
        <w:tc>
          <w:tcPr>
            <w:tcW w:type="dxa" w:w="933"/>
          </w:tcPr>
          <w:p>
            <w:pPr>
              <w:pStyle w:val="null3"/>
              <w:jc w:val="right"/>
            </w:pPr>
            <w:r>
              <w:rPr/>
              <w:t>1,800,000.00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医用血管造影X射线系统三年维保服务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一、项目内容</w:t>
            </w:r>
          </w:p>
        </w:tc>
      </w:tr>
      <w:tr>
        <w:tc>
          <w:tcPr>
            <w:tcW w:type="dxa" w:w="2076"/>
          </w:tcPr>
          <w:p/>
        </w:tc>
        <w:tc>
          <w:tcPr>
            <w:tcW w:type="dxa" w:w="415"/>
          </w:tcPr>
          <w:p>
            <w:pPr>
              <w:pStyle w:val="null3"/>
            </w:pPr>
            <w:r>
              <w:rPr/>
              <w:t>2</w:t>
            </w:r>
          </w:p>
        </w:tc>
        <w:tc>
          <w:tcPr>
            <w:tcW w:type="dxa" w:w="5814"/>
          </w:tcPr>
          <w:p>
            <w:pPr>
              <w:pStyle w:val="null3"/>
            </w:pPr>
            <w:r>
              <w:rPr/>
              <w:t>飞利浦Allura Xper FD20医用血管造影X射线系统3年期全保服务。</w:t>
            </w:r>
          </w:p>
        </w:tc>
      </w:tr>
      <w:tr>
        <w:tc>
          <w:tcPr>
            <w:tcW w:type="dxa" w:w="2076"/>
          </w:tcPr>
          <w:p/>
        </w:tc>
        <w:tc>
          <w:tcPr>
            <w:tcW w:type="dxa" w:w="415"/>
          </w:tcPr>
          <w:p>
            <w:pPr>
              <w:pStyle w:val="null3"/>
            </w:pPr>
            <w:r>
              <w:rPr/>
              <w:t>3</w:t>
            </w:r>
          </w:p>
        </w:tc>
        <w:tc>
          <w:tcPr>
            <w:tcW w:type="dxa" w:w="5814"/>
          </w:tcPr>
          <w:p>
            <w:pPr>
              <w:pStyle w:val="null3"/>
            </w:pPr>
            <w:r>
              <w:rPr/>
              <w:t>二、保修类型及服务需求</w:t>
            </w:r>
          </w:p>
        </w:tc>
      </w:tr>
      <w:tr>
        <w:tc>
          <w:tcPr>
            <w:tcW w:type="dxa" w:w="2076"/>
          </w:tcPr>
          <w:p/>
        </w:tc>
        <w:tc>
          <w:tcPr>
            <w:tcW w:type="dxa" w:w="415"/>
          </w:tcPr>
          <w:p>
            <w:pPr>
              <w:pStyle w:val="null3"/>
            </w:pPr>
            <w:r>
              <w:rPr/>
              <w:t>4</w:t>
            </w:r>
          </w:p>
        </w:tc>
        <w:tc>
          <w:tcPr>
            <w:tcW w:type="dxa" w:w="5814"/>
          </w:tcPr>
          <w:p>
            <w:pPr>
              <w:pStyle w:val="null3"/>
            </w:pPr>
            <w:r>
              <w:rPr/>
              <w:t>1、维保类型：全保。</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★2、维保范围包含：</w:t>
            </w:r>
          </w:p>
        </w:tc>
      </w:tr>
      <w:tr>
        <w:tc>
          <w:tcPr>
            <w:tcW w:type="dxa" w:w="2076"/>
          </w:tcPr>
          <w:p/>
        </w:tc>
        <w:tc>
          <w:tcPr>
            <w:tcW w:type="dxa" w:w="415"/>
          </w:tcPr>
          <w:p>
            <w:pPr>
              <w:pStyle w:val="null3"/>
            </w:pPr>
            <w:r>
              <w:rPr/>
              <w:t>6</w:t>
            </w:r>
          </w:p>
        </w:tc>
        <w:tc>
          <w:tcPr>
            <w:tcW w:type="dxa" w:w="5814"/>
          </w:tcPr>
          <w:p>
            <w:pPr>
              <w:pStyle w:val="null3"/>
            </w:pPr>
            <w:r>
              <w:rPr/>
              <w:t>（1）包含每年≥4次保养服务。</w:t>
            </w:r>
          </w:p>
        </w:tc>
      </w:tr>
      <w:tr>
        <w:tc>
          <w:tcPr>
            <w:tcW w:type="dxa" w:w="2076"/>
          </w:tcPr>
          <w:p/>
        </w:tc>
        <w:tc>
          <w:tcPr>
            <w:tcW w:type="dxa" w:w="415"/>
          </w:tcPr>
          <w:p>
            <w:pPr>
              <w:pStyle w:val="null3"/>
            </w:pPr>
            <w:r>
              <w:rPr/>
              <w:t>7</w:t>
            </w:r>
          </w:p>
        </w:tc>
        <w:tc>
          <w:tcPr>
            <w:tcW w:type="dxa" w:w="5814"/>
          </w:tcPr>
          <w:p>
            <w:pPr>
              <w:pStyle w:val="null3"/>
            </w:pPr>
            <w:r>
              <w:rPr/>
              <w:t>（2）不限次数到场技术诊断服务和零备件更换服务，包含整机主机(L臂、C臂、床、操作台计算机等)、球管、平板探测器、工作站等，不含任何第三方产品。</w:t>
            </w:r>
          </w:p>
        </w:tc>
      </w:tr>
      <w:tr>
        <w:tc>
          <w:tcPr>
            <w:tcW w:type="dxa" w:w="2076"/>
          </w:tcPr>
          <w:p/>
        </w:tc>
        <w:tc>
          <w:tcPr>
            <w:tcW w:type="dxa" w:w="415"/>
          </w:tcPr>
          <w:p>
            <w:pPr>
              <w:pStyle w:val="null3"/>
            </w:pPr>
            <w:r>
              <w:rPr/>
              <w:t>8</w:t>
            </w:r>
          </w:p>
        </w:tc>
        <w:tc>
          <w:tcPr>
            <w:tcW w:type="dxa" w:w="5814"/>
          </w:tcPr>
          <w:p>
            <w:pPr>
              <w:pStyle w:val="null3"/>
            </w:pPr>
            <w:r>
              <w:rPr/>
              <w:t>（4）提供原厂全新球管≥1个（若维保期内未需更换球管，服务期后仍应</w:t>
            </w:r>
            <w:r>
              <w:rPr/>
              <w:t>负责</w:t>
            </w:r>
            <w:r>
              <w:rPr/>
              <w:t>提供原厂全新球管≥1个及相关更换服务，</w:t>
            </w:r>
            <w:r>
              <w:rPr/>
              <w:t>不额外收取费用</w:t>
            </w:r>
            <w:r>
              <w:rPr/>
              <w:t>）。</w:t>
            </w:r>
          </w:p>
        </w:tc>
      </w:tr>
      <w:tr>
        <w:tc>
          <w:tcPr>
            <w:tcW w:type="dxa" w:w="2076"/>
          </w:tcPr>
          <w:p/>
        </w:tc>
        <w:tc>
          <w:tcPr>
            <w:tcW w:type="dxa" w:w="415"/>
          </w:tcPr>
          <w:p>
            <w:pPr>
              <w:pStyle w:val="null3"/>
            </w:pPr>
            <w:r>
              <w:rPr/>
              <w:t>9</w:t>
            </w:r>
          </w:p>
        </w:tc>
        <w:tc>
          <w:tcPr>
            <w:tcW w:type="dxa" w:w="5814"/>
          </w:tcPr>
          <w:p>
            <w:pPr>
              <w:pStyle w:val="null3"/>
            </w:pPr>
            <w:r>
              <w:rPr/>
              <w:t>三、服务要求</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▲1、报修方式：维保服务商具有400或800客户服务专线，24小时×365天有专人接听。</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▲2、响应时间：接到医院报修电话后，工程师电话响应时间≤0.5小时。若电话交流无法解决，则在接获报修电话后维修工程师到达现场处理故障时间≤12小时，确保设备及时恢复正常运行。</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3、维保服务商提供的球管可接受第三方权威单位或药监检测，如为二手球管，医院有权不支付合同款项；如因提供二手球管导致医院停机，则投标人赔偿DSA每天的经济产出；如因二手球管给医院带来其他经济损失（如上级监管单位处罚等），投标人则需承担相关赔偿及责任。</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4、开机保障：开机率≥95％，按全年365天计算，即全年停机时间不超过18天(不在维保范围里造成的停机除外）。开机率＜95%，停机时间每超期一天，保修期顺延两天；开机率低于90%，投标人另需赔付人民币5000元/天。</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5、维护保养：维保期内提供每年≥4次现场保养服务，根据保养计划更换损耗部件，检测、调整、校准，使设备保持原厂技术质量要求标准，确认各项技术指标及性能，记录设备状况，预防性保养耗材保修期内由投标人提供，保养时间由双方协商确定，并提供完整的电子版及纸质版（一式两份）保养报告单。如遇年检时，服务方负责调试全部监测指标保障通过相关部门检测。定期的维护保养服务包括但不限于：设备清洁、安全检查、影像质量检查、系统性能测试及校准、运行状态检查。</w:t>
            </w:r>
          </w:p>
        </w:tc>
      </w:tr>
      <w:tr>
        <w:tc>
          <w:tcPr>
            <w:tcW w:type="dxa" w:w="2076"/>
          </w:tcPr>
          <w:p/>
        </w:tc>
        <w:tc>
          <w:tcPr>
            <w:tcW w:type="dxa" w:w="415"/>
          </w:tcPr>
          <w:p>
            <w:pPr>
              <w:pStyle w:val="null3"/>
            </w:pPr>
            <w:r>
              <w:rPr/>
              <w:t>15</w:t>
            </w:r>
          </w:p>
        </w:tc>
        <w:tc>
          <w:tcPr>
            <w:tcW w:type="dxa" w:w="5814"/>
          </w:tcPr>
          <w:p>
            <w:pPr>
              <w:pStyle w:val="null3"/>
            </w:pPr>
            <w:r>
              <w:rPr/>
              <w:t>6、日常维护：维保期内不限次数电话指导及现场维护服务，包含所需保养服务、人工费用、节假日加班费及所有配件费用等，签订维保合同享受优先派工。</w:t>
            </w:r>
          </w:p>
        </w:tc>
      </w:tr>
      <w:tr>
        <w:tc>
          <w:tcPr>
            <w:tcW w:type="dxa" w:w="2076"/>
          </w:tcPr>
          <w:p/>
        </w:tc>
        <w:tc>
          <w:tcPr>
            <w:tcW w:type="dxa" w:w="415"/>
          </w:tcPr>
          <w:p>
            <w:pPr>
              <w:pStyle w:val="null3"/>
            </w:pPr>
            <w:r>
              <w:rPr/>
              <w:t>16</w:t>
            </w:r>
          </w:p>
        </w:tc>
        <w:tc>
          <w:tcPr>
            <w:tcW w:type="dxa" w:w="5814"/>
          </w:tcPr>
          <w:p>
            <w:pPr>
              <w:pStyle w:val="null3"/>
            </w:pPr>
            <w:r>
              <w:rPr/>
              <w:t>7、备件响应：如需更换零备件，国内仓库24小时内发货，48小时内到达现场，特殊情况双方协商解决。</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▲8、备件更换：须承诺机器发生故障需更换零备件时，投标人所提供备件</w:t>
            </w:r>
            <w:r>
              <w:rPr/>
              <w:t>应当</w:t>
            </w:r>
            <w:r>
              <w:rPr/>
              <w:t>为原设备零配件同一生产厂家及同一型号规格的零配件，且备件供应100%保障，安装完毕后达到原厂公司设备运行标准，投标人须确保备件来源合法合规。（提供承诺函）</w:t>
            </w:r>
          </w:p>
        </w:tc>
      </w:tr>
      <w:tr>
        <w:tc>
          <w:tcPr>
            <w:tcW w:type="dxa" w:w="2076"/>
          </w:tcPr>
          <w:p/>
        </w:tc>
        <w:tc>
          <w:tcPr>
            <w:tcW w:type="dxa" w:w="415"/>
          </w:tcPr>
          <w:p>
            <w:pPr>
              <w:pStyle w:val="null3"/>
            </w:pPr>
            <w:r>
              <w:rPr/>
              <w:t>18</w:t>
            </w:r>
          </w:p>
        </w:tc>
        <w:tc>
          <w:tcPr>
            <w:tcW w:type="dxa" w:w="5814"/>
          </w:tcPr>
          <w:p>
            <w:pPr>
              <w:pStyle w:val="null3"/>
            </w:pPr>
            <w:r>
              <w:rPr/>
              <w:t>9、远程连接：维保服务商需提供基于设备嵌入式远程连接方案的实时远程服务，可实现远程监控和保护医疗设备，及时发出预警，在出现故障之前可进行远程维护和处理，以减少设备停机时间，提高设备使用率；基于设备嵌入式远程连接方案需</w:t>
            </w:r>
            <w:r>
              <w:rPr/>
              <w:t>符合行业标准安全要求并通过信息安全管理体系认证</w:t>
            </w:r>
            <w:r>
              <w:rPr/>
              <w:t>。</w:t>
            </w:r>
          </w:p>
        </w:tc>
      </w:tr>
      <w:tr>
        <w:tc>
          <w:tcPr>
            <w:tcW w:type="dxa" w:w="2076"/>
          </w:tcPr>
          <w:p/>
        </w:tc>
        <w:tc>
          <w:tcPr>
            <w:tcW w:type="dxa" w:w="415"/>
          </w:tcPr>
          <w:p>
            <w:pPr>
              <w:pStyle w:val="null3"/>
            </w:pPr>
            <w:r>
              <w:rPr/>
              <w:t>19</w:t>
            </w:r>
          </w:p>
        </w:tc>
        <w:tc>
          <w:tcPr>
            <w:tcW w:type="dxa" w:w="5814"/>
          </w:tcPr>
          <w:p>
            <w:pPr>
              <w:pStyle w:val="null3"/>
            </w:pPr>
            <w:r>
              <w:rPr/>
              <w:t>10、高级诊断：维保服务商</w:t>
            </w:r>
            <w:r>
              <w:rPr/>
              <w:t>应当</w:t>
            </w:r>
            <w:r>
              <w:rPr/>
              <w:t>在整个维保期内都能合法获得原厂高级故障诊断软件的诊断维修钥匙（service key），并保证不违反国家有关知识产权的法律规定，提供相关证明材料说明合法来源。</w:t>
            </w:r>
          </w:p>
        </w:tc>
      </w:tr>
      <w:tr>
        <w:tc>
          <w:tcPr>
            <w:tcW w:type="dxa" w:w="2076"/>
          </w:tcPr>
          <w:p/>
        </w:tc>
        <w:tc>
          <w:tcPr>
            <w:tcW w:type="dxa" w:w="415"/>
          </w:tcPr>
          <w:p>
            <w:pPr>
              <w:pStyle w:val="null3"/>
            </w:pPr>
            <w:r>
              <w:rPr/>
              <w:t>20</w:t>
            </w:r>
          </w:p>
        </w:tc>
        <w:tc>
          <w:tcPr>
            <w:tcW w:type="dxa" w:w="5814"/>
          </w:tcPr>
          <w:p>
            <w:pPr>
              <w:pStyle w:val="null3"/>
            </w:pPr>
            <w:r>
              <w:rPr/>
              <w:t>11、</w:t>
            </w:r>
            <w:r>
              <w:rPr/>
              <w:t>维保服务商为拟维保设备原厂或具有原厂技术合作或售后服务授权等证明材料。</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▲12、维保服务商应配备本项目维保所需专业维修工具，提供工具图片及对应的</w:t>
            </w:r>
            <w:r>
              <w:rPr/>
              <w:t>购买或租赁</w:t>
            </w:r>
            <w:r>
              <w:rPr/>
              <w:t>发票复印件。</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▲13、维修、质控工具须定期校准，提供对应工具校准证明材料。</w:t>
            </w:r>
          </w:p>
        </w:tc>
      </w:tr>
      <w:tr>
        <w:tc>
          <w:tcPr>
            <w:tcW w:type="dxa" w:w="2076"/>
          </w:tcPr>
          <w:p/>
        </w:tc>
        <w:tc>
          <w:tcPr>
            <w:tcW w:type="dxa" w:w="415"/>
          </w:tcPr>
          <w:p>
            <w:pPr>
              <w:pStyle w:val="null3"/>
            </w:pPr>
            <w:r>
              <w:rPr/>
              <w:t>23</w:t>
            </w:r>
          </w:p>
        </w:tc>
        <w:tc>
          <w:tcPr>
            <w:tcW w:type="dxa" w:w="5814"/>
          </w:tcPr>
          <w:p>
            <w:pPr>
              <w:pStyle w:val="null3"/>
            </w:pPr>
            <w:r>
              <w:rPr/>
              <w:t>14、投标人在维修或更换重大部件后</w:t>
            </w:r>
            <w:r>
              <w:rPr/>
              <w:t>具有设备检验检测能力</w:t>
            </w:r>
            <w:r>
              <w:rPr/>
              <w:t>，确保设备顺利通过年度检测，</w:t>
            </w:r>
            <w:r>
              <w:rPr/>
              <w:t>提供</w:t>
            </w:r>
            <w:r>
              <w:rPr/>
              <w:t>具有设备检验检测能力的</w:t>
            </w:r>
            <w:r>
              <w:rPr/>
              <w:t>相关证明材料。</w:t>
            </w:r>
          </w:p>
        </w:tc>
      </w:tr>
      <w:tr>
        <w:tc>
          <w:tcPr>
            <w:tcW w:type="dxa" w:w="2076"/>
          </w:tcPr>
          <w:p/>
        </w:tc>
        <w:tc>
          <w:tcPr>
            <w:tcW w:type="dxa" w:w="415"/>
          </w:tcPr>
          <w:p>
            <w:pPr>
              <w:pStyle w:val="null3"/>
            </w:pPr>
            <w:r>
              <w:rPr/>
              <w:t>24</w:t>
            </w:r>
          </w:p>
        </w:tc>
        <w:tc>
          <w:tcPr>
            <w:tcW w:type="dxa" w:w="5814"/>
          </w:tcPr>
          <w:p>
            <w:pPr>
              <w:pStyle w:val="null3"/>
            </w:pPr>
            <w:r>
              <w:rPr/>
              <w:t>15、维保服务商提供设备及工作站的数据双硬盘备份，当设备软件故障时能第一时间恢复设备工作。</w:t>
            </w:r>
          </w:p>
        </w:tc>
      </w:tr>
      <w:tr>
        <w:tc>
          <w:tcPr>
            <w:tcW w:type="dxa" w:w="2076"/>
          </w:tcPr>
          <w:p/>
        </w:tc>
        <w:tc>
          <w:tcPr>
            <w:tcW w:type="dxa" w:w="415"/>
          </w:tcPr>
          <w:p>
            <w:pPr>
              <w:pStyle w:val="null3"/>
            </w:pPr>
            <w:r>
              <w:rPr/>
              <w:t>25</w:t>
            </w:r>
          </w:p>
        </w:tc>
        <w:tc>
          <w:tcPr>
            <w:tcW w:type="dxa" w:w="5814"/>
          </w:tcPr>
          <w:p>
            <w:pPr>
              <w:pStyle w:val="null3"/>
            </w:pPr>
            <w:r>
              <w:rPr/>
              <w:t>16、维保服务商在国内须设有备件仓库，确保全天候供应备件，保证备件能及时送达采购方医院现场，以确保开机率。（提供备件仓库的租赁合同或自有产权产权证明，并提供仓库实景照片及相关说明材料）</w:t>
            </w:r>
          </w:p>
        </w:tc>
      </w:tr>
      <w:tr>
        <w:tc>
          <w:tcPr>
            <w:tcW w:type="dxa" w:w="2076"/>
          </w:tcPr>
          <w:p/>
        </w:tc>
        <w:tc>
          <w:tcPr>
            <w:tcW w:type="dxa" w:w="415"/>
          </w:tcPr>
          <w:p>
            <w:pPr>
              <w:pStyle w:val="null3"/>
            </w:pPr>
            <w:r>
              <w:rPr/>
              <w:t>26</w:t>
            </w:r>
          </w:p>
        </w:tc>
        <w:tc>
          <w:tcPr>
            <w:tcW w:type="dxa" w:w="5814"/>
          </w:tcPr>
          <w:p>
            <w:pPr>
              <w:pStyle w:val="null3"/>
            </w:pPr>
            <w:r>
              <w:rPr/>
              <w:t>17、</w:t>
            </w:r>
            <w:r>
              <w:rPr>
                <w:sz w:val="20"/>
                <w:color w:val="000000"/>
              </w:rPr>
              <w:t>维保服务商</w:t>
            </w:r>
            <w:r>
              <w:rPr>
                <w:sz w:val="20"/>
                <w:color w:val="000000"/>
              </w:rPr>
              <w:t>有全职的DSA设备维修团队≥15人，提供技术团队的培训证书及近三个月任意一个月社保证明。</w:t>
            </w:r>
          </w:p>
        </w:tc>
      </w:tr>
      <w:tr>
        <w:tc>
          <w:tcPr>
            <w:tcW w:type="dxa" w:w="2076"/>
          </w:tcPr>
          <w:p/>
        </w:tc>
        <w:tc>
          <w:tcPr>
            <w:tcW w:type="dxa" w:w="415"/>
          </w:tcPr>
          <w:p>
            <w:pPr>
              <w:pStyle w:val="null3"/>
            </w:pPr>
            <w:r>
              <w:rPr/>
              <w:t>27</w:t>
            </w:r>
          </w:p>
        </w:tc>
        <w:tc>
          <w:tcPr>
            <w:tcW w:type="dxa" w:w="5814"/>
          </w:tcPr>
          <w:p>
            <w:pPr>
              <w:pStyle w:val="null3"/>
            </w:pPr>
            <w:r>
              <w:rPr/>
              <w:t>18、</w:t>
            </w:r>
            <w:r>
              <w:rPr/>
              <w:t>维保服务商</w:t>
            </w:r>
            <w:r>
              <w:rPr/>
              <w:t>的售后服务机构为本项目所提供的DSA设备维修团队中，具有拟维保设备原厂DSA维修资质的工程师≥1名，提供经设备生产商培训机构颁发的培训证书复印件，并提供近三个月任意一个月社保证明。</w:t>
            </w:r>
          </w:p>
        </w:tc>
      </w:tr>
      <w:tr>
        <w:tc>
          <w:tcPr>
            <w:tcW w:type="dxa" w:w="2076"/>
          </w:tcPr>
          <w:p/>
        </w:tc>
        <w:tc>
          <w:tcPr>
            <w:tcW w:type="dxa" w:w="415"/>
          </w:tcPr>
          <w:p>
            <w:pPr>
              <w:pStyle w:val="null3"/>
            </w:pPr>
            <w:r>
              <w:rPr/>
              <w:t>28</w:t>
            </w:r>
          </w:p>
        </w:tc>
        <w:tc>
          <w:tcPr>
            <w:tcW w:type="dxa" w:w="5814"/>
          </w:tcPr>
          <w:p>
            <w:pPr>
              <w:pStyle w:val="null3"/>
            </w:pPr>
            <w:r>
              <w:rPr/>
              <w:t>19、维保服务商须持有辐射安全与防护考核合格证明，</w:t>
            </w:r>
            <w:r>
              <w:rPr/>
              <w:t>提供相关证明材料。</w:t>
            </w:r>
          </w:p>
        </w:tc>
      </w:tr>
      <w:tr>
        <w:tc>
          <w:tcPr>
            <w:tcW w:type="dxa" w:w="2076"/>
          </w:tcPr>
          <w:p/>
        </w:tc>
        <w:tc>
          <w:tcPr>
            <w:tcW w:type="dxa" w:w="415"/>
          </w:tcPr>
          <w:p>
            <w:pPr>
              <w:pStyle w:val="null3"/>
            </w:pPr>
            <w:r>
              <w:rPr/>
              <w:t>29</w:t>
            </w:r>
          </w:p>
        </w:tc>
        <w:tc>
          <w:tcPr>
            <w:tcW w:type="dxa" w:w="5814"/>
          </w:tcPr>
          <w:p>
            <w:pPr>
              <w:pStyle w:val="null3"/>
            </w:pPr>
            <w:r>
              <w:rPr/>
              <w:t>20、维保服务商须在合同期内承诺为采购人提供相应的技术培训，现场培训1次/年，每次培训2天，包括原理讲解、故障诊断等（</w:t>
            </w:r>
            <w:r>
              <w:rPr/>
              <w:t>提供承诺函</w:t>
            </w:r>
            <w:r>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汕头市潮阳区大峰医院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政府采购监督管理机构名称：汕头市潮阳区政府采购管理办公室</w:t>
      </w:r>
    </w:p>
    <w:p>
      <w:pPr>
        <w:pStyle w:val="null3"/>
      </w:pPr>
      <w:r>
        <w:rPr/>
        <w:t>地 址：汕头市潮阳区棉北柳园路33号</w:t>
      </w:r>
    </w:p>
    <w:p>
      <w:pPr>
        <w:pStyle w:val="null3"/>
      </w:pPr>
      <w:r>
        <w:rPr/>
        <w:t>电 话：0754-88713294</w:t>
      </w:r>
    </w:p>
    <w:p>
      <w:pPr>
        <w:pStyle w:val="null3"/>
      </w:pPr>
      <w:r>
        <w:rPr/>
        <w:t>邮 编：515100</w:t>
      </w:r>
    </w:p>
    <w:p>
      <w:pPr>
        <w:pStyle w:val="null3"/>
      </w:pPr>
      <w:r>
        <w:rPr/>
        <w:t>传 真：0754-88713294</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血管造影X射线系统三年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采购包1（医用血管造影X射线系统三年维保服务）：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采购包1（医用血管造影X射线系统三年维保服务）：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投标人需具备有效的《辐射安全许可证》。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本项目属于专门面向中小企业采购的项目（参与的供应商服务全部由符合政策要求的中小企业承接，供应商须按投标文件格式提供《中小企业声明函》，本项目对应的中小企业划分标准所属行业为“工业”）。</w:t>
            </w:r>
          </w:p>
        </w:tc>
      </w:tr>
    </w:tbl>
    <w:p>
      <w:pPr>
        <w:pStyle w:val="null3"/>
        <w:ind w:firstLine="480"/>
      </w:pPr>
      <w:r>
        <w:rPr/>
        <w:t>表二符合性审查表：</w:t>
      </w:r>
    </w:p>
    <w:p>
      <w:pPr>
        <w:pStyle w:val="null3"/>
      </w:pPr>
      <w:r>
        <w:rPr/>
        <w:t>采购包1（医用血管造影X射线系统三年维保服务）：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实质性响应招标文件中“★”号条款的技术服务、商务要求</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采购包1(医用血管造影X射线系统三年维保服务):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技术部分70.0分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投标人对采购需求中“三、服务要求”带▲号的重要参数的响应情况 (28.0分)</w:t>
            </w:r>
          </w:p>
        </w:tc>
        <w:tc>
          <w:tcPr>
            <w:tcW w:type="dxa" w:w="5076"/>
          </w:tcPr>
          <w:p>
            <w:pPr>
              <w:pStyle w:val="null3"/>
              <w:jc w:val="left"/>
            </w:pPr>
            <w:r>
              <w:rPr/>
              <w:t>投标人全部满足或优于采购需求中“三、服务要求”中带▲号的重要参数要求的，得28分。每一项负偏离扣4分，有7项负偏离得0分。</w:t>
            </w:r>
          </w:p>
        </w:tc>
      </w:tr>
      <w:tr>
        <w:tc>
          <w:tcPr>
            <w:tcW w:type="dxa" w:w="922"/>
            <w:gridSpan w:val="2"/>
            <w:vMerge/>
          </w:tcPr>
          <w:p/>
        </w:tc>
        <w:tc>
          <w:tcPr>
            <w:tcW w:type="dxa" w:w="2307"/>
          </w:tcPr>
          <w:p>
            <w:pPr>
              <w:pStyle w:val="null3"/>
              <w:jc w:val="left"/>
            </w:pPr>
            <w:r>
              <w:rPr/>
              <w:t>投标人对采购需求中“三、服务要求”中不带▲号和★号的一般参数的响应情况 (12.0分)</w:t>
            </w:r>
          </w:p>
        </w:tc>
        <w:tc>
          <w:tcPr>
            <w:tcW w:type="dxa" w:w="5076"/>
          </w:tcPr>
          <w:p>
            <w:pPr>
              <w:pStyle w:val="null3"/>
              <w:jc w:val="left"/>
            </w:pPr>
            <w:r>
              <w:rPr/>
              <w:t>投标人完全满足或优于采购需求中“三、服务要求”中不带▲号和★号的一般参数要求的，得12分。每一项负偏离扣1分，有12项负偏离得0分。</w:t>
            </w:r>
          </w:p>
        </w:tc>
      </w:tr>
      <w:tr>
        <w:tc>
          <w:tcPr>
            <w:tcW w:type="dxa" w:w="922"/>
            <w:gridSpan w:val="2"/>
            <w:vMerge/>
          </w:tcPr>
          <w:p/>
        </w:tc>
        <w:tc>
          <w:tcPr>
            <w:tcW w:type="dxa" w:w="2307"/>
          </w:tcPr>
          <w:p>
            <w:pPr>
              <w:pStyle w:val="null3"/>
              <w:jc w:val="left"/>
            </w:pPr>
            <w:r>
              <w:rPr/>
              <w:t>整体方案 (5.0分)</w:t>
            </w:r>
          </w:p>
        </w:tc>
        <w:tc>
          <w:tcPr>
            <w:tcW w:type="dxa" w:w="5076"/>
          </w:tcPr>
          <w:p>
            <w:pPr>
              <w:pStyle w:val="null3"/>
              <w:jc w:val="left"/>
            </w:pPr>
            <w:r>
              <w:rPr/>
              <w:t>投标人提供整体方案（包括但不限于保修设备的熟悉和了解程度、性能特点、常见故障及处置办法、部件寿命及保养等方面）。 1）所提供方案完整、详细、具体、可行性强的，对保修设备熟悉了解程度强，性能特点熟悉，能提出有效的常见故障处置办法，得5分； 2）所提供方案基本完整、相对详细、可行的，对保修设备熟悉了解程度一般，性能特点相对熟悉，有提出常见故障处置办法，得3分； 3）所提供方案缺漏多，可行性弱的，对保修设备不了解，没有提出常见故障处置办法，得1分； 4）方案未提供的本项得0分。</w:t>
            </w:r>
          </w:p>
        </w:tc>
      </w:tr>
      <w:tr>
        <w:tc>
          <w:tcPr>
            <w:tcW w:type="dxa" w:w="922"/>
            <w:gridSpan w:val="2"/>
            <w:vMerge/>
          </w:tcPr>
          <w:p/>
        </w:tc>
        <w:tc>
          <w:tcPr>
            <w:tcW w:type="dxa" w:w="2307"/>
          </w:tcPr>
          <w:p>
            <w:pPr>
              <w:pStyle w:val="null3"/>
              <w:jc w:val="left"/>
            </w:pPr>
            <w:r>
              <w:rPr/>
              <w:t>定期保养及巡检方案 (5.0分)</w:t>
            </w:r>
          </w:p>
        </w:tc>
        <w:tc>
          <w:tcPr>
            <w:tcW w:type="dxa" w:w="5076"/>
          </w:tcPr>
          <w:p>
            <w:pPr>
              <w:pStyle w:val="null3"/>
              <w:jc w:val="left"/>
            </w:pPr>
            <w:r>
              <w:rPr/>
              <w:t>投标人提供定期保养及巡检方案（包括但不限于外观检查方案、清洁保养方案、功能检查方案等方面）。 1）能提供完整的、详细、具体、可行性强的外观检查方案、清洁保养方案、功能检查方案，得5分； 2）所提供的外观检查方案、清洁保养方案、功能检查方案不够周全详细、具体，但要点合理可行、基本契合需求，得3分； 3）所提供定期保养方案阐述简短有缺漏，但不影响整体方案实施且满足本项目需求的，得1分； 4）方案未提供的本项得0分。</w:t>
            </w:r>
          </w:p>
        </w:tc>
      </w:tr>
      <w:tr>
        <w:tc>
          <w:tcPr>
            <w:tcW w:type="dxa" w:w="922"/>
            <w:gridSpan w:val="2"/>
            <w:vMerge/>
          </w:tcPr>
          <w:p/>
        </w:tc>
        <w:tc>
          <w:tcPr>
            <w:tcW w:type="dxa" w:w="2307"/>
          </w:tcPr>
          <w:p>
            <w:pPr>
              <w:pStyle w:val="null3"/>
              <w:jc w:val="left"/>
            </w:pPr>
            <w:r>
              <w:rPr/>
              <w:t>设备维修方案 (5.0分)</w:t>
            </w:r>
          </w:p>
        </w:tc>
        <w:tc>
          <w:tcPr>
            <w:tcW w:type="dxa" w:w="5076"/>
          </w:tcPr>
          <w:p>
            <w:pPr>
              <w:pStyle w:val="null3"/>
              <w:jc w:val="left"/>
            </w:pPr>
            <w:r>
              <w:rPr/>
              <w:t>投标人提供设备维修方案（包括但不限于设备检测方案、设备修理方案、配件更换方案、设备软件升级方案等方面）。 1）所提供的设备检测方案、设备修理方案、配件更换方案、设备软件升级等方案完整、详细、具体、可行性强的，得5分； 2）所提供的设备检测方案、设备修理方案、配件更换方案、设备软件升级等方案不够周全详细、具体，但要点合理可行、基本契合需求得3分； 3）所提供设备维修方案阐述简短有缺漏，但不影响整体方案实施且满足本项目需求的得1分； 4）方案未提供的本项得0分。</w:t>
            </w:r>
          </w:p>
        </w:tc>
      </w:tr>
      <w:tr>
        <w:tc>
          <w:tcPr>
            <w:tcW w:type="dxa" w:w="922"/>
            <w:gridSpan w:val="2"/>
            <w:vMerge/>
          </w:tcPr>
          <w:p/>
        </w:tc>
        <w:tc>
          <w:tcPr>
            <w:tcW w:type="dxa" w:w="2307"/>
          </w:tcPr>
          <w:p>
            <w:pPr>
              <w:pStyle w:val="null3"/>
              <w:jc w:val="left"/>
            </w:pPr>
            <w:r>
              <w:rPr/>
              <w:t>服务质量保证措施 (5.0分)</w:t>
            </w:r>
          </w:p>
        </w:tc>
        <w:tc>
          <w:tcPr>
            <w:tcW w:type="dxa" w:w="5076"/>
          </w:tcPr>
          <w:p>
            <w:pPr>
              <w:pStyle w:val="null3"/>
              <w:jc w:val="left"/>
            </w:pPr>
            <w:r>
              <w:rPr/>
              <w:t>投标人提供服务质量保证措施（包括但不限于服务质量承诺、保修及优化服务方案等方面）是否具体、合理。 1）所提供保修及优化服务方案完整、详细、具体、可行性强的，具有完善的服务质量承诺，得5分； 2）所提供保修及优化服务方案不够周全详细、具体，但要点合理可行、基本契合项目实施的，具有基本的服务质量承诺，得3分； 3）所提供方案阐述简短有缺漏，但不影响整体方案实施的，得1分； 4）方案未提供的本项得0分。</w:t>
            </w:r>
          </w:p>
        </w:tc>
      </w:tr>
      <w:tr>
        <w:tc>
          <w:tcPr>
            <w:tcW w:type="dxa" w:w="922"/>
            <w:gridSpan w:val="2"/>
            <w:vMerge/>
          </w:tcPr>
          <w:p/>
        </w:tc>
        <w:tc>
          <w:tcPr>
            <w:tcW w:type="dxa" w:w="2307"/>
          </w:tcPr>
          <w:p>
            <w:pPr>
              <w:pStyle w:val="null3"/>
              <w:jc w:val="left"/>
            </w:pPr>
            <w:r>
              <w:rPr/>
              <w:t>管理措施 (5.0分)</w:t>
            </w:r>
          </w:p>
        </w:tc>
        <w:tc>
          <w:tcPr>
            <w:tcW w:type="dxa" w:w="5076"/>
          </w:tcPr>
          <w:p>
            <w:pPr>
              <w:pStyle w:val="null3"/>
              <w:jc w:val="left"/>
            </w:pPr>
            <w:r>
              <w:rPr/>
              <w:t>投标人提供管理措施方案（包括但不限于管理流程、制度、标准等是否规范和健全，是否能够有效保障项目按计划顺利实施等方面）。 1）所提供方案完整、详细、具体、可行性强的，有规范和健全的管理流程、制度、标准等，能够有效保障项目按计划顺利实施，得5分； 2）所提供方案不够周全详细、具体，但要点合理可行、基本契合需求，有基本的管理流程、制度、标准等，能够保障项目按计划顺利实施得3分； 3）所提供方案阐述简短有缺漏，但不影响整体方案实施且满足本项目需求的，得1分； 4）方案未提供的本项得0分。</w:t>
            </w:r>
          </w:p>
        </w:tc>
      </w:tr>
      <w:tr>
        <w:tc>
          <w:tcPr>
            <w:tcW w:type="dxa" w:w="922"/>
            <w:gridSpan w:val="2"/>
            <w:vMerge/>
          </w:tcPr>
          <w:p/>
        </w:tc>
        <w:tc>
          <w:tcPr>
            <w:tcW w:type="dxa" w:w="2307"/>
          </w:tcPr>
          <w:p>
            <w:pPr>
              <w:pStyle w:val="null3"/>
              <w:jc w:val="left"/>
            </w:pPr>
            <w:r>
              <w:rPr/>
              <w:t>应急措施 (5.0分)</w:t>
            </w:r>
          </w:p>
        </w:tc>
        <w:tc>
          <w:tcPr>
            <w:tcW w:type="dxa" w:w="5076"/>
          </w:tcPr>
          <w:p>
            <w:pPr>
              <w:pStyle w:val="null3"/>
              <w:jc w:val="left"/>
            </w:pPr>
            <w:r>
              <w:rPr/>
              <w:t>投标人提供应急措施方案（包括但不限于常见的风险、故障及预防措施等方面）。 1）能预判常见的风险，并提供完善的解决方案、故障及预防措施方案完整、详细、具体、可行性强的，得5分； 2）预判常见的风险方案不够周全详细、具体，但故障及预防措施方案要点合理可行、基本契合项目实施的，得3分； 3）没有提供常见的风险方案，故障及预防措施方案阐述简短有缺漏，但不影响整体项目实施的，得1分； 4）方案未提供的本项得0分。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同类项目服务经验情况 (6.0分)</w:t>
            </w:r>
          </w:p>
        </w:tc>
        <w:tc>
          <w:tcPr>
            <w:tcW w:type="dxa" w:w="5076"/>
          </w:tcPr>
          <w:p>
            <w:pPr>
              <w:pStyle w:val="null3"/>
              <w:jc w:val="left"/>
            </w:pPr>
            <w:r>
              <w:rPr/>
              <w:t>维保服务商提供2023年至今的全保合同业绩。每提供一份飞利浦Allura Xper FD20医用血管造影X射线系统全保合同业绩得0.5分，最高得6分。 注：须提供合同关键页复印件等相关证明材料；合同关键页指：合同封面、服务内容页及双方盖章页。同一项目不同年份的合同只计一次分值，不重复计算业绩分数。同一业主在同一采购项目中续签的合同不重复计分。</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维保服务商提供2023年至今的全保服务项目，获得项目用户评价为优秀、满意或相当于类似正面评价，每提供一份飞利浦Allura Xper FD20医用血管造影X射线系统全保服务项目正面评价得1分，最高得4分。 注：提供项目用户盖章的评价文件，不提供不得分。同一项目不同年份的评价只计一次分值，不重复计算分数。同一业主在同一采购项目中续签的评价不重复计分。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left"/>
      </w:pPr>
      <w:r>
        <w:rPr>
          <w:sz w:val="21"/>
          <w:b/>
        </w:rPr>
        <w:t>甲    方：</w:t>
      </w:r>
      <w:r>
        <w:rPr>
          <w:sz w:val="21"/>
          <w:b/>
          <w:u w:val="single"/>
        </w:rPr>
        <w:t xml:space="preserve">                 </w:t>
      </w:r>
    </w:p>
    <w:p>
      <w:pPr>
        <w:pStyle w:val="null3"/>
        <w:jc w:val="both"/>
      </w:pPr>
      <w:r>
        <w:rPr>
          <w:sz w:val="21"/>
        </w:rPr>
        <w:t>电    话：              传  真：           地  址：</w:t>
      </w:r>
    </w:p>
    <w:p>
      <w:pPr>
        <w:pStyle w:val="null3"/>
        <w:jc w:val="both"/>
      </w:pPr>
      <w:r>
        <w:rPr>
          <w:sz w:val="21"/>
          <w:b/>
        </w:rPr>
        <w:t>乙    方：</w:t>
      </w:r>
      <w:r>
        <w:rPr>
          <w:sz w:val="21"/>
          <w:b/>
          <w:u w:val="single"/>
        </w:rPr>
        <w:t xml:space="preserve">                  </w:t>
      </w:r>
      <w:r>
        <w:br/>
      </w:r>
      <w:r>
        <w:rPr>
          <w:sz w:val="21"/>
        </w:rPr>
        <w:t xml:space="preserve">电    话：                传  真：           地  址：   </w:t>
      </w:r>
    </w:p>
    <w:p>
      <w:pPr>
        <w:pStyle w:val="null3"/>
        <w:jc w:val="both"/>
      </w:pPr>
      <w:r>
        <w:rPr>
          <w:sz w:val="21"/>
        </w:rPr>
        <w:t xml:space="preserve">项目名称：                                   项目编号：  </w:t>
      </w:r>
    </w:p>
    <w:p>
      <w:pPr>
        <w:pStyle w:val="null3"/>
        <w:ind w:firstLine="420"/>
        <w:jc w:val="both"/>
      </w:pPr>
      <w:r>
        <w:rPr>
          <w:sz w:val="21"/>
        </w:rPr>
        <w:t>根据</w:t>
      </w:r>
      <w:r>
        <w:rPr>
          <w:sz w:val="21"/>
          <w:u w:val="single"/>
        </w:rPr>
        <w:t xml:space="preserve">              </w:t>
      </w:r>
      <w:r>
        <w:rPr>
          <w:sz w:val="21"/>
        </w:rPr>
        <w:t>项目的招标结果，按照《中华人民共和国</w:t>
      </w:r>
      <w:r>
        <w:rPr>
          <w:sz w:val="21"/>
        </w:rPr>
        <w:t>政府采购</w:t>
      </w:r>
      <w:r>
        <w:rPr>
          <w:sz w:val="21"/>
        </w:rPr>
        <w:t>法》《中华人民共和国</w:t>
      </w:r>
      <w:r>
        <w:rPr>
          <w:sz w:val="21"/>
        </w:rPr>
        <w:t>民法典</w:t>
      </w:r>
      <w:r>
        <w:rPr>
          <w:sz w:val="21"/>
        </w:rPr>
        <w:t>》  的规定，</w:t>
      </w:r>
      <w:r>
        <w:rPr>
          <w:sz w:val="21"/>
        </w:rPr>
        <w:t>经双方协商，</w:t>
      </w:r>
      <w:r>
        <w:rPr>
          <w:sz w:val="21"/>
        </w:rPr>
        <w:t>本着平等互利和诚实信用的原则，</w:t>
      </w:r>
      <w:r>
        <w:rPr>
          <w:sz w:val="21"/>
        </w:rPr>
        <w:t>一致同意签订本合同如下</w:t>
      </w:r>
      <w:r>
        <w:rPr>
          <w:sz w:val="21"/>
        </w:rPr>
        <w:t>。</w:t>
      </w:r>
    </w:p>
    <w:p>
      <w:pPr>
        <w:pStyle w:val="null3"/>
        <w:jc w:val="both"/>
      </w:pPr>
      <w:r>
        <w:rPr>
          <w:sz w:val="21"/>
          <w:b/>
        </w:rPr>
        <w:t>一</w:t>
      </w:r>
      <w:r>
        <w:rPr>
          <w:sz w:val="21"/>
          <w:b/>
        </w:rPr>
        <w:t>、服务范围</w:t>
      </w:r>
    </w:p>
    <w:p>
      <w:pPr>
        <w:pStyle w:val="null3"/>
        <w:ind w:left="15"/>
        <w:jc w:val="both"/>
      </w:pPr>
      <w:r>
        <w:rPr>
          <w:sz w:val="21"/>
        </w:rPr>
        <w:t>　乙方负责向甲方供应下表中所列设备的保修服务。</w:t>
      </w:r>
    </w:p>
    <w:tbl>
      <w:tblPr>
        <w:tblW w:w="0" w:type="auto"/>
        <w:tblBorders>
          <w:top w:val="none" w:color="000000" w:sz="4"/>
          <w:left w:val="none" w:color="000000" w:sz="4"/>
          <w:bottom w:val="none" w:color="000000" w:sz="4"/>
          <w:right w:val="none" w:color="000000" w:sz="4"/>
          <w:insideH w:val="none"/>
          <w:insideV w:val="none"/>
        </w:tblBorders>
      </w:tblPr>
      <w:tblGrid>
        <w:gridCol w:w="1100"/>
        <w:gridCol w:w="861"/>
        <w:gridCol w:w="1510"/>
        <w:gridCol w:w="1179"/>
        <w:gridCol w:w="914"/>
        <w:gridCol w:w="1484"/>
        <w:gridCol w:w="1258"/>
      </w:tblGrid>
      <w:tr>
        <w:tc>
          <w:tcPr>
            <w:tcW w:type="dxa" w:w="1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品名</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厂家</w:t>
            </w:r>
          </w:p>
        </w:tc>
        <w:tc>
          <w:tcPr>
            <w:tcW w:type="dxa" w:w="1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规格型号</w:t>
            </w:r>
          </w:p>
        </w:tc>
        <w:tc>
          <w:tcPr>
            <w:tcW w:type="dxa" w:w="1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序列号</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单位</w:t>
            </w:r>
          </w:p>
        </w:tc>
        <w:tc>
          <w:tcPr>
            <w:tcW w:type="dxa" w:w="1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数量</w:t>
            </w:r>
          </w:p>
        </w:tc>
        <w:tc>
          <w:tcPr>
            <w:tcW w:type="dxa" w:w="1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包含配件</w:t>
            </w:r>
          </w:p>
        </w:tc>
      </w:tr>
      <w:tr>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ind w:left="15"/>
              <w:jc w:val="center"/>
            </w:pP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w:t>
      </w:r>
      <w:r>
        <w:rPr>
          <w:sz w:val="21"/>
          <w:b/>
        </w:rPr>
        <w:t>、甲方乙方的权利和义务</w:t>
      </w:r>
    </w:p>
    <w:p>
      <w:pPr>
        <w:pStyle w:val="null3"/>
        <w:jc w:val="both"/>
      </w:pPr>
      <w:r>
        <w:rPr>
          <w:sz w:val="21"/>
        </w:rPr>
        <w:t>（一） 甲方的权利和义务</w:t>
      </w:r>
      <w:r>
        <w:rPr>
          <w:sz w:val="21"/>
        </w:rPr>
        <w:t>：</w:t>
      </w:r>
    </w:p>
    <w:p>
      <w:pPr>
        <w:pStyle w:val="null3"/>
        <w:jc w:val="both"/>
      </w:pPr>
      <w:r>
        <w:rPr>
          <w:sz w:val="21"/>
        </w:rPr>
        <w:t>（二） 乙方的权利和义务</w:t>
      </w:r>
      <w:r>
        <w:rPr>
          <w:sz w:val="21"/>
        </w:rPr>
        <w:t>：</w:t>
      </w:r>
    </w:p>
    <w:p>
      <w:pPr>
        <w:pStyle w:val="null3"/>
        <w:jc w:val="both"/>
      </w:pPr>
      <w:r>
        <w:rPr>
          <w:sz w:val="21"/>
          <w:b/>
        </w:rPr>
        <w:t>三</w:t>
      </w:r>
      <w:r>
        <w:rPr>
          <w:sz w:val="21"/>
          <w:b/>
        </w:rPr>
        <w:t>、服务期间（项目完成期限）</w:t>
      </w:r>
    </w:p>
    <w:p>
      <w:pPr>
        <w:pStyle w:val="null3"/>
        <w:jc w:val="both"/>
      </w:pPr>
      <w:r>
        <w:rPr>
          <w:sz w:val="21"/>
        </w:rPr>
        <w:t>1.委托服务期间自</w:t>
      </w:r>
      <w:r>
        <w:rPr>
          <w:sz w:val="21"/>
          <w:u w:val="single"/>
        </w:rPr>
        <w:t xml:space="preserve">      </w:t>
      </w:r>
      <w:r>
        <w:rPr>
          <w:sz w:val="21"/>
        </w:rPr>
        <w:t>年</w:t>
      </w:r>
      <w:r>
        <w:rPr>
          <w:sz w:val="21"/>
          <w:u w:val="single"/>
        </w:rPr>
        <w:t xml:space="preserve">      </w:t>
      </w:r>
      <w:r>
        <w:rPr>
          <w:sz w:val="21"/>
        </w:rPr>
        <w:t>月至</w:t>
      </w:r>
      <w:r>
        <w:rPr>
          <w:sz w:val="21"/>
          <w:u w:val="single"/>
        </w:rPr>
        <w:t xml:space="preserve">     </w:t>
      </w:r>
      <w:r>
        <w:rPr>
          <w:sz w:val="21"/>
        </w:rPr>
        <w:t>年</w:t>
      </w:r>
      <w:r>
        <w:rPr>
          <w:sz w:val="21"/>
          <w:u w:val="single"/>
        </w:rPr>
        <w:t xml:space="preserve">      </w:t>
      </w:r>
      <w:r>
        <w:rPr>
          <w:sz w:val="21"/>
        </w:rPr>
        <w:t>月止。</w:t>
      </w:r>
    </w:p>
    <w:p>
      <w:pPr>
        <w:pStyle w:val="null3"/>
        <w:ind w:left="15"/>
        <w:jc w:val="both"/>
      </w:pPr>
      <w:r>
        <w:rPr>
          <w:sz w:val="21"/>
          <w:b/>
        </w:rPr>
        <w:t>四、合同总金额</w:t>
      </w:r>
      <w:r>
        <w:rPr>
          <w:sz w:val="21"/>
          <w:b/>
        </w:rPr>
        <w:t>：</w:t>
      </w:r>
    </w:p>
    <w:p>
      <w:pPr>
        <w:pStyle w:val="null3"/>
        <w:ind w:left="15"/>
        <w:jc w:val="both"/>
      </w:pPr>
      <w:r>
        <w:rPr>
          <w:sz w:val="21"/>
        </w:rPr>
        <w:t>1</w:t>
      </w:r>
      <w:r>
        <w:rPr>
          <w:sz w:val="21"/>
        </w:rPr>
        <w:t>.合同</w:t>
      </w:r>
      <w:r>
        <w:rPr>
          <w:sz w:val="21"/>
        </w:rPr>
        <w:t>总</w:t>
      </w:r>
      <w:r>
        <w:rPr>
          <w:sz w:val="21"/>
        </w:rPr>
        <w:t>金额：</w:t>
      </w:r>
      <w:r>
        <w:rPr>
          <w:sz w:val="21"/>
        </w:rPr>
        <w:t>（大写）：人民币</w:t>
      </w:r>
      <w:r>
        <w:rPr>
          <w:sz w:val="21"/>
          <w:u w:val="single"/>
        </w:rPr>
        <w:t xml:space="preserve">                  </w:t>
      </w:r>
      <w:r>
        <w:rPr>
          <w:sz w:val="21"/>
        </w:rPr>
        <w:t>元（</w:t>
      </w:r>
      <w:r>
        <w:rPr>
          <w:sz w:val="21"/>
        </w:rPr>
        <w:t>小写：</w:t>
      </w:r>
      <w:r>
        <w:rPr>
          <w:sz w:val="21"/>
        </w:rPr>
        <w:t>￥</w:t>
      </w:r>
      <w:r>
        <w:rPr>
          <w:sz w:val="21"/>
          <w:u w:val="single"/>
        </w:rPr>
        <w:t xml:space="preserve">                     </w:t>
      </w:r>
      <w:r>
        <w:rPr>
          <w:sz w:val="21"/>
        </w:rPr>
        <w:t>）</w:t>
      </w:r>
    </w:p>
    <w:p>
      <w:pPr>
        <w:pStyle w:val="null3"/>
        <w:ind w:left="15"/>
        <w:jc w:val="both"/>
      </w:pPr>
      <w:r>
        <w:rPr>
          <w:sz w:val="21"/>
        </w:rPr>
        <w:t xml:space="preserve">2. </w:t>
      </w:r>
      <w:r>
        <w:rPr>
          <w:sz w:val="21"/>
        </w:rPr>
        <w:t>该合同总金额是包括、零配件、检测费、人工费、差旅费、人员培训费等维修期间发生的含税费用。本合同执行期间合同总金额不变。</w:t>
      </w:r>
    </w:p>
    <w:p>
      <w:pPr>
        <w:pStyle w:val="null3"/>
        <w:jc w:val="both"/>
      </w:pPr>
      <w:r>
        <w:rPr>
          <w:sz w:val="21"/>
          <w:b/>
        </w:rPr>
        <w:t>五、  付款方式</w:t>
      </w:r>
    </w:p>
    <w:p>
      <w:pPr>
        <w:pStyle w:val="null3"/>
        <w:jc w:val="both"/>
      </w:pPr>
      <w:r>
        <w:rPr>
          <w:sz w:val="21"/>
        </w:rPr>
        <w:t>用分期付款方式，合同签订后1</w:t>
      </w:r>
      <w:r>
        <w:rPr>
          <w:sz w:val="21"/>
        </w:rPr>
        <w:t>5</w:t>
      </w:r>
      <w:r>
        <w:rPr>
          <w:sz w:val="21"/>
        </w:rPr>
        <w:t>天内先支付15%的合同款作为首期维保服务款，余款分6期支付，每6个月支付一次，即合同签订后的第7个月内支付第2期款，合同签订后的第13个月内支付第3期款，以此类推。第2期至第6期的付款比例为14%，第7期的付款比例为15%。</w:t>
      </w:r>
    </w:p>
    <w:p>
      <w:pPr>
        <w:pStyle w:val="null3"/>
        <w:jc w:val="both"/>
      </w:pPr>
      <w:r>
        <w:rPr>
          <w:sz w:val="21"/>
          <w:b/>
        </w:rPr>
        <w:t>六、知识产权产权归属</w:t>
      </w:r>
    </w:p>
    <w:p>
      <w:pPr>
        <w:pStyle w:val="null3"/>
        <w:jc w:val="both"/>
      </w:pPr>
      <w:r>
        <w:rPr>
          <w:sz w:val="21"/>
        </w:rPr>
        <w:t>乙方对其所销售的货物应当享有知识产权或经权利人合法授权，保证没有侵犯任何第三人的知识产权等权利。因违反前述约定对第三人构成侵权的，应当由乙方向第三人承担一切法律责任；如导致甲方需要直接向权利人赔偿的,则在甲方依法向第三人赔偿后，有权向乙方追偿。甲方由此产生的其他损失（包括但不限于已赔偿案件所需要承担的诉讼费用、已赔付款项按照同时期LPR计算的资金占用费、律师费、差旅费、调查费用等），乙方应当立即赔偿。</w:t>
      </w:r>
    </w:p>
    <w:p>
      <w:pPr>
        <w:pStyle w:val="null3"/>
        <w:jc w:val="both"/>
      </w:pPr>
      <w:r>
        <w:rPr>
          <w:sz w:val="21"/>
          <w:b/>
        </w:rPr>
        <w:t>七、保密</w:t>
      </w:r>
    </w:p>
    <w:p>
      <w:pPr>
        <w:pStyle w:val="null3"/>
        <w:jc w:val="both"/>
      </w:pPr>
      <w:r>
        <w:rPr>
          <w:sz w:val="21"/>
        </w:rPr>
        <w:t>任何一方对本合同的内容以及在履行本合同过程中所知悉的对方的经营、财务、技术等商业秘密及个人信息（包括患者的个人信息、检查记录）应严格保密，未经对方书面同意不得向任何第三方公开或泄露。此保密义务不限于本合同有效期限内，直至该保密信息由信息所有权人向社会合法公开时止。乙方及其员工在履行本合同期间，对所获悉的一切甲方设备和其他相关数据信息负有保密义务，不能作其他商业或非法用途，如有泄露或擅自使用或允许他人使用甲方信息引起的相关损失及法律责任由乙方承担，甲方有权中止合同并有权追究乙方由此产生的一切法律责任，乙方应赔偿不低于本合同总价5%以上的违约金。</w:t>
      </w:r>
    </w:p>
    <w:p>
      <w:pPr>
        <w:pStyle w:val="null3"/>
        <w:ind w:left="195" w:firstLine="200"/>
        <w:jc w:val="both"/>
      </w:pPr>
      <w:r>
        <w:rPr>
          <w:sz w:val="21"/>
          <w:b/>
        </w:rPr>
        <w:t>八、违约责任与赔偿损失</w:t>
      </w:r>
    </w:p>
    <w:p>
      <w:pPr>
        <w:pStyle w:val="null3"/>
        <w:jc w:val="both"/>
      </w:pPr>
      <w:r>
        <w:rPr>
          <w:sz w:val="21"/>
        </w:rPr>
        <w:t>1</w:t>
      </w:r>
      <w:r>
        <w:rPr>
          <w:sz w:val="21"/>
        </w:rPr>
        <w:t>）</w:t>
      </w:r>
      <w:r>
        <w:rPr>
          <w:sz w:val="21"/>
        </w:rPr>
        <w:t xml:space="preserve"> 乙方提供的服务不符合招标文件、报价文件或本合同规定的，甲方有权拒收，并且乙方须向甲方方支付本合同总价5%的违约金。</w:t>
      </w:r>
    </w:p>
    <w:p>
      <w:pPr>
        <w:pStyle w:val="null3"/>
        <w:jc w:val="both"/>
      </w:pPr>
      <w:r>
        <w:rPr>
          <w:sz w:val="21"/>
        </w:rPr>
        <w:t>2</w:t>
      </w:r>
      <w:r>
        <w:rPr>
          <w:sz w:val="21"/>
        </w:rPr>
        <w:t>）</w:t>
      </w:r>
      <w:r>
        <w:rPr>
          <w:sz w:val="21"/>
        </w:rPr>
        <w:t xml:space="preserve"> 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1"/>
        </w:rPr>
        <w:t>3</w:t>
      </w:r>
      <w:r>
        <w:rPr>
          <w:sz w:val="21"/>
        </w:rPr>
        <w:t>）</w:t>
      </w:r>
      <w:r>
        <w:rPr>
          <w:sz w:val="21"/>
        </w:rPr>
        <w:t xml:space="preserve"> 甲方无正当理由拒收接受服务，到期拒付服务款项的，甲方向乙方偿付本合同总的5%的违约金。甲方人逾期付款，则每日按本合同总价的3‰向乙方偿付违约金。</w:t>
      </w:r>
    </w:p>
    <w:p>
      <w:pPr>
        <w:pStyle w:val="null3"/>
        <w:jc w:val="both"/>
      </w:pPr>
      <w:r>
        <w:rPr>
          <w:sz w:val="21"/>
        </w:rPr>
        <w:t>4</w:t>
      </w:r>
      <w:r>
        <w:rPr>
          <w:sz w:val="21"/>
        </w:rPr>
        <w:t>）</w:t>
      </w:r>
      <w:r>
        <w:rPr>
          <w:sz w:val="21"/>
        </w:rPr>
        <w:t xml:space="preserve"> 其它违约责任按《中华人民共和国</w:t>
      </w:r>
      <w:r>
        <w:rPr>
          <w:sz w:val="21"/>
        </w:rPr>
        <w:t>民法典</w:t>
      </w:r>
      <w:r>
        <w:rPr>
          <w:sz w:val="21"/>
        </w:rPr>
        <w:t>》处理。</w:t>
      </w:r>
    </w:p>
    <w:p>
      <w:pPr>
        <w:pStyle w:val="null3"/>
        <w:jc w:val="both"/>
      </w:pPr>
      <w:r>
        <w:rPr>
          <w:sz w:val="21"/>
          <w:b/>
        </w:rPr>
        <w:t>九、争端的解决</w:t>
      </w:r>
    </w:p>
    <w:p>
      <w:pPr>
        <w:pStyle w:val="null3"/>
        <w:ind w:firstLine="420"/>
        <w:jc w:val="both"/>
      </w:pPr>
      <w:r>
        <w:rPr>
          <w:sz w:val="21"/>
        </w:rPr>
        <w:t>合同执行过程中发生的任何争议，如双方不能通过友好协商解决，按相关法律法规提交合同履行地（即甲方所在地）法院处理。</w:t>
      </w:r>
    </w:p>
    <w:p>
      <w:pPr>
        <w:pStyle w:val="null3"/>
        <w:jc w:val="both"/>
      </w:pPr>
      <w:r>
        <w:rPr>
          <w:sz w:val="21"/>
          <w:b/>
        </w:rPr>
        <w:t>十、不可抗力：</w:t>
      </w: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十一、税费：</w:t>
      </w:r>
      <w:r>
        <w:rPr>
          <w:sz w:val="21"/>
        </w:rPr>
        <w:t>在中国境内、外发生的与本合同执行有关的一切税费均由乙方负担。</w:t>
      </w:r>
    </w:p>
    <w:p>
      <w:pPr>
        <w:pStyle w:val="null3"/>
        <w:jc w:val="both"/>
      </w:pPr>
      <w:r>
        <w:rPr>
          <w:sz w:val="21"/>
          <w:b/>
        </w:rPr>
        <w:t>十二、其它</w:t>
      </w:r>
    </w:p>
    <w:p>
      <w:pPr>
        <w:pStyle w:val="null3"/>
        <w:jc w:val="both"/>
      </w:pPr>
      <w:r>
        <w:rPr>
          <w:sz w:val="21"/>
        </w:rPr>
        <w:t>1</w:t>
      </w:r>
      <w:r>
        <w:rPr>
          <w:sz w:val="21"/>
        </w:rPr>
        <w:t>）</w:t>
      </w:r>
      <w:r>
        <w:rPr>
          <w:sz w:val="21"/>
        </w:rPr>
        <w:t xml:space="preserve"> 本合同所有附件、招标文件、投标文件、中标通知书均为合同的有效组成部分，与本合同具有同等法律效力。</w:t>
      </w:r>
    </w:p>
    <w:p>
      <w:pPr>
        <w:pStyle w:val="null3"/>
        <w:jc w:val="both"/>
      </w:pPr>
      <w:r>
        <w:rPr>
          <w:sz w:val="21"/>
        </w:rPr>
        <w:t>2</w:t>
      </w:r>
      <w:r>
        <w:rPr>
          <w:sz w:val="21"/>
        </w:rPr>
        <w:t>）</w:t>
      </w:r>
      <w:r>
        <w:rPr>
          <w:sz w:val="21"/>
        </w:rPr>
        <w:t xml:space="preserve"> </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w:t>
      </w:r>
      <w:r>
        <w:rPr>
          <w:sz w:val="21"/>
        </w:rPr>
        <w:t xml:space="preserve"> 如一方地址、电话、传真号码有变更，应在变更当日内书面通知对方，否则，应承担相应责任。</w:t>
      </w:r>
    </w:p>
    <w:p>
      <w:pPr>
        <w:pStyle w:val="null3"/>
        <w:jc w:val="both"/>
      </w:pPr>
      <w:r>
        <w:rPr>
          <w:sz w:val="21"/>
        </w:rPr>
        <w:t>4</w:t>
      </w:r>
      <w:r>
        <w:rPr>
          <w:sz w:val="21"/>
        </w:rPr>
        <w:t>）</w:t>
      </w:r>
      <w:r>
        <w:rPr>
          <w:sz w:val="21"/>
        </w:rPr>
        <w:t xml:space="preserve"> 除甲方事先书面同意外，乙方不得部分或全部转让其应履行的合同项下的义务。</w:t>
      </w:r>
    </w:p>
    <w:p>
      <w:pPr>
        <w:pStyle w:val="null3"/>
        <w:jc w:val="both"/>
      </w:pPr>
      <w:r>
        <w:rPr>
          <w:sz w:val="21"/>
          <w:b/>
        </w:rPr>
        <w:t>十三、合同生效：</w:t>
      </w:r>
    </w:p>
    <w:p>
      <w:pPr>
        <w:pStyle w:val="null3"/>
        <w:jc w:val="both"/>
      </w:pPr>
      <w:r>
        <w:rPr>
          <w:sz w:val="21"/>
        </w:rPr>
        <w:t>1）本合同在甲乙双方法人代表或其授权代表签字盖章后生效。</w:t>
      </w:r>
    </w:p>
    <w:p>
      <w:pPr>
        <w:pStyle w:val="null3"/>
        <w:jc w:val="both"/>
      </w:pPr>
      <w:r>
        <w:rPr>
          <w:sz w:val="21"/>
        </w:rPr>
        <w:t>2）合同一式</w:t>
      </w:r>
      <w:r>
        <w:rPr>
          <w:sz w:val="21"/>
          <w:u w:val="single"/>
        </w:rPr>
        <w:t xml:space="preserve">    </w:t>
      </w:r>
      <w:r>
        <w:rPr>
          <w:sz w:val="21"/>
        </w:rPr>
        <w:t>份。</w:t>
      </w:r>
    </w:p>
    <w:p>
      <w:pPr>
        <w:pStyle w:val="null3"/>
        <w:jc w:val="both"/>
      </w:pPr>
      <w:r>
        <w:rPr>
          <w:sz w:val="21"/>
          <w:b/>
        </w:rPr>
        <w:t>甲方（盖章）：                                                      乙方（盖章）：</w:t>
      </w:r>
    </w:p>
    <w:p>
      <w:pPr>
        <w:pStyle w:val="null3"/>
        <w:jc w:val="both"/>
      </w:pPr>
      <w:r>
        <w:rPr>
          <w:sz w:val="21"/>
          <w:b/>
        </w:rPr>
        <w:t>代表：                                                                   代表：</w:t>
      </w:r>
    </w:p>
    <w:p>
      <w:pPr>
        <w:pStyle w:val="null3"/>
        <w:jc w:val="both"/>
      </w:pPr>
      <w:r>
        <w:rPr>
          <w:sz w:val="21"/>
        </w:rPr>
        <w:t>签定地点：</w:t>
      </w:r>
    </w:p>
    <w:p>
      <w:pPr>
        <w:pStyle w:val="null3"/>
        <w:jc w:val="both"/>
      </w:pPr>
      <w:r>
        <w:rPr>
          <w:sz w:val="21"/>
        </w:rPr>
        <w:t xml:space="preserve">签定日期：        年     月    日                                  签定日期：        年     月     日    </w:t>
      </w:r>
    </w:p>
    <w:p>
      <w:pPr>
        <w:pStyle w:val="null3"/>
        <w:ind w:firstLine="4830"/>
        <w:jc w:val="both"/>
      </w:pPr>
      <w:r>
        <w:rPr>
          <w:sz w:val="21"/>
        </w:rPr>
        <w:t>开户名称：</w:t>
      </w:r>
    </w:p>
    <w:p>
      <w:pPr>
        <w:pStyle w:val="null3"/>
        <w:ind w:firstLine="4830"/>
        <w:jc w:val="both"/>
      </w:pPr>
      <w:r>
        <w:rPr>
          <w:sz w:val="21"/>
        </w:rPr>
        <w:t>银行帐号：</w:t>
      </w:r>
    </w:p>
    <w:p>
      <w:pPr>
        <w:pStyle w:val="null3"/>
        <w:ind w:firstLine="4830"/>
        <w:jc w:val="both"/>
      </w:pPr>
      <w:r>
        <w:rPr>
          <w:sz w:val="21"/>
        </w:rPr>
        <w:t>开 户 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440513-2026-01258</w:t>
      </w:r>
    </w:p>
    <w:p>
      <w:pPr>
        <w:pStyle w:val="null3"/>
        <w:jc w:val="center"/>
        <w:outlineLvl w:val="3"/>
      </w:pPr>
      <w:r>
        <w:rPr>
          <w:sz w:val="24"/>
          <w:b/>
        </w:rPr>
        <w:t>采购项目编号：</w:t>
      </w:r>
      <w:r>
        <w:rPr>
          <w:sz w:val="24"/>
          <w:b/>
        </w:rPr>
        <w:t>0724-2631ST643133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汕头市潮阳区大峰医院医疗设备维保服务项目</w:t>
      </w:r>
      <w:r>
        <w:rPr>
          <w:u w:val="single"/>
        </w:rPr>
        <w:t>”</w:t>
      </w:r>
      <w:r>
        <w:rPr/>
        <w:t>项目的招标[采购项目编号为：</w:t>
      </w:r>
      <w:r>
        <w:rPr>
          <w:u w:val="single"/>
        </w:rPr>
        <w:t>0724-2631ST643133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汕头市潮阳区大峰医院医疗设备维保服务项目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汕头市潮阳区大峰医院医疗设备维保服务项目</w:t>
      </w:r>
      <w:r>
        <w:rPr/>
        <w:t>”项目采购[采购项目编号为</w:t>
      </w:r>
      <w:r>
        <w:rPr/>
        <w:t>0724-2631ST643133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汕头市潮阳区大峰医院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汕头市潮阳区大峰医院医疗设备维保服务项目</w:t>
      </w:r>
      <w:r>
        <w:rPr/>
        <w:t>招标中获中标（采购项目编号：</w:t>
      </w:r>
      <w:r>
        <w:rPr/>
        <w:t>0724-2631ST643133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汕头市潮阳区大峰医院医疗设备维保服务项目</w:t>
      </w:r>
      <w:r>
        <w:rPr/>
        <w:t>”项目（采购项目编号：</w:t>
      </w:r>
      <w:r>
        <w:rPr/>
        <w:t>0724-2631ST643133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