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440513-2026-00066</w:t>
      </w:r>
    </w:p>
    <w:p>
      <w:pPr>
        <w:pStyle w:val="null3"/>
        <w:jc w:val="center"/>
        <w:outlineLvl w:val="3"/>
      </w:pPr>
      <w:r>
        <w:rPr>
          <w:sz w:val="24"/>
          <w:b/>
        </w:rPr>
        <w:t>采购项目编号：</w:t>
      </w:r>
      <w:r>
        <w:rPr>
          <w:sz w:val="24"/>
          <w:b/>
        </w:rPr>
        <w:t>0724-2631ST640586</w:t>
      </w:r>
    </w:p>
    <w:p>
      <w:pPr>
        <w:pStyle w:val="null3"/>
        <w:jc w:val="center"/>
        <w:outlineLvl w:val="3"/>
      </w:pPr>
      <w:r>
        <w:rPr>
          <w:sz w:val="24"/>
          <w:b/>
        </w:rPr>
        <w:t>项目名称：</w:t>
      </w:r>
      <w:r>
        <w:rPr>
          <w:sz w:val="24"/>
          <w:b/>
        </w:rPr>
        <w:t>汕头市潮阳区大峰医院医疗设备维保服务项目</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汕头市潮阳区大峰医院医疗设备维保服务项目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汕头市潮阳区大峰医院医疗设备维保服务项目</w:t>
      </w:r>
    </w:p>
    <w:p>
      <w:pPr>
        <w:pStyle w:val="null3"/>
        <w:ind w:firstLine="480"/>
      </w:pPr>
      <w:r>
        <w:rPr/>
        <w:t>采购计划编号：</w:t>
      </w:r>
      <w:r>
        <w:rPr/>
        <w:t>440513-2026-00066</w:t>
      </w:r>
    </w:p>
    <w:p>
      <w:pPr>
        <w:pStyle w:val="null3"/>
        <w:ind w:firstLine="480"/>
      </w:pPr>
      <w:r>
        <w:rPr/>
        <w:t>采购项目编号：</w:t>
      </w:r>
      <w:r>
        <w:rPr/>
        <w:t>0724-2631ST640586</w:t>
      </w:r>
    </w:p>
    <w:p>
      <w:pPr>
        <w:pStyle w:val="null3"/>
        <w:ind w:firstLine="480"/>
      </w:pPr>
      <w:r>
        <w:rPr/>
        <w:t>采购方式：</w:t>
      </w:r>
      <w:r>
        <w:rPr/>
        <w:t>公开招标</w:t>
      </w:r>
    </w:p>
    <w:p>
      <w:pPr>
        <w:pStyle w:val="null3"/>
        <w:ind w:firstLine="480"/>
      </w:pPr>
      <w:r>
        <w:rPr/>
        <w:t>预算金额：</w:t>
      </w:r>
      <w:r>
        <w:rPr/>
        <w:t>7,150,000.00</w:t>
      </w:r>
      <w:r>
        <w:rPr/>
        <w:t>元</w:t>
      </w:r>
    </w:p>
    <w:p>
      <w:pPr>
        <w:pStyle w:val="null3"/>
        <w:outlineLvl w:val="3"/>
      </w:pPr>
      <w:r>
        <w:rPr>
          <w:sz w:val="24"/>
          <w:b/>
        </w:rPr>
        <w:t>2.项目内容及需求情况（采购项目技术规格、参数及要求）</w:t>
      </w:r>
    </w:p>
    <w:p>
      <w:pPr>
        <w:pStyle w:val="null3"/>
      </w:pPr>
      <w:r>
        <w:rPr/>
        <w:t>采购包1(CT机维保服务（3年）):</w:t>
      </w:r>
    </w:p>
    <w:p>
      <w:pPr>
        <w:pStyle w:val="null3"/>
      </w:pPr>
      <w:r>
        <w:rPr/>
        <w:t>采购包预算金额：7,150,000.00元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CT机维保服务（3年）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采购包1（CT机维保服务（3年））：</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采购包1（CT机维保服务（3年））：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3)投标人需具备有效的《辐射安全许可证》。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0754-82275007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3121"/>
        <w:gridCol w:w="1371"/>
        <w:gridCol w:w="2072"/>
      </w:tblGrid>
      <w:tr>
        <w:tc>
          <w:tcPr>
            <w:tcW w:type="dxa" w:w="312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标的名称</w:t>
            </w:r>
          </w:p>
        </w:tc>
        <w:tc>
          <w:tcPr>
            <w:tcW w:type="dxa" w:w="137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数量</w:t>
            </w:r>
          </w:p>
        </w:tc>
        <w:tc>
          <w:tcPr>
            <w:tcW w:type="dxa" w:w="207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最高采购限价</w:t>
            </w:r>
          </w:p>
        </w:tc>
      </w:tr>
      <w:tr>
        <w:tc>
          <w:tcPr>
            <w:tcW w:type="dxa" w:w="312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CT机维保服务（3年）</w:t>
            </w:r>
          </w:p>
        </w:tc>
        <w:tc>
          <w:tcPr>
            <w:tcW w:type="dxa" w:w="137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r>
              <w:rPr>
                <w:sz w:val="21"/>
              </w:rPr>
              <w:t>项</w:t>
            </w:r>
          </w:p>
        </w:tc>
        <w:tc>
          <w:tcPr>
            <w:tcW w:type="dxa" w:w="207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人民币</w:t>
            </w:r>
            <w:r>
              <w:rPr>
                <w:sz w:val="21"/>
              </w:rPr>
              <w:t>715</w:t>
            </w:r>
            <w:r>
              <w:rPr>
                <w:sz w:val="21"/>
              </w:rPr>
              <w:t>万元</w:t>
            </w:r>
          </w:p>
        </w:tc>
      </w:tr>
    </w:tbl>
    <w:p>
      <w:pPr>
        <w:pStyle w:val="null3"/>
        <w:ind w:firstLine="420"/>
        <w:jc w:val="both"/>
      </w:pPr>
      <w:r>
        <w:rPr>
          <w:sz w:val="21"/>
        </w:rPr>
        <w:t>详细技术规范以用户需求书为准。投标人必须对本项目的全部内容进行投标报价，如有缺漏或超出最高</w:t>
      </w:r>
      <w:r>
        <w:rPr>
          <w:sz w:val="21"/>
        </w:rPr>
        <w:t>采购</w:t>
      </w:r>
      <w:r>
        <w:rPr>
          <w:sz w:val="21"/>
        </w:rPr>
        <w:t>限价，将导致投标无效。</w:t>
      </w:r>
    </w:p>
    <w:p>
      <w:pPr>
        <w:pStyle w:val="null3"/>
        <w:ind w:firstLine="420"/>
        <w:jc w:val="both"/>
      </w:pPr>
      <w:r>
        <w:rPr>
          <w:sz w:val="21"/>
        </w:rPr>
        <w:t>2．服务时间：采购人指定时间</w:t>
      </w:r>
    </w:p>
    <w:p>
      <w:pPr>
        <w:pStyle w:val="null3"/>
        <w:ind w:firstLine="420"/>
        <w:jc w:val="both"/>
      </w:pPr>
      <w:r>
        <w:rPr>
          <w:sz w:val="21"/>
        </w:rPr>
        <w:t>3．服务地点：采购人指定地点</w:t>
      </w:r>
    </w:p>
    <w:p>
      <w:pPr>
        <w:pStyle w:val="null3"/>
        <w:ind w:firstLine="420"/>
        <w:jc w:val="both"/>
      </w:pPr>
      <w:r>
        <w:rPr>
          <w:sz w:val="21"/>
        </w:rPr>
        <w:t>4. 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ind w:firstLine="420"/>
        <w:jc w:val="both"/>
      </w:pPr>
      <w:r>
        <w:rPr>
          <w:sz w:val="21"/>
        </w:rPr>
        <w:t>5. 供应商提供《中小企业声明函》内容不实的，属于“隐瞒真实情况，提供虚假资料的”情形，依照《中华人民共和国政府采购法》及其实施条例等有关法律法规规定追究相应责任。</w:t>
      </w:r>
    </w:p>
    <w:p>
      <w:pPr>
        <w:pStyle w:val="null3"/>
        <w:ind w:firstLine="420"/>
        <w:jc w:val="both"/>
      </w:pPr>
      <w:r>
        <w:rPr>
          <w:sz w:val="21"/>
        </w:rPr>
        <w:t>6.对符合本国产品标准的产品给予价格扣除：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ind w:firstLine="420"/>
        <w:jc w:val="both"/>
      </w:pPr>
      <w:r>
        <w:rPr>
          <w:sz w:val="21"/>
        </w:rPr>
        <w:t>（</w:t>
      </w:r>
      <w:r>
        <w:rPr>
          <w:sz w:val="21"/>
        </w:rPr>
        <w:t>1）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20"/>
        <w:jc w:val="both"/>
      </w:pPr>
      <w:r>
        <w:rPr>
          <w:sz w:val="21"/>
        </w:rPr>
        <w:t>（</w:t>
      </w:r>
      <w:r>
        <w:rPr>
          <w:sz w:val="21"/>
        </w:rPr>
        <w:t>2）准确界定产品在中国境内生产。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20"/>
        <w:jc w:val="both"/>
      </w:pPr>
      <w:r>
        <w:rPr>
          <w:sz w:val="21"/>
        </w:rPr>
        <w:t>（</w:t>
      </w:r>
      <w:r>
        <w:rPr>
          <w:sz w:val="21"/>
        </w:rPr>
        <w:t>3）对本国产品的支持政策。政府采购活动中既有本国产品又有非本国产品参与竞争的，依法对本国产品给予价格评审优惠，对本国产品的报价给予20%的价格扣除，用扣除后的价格参与评审。</w:t>
      </w:r>
    </w:p>
    <w:p>
      <w:pPr>
        <w:pStyle w:val="null3"/>
        <w:ind w:firstLine="420"/>
        <w:jc w:val="both"/>
      </w:pPr>
      <w:r>
        <w:rPr>
          <w:sz w:val="21"/>
        </w:rPr>
        <w:t>当采购项目或者采购包中含有多种产品，供应商为该采购项目或者采购包提供的符合本国产品标准的产品成本之和占该供应商提供的全部产品成本之和的比例达到</w:t>
      </w:r>
      <w:r>
        <w:rPr>
          <w:sz w:val="21"/>
        </w:rPr>
        <w:t>80%以上时，依法对该供应商提供的全部产品给予价格评审优惠，即对该供应商提供的全部产品的总报价给予20%的价格扣除，用扣除后的价格参与评审。</w:t>
      </w:r>
    </w:p>
    <w:p>
      <w:pPr>
        <w:pStyle w:val="null3"/>
        <w:ind w:firstLine="420"/>
        <w:jc w:val="both"/>
      </w:pPr>
      <w:r>
        <w:rPr>
          <w:sz w:val="21"/>
        </w:rPr>
        <w:t>（</w:t>
      </w:r>
      <w:r>
        <w:rPr>
          <w:sz w:val="21"/>
        </w:rPr>
        <w:t>4）认真审查有关证明文件。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pPr>
      <w:r>
        <w:rPr/>
        <w:t>采购包1（CT机维保服务（3年））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项目自签订合同之日起，服务期为三年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用分期付款方式，合同签订后15天内先支付15%的合同款作为首期维保服务款，余款分6期支付，每6个月支付一次，即合同签订后的第7个月内支付第2期款，合同签订后的第13个月内支付第3期款，以此类推。第2期至第6期的付款比例为14%，第7期的付款比例为15%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CT机维保服务（3年）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7,150,000.00</w:t>
            </w:r>
          </w:p>
        </w:tc>
        <w:tc>
          <w:tcPr>
            <w:tcW w:type="dxa" w:w="933"/>
          </w:tcPr>
          <w:p>
            <w:pPr>
              <w:pStyle w:val="null3"/>
              <w:jc w:val="right"/>
            </w:pPr>
            <w:r>
              <w:rPr/>
              <w:t>7,150,000.00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CT机维保服务（3年）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一、招标内容：</w:t>
            </w:r>
          </w:p>
          <w:tbl>
            <w:tblPr>
              <w:tblBorders>
                <w:top w:val="none" w:color="000000" w:sz="4"/>
                <w:left w:val="none" w:color="000000" w:sz="4"/>
                <w:bottom w:val="none" w:color="000000" w:sz="4"/>
                <w:right w:val="none" w:color="000000" w:sz="4"/>
                <w:insideH w:val="none"/>
                <w:insideV w:val="none"/>
              </w:tblBorders>
            </w:tblPr>
            <w:tblGrid>
              <w:gridCol w:w="500"/>
              <w:gridCol w:w="2479"/>
              <w:gridCol w:w="898"/>
              <w:gridCol w:w="1722"/>
            </w:tblGrid>
            <w:tr>
              <w:tc>
                <w:tcPr>
                  <w:tcW w:type="dxa" w:w="5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24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设备型号</w:t>
                  </w:r>
                </w:p>
              </w:tc>
              <w:tc>
                <w:tcPr>
                  <w:tcW w:type="dxa" w:w="89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服务期</w:t>
                  </w:r>
                </w:p>
              </w:tc>
              <w:tc>
                <w:tcPr>
                  <w:tcW w:type="dxa" w:w="172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服务类型</w:t>
                  </w:r>
                </w:p>
              </w:tc>
            </w:tr>
            <w:tr>
              <w:tc>
                <w:tcPr>
                  <w:tcW w:type="dxa" w:w="5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4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GE Revolution CT</w:t>
                  </w:r>
                </w:p>
              </w:tc>
              <w:tc>
                <w:tcPr>
                  <w:tcW w:type="dxa" w:w="8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3年</w:t>
                  </w:r>
                </w:p>
              </w:tc>
              <w:tc>
                <w:tcPr>
                  <w:tcW w:type="dxa" w:w="17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全保</w:t>
                  </w:r>
                </w:p>
              </w:tc>
            </w:tr>
            <w:tr>
              <w:tc>
                <w:tcPr>
                  <w:tcW w:type="dxa" w:w="5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4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GE LightSpeed VCT</w:t>
                  </w:r>
                </w:p>
              </w:tc>
              <w:tc>
                <w:tcPr>
                  <w:tcW w:type="dxa" w:w="89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3年</w:t>
                  </w:r>
                </w:p>
              </w:tc>
              <w:tc>
                <w:tcPr>
                  <w:tcW w:type="dxa" w:w="17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全保</w:t>
                  </w:r>
                </w:p>
              </w:tc>
            </w:tr>
          </w:tbl>
          <w:p/>
        </w:tc>
      </w:tr>
      <w:tr>
        <w:tc>
          <w:tcPr>
            <w:tcW w:type="dxa" w:w="2076"/>
          </w:tcPr>
          <w:p/>
        </w:tc>
        <w:tc>
          <w:tcPr>
            <w:tcW w:type="dxa" w:w="415"/>
          </w:tcPr>
          <w:p>
            <w:pPr>
              <w:pStyle w:val="null3"/>
            </w:pPr>
            <w:r>
              <w:rPr/>
              <w:t>2</w:t>
            </w:r>
          </w:p>
        </w:tc>
        <w:tc>
          <w:tcPr>
            <w:tcW w:type="dxa" w:w="5814"/>
          </w:tcPr>
          <w:p>
            <w:pPr>
              <w:pStyle w:val="null3"/>
            </w:pPr>
            <w:r>
              <w:rPr/>
              <w:t>二、保修类型及服务需求</w:t>
            </w:r>
          </w:p>
        </w:tc>
      </w:tr>
      <w:tr>
        <w:tc>
          <w:tcPr>
            <w:tcW w:type="dxa" w:w="2076"/>
          </w:tcPr>
          <w:p/>
        </w:tc>
        <w:tc>
          <w:tcPr>
            <w:tcW w:type="dxa" w:w="415"/>
          </w:tcPr>
          <w:p>
            <w:pPr>
              <w:pStyle w:val="null3"/>
            </w:pPr>
            <w:r>
              <w:rPr/>
              <w:t>3</w:t>
            </w:r>
          </w:p>
        </w:tc>
        <w:tc>
          <w:tcPr>
            <w:tcW w:type="dxa" w:w="5814"/>
          </w:tcPr>
          <w:p>
            <w:pPr>
              <w:pStyle w:val="null3"/>
            </w:pPr>
            <w:r>
              <w:rPr/>
              <w:t>1、维保类型：全保。</w:t>
            </w:r>
          </w:p>
        </w:tc>
      </w:tr>
      <w:tr>
        <w:tc>
          <w:tcPr>
            <w:tcW w:type="dxa" w:w="2076"/>
          </w:tcPr>
          <w:p/>
        </w:tc>
        <w:tc>
          <w:tcPr>
            <w:tcW w:type="dxa" w:w="415"/>
          </w:tcPr>
          <w:p>
            <w:pPr>
              <w:pStyle w:val="null3"/>
            </w:pPr>
            <w:r>
              <w:rPr/>
              <w:t>4</w:t>
            </w:r>
          </w:p>
        </w:tc>
        <w:tc>
          <w:tcPr>
            <w:tcW w:type="dxa" w:w="5814"/>
          </w:tcPr>
          <w:p>
            <w:pPr>
              <w:pStyle w:val="null3"/>
            </w:pPr>
            <w:r>
              <w:rPr/>
              <w:t>2、维保范围包含：采购人上述两套现有CT设备的整机所有配件（球管、探测器、机架、AW工作站软硬件、心电导联、系统柜、高压发生器、显示器及整机相关辅助等）、人工、培训、技术服务等。</w:t>
            </w:r>
          </w:p>
        </w:tc>
      </w:tr>
      <w:tr>
        <w:tc>
          <w:tcPr>
            <w:tcW w:type="dxa" w:w="2076"/>
          </w:tcPr>
          <w:p/>
        </w:tc>
        <w:tc>
          <w:tcPr>
            <w:tcW w:type="dxa" w:w="415"/>
          </w:tcPr>
          <w:p>
            <w:pPr>
              <w:pStyle w:val="null3"/>
            </w:pPr>
            <w:r>
              <w:rPr/>
              <w:t>5</w:t>
            </w:r>
          </w:p>
        </w:tc>
        <w:tc>
          <w:tcPr>
            <w:tcW w:type="dxa" w:w="5814"/>
          </w:tcPr>
          <w:p>
            <w:pPr>
              <w:pStyle w:val="null3"/>
            </w:pPr>
            <w:r>
              <w:rPr/>
              <w:t>3、维保范围不包括：激光相机、高压注射器等第三方外围设备。</w:t>
            </w:r>
          </w:p>
        </w:tc>
      </w:tr>
      <w:tr>
        <w:tc>
          <w:tcPr>
            <w:tcW w:type="dxa" w:w="2076"/>
          </w:tcPr>
          <w:p/>
        </w:tc>
        <w:tc>
          <w:tcPr>
            <w:tcW w:type="dxa" w:w="415"/>
          </w:tcPr>
          <w:p>
            <w:pPr>
              <w:pStyle w:val="null3"/>
            </w:pPr>
            <w:r>
              <w:rPr/>
              <w:t>6</w:t>
            </w:r>
          </w:p>
        </w:tc>
        <w:tc>
          <w:tcPr>
            <w:tcW w:type="dxa" w:w="5814"/>
          </w:tcPr>
          <w:p>
            <w:pPr>
              <w:pStyle w:val="null3"/>
            </w:pPr>
            <w:r>
              <w:rPr/>
              <w:t>三、服务要求：</w:t>
            </w:r>
          </w:p>
        </w:tc>
      </w:tr>
      <w:tr>
        <w:tc>
          <w:tcPr>
            <w:tcW w:type="dxa" w:w="2076"/>
          </w:tcPr>
          <w:p/>
        </w:tc>
        <w:tc>
          <w:tcPr>
            <w:tcW w:type="dxa" w:w="415"/>
          </w:tcPr>
          <w:p>
            <w:pPr>
              <w:pStyle w:val="null3"/>
            </w:pPr>
            <w:r>
              <w:rPr/>
              <w:t>7</w:t>
            </w:r>
          </w:p>
        </w:tc>
        <w:tc>
          <w:tcPr>
            <w:tcW w:type="dxa" w:w="5814"/>
          </w:tcPr>
          <w:p>
            <w:pPr>
              <w:pStyle w:val="null3"/>
            </w:pPr>
            <w:r>
              <w:rPr/>
              <w:t>1、报修方式：投标人具备400或800客户服务专线，24小时×365天有专人接听。</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▲2、响应时间：接到医院报修电话后，工程师1小时内电话响应。若电话交流无法解决，则在接获报修电话后维修工程师应4小时内到达现场处理故障，确保设备及时恢复正常运行。</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3、维护保养：维保期内每套设备提供每年≥4次的现场保养服务，根据保养计划更换损耗部件，检测，调整，校准，使设备保持原厂技术质量要求标准，确认各项技术指标及性能，记录设备状况，预防性保养耗材保修期内由投标人提供，保养时间由双方协商确定，并提供完整的电子版及纸质版（一式两份）保养报告单。定期的维护保养服务包括但不限于：设备除尘保养、安全检查、影像质量检查、系统性能测试及校准、运行状态检查等。每半年提供电子版及纸质版（一式两份）维保总结报告。</w:t>
            </w:r>
          </w:p>
        </w:tc>
      </w:tr>
      <w:tr>
        <w:tc>
          <w:tcPr>
            <w:tcW w:type="dxa" w:w="2076"/>
          </w:tcPr>
          <w:p/>
        </w:tc>
        <w:tc>
          <w:tcPr>
            <w:tcW w:type="dxa" w:w="415"/>
          </w:tcPr>
          <w:p>
            <w:pPr>
              <w:pStyle w:val="null3"/>
            </w:pPr>
            <w:r>
              <w:rPr/>
              <w:t>10</w:t>
            </w:r>
          </w:p>
        </w:tc>
        <w:tc>
          <w:tcPr>
            <w:tcW w:type="dxa" w:w="5814"/>
          </w:tcPr>
          <w:p>
            <w:pPr>
              <w:pStyle w:val="null3"/>
            </w:pPr>
            <w:r>
              <w:rPr/>
              <w:t>4、日常维护保养涉及更换关键部件（包括球管、探测器等）时需提供维保后设备系统性能测试校准、影像质量等检测报告。</w:t>
            </w:r>
          </w:p>
        </w:tc>
      </w:tr>
      <w:tr>
        <w:tc>
          <w:tcPr>
            <w:tcW w:type="dxa" w:w="2076"/>
          </w:tcPr>
          <w:p/>
        </w:tc>
        <w:tc>
          <w:tcPr>
            <w:tcW w:type="dxa" w:w="415"/>
          </w:tcPr>
          <w:p>
            <w:pPr>
              <w:pStyle w:val="null3"/>
            </w:pPr>
            <w:r>
              <w:rPr/>
              <w:t>11</w:t>
            </w:r>
          </w:p>
        </w:tc>
        <w:tc>
          <w:tcPr>
            <w:tcW w:type="dxa" w:w="5814"/>
          </w:tcPr>
          <w:p>
            <w:pPr>
              <w:pStyle w:val="null3"/>
            </w:pPr>
            <w:r>
              <w:rPr/>
              <w:t>5、日常维护：服务期内不限次数的电话指导及现场维护服务，包含所需的保养服务、人工费用及所有配件费用等。</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▲6、开机保障：开机率确保≥95％，按全年365天计算，即全年停机时间不能超过19天（不在维保范围内造成的停机除外）。开机率低于95%，停机时间每超期1天，保修期顺延3天。</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7、备件更换：更换的零备件应当为原厂同型号全新备件，备件来源和物流环节均可追溯；备件安装完毕后技术参数符合设备技术性能标准，确保所更换的备件不会给设备带来任何伤害。（球管、探测器等核心部件应提供相关来源合法性材料）</w:t>
            </w:r>
          </w:p>
        </w:tc>
      </w:tr>
      <w:tr>
        <w:tc>
          <w:tcPr>
            <w:tcW w:type="dxa" w:w="2076"/>
          </w:tcPr>
          <w:p/>
        </w:tc>
        <w:tc>
          <w:tcPr>
            <w:tcW w:type="dxa" w:w="415"/>
          </w:tcPr>
          <w:p>
            <w:pPr>
              <w:pStyle w:val="null3"/>
            </w:pPr>
            <w:r>
              <w:rPr/>
              <w:t>14</w:t>
            </w:r>
          </w:p>
        </w:tc>
        <w:tc>
          <w:tcPr>
            <w:tcW w:type="dxa" w:w="5814"/>
          </w:tcPr>
          <w:p>
            <w:pPr>
              <w:pStyle w:val="null3"/>
            </w:pPr>
            <w:r>
              <w:rPr/>
              <w:t>8、备件响应：常规备件≤2个工作日内到达医院，关键备件≤5个工作日内达到医院。（投标人提供承诺函并加盖投标人公章）</w:t>
            </w:r>
          </w:p>
        </w:tc>
      </w:tr>
      <w:tr>
        <w:tc>
          <w:tcPr>
            <w:tcW w:type="dxa" w:w="2076"/>
          </w:tcPr>
          <w:p/>
        </w:tc>
        <w:tc>
          <w:tcPr>
            <w:tcW w:type="dxa" w:w="415"/>
          </w:tcPr>
          <w:p>
            <w:pPr>
              <w:pStyle w:val="null3"/>
            </w:pPr>
            <w:r>
              <w:rPr/>
              <w:t>15</w:t>
            </w:r>
          </w:p>
        </w:tc>
        <w:tc>
          <w:tcPr>
            <w:tcW w:type="dxa" w:w="5814"/>
          </w:tcPr>
          <w:p>
            <w:pPr>
              <w:pStyle w:val="null3"/>
            </w:pPr>
            <w:r>
              <w:rPr/>
              <w:t>9、投标人应具有CT专业维修工具仪器：CT高压检测工具（需校准）、CT的探测器系统专用工具、力矩扳手/千分表（需校准）、滑环专用润滑枪等。（提供序列号和需校正工具仪器的校准证书）</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▲10、关键备件：如涉及进口备件，投标人应当提供球管、探测器等原厂关键备件的报关单扫描件。</w:t>
            </w:r>
          </w:p>
        </w:tc>
      </w:tr>
      <w:tr>
        <w:tc>
          <w:tcPr>
            <w:tcW w:type="dxa" w:w="2076"/>
          </w:tcPr>
          <w:p/>
        </w:tc>
        <w:tc>
          <w:tcPr>
            <w:tcW w:type="dxa" w:w="415"/>
          </w:tcPr>
          <w:p>
            <w:pPr>
              <w:pStyle w:val="null3"/>
            </w:pPr>
            <w:r>
              <w:rPr/>
              <w:t>17</w:t>
            </w:r>
          </w:p>
        </w:tc>
        <w:tc>
          <w:tcPr>
            <w:tcW w:type="dxa" w:w="5814"/>
          </w:tcPr>
          <w:p>
            <w:pPr>
              <w:pStyle w:val="null3"/>
            </w:pPr>
            <w:r>
              <w:rPr/>
              <w:t>11、信息安全：投标人应当确保医院医疗信息的保密性。（投标人提供承诺函及具体方案）</w:t>
            </w:r>
          </w:p>
        </w:tc>
      </w:tr>
      <w:tr>
        <w:tc>
          <w:tcPr>
            <w:tcW w:type="dxa" w:w="2076"/>
          </w:tcPr>
          <w:p/>
        </w:tc>
        <w:tc>
          <w:tcPr>
            <w:tcW w:type="dxa" w:w="415"/>
          </w:tcPr>
          <w:p>
            <w:pPr>
              <w:pStyle w:val="null3"/>
            </w:pPr>
            <w:r>
              <w:rPr/>
              <w:t>18</w:t>
            </w:r>
          </w:p>
        </w:tc>
        <w:tc>
          <w:tcPr>
            <w:tcW w:type="dxa" w:w="5814"/>
          </w:tcPr>
          <w:p>
            <w:pPr>
              <w:pStyle w:val="null3"/>
            </w:pPr>
            <w:r>
              <w:rPr/>
              <w:t>12、远程连接：提供针对设备的实时动态远程监测系统，系统基于宽带接入，对设备的运行状况进行24小时不间断监控，内容包括但不限于球管、探测器、电气环境、温度、湿度、数据库系统等核心信息，提供自动预警、主动预防保障和维修方案。（提供相关证明文件）</w:t>
            </w:r>
          </w:p>
        </w:tc>
      </w:tr>
      <w:tr>
        <w:tc>
          <w:tcPr>
            <w:tcW w:type="dxa" w:w="2076"/>
          </w:tcPr>
          <w:p/>
        </w:tc>
        <w:tc>
          <w:tcPr>
            <w:tcW w:type="dxa" w:w="415"/>
          </w:tcPr>
          <w:p>
            <w:pPr>
              <w:pStyle w:val="null3"/>
            </w:pPr>
            <w:r>
              <w:rPr/>
              <w:t>19</w:t>
            </w:r>
          </w:p>
        </w:tc>
        <w:tc>
          <w:tcPr>
            <w:tcW w:type="dxa" w:w="5814"/>
          </w:tcPr>
          <w:p>
            <w:pPr>
              <w:pStyle w:val="null3"/>
            </w:pPr>
            <w:r>
              <w:rPr/>
              <w:t>13、系统升级：服务期内负责设备（含独立工作站）的系统软件及硬件的安全性改版升级和技术支持，保证所有系统软件（非功能软件）为最新版本。投标报价已包含相关费用，投标人不得另行收费。</w:t>
            </w:r>
          </w:p>
        </w:tc>
      </w:tr>
      <w:tr>
        <w:tc>
          <w:tcPr>
            <w:tcW w:type="dxa" w:w="2076"/>
          </w:tcPr>
          <w:p/>
        </w:tc>
        <w:tc>
          <w:tcPr>
            <w:tcW w:type="dxa" w:w="415"/>
          </w:tcPr>
          <w:p>
            <w:pPr>
              <w:pStyle w:val="null3"/>
            </w:pPr>
            <w:r>
              <w:rPr/>
              <w:t>20</w:t>
            </w:r>
          </w:p>
        </w:tc>
        <w:tc>
          <w:tcPr>
            <w:tcW w:type="dxa" w:w="5814"/>
          </w:tcPr>
          <w:p>
            <w:pPr>
              <w:pStyle w:val="null3"/>
            </w:pPr>
            <w:r>
              <w:rPr/>
              <w:t>14、投标人提供数字化故障筛排系统，可获得CT工作日志、报警信息、提前预知CT设备工况、故障信息、CT磁盘矩阵剩余可用容量、球管故障信息、工作温度、重建失败、硬盘磁盘阵列损坏等信息。可助医院提早做维护计划，无计划外停机，确保设备开机率。</w:t>
            </w:r>
          </w:p>
        </w:tc>
      </w:tr>
      <w:tr>
        <w:tc>
          <w:tcPr>
            <w:tcW w:type="dxa" w:w="2076"/>
          </w:tcPr>
          <w:p/>
        </w:tc>
        <w:tc>
          <w:tcPr>
            <w:tcW w:type="dxa" w:w="415"/>
          </w:tcPr>
          <w:p>
            <w:pPr>
              <w:pStyle w:val="null3"/>
            </w:pPr>
            <w:r>
              <w:rPr/>
              <w:t>21</w:t>
            </w:r>
          </w:p>
        </w:tc>
        <w:tc>
          <w:tcPr>
            <w:tcW w:type="dxa" w:w="5814"/>
          </w:tcPr>
          <w:p>
            <w:pPr>
              <w:pStyle w:val="null3"/>
            </w:pPr>
            <w:r>
              <w:rPr/>
              <w:t>15、投标人提供基于宽带接入的、可动态远程监测标的设备温湿度实时曲线的软件及硬件,具备对标的设备的电气环境进行24小时实时监测能力。</w:t>
            </w:r>
          </w:p>
        </w:tc>
      </w:tr>
      <w:tr>
        <w:tc>
          <w:tcPr>
            <w:tcW w:type="dxa" w:w="2076"/>
          </w:tcPr>
          <w:p/>
        </w:tc>
        <w:tc>
          <w:tcPr>
            <w:tcW w:type="dxa" w:w="415"/>
          </w:tcPr>
          <w:p>
            <w:pPr>
              <w:pStyle w:val="null3"/>
            </w:pPr>
            <w:r>
              <w:rPr/>
              <w:t>22</w:t>
            </w:r>
          </w:p>
        </w:tc>
        <w:tc>
          <w:tcPr>
            <w:tcW w:type="dxa" w:w="5814"/>
          </w:tcPr>
          <w:p>
            <w:pPr>
              <w:pStyle w:val="null3"/>
            </w:pPr>
            <w:r>
              <w:rPr/>
              <w:t>16、投标人可通过远程系统24小时不间断监测设备运行健康状况（温湿度、数据库系统、球管、探测器等信息），提供自动预警、主动预防型保障和维修方案等。</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17、提供高级临床功能软件：胸部骨折CT图像辅助分诊软件及肺结节CT影像辅助检测软件，功能软件全生命周期内负责升级最新版本及维护，软件来源合法且不违反知识产权。投标报价已包含相关费用，投标人不得另行收费。（提供拟投入软件的相关证明材料及配置说明）</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▲18、设备配备对应的服务工程师≥2名，服务工程师需持有由设备主机制造商技术培训合格证明。（提供服务工程师名单、联系方式及培训合格证书复印件等相关证明材料）</w:t>
            </w:r>
          </w:p>
        </w:tc>
      </w:tr>
      <w:tr>
        <w:tc>
          <w:tcPr>
            <w:tcW w:type="dxa" w:w="2076"/>
          </w:tcPr>
          <w:p/>
        </w:tc>
        <w:tc>
          <w:tcPr>
            <w:tcW w:type="dxa" w:w="415"/>
          </w:tcPr>
          <w:p>
            <w:pPr>
              <w:pStyle w:val="null3"/>
            </w:pPr>
            <w:r>
              <w:rPr/>
              <w:t>25</w:t>
            </w:r>
          </w:p>
        </w:tc>
        <w:tc>
          <w:tcPr>
            <w:tcW w:type="dxa" w:w="5814"/>
          </w:tcPr>
          <w:p>
            <w:pPr>
              <w:pStyle w:val="null3"/>
            </w:pPr>
            <w:r>
              <w:rPr/>
              <w:t>19、投标人每年提供不少于2人次临床应用等培训。</w:t>
            </w:r>
          </w:p>
        </w:tc>
      </w:tr>
      <w:tr>
        <w:tc>
          <w:tcPr>
            <w:tcW w:type="dxa" w:w="2076"/>
          </w:tcPr>
          <w:p/>
        </w:tc>
        <w:tc>
          <w:tcPr>
            <w:tcW w:type="dxa" w:w="415"/>
          </w:tcPr>
          <w:p>
            <w:pPr>
              <w:pStyle w:val="null3"/>
            </w:pPr>
            <w:r>
              <w:rPr/>
              <w:t>26</w:t>
            </w:r>
          </w:p>
        </w:tc>
        <w:tc>
          <w:tcPr>
            <w:tcW w:type="dxa" w:w="5814"/>
          </w:tcPr>
          <w:p>
            <w:pPr>
              <w:pStyle w:val="null3"/>
            </w:pPr>
            <w:r>
              <w:rPr/>
              <w:t>20、投标人须配合管理部门每年对CT的质量检测等，负责通过相关检测。</w:t>
            </w:r>
          </w:p>
        </w:tc>
      </w:tr>
      <w:tr>
        <w:tc>
          <w:tcPr>
            <w:tcW w:type="dxa" w:w="2076"/>
          </w:tcPr>
          <w:p/>
        </w:tc>
        <w:tc>
          <w:tcPr>
            <w:tcW w:type="dxa" w:w="415"/>
          </w:tcPr>
          <w:p>
            <w:pPr>
              <w:pStyle w:val="null3"/>
            </w:pPr>
            <w:r>
              <w:rPr/>
              <w:t>27</w:t>
            </w:r>
          </w:p>
        </w:tc>
        <w:tc>
          <w:tcPr>
            <w:tcW w:type="dxa" w:w="5814"/>
          </w:tcPr>
          <w:p>
            <w:pPr>
              <w:pStyle w:val="null3"/>
            </w:pPr>
            <w:r>
              <w:rPr/>
              <w:t>21、投标人须每半个月对设备进行现场巡检，巡检内容包括但不限于整机工作状态、环境温湿度、磁盘容量、系统时间、球管曝光次数，形成巡检报告，由科室及分管工程师签字确认。</w:t>
            </w:r>
          </w:p>
        </w:tc>
      </w:tr>
      <w:tr>
        <w:tc>
          <w:tcPr>
            <w:tcW w:type="dxa" w:w="2076"/>
          </w:tcPr>
          <w:p/>
        </w:tc>
        <w:tc>
          <w:tcPr>
            <w:tcW w:type="dxa" w:w="415"/>
          </w:tcPr>
          <w:p>
            <w:pPr>
              <w:pStyle w:val="null3"/>
            </w:pPr>
            <w:r>
              <w:rPr/>
              <w:t>28</w:t>
            </w:r>
          </w:p>
        </w:tc>
        <w:tc>
          <w:tcPr>
            <w:tcW w:type="dxa" w:w="5814"/>
          </w:tcPr>
          <w:p>
            <w:pPr>
              <w:pStyle w:val="null3"/>
            </w:pPr>
            <w:r>
              <w:rPr/>
              <w:t>22、每次巡检、维修、保养后，投标人须提供纸质及电子报告。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采购包1(CT机维保服务（3年）)：综合评分法,是指投标文件满足招标文件全部实质性要求，且按照评审因素的量化指标评审得分最高的投标人为中标候选人的评标方法。（最低报价不是中标的唯一依据。）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采购包1（CT机维保服务（3年））：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采购包1（CT机维保服务（3年））：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投标人需具备有效的《辐射安全许可证》。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采购包1（CT机维保服务（3年））：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采购包1(CT机维保服务（3年）):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技术部分70.0分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投标人对采购需求中“三、服务要求”带▲号的重要参数的响应情况 (21.0分)</w:t>
            </w:r>
          </w:p>
        </w:tc>
        <w:tc>
          <w:tcPr>
            <w:tcW w:type="dxa" w:w="5076"/>
          </w:tcPr>
          <w:p>
            <w:pPr>
              <w:pStyle w:val="null3"/>
              <w:jc w:val="left"/>
            </w:pPr>
            <w:r>
              <w:rPr/>
              <w:t>投标人全部满足或优于采购需求中“三、服务要求”中带▲号的重要参数要求的，得21分。每一项负偏离扣3分，有7项负偏离得0分。</w:t>
            </w:r>
          </w:p>
        </w:tc>
      </w:tr>
      <w:tr>
        <w:tc>
          <w:tcPr>
            <w:tcW w:type="dxa" w:w="922"/>
            <w:gridSpan w:val="2"/>
            <w:vMerge/>
          </w:tcPr>
          <w:p/>
        </w:tc>
        <w:tc>
          <w:tcPr>
            <w:tcW w:type="dxa" w:w="2307"/>
          </w:tcPr>
          <w:p>
            <w:pPr>
              <w:pStyle w:val="null3"/>
              <w:jc w:val="left"/>
            </w:pPr>
            <w:r>
              <w:rPr/>
              <w:t>投标人对采购需求中“三、服务要求”中不带▲号和★号的一般参数的响应情况 (15.0分)</w:t>
            </w:r>
          </w:p>
        </w:tc>
        <w:tc>
          <w:tcPr>
            <w:tcW w:type="dxa" w:w="5076"/>
          </w:tcPr>
          <w:p>
            <w:pPr>
              <w:pStyle w:val="null3"/>
              <w:jc w:val="left"/>
            </w:pPr>
            <w:r>
              <w:rPr/>
              <w:t>投标人完全满足或优于采购需求中“三、服务要求”中不带▲号和★号的一般参数要求的，得15分。每一项负偏离扣1分，有15项负偏离得0分。</w:t>
            </w:r>
          </w:p>
        </w:tc>
      </w:tr>
      <w:tr>
        <w:tc>
          <w:tcPr>
            <w:tcW w:type="dxa" w:w="922"/>
            <w:gridSpan w:val="2"/>
            <w:vMerge/>
          </w:tcPr>
          <w:p/>
        </w:tc>
        <w:tc>
          <w:tcPr>
            <w:tcW w:type="dxa" w:w="2307"/>
          </w:tcPr>
          <w:p>
            <w:pPr>
              <w:pStyle w:val="null3"/>
              <w:jc w:val="left"/>
            </w:pPr>
            <w:r>
              <w:rPr/>
              <w:t>整体方案 (6.0分)</w:t>
            </w:r>
          </w:p>
        </w:tc>
        <w:tc>
          <w:tcPr>
            <w:tcW w:type="dxa" w:w="5076"/>
          </w:tcPr>
          <w:p>
            <w:pPr>
              <w:pStyle w:val="null3"/>
              <w:jc w:val="left"/>
            </w:pPr>
            <w:r>
              <w:rPr/>
              <w:t>投标人提供整体方案（包括但不限于保修设备的熟悉和了解程度、性能特点、常见故障及处置办法、部件寿命及保养等方面）。 1）所提供方案完整、详细、具体、可行性强的，对保修设备熟悉了解程度强，性能特点熟悉，能提出有效的常见故障处置办法，得6分； 2）所提供方案基本完整、相对详细、可行的，对保修设备熟悉了解程度一般，性能特点相对熟悉，有提出常见故障处置办法，得4分； 3）所提供方案缺漏多，可行性弱的，对保修设备不了解，没有提出常见故障处置办法，得2分； 4）方案未提供的本项得0分。</w:t>
            </w:r>
          </w:p>
        </w:tc>
      </w:tr>
      <w:tr>
        <w:tc>
          <w:tcPr>
            <w:tcW w:type="dxa" w:w="922"/>
            <w:gridSpan w:val="2"/>
            <w:vMerge/>
          </w:tcPr>
          <w:p/>
        </w:tc>
        <w:tc>
          <w:tcPr>
            <w:tcW w:type="dxa" w:w="2307"/>
          </w:tcPr>
          <w:p>
            <w:pPr>
              <w:pStyle w:val="null3"/>
              <w:jc w:val="left"/>
            </w:pPr>
            <w:r>
              <w:rPr/>
              <w:t>定期保养及巡检方案 (6.0分)</w:t>
            </w:r>
          </w:p>
        </w:tc>
        <w:tc>
          <w:tcPr>
            <w:tcW w:type="dxa" w:w="5076"/>
          </w:tcPr>
          <w:p>
            <w:pPr>
              <w:pStyle w:val="null3"/>
              <w:jc w:val="left"/>
            </w:pPr>
            <w:r>
              <w:rPr/>
              <w:t>投标人提供定期保养及巡检方案（包括但不限于外观检查方案、清洁保养方案、功能检查方案等方面）。 1）能提供完整的、详细、具体、可行性强的外观检查方案、清洁保养方案、功能检查方案，得6分； 2）所提供的外观检查方案、清洁保养方案、功能检查方案不够周全详细、具体，但要点合理可行、基本契合需求，得4分； 3）所提供定期保养方案阐述简短有缺漏，但不影响整体方案实施且满足本项目需求的，得2分； 4）方案未提供的本项得0分。</w:t>
            </w:r>
          </w:p>
        </w:tc>
      </w:tr>
      <w:tr>
        <w:tc>
          <w:tcPr>
            <w:tcW w:type="dxa" w:w="922"/>
            <w:gridSpan w:val="2"/>
            <w:vMerge/>
          </w:tcPr>
          <w:p/>
        </w:tc>
        <w:tc>
          <w:tcPr>
            <w:tcW w:type="dxa" w:w="2307"/>
          </w:tcPr>
          <w:p>
            <w:pPr>
              <w:pStyle w:val="null3"/>
              <w:jc w:val="left"/>
            </w:pPr>
            <w:r>
              <w:rPr/>
              <w:t>设备维修方案 (6.0分)</w:t>
            </w:r>
          </w:p>
        </w:tc>
        <w:tc>
          <w:tcPr>
            <w:tcW w:type="dxa" w:w="5076"/>
          </w:tcPr>
          <w:p>
            <w:pPr>
              <w:pStyle w:val="null3"/>
              <w:jc w:val="left"/>
            </w:pPr>
            <w:r>
              <w:rPr/>
              <w:t>投标人提供设备维修方案（包括但不限于设备检测方案、设备修理方案、配件更换方案、设备软件升级方案等方面）。 1）所提供的设备检测方案、设备修理方案、配件更换方案、设备软件升级等方案完整、详细、具体、可行性强的，得6分； 2）所提供的设备检测方案、设备修理方案、配件更换方案、设备软件升级等方案不够周全详细、具体，但要点合理可行、基本契合需求得4分； 3）所提供设备维修方案阐述简短有缺漏，但不影响整体方案实施且满足本项目需求的得2分； 4）方案未提供的本项得0分。</w:t>
            </w:r>
          </w:p>
        </w:tc>
      </w:tr>
      <w:tr>
        <w:tc>
          <w:tcPr>
            <w:tcW w:type="dxa" w:w="922"/>
            <w:gridSpan w:val="2"/>
            <w:vMerge/>
          </w:tcPr>
          <w:p/>
        </w:tc>
        <w:tc>
          <w:tcPr>
            <w:tcW w:type="dxa" w:w="2307"/>
          </w:tcPr>
          <w:p>
            <w:pPr>
              <w:pStyle w:val="null3"/>
              <w:jc w:val="left"/>
            </w:pPr>
            <w:r>
              <w:rPr/>
              <w:t>服务质量保证措施 (5.0分)</w:t>
            </w:r>
          </w:p>
        </w:tc>
        <w:tc>
          <w:tcPr>
            <w:tcW w:type="dxa" w:w="5076"/>
          </w:tcPr>
          <w:p>
            <w:pPr>
              <w:pStyle w:val="null3"/>
              <w:jc w:val="left"/>
            </w:pPr>
            <w:r>
              <w:rPr/>
              <w:t>投标人提供服务质量保证措施（包括但不限于服务质量承诺、保修及优化服务方案等方面）是否具体、合理。 1）所提供保修及优化服务方案完整、详细、具体、可行性强的，具有完善的服务质量承诺，得5分； 2）所提供保修及优化服务方案不够周全详细、具体，但要点合理可行、基本契合项目实施的，具有基本的服务质量承诺，得3分； 3）所提供方案阐述简短有缺漏，但不影响整体方案实施的，得1分； 4）方案未提供的本项得0分。</w:t>
            </w:r>
          </w:p>
        </w:tc>
      </w:tr>
      <w:tr>
        <w:tc>
          <w:tcPr>
            <w:tcW w:type="dxa" w:w="922"/>
            <w:gridSpan w:val="2"/>
            <w:vMerge/>
          </w:tcPr>
          <w:p/>
        </w:tc>
        <w:tc>
          <w:tcPr>
            <w:tcW w:type="dxa" w:w="2307"/>
          </w:tcPr>
          <w:p>
            <w:pPr>
              <w:pStyle w:val="null3"/>
              <w:jc w:val="left"/>
            </w:pPr>
            <w:r>
              <w:rPr/>
              <w:t>管理措施 (5.0分)</w:t>
            </w:r>
          </w:p>
        </w:tc>
        <w:tc>
          <w:tcPr>
            <w:tcW w:type="dxa" w:w="5076"/>
          </w:tcPr>
          <w:p>
            <w:pPr>
              <w:pStyle w:val="null3"/>
              <w:jc w:val="left"/>
            </w:pPr>
            <w:r>
              <w:rPr/>
              <w:t>投标人提供管理措施方案（包括但不限于管理流程、制度、标准等是否规范和健全，是否能够有效保障项目按计划顺利实施等方面）。 1）所提供方案完整、详细、具体、可行性强的，有规范和健全的管理流程、制度、标准等，能够有效保障项目按计划顺利实施，得5分； 2）所提供方案不够周全详细、具体，但要点合理可行、基本契合需求，有基本的管理流程、制度、标准等，能够保障项目按计划顺利实施得3分； 3）所提供方案阐述简短有缺漏，但不影响整体方案实施且满足本项目需求的，得1分； 4）方案未提供的本项得0分。</w:t>
            </w:r>
          </w:p>
        </w:tc>
      </w:tr>
      <w:tr>
        <w:tc>
          <w:tcPr>
            <w:tcW w:type="dxa" w:w="922"/>
            <w:gridSpan w:val="2"/>
            <w:vMerge/>
          </w:tcPr>
          <w:p/>
        </w:tc>
        <w:tc>
          <w:tcPr>
            <w:tcW w:type="dxa" w:w="2307"/>
          </w:tcPr>
          <w:p>
            <w:pPr>
              <w:pStyle w:val="null3"/>
              <w:jc w:val="left"/>
            </w:pPr>
            <w:r>
              <w:rPr/>
              <w:t>应急措施 (6.0分)</w:t>
            </w:r>
          </w:p>
        </w:tc>
        <w:tc>
          <w:tcPr>
            <w:tcW w:type="dxa" w:w="5076"/>
          </w:tcPr>
          <w:p>
            <w:pPr>
              <w:pStyle w:val="null3"/>
              <w:jc w:val="left"/>
            </w:pPr>
            <w:r>
              <w:rPr/>
              <w:t>投标人提供应急措施方案（包括但不限于常见的风险、故障及预防措施等方面）。 1）能预判常见的风险，并提供完善的解决方案、故障及预防措施方案完整、详细、具体、可行性强的，得6分； 2）预判常见的风险方案不够周全详细、具体，但故障及预防措施方案要点合理可行、基本契合项目实施的，得4分； 3）没有提供常见的风险方案，故障及预防措施方案阐述简短有缺漏，但不影响整体项目实施的，得2分； 4）方案未提供的本项得0分。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同类项目服务经验情况 (6.0分)</w:t>
            </w:r>
          </w:p>
        </w:tc>
        <w:tc>
          <w:tcPr>
            <w:tcW w:type="dxa" w:w="5076"/>
          </w:tcPr>
          <w:p>
            <w:pPr>
              <w:pStyle w:val="null3"/>
              <w:jc w:val="left"/>
            </w:pPr>
            <w:r>
              <w:rPr/>
              <w:t>投标人提供2023年至今的全保合同业绩。每提供一份GE Revolution CT全保合同业绩得0.5分，最高得3分；每提供一份GE LightSpeed VCT全保合同业绩得0.5分，最高得3分；不提供者不得分。 注：须提供合同关键页复印件等相关证明材料；合同关键页指：合同封面、服务内容页及双方盖章页。同一项目不同年份的合同只计一次分值，不重复计算业绩分数。同一业主在同一采购项目中续签的合同不重复计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投标人2023年至今的全保服务项目，获得项目用户评价为优秀、满意或相当于类似正面评价，每提供一份GE Revolution CT全保服务项目正面评价得0.5分，最高得2分；每提供一份GE LightSpeed VCT全保服务项目正面评价得0.5分，最高得2分。 注：提供项目用户盖章的评价文件，不提供不得分。同一项目不同年份的评价只计一次分值，不重复计算分数。同一业主在同一采购项目中续签的评价不重复计分。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left"/>
      </w:pPr>
      <w:r>
        <w:rPr>
          <w:sz w:val="21"/>
          <w:b/>
        </w:rPr>
        <w:t>甲</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项目编号：</w:t>
      </w:r>
      <w:r>
        <w:rPr>
          <w:sz w:val="21"/>
        </w:rPr>
        <w:t xml:space="preserve">  </w:t>
      </w:r>
    </w:p>
    <w:p>
      <w:pPr>
        <w:pStyle w:val="null3"/>
        <w:ind w:firstLine="420"/>
        <w:jc w:val="both"/>
      </w:pPr>
      <w:r>
        <w:rPr>
          <w:sz w:val="21"/>
        </w:rPr>
        <w:t>根据</w:t>
      </w:r>
      <w:r>
        <w:rPr>
          <w:sz w:val="21"/>
          <w:u w:val="single"/>
        </w:rPr>
        <w:t xml:space="preserve">              </w:t>
      </w:r>
      <w:r>
        <w:rPr>
          <w:sz w:val="21"/>
        </w:rPr>
        <w:t>项目的招标结果，按照《中华人民共和国</w:t>
      </w:r>
      <w:r>
        <w:rPr>
          <w:sz w:val="21"/>
        </w:rPr>
        <w:t>政府采购</w:t>
      </w:r>
      <w:r>
        <w:rPr>
          <w:sz w:val="21"/>
        </w:rPr>
        <w:t>法》《中华人民共和国</w:t>
      </w:r>
      <w:r>
        <w:rPr>
          <w:sz w:val="21"/>
        </w:rPr>
        <w:t>民法典</w:t>
      </w:r>
      <w:r>
        <w:rPr>
          <w:sz w:val="21"/>
        </w:rPr>
        <w:t>》</w:t>
      </w:r>
      <w:r>
        <w:rPr>
          <w:sz w:val="21"/>
        </w:rPr>
        <w:t xml:space="preserve">  </w:t>
      </w:r>
      <w:r>
        <w:rPr>
          <w:sz w:val="21"/>
        </w:rPr>
        <w:t>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w:t>
      </w:r>
      <w:r>
        <w:rPr>
          <w:sz w:val="21"/>
          <w:b/>
        </w:rPr>
        <w:t>、服务范围</w:t>
      </w:r>
    </w:p>
    <w:p>
      <w:pPr>
        <w:pStyle w:val="null3"/>
        <w:ind w:left="15"/>
        <w:jc w:val="both"/>
      </w:pPr>
      <w:r>
        <w:rPr>
          <w:sz w:val="21"/>
        </w:rPr>
        <w:t>　乙方负责向甲方供应下表中所列设备的保修服务。</w:t>
      </w:r>
    </w:p>
    <w:tbl>
      <w:tblPr>
        <w:tblW w:w="0" w:type="auto"/>
        <w:tblBorders>
          <w:top w:val="none" w:color="000000" w:sz="4"/>
          <w:left w:val="none" w:color="000000" w:sz="4"/>
          <w:bottom w:val="none" w:color="000000" w:sz="4"/>
          <w:right w:val="none" w:color="000000" w:sz="4"/>
          <w:insideH w:val="none"/>
          <w:insideV w:val="none"/>
        </w:tblBorders>
      </w:tblPr>
      <w:tblGrid>
        <w:gridCol w:w="1100"/>
        <w:gridCol w:w="861"/>
        <w:gridCol w:w="1510"/>
        <w:gridCol w:w="1179"/>
        <w:gridCol w:w="914"/>
        <w:gridCol w:w="1484"/>
        <w:gridCol w:w="1258"/>
      </w:tblGrid>
      <w:tr>
        <w:tc>
          <w:tcPr>
            <w:tcW w:type="dxa" w:w="1100"/>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left="15"/>
              <w:jc w:val="center"/>
            </w:pPr>
            <w:r>
              <w:rPr>
                <w:sz w:val="21"/>
              </w:rPr>
              <w:t>品名</w:t>
            </w:r>
          </w:p>
        </w:tc>
        <w:tc>
          <w:tcPr>
            <w:tcW w:type="dxa" w:w="861"/>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left="15"/>
              <w:jc w:val="center"/>
            </w:pPr>
            <w:r>
              <w:rPr>
                <w:sz w:val="21"/>
              </w:rPr>
              <w:t>厂家</w:t>
            </w:r>
          </w:p>
        </w:tc>
        <w:tc>
          <w:tcPr>
            <w:tcW w:type="dxa" w:w="151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left="15"/>
              <w:jc w:val="center"/>
            </w:pPr>
            <w:r>
              <w:rPr>
                <w:sz w:val="21"/>
              </w:rPr>
              <w:t>规格型号</w:t>
            </w:r>
          </w:p>
        </w:tc>
        <w:tc>
          <w:tcPr>
            <w:tcW w:type="dxa" w:w="1179"/>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left="15"/>
              <w:jc w:val="center"/>
            </w:pPr>
            <w:r>
              <w:rPr>
                <w:sz w:val="21"/>
              </w:rPr>
              <w:t>序列号</w:t>
            </w:r>
          </w:p>
        </w:tc>
        <w:tc>
          <w:tcPr>
            <w:tcW w:type="dxa" w:w="91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left="15"/>
              <w:jc w:val="center"/>
            </w:pPr>
            <w:r>
              <w:rPr>
                <w:sz w:val="21"/>
              </w:rPr>
              <w:t>单位</w:t>
            </w:r>
          </w:p>
        </w:tc>
        <w:tc>
          <w:tcPr>
            <w:tcW w:type="dxa" w:w="148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left="15"/>
              <w:jc w:val="center"/>
            </w:pPr>
            <w:r>
              <w:rPr>
                <w:sz w:val="21"/>
              </w:rPr>
              <w:t>数量</w:t>
            </w:r>
          </w:p>
        </w:tc>
        <w:tc>
          <w:tcPr>
            <w:tcW w:type="dxa" w:w="1258"/>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left="15"/>
              <w:jc w:val="center"/>
            </w:pPr>
            <w:r>
              <w:rPr>
                <w:sz w:val="21"/>
              </w:rPr>
              <w:t>包含配件</w:t>
            </w:r>
          </w:p>
        </w:tc>
      </w:tr>
      <w:tr>
        <w:tc>
          <w:tcPr>
            <w:tcW w:type="dxa" w:w="1100"/>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left="15"/>
              <w:jc w:val="center"/>
            </w:pPr>
          </w:p>
        </w:tc>
        <w:tc>
          <w:tcPr>
            <w:tcW w:type="dxa" w:w="861"/>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51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179"/>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pPr>
            <w:r>
              <w:rPr>
                <w:sz w:val="19"/>
              </w:rPr>
              <w:t xml:space="preserve"> </w:t>
            </w:r>
          </w:p>
          <w:p>
            <w:pPr>
              <w:pStyle w:val="null3"/>
            </w:pPr>
            <w:r>
              <w:rPr>
                <w:sz w:val="19"/>
              </w:rPr>
              <w:t xml:space="preserve"> </w:t>
            </w:r>
          </w:p>
          <w:p>
            <w:pPr>
              <w:pStyle w:val="null3"/>
              <w:ind w:left="15"/>
              <w:jc w:val="center"/>
            </w:pPr>
          </w:p>
        </w:tc>
        <w:tc>
          <w:tcPr>
            <w:tcW w:type="dxa" w:w="91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48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25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bl>
    <w:p>
      <w:pPr>
        <w:pStyle w:val="null3"/>
        <w:jc w:val="both"/>
      </w:pPr>
      <w:r>
        <w:rPr>
          <w:sz w:val="21"/>
          <w:b/>
        </w:rPr>
        <w:t>二</w:t>
      </w:r>
      <w:r>
        <w:rPr>
          <w:sz w:val="21"/>
          <w:b/>
        </w:rPr>
        <w:t>、甲方乙方的权利和义务</w:t>
      </w:r>
    </w:p>
    <w:p>
      <w:pPr>
        <w:pStyle w:val="null3"/>
        <w:jc w:val="both"/>
      </w:pPr>
      <w:r>
        <w:rPr>
          <w:sz w:val="21"/>
        </w:rPr>
        <w:t>（一）</w:t>
      </w:r>
      <w:r>
        <w:rPr>
          <w:sz w:val="21"/>
        </w:rPr>
        <w:t>甲方的权利和义务</w:t>
      </w:r>
      <w:r>
        <w:rPr>
          <w:sz w:val="21"/>
        </w:rPr>
        <w:t>：</w:t>
      </w:r>
    </w:p>
    <w:p>
      <w:pPr>
        <w:pStyle w:val="null3"/>
        <w:jc w:val="both"/>
      </w:pPr>
      <w:r>
        <w:rPr>
          <w:sz w:val="21"/>
        </w:rPr>
        <w:t>（二）</w:t>
      </w:r>
      <w:r>
        <w:rPr>
          <w:sz w:val="21"/>
        </w:rPr>
        <w:t>乙方的权利和义务</w:t>
      </w:r>
      <w:r>
        <w:rPr>
          <w:sz w:val="21"/>
        </w:rPr>
        <w:t>：</w:t>
      </w:r>
    </w:p>
    <w:p>
      <w:pPr>
        <w:pStyle w:val="null3"/>
        <w:jc w:val="both"/>
      </w:pPr>
      <w:r>
        <w:rPr>
          <w:sz w:val="21"/>
          <w:b/>
        </w:rPr>
        <w:t>三</w:t>
      </w:r>
      <w:r>
        <w:rPr>
          <w:sz w:val="21"/>
          <w:b/>
        </w:rPr>
        <w:t>、服务期间（项目完成期限）</w:t>
      </w:r>
    </w:p>
    <w:p>
      <w:pPr>
        <w:pStyle w:val="null3"/>
        <w:jc w:val="both"/>
      </w:pPr>
      <w:r>
        <w:rPr>
          <w:sz w:val="21"/>
        </w:rPr>
        <w:t>1.委托服务期间自</w:t>
      </w:r>
      <w:r>
        <w:rPr>
          <w:sz w:val="21"/>
          <w:u w:val="single"/>
        </w:rPr>
        <w:t xml:space="preserve">      </w:t>
      </w:r>
      <w:r>
        <w:rPr>
          <w:sz w:val="21"/>
        </w:rPr>
        <w:t>年</w:t>
      </w:r>
      <w:r>
        <w:rPr>
          <w:sz w:val="21"/>
          <w:u w:val="single"/>
        </w:rPr>
        <w:t xml:space="preserve">      </w:t>
      </w:r>
      <w:r>
        <w:rPr>
          <w:sz w:val="21"/>
        </w:rPr>
        <w:t>月至</w:t>
      </w:r>
      <w:r>
        <w:rPr>
          <w:sz w:val="21"/>
          <w:u w:val="single"/>
        </w:rPr>
        <w:t xml:space="preserve">     </w:t>
      </w:r>
      <w:r>
        <w:rPr>
          <w:sz w:val="21"/>
        </w:rPr>
        <w:t>年</w:t>
      </w:r>
      <w:r>
        <w:rPr>
          <w:sz w:val="21"/>
          <w:u w:val="single"/>
        </w:rPr>
        <w:t xml:space="preserve">      </w:t>
      </w:r>
      <w:r>
        <w:rPr>
          <w:sz w:val="21"/>
        </w:rPr>
        <w:t>月止。</w:t>
      </w:r>
    </w:p>
    <w:p>
      <w:pPr>
        <w:pStyle w:val="null3"/>
        <w:ind w:left="15"/>
        <w:jc w:val="both"/>
      </w:pPr>
      <w:r>
        <w:rPr>
          <w:sz w:val="21"/>
          <w:b/>
        </w:rPr>
        <w:t>四、合同总金额</w:t>
      </w:r>
      <w:r>
        <w:rPr>
          <w:sz w:val="21"/>
          <w:b/>
        </w:rPr>
        <w:t>：</w:t>
      </w:r>
    </w:p>
    <w:p>
      <w:pPr>
        <w:pStyle w:val="null3"/>
        <w:ind w:left="15"/>
        <w:jc w:val="both"/>
      </w:pPr>
      <w:r>
        <w:rPr>
          <w:sz w:val="21"/>
        </w:rPr>
        <w:t>1</w:t>
      </w:r>
      <w:r>
        <w:rPr>
          <w:sz w:val="21"/>
        </w:rPr>
        <w:t>.合同</w:t>
      </w:r>
      <w:r>
        <w:rPr>
          <w:sz w:val="21"/>
        </w:rPr>
        <w:t>总</w:t>
      </w:r>
      <w:r>
        <w:rPr>
          <w:sz w:val="21"/>
        </w:rPr>
        <w:t>金额：</w:t>
      </w:r>
      <w:r>
        <w:rPr>
          <w:sz w:val="21"/>
        </w:rPr>
        <w:t>（大写）：人民币</w:t>
      </w:r>
      <w:r>
        <w:rPr>
          <w:sz w:val="21"/>
          <w:u w:val="single"/>
        </w:rPr>
        <w:t xml:space="preserve">                  </w:t>
      </w:r>
      <w:r>
        <w:rPr>
          <w:sz w:val="21"/>
        </w:rPr>
        <w:t>元（</w:t>
      </w:r>
      <w:r>
        <w:rPr>
          <w:sz w:val="21"/>
        </w:rPr>
        <w:t>小写：</w:t>
      </w:r>
      <w:r>
        <w:rPr>
          <w:sz w:val="21"/>
        </w:rPr>
        <w:t>￥</w:t>
      </w:r>
      <w:r>
        <w:rPr>
          <w:sz w:val="21"/>
          <w:u w:val="single"/>
        </w:rPr>
        <w:t xml:space="preserve">                     </w:t>
      </w:r>
      <w:r>
        <w:rPr>
          <w:sz w:val="21"/>
        </w:rPr>
        <w:t>）</w:t>
      </w:r>
    </w:p>
    <w:p>
      <w:pPr>
        <w:pStyle w:val="null3"/>
        <w:ind w:left="15"/>
        <w:jc w:val="both"/>
      </w:pPr>
      <w:r>
        <w:rPr>
          <w:sz w:val="21"/>
        </w:rPr>
        <w:t xml:space="preserve">2. </w:t>
      </w:r>
      <w:r>
        <w:rPr>
          <w:sz w:val="21"/>
        </w:rPr>
        <w:t>该合同总金额是包括、零配件、检测费、人工费、差旅费、人员培训费等维修期间发生的含税费用。本合同执行期间合同总金额不变。</w:t>
      </w:r>
    </w:p>
    <w:p>
      <w:pPr>
        <w:pStyle w:val="null3"/>
        <w:jc w:val="both"/>
      </w:pPr>
      <w:r>
        <w:rPr>
          <w:sz w:val="21"/>
          <w:b/>
        </w:rPr>
        <w:t>五、</w:t>
      </w:r>
      <w:r>
        <w:rPr>
          <w:sz w:val="21"/>
          <w:b/>
        </w:rPr>
        <w:t xml:space="preserve">  </w:t>
      </w:r>
      <w:r>
        <w:rPr>
          <w:sz w:val="21"/>
          <w:b/>
        </w:rPr>
        <w:t>付款方式</w:t>
      </w:r>
    </w:p>
    <w:p>
      <w:pPr>
        <w:pStyle w:val="null3"/>
        <w:jc w:val="both"/>
      </w:pPr>
      <w:r>
        <w:rPr>
          <w:sz w:val="21"/>
        </w:rPr>
        <w:t>用分期付款方式，合同签订后</w:t>
      </w:r>
      <w:r>
        <w:rPr>
          <w:sz w:val="21"/>
        </w:rPr>
        <w:t>1</w:t>
      </w:r>
      <w:r>
        <w:rPr>
          <w:sz w:val="21"/>
        </w:rPr>
        <w:t>5</w:t>
      </w:r>
      <w:r>
        <w:rPr>
          <w:sz w:val="21"/>
        </w:rPr>
        <w:t>天内先支付</w:t>
      </w:r>
      <w:r>
        <w:rPr>
          <w:sz w:val="21"/>
        </w:rPr>
        <w:t>15%的合同款作为首期维保服务款，余款分6期支付，每6个月支付一次，即合同签订后的第7个月内支付第2期款，合同签订后的第13个月内支付第3期款，以此类推。第2期至第6期的付款比例为14%，第7期的付款比例为15%。</w:t>
      </w:r>
    </w:p>
    <w:p>
      <w:pPr>
        <w:pStyle w:val="null3"/>
        <w:jc w:val="both"/>
      </w:pPr>
      <w:r>
        <w:rPr>
          <w:sz w:val="21"/>
          <w:b/>
        </w:rPr>
        <w:t>六、知识产权产权归属</w:t>
      </w:r>
    </w:p>
    <w:p>
      <w:pPr>
        <w:pStyle w:val="null3"/>
        <w:jc w:val="both"/>
      </w:pPr>
      <w:r>
        <w:rPr>
          <w:sz w:val="21"/>
        </w:rPr>
        <w:t>乙方对其所销售的货物应当享有知识产权或经权利人合法授权，保证没有侵犯任何第三人的知识产权等权利。因违反前述约定对第三人构成侵权的，应当由乙方向第三人承担一切法律责任；如导致甲方需要直接向权利人赔偿的</w:t>
      </w:r>
      <w:r>
        <w:rPr>
          <w:sz w:val="21"/>
        </w:rPr>
        <w:t>,则在甲方依法向第三人赔偿后，有权向乙方追偿。甲方由此产生的其他损失（包括但不限于已赔偿案件所需要承担的诉讼费用、已赔付款项按照同时期LPR计算的资金占用费、律师费、差旅费、调查费用等），乙方应当立即赔偿。</w:t>
      </w:r>
    </w:p>
    <w:p>
      <w:pPr>
        <w:pStyle w:val="null3"/>
        <w:jc w:val="both"/>
      </w:pPr>
      <w:r>
        <w:rPr>
          <w:sz w:val="21"/>
          <w:b/>
        </w:rPr>
        <w:t>七、保密</w:t>
      </w:r>
    </w:p>
    <w:p>
      <w:pPr>
        <w:pStyle w:val="null3"/>
        <w:jc w:val="both"/>
      </w:pPr>
      <w:r>
        <w:rPr>
          <w:sz w:val="21"/>
        </w:rPr>
        <w:t>任何一方对本合同的内容以及在履行本合同过程中所知悉的对方的经营、财务、技术等商业秘密及个人信息（包括患者的个人信息、检查记录）应严格保密，未经对方书面同意不得向任何第三方公开或泄露。此保密义务不限于本合同有效期限内，直至该保密信息由信息所有权人向社会合法公开时止。乙方及其员工在履行本合同期间，对所获悉的一切甲方设备和其他相关数据信息负有保密义务，不能作其他商业或非法用途，如有泄露或擅自使用或允许他人使用甲方信息引起的相关损失及法律责任由乙方承担，甲方有权中止合同并有权追究乙方由此产生的一切法律责任，乙方应赔偿不低于本合同总价</w:t>
      </w:r>
      <w:r>
        <w:rPr>
          <w:sz w:val="21"/>
        </w:rPr>
        <w:t>5%以上的违约金。</w:t>
      </w:r>
    </w:p>
    <w:p>
      <w:pPr>
        <w:pStyle w:val="null3"/>
        <w:ind w:left="195" w:firstLine="200"/>
        <w:jc w:val="both"/>
      </w:pPr>
      <w:r>
        <w:rPr>
          <w:sz w:val="21"/>
          <w:b/>
        </w:rPr>
        <w:t>八、违约责任与赔偿损失</w:t>
      </w:r>
    </w:p>
    <w:p>
      <w:pPr>
        <w:pStyle w:val="null3"/>
        <w:jc w:val="both"/>
      </w:pPr>
      <w:r>
        <w:rPr>
          <w:sz w:val="21"/>
        </w:rPr>
        <w:t>1</w:t>
      </w:r>
      <w:r>
        <w:rPr>
          <w:sz w:val="21"/>
        </w:rPr>
        <w:t>）</w:t>
      </w:r>
      <w:r>
        <w:rPr>
          <w:sz w:val="21"/>
        </w:rPr>
        <w:t xml:space="preserve"> </w:t>
      </w:r>
      <w:r>
        <w:rPr>
          <w:sz w:val="21"/>
        </w:rPr>
        <w:t>乙方提供的服务不符合招标文件、报价文件或本合同规定的，甲方有权拒收，并且乙方须向甲方方支付本合同总价</w:t>
      </w:r>
      <w:r>
        <w:rPr>
          <w:sz w:val="21"/>
        </w:rPr>
        <w:t>5%的违约金。</w:t>
      </w:r>
    </w:p>
    <w:p>
      <w:pPr>
        <w:pStyle w:val="null3"/>
        <w:jc w:val="both"/>
      </w:pPr>
      <w:r>
        <w:rPr>
          <w:sz w:val="21"/>
        </w:rPr>
        <w:t>2</w:t>
      </w:r>
      <w:r>
        <w:rPr>
          <w:sz w:val="21"/>
        </w:rPr>
        <w:t>）</w:t>
      </w:r>
      <w:r>
        <w:rPr>
          <w:sz w:val="21"/>
        </w:rPr>
        <w:t xml:space="preserve"> </w:t>
      </w:r>
      <w:r>
        <w:rPr>
          <w:sz w:val="21"/>
        </w:rPr>
        <w:t>乙方未能按本合同规定的交货时间提供服务，从逾期之日起每日按本合同总价</w:t>
      </w:r>
      <w:r>
        <w:rPr>
          <w:sz w:val="21"/>
        </w:rPr>
        <w:t>3‰的数额向甲方支付违约金；逾期半个月以上的，甲方有权终止合同，由此造成的甲方经济损失由乙方承担。</w:t>
      </w:r>
    </w:p>
    <w:p>
      <w:pPr>
        <w:pStyle w:val="null3"/>
        <w:jc w:val="both"/>
      </w:pPr>
      <w:r>
        <w:rPr>
          <w:sz w:val="21"/>
        </w:rPr>
        <w:t>3</w:t>
      </w:r>
      <w:r>
        <w:rPr>
          <w:sz w:val="21"/>
        </w:rPr>
        <w:t>）</w:t>
      </w:r>
      <w:r>
        <w:rPr>
          <w:sz w:val="21"/>
        </w:rPr>
        <w:t xml:space="preserve"> </w:t>
      </w:r>
      <w:r>
        <w:rPr>
          <w:sz w:val="21"/>
        </w:rPr>
        <w:t>甲方无正当理由拒收接受服务，到期拒付服务款项的，甲方向乙方偿付本合同总的</w:t>
      </w:r>
      <w:r>
        <w:rPr>
          <w:sz w:val="21"/>
        </w:rPr>
        <w:t>5%的违约金。甲方人逾期付款，则每日按本合同总价的3‰向乙方偿付违约金。</w:t>
      </w:r>
    </w:p>
    <w:p>
      <w:pPr>
        <w:pStyle w:val="null3"/>
        <w:jc w:val="both"/>
      </w:pPr>
      <w:r>
        <w:rPr>
          <w:sz w:val="21"/>
        </w:rPr>
        <w:t>4</w:t>
      </w:r>
      <w:r>
        <w:rPr>
          <w:sz w:val="21"/>
        </w:rPr>
        <w:t>）</w:t>
      </w:r>
      <w:r>
        <w:rPr>
          <w:sz w:val="21"/>
        </w:rPr>
        <w:t xml:space="preserve"> </w:t>
      </w:r>
      <w:r>
        <w:rPr>
          <w:sz w:val="21"/>
        </w:rPr>
        <w:t>其它违约责任按《中华人民共和国</w:t>
      </w:r>
      <w:r>
        <w:rPr>
          <w:sz w:val="21"/>
        </w:rPr>
        <w:t>民法典</w:t>
      </w:r>
      <w:r>
        <w:rPr>
          <w:sz w:val="21"/>
        </w:rPr>
        <w:t>》处理。</w:t>
      </w:r>
    </w:p>
    <w:p>
      <w:pPr>
        <w:pStyle w:val="null3"/>
        <w:jc w:val="both"/>
      </w:pPr>
      <w:r>
        <w:rPr>
          <w:sz w:val="21"/>
          <w:b/>
        </w:rPr>
        <w:t>九、争端的解决</w:t>
      </w:r>
    </w:p>
    <w:p>
      <w:pPr>
        <w:pStyle w:val="null3"/>
        <w:ind w:firstLine="420"/>
        <w:jc w:val="both"/>
      </w:pPr>
      <w:r>
        <w:rPr>
          <w:sz w:val="21"/>
        </w:rPr>
        <w:t>合同执行过程中发生的任何争议，如双方不能通过友好协商解决，按相关法律法规提交合同履行地（即甲方所在地）法院处理。</w:t>
      </w:r>
    </w:p>
    <w:p>
      <w:pPr>
        <w:pStyle w:val="null3"/>
        <w:jc w:val="both"/>
      </w:pPr>
      <w:r>
        <w:rPr>
          <w:sz w:val="21"/>
          <w:b/>
        </w:rPr>
        <w:t>十、不可抗力：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r>
        <w:rPr>
          <w:sz w:val="21"/>
        </w:rPr>
        <w:t>在中国境内、外发生的与本合同执行有关的一切税费均由乙方负担。</w:t>
      </w:r>
    </w:p>
    <w:p>
      <w:pPr>
        <w:pStyle w:val="null3"/>
        <w:jc w:val="both"/>
      </w:pPr>
      <w:r>
        <w:rPr>
          <w:sz w:val="21"/>
          <w:b/>
        </w:rPr>
        <w:t>十二、其它</w:t>
      </w:r>
    </w:p>
    <w:p>
      <w:pPr>
        <w:pStyle w:val="null3"/>
        <w:jc w:val="both"/>
      </w:pPr>
      <w:r>
        <w:rPr>
          <w:sz w:val="21"/>
        </w:rPr>
        <w:t>1</w:t>
      </w:r>
      <w:r>
        <w:rPr>
          <w:sz w:val="21"/>
        </w:rPr>
        <w:t>）</w:t>
      </w:r>
      <w:r>
        <w:rPr>
          <w:sz w:val="21"/>
        </w:rPr>
        <w:t xml:space="preserve"> </w:t>
      </w:r>
      <w:r>
        <w:rPr>
          <w:sz w:val="21"/>
        </w:rPr>
        <w:t>本合同所有附件、招标文件、投标文件、中标通知书均为合同的有效组成部分，与本合同具有同等法律效力。</w:t>
      </w:r>
    </w:p>
    <w:p>
      <w:pPr>
        <w:pStyle w:val="null3"/>
        <w:jc w:val="both"/>
      </w:pPr>
      <w:r>
        <w:rPr>
          <w:sz w:val="21"/>
        </w:rPr>
        <w:t>2</w:t>
      </w:r>
      <w:r>
        <w:rPr>
          <w:sz w:val="21"/>
        </w:rPr>
        <w:t>）</w:t>
      </w:r>
      <w:r>
        <w:rPr>
          <w:sz w:val="21"/>
        </w:rPr>
        <w:t xml:space="preserve"> </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w:t>
      </w:r>
      <w:r>
        <w:rPr>
          <w:sz w:val="21"/>
        </w:rPr>
        <w:t xml:space="preserve"> </w:t>
      </w:r>
      <w:r>
        <w:rPr>
          <w:sz w:val="21"/>
        </w:rPr>
        <w:t>如一方地址、电话、传真号码有变更，应在变更当日内书面通知对方，否则，应承担相应责任。</w:t>
      </w:r>
    </w:p>
    <w:p>
      <w:pPr>
        <w:pStyle w:val="null3"/>
        <w:jc w:val="both"/>
      </w:pPr>
      <w:r>
        <w:rPr>
          <w:sz w:val="21"/>
        </w:rPr>
        <w:t>4</w:t>
      </w:r>
      <w:r>
        <w:rPr>
          <w:sz w:val="21"/>
        </w:rPr>
        <w:t>）</w:t>
      </w:r>
      <w:r>
        <w:rPr>
          <w:sz w:val="21"/>
        </w:rPr>
        <w:t xml:space="preserve"> </w:t>
      </w:r>
      <w:r>
        <w:rPr>
          <w:sz w:val="21"/>
        </w:rPr>
        <w:t>除甲方事先书面同意外，乙方不得部分或全部转让其应履行的合同项下的义务。</w:t>
      </w:r>
    </w:p>
    <w:p>
      <w:pPr>
        <w:pStyle w:val="null3"/>
        <w:jc w:val="both"/>
      </w:pPr>
      <w:r>
        <w:rPr>
          <w:sz w:val="21"/>
          <w:b/>
        </w:rPr>
        <w:t>十二、合同生效：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rPr>
        <w:t>份。</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830"/>
        <w:jc w:val="both"/>
      </w:pPr>
      <w:r>
        <w:rPr>
          <w:sz w:val="21"/>
        </w:rPr>
        <w:t>开户名称：</w:t>
      </w:r>
    </w:p>
    <w:p>
      <w:pPr>
        <w:pStyle w:val="null3"/>
        <w:ind w:firstLine="4830"/>
        <w:jc w:val="both"/>
      </w:pPr>
      <w:r>
        <w:rPr>
          <w:sz w:val="21"/>
        </w:rPr>
        <w:t>银行帐号：</w:t>
      </w:r>
    </w:p>
    <w:p>
      <w:pPr>
        <w:pStyle w:val="null3"/>
        <w:jc w:val="both"/>
      </w:pPr>
      <w:r>
        <w:rPr>
          <w:sz w:val="21"/>
        </w:rPr>
        <w:t xml:space="preserve">                                                                              开</w:t>
      </w:r>
      <w:r>
        <w:rPr>
          <w:sz w:val="21"/>
        </w:rPr>
        <w:t>户</w:t>
      </w:r>
      <w:r>
        <w:rPr>
          <w:sz w:val="21"/>
        </w:rPr>
        <w:t>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440513-2026-00066</w:t>
      </w:r>
    </w:p>
    <w:p>
      <w:pPr>
        <w:pStyle w:val="null3"/>
        <w:jc w:val="center"/>
        <w:outlineLvl w:val="3"/>
      </w:pPr>
      <w:r>
        <w:rPr>
          <w:sz w:val="24"/>
          <w:b/>
        </w:rPr>
        <w:t>采购项目编号：</w:t>
      </w:r>
      <w:r>
        <w:rPr>
          <w:sz w:val="24"/>
          <w:b/>
        </w:rPr>
        <w:t>0724-2631ST640586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汕头市潮阳区大峰医院医疗设备维保服务项目</w:t>
      </w:r>
      <w:r>
        <w:rPr>
          <w:u w:val="single"/>
        </w:rPr>
        <w:t>”</w:t>
      </w:r>
      <w:r>
        <w:rPr/>
        <w:t>项目的招标[采购项目编号为：</w:t>
      </w:r>
      <w:r>
        <w:rPr>
          <w:u w:val="single"/>
        </w:rPr>
        <w:t>0724-2631ST640586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汕头市潮阳区大峰医院医疗设备维保服务项目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汕头市潮阳区大峰医院医疗设备维保服务项目</w:t>
      </w:r>
      <w:r>
        <w:rPr/>
        <w:t>”项目采购[采购项目编号为</w:t>
      </w:r>
      <w:r>
        <w:rPr/>
        <w:t>0724-2631ST640586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汕头市潮阳区大峰医院医疗设备维保服务项目</w:t>
      </w:r>
      <w:r>
        <w:rPr/>
        <w:t>招标中获中标（采购项目编号：</w:t>
      </w:r>
      <w:r>
        <w:rPr/>
        <w:t>0724-2631ST640586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汕头市潮阳区大峰医院医疗设备维保服务项目</w:t>
      </w:r>
      <w:r>
        <w:rPr/>
        <w:t>”项目（采购项目编号：</w:t>
      </w:r>
      <w:r>
        <w:rPr/>
        <w:t>0724-2631ST640586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