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CC7E4">
      <w:pPr>
        <w:ind w:firstLine="1680" w:firstLineChars="800"/>
        <w:rPr>
          <w:b/>
          <w:bCs/>
          <w:color w:val="auto"/>
          <w:highlight w:val="none"/>
        </w:rPr>
      </w:pPr>
      <w:r>
        <w:rPr>
          <w:color w:val="auto"/>
          <w:highlight w:val="none"/>
        </w:rPr>
        <w:drawing>
          <wp:anchor distT="0" distB="0" distL="114300" distR="114300" simplePos="0" relativeHeight="251662336" behindDoc="0" locked="0" layoutInCell="1" allowOverlap="1">
            <wp:simplePos x="0" y="0"/>
            <wp:positionH relativeFrom="column">
              <wp:posOffset>1362710</wp:posOffset>
            </wp:positionH>
            <wp:positionV relativeFrom="paragraph">
              <wp:posOffset>-67310</wp:posOffset>
            </wp:positionV>
            <wp:extent cx="2421890" cy="499745"/>
            <wp:effectExtent l="0" t="0" r="0" b="0"/>
            <wp:wrapNone/>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noChangeArrowheads="1"/>
                    </pic:cNvPicPr>
                  </pic:nvPicPr>
                  <pic:blipFill>
                    <a:blip r:embed="rId10">
                      <a:extLst>
                        <a:ext uri="{28A0092B-C50C-407E-A947-70E740481C1C}">
                          <a14:useLocalDpi xmlns:a14="http://schemas.microsoft.com/office/drawing/2010/main" val="0"/>
                        </a:ext>
                      </a:extLst>
                    </a:blip>
                    <a:srcRect l="7419" t="36481" r="7057" b="32161"/>
                    <a:stretch>
                      <a:fillRect/>
                    </a:stretch>
                  </pic:blipFill>
                  <pic:spPr>
                    <a:xfrm>
                      <a:off x="0" y="0"/>
                      <a:ext cx="2421890" cy="499745"/>
                    </a:xfrm>
                    <a:prstGeom prst="rect">
                      <a:avLst/>
                    </a:prstGeom>
                    <a:noFill/>
                    <a:ln>
                      <a:noFill/>
                    </a:ln>
                  </pic:spPr>
                </pic:pic>
              </a:graphicData>
            </a:graphic>
          </wp:anchor>
        </w:drawing>
      </w:r>
      <w:r>
        <w:rPr>
          <w:color w:val="auto"/>
          <w:highlight w:val="none"/>
        </w:rPr>
        <w:drawing>
          <wp:anchor distT="0" distB="0" distL="114300" distR="114300" simplePos="0" relativeHeight="251661312" behindDoc="0" locked="0" layoutInCell="1" allowOverlap="1">
            <wp:simplePos x="0" y="0"/>
            <wp:positionH relativeFrom="page">
              <wp:posOffset>1070610</wp:posOffset>
            </wp:positionH>
            <wp:positionV relativeFrom="page">
              <wp:posOffset>821690</wp:posOffset>
            </wp:positionV>
            <wp:extent cx="1562735" cy="607060"/>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a:extLst>
                        <a:ext uri="{28A0092B-C50C-407E-A947-70E740481C1C}">
                          <a14:useLocalDpi xmlns:a14="http://schemas.microsoft.com/office/drawing/2010/main" val="0"/>
                        </a:ext>
                      </a:extLst>
                    </a:blip>
                    <a:srcRect r="35049" b="51643"/>
                    <a:stretch>
                      <a:fillRect/>
                    </a:stretch>
                  </pic:blipFill>
                  <pic:spPr>
                    <a:xfrm>
                      <a:off x="0" y="0"/>
                      <a:ext cx="1562735" cy="607060"/>
                    </a:xfrm>
                    <a:prstGeom prst="rect">
                      <a:avLst/>
                    </a:prstGeom>
                    <a:noFill/>
                    <a:ln>
                      <a:noFill/>
                    </a:ln>
                  </pic:spPr>
                </pic:pic>
              </a:graphicData>
            </a:graphic>
          </wp:anchor>
        </w:drawing>
      </w:r>
    </w:p>
    <w:p w14:paraId="2547019B">
      <w:pPr>
        <w:tabs>
          <w:tab w:val="left" w:pos="420"/>
          <w:tab w:val="left" w:pos="6660"/>
        </w:tabs>
        <w:spacing w:line="1600" w:lineRule="atLeast"/>
        <w:jc w:val="center"/>
        <w:rPr>
          <w:rFonts w:hint="eastAsia" w:ascii="阿里巴巴普惠体 Heavy" w:hAnsi="阿里巴巴普惠体 Heavy" w:eastAsia="阿里巴巴普惠体 Heavy" w:cs="阿里巴巴普惠体 Heavy"/>
          <w:b/>
          <w:color w:val="auto"/>
          <w:sz w:val="84"/>
          <w:szCs w:val="84"/>
          <w:highlight w:val="none"/>
        </w:rPr>
      </w:pPr>
    </w:p>
    <w:p w14:paraId="0697D09C">
      <w:pPr>
        <w:tabs>
          <w:tab w:val="left" w:pos="420"/>
          <w:tab w:val="left" w:pos="6660"/>
        </w:tabs>
        <w:spacing w:line="1600" w:lineRule="atLeast"/>
        <w:jc w:val="center"/>
        <w:rPr>
          <w:rFonts w:hint="eastAsia" w:ascii="阿里巴巴普惠体 Heavy" w:hAnsi="阿里巴巴普惠体 Heavy" w:eastAsia="阿里巴巴普惠体 Heavy" w:cs="阿里巴巴普惠体 Heavy"/>
          <w:b/>
          <w:color w:val="auto"/>
          <w:sz w:val="84"/>
          <w:szCs w:val="84"/>
          <w:highlight w:val="none"/>
        </w:rPr>
      </w:pPr>
      <w:r>
        <w:rPr>
          <w:rFonts w:hint="eastAsia" w:ascii="阿里巴巴普惠体 Heavy" w:hAnsi="阿里巴巴普惠体 Heavy" w:eastAsia="阿里巴巴普惠体 Heavy" w:cs="阿里巴巴普惠体 Heavy"/>
          <w:b/>
          <w:color w:val="auto"/>
          <w:sz w:val="84"/>
          <w:szCs w:val="84"/>
          <w:highlight w:val="none"/>
        </w:rPr>
        <w:t>公开招标文件</w:t>
      </w:r>
    </w:p>
    <w:p w14:paraId="14CBFEB4">
      <w:pPr>
        <w:spacing w:line="500" w:lineRule="exact"/>
        <w:jc w:val="center"/>
        <w:rPr>
          <w:rFonts w:hint="eastAsia" w:ascii="阿里巴巴普惠体 Heavy" w:hAnsi="阿里巴巴普惠体 Heavy" w:eastAsia="阿里巴巴普惠体 Heavy" w:cs="阿里巴巴普惠体 Heavy"/>
          <w:bCs/>
          <w:color w:val="auto"/>
          <w:sz w:val="28"/>
          <w:szCs w:val="28"/>
          <w:highlight w:val="none"/>
        </w:rPr>
      </w:pPr>
    </w:p>
    <w:p w14:paraId="2AC76EE6">
      <w:pPr>
        <w:spacing w:line="500" w:lineRule="exact"/>
        <w:jc w:val="center"/>
        <w:rPr>
          <w:rFonts w:hint="eastAsia" w:ascii="宋体" w:hAnsi="宋体"/>
          <w:bCs/>
          <w:color w:val="auto"/>
          <w:sz w:val="28"/>
          <w:szCs w:val="28"/>
          <w:highlight w:val="none"/>
        </w:rPr>
      </w:pPr>
    </w:p>
    <w:p w14:paraId="5D6CEA61">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lang w:eastAsia="zh-CN"/>
        </w:rPr>
      </w:pPr>
      <w:r>
        <w:rPr>
          <w:rFonts w:hint="eastAsia" w:ascii="阿里巴巴普惠体 Heavy" w:hAnsi="阿里巴巴普惠体 Heavy" w:eastAsia="阿里巴巴普惠体 Heavy" w:cs="阿里巴巴普惠体 Heavy"/>
          <w:b/>
          <w:bCs/>
          <w:color w:val="auto"/>
          <w:sz w:val="32"/>
          <w:szCs w:val="32"/>
          <w:highlight w:val="none"/>
        </w:rPr>
        <w:t>项目编号：</w:t>
      </w:r>
      <w:r>
        <w:rPr>
          <w:rFonts w:hint="eastAsia" w:ascii="阿里巴巴普惠体 Heavy" w:hAnsi="阿里巴巴普惠体 Heavy" w:eastAsia="阿里巴巴普惠体 Heavy" w:cs="阿里巴巴普惠体 Heavy"/>
          <w:b/>
          <w:bCs/>
          <w:color w:val="auto"/>
          <w:sz w:val="32"/>
          <w:szCs w:val="32"/>
          <w:highlight w:val="none"/>
          <w:lang w:eastAsia="zh-CN"/>
        </w:rPr>
        <w:t>0724-2631ZH410610</w:t>
      </w:r>
    </w:p>
    <w:p w14:paraId="6200E313">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5939BB1F">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lang w:eastAsia="zh-CN"/>
        </w:rPr>
      </w:pPr>
      <w:r>
        <w:rPr>
          <w:rFonts w:hint="eastAsia" w:ascii="阿里巴巴普惠体 Heavy" w:hAnsi="阿里巴巴普惠体 Heavy" w:eastAsia="阿里巴巴普惠体 Heavy" w:cs="阿里巴巴普惠体 Heavy"/>
          <w:b/>
          <w:bCs/>
          <w:color w:val="auto"/>
          <w:sz w:val="32"/>
          <w:szCs w:val="32"/>
          <w:highlight w:val="none"/>
        </w:rPr>
        <w:t>采购项目名称：国家税务总局珠海市税务局梅华西办公区</w:t>
      </w:r>
      <w:r>
        <w:rPr>
          <w:rFonts w:hint="eastAsia" w:ascii="阿里巴巴普惠体 Heavy" w:hAnsi="阿里巴巴普惠体 Heavy" w:eastAsia="阿里巴巴普惠体 Heavy" w:cs="阿里巴巴普惠体 Heavy"/>
          <w:b/>
          <w:bCs/>
          <w:color w:val="auto"/>
          <w:sz w:val="32"/>
          <w:szCs w:val="32"/>
          <w:highlight w:val="none"/>
          <w:lang w:eastAsia="zh-CN"/>
        </w:rPr>
        <w:t>2026-2027年物业管理服务采购项目</w:t>
      </w:r>
    </w:p>
    <w:p w14:paraId="2E095FAF">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0CA5BED5">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7562C566">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04759429">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2F9F8DA6">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6EAD209D">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73A7730B">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64CA0292">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1D2822CF">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48E540D6">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6A8A97B8">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1838B0B4">
      <w:pPr>
        <w:spacing w:line="500" w:lineRule="exact"/>
        <w:jc w:val="center"/>
        <w:rPr>
          <w:rFonts w:hint="eastAsia" w:ascii="阿里巴巴普惠体 Heavy" w:hAnsi="阿里巴巴普惠体 Heavy" w:eastAsia="阿里巴巴普惠体 Heavy" w:cs="阿里巴巴普惠体 Heavy"/>
          <w:b/>
          <w:bCs/>
          <w:color w:val="auto"/>
          <w:sz w:val="32"/>
          <w:szCs w:val="32"/>
          <w:highlight w:val="none"/>
        </w:rPr>
      </w:pPr>
    </w:p>
    <w:p w14:paraId="258F855F">
      <w:pPr>
        <w:widowControl/>
        <w:jc w:val="left"/>
        <w:rPr>
          <w:rFonts w:hint="eastAsia" w:ascii="阿里巴巴普惠体 Heavy" w:hAnsi="阿里巴巴普惠体 Heavy" w:eastAsia="阿里巴巴普惠体 Heavy" w:cs="阿里巴巴普惠体 Heavy"/>
          <w:b/>
          <w:bCs/>
          <w:color w:val="auto"/>
          <w:sz w:val="28"/>
          <w:szCs w:val="28"/>
          <w:highlight w:val="none"/>
        </w:rPr>
      </w:pPr>
      <w:r>
        <w:rPr>
          <w:color w:val="auto"/>
          <w:highlight w:val="none"/>
        </w:rPr>
        <w:drawing>
          <wp:anchor distT="0" distB="0" distL="114935" distR="114935" simplePos="0" relativeHeight="251661312" behindDoc="0" locked="0" layoutInCell="1" allowOverlap="1">
            <wp:simplePos x="0" y="0"/>
            <wp:positionH relativeFrom="page">
              <wp:posOffset>2266315</wp:posOffset>
            </wp:positionH>
            <wp:positionV relativeFrom="paragraph">
              <wp:posOffset>53975</wp:posOffset>
            </wp:positionV>
            <wp:extent cx="676275" cy="676275"/>
            <wp:effectExtent l="0" t="0" r="0" b="0"/>
            <wp:wrapSquare wrapText="bothSides"/>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76275" cy="676275"/>
                    </a:xfrm>
                    <a:prstGeom prst="rect">
                      <a:avLst/>
                    </a:prstGeom>
                    <a:noFill/>
                    <a:ln>
                      <a:noFill/>
                    </a:ln>
                  </pic:spPr>
                </pic:pic>
              </a:graphicData>
            </a:graphic>
          </wp:anchor>
        </w:drawing>
      </w:r>
      <w:r>
        <w:rPr>
          <w:rFonts w:hint="eastAsia" w:ascii="阿里巴巴普惠体 Light" w:hAnsi="阿里巴巴普惠体 Light" w:eastAsia="阿里巴巴普惠体 Light" w:cs="阿里巴巴普惠体 Light"/>
          <w:b/>
          <w:bCs/>
          <w:color w:val="auto"/>
          <w:sz w:val="28"/>
          <w:szCs w:val="28"/>
          <w:highlight w:val="none"/>
        </w:rPr>
        <w:t xml:space="preserve">                                         </w:t>
      </w:r>
      <w:r>
        <w:rPr>
          <w:rFonts w:hint="eastAsia" w:ascii="阿里巴巴普惠体 Heavy" w:hAnsi="阿里巴巴普惠体 Heavy" w:eastAsia="阿里巴巴普惠体 Heavy" w:cs="阿里巴巴普惠体 Heavy"/>
          <w:b/>
          <w:bCs/>
          <w:color w:val="auto"/>
          <w:sz w:val="28"/>
          <w:szCs w:val="28"/>
          <w:highlight w:val="none"/>
        </w:rPr>
        <w:t>国义招标股份有限公司  编制</w:t>
      </w:r>
    </w:p>
    <w:p w14:paraId="545E8C88">
      <w:pPr>
        <w:widowControl/>
        <w:jc w:val="left"/>
        <w:rPr>
          <w:color w:val="auto"/>
          <w:highlight w:val="none"/>
        </w:rPr>
      </w:pPr>
      <w:r>
        <w:rPr>
          <w:rFonts w:hint="eastAsia" w:ascii="阿里巴巴普惠体 Light" w:hAnsi="阿里巴巴普惠体 Light" w:eastAsia="阿里巴巴普惠体 Light" w:cs="阿里巴巴普惠体 Light"/>
          <w:b/>
          <w:bCs/>
          <w:color w:val="auto"/>
          <w:sz w:val="28"/>
          <w:szCs w:val="28"/>
          <w:highlight w:val="none"/>
        </w:rPr>
        <w:t xml:space="preserve">                                       </w:t>
      </w:r>
      <w:r>
        <w:rPr>
          <w:rFonts w:hint="eastAsia" w:ascii="阿里巴巴普惠体 Heavy" w:hAnsi="阿里巴巴普惠体 Heavy" w:eastAsia="阿里巴巴普惠体 Heavy" w:cs="阿里巴巴普惠体 Heavy"/>
          <w:b/>
          <w:bCs/>
          <w:color w:val="auto"/>
          <w:sz w:val="28"/>
          <w:szCs w:val="28"/>
          <w:highlight w:val="none"/>
        </w:rPr>
        <w:t>发布日期：2026年02月14日</w:t>
      </w:r>
    </w:p>
    <w:p w14:paraId="353CDAA4">
      <w:pPr>
        <w:tabs>
          <w:tab w:val="left" w:pos="851"/>
        </w:tabs>
        <w:spacing w:line="360" w:lineRule="auto"/>
        <w:rPr>
          <w:rFonts w:hint="eastAsia" w:ascii="宋体" w:hAnsi="宋体"/>
          <w:b/>
          <w:bCs/>
          <w:color w:val="auto"/>
          <w:sz w:val="28"/>
          <w:szCs w:val="28"/>
          <w:highlight w:val="none"/>
        </w:rPr>
        <w:sectPr>
          <w:headerReference r:id="rId3" w:type="first"/>
          <w:footerReference r:id="rId4" w:type="default"/>
          <w:footerReference r:id="rId5" w:type="even"/>
          <w:pgSz w:w="11906" w:h="16838"/>
          <w:pgMar w:top="1440" w:right="1803" w:bottom="1440" w:left="1803" w:header="851" w:footer="992" w:gutter="0"/>
          <w:cols w:space="0" w:num="1"/>
          <w:rtlGutter w:val="0"/>
          <w:docGrid w:type="lines" w:linePitch="312" w:charSpace="0"/>
        </w:sectPr>
      </w:pPr>
    </w:p>
    <w:p w14:paraId="1D75085D">
      <w:pPr>
        <w:spacing w:line="360" w:lineRule="auto"/>
        <w:jc w:val="center"/>
        <w:rPr>
          <w:rFonts w:hint="eastAsia" w:ascii="宋体" w:hAnsi="宋体"/>
          <w:b/>
          <w:color w:val="auto"/>
          <w:sz w:val="24"/>
          <w:highlight w:val="none"/>
        </w:rPr>
      </w:pPr>
      <w:r>
        <w:rPr>
          <w:rFonts w:hint="eastAsia" w:ascii="宋体" w:hAnsi="宋体"/>
          <w:b/>
          <w:color w:val="auto"/>
          <w:sz w:val="24"/>
          <w:highlight w:val="none"/>
        </w:rPr>
        <w:t>温馨提示</w:t>
      </w:r>
    </w:p>
    <w:p w14:paraId="130B822C">
      <w:pPr>
        <w:spacing w:line="360" w:lineRule="auto"/>
        <w:rPr>
          <w:rFonts w:hint="eastAsia" w:ascii="宋体" w:hAnsi="宋体"/>
          <w:color w:val="auto"/>
          <w:szCs w:val="21"/>
          <w:highlight w:val="none"/>
        </w:rPr>
      </w:pPr>
    </w:p>
    <w:p w14:paraId="16FD61A7">
      <w:pPr>
        <w:numPr>
          <w:ilvl w:val="0"/>
          <w:numId w:val="3"/>
        </w:numPr>
        <w:tabs>
          <w:tab w:val="left" w:pos="851"/>
        </w:tabs>
        <w:spacing w:line="360" w:lineRule="auto"/>
        <w:ind w:left="851" w:hanging="851"/>
        <w:rPr>
          <w:rFonts w:hint="eastAsia" w:ascii="宋体" w:hAnsi="宋体"/>
          <w:color w:val="auto"/>
          <w:szCs w:val="21"/>
          <w:highlight w:val="none"/>
        </w:rPr>
      </w:pPr>
      <w:r>
        <w:rPr>
          <w:rFonts w:hint="eastAsia" w:ascii="宋体" w:hAnsi="宋体"/>
          <w:color w:val="auto"/>
          <w:szCs w:val="21"/>
          <w:highlight w:val="none"/>
        </w:rPr>
        <w:t>如无另行说明，投标文件递交时间为</w:t>
      </w:r>
      <w:r>
        <w:rPr>
          <w:rFonts w:hint="eastAsia" w:ascii="宋体" w:hAnsi="宋体"/>
          <w:b/>
          <w:color w:val="auto"/>
          <w:szCs w:val="21"/>
          <w:highlight w:val="none"/>
          <w:u w:val="single"/>
        </w:rPr>
        <w:t>投标截止时间之前30分钟</w:t>
      </w:r>
      <w:r>
        <w:rPr>
          <w:rFonts w:hint="eastAsia" w:ascii="宋体" w:hAnsi="宋体"/>
          <w:color w:val="auto"/>
          <w:szCs w:val="21"/>
          <w:highlight w:val="none"/>
        </w:rPr>
        <w:t>内。</w:t>
      </w:r>
    </w:p>
    <w:p w14:paraId="149C101C">
      <w:pPr>
        <w:numPr>
          <w:ilvl w:val="0"/>
          <w:numId w:val="3"/>
        </w:numPr>
        <w:tabs>
          <w:tab w:val="left" w:pos="851"/>
        </w:tabs>
        <w:spacing w:line="360" w:lineRule="auto"/>
        <w:ind w:left="851" w:hanging="851"/>
        <w:rPr>
          <w:rFonts w:hint="eastAsia" w:ascii="宋体" w:hAnsi="宋体"/>
          <w:color w:val="auto"/>
          <w:szCs w:val="21"/>
          <w:highlight w:val="none"/>
        </w:rPr>
      </w:pPr>
      <w:r>
        <w:rPr>
          <w:rFonts w:hint="eastAsia" w:ascii="宋体" w:hAnsi="宋体"/>
          <w:color w:val="auto"/>
          <w:szCs w:val="21"/>
          <w:highlight w:val="none"/>
        </w:rPr>
        <w:t>为避免因迟到而失去投标资格，请</w:t>
      </w:r>
      <w:r>
        <w:rPr>
          <w:rFonts w:hint="eastAsia" w:ascii="宋体" w:hAnsi="宋体"/>
          <w:b/>
          <w:color w:val="auto"/>
          <w:szCs w:val="21"/>
          <w:highlight w:val="none"/>
          <w:u w:val="single"/>
        </w:rPr>
        <w:t>适当提前到达</w:t>
      </w:r>
      <w:r>
        <w:rPr>
          <w:rFonts w:hint="eastAsia" w:ascii="宋体" w:hAnsi="宋体"/>
          <w:color w:val="auto"/>
          <w:szCs w:val="21"/>
          <w:highlight w:val="none"/>
        </w:rPr>
        <w:t>。</w:t>
      </w:r>
    </w:p>
    <w:p w14:paraId="4B9F502F">
      <w:pPr>
        <w:numPr>
          <w:ilvl w:val="0"/>
          <w:numId w:val="3"/>
        </w:numPr>
        <w:tabs>
          <w:tab w:val="left" w:pos="851"/>
        </w:tabs>
        <w:spacing w:line="360" w:lineRule="auto"/>
        <w:ind w:left="851" w:hanging="851"/>
        <w:rPr>
          <w:rFonts w:hint="eastAsia" w:ascii="宋体" w:hAnsi="宋体"/>
          <w:color w:val="auto"/>
          <w:szCs w:val="21"/>
          <w:highlight w:val="none"/>
        </w:rPr>
      </w:pPr>
      <w:r>
        <w:rPr>
          <w:rFonts w:hint="eastAsia" w:ascii="宋体" w:hAnsi="宋体"/>
          <w:color w:val="auto"/>
          <w:szCs w:val="21"/>
          <w:highlight w:val="none"/>
        </w:rPr>
        <w:t>投标文件应按顺序</w:t>
      </w:r>
      <w:r>
        <w:rPr>
          <w:rFonts w:hint="eastAsia" w:ascii="宋体" w:hAnsi="宋体"/>
          <w:b/>
          <w:color w:val="auto"/>
          <w:szCs w:val="21"/>
          <w:highlight w:val="none"/>
          <w:u w:val="single"/>
        </w:rPr>
        <w:t>编制页码</w:t>
      </w:r>
      <w:r>
        <w:rPr>
          <w:rFonts w:hint="eastAsia" w:ascii="宋体" w:hAnsi="宋体"/>
          <w:color w:val="auto"/>
          <w:szCs w:val="21"/>
          <w:highlight w:val="none"/>
        </w:rPr>
        <w:t>。</w:t>
      </w:r>
    </w:p>
    <w:p w14:paraId="6D9CBBC1">
      <w:pPr>
        <w:numPr>
          <w:ilvl w:val="0"/>
          <w:numId w:val="3"/>
        </w:numPr>
        <w:tabs>
          <w:tab w:val="left" w:pos="851"/>
        </w:tabs>
        <w:spacing w:line="360" w:lineRule="auto"/>
        <w:ind w:left="851" w:hanging="851"/>
        <w:rPr>
          <w:rFonts w:hint="eastAsia" w:ascii="宋体" w:hAnsi="宋体"/>
          <w:color w:val="auto"/>
          <w:szCs w:val="21"/>
          <w:highlight w:val="none"/>
        </w:rPr>
      </w:pPr>
      <w:r>
        <w:rPr>
          <w:rFonts w:hint="eastAsia" w:ascii="宋体" w:hAnsi="宋体"/>
          <w:color w:val="auto"/>
          <w:szCs w:val="21"/>
          <w:highlight w:val="none"/>
        </w:rPr>
        <w:t>请仔细检查投标文件是否已按招标文件要求</w:t>
      </w:r>
      <w:r>
        <w:rPr>
          <w:rFonts w:hint="eastAsia" w:ascii="宋体" w:hAnsi="宋体"/>
          <w:b/>
          <w:color w:val="auto"/>
          <w:szCs w:val="21"/>
          <w:highlight w:val="none"/>
          <w:u w:val="single"/>
        </w:rPr>
        <w:t>盖章、签名及密封</w:t>
      </w:r>
      <w:r>
        <w:rPr>
          <w:rFonts w:hint="eastAsia" w:ascii="宋体" w:hAnsi="宋体"/>
          <w:color w:val="auto"/>
          <w:szCs w:val="21"/>
          <w:highlight w:val="none"/>
        </w:rPr>
        <w:t>。</w:t>
      </w:r>
    </w:p>
    <w:p w14:paraId="40E06038">
      <w:pPr>
        <w:numPr>
          <w:ilvl w:val="0"/>
          <w:numId w:val="3"/>
        </w:numPr>
        <w:tabs>
          <w:tab w:val="left" w:pos="851"/>
        </w:tabs>
        <w:spacing w:line="360" w:lineRule="auto"/>
        <w:ind w:left="851" w:hanging="851"/>
        <w:rPr>
          <w:rFonts w:hint="eastAsia" w:ascii="宋体" w:hAnsi="宋体"/>
          <w:color w:val="auto"/>
          <w:szCs w:val="21"/>
          <w:highlight w:val="none"/>
        </w:rPr>
      </w:pPr>
      <w:r>
        <w:rPr>
          <w:rFonts w:hint="eastAsia" w:ascii="宋体" w:hAnsi="宋体"/>
          <w:color w:val="auto"/>
          <w:szCs w:val="21"/>
          <w:highlight w:val="none"/>
        </w:rPr>
        <w:t>请正确填写《开标一览表》，并封装在单独的唱标信封当中。</w:t>
      </w:r>
    </w:p>
    <w:p w14:paraId="369FF3BA">
      <w:pPr>
        <w:numPr>
          <w:ilvl w:val="0"/>
          <w:numId w:val="3"/>
        </w:numPr>
        <w:tabs>
          <w:tab w:val="left" w:pos="851"/>
        </w:tabs>
        <w:spacing w:line="360" w:lineRule="auto"/>
        <w:ind w:left="851" w:hanging="851"/>
        <w:rPr>
          <w:rFonts w:hint="eastAsia" w:ascii="宋体" w:hAnsi="宋体"/>
          <w:color w:val="auto"/>
          <w:szCs w:val="21"/>
          <w:highlight w:val="none"/>
        </w:rPr>
      </w:pPr>
      <w:r>
        <w:rPr>
          <w:rFonts w:hint="eastAsia" w:ascii="宋体" w:hAnsi="宋体"/>
          <w:color w:val="auto"/>
          <w:szCs w:val="21"/>
          <w:highlight w:val="none"/>
        </w:rPr>
        <w:t>招标项目内或有多项设备或报价内容的，</w:t>
      </w:r>
      <w:r>
        <w:rPr>
          <w:rFonts w:hint="eastAsia" w:ascii="宋体" w:hAnsi="宋体"/>
          <w:b/>
          <w:color w:val="auto"/>
          <w:szCs w:val="21"/>
          <w:highlight w:val="none"/>
          <w:u w:val="single"/>
        </w:rPr>
        <w:t>应加总后报总价</w:t>
      </w:r>
      <w:r>
        <w:rPr>
          <w:rFonts w:hint="eastAsia" w:ascii="宋体" w:hAnsi="宋体"/>
          <w:color w:val="auto"/>
          <w:szCs w:val="21"/>
          <w:highlight w:val="none"/>
        </w:rPr>
        <w:t>。</w:t>
      </w:r>
    </w:p>
    <w:p w14:paraId="53F4C0D9">
      <w:pPr>
        <w:numPr>
          <w:ilvl w:val="0"/>
          <w:numId w:val="3"/>
        </w:numPr>
        <w:tabs>
          <w:tab w:val="left" w:pos="851"/>
        </w:tabs>
        <w:spacing w:line="360" w:lineRule="auto"/>
        <w:ind w:left="851" w:hanging="851"/>
        <w:rPr>
          <w:rFonts w:hint="eastAsia" w:ascii="宋体" w:hAnsi="宋体"/>
          <w:color w:val="auto"/>
          <w:szCs w:val="21"/>
          <w:highlight w:val="none"/>
        </w:rPr>
      </w:pPr>
      <w:r>
        <w:rPr>
          <w:rFonts w:hint="eastAsia" w:ascii="宋体" w:hAnsi="宋体" w:cs="Arial"/>
          <w:color w:val="auto"/>
          <w:szCs w:val="21"/>
          <w:highlight w:val="none"/>
        </w:rPr>
        <w:t>如投标人以非独立法人注册的分公司名义代表总公司盖章和签署文件的</w:t>
      </w:r>
      <w:r>
        <w:rPr>
          <w:rFonts w:hint="eastAsia" w:ascii="宋体" w:hAnsi="宋体"/>
          <w:color w:val="auto"/>
          <w:szCs w:val="21"/>
          <w:highlight w:val="none"/>
        </w:rPr>
        <w:t>，须提供总公司的营业执照副本复印件及总公司针对本项目投标的授权书原件。</w:t>
      </w:r>
    </w:p>
    <w:p w14:paraId="57D20AB3">
      <w:pPr>
        <w:numPr>
          <w:ilvl w:val="0"/>
          <w:numId w:val="3"/>
        </w:numPr>
        <w:tabs>
          <w:tab w:val="left" w:pos="851"/>
        </w:tabs>
        <w:spacing w:line="360" w:lineRule="auto"/>
        <w:ind w:left="851" w:hanging="851"/>
        <w:rPr>
          <w:rFonts w:hint="eastAsia" w:ascii="宋体" w:hAnsi="宋体"/>
          <w:color w:val="auto"/>
          <w:szCs w:val="21"/>
          <w:highlight w:val="none"/>
        </w:rPr>
      </w:pPr>
      <w:r>
        <w:rPr>
          <w:rFonts w:hint="eastAsia" w:ascii="宋体" w:hAnsi="宋体"/>
          <w:color w:val="auto"/>
          <w:szCs w:val="21"/>
          <w:highlight w:val="none"/>
        </w:rPr>
        <w:t>获取了招标文件的公司，请在投标截止时间前3日以书面形式通知采购代理机构是否参加投标。邮购文件的公司应提供快递地址以确保收到纸质的采购文件。</w:t>
      </w:r>
    </w:p>
    <w:p w14:paraId="11471CE7">
      <w:pPr>
        <w:tabs>
          <w:tab w:val="left" w:pos="851"/>
        </w:tabs>
        <w:spacing w:line="360" w:lineRule="auto"/>
        <w:ind w:left="850" w:hanging="850" w:hangingChars="405"/>
        <w:rPr>
          <w:rFonts w:hint="eastAsia" w:ascii="宋体" w:hAnsi="宋体"/>
          <w:color w:val="auto"/>
          <w:szCs w:val="21"/>
          <w:highlight w:val="none"/>
        </w:rPr>
      </w:pPr>
    </w:p>
    <w:p w14:paraId="030A504A">
      <w:pPr>
        <w:tabs>
          <w:tab w:val="left" w:pos="851"/>
        </w:tabs>
        <w:spacing w:line="360" w:lineRule="auto"/>
        <w:ind w:left="850" w:hanging="850" w:hangingChars="405"/>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（以上提示内容仅作一般事项提醒，如与实际招标项目要求有不一致，以招标文件为准）</w:t>
      </w:r>
    </w:p>
    <w:p w14:paraId="63CDFB77">
      <w:pPr>
        <w:rPr>
          <w:rFonts w:hint="eastAsia" w:ascii="宋体" w:hAnsi="宋体"/>
          <w:color w:val="auto"/>
          <w:szCs w:val="21"/>
          <w:highlight w:val="none"/>
        </w:rPr>
      </w:pPr>
      <w:r>
        <w:rPr>
          <w:rFonts w:ascii="宋体" w:hAnsi="宋体"/>
          <w:color w:val="auto"/>
          <w:szCs w:val="21"/>
          <w:highlight w:val="none"/>
        </w:rPr>
        <w:br w:type="page"/>
      </w:r>
    </w:p>
    <w:p w14:paraId="5C89C9B3">
      <w:pPr>
        <w:jc w:val="center"/>
        <w:rPr>
          <w:rFonts w:hint="eastAsia" w:ascii="宋体" w:hAnsi="宋体"/>
          <w:b/>
          <w:color w:val="auto"/>
          <w:sz w:val="32"/>
          <w:szCs w:val="32"/>
          <w:highlight w:val="none"/>
        </w:rPr>
      </w:pPr>
      <w:r>
        <w:rPr>
          <w:rFonts w:hint="eastAsia" w:ascii="宋体" w:hAnsi="宋体"/>
          <w:b/>
          <w:color w:val="auto"/>
          <w:sz w:val="32"/>
          <w:szCs w:val="32"/>
          <w:highlight w:val="none"/>
        </w:rPr>
        <w:t>目      录</w:t>
      </w:r>
    </w:p>
    <w:p w14:paraId="45F55BC9">
      <w:pPr>
        <w:jc w:val="center"/>
        <w:rPr>
          <w:rFonts w:hint="eastAsia" w:ascii="宋体" w:hAnsi="宋体"/>
          <w:b/>
          <w:color w:val="auto"/>
          <w:sz w:val="28"/>
          <w:szCs w:val="28"/>
          <w:highlight w:val="none"/>
        </w:rPr>
      </w:pPr>
    </w:p>
    <w:p w14:paraId="4491A208">
      <w:pPr>
        <w:spacing w:line="480" w:lineRule="auto"/>
        <w:rPr>
          <w:rFonts w:hint="eastAsia" w:ascii="宋体" w:hAnsi="宋体"/>
          <w:color w:val="auto"/>
          <w:sz w:val="30"/>
          <w:szCs w:val="30"/>
          <w:highlight w:val="none"/>
        </w:rPr>
      </w:pPr>
      <w:r>
        <w:rPr>
          <w:rFonts w:hint="eastAsia" w:ascii="宋体" w:hAnsi="宋体"/>
          <w:color w:val="auto"/>
          <w:sz w:val="30"/>
          <w:szCs w:val="30"/>
          <w:highlight w:val="none"/>
        </w:rPr>
        <w:t>第一部分  投标邀请函</w:t>
      </w:r>
    </w:p>
    <w:p w14:paraId="73BF77B8">
      <w:pPr>
        <w:spacing w:line="480" w:lineRule="auto"/>
        <w:rPr>
          <w:rFonts w:hint="eastAsia" w:ascii="宋体" w:hAnsi="宋体"/>
          <w:color w:val="auto"/>
          <w:sz w:val="30"/>
          <w:szCs w:val="30"/>
          <w:highlight w:val="none"/>
        </w:rPr>
      </w:pPr>
      <w:r>
        <w:rPr>
          <w:rFonts w:hint="eastAsia" w:ascii="宋体" w:hAnsi="宋体"/>
          <w:color w:val="auto"/>
          <w:sz w:val="30"/>
          <w:szCs w:val="30"/>
          <w:highlight w:val="none"/>
        </w:rPr>
        <w:t>第二部分  采购项目内容</w:t>
      </w:r>
    </w:p>
    <w:p w14:paraId="3D66B15D">
      <w:pPr>
        <w:spacing w:line="480" w:lineRule="auto"/>
        <w:rPr>
          <w:rFonts w:hint="eastAsia" w:ascii="宋体" w:hAnsi="宋体"/>
          <w:color w:val="auto"/>
          <w:sz w:val="30"/>
          <w:szCs w:val="30"/>
          <w:highlight w:val="none"/>
        </w:rPr>
      </w:pPr>
      <w:r>
        <w:rPr>
          <w:rFonts w:hint="eastAsia" w:ascii="宋体" w:hAnsi="宋体"/>
          <w:color w:val="auto"/>
          <w:sz w:val="30"/>
          <w:szCs w:val="30"/>
          <w:highlight w:val="none"/>
        </w:rPr>
        <w:t>第三部分  投标人须知</w:t>
      </w:r>
    </w:p>
    <w:p w14:paraId="30F80957">
      <w:pPr>
        <w:spacing w:line="480" w:lineRule="auto"/>
        <w:rPr>
          <w:rFonts w:hint="eastAsia" w:ascii="宋体" w:hAnsi="宋体"/>
          <w:color w:val="auto"/>
          <w:sz w:val="30"/>
          <w:szCs w:val="30"/>
          <w:highlight w:val="none"/>
        </w:rPr>
      </w:pPr>
      <w:r>
        <w:rPr>
          <w:rFonts w:hint="eastAsia" w:ascii="宋体" w:hAnsi="宋体"/>
          <w:color w:val="auto"/>
          <w:sz w:val="30"/>
          <w:szCs w:val="30"/>
          <w:highlight w:val="none"/>
        </w:rPr>
        <w:t>第四部分  合同格式</w:t>
      </w:r>
    </w:p>
    <w:p w14:paraId="467A0A7F">
      <w:pPr>
        <w:spacing w:line="480" w:lineRule="auto"/>
        <w:rPr>
          <w:rFonts w:hint="eastAsia" w:ascii="宋体" w:hAnsi="宋体"/>
          <w:color w:val="auto"/>
          <w:sz w:val="30"/>
          <w:szCs w:val="30"/>
          <w:highlight w:val="none"/>
        </w:rPr>
      </w:pPr>
      <w:r>
        <w:rPr>
          <w:rFonts w:hint="eastAsia" w:ascii="宋体" w:hAnsi="宋体"/>
          <w:color w:val="auto"/>
          <w:sz w:val="30"/>
          <w:szCs w:val="30"/>
          <w:highlight w:val="none"/>
        </w:rPr>
        <w:t>第五部分  投标文件格式</w:t>
      </w:r>
    </w:p>
    <w:p w14:paraId="5EC4F0AA">
      <w:pPr>
        <w:spacing w:line="360" w:lineRule="auto"/>
        <w:ind w:firstLine="359" w:firstLineChars="171"/>
        <w:jc w:val="center"/>
        <w:rPr>
          <w:rFonts w:hint="eastAsia" w:ascii="宋体" w:hAnsi="宋体"/>
          <w:color w:val="auto"/>
          <w:szCs w:val="21"/>
          <w:highlight w:val="none"/>
        </w:rPr>
      </w:pPr>
    </w:p>
    <w:p w14:paraId="73D0FE92">
      <w:pPr>
        <w:jc w:val="center"/>
        <w:rPr>
          <w:rFonts w:hint="eastAsia" w:ascii="宋体" w:hAnsi="宋体"/>
          <w:b/>
          <w:color w:val="auto"/>
          <w:kern w:val="0"/>
          <w:sz w:val="28"/>
          <w:szCs w:val="28"/>
          <w:highlight w:val="none"/>
        </w:rPr>
        <w:sectPr>
          <w:headerReference r:id="rId6" w:type="default"/>
          <w:footerReference r:id="rId7" w:type="default"/>
          <w:pgSz w:w="11906" w:h="16838"/>
          <w:pgMar w:top="1440" w:right="1803" w:bottom="1440" w:left="1803" w:header="851" w:footer="992" w:gutter="0"/>
          <w:pgNumType w:start="1"/>
          <w:cols w:space="0" w:num="1"/>
          <w:rtlGutter w:val="0"/>
          <w:docGrid w:type="lines" w:linePitch="312" w:charSpace="0"/>
        </w:sectPr>
      </w:pPr>
    </w:p>
    <w:p w14:paraId="7262F4FE">
      <w:pPr>
        <w:jc w:val="center"/>
        <w:rPr>
          <w:rFonts w:hint="eastAsia" w:ascii="宋体" w:hAnsi="宋体"/>
          <w:b/>
          <w:color w:val="auto"/>
          <w:kern w:val="0"/>
          <w:sz w:val="28"/>
          <w:szCs w:val="28"/>
          <w:highlight w:val="none"/>
        </w:rPr>
      </w:pPr>
      <w:r>
        <w:rPr>
          <w:rFonts w:hint="eastAsia" w:ascii="宋体" w:hAnsi="宋体"/>
          <w:b/>
          <w:color w:val="auto"/>
          <w:kern w:val="0"/>
          <w:sz w:val="28"/>
          <w:szCs w:val="28"/>
          <w:highlight w:val="none"/>
        </w:rPr>
        <w:t>第一部分 投标邀请函</w:t>
      </w:r>
    </w:p>
    <w:p w14:paraId="375A049A">
      <w:pPr>
        <w:ind w:firstLine="359" w:firstLineChars="171"/>
        <w:rPr>
          <w:rFonts w:hint="eastAsia" w:ascii="宋体" w:hAnsi="宋体"/>
          <w:color w:val="auto"/>
          <w:kern w:val="0"/>
          <w:szCs w:val="21"/>
          <w:highlight w:val="none"/>
        </w:rPr>
      </w:pPr>
      <w:r>
        <w:rPr>
          <w:rFonts w:hint="eastAsia" w:ascii="宋体" w:hAnsi="宋体"/>
          <w:color w:val="auto"/>
          <w:kern w:val="0"/>
          <w:szCs w:val="21"/>
          <w:highlight w:val="none"/>
        </w:rPr>
        <w:t>各（潜在）投标人：</w:t>
      </w:r>
    </w:p>
    <w:p w14:paraId="65A37F28">
      <w:pPr>
        <w:ind w:firstLine="420" w:firstLineChars="200"/>
        <w:rPr>
          <w:rFonts w:hint="eastAsia" w:ascii="宋体" w:hAnsi="宋体"/>
          <w:color w:val="auto"/>
          <w:szCs w:val="21"/>
          <w:highlight w:val="none"/>
        </w:rPr>
      </w:pPr>
      <w:r>
        <w:rPr>
          <w:rFonts w:hint="eastAsia" w:ascii="宋体" w:hAnsi="宋体"/>
          <w:color w:val="auto"/>
          <w:szCs w:val="21"/>
          <w:highlight w:val="none"/>
          <w:u w:val="single"/>
        </w:rPr>
        <w:t>国义招标股份有限公司</w:t>
      </w:r>
      <w:r>
        <w:rPr>
          <w:rFonts w:hint="eastAsia" w:ascii="宋体" w:hAnsi="宋体"/>
          <w:color w:val="auto"/>
          <w:szCs w:val="21"/>
          <w:highlight w:val="none"/>
        </w:rPr>
        <w:t>受</w:t>
      </w:r>
      <w:r>
        <w:rPr>
          <w:rFonts w:hint="eastAsia" w:ascii="宋体" w:hAnsi="宋体"/>
          <w:color w:val="auto"/>
          <w:szCs w:val="21"/>
          <w:highlight w:val="none"/>
          <w:u w:val="single"/>
          <w:lang w:eastAsia="zh-CN"/>
        </w:rPr>
        <w:t>国家税务总局珠海市税务局稽查局及国家税务总局珠海市税务局第一稽查局</w:t>
      </w:r>
      <w:r>
        <w:rPr>
          <w:rFonts w:hint="eastAsia" w:ascii="宋体" w:hAnsi="宋体"/>
          <w:color w:val="auto"/>
          <w:szCs w:val="21"/>
          <w:highlight w:val="none"/>
        </w:rPr>
        <w:t>的委托，对</w:t>
      </w:r>
      <w:r>
        <w:rPr>
          <w:rFonts w:hint="eastAsia" w:ascii="宋体" w:hAnsi="宋体"/>
          <w:color w:val="auto"/>
          <w:szCs w:val="21"/>
          <w:highlight w:val="none"/>
          <w:u w:val="single"/>
          <w:lang w:eastAsia="zh-CN"/>
        </w:rPr>
        <w:t>国家税务总局珠海市税务局梅华西办公区2026-2027年物业管理服务采购项目</w:t>
      </w:r>
      <w:r>
        <w:rPr>
          <w:rFonts w:hint="eastAsia" w:ascii="宋体" w:hAnsi="宋体"/>
          <w:color w:val="auto"/>
          <w:szCs w:val="21"/>
          <w:highlight w:val="none"/>
        </w:rPr>
        <w:t>进行公开招标采购，</w:t>
      </w:r>
      <w:r>
        <w:rPr>
          <w:rFonts w:hint="eastAsia" w:ascii="宋体" w:hAnsi="宋体"/>
          <w:color w:val="auto"/>
          <w:szCs w:val="21"/>
          <w:highlight w:val="none"/>
          <w:lang w:val="zh-CN"/>
        </w:rPr>
        <w:t>欢迎符合资格条件</w:t>
      </w:r>
      <w:r>
        <w:rPr>
          <w:rFonts w:hint="eastAsia" w:ascii="宋体" w:hAnsi="宋体"/>
          <w:color w:val="auto"/>
          <w:szCs w:val="21"/>
          <w:highlight w:val="none"/>
        </w:rPr>
        <w:t>的投标人投标。现将该项目采购文件进行</w:t>
      </w:r>
      <w:r>
        <w:rPr>
          <w:rFonts w:ascii="宋体" w:hAnsi="宋体"/>
          <w:color w:val="auto"/>
          <w:szCs w:val="21"/>
          <w:highlight w:val="none"/>
        </w:rPr>
        <w:t>公告</w:t>
      </w:r>
      <w:r>
        <w:rPr>
          <w:rFonts w:hint="eastAsia" w:ascii="宋体" w:hAnsi="宋体"/>
          <w:color w:val="auto"/>
          <w:szCs w:val="21"/>
          <w:highlight w:val="none"/>
        </w:rPr>
        <w:t>，公告期限为五个工作日。项目采购内容如下：</w:t>
      </w:r>
    </w:p>
    <w:p w14:paraId="7DBDC6BD">
      <w:pPr>
        <w:autoSpaceDE w:val="0"/>
        <w:autoSpaceDN w:val="0"/>
        <w:ind w:firstLine="420" w:firstLineChars="200"/>
        <w:rPr>
          <w:rFonts w:hint="eastAsia" w:ascii="宋体" w:hAnsi="宋体"/>
          <w:color w:val="auto"/>
          <w:szCs w:val="21"/>
          <w:highlight w:val="none"/>
          <w:u w:val="single"/>
          <w:lang w:val="zh-CN"/>
        </w:rPr>
      </w:pPr>
      <w:r>
        <w:rPr>
          <w:rFonts w:hint="eastAsia" w:ascii="宋体" w:hAnsi="宋体"/>
          <w:color w:val="auto"/>
          <w:szCs w:val="21"/>
          <w:highlight w:val="none"/>
          <w:lang w:val="zh-CN"/>
        </w:rPr>
        <w:t>一、项目编号：</w:t>
      </w:r>
      <w:r>
        <w:rPr>
          <w:rFonts w:hint="eastAsia" w:ascii="宋体" w:hAnsi="宋体"/>
          <w:color w:val="auto"/>
          <w:szCs w:val="21"/>
          <w:highlight w:val="none"/>
          <w:u w:val="single"/>
          <w:lang w:val="zh-CN"/>
        </w:rPr>
        <w:t>0724-2631ZH410610</w:t>
      </w:r>
    </w:p>
    <w:p w14:paraId="39E816F1">
      <w:pPr>
        <w:autoSpaceDE w:val="0"/>
        <w:autoSpaceDN w:val="0"/>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二、采购项目名称：</w:t>
      </w:r>
      <w:r>
        <w:rPr>
          <w:rFonts w:hint="eastAsia" w:ascii="宋体" w:hAnsi="宋体"/>
          <w:color w:val="auto"/>
          <w:szCs w:val="21"/>
          <w:highlight w:val="none"/>
          <w:u w:val="single"/>
          <w:lang w:eastAsia="zh-CN"/>
        </w:rPr>
        <w:t>国家税务总局珠海市税务局梅华西办公区2026-2027年物业管理服务采购项目</w:t>
      </w:r>
    </w:p>
    <w:p w14:paraId="2170C9A3">
      <w:pPr>
        <w:autoSpaceDE w:val="0"/>
        <w:autoSpaceDN w:val="0"/>
        <w:ind w:firstLine="420" w:firstLineChars="200"/>
        <w:rPr>
          <w:rFonts w:hint="default" w:ascii="宋体" w:hAnsi="宋体"/>
          <w:color w:val="auto"/>
          <w:szCs w:val="21"/>
          <w:highlight w:val="none"/>
          <w:lang w:val="en-US"/>
        </w:rPr>
      </w:pPr>
      <w:r>
        <w:rPr>
          <w:rFonts w:ascii="宋体" w:hAnsi="宋体"/>
          <w:color w:val="auto"/>
          <w:szCs w:val="21"/>
          <w:highlight w:val="none"/>
        </w:rPr>
        <w:t>三、项目采购预算</w:t>
      </w:r>
      <w:r>
        <w:rPr>
          <w:rFonts w:hint="eastAsia" w:ascii="宋体" w:hAnsi="宋体"/>
          <w:color w:val="auto"/>
          <w:szCs w:val="21"/>
          <w:highlight w:val="none"/>
        </w:rPr>
        <w:t>（人民币）</w:t>
      </w:r>
      <w:r>
        <w:rPr>
          <w:rFonts w:ascii="宋体" w:hAnsi="宋体"/>
          <w:color w:val="auto"/>
          <w:szCs w:val="21"/>
          <w:highlight w:val="none"/>
        </w:rPr>
        <w:t>：</w:t>
      </w:r>
      <w:r>
        <w:rPr>
          <w:rFonts w:hint="eastAsia" w:ascii="宋体" w:hAnsi="宋体"/>
          <w:bCs/>
          <w:color w:val="auto"/>
          <w:szCs w:val="21"/>
          <w:highlight w:val="none"/>
          <w:lang w:val="en-US" w:eastAsia="zh-CN"/>
        </w:rPr>
        <w:t>523万元</w:t>
      </w:r>
    </w:p>
    <w:p w14:paraId="53012D96">
      <w:pPr>
        <w:autoSpaceDE w:val="0"/>
        <w:autoSpaceDN w:val="0"/>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四、项目标的及服务时间、地点：</w:t>
      </w:r>
    </w:p>
    <w:p w14:paraId="52585A69">
      <w:pPr>
        <w:autoSpaceDE w:val="0"/>
        <w:autoSpaceDN w:val="0"/>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1．项目标的及采购限价</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885"/>
        <w:gridCol w:w="3100"/>
      </w:tblGrid>
      <w:tr w14:paraId="2448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81" w:type="dxa"/>
            <w:vAlign w:val="center"/>
          </w:tcPr>
          <w:p w14:paraId="0CD75F00">
            <w:pPr>
              <w:jc w:val="center"/>
              <w:rPr>
                <w:rFonts w:hint="eastAsia" w:ascii="宋体" w:hAnsi="宋体"/>
                <w:b/>
                <w:color w:val="auto"/>
                <w:szCs w:val="21"/>
                <w:highlight w:val="none"/>
              </w:rPr>
            </w:pPr>
            <w:r>
              <w:rPr>
                <w:rFonts w:hint="eastAsia" w:ascii="宋体" w:hAnsi="宋体"/>
                <w:b/>
                <w:color w:val="auto"/>
                <w:szCs w:val="21"/>
                <w:highlight w:val="none"/>
              </w:rPr>
              <w:t>标的名称</w:t>
            </w:r>
          </w:p>
        </w:tc>
        <w:tc>
          <w:tcPr>
            <w:tcW w:w="885" w:type="dxa"/>
            <w:vAlign w:val="center"/>
          </w:tcPr>
          <w:p w14:paraId="6B8EEA0C">
            <w:pPr>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数量</w:t>
            </w:r>
          </w:p>
        </w:tc>
        <w:tc>
          <w:tcPr>
            <w:tcW w:w="3100" w:type="dxa"/>
            <w:vAlign w:val="center"/>
          </w:tcPr>
          <w:p w14:paraId="6BCAD61E">
            <w:pPr>
              <w:jc w:val="center"/>
              <w:rPr>
                <w:rFonts w:hint="eastAsia" w:ascii="宋体" w:hAnsi="宋体"/>
                <w:b/>
                <w:color w:val="auto"/>
                <w:szCs w:val="21"/>
                <w:highlight w:val="none"/>
              </w:rPr>
            </w:pPr>
            <w:r>
              <w:rPr>
                <w:rFonts w:hint="eastAsia" w:ascii="宋体" w:hAnsi="宋体"/>
                <w:b/>
                <w:color w:val="auto"/>
                <w:szCs w:val="21"/>
                <w:highlight w:val="none"/>
              </w:rPr>
              <w:t>采购预算/最高限价(人民币)</w:t>
            </w:r>
          </w:p>
        </w:tc>
      </w:tr>
      <w:tr w14:paraId="6A5C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81" w:type="dxa"/>
            <w:vAlign w:val="center"/>
          </w:tcPr>
          <w:p w14:paraId="2FD4D2B0">
            <w:pPr>
              <w:jc w:val="center"/>
              <w:rPr>
                <w:rFonts w:hint="eastAsia" w:ascii="宋体" w:hAnsi="宋体"/>
                <w:b/>
                <w:color w:val="auto"/>
                <w:szCs w:val="21"/>
                <w:highlight w:val="none"/>
                <w:u w:val="none"/>
              </w:rPr>
            </w:pPr>
            <w:r>
              <w:rPr>
                <w:rFonts w:hint="eastAsia" w:ascii="宋体" w:hAnsi="宋体"/>
                <w:color w:val="auto"/>
                <w:szCs w:val="21"/>
                <w:highlight w:val="none"/>
                <w:u w:val="none"/>
              </w:rPr>
              <w:t>物业管理服务</w:t>
            </w:r>
          </w:p>
        </w:tc>
        <w:tc>
          <w:tcPr>
            <w:tcW w:w="885" w:type="dxa"/>
            <w:vAlign w:val="center"/>
          </w:tcPr>
          <w:p w14:paraId="4718509B">
            <w:pPr>
              <w:jc w:val="center"/>
              <w:rPr>
                <w:rFonts w:hint="eastAsia" w:ascii="宋体" w:hAnsi="宋体"/>
                <w:b/>
                <w:color w:val="auto"/>
                <w:szCs w:val="21"/>
                <w:highlight w:val="none"/>
              </w:rPr>
            </w:pPr>
            <w:r>
              <w:rPr>
                <w:rFonts w:hint="eastAsia" w:ascii="宋体" w:hAnsi="宋体"/>
                <w:color w:val="auto"/>
                <w:szCs w:val="21"/>
                <w:highlight w:val="none"/>
              </w:rPr>
              <w:t>1</w:t>
            </w:r>
            <w:r>
              <w:rPr>
                <w:rFonts w:hint="eastAsia" w:ascii="宋体" w:hAnsi="宋体"/>
                <w:bCs/>
                <w:color w:val="auto"/>
                <w:highlight w:val="none"/>
                <w:lang w:val="en-US" w:eastAsia="zh-CN"/>
              </w:rPr>
              <w:t>项</w:t>
            </w:r>
          </w:p>
        </w:tc>
        <w:tc>
          <w:tcPr>
            <w:tcW w:w="3100" w:type="dxa"/>
            <w:vAlign w:val="center"/>
          </w:tcPr>
          <w:p w14:paraId="73ACC070">
            <w:pPr>
              <w:jc w:val="center"/>
              <w:rPr>
                <w:rFonts w:hint="default" w:ascii="宋体" w:hAnsi="宋体" w:eastAsia="宋体"/>
                <w:b/>
                <w:color w:val="auto"/>
                <w:szCs w:val="21"/>
                <w:highlight w:val="none"/>
                <w:lang w:val="en-US" w:eastAsia="zh-CN"/>
              </w:rPr>
            </w:pPr>
            <w:r>
              <w:rPr>
                <w:rFonts w:hint="eastAsia" w:ascii="宋体" w:hAnsi="宋体"/>
                <w:bCs/>
                <w:color w:val="auto"/>
                <w:szCs w:val="21"/>
                <w:highlight w:val="none"/>
                <w:lang w:val="en-US" w:eastAsia="zh-CN"/>
              </w:rPr>
              <w:t>523万元</w:t>
            </w:r>
          </w:p>
        </w:tc>
      </w:tr>
    </w:tbl>
    <w:p w14:paraId="034A4D1D">
      <w:pPr>
        <w:autoSpaceDE w:val="0"/>
        <w:autoSpaceDN w:val="0"/>
        <w:ind w:firstLine="420" w:firstLineChars="200"/>
        <w:rPr>
          <w:rFonts w:hint="default" w:ascii="宋体" w:hAnsi="宋体" w:eastAsia="宋体"/>
          <w:color w:val="auto"/>
          <w:szCs w:val="21"/>
          <w:highlight w:val="none"/>
          <w:lang w:val="en-US" w:eastAsia="zh-CN"/>
        </w:rPr>
      </w:pPr>
      <w:bookmarkStart w:id="0" w:name="OLE_LINK2"/>
      <w:r>
        <w:rPr>
          <w:rFonts w:hint="eastAsia" w:ascii="宋体" w:hAnsi="宋体"/>
          <w:color w:val="auto"/>
          <w:szCs w:val="21"/>
          <w:highlight w:val="none"/>
          <w:lang w:val="en-US" w:eastAsia="zh-CN"/>
        </w:rPr>
        <w:t>注：</w:t>
      </w:r>
      <w:r>
        <w:rPr>
          <w:rFonts w:hint="eastAsia" w:ascii="宋体" w:hAnsi="宋体"/>
          <w:color w:val="auto"/>
          <w:szCs w:val="21"/>
          <w:highlight w:val="none"/>
        </w:rPr>
        <w:t>其中国家税务总局珠海市税务局稽查局预算金额为261.5万元</w:t>
      </w:r>
      <w:r>
        <w:rPr>
          <w:rFonts w:hint="eastAsia" w:ascii="宋体" w:hAnsi="宋体"/>
          <w:color w:val="auto"/>
          <w:szCs w:val="21"/>
          <w:highlight w:val="none"/>
          <w:lang w:val="en-US" w:eastAsia="zh-CN"/>
        </w:rPr>
        <w:t>/2年</w:t>
      </w:r>
      <w:r>
        <w:rPr>
          <w:rFonts w:hint="eastAsia" w:ascii="宋体" w:hAnsi="宋体"/>
          <w:color w:val="auto"/>
          <w:szCs w:val="21"/>
          <w:highlight w:val="none"/>
        </w:rPr>
        <w:t>，国家税务总局珠海市税务局第一稽查局预算金额为261.5万元</w:t>
      </w:r>
      <w:r>
        <w:rPr>
          <w:rFonts w:hint="eastAsia" w:ascii="宋体" w:hAnsi="宋体"/>
          <w:color w:val="auto"/>
          <w:szCs w:val="21"/>
          <w:highlight w:val="none"/>
          <w:lang w:val="en-US" w:eastAsia="zh-CN"/>
        </w:rPr>
        <w:t>/2年</w:t>
      </w:r>
    </w:p>
    <w:p w14:paraId="1FD281A3">
      <w:pPr>
        <w:autoSpaceDE w:val="0"/>
        <w:autoSpaceDN w:val="0"/>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详细技术规范请参阅招标文件中的用户需求书。投标人必须对本项目全部内容进行投标报价，如有缺漏，将导致投标无效。如投标报价超出最高限价，将导致投标无效。</w:t>
      </w:r>
    </w:p>
    <w:bookmarkEnd w:id="0"/>
    <w:p w14:paraId="0E473B31">
      <w:pPr>
        <w:autoSpaceDE w:val="0"/>
        <w:autoSpaceDN w:val="0"/>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本项目采购本国服务。</w:t>
      </w:r>
    </w:p>
    <w:p w14:paraId="02C6912B">
      <w:pPr>
        <w:autoSpaceDE w:val="0"/>
        <w:autoSpaceDN w:val="0"/>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2.服务时间：2年（2026年4月1日至2028年3月31日止）</w:t>
      </w:r>
    </w:p>
    <w:p w14:paraId="421E5F0D">
      <w:pPr>
        <w:numPr>
          <w:ilvl w:val="-1"/>
          <w:numId w:val="0"/>
        </w:numPr>
        <w:autoSpaceDE w:val="0"/>
        <w:autoSpaceDN w:val="0"/>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en-US" w:eastAsia="zh-CN"/>
        </w:rPr>
        <w:t>3.</w:t>
      </w:r>
      <w:r>
        <w:rPr>
          <w:rFonts w:hint="eastAsia" w:ascii="宋体" w:hAnsi="宋体"/>
          <w:color w:val="auto"/>
          <w:szCs w:val="21"/>
          <w:highlight w:val="none"/>
          <w:lang w:val="zh-CN"/>
        </w:rPr>
        <w:t>服务地点：国家税务总局珠海市税务局梅华西办公区整体物业服务、保障、管理。</w:t>
      </w:r>
    </w:p>
    <w:p w14:paraId="7BC019D0">
      <w:pPr>
        <w:autoSpaceDE w:val="0"/>
        <w:autoSpaceDN w:val="0"/>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en-US" w:eastAsia="zh-CN"/>
        </w:rPr>
        <w:t>4</w:t>
      </w:r>
      <w:r>
        <w:rPr>
          <w:rFonts w:hint="eastAsia" w:ascii="宋体" w:hAnsi="宋体"/>
          <w:color w:val="auto"/>
          <w:szCs w:val="21"/>
          <w:highlight w:val="none"/>
          <w:lang w:val="zh-CN"/>
        </w:rPr>
        <w:t>.需要落实的政府采购政策：《政府采购促进中小企业发展管理办法》（财库〔2020〕46号）、《关于政府采购支持监狱企业发展有关问题的通知》（财库【2014】68号）、《关于促进残疾人就业政府采购政策的通知》（财库〔2017〕141号）、《关于调整优化节能产品、环境标志产品政府采购执行机制的通知》（财库〔2019〕9号）等。</w:t>
      </w:r>
    </w:p>
    <w:p w14:paraId="7F83AFC2">
      <w:pPr>
        <w:autoSpaceDE w:val="0"/>
        <w:autoSpaceDN w:val="0"/>
        <w:ind w:firstLine="420" w:firstLineChars="200"/>
        <w:rPr>
          <w:rFonts w:ascii="Arial" w:hAnsi="Arial" w:cs="Arial"/>
          <w:color w:val="auto"/>
          <w:kern w:val="0"/>
          <w:szCs w:val="21"/>
          <w:highlight w:val="none"/>
        </w:rPr>
      </w:pPr>
      <w:r>
        <w:rPr>
          <w:rFonts w:hint="eastAsia" w:ascii="宋体" w:hAnsi="宋体"/>
          <w:color w:val="auto"/>
          <w:szCs w:val="21"/>
          <w:highlight w:val="none"/>
          <w:lang w:val="zh-CN"/>
        </w:rPr>
        <w:t>五、投标人资格要求：</w:t>
      </w:r>
    </w:p>
    <w:p w14:paraId="49410DA7">
      <w:pPr>
        <w:ind w:firstLine="441" w:firstLineChars="210"/>
        <w:rPr>
          <w:rFonts w:hint="eastAsia" w:ascii="宋体" w:hAnsi="宋体"/>
          <w:color w:val="auto"/>
          <w:szCs w:val="21"/>
          <w:highlight w:val="none"/>
          <w:lang w:val="zh-CN"/>
        </w:rPr>
      </w:pPr>
      <w:r>
        <w:rPr>
          <w:rFonts w:hint="eastAsia" w:ascii="宋体" w:hAnsi="宋体"/>
          <w:color w:val="auto"/>
          <w:szCs w:val="21"/>
          <w:highlight w:val="none"/>
          <w:lang w:val="zh-CN"/>
        </w:rPr>
        <w:t>1.投标</w:t>
      </w:r>
      <w:r>
        <w:rPr>
          <w:rFonts w:hint="eastAsia" w:ascii="宋体" w:hAnsi="宋体"/>
          <w:color w:val="auto"/>
          <w:szCs w:val="21"/>
          <w:highlight w:val="none"/>
        </w:rPr>
        <w:t>人</w:t>
      </w:r>
      <w:r>
        <w:rPr>
          <w:rFonts w:hint="eastAsia" w:ascii="宋体" w:hAnsi="宋体"/>
          <w:color w:val="auto"/>
          <w:szCs w:val="21"/>
          <w:highlight w:val="none"/>
          <w:lang w:val="zh-CN"/>
        </w:rPr>
        <w:t>应具备《政府采购法》第二十二条规定的条件，提供下列材料：</w:t>
      </w:r>
    </w:p>
    <w:p w14:paraId="34690019">
      <w:pPr>
        <w:ind w:firstLine="441" w:firstLineChars="210"/>
        <w:rPr>
          <w:rFonts w:hint="eastAsia" w:ascii="宋体" w:hAnsi="宋体"/>
          <w:color w:val="auto"/>
          <w:szCs w:val="21"/>
          <w:highlight w:val="none"/>
          <w:lang w:val="zh-CN"/>
        </w:rPr>
      </w:pPr>
      <w:r>
        <w:rPr>
          <w:rFonts w:hint="eastAsia" w:ascii="宋体" w:hAnsi="宋体"/>
          <w:color w:val="auto"/>
          <w:szCs w:val="21"/>
          <w:highlight w:val="none"/>
          <w:lang w:val="zh-CN"/>
        </w:rPr>
        <w:t>1.1具有独立承担民事责任的能力：</w:t>
      </w:r>
      <w:r>
        <w:rPr>
          <w:rFonts w:hint="eastAsia" w:ascii="宋体" w:hAnsi="宋体"/>
          <w:color w:val="auto"/>
          <w:szCs w:val="21"/>
          <w:highlight w:val="none"/>
          <w:lang w:val="en-US" w:eastAsia="zh-CN"/>
        </w:rPr>
        <w:t>投标人</w:t>
      </w:r>
      <w:r>
        <w:rPr>
          <w:rFonts w:hint="eastAsia" w:ascii="宋体" w:hAnsi="宋体"/>
          <w:color w:val="auto"/>
          <w:szCs w:val="21"/>
          <w:highlight w:val="none"/>
          <w:lang w:val="zh-CN"/>
        </w:rPr>
        <w:t>必须是具有独立承担民事责任能力的在中华人民共和国境内注册的法人或其他组织，投标时提交有效的营业执照副本复印件。分支机构投标的，须提供总公司和分公司营业执照副本复印件，总公司出具给分支机构的授权书；</w:t>
      </w:r>
    </w:p>
    <w:p w14:paraId="3C4DEDC2">
      <w:pPr>
        <w:ind w:firstLine="441" w:firstLineChars="210"/>
        <w:rPr>
          <w:rFonts w:hint="eastAsia" w:ascii="宋体" w:hAnsi="宋体"/>
          <w:color w:val="auto"/>
          <w:szCs w:val="21"/>
          <w:highlight w:val="none"/>
          <w:lang w:val="zh-CN"/>
        </w:rPr>
      </w:pPr>
      <w:r>
        <w:rPr>
          <w:rFonts w:hint="eastAsia" w:ascii="宋体" w:hAnsi="宋体"/>
          <w:color w:val="auto"/>
          <w:szCs w:val="21"/>
          <w:highlight w:val="none"/>
          <w:lang w:val="zh-CN"/>
        </w:rPr>
        <w:t>1.2有依法缴纳税收和社会保障资金的良好记录：提供所属期为投标截止时间前6个月内任意1个月的缴纳税收凭证（复印件）和提供投标截止时间前6个月内任意1个月的社会保障资金缴纳凭证（复印件）。如依法免税或不需要缴纳社会保障资金的，应提供相应文件证明（复印件）；</w:t>
      </w:r>
    </w:p>
    <w:p w14:paraId="0BB80DA0">
      <w:pPr>
        <w:ind w:firstLine="441" w:firstLineChars="210"/>
        <w:rPr>
          <w:rFonts w:hint="eastAsia" w:ascii="宋体" w:hAnsi="宋体"/>
          <w:color w:val="auto"/>
          <w:szCs w:val="21"/>
          <w:highlight w:val="none"/>
          <w:lang w:val="zh-CN"/>
        </w:rPr>
      </w:pPr>
      <w:r>
        <w:rPr>
          <w:rFonts w:hint="eastAsia" w:ascii="宋体" w:hAnsi="宋体"/>
          <w:color w:val="auto"/>
          <w:szCs w:val="21"/>
          <w:highlight w:val="none"/>
          <w:lang w:val="zh-CN"/>
        </w:rPr>
        <w:t>1.3具有良好的商业信誉和健全的财务会计制度：</w:t>
      </w:r>
      <w:r>
        <w:rPr>
          <w:rFonts w:hint="eastAsia" w:ascii="宋体" w:hAnsi="宋体"/>
          <w:color w:val="auto"/>
          <w:szCs w:val="21"/>
          <w:highlight w:val="none"/>
        </w:rPr>
        <w:t>提供以下2种证明材料之一：①</w:t>
      </w:r>
      <w:r>
        <w:rPr>
          <w:rFonts w:hint="eastAsia" w:ascii="宋体" w:hAnsi="宋体"/>
          <w:color w:val="auto"/>
          <w:szCs w:val="21"/>
          <w:highlight w:val="none"/>
          <w:lang w:eastAsia="zh-CN"/>
        </w:rPr>
        <w:t>2024年度经会计师事</w:t>
      </w:r>
      <w:r>
        <w:rPr>
          <w:rFonts w:hint="eastAsia" w:ascii="宋体" w:hAnsi="宋体"/>
          <w:color w:val="auto"/>
          <w:szCs w:val="21"/>
          <w:highlight w:val="none"/>
        </w:rPr>
        <w:t>务所审计的财务状况报告；②基本开户行出具的资信证明和《基本存款账号信息》；</w:t>
      </w:r>
    </w:p>
    <w:p w14:paraId="4DC0D011">
      <w:pPr>
        <w:ind w:firstLine="441" w:firstLineChars="210"/>
        <w:rPr>
          <w:rFonts w:hint="eastAsia" w:ascii="宋体" w:hAnsi="宋体"/>
          <w:color w:val="auto"/>
          <w:szCs w:val="21"/>
          <w:highlight w:val="none"/>
          <w:lang w:val="zh-CN"/>
        </w:rPr>
      </w:pPr>
      <w:r>
        <w:rPr>
          <w:rFonts w:hint="eastAsia" w:ascii="宋体" w:hAnsi="宋体"/>
          <w:color w:val="auto"/>
          <w:szCs w:val="21"/>
          <w:highlight w:val="none"/>
          <w:lang w:val="zh-CN"/>
        </w:rPr>
        <w:t>1.4履行合同所必需的设备和专业技术能力：具备履行合同所必需的设备和专业技术能力的书面承诺函原件（格式自拟）；</w:t>
      </w:r>
    </w:p>
    <w:p w14:paraId="0D8C200A">
      <w:pPr>
        <w:ind w:firstLine="441" w:firstLineChars="210"/>
        <w:rPr>
          <w:rFonts w:hint="eastAsia" w:ascii="宋体" w:hAnsi="宋体"/>
          <w:color w:val="auto"/>
          <w:szCs w:val="21"/>
          <w:highlight w:val="none"/>
          <w:lang w:val="zh-CN"/>
        </w:rPr>
      </w:pPr>
      <w:r>
        <w:rPr>
          <w:rFonts w:hint="eastAsia" w:ascii="宋体" w:hAnsi="宋体"/>
          <w:color w:val="auto"/>
          <w:szCs w:val="21"/>
          <w:highlight w:val="none"/>
          <w:lang w:val="zh-CN"/>
        </w:rPr>
        <w:t>1.5参加采购活动前3年内，在经营活动中没有重大违法记录：参加政府采购活动前3年内在经营活动中没有重大违法记录的书面声明原件（格式自拟）。【重大违法记录，是指</w:t>
      </w:r>
      <w:r>
        <w:rPr>
          <w:rFonts w:hint="eastAsia" w:ascii="宋体" w:hAnsi="宋体"/>
          <w:color w:val="auto"/>
          <w:szCs w:val="21"/>
          <w:highlight w:val="none"/>
        </w:rPr>
        <w:t>投标人</w:t>
      </w:r>
      <w:r>
        <w:rPr>
          <w:rFonts w:hint="eastAsia" w:ascii="宋体" w:hAnsi="宋体"/>
          <w:color w:val="auto"/>
          <w:szCs w:val="21"/>
          <w:highlight w:val="none"/>
          <w:lang w:val="zh-CN"/>
        </w:rPr>
        <w:t>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727C1AB2">
      <w:pPr>
        <w:numPr>
          <w:ilvl w:val="255"/>
          <w:numId w:val="0"/>
        </w:numPr>
        <w:ind w:firstLine="420" w:firstLineChars="200"/>
        <w:rPr>
          <w:rFonts w:hint="eastAsia"/>
          <w:color w:val="auto"/>
          <w:highlight w:val="none"/>
          <w:lang w:val="zh-CN"/>
        </w:rPr>
      </w:pPr>
      <w:r>
        <w:rPr>
          <w:rFonts w:hint="eastAsia" w:ascii="宋体" w:hAnsi="宋体"/>
          <w:color w:val="auto"/>
          <w:szCs w:val="21"/>
          <w:highlight w:val="none"/>
          <w:lang w:val="zh-CN"/>
        </w:rPr>
        <w:t>2.落实政府采购政策需满足的资格要求：本项目属于专门面向中小企业采购的项目，承接本项目服务的供应商须为符合本项目采购标的对应行业（</w:t>
      </w:r>
      <w:r>
        <w:rPr>
          <w:rFonts w:hint="eastAsia" w:ascii="宋体" w:hAnsi="宋体"/>
          <w:color w:val="auto"/>
          <w:szCs w:val="21"/>
          <w:highlight w:val="none"/>
        </w:rPr>
        <w:t>行业：物业管理</w:t>
      </w:r>
      <w:r>
        <w:rPr>
          <w:rFonts w:hint="eastAsia" w:ascii="宋体" w:hAnsi="宋体"/>
          <w:color w:val="auto"/>
          <w:szCs w:val="21"/>
          <w:highlight w:val="none"/>
          <w:lang w:val="zh-CN"/>
        </w:rPr>
        <w:t>）划分标准的中小企业（监狱企业、残疾人福利单位视同小型、微型企业），须全部由中小微企业、或监狱企业、或残疾人福利性单位承接（即提供服务的人员为中小企业依照《中华人民共和国劳动合同法》订立劳动合同的从业人员）。（投标人需提供《中小企业声明函》；或提供由监狱管理局、戒毒管理局（含新疆生产建设兵团）出具的投标人属于监狱企业的证明文件；或提供声明投标人为残疾人福利单位的《残疾人福利性单位声明函》。）</w:t>
      </w:r>
    </w:p>
    <w:p w14:paraId="5E0E2DD1">
      <w:pPr>
        <w:ind w:firstLine="441" w:firstLineChars="210"/>
        <w:rPr>
          <w:rFonts w:hint="eastAsia" w:ascii="宋体" w:hAnsi="宋体"/>
          <w:color w:val="auto"/>
          <w:szCs w:val="21"/>
          <w:highlight w:val="none"/>
          <w:lang w:val="zh-CN"/>
        </w:rPr>
      </w:pPr>
      <w:r>
        <w:rPr>
          <w:rFonts w:hint="eastAsia" w:ascii="宋体" w:hAnsi="宋体"/>
          <w:color w:val="auto"/>
          <w:szCs w:val="21"/>
          <w:highlight w:val="none"/>
          <w:lang w:val="zh-CN"/>
        </w:rPr>
        <w:t>3.本项目的特定资格要求：</w:t>
      </w:r>
    </w:p>
    <w:p w14:paraId="46DD953F">
      <w:pPr>
        <w:ind w:firstLine="441" w:firstLineChars="210"/>
        <w:rPr>
          <w:rFonts w:hint="eastAsia" w:ascii="宋体" w:hAnsi="宋体"/>
          <w:color w:val="auto"/>
          <w:szCs w:val="21"/>
          <w:highlight w:val="none"/>
          <w:lang w:val="zh-CN"/>
        </w:rPr>
      </w:pPr>
      <w:r>
        <w:rPr>
          <w:rFonts w:hint="eastAsia" w:ascii="宋体" w:hAnsi="宋体"/>
          <w:color w:val="auto"/>
          <w:szCs w:val="21"/>
          <w:highlight w:val="none"/>
          <w:lang w:val="zh-CN"/>
        </w:rPr>
        <w:t xml:space="preserve">3.1信用记录：投标人未被列入“信用中国”网站（www.creditchina.gov.cn）以下任意记录名单之一：①失信被执行人；②重大税收违法失信主体；③政府采购严重违法失信行为。且不处于中国政府采购网（www.ccgp.gov.cn）“政府采购严重违法失信行为信息记录”中的禁止参加政府采购活动期间。（以采购代理机构于投标截止日当天在“信用中国”网站（www.creditchina.gov.cn）及中国政府采购网(www.ccgp.gov.cn)查询结果为准，同时将两个网站的信用记录查询结果打印页面或全部内容的网页截图作为证据留存）； </w:t>
      </w:r>
    </w:p>
    <w:p w14:paraId="7D0C8AF1">
      <w:pPr>
        <w:ind w:firstLine="441" w:firstLineChars="210"/>
        <w:rPr>
          <w:rFonts w:hint="eastAsia" w:ascii="宋体" w:hAnsi="宋体"/>
          <w:color w:val="auto"/>
          <w:szCs w:val="21"/>
          <w:highlight w:val="none"/>
          <w:lang w:val="zh-CN"/>
        </w:rPr>
      </w:pPr>
      <w:r>
        <w:rPr>
          <w:rFonts w:hint="eastAsia" w:ascii="宋体" w:hAnsi="宋体"/>
          <w:color w:val="auto"/>
          <w:szCs w:val="21"/>
          <w:highlight w:val="none"/>
          <w:lang w:val="zh-CN"/>
        </w:rPr>
        <w:t>3.2</w:t>
      </w:r>
      <w:r>
        <w:rPr>
          <w:rFonts w:hint="eastAsia" w:ascii="宋体" w:hAnsi="宋体"/>
          <w:color w:val="auto"/>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原件）</w:t>
      </w:r>
      <w:r>
        <w:rPr>
          <w:rFonts w:hint="eastAsia" w:ascii="宋体" w:hAnsi="宋体"/>
          <w:color w:val="auto"/>
          <w:szCs w:val="21"/>
          <w:highlight w:val="none"/>
          <w:lang w:val="zh-CN"/>
        </w:rPr>
        <w:t>；</w:t>
      </w:r>
    </w:p>
    <w:p w14:paraId="57CB14AD">
      <w:pPr>
        <w:ind w:firstLine="441" w:firstLineChars="210"/>
        <w:rPr>
          <w:rFonts w:hint="eastAsia" w:ascii="宋体" w:hAnsi="宋体"/>
          <w:color w:val="auto"/>
          <w:szCs w:val="21"/>
          <w:highlight w:val="none"/>
          <w:lang w:val="zh-CN"/>
        </w:rPr>
      </w:pPr>
      <w:r>
        <w:rPr>
          <w:rFonts w:hint="eastAsia" w:ascii="宋体" w:hAnsi="宋体"/>
          <w:color w:val="auto"/>
          <w:szCs w:val="21"/>
          <w:highlight w:val="none"/>
          <w:lang w:val="zh-CN"/>
        </w:rPr>
        <w:t>3.3已获取本次采购文件(具体方式详见本项目公告)；</w:t>
      </w:r>
    </w:p>
    <w:p w14:paraId="620EAF30">
      <w:pPr>
        <w:ind w:firstLine="441" w:firstLineChars="210"/>
        <w:rPr>
          <w:rFonts w:hint="eastAsia" w:ascii="宋体" w:hAnsi="宋体"/>
          <w:color w:val="auto"/>
          <w:szCs w:val="21"/>
          <w:highlight w:val="none"/>
          <w:lang w:val="zh-CN"/>
        </w:rPr>
      </w:pPr>
      <w:r>
        <w:rPr>
          <w:rFonts w:hint="eastAsia" w:ascii="宋体" w:hAnsi="宋体"/>
          <w:color w:val="auto"/>
          <w:szCs w:val="21"/>
          <w:highlight w:val="none"/>
          <w:lang w:val="zh-CN"/>
        </w:rPr>
        <w:t>3.4本项目不接受联合体投标。</w:t>
      </w:r>
    </w:p>
    <w:p w14:paraId="520723B4">
      <w:pPr>
        <w:ind w:firstLine="441" w:firstLineChars="210"/>
        <w:rPr>
          <w:rFonts w:hint="eastAsia" w:ascii="宋体" w:hAnsi="宋体"/>
          <w:color w:val="auto"/>
          <w:szCs w:val="21"/>
          <w:highlight w:val="none"/>
        </w:rPr>
      </w:pPr>
      <w:r>
        <w:rPr>
          <w:rFonts w:hint="eastAsia" w:ascii="宋体" w:hAnsi="宋体"/>
          <w:color w:val="auto"/>
          <w:szCs w:val="21"/>
          <w:highlight w:val="none"/>
        </w:rPr>
        <w:t>六、符合资格的投标人应当在</w:t>
      </w:r>
      <w:r>
        <w:rPr>
          <w:rFonts w:hint="eastAsia" w:ascii="宋体" w:hAnsi="宋体"/>
          <w:b/>
          <w:bCs/>
          <w:color w:val="auto"/>
          <w:szCs w:val="21"/>
          <w:highlight w:val="none"/>
        </w:rPr>
        <w:t>2026年 02月14日上午8:30至2026年02月28日</w:t>
      </w:r>
      <w:r>
        <w:rPr>
          <w:rFonts w:hint="eastAsia" w:ascii="宋体" w:hAnsi="宋体"/>
          <w:b/>
          <w:color w:val="auto"/>
          <w:szCs w:val="21"/>
          <w:highlight w:val="none"/>
        </w:rPr>
        <w:t>下午17:30（北京时间）</w:t>
      </w:r>
      <w:r>
        <w:rPr>
          <w:rFonts w:hint="eastAsia" w:ascii="宋体" w:hAnsi="宋体"/>
          <w:color w:val="auto"/>
          <w:szCs w:val="21"/>
          <w:highlight w:val="none"/>
        </w:rPr>
        <w:t>获取招标文件，本招标文件免费提供。</w:t>
      </w:r>
    </w:p>
    <w:p w14:paraId="1340AB5C">
      <w:pPr>
        <w:ind w:firstLine="420" w:firstLineChars="200"/>
        <w:rPr>
          <w:rFonts w:hint="eastAsia" w:ascii="宋体" w:hAnsi="宋体"/>
          <w:color w:val="auto"/>
          <w:szCs w:val="21"/>
          <w:highlight w:val="none"/>
        </w:rPr>
      </w:pPr>
      <w:r>
        <w:rPr>
          <w:rFonts w:hint="eastAsia" w:ascii="宋体" w:hAnsi="宋体"/>
          <w:color w:val="auto"/>
          <w:szCs w:val="21"/>
          <w:highlight w:val="none"/>
        </w:rPr>
        <w:t>注：1、</w:t>
      </w:r>
      <w:r>
        <w:rPr>
          <w:rFonts w:hint="eastAsia" w:ascii="宋体" w:hAnsi="宋体"/>
          <w:b/>
          <w:color w:val="auto"/>
          <w:szCs w:val="21"/>
          <w:highlight w:val="none"/>
          <w:u w:val="single"/>
        </w:rPr>
        <w:t>本项目在国义招标采购平台（以下简称“国e平台”，网址：new.ebidding.com）进行线上获取招标文件</w:t>
      </w:r>
      <w:r>
        <w:rPr>
          <w:rFonts w:hint="eastAsia" w:ascii="宋体" w:hAnsi="宋体"/>
          <w:color w:val="auto"/>
          <w:szCs w:val="21"/>
          <w:highlight w:val="none"/>
        </w:rPr>
        <w:t>（建议使用“QQ（http://browser.qq.com/）、搜狗（https://ie.sogou.com/）”浏览器。</w:t>
      </w:r>
    </w:p>
    <w:p w14:paraId="3B299B7B">
      <w:pPr>
        <w:ind w:firstLine="441" w:firstLineChars="21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u w:val="single"/>
        </w:rPr>
        <w:t>首次在国e平台上获取招标文件的单位须在获取招标文件前在国e平台网页进行注册</w:t>
      </w:r>
      <w:r>
        <w:rPr>
          <w:rFonts w:hint="eastAsia" w:ascii="宋体" w:hAnsi="宋体"/>
          <w:color w:val="auto"/>
          <w:szCs w:val="21"/>
          <w:highlight w:val="none"/>
        </w:rPr>
        <w:t>（注册时须在平台上传原件扫描件，或加盖单位公章的营业执照以及银行基本账户开户许可证或基本存款账户信息扫描件），操作步骤详见国e平台用户指南中《用户注册手册》。</w:t>
      </w:r>
    </w:p>
    <w:p w14:paraId="691C74BC">
      <w:pPr>
        <w:ind w:firstLine="420" w:firstLineChars="200"/>
        <w:rPr>
          <w:rFonts w:hint="eastAsia" w:ascii="宋体" w:hAnsi="宋体"/>
          <w:color w:val="auto"/>
          <w:szCs w:val="21"/>
          <w:highlight w:val="none"/>
        </w:rPr>
      </w:pPr>
      <w:r>
        <w:rPr>
          <w:rFonts w:hint="eastAsia" w:ascii="宋体" w:hAnsi="宋体"/>
          <w:color w:val="auto"/>
          <w:szCs w:val="21"/>
          <w:highlight w:val="none"/>
        </w:rPr>
        <w:t>3、国e平台线上获取：</w:t>
      </w:r>
    </w:p>
    <w:p w14:paraId="5AD61368">
      <w:pPr>
        <w:ind w:firstLine="315" w:firstLineChars="150"/>
        <w:rPr>
          <w:rFonts w:hint="eastAsia" w:ascii="宋体" w:hAnsi="宋体"/>
          <w:color w:val="auto"/>
          <w:szCs w:val="21"/>
          <w:highlight w:val="none"/>
        </w:rPr>
      </w:pPr>
      <w:r>
        <w:rPr>
          <w:rFonts w:hint="eastAsia" w:ascii="宋体" w:hAnsi="宋体"/>
          <w:color w:val="auto"/>
          <w:szCs w:val="21"/>
          <w:highlight w:val="none"/>
        </w:rPr>
        <w:t>（1）首先在国e平台完成注册；</w:t>
      </w:r>
    </w:p>
    <w:p w14:paraId="6B98D1AB">
      <w:pPr>
        <w:ind w:firstLine="315" w:firstLineChars="150"/>
        <w:rPr>
          <w:rFonts w:hint="eastAsia" w:ascii="宋体" w:hAnsi="宋体"/>
          <w:color w:val="auto"/>
          <w:szCs w:val="21"/>
          <w:highlight w:val="none"/>
        </w:rPr>
      </w:pPr>
      <w:r>
        <w:rPr>
          <w:rFonts w:hint="eastAsia" w:ascii="宋体" w:hAnsi="宋体"/>
          <w:color w:val="auto"/>
          <w:szCs w:val="21"/>
          <w:highlight w:val="none"/>
        </w:rPr>
        <w:t>（2）在上一步操作完成后，按照第（3）点所述方式获取招标文件；</w:t>
      </w:r>
    </w:p>
    <w:p w14:paraId="66349831">
      <w:pPr>
        <w:ind w:firstLine="315" w:firstLineChars="150"/>
        <w:rPr>
          <w:rFonts w:hint="eastAsia" w:ascii="宋体" w:hAnsi="宋体"/>
          <w:color w:val="auto"/>
          <w:szCs w:val="21"/>
          <w:highlight w:val="none"/>
        </w:rPr>
      </w:pPr>
      <w:r>
        <w:rPr>
          <w:rFonts w:hint="eastAsia" w:ascii="宋体" w:hAnsi="宋体"/>
          <w:color w:val="auto"/>
          <w:szCs w:val="21"/>
          <w:highlight w:val="none"/>
        </w:rPr>
        <w:t>（3）招标文件获取方式：</w:t>
      </w:r>
    </w:p>
    <w:p w14:paraId="7B1EB62F">
      <w:pPr>
        <w:ind w:firstLine="420" w:firstLineChars="200"/>
        <w:rPr>
          <w:rFonts w:hint="eastAsia" w:ascii="宋体" w:hAnsi="宋体"/>
          <w:color w:val="auto"/>
          <w:szCs w:val="21"/>
          <w:highlight w:val="none"/>
        </w:rPr>
      </w:pPr>
      <w:r>
        <w:rPr>
          <w:rFonts w:hint="eastAsia" w:ascii="宋体" w:hAnsi="宋体"/>
          <w:color w:val="auto"/>
          <w:szCs w:val="21"/>
          <w:highlight w:val="none"/>
        </w:rPr>
        <w:t>投标人可在国e平台注册审批通过后登录系统获取本项目招标文件，具体步骤如下：</w:t>
      </w:r>
    </w:p>
    <w:p w14:paraId="1E847CB1">
      <w:pPr>
        <w:ind w:firstLine="420" w:firstLineChars="200"/>
        <w:rPr>
          <w:rFonts w:hint="eastAsia" w:ascii="宋体" w:hAnsi="宋体"/>
          <w:color w:val="auto"/>
          <w:szCs w:val="21"/>
          <w:highlight w:val="none"/>
        </w:rPr>
      </w:pPr>
      <w:r>
        <w:rPr>
          <w:rFonts w:hint="eastAsia" w:ascii="宋体" w:hAnsi="宋体"/>
          <w:color w:val="auto"/>
          <w:szCs w:val="21"/>
          <w:highlight w:val="none"/>
        </w:rPr>
        <w:t>（a）登陆后选择“项目管理”-“我要参与”，选择对应项目的对应子包生成订单；</w:t>
      </w:r>
    </w:p>
    <w:p w14:paraId="1179934E">
      <w:pPr>
        <w:ind w:firstLine="420" w:firstLineChars="200"/>
        <w:rPr>
          <w:rFonts w:hint="eastAsia" w:ascii="宋体" w:hAnsi="宋体"/>
          <w:b/>
          <w:color w:val="auto"/>
          <w:szCs w:val="21"/>
          <w:highlight w:val="none"/>
          <w:u w:val="single"/>
        </w:rPr>
      </w:pPr>
      <w:r>
        <w:rPr>
          <w:rFonts w:hint="eastAsia" w:ascii="宋体" w:hAnsi="宋体"/>
          <w:color w:val="auto"/>
          <w:szCs w:val="21"/>
          <w:highlight w:val="none"/>
        </w:rPr>
        <w:t>（b）根据实际情况，填写具体信息</w:t>
      </w:r>
      <w:r>
        <w:rPr>
          <w:rFonts w:hint="eastAsia" w:ascii="宋体" w:hAnsi="宋体"/>
          <w:b/>
          <w:color w:val="auto"/>
          <w:szCs w:val="21"/>
          <w:highlight w:val="none"/>
        </w:rPr>
        <w:t>。</w:t>
      </w:r>
    </w:p>
    <w:p w14:paraId="399F8916">
      <w:pPr>
        <w:ind w:firstLine="420" w:firstLineChars="200"/>
        <w:rPr>
          <w:rFonts w:hint="eastAsia" w:ascii="宋体" w:hAnsi="宋体"/>
          <w:color w:val="auto"/>
          <w:szCs w:val="21"/>
          <w:highlight w:val="none"/>
        </w:rPr>
      </w:pPr>
      <w:r>
        <w:rPr>
          <w:rFonts w:hint="eastAsia" w:ascii="宋体" w:hAnsi="宋体"/>
          <w:color w:val="auto"/>
          <w:szCs w:val="21"/>
          <w:highlight w:val="none"/>
        </w:rPr>
        <w:t>（c）获取订单完成及成功后，投标人可登录国e平台，在“项目管理→我的订单”，查看具体项目订单。</w:t>
      </w:r>
    </w:p>
    <w:p w14:paraId="66DD0B1A">
      <w:pPr>
        <w:ind w:firstLine="441" w:firstLineChars="210"/>
        <w:rPr>
          <w:rFonts w:hint="eastAsia" w:ascii="宋体" w:hAnsi="宋体"/>
          <w:color w:val="auto"/>
          <w:szCs w:val="21"/>
          <w:highlight w:val="none"/>
        </w:rPr>
      </w:pPr>
      <w:r>
        <w:rPr>
          <w:rFonts w:hint="eastAsia" w:ascii="宋体" w:hAnsi="宋体"/>
          <w:color w:val="auto"/>
          <w:szCs w:val="21"/>
          <w:highlight w:val="none"/>
        </w:rPr>
        <w:t>七、投标截止时间（北京时间）：2026年03月10日</w:t>
      </w:r>
      <w:r>
        <w:rPr>
          <w:rFonts w:hint="eastAsia" w:ascii="宋体" w:hAnsi="宋体"/>
          <w:color w:val="auto"/>
          <w:szCs w:val="21"/>
          <w:highlight w:val="none"/>
          <w:lang w:val="en-US" w:eastAsia="zh-CN"/>
        </w:rPr>
        <w:t>09</w:t>
      </w:r>
      <w:r>
        <w:rPr>
          <w:rFonts w:hint="eastAsia" w:ascii="宋体" w:hAnsi="宋体"/>
          <w:color w:val="auto"/>
          <w:szCs w:val="21"/>
          <w:highlight w:val="none"/>
        </w:rPr>
        <w:t>时30分00秒(注：</w:t>
      </w:r>
      <w:r>
        <w:rPr>
          <w:rFonts w:hint="eastAsia" w:ascii="宋体" w:hAnsi="宋体"/>
          <w:color w:val="auto"/>
          <w:szCs w:val="21"/>
          <w:highlight w:val="none"/>
          <w:lang w:val="en-US" w:eastAsia="zh-CN"/>
        </w:rPr>
        <w:t>09</w:t>
      </w:r>
      <w:r>
        <w:rPr>
          <w:rFonts w:hint="eastAsia" w:ascii="宋体" w:hAnsi="宋体"/>
          <w:color w:val="auto"/>
          <w:szCs w:val="21"/>
          <w:highlight w:val="none"/>
        </w:rPr>
        <w:t>时00分开始受理投标文件)</w:t>
      </w:r>
    </w:p>
    <w:p w14:paraId="412C59E3">
      <w:pPr>
        <w:ind w:firstLine="441" w:firstLineChars="210"/>
        <w:rPr>
          <w:rFonts w:hint="eastAsia" w:ascii="宋体" w:hAnsi="宋体"/>
          <w:color w:val="auto"/>
          <w:szCs w:val="21"/>
          <w:highlight w:val="none"/>
        </w:rPr>
      </w:pPr>
      <w:r>
        <w:rPr>
          <w:rFonts w:hint="eastAsia" w:ascii="宋体" w:hAnsi="宋体"/>
          <w:color w:val="auto"/>
          <w:szCs w:val="21"/>
          <w:highlight w:val="none"/>
        </w:rPr>
        <w:t>八、投标文件送达地点(投标地址)：</w:t>
      </w:r>
      <w:r>
        <w:rPr>
          <w:rFonts w:hint="eastAsia" w:ascii="宋体" w:hAnsi="宋体"/>
          <w:color w:val="auto"/>
          <w:szCs w:val="21"/>
          <w:highlight w:val="none"/>
          <w:u w:val="single"/>
        </w:rPr>
        <w:t>珠海市香洲区凤凰北路2099号安广世纪大厦1402会议室</w:t>
      </w:r>
      <w:r>
        <w:rPr>
          <w:rFonts w:hint="eastAsia" w:ascii="宋体" w:hAnsi="宋体"/>
          <w:color w:val="auto"/>
          <w:szCs w:val="21"/>
          <w:highlight w:val="none"/>
        </w:rPr>
        <w:t>（投标文件应由投标人授权代表亲自送达投标地址，采购代理机构将不接受其它形式递交的投标文件）</w:t>
      </w:r>
    </w:p>
    <w:p w14:paraId="62BF26BD">
      <w:pPr>
        <w:ind w:firstLine="441" w:firstLineChars="210"/>
        <w:rPr>
          <w:rFonts w:hint="eastAsia" w:ascii="宋体" w:hAnsi="宋体"/>
          <w:color w:val="auto"/>
          <w:szCs w:val="21"/>
          <w:highlight w:val="none"/>
        </w:rPr>
      </w:pPr>
      <w:r>
        <w:rPr>
          <w:rFonts w:hint="eastAsia" w:ascii="宋体" w:hAnsi="宋体"/>
          <w:color w:val="auto"/>
          <w:szCs w:val="21"/>
          <w:highlight w:val="none"/>
        </w:rPr>
        <w:t>九、开标时间（北京时间）：2026年03月10日</w:t>
      </w:r>
      <w:r>
        <w:rPr>
          <w:rFonts w:hint="eastAsia" w:ascii="宋体" w:hAnsi="宋体"/>
          <w:color w:val="auto"/>
          <w:szCs w:val="21"/>
          <w:highlight w:val="none"/>
          <w:lang w:val="en-US" w:eastAsia="zh-CN"/>
        </w:rPr>
        <w:t>09</w:t>
      </w:r>
      <w:r>
        <w:rPr>
          <w:rFonts w:hint="eastAsia" w:ascii="宋体" w:hAnsi="宋体"/>
          <w:color w:val="auto"/>
          <w:szCs w:val="21"/>
          <w:highlight w:val="none"/>
        </w:rPr>
        <w:t>时30分00秒</w:t>
      </w:r>
    </w:p>
    <w:p w14:paraId="565CA32F">
      <w:pPr>
        <w:ind w:firstLine="441" w:firstLineChars="210"/>
        <w:rPr>
          <w:rFonts w:hint="eastAsia" w:ascii="宋体" w:hAnsi="宋体"/>
          <w:color w:val="auto"/>
          <w:szCs w:val="21"/>
          <w:highlight w:val="none"/>
        </w:rPr>
      </w:pPr>
      <w:r>
        <w:rPr>
          <w:rFonts w:hint="eastAsia" w:ascii="宋体" w:hAnsi="宋体"/>
          <w:color w:val="auto"/>
          <w:szCs w:val="21"/>
          <w:highlight w:val="none"/>
        </w:rPr>
        <w:t>十、开标地点：</w:t>
      </w:r>
      <w:r>
        <w:rPr>
          <w:rFonts w:hint="eastAsia" w:ascii="宋体" w:hAnsi="宋体"/>
          <w:color w:val="auto"/>
          <w:szCs w:val="21"/>
          <w:highlight w:val="none"/>
          <w:u w:val="single"/>
        </w:rPr>
        <w:t>珠海市香洲区凤凰北路2099号安广世纪大厦1402会议室</w:t>
      </w:r>
    </w:p>
    <w:p w14:paraId="5EF3C631">
      <w:pPr>
        <w:ind w:firstLine="441" w:firstLineChars="210"/>
        <w:rPr>
          <w:rFonts w:hint="eastAsia" w:ascii="宋体" w:hAnsi="宋体"/>
          <w:color w:val="auto"/>
          <w:szCs w:val="21"/>
          <w:highlight w:val="none"/>
        </w:rPr>
      </w:pPr>
      <w:r>
        <w:rPr>
          <w:rFonts w:hint="eastAsia" w:ascii="宋体" w:hAnsi="宋体"/>
          <w:color w:val="auto"/>
          <w:szCs w:val="21"/>
          <w:highlight w:val="none"/>
        </w:rPr>
        <w:t>十一、采购人及采购代理机构的联系方式：</w:t>
      </w:r>
    </w:p>
    <w:p w14:paraId="00ED57A5">
      <w:pPr>
        <w:ind w:firstLine="441" w:firstLineChars="210"/>
        <w:rPr>
          <w:rFonts w:hint="eastAsia" w:ascii="宋体" w:hAnsi="宋体"/>
          <w:color w:val="auto"/>
          <w:szCs w:val="21"/>
          <w:highlight w:val="none"/>
        </w:rPr>
      </w:pPr>
      <w:r>
        <w:rPr>
          <w:rFonts w:hint="eastAsia" w:ascii="宋体" w:hAnsi="宋体"/>
          <w:color w:val="auto"/>
          <w:szCs w:val="21"/>
          <w:highlight w:val="none"/>
        </w:rPr>
        <w:t>采购代理机构名称：国义招标股份有限公司</w:t>
      </w:r>
    </w:p>
    <w:p w14:paraId="70704468">
      <w:pPr>
        <w:ind w:firstLine="441" w:firstLineChars="210"/>
        <w:rPr>
          <w:rFonts w:hint="eastAsia" w:ascii="宋体" w:hAnsi="宋体"/>
          <w:color w:val="auto"/>
          <w:szCs w:val="21"/>
          <w:highlight w:val="none"/>
        </w:rPr>
      </w:pPr>
      <w:r>
        <w:rPr>
          <w:rFonts w:hint="eastAsia" w:ascii="宋体" w:hAnsi="宋体"/>
          <w:color w:val="auto"/>
          <w:szCs w:val="21"/>
          <w:highlight w:val="none"/>
        </w:rPr>
        <w:t>地    址：广州市东风东路726号18楼（邮编：510080）</w:t>
      </w:r>
    </w:p>
    <w:p w14:paraId="04F3F669">
      <w:pPr>
        <w:ind w:firstLine="441" w:firstLineChars="210"/>
        <w:rPr>
          <w:rFonts w:hint="eastAsia" w:ascii="宋体" w:hAnsi="宋体"/>
          <w:color w:val="auto"/>
          <w:szCs w:val="21"/>
          <w:highlight w:val="none"/>
        </w:rPr>
      </w:pPr>
      <w:r>
        <w:rPr>
          <w:rFonts w:hint="eastAsia" w:ascii="宋体" w:hAnsi="宋体"/>
          <w:color w:val="auto"/>
          <w:szCs w:val="21"/>
          <w:highlight w:val="none"/>
        </w:rPr>
        <w:t>分支机构：国义招标股份有限公司珠海分公司</w:t>
      </w:r>
    </w:p>
    <w:p w14:paraId="0DE04C25">
      <w:pPr>
        <w:ind w:firstLine="441" w:firstLineChars="210"/>
        <w:rPr>
          <w:rFonts w:hint="eastAsia" w:ascii="宋体" w:hAnsi="宋体"/>
          <w:color w:val="auto"/>
          <w:szCs w:val="21"/>
          <w:highlight w:val="none"/>
        </w:rPr>
      </w:pPr>
      <w:r>
        <w:rPr>
          <w:rFonts w:hint="eastAsia" w:ascii="宋体" w:hAnsi="宋体"/>
          <w:color w:val="auto"/>
          <w:szCs w:val="21"/>
          <w:highlight w:val="none"/>
        </w:rPr>
        <w:t>地    址：珠海市香洲区凤凰北路2099号安广世纪大厦1402至1403室</w:t>
      </w:r>
    </w:p>
    <w:p w14:paraId="4267569B">
      <w:pPr>
        <w:ind w:firstLine="441" w:firstLineChars="210"/>
        <w:rPr>
          <w:rFonts w:hint="eastAsia" w:ascii="宋体" w:hAnsi="宋体"/>
          <w:color w:val="auto"/>
          <w:szCs w:val="21"/>
          <w:highlight w:val="none"/>
        </w:rPr>
      </w:pPr>
      <w:r>
        <w:rPr>
          <w:rFonts w:hint="eastAsia" w:ascii="宋体" w:hAnsi="宋体"/>
          <w:color w:val="auto"/>
          <w:szCs w:val="21"/>
          <w:highlight w:val="none"/>
        </w:rPr>
        <w:t>邮编：</w:t>
      </w:r>
      <w:r>
        <w:rPr>
          <w:rFonts w:hint="eastAsia" w:ascii="宋体" w:hAnsi="宋体"/>
          <w:color w:val="auto"/>
          <w:szCs w:val="21"/>
          <w:highlight w:val="none"/>
          <w:lang w:eastAsia="zh-CN"/>
        </w:rPr>
        <w:t>519090</w:t>
      </w:r>
    </w:p>
    <w:p w14:paraId="7195AA3E">
      <w:pPr>
        <w:ind w:firstLine="441" w:firstLineChars="210"/>
        <w:rPr>
          <w:rFonts w:hint="default" w:ascii="宋体" w:hAnsi="宋体"/>
          <w:color w:val="auto"/>
          <w:szCs w:val="21"/>
          <w:highlight w:val="none"/>
          <w:lang w:val="en-US" w:eastAsia="zh-CN"/>
        </w:rPr>
      </w:pPr>
      <w:r>
        <w:rPr>
          <w:rFonts w:hint="eastAsia" w:ascii="宋体" w:hAnsi="宋体"/>
          <w:color w:val="auto"/>
          <w:szCs w:val="21"/>
          <w:highlight w:val="none"/>
        </w:rPr>
        <w:t>采购代理机构联系人：郑双茵、余力、陈敏娜、邓锦英</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李加强</w:t>
      </w:r>
    </w:p>
    <w:p w14:paraId="60561D89">
      <w:pPr>
        <w:ind w:firstLine="441" w:firstLineChars="210"/>
        <w:rPr>
          <w:rFonts w:hint="eastAsia" w:ascii="宋体" w:hAnsi="宋体"/>
          <w:color w:val="auto"/>
          <w:szCs w:val="21"/>
          <w:highlight w:val="none"/>
        </w:rPr>
      </w:pPr>
      <w:r>
        <w:rPr>
          <w:rFonts w:hint="eastAsia" w:ascii="宋体" w:hAnsi="宋体"/>
          <w:color w:val="auto"/>
          <w:szCs w:val="21"/>
          <w:highlight w:val="none"/>
        </w:rPr>
        <w:t>电话：0756-2620022</w:t>
      </w:r>
    </w:p>
    <w:p w14:paraId="404D7D94">
      <w:pPr>
        <w:ind w:firstLine="441" w:firstLineChars="210"/>
        <w:rPr>
          <w:rFonts w:hint="eastAsia" w:ascii="宋体" w:hAnsi="宋体"/>
          <w:color w:val="auto"/>
          <w:szCs w:val="21"/>
          <w:highlight w:val="none"/>
        </w:rPr>
      </w:pPr>
      <w:r>
        <w:rPr>
          <w:rFonts w:hint="eastAsia" w:ascii="宋体" w:hAnsi="宋体"/>
          <w:color w:val="auto"/>
          <w:szCs w:val="21"/>
          <w:highlight w:val="none"/>
        </w:rPr>
        <w:t xml:space="preserve">传真：0756-2620024 </w:t>
      </w:r>
    </w:p>
    <w:p w14:paraId="5217B115">
      <w:pPr>
        <w:ind w:firstLine="441" w:firstLineChars="210"/>
        <w:rPr>
          <w:rFonts w:hint="eastAsia" w:ascii="宋体" w:hAnsi="宋体"/>
          <w:color w:val="auto"/>
          <w:szCs w:val="21"/>
          <w:highlight w:val="none"/>
        </w:rPr>
      </w:pPr>
      <w:r>
        <w:rPr>
          <w:rFonts w:hint="eastAsia" w:ascii="宋体" w:hAnsi="宋体"/>
          <w:color w:val="auto"/>
          <w:szCs w:val="21"/>
          <w:highlight w:val="none"/>
          <w:lang w:val="en-US" w:eastAsia="zh-CN"/>
        </w:rPr>
        <w:t>采购人名称：国家税务总局珠海市税务局稽查局、国家税务总局珠海市税务局第一稽查局</w:t>
      </w:r>
    </w:p>
    <w:p w14:paraId="6BAB7F37">
      <w:pPr>
        <w:ind w:firstLine="441" w:firstLineChars="210"/>
        <w:rPr>
          <w:rFonts w:hint="default" w:ascii="宋体" w:hAnsi="宋体"/>
          <w:color w:val="auto"/>
          <w:szCs w:val="21"/>
          <w:highlight w:val="none"/>
          <w:lang w:val="en-US" w:eastAsia="zh-CN"/>
        </w:rPr>
      </w:pPr>
      <w:r>
        <w:rPr>
          <w:rFonts w:hint="eastAsia" w:ascii="宋体" w:hAnsi="宋体"/>
          <w:color w:val="auto"/>
          <w:szCs w:val="21"/>
          <w:highlight w:val="none"/>
        </w:rPr>
        <w:t>采购人联系人：</w:t>
      </w:r>
      <w:r>
        <w:rPr>
          <w:rFonts w:hint="eastAsia" w:ascii="宋体" w:hAnsi="宋体"/>
          <w:color w:val="auto"/>
          <w:szCs w:val="21"/>
          <w:highlight w:val="none"/>
          <w:lang w:eastAsia="zh-CN"/>
        </w:rPr>
        <w:t>吴先生、</w:t>
      </w:r>
      <w:r>
        <w:rPr>
          <w:rFonts w:hint="eastAsia" w:ascii="宋体" w:hAnsi="宋体"/>
          <w:color w:val="auto"/>
          <w:szCs w:val="21"/>
          <w:highlight w:val="none"/>
          <w:lang w:val="en-US" w:eastAsia="zh-CN"/>
        </w:rPr>
        <w:t>彭先生</w:t>
      </w:r>
    </w:p>
    <w:p w14:paraId="480B52B7">
      <w:pPr>
        <w:ind w:firstLine="441" w:firstLineChars="210"/>
        <w:rPr>
          <w:rFonts w:hint="eastAsia" w:ascii="宋体" w:hAnsi="宋体"/>
          <w:color w:val="auto"/>
          <w:szCs w:val="21"/>
          <w:highlight w:val="none"/>
          <w:lang w:val="en-US" w:eastAsia="zh-CN"/>
        </w:rPr>
      </w:pPr>
      <w:r>
        <w:rPr>
          <w:rFonts w:hint="eastAsia" w:ascii="宋体" w:hAnsi="宋体"/>
          <w:color w:val="auto"/>
          <w:szCs w:val="21"/>
          <w:highlight w:val="none"/>
        </w:rPr>
        <w:t>电话：0756-3216373</w:t>
      </w:r>
      <w:r>
        <w:rPr>
          <w:rFonts w:hint="eastAsia" w:ascii="宋体" w:hAnsi="宋体"/>
          <w:color w:val="auto"/>
          <w:szCs w:val="21"/>
          <w:highlight w:val="none"/>
          <w:lang w:val="en-US" w:eastAsia="zh-CN"/>
        </w:rPr>
        <w:t>、2608863</w:t>
      </w:r>
    </w:p>
    <w:p w14:paraId="64E826D0">
      <w:pPr>
        <w:ind w:firstLine="441" w:firstLineChars="210"/>
        <w:rPr>
          <w:rFonts w:hint="eastAsia" w:ascii="宋体" w:hAnsi="宋体"/>
          <w:color w:val="auto"/>
          <w:szCs w:val="21"/>
          <w:highlight w:val="none"/>
          <w:lang w:val="en-US" w:eastAsia="zh-CN"/>
        </w:rPr>
      </w:pPr>
      <w:r>
        <w:rPr>
          <w:rFonts w:hint="eastAsia" w:ascii="宋体" w:hAnsi="宋体"/>
          <w:color w:val="auto"/>
          <w:szCs w:val="21"/>
          <w:highlight w:val="none"/>
        </w:rPr>
        <w:t>联系地址：</w:t>
      </w:r>
      <w:r>
        <w:rPr>
          <w:rFonts w:hint="eastAsia" w:ascii="宋体" w:hAnsi="宋体"/>
          <w:color w:val="auto"/>
          <w:szCs w:val="21"/>
          <w:highlight w:val="none"/>
          <w:lang w:eastAsia="zh-CN"/>
        </w:rPr>
        <w:t>广东省</w:t>
      </w:r>
      <w:r>
        <w:rPr>
          <w:rFonts w:hint="eastAsia" w:ascii="宋体" w:hAnsi="宋体"/>
          <w:color w:val="auto"/>
          <w:szCs w:val="21"/>
          <w:highlight w:val="none"/>
        </w:rPr>
        <w:t>珠海市香洲区梅华西</w:t>
      </w:r>
      <w:r>
        <w:rPr>
          <w:rFonts w:hint="eastAsia" w:ascii="宋体" w:hAnsi="宋体"/>
          <w:color w:val="auto"/>
          <w:szCs w:val="21"/>
          <w:highlight w:val="none"/>
          <w:lang w:val="en-US" w:eastAsia="zh-CN"/>
        </w:rPr>
        <w:t>66</w:t>
      </w:r>
      <w:r>
        <w:rPr>
          <w:rFonts w:hint="eastAsia" w:ascii="宋体" w:hAnsi="宋体"/>
          <w:color w:val="auto"/>
          <w:szCs w:val="21"/>
          <w:highlight w:val="none"/>
        </w:rPr>
        <w:t>号</w:t>
      </w:r>
    </w:p>
    <w:p w14:paraId="656183D5">
      <w:pPr>
        <w:ind w:firstLine="441" w:firstLineChars="210"/>
        <w:rPr>
          <w:rFonts w:hint="eastAsia" w:ascii="宋体" w:hAnsi="宋体"/>
          <w:color w:val="auto"/>
          <w:szCs w:val="21"/>
          <w:highlight w:val="none"/>
          <w:lang w:eastAsia="zh-CN"/>
        </w:rPr>
      </w:pPr>
      <w:r>
        <w:rPr>
          <w:rFonts w:hint="eastAsia" w:ascii="宋体" w:hAnsi="宋体"/>
          <w:color w:val="auto"/>
          <w:szCs w:val="21"/>
          <w:highlight w:val="none"/>
        </w:rPr>
        <w:t>邮编：</w:t>
      </w:r>
      <w:r>
        <w:rPr>
          <w:rFonts w:hint="eastAsia" w:ascii="宋体" w:hAnsi="宋体"/>
          <w:color w:val="auto"/>
          <w:szCs w:val="21"/>
          <w:highlight w:val="none"/>
          <w:lang w:eastAsia="zh-CN"/>
        </w:rPr>
        <w:t>5190</w:t>
      </w:r>
      <w:r>
        <w:rPr>
          <w:rFonts w:hint="eastAsia" w:ascii="宋体" w:hAnsi="宋体"/>
          <w:color w:val="auto"/>
          <w:szCs w:val="21"/>
          <w:highlight w:val="none"/>
          <w:lang w:val="en-US" w:eastAsia="zh-CN"/>
        </w:rPr>
        <w:t>0</w:t>
      </w:r>
      <w:r>
        <w:rPr>
          <w:rFonts w:hint="eastAsia" w:ascii="宋体" w:hAnsi="宋体"/>
          <w:color w:val="auto"/>
          <w:szCs w:val="21"/>
          <w:highlight w:val="none"/>
          <w:lang w:eastAsia="zh-CN"/>
        </w:rPr>
        <w:t>0</w:t>
      </w:r>
    </w:p>
    <w:p w14:paraId="54AACFB4">
      <w:pPr>
        <w:ind w:firstLine="480"/>
        <w:rPr>
          <w:rFonts w:hint="eastAsia" w:ascii="宋体" w:hAnsi="宋体"/>
          <w:color w:val="auto"/>
          <w:szCs w:val="21"/>
          <w:highlight w:val="none"/>
        </w:rPr>
      </w:pPr>
    </w:p>
    <w:p w14:paraId="4AC8BF20">
      <w:pPr>
        <w:ind w:firstLine="480"/>
        <w:rPr>
          <w:rFonts w:hint="eastAsia" w:ascii="宋体" w:hAnsi="宋体"/>
          <w:color w:val="auto"/>
          <w:szCs w:val="21"/>
          <w:highlight w:val="none"/>
        </w:rPr>
      </w:pPr>
      <w:r>
        <w:rPr>
          <w:rFonts w:hint="eastAsia" w:ascii="宋体" w:hAnsi="宋体"/>
          <w:color w:val="auto"/>
          <w:szCs w:val="21"/>
          <w:highlight w:val="none"/>
        </w:rPr>
        <w:t>银行及账户信息：</w:t>
      </w:r>
    </w:p>
    <w:p w14:paraId="5D2F70DF">
      <w:pPr>
        <w:ind w:firstLine="441" w:firstLineChars="210"/>
        <w:rPr>
          <w:rFonts w:hint="eastAsia" w:ascii="宋体" w:hAnsi="宋体"/>
          <w:color w:val="auto"/>
          <w:szCs w:val="21"/>
          <w:highlight w:val="none"/>
        </w:rPr>
      </w:pPr>
      <w:r>
        <w:rPr>
          <w:rFonts w:hint="eastAsia" w:ascii="宋体" w:hAnsi="宋体"/>
          <w:color w:val="auto"/>
          <w:szCs w:val="21"/>
          <w:highlight w:val="none"/>
        </w:rPr>
        <w:t>（1）中标服务费缴费账户：</w:t>
      </w:r>
    </w:p>
    <w:p w14:paraId="4F0C72CC">
      <w:pPr>
        <w:ind w:firstLine="441" w:firstLineChars="210"/>
        <w:rPr>
          <w:rFonts w:hint="eastAsia" w:ascii="宋体" w:hAnsi="宋体"/>
          <w:color w:val="auto"/>
          <w:szCs w:val="21"/>
          <w:highlight w:val="none"/>
        </w:rPr>
      </w:pPr>
      <w:r>
        <w:rPr>
          <w:rFonts w:hint="eastAsia" w:ascii="宋体" w:hAnsi="宋体"/>
          <w:color w:val="auto"/>
          <w:szCs w:val="21"/>
          <w:highlight w:val="none"/>
        </w:rPr>
        <w:t>收款人：国义招标股份有限公司珠海分公司</w:t>
      </w:r>
    </w:p>
    <w:p w14:paraId="2629C31B">
      <w:pPr>
        <w:ind w:firstLine="441" w:firstLineChars="210"/>
        <w:rPr>
          <w:rFonts w:hint="eastAsia" w:ascii="宋体" w:hAnsi="宋体"/>
          <w:color w:val="auto"/>
          <w:szCs w:val="21"/>
          <w:highlight w:val="none"/>
        </w:rPr>
      </w:pPr>
      <w:r>
        <w:rPr>
          <w:rFonts w:hint="eastAsia" w:ascii="宋体" w:hAnsi="宋体"/>
          <w:color w:val="auto"/>
          <w:szCs w:val="21"/>
          <w:highlight w:val="none"/>
        </w:rPr>
        <w:t>开户银行：招商银行股份有限公司珠海分行</w:t>
      </w:r>
    </w:p>
    <w:p w14:paraId="6069E8FC">
      <w:pPr>
        <w:ind w:firstLine="441" w:firstLineChars="210"/>
        <w:rPr>
          <w:rFonts w:hint="eastAsia" w:ascii="宋体" w:hAnsi="宋体"/>
          <w:color w:val="auto"/>
          <w:szCs w:val="21"/>
          <w:highlight w:val="none"/>
        </w:rPr>
      </w:pPr>
      <w:r>
        <w:rPr>
          <w:rFonts w:hint="eastAsia" w:ascii="宋体" w:hAnsi="宋体"/>
          <w:color w:val="auto"/>
          <w:szCs w:val="21"/>
          <w:highlight w:val="none"/>
        </w:rPr>
        <w:t>银行账号：656900277410108</w:t>
      </w:r>
    </w:p>
    <w:p w14:paraId="1DC2CE88">
      <w:pPr>
        <w:ind w:firstLine="3255" w:firstLineChars="1550"/>
        <w:jc w:val="right"/>
        <w:rPr>
          <w:rFonts w:hint="eastAsia" w:ascii="宋体" w:hAnsi="宋体"/>
          <w:color w:val="auto"/>
          <w:szCs w:val="21"/>
          <w:highlight w:val="none"/>
        </w:rPr>
      </w:pPr>
      <w:r>
        <w:rPr>
          <w:rFonts w:hint="eastAsia" w:ascii="宋体" w:hAnsi="宋体"/>
          <w:color w:val="auto"/>
          <w:szCs w:val="21"/>
          <w:highlight w:val="none"/>
        </w:rPr>
        <w:t xml:space="preserve">          </w:t>
      </w:r>
    </w:p>
    <w:p w14:paraId="6700E400">
      <w:pPr>
        <w:ind w:firstLine="3255" w:firstLineChars="1550"/>
        <w:jc w:val="right"/>
        <w:rPr>
          <w:rFonts w:hint="eastAsia" w:ascii="宋体" w:hAnsi="宋体"/>
          <w:color w:val="auto"/>
          <w:szCs w:val="21"/>
          <w:highlight w:val="none"/>
        </w:rPr>
      </w:pPr>
      <w:r>
        <w:rPr>
          <w:rFonts w:hint="eastAsia" w:ascii="宋体" w:hAnsi="宋体"/>
          <w:color w:val="auto"/>
          <w:szCs w:val="21"/>
          <w:highlight w:val="none"/>
        </w:rPr>
        <w:t xml:space="preserve">  国义招标股份有限公司</w:t>
      </w:r>
    </w:p>
    <w:p w14:paraId="371B63DD">
      <w:pPr>
        <w:wordWrap w:val="0"/>
        <w:ind w:firstLine="2940" w:firstLineChars="1400"/>
        <w:jc w:val="right"/>
        <w:rPr>
          <w:rFonts w:hint="eastAsia" w:ascii="宋体" w:hAnsi="宋体"/>
          <w:color w:val="auto"/>
          <w:szCs w:val="21"/>
          <w:highlight w:val="none"/>
        </w:rPr>
      </w:pPr>
      <w:r>
        <w:rPr>
          <w:rFonts w:hint="eastAsia" w:ascii="宋体" w:hAnsi="宋体"/>
          <w:color w:val="auto"/>
          <w:szCs w:val="21"/>
          <w:highlight w:val="none"/>
        </w:rPr>
        <w:t>2026年02月14日</w:t>
      </w:r>
      <w:bookmarkStart w:id="52" w:name="_GoBack"/>
      <w:bookmarkEnd w:id="52"/>
    </w:p>
    <w:p w14:paraId="5920C3E4">
      <w:pPr>
        <w:jc w:val="center"/>
        <w:rPr>
          <w:rFonts w:hint="eastAsia" w:ascii="宋体" w:hAnsi="宋体"/>
          <w:b/>
          <w:color w:val="auto"/>
          <w:sz w:val="28"/>
          <w:szCs w:val="28"/>
          <w:highlight w:val="none"/>
        </w:rPr>
      </w:pPr>
      <w:r>
        <w:rPr>
          <w:rFonts w:hint="eastAsia" w:ascii="宋体" w:hAnsi="宋体"/>
          <w:b/>
          <w:color w:val="auto"/>
          <w:szCs w:val="21"/>
          <w:highlight w:val="none"/>
        </w:rPr>
        <w:br w:type="page"/>
      </w:r>
      <w:r>
        <w:rPr>
          <w:rFonts w:hint="eastAsia" w:ascii="宋体" w:hAnsi="宋体"/>
          <w:b/>
          <w:color w:val="auto"/>
          <w:sz w:val="28"/>
          <w:szCs w:val="28"/>
          <w:highlight w:val="none"/>
        </w:rPr>
        <w:t>第二部分　采购项目内容</w:t>
      </w:r>
    </w:p>
    <w:p w14:paraId="2448249A">
      <w:pPr>
        <w:autoSpaceDE w:val="0"/>
        <w:autoSpaceDN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〈一〉用户需求书： </w:t>
      </w:r>
    </w:p>
    <w:p w14:paraId="5DA4C170">
      <w:pPr>
        <w:keepNext w:val="0"/>
        <w:keepLines w:val="0"/>
        <w:pageBreakBefore w:val="0"/>
        <w:wordWrap/>
        <w:topLinePunct w:val="0"/>
        <w:bidi w:val="0"/>
        <w:adjustRightInd/>
        <w:spacing w:beforeAutospacing="0" w:afterAutospacing="0" w:line="240" w:lineRule="auto"/>
        <w:ind w:left="0" w:leftChars="0" w:right="0"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《用户需求书》中标注有“★”号的条款必须实质性响应，负偏离（不满足要求）将导致投标无效。</w:t>
      </w:r>
    </w:p>
    <w:p w14:paraId="16EAB304">
      <w:pPr>
        <w:keepNext w:val="0"/>
        <w:keepLines w:val="0"/>
        <w:pageBreakBefore w:val="0"/>
        <w:wordWrap/>
        <w:topLinePunct w:val="0"/>
        <w:bidi w:val="0"/>
        <w:adjustRightInd/>
        <w:spacing w:beforeAutospacing="0" w:afterAutospacing="0" w:line="240" w:lineRule="auto"/>
        <w:ind w:left="0" w:leftChars="0" w:right="0"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本项目属于服务类项目，采购标的对应的中小企业划分标准所属行业：物业管理。</w:t>
      </w:r>
    </w:p>
    <w:p w14:paraId="702C7DA8">
      <w:pPr>
        <w:keepNext w:val="0"/>
        <w:keepLines w:val="0"/>
        <w:pageBreakBefore w:val="0"/>
        <w:wordWrap/>
        <w:topLinePunct w:val="0"/>
        <w:autoSpaceDE w:val="0"/>
        <w:autoSpaceDN w:val="0"/>
        <w:bidi w:val="0"/>
        <w:adjustRightInd/>
        <w:spacing w:beforeAutospacing="0" w:afterAutospacing="0" w:line="24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投标人必须承诺，如服务期限或预算金额任意一项条件先达到，则本项目合同履约结束，</w:t>
      </w:r>
      <w:r>
        <w:rPr>
          <w:rFonts w:hint="eastAsia" w:ascii="宋体" w:hAnsi="宋体" w:eastAsia="宋体" w:cs="宋体"/>
          <w:b/>
          <w:color w:val="auto"/>
          <w:sz w:val="21"/>
          <w:szCs w:val="21"/>
          <w:highlight w:val="none"/>
          <w:lang w:val="en-US" w:eastAsia="zh-CN"/>
        </w:rPr>
        <w:t>投标人</w:t>
      </w:r>
      <w:r>
        <w:rPr>
          <w:rFonts w:hint="eastAsia" w:ascii="宋体" w:hAnsi="宋体" w:eastAsia="宋体" w:cs="宋体"/>
          <w:b/>
          <w:color w:val="auto"/>
          <w:sz w:val="21"/>
          <w:szCs w:val="21"/>
          <w:highlight w:val="none"/>
          <w:lang w:val="zh-CN"/>
        </w:rPr>
        <w:t>无条件退出（投标时提交承诺，格式</w:t>
      </w:r>
      <w:r>
        <w:rPr>
          <w:rFonts w:hint="eastAsia" w:ascii="宋体" w:hAnsi="宋体" w:eastAsia="宋体" w:cs="宋体"/>
          <w:b/>
          <w:color w:val="auto"/>
          <w:sz w:val="21"/>
          <w:szCs w:val="21"/>
          <w:highlight w:val="none"/>
        </w:rPr>
        <w:t>可参照“投标文件格式”中《承诺函》格式</w:t>
      </w:r>
      <w:r>
        <w:rPr>
          <w:rFonts w:hint="eastAsia" w:ascii="宋体" w:hAnsi="宋体" w:eastAsia="宋体" w:cs="宋体"/>
          <w:b/>
          <w:color w:val="auto"/>
          <w:sz w:val="21"/>
          <w:szCs w:val="21"/>
          <w:highlight w:val="none"/>
          <w:lang w:val="zh-CN"/>
        </w:rPr>
        <w:t>）。</w:t>
      </w:r>
    </w:p>
    <w:p w14:paraId="51B757E7">
      <w:pPr>
        <w:keepNext w:val="0"/>
        <w:keepLines w:val="0"/>
        <w:pageBreakBefore w:val="0"/>
        <w:wordWrap/>
        <w:topLinePunct w:val="0"/>
        <w:autoSpaceDE w:val="0"/>
        <w:autoSpaceDN w:val="0"/>
        <w:bidi w:val="0"/>
        <w:adjustRightInd/>
        <w:spacing w:beforeAutospacing="0" w:afterAutospacing="0" w:line="240" w:lineRule="auto"/>
        <w:ind w:left="0" w:leftChars="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投标人必须承诺，理解并同意“服务期限内如因相关法律法规等政府规范性文件要求，税收征管改革发展需要，机构撤并、改革等原因采购人有权单方面终止合同，支付实际发生服务期间</w:t>
      </w:r>
      <w:r>
        <w:rPr>
          <w:rFonts w:hint="eastAsia" w:ascii="宋体" w:hAnsi="宋体" w:eastAsia="宋体" w:cs="宋体"/>
          <w:b/>
          <w:color w:val="auto"/>
          <w:sz w:val="21"/>
          <w:szCs w:val="21"/>
          <w:highlight w:val="none"/>
        </w:rPr>
        <w:t>费用”（投标时提交承诺，格式可参照“投标文件格式”中《承诺函》格式）。</w:t>
      </w:r>
    </w:p>
    <w:p w14:paraId="5401C633">
      <w:pPr>
        <w:keepNext w:val="0"/>
        <w:keepLines w:val="0"/>
        <w:pageBreakBefore w:val="0"/>
        <w:wordWrap/>
        <w:topLinePunct w:val="0"/>
        <w:autoSpaceDE w:val="0"/>
        <w:autoSpaceDN w:val="0"/>
        <w:bidi w:val="0"/>
        <w:adjustRightInd/>
        <w:spacing w:beforeAutospacing="0" w:afterAutospacing="0" w:line="240" w:lineRule="auto"/>
        <w:ind w:left="0" w:leftChars="0" w:right="0" w:firstLine="422" w:firstLineChars="200"/>
        <w:rPr>
          <w:rFonts w:hint="eastAsia" w:ascii="宋体" w:hAnsi="宋体" w:eastAsia="宋体" w:cs="宋体"/>
          <w:b/>
          <w:color w:val="auto"/>
          <w:sz w:val="21"/>
          <w:szCs w:val="21"/>
          <w:highlight w:val="none"/>
        </w:rPr>
      </w:pPr>
      <w:bookmarkStart w:id="1" w:name="_Toc13967"/>
      <w:r>
        <w:rPr>
          <w:rFonts w:hint="eastAsia" w:ascii="宋体" w:hAnsi="宋体" w:eastAsia="宋体" w:cs="宋体"/>
          <w:b/>
          <w:color w:val="auto"/>
          <w:sz w:val="21"/>
          <w:szCs w:val="21"/>
          <w:highlight w:val="none"/>
        </w:rPr>
        <w:t>★3、投标人不得以任何不正当行为谋取不当利益，包含但不限于‘围猎’采购人税务人员行为（以获取不正当利益为目的，采取馈赠礼品礼金、邀请娱乐旅游消费、提供便利条件等非正常交往手段“围猎”相关税务人员及其亲属），否则将承担相应的法律责任</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(投标时提供承诺，可参照“投标文件格式”中《承诺函》格式）。</w:t>
      </w:r>
    </w:p>
    <w:p w14:paraId="10382125">
      <w:pPr>
        <w:keepNext w:val="0"/>
        <w:keepLines w:val="0"/>
        <w:pageBreakBefore w:val="0"/>
        <w:wordWrap/>
        <w:topLinePunct w:val="0"/>
        <w:autoSpaceDE w:val="0"/>
        <w:autoSpaceDN w:val="0"/>
        <w:bidi w:val="0"/>
        <w:adjustRightInd/>
        <w:spacing w:beforeAutospacing="0" w:afterAutospacing="0" w:line="240" w:lineRule="auto"/>
        <w:ind w:left="0" w:leftChars="0" w:right="0"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投标人必须满足以下条件之一：①具有《保安服务许可证》，投标时提交许可证复印件并加盖投标人公章；②投标时承诺签订合同之后按《保安服务管理条例》的要求到公安机关备案，并于终止安保服务之日起30日内到备案的公安机关撤销备案（投标时提交承诺，承诺可参照“投标文件格式”中《承诺函》格式）。</w:t>
      </w:r>
    </w:p>
    <w:p w14:paraId="23039DC2">
      <w:pPr>
        <w:keepNext w:val="0"/>
        <w:keepLines w:val="0"/>
        <w:pageBreakBefore w:val="0"/>
        <w:wordWrap/>
        <w:topLinePunct w:val="0"/>
        <w:autoSpaceDE w:val="0"/>
        <w:autoSpaceDN w:val="0"/>
        <w:bidi w:val="0"/>
        <w:adjustRightInd/>
        <w:spacing w:beforeAutospacing="0" w:afterAutospacing="0" w:line="240" w:lineRule="auto"/>
        <w:ind w:left="0" w:leftChars="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★5、投标人在投标/报价文件中提供的人员，即为项目实施时投入的人员。未经采购人同意，不得更换人员(投标时提供承诺，可参照“投标文件格式”中《承诺函》 格式）； </w:t>
      </w:r>
    </w:p>
    <w:p w14:paraId="7C1FEA12">
      <w:pPr>
        <w:keepNext w:val="0"/>
        <w:keepLines w:val="0"/>
        <w:pageBreakBefore w:val="0"/>
        <w:wordWrap/>
        <w:topLinePunct w:val="0"/>
        <w:autoSpaceDE w:val="0"/>
        <w:autoSpaceDN w:val="0"/>
        <w:bidi w:val="0"/>
        <w:adjustRightInd/>
        <w:spacing w:beforeAutospacing="0" w:afterAutospacing="0" w:line="240" w:lineRule="auto"/>
        <w:ind w:left="0" w:leftChars="0" w:right="0"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★6、投标人承诺如获中标/成交，拟委派的</w:t>
      </w:r>
      <w:r>
        <w:rPr>
          <w:rFonts w:hint="eastAsia" w:ascii="宋体" w:hAnsi="宋体" w:eastAsia="宋体" w:cs="宋体"/>
          <w:b/>
          <w:color w:val="auto"/>
          <w:sz w:val="21"/>
          <w:szCs w:val="21"/>
          <w:highlight w:val="none"/>
          <w:lang w:val="en-US" w:eastAsia="zh-CN"/>
        </w:rPr>
        <w:t>项目经理</w:t>
      </w:r>
      <w:r>
        <w:rPr>
          <w:rFonts w:hint="eastAsia" w:ascii="宋体" w:hAnsi="宋体" w:eastAsia="宋体" w:cs="宋体"/>
          <w:b/>
          <w:color w:val="auto"/>
          <w:sz w:val="21"/>
          <w:szCs w:val="21"/>
          <w:highlight w:val="none"/>
        </w:rPr>
        <w:t>将到岗履职，不得兼任其他项目的</w:t>
      </w:r>
      <w:r>
        <w:rPr>
          <w:rFonts w:hint="eastAsia" w:ascii="宋体" w:hAnsi="宋体" w:eastAsia="宋体" w:cs="宋体"/>
          <w:b/>
          <w:color w:val="auto"/>
          <w:sz w:val="21"/>
          <w:szCs w:val="21"/>
          <w:highlight w:val="none"/>
          <w:lang w:val="en-US" w:eastAsia="zh-CN"/>
        </w:rPr>
        <w:t>项目经理</w:t>
      </w:r>
      <w:r>
        <w:rPr>
          <w:rFonts w:hint="eastAsia" w:ascii="宋体" w:hAnsi="宋体" w:eastAsia="宋体" w:cs="宋体"/>
          <w:b/>
          <w:color w:val="auto"/>
          <w:sz w:val="21"/>
          <w:szCs w:val="21"/>
          <w:highlight w:val="none"/>
        </w:rPr>
        <w:t xml:space="preserve">(投标时提供承诺，可参照“投标文件格式”中《承诺函》 格式）。 </w:t>
      </w:r>
    </w:p>
    <w:p w14:paraId="0FD95D18">
      <w:pPr>
        <w:keepNext w:val="0"/>
        <w:keepLines w:val="0"/>
        <w:pageBreakBefore w:val="0"/>
        <w:numPr>
          <w:ilvl w:val="0"/>
          <w:numId w:val="0"/>
        </w:numPr>
        <w:wordWrap/>
        <w:topLinePunct w:val="0"/>
        <w:autoSpaceDE w:val="0"/>
        <w:autoSpaceDN w:val="0"/>
        <w:bidi w:val="0"/>
        <w:adjustRightInd/>
        <w:spacing w:beforeAutospacing="0" w:afterAutospacing="0" w:line="240" w:lineRule="auto"/>
        <w:ind w:left="0" w:leftChars="0" w:right="0" w:firstLine="422" w:firstLineChars="200"/>
        <w:outlineLvl w:val="1"/>
        <w:rPr>
          <w:rFonts w:hint="eastAsia" w:ascii="宋体" w:hAnsi="宋体" w:eastAsia="宋体" w:cs="宋体"/>
          <w:b/>
          <w:bCs/>
          <w:color w:val="auto"/>
          <w:sz w:val="21"/>
          <w:szCs w:val="21"/>
          <w:highlight w:val="none"/>
        </w:rPr>
      </w:pPr>
      <w:bookmarkStart w:id="2" w:name="_Toc151991867"/>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rPr>
        <w:t>项目概况</w:t>
      </w:r>
      <w:bookmarkEnd w:id="1"/>
      <w:bookmarkEnd w:id="2"/>
    </w:p>
    <w:p w14:paraId="2E00FFAA">
      <w:pPr>
        <w:keepNext w:val="0"/>
        <w:keepLines w:val="0"/>
        <w:pageBreakBefore w:val="0"/>
        <w:wordWrap/>
        <w:topLinePunct w:val="0"/>
        <w:bidi w:val="0"/>
        <w:adjustRightInd/>
        <w:snapToGrid w:val="0"/>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本项目服务地点包括：</w:t>
      </w:r>
      <w:r>
        <w:rPr>
          <w:rFonts w:hint="eastAsia" w:ascii="宋体" w:hAnsi="宋体" w:eastAsia="宋体" w:cs="宋体"/>
          <w:color w:val="auto"/>
          <w:sz w:val="21"/>
          <w:szCs w:val="21"/>
          <w:highlight w:val="none"/>
          <w:lang w:eastAsia="zh-CN"/>
        </w:rPr>
        <w:t>国家税务总局珠海市税务局梅华西办公区物业</w:t>
      </w:r>
      <w:r>
        <w:rPr>
          <w:rFonts w:hint="eastAsia" w:ascii="宋体" w:hAnsi="宋体" w:eastAsia="宋体" w:cs="宋体"/>
          <w:color w:val="auto"/>
          <w:sz w:val="21"/>
          <w:szCs w:val="21"/>
          <w:highlight w:val="none"/>
        </w:rPr>
        <w:t>整体物业服务、保障、管理。</w:t>
      </w:r>
    </w:p>
    <w:p w14:paraId="0CD59415">
      <w:pPr>
        <w:keepNext w:val="0"/>
        <w:keepLines w:val="0"/>
        <w:pageBreakBefore w:val="0"/>
        <w:wordWrap/>
        <w:topLinePunct w:val="0"/>
        <w:bidi w:val="0"/>
        <w:adjustRightInd/>
        <w:snapToGrid w:val="0"/>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办公场所</w:t>
      </w:r>
      <w:r>
        <w:rPr>
          <w:rFonts w:hint="eastAsia" w:ascii="宋体" w:hAnsi="宋体" w:eastAsia="宋体" w:cs="宋体"/>
          <w:color w:val="auto"/>
          <w:sz w:val="21"/>
          <w:szCs w:val="21"/>
          <w:highlight w:val="none"/>
        </w:rPr>
        <w:t>服务事项：物业档案建立和管理；</w:t>
      </w:r>
      <w:r>
        <w:rPr>
          <w:rFonts w:hint="eastAsia" w:ascii="宋体" w:hAnsi="宋体" w:eastAsia="宋体" w:cs="宋体"/>
          <w:color w:val="auto"/>
          <w:sz w:val="21"/>
          <w:szCs w:val="21"/>
          <w:highlight w:val="none"/>
          <w:lang w:val="zh-CN"/>
        </w:rPr>
        <w:t>物业配套设施设备的系统日常管理、保障、运行维护；物业公共安全、秩序管理、维护及服务；室内外绿化养护；环境美化、清洁卫生服务、停车场管理、消防管理；大型活动或会议专项服务及采购人特定需要的其它特约服务等。</w:t>
      </w:r>
    </w:p>
    <w:p w14:paraId="320E60A7">
      <w:pPr>
        <w:pStyle w:val="12"/>
        <w:keepNext w:val="0"/>
        <w:keepLines w:val="0"/>
        <w:pageBreakBefore w:val="0"/>
        <w:wordWrap/>
        <w:topLinePunct w:val="0"/>
        <w:bidi w:val="0"/>
        <w:adjustRightInd/>
        <w:spacing w:beforeAutospacing="0" w:afterAutospacing="0" w:line="240" w:lineRule="auto"/>
        <w:ind w:left="0" w:leftChars="0" w:right="0" w:firstLine="459" w:firstLineChars="219"/>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为利于统一管理，采购人对上述物业管理服务整体向社会进行采购招标。投标人应对本项目所有内容进行投标，不允许只对其中部分内容进行投标。</w:t>
      </w:r>
    </w:p>
    <w:p w14:paraId="6EA4DF75">
      <w:pPr>
        <w:pStyle w:val="12"/>
        <w:keepNext w:val="0"/>
        <w:keepLines w:val="0"/>
        <w:pageBreakBefore w:val="0"/>
        <w:wordWrap/>
        <w:topLinePunct w:val="0"/>
        <w:bidi w:val="0"/>
        <w:adjustRightInd/>
        <w:spacing w:beforeAutospacing="0" w:afterAutospacing="0" w:line="240" w:lineRule="auto"/>
        <w:ind w:left="0" w:leftChars="0" w:right="0"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物业管理服务期限为</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u w:val="single"/>
        </w:rPr>
        <w:t>即自2026年4月1日至2028年3月31日止。合同履行期限自2026年4月1日至2028年3月31日止</w:t>
      </w:r>
      <w:r>
        <w:rPr>
          <w:rFonts w:hint="eastAsia" w:ascii="宋体" w:hAnsi="宋体" w:eastAsia="宋体" w:cs="宋体"/>
          <w:b/>
          <w:color w:val="auto"/>
          <w:sz w:val="21"/>
          <w:szCs w:val="21"/>
          <w:highlight w:val="none"/>
        </w:rPr>
        <w:t>。</w:t>
      </w:r>
      <w:r>
        <w:rPr>
          <w:rFonts w:hint="eastAsia" w:ascii="宋体" w:hAnsi="宋体" w:eastAsia="宋体" w:cs="宋体"/>
          <w:b/>
          <w:bCs w:val="0"/>
          <w:color w:val="auto"/>
          <w:spacing w:val="0"/>
          <w:w w:val="100"/>
          <w:sz w:val="21"/>
          <w:szCs w:val="21"/>
          <w:highlight w:val="none"/>
        </w:rPr>
        <w:t>采购人每个月对中标人的服务质量进行月度考核，同时每个年度对中标人的服务质量进行综合考核，年度考核合格方可再续签下一年。</w:t>
      </w:r>
      <w:r>
        <w:rPr>
          <w:rFonts w:hint="eastAsia" w:ascii="宋体" w:hAnsi="宋体" w:eastAsia="宋体" w:cs="宋体"/>
          <w:b/>
          <w:color w:val="auto"/>
          <w:sz w:val="21"/>
          <w:szCs w:val="21"/>
          <w:highlight w:val="none"/>
        </w:rPr>
        <w:t>服务期限内采购人每月对中标人的服务质量进行综合考核，若中标人在服务期内累计2次或以上物业服务综合考核未达标，采购人可以单方面终止合同，并追究相关违约责任</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(投标时提供承诺，可参照“投标文件格式”中《承诺函》 格式）。 </w:t>
      </w:r>
    </w:p>
    <w:p w14:paraId="274DD1BB">
      <w:pPr>
        <w:pStyle w:val="12"/>
        <w:keepNext w:val="0"/>
        <w:keepLines w:val="0"/>
        <w:pageBreakBefore w:val="0"/>
        <w:wordWrap/>
        <w:topLinePunct w:val="0"/>
        <w:bidi w:val="0"/>
        <w:adjustRightInd/>
        <w:spacing w:beforeAutospacing="0" w:afterAutospacing="0" w:line="240" w:lineRule="auto"/>
        <w:ind w:left="0" w:leftChars="0" w:right="0" w:firstLine="459" w:firstLineChars="219"/>
        <w:rPr>
          <w:rFonts w:hint="eastAsia" w:ascii="宋体" w:hAnsi="宋体" w:eastAsia="宋体" w:cs="宋体"/>
          <w:b w:val="0"/>
          <w:bCs w:val="0"/>
          <w:color w:val="auto"/>
          <w:spacing w:val="0"/>
          <w:sz w:val="21"/>
          <w:szCs w:val="21"/>
          <w:highlight w:val="none"/>
          <w:lang w:bidi="ar"/>
        </w:rPr>
      </w:pPr>
      <w:r>
        <w:rPr>
          <w:rFonts w:hint="eastAsia" w:ascii="宋体" w:hAnsi="宋体" w:eastAsia="宋体" w:cs="宋体"/>
          <w:b w:val="0"/>
          <w:bCs w:val="0"/>
          <w:color w:val="auto"/>
          <w:spacing w:val="0"/>
          <w:w w:val="100"/>
          <w:sz w:val="21"/>
          <w:szCs w:val="21"/>
          <w:highlight w:val="none"/>
          <w:lang w:val="en-US" w:eastAsia="zh-CN" w:bidi="ar"/>
        </w:rPr>
        <w:t>5</w:t>
      </w:r>
      <w:r>
        <w:rPr>
          <w:rFonts w:hint="eastAsia" w:ascii="宋体" w:hAnsi="宋体" w:eastAsia="宋体" w:cs="宋体"/>
          <w:b w:val="0"/>
          <w:bCs w:val="0"/>
          <w:color w:val="auto"/>
          <w:spacing w:val="0"/>
          <w:w w:val="100"/>
          <w:sz w:val="21"/>
          <w:szCs w:val="21"/>
          <w:highlight w:val="none"/>
          <w:lang w:eastAsia="zh-CN" w:bidi="ar"/>
        </w:rPr>
        <w:t>、</w:t>
      </w:r>
      <w:r>
        <w:rPr>
          <w:rFonts w:hint="eastAsia" w:ascii="宋体" w:hAnsi="宋体" w:eastAsia="宋体" w:cs="宋体"/>
          <w:b w:val="0"/>
          <w:bCs w:val="0"/>
          <w:color w:val="auto"/>
          <w:spacing w:val="0"/>
          <w:w w:val="100"/>
          <w:sz w:val="21"/>
          <w:szCs w:val="21"/>
          <w:highlight w:val="none"/>
          <w:lang w:bidi="ar"/>
        </w:rPr>
        <w:t>服务期限内合同每年一签，合同期限均为</w:t>
      </w:r>
      <w:r>
        <w:rPr>
          <w:rFonts w:hint="eastAsia" w:ascii="宋体" w:hAnsi="宋体" w:eastAsia="宋体" w:cs="宋体"/>
          <w:b w:val="0"/>
          <w:bCs w:val="0"/>
          <w:color w:val="auto"/>
          <w:sz w:val="21"/>
          <w:szCs w:val="21"/>
          <w:highlight w:val="none"/>
          <w:lang w:bidi="ar"/>
        </w:rPr>
        <w:t xml:space="preserve"> </w:t>
      </w:r>
      <w:r>
        <w:rPr>
          <w:rFonts w:hint="eastAsia" w:ascii="宋体" w:hAnsi="宋体" w:eastAsia="宋体" w:cs="宋体"/>
          <w:b w:val="0"/>
          <w:bCs w:val="0"/>
          <w:color w:val="auto"/>
          <w:w w:val="100"/>
          <w:sz w:val="21"/>
          <w:szCs w:val="21"/>
          <w:highlight w:val="none"/>
          <w:lang w:bidi="ar"/>
        </w:rPr>
        <w:t>1</w:t>
      </w:r>
      <w:r>
        <w:rPr>
          <w:rFonts w:hint="eastAsia" w:ascii="宋体" w:hAnsi="宋体" w:eastAsia="宋体" w:cs="宋体"/>
          <w:b w:val="0"/>
          <w:bCs w:val="0"/>
          <w:color w:val="auto"/>
          <w:spacing w:val="0"/>
          <w:sz w:val="21"/>
          <w:szCs w:val="21"/>
          <w:highlight w:val="none"/>
          <w:lang w:bidi="ar"/>
        </w:rPr>
        <w:t xml:space="preserve"> </w:t>
      </w:r>
      <w:r>
        <w:rPr>
          <w:rFonts w:hint="eastAsia" w:ascii="宋体" w:hAnsi="宋体" w:eastAsia="宋体" w:cs="宋体"/>
          <w:b w:val="0"/>
          <w:bCs w:val="0"/>
          <w:color w:val="auto"/>
          <w:spacing w:val="0"/>
          <w:w w:val="100"/>
          <w:sz w:val="21"/>
          <w:szCs w:val="21"/>
          <w:highlight w:val="none"/>
          <w:lang w:bidi="ar"/>
        </w:rPr>
        <w:t>年。合同签订后前三个月为试用期，如试用期内未能达到考核标准，采购人可立即终止合同。若</w:t>
      </w:r>
      <w:r>
        <w:rPr>
          <w:rFonts w:hint="eastAsia" w:ascii="宋体" w:hAnsi="宋体" w:eastAsia="宋体" w:cs="宋体"/>
          <w:b w:val="0"/>
          <w:bCs w:val="0"/>
          <w:color w:val="auto"/>
          <w:spacing w:val="0"/>
          <w:sz w:val="21"/>
          <w:szCs w:val="21"/>
          <w:highlight w:val="none"/>
          <w:lang w:bidi="ar"/>
        </w:rPr>
        <w:t xml:space="preserve">中标人年度内累计 </w:t>
      </w:r>
      <w:r>
        <w:rPr>
          <w:rFonts w:hint="eastAsia" w:ascii="宋体" w:hAnsi="宋体" w:eastAsia="宋体" w:cs="宋体"/>
          <w:b w:val="0"/>
          <w:bCs w:val="0"/>
          <w:color w:val="auto"/>
          <w:sz w:val="21"/>
          <w:szCs w:val="21"/>
          <w:highlight w:val="none"/>
          <w:lang w:bidi="ar"/>
        </w:rPr>
        <w:t>2</w:t>
      </w:r>
      <w:r>
        <w:rPr>
          <w:rFonts w:hint="eastAsia" w:ascii="宋体" w:hAnsi="宋体" w:eastAsia="宋体" w:cs="宋体"/>
          <w:b w:val="0"/>
          <w:bCs w:val="0"/>
          <w:color w:val="auto"/>
          <w:spacing w:val="0"/>
          <w:sz w:val="21"/>
          <w:szCs w:val="21"/>
          <w:highlight w:val="none"/>
          <w:lang w:bidi="ar"/>
        </w:rPr>
        <w:t xml:space="preserve"> 次</w:t>
      </w:r>
      <w:r>
        <w:rPr>
          <w:rFonts w:hint="eastAsia" w:ascii="宋体" w:hAnsi="宋体" w:eastAsia="宋体" w:cs="宋体"/>
          <w:b w:val="0"/>
          <w:bCs w:val="0"/>
          <w:color w:val="auto"/>
          <w:sz w:val="21"/>
          <w:szCs w:val="21"/>
          <w:highlight w:val="none"/>
          <w:lang w:bidi="ar"/>
        </w:rPr>
        <w:t>以</w:t>
      </w:r>
      <w:r>
        <w:rPr>
          <w:rFonts w:hint="eastAsia" w:ascii="宋体" w:hAnsi="宋体" w:eastAsia="宋体" w:cs="宋体"/>
          <w:b w:val="0"/>
          <w:bCs w:val="0"/>
          <w:color w:val="auto"/>
          <w:spacing w:val="0"/>
          <w:sz w:val="21"/>
          <w:szCs w:val="21"/>
          <w:highlight w:val="none"/>
          <w:lang w:bidi="ar"/>
        </w:rPr>
        <w:t>上月度考核不合格，采购人可向中标人送达《终止合同通知书》，终止合同。若发生终止合同的，中标人应与本项目新服务商进行交接管理，交接完成时间不超过确定新服务商的</w:t>
      </w:r>
      <w:r>
        <w:rPr>
          <w:rFonts w:hint="eastAsia" w:ascii="宋体" w:hAnsi="宋体" w:eastAsia="宋体" w:cs="宋体"/>
          <w:b w:val="0"/>
          <w:bCs w:val="0"/>
          <w:color w:val="auto"/>
          <w:sz w:val="21"/>
          <w:szCs w:val="21"/>
          <w:highlight w:val="none"/>
          <w:lang w:bidi="ar"/>
        </w:rPr>
        <w:t>中标公告发出之日后 7</w:t>
      </w:r>
      <w:r>
        <w:rPr>
          <w:rFonts w:hint="eastAsia" w:ascii="宋体" w:hAnsi="宋体" w:eastAsia="宋体" w:cs="宋体"/>
          <w:b w:val="0"/>
          <w:bCs w:val="0"/>
          <w:color w:val="auto"/>
          <w:spacing w:val="0"/>
          <w:sz w:val="21"/>
          <w:szCs w:val="21"/>
          <w:highlight w:val="none"/>
          <w:lang w:bidi="ar"/>
        </w:rPr>
        <w:t xml:space="preserve"> 个工作日。</w:t>
      </w:r>
    </w:p>
    <w:p w14:paraId="2CCB8639">
      <w:pPr>
        <w:pStyle w:val="12"/>
        <w:keepNext w:val="0"/>
        <w:keepLines w:val="0"/>
        <w:pageBreakBefore w:val="0"/>
        <w:wordWrap/>
        <w:topLinePunct w:val="0"/>
        <w:bidi w:val="0"/>
        <w:adjustRightInd/>
        <w:spacing w:beforeAutospacing="0" w:afterAutospacing="0" w:line="240" w:lineRule="auto"/>
        <w:ind w:left="0" w:leftChars="0" w:right="0" w:firstLine="459" w:firstLineChars="21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本项目确定一家中标人为采购人</w:t>
      </w:r>
      <w:r>
        <w:rPr>
          <w:rFonts w:hint="eastAsia" w:ascii="宋体" w:hAnsi="宋体" w:eastAsia="宋体" w:cs="宋体"/>
          <w:color w:val="auto"/>
          <w:sz w:val="21"/>
          <w:szCs w:val="21"/>
          <w:highlight w:val="none"/>
          <w:u w:val="single"/>
          <w:lang w:eastAsia="zh-CN"/>
        </w:rPr>
        <w:t>国家税务总局珠海市税务局稽查局及国家税务总局珠海市税务局第一稽查局</w:t>
      </w:r>
      <w:r>
        <w:rPr>
          <w:rFonts w:hint="eastAsia" w:ascii="宋体" w:hAnsi="宋体" w:eastAsia="宋体" w:cs="宋体"/>
          <w:color w:val="auto"/>
          <w:sz w:val="21"/>
          <w:szCs w:val="21"/>
          <w:highlight w:val="none"/>
          <w:lang w:bidi="ar"/>
        </w:rPr>
        <w:t>提供物业管理服务。采购人只与中标人签署履约合同，且由中标人提供履约，不接受中标人的分公司履行合同</w:t>
      </w:r>
      <w:r>
        <w:rPr>
          <w:rFonts w:hint="eastAsia" w:ascii="宋体" w:hAnsi="宋体" w:eastAsia="宋体" w:cs="宋体"/>
          <w:b/>
          <w:color w:val="auto"/>
          <w:sz w:val="21"/>
          <w:szCs w:val="21"/>
          <w:highlight w:val="none"/>
        </w:rPr>
        <w:t>。</w:t>
      </w:r>
    </w:p>
    <w:p w14:paraId="44F9E3C4">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项目预算：261.5万元/年；523万元/两年。</w:t>
      </w:r>
    </w:p>
    <w:p w14:paraId="1A457EC1">
      <w:pPr>
        <w:pStyle w:val="12"/>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8、本项目不允许分包。</w:t>
      </w:r>
    </w:p>
    <w:p w14:paraId="6631DE71">
      <w:pPr>
        <w:pStyle w:val="124"/>
        <w:keepNext w:val="0"/>
        <w:keepLines w:val="0"/>
        <w:pageBreakBefore w:val="0"/>
        <w:numPr>
          <w:ilvl w:val="0"/>
          <w:numId w:val="0"/>
        </w:numPr>
        <w:wordWrap/>
        <w:topLinePunct w:val="0"/>
        <w:bidi w:val="0"/>
        <w:adjustRightInd/>
        <w:snapToGrid w:val="0"/>
        <w:spacing w:beforeAutospacing="0" w:afterAutospacing="0" w:line="240" w:lineRule="auto"/>
        <w:ind w:left="0" w:leftChars="0" w:right="0" w:firstLine="420" w:firstLineChars="200"/>
        <w:outlineLvl w:val="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bidi="ar-SA"/>
        </w:rPr>
        <w:t>（一）</w:t>
      </w:r>
      <w:r>
        <w:rPr>
          <w:rFonts w:hint="eastAsia" w:ascii="宋体" w:hAnsi="宋体" w:eastAsia="宋体" w:cs="宋体"/>
          <w:color w:val="auto"/>
          <w:kern w:val="2"/>
          <w:sz w:val="21"/>
          <w:szCs w:val="21"/>
          <w:highlight w:val="none"/>
          <w:lang w:val="zh-CN"/>
        </w:rPr>
        <w:t>项目基本情况：</w:t>
      </w:r>
    </w:p>
    <w:p w14:paraId="49D29C51">
      <w:pPr>
        <w:pStyle w:val="124"/>
        <w:keepNext w:val="0"/>
        <w:keepLines w:val="0"/>
        <w:pageBreakBefore w:val="0"/>
        <w:numPr>
          <w:ilvl w:val="0"/>
          <w:numId w:val="0"/>
        </w:numPr>
        <w:wordWrap/>
        <w:topLinePunct w:val="0"/>
        <w:bidi w:val="0"/>
        <w:adjustRightInd/>
        <w:snapToGrid w:val="0"/>
        <w:spacing w:beforeAutospacing="0" w:afterAutospacing="0" w:line="240" w:lineRule="auto"/>
        <w:ind w:left="0" w:leftChars="0" w:right="0" w:firstLine="422" w:firstLineChars="200"/>
        <w:outlineLvl w:val="3"/>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eastAsia="zh-CN" w:bidi="ar-SA"/>
        </w:rPr>
        <w:t>1.</w:t>
      </w:r>
      <w:r>
        <w:rPr>
          <w:rFonts w:hint="eastAsia" w:ascii="宋体" w:hAnsi="宋体" w:eastAsia="宋体" w:cs="宋体"/>
          <w:b/>
          <w:bCs/>
          <w:color w:val="auto"/>
          <w:kern w:val="2"/>
          <w:sz w:val="21"/>
          <w:szCs w:val="21"/>
          <w:highlight w:val="none"/>
          <w:lang w:val="zh-CN"/>
        </w:rPr>
        <w:t>物业情况</w:t>
      </w: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9"/>
        <w:gridCol w:w="3553"/>
      </w:tblGrid>
      <w:tr w14:paraId="3249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969" w:type="dxa"/>
            <w:noWrap w:val="0"/>
            <w:vAlign w:val="top"/>
          </w:tcPr>
          <w:p w14:paraId="13C4AF6C">
            <w:pPr>
              <w:pStyle w:val="124"/>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物业名称</w:t>
            </w:r>
          </w:p>
        </w:tc>
        <w:tc>
          <w:tcPr>
            <w:tcW w:w="3553" w:type="dxa"/>
            <w:noWrap w:val="0"/>
            <w:vAlign w:val="top"/>
          </w:tcPr>
          <w:p w14:paraId="6E909C73">
            <w:pPr>
              <w:pStyle w:val="124"/>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物业地址</w:t>
            </w:r>
          </w:p>
        </w:tc>
      </w:tr>
      <w:tr w14:paraId="2F22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9" w:type="dxa"/>
            <w:noWrap w:val="0"/>
            <w:vAlign w:val="center"/>
          </w:tcPr>
          <w:p w14:paraId="735CEA78">
            <w:pPr>
              <w:pStyle w:val="124"/>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国家税务总局珠海市税务局梅华西办公区物业</w:t>
            </w:r>
          </w:p>
        </w:tc>
        <w:tc>
          <w:tcPr>
            <w:tcW w:w="3553" w:type="dxa"/>
            <w:noWrap w:val="0"/>
            <w:vAlign w:val="top"/>
          </w:tcPr>
          <w:p w14:paraId="368764B2">
            <w:pPr>
              <w:pStyle w:val="124"/>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珠海市香洲区梅华西路</w:t>
            </w:r>
            <w:r>
              <w:rPr>
                <w:rFonts w:hint="eastAsia" w:ascii="宋体" w:hAnsi="宋体" w:eastAsia="宋体" w:cs="宋体"/>
                <w:color w:val="auto"/>
                <w:kern w:val="2"/>
                <w:sz w:val="21"/>
                <w:szCs w:val="21"/>
                <w:highlight w:val="none"/>
                <w:lang w:val="en-US" w:eastAsia="zh-CN"/>
              </w:rPr>
              <w:t>66</w:t>
            </w:r>
            <w:r>
              <w:rPr>
                <w:rFonts w:hint="eastAsia" w:ascii="宋体" w:hAnsi="宋体" w:eastAsia="宋体" w:cs="宋体"/>
                <w:color w:val="auto"/>
                <w:kern w:val="2"/>
                <w:sz w:val="21"/>
                <w:szCs w:val="21"/>
                <w:highlight w:val="none"/>
                <w:lang w:val="zh-CN"/>
              </w:rPr>
              <w:t>号</w:t>
            </w:r>
          </w:p>
        </w:tc>
      </w:tr>
    </w:tbl>
    <w:p w14:paraId="5DBBA343">
      <w:pPr>
        <w:pStyle w:val="124"/>
        <w:keepNext w:val="0"/>
        <w:keepLines w:val="0"/>
        <w:pageBreakBefore w:val="0"/>
        <w:wordWrap/>
        <w:topLinePunct w:val="0"/>
        <w:bidi w:val="0"/>
        <w:adjustRightInd/>
        <w:snapToGrid w:val="0"/>
        <w:spacing w:beforeAutospacing="0" w:afterAutospacing="0" w:line="240" w:lineRule="auto"/>
        <w:ind w:left="0" w:leftChars="0" w:right="0"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lang w:val="zh-CN"/>
        </w:rPr>
        <w:t>采购人提供</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rPr>
        <w:t>使用的场地、设施、设备、材料等。</w:t>
      </w:r>
    </w:p>
    <w:p w14:paraId="587E50C7">
      <w:pPr>
        <w:pStyle w:val="124"/>
        <w:keepNext w:val="0"/>
        <w:keepLines w:val="0"/>
        <w:pageBreakBefore w:val="0"/>
        <w:wordWrap/>
        <w:topLinePunct w:val="0"/>
        <w:bidi w:val="0"/>
        <w:adjustRightInd/>
        <w:snapToGrid w:val="0"/>
        <w:spacing w:beforeAutospacing="0" w:afterAutospacing="0" w:line="240" w:lineRule="auto"/>
        <w:ind w:left="0" w:leftChars="0" w:right="0"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（1）采购人可提供物业使用办公室</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间，面积约</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0</w:t>
      </w:r>
      <w:r>
        <w:rPr>
          <w:rFonts w:hint="eastAsia" w:ascii="宋体" w:hAnsi="宋体" w:eastAsia="宋体" w:cs="宋体"/>
          <w:color w:val="auto"/>
          <w:kern w:val="2"/>
          <w:sz w:val="21"/>
          <w:szCs w:val="21"/>
          <w:highlight w:val="none"/>
          <w:lang w:val="zh-CN"/>
        </w:rPr>
        <w:t>㎡。提供值班室。</w:t>
      </w:r>
    </w:p>
    <w:p w14:paraId="2FC95835">
      <w:pPr>
        <w:pStyle w:val="124"/>
        <w:keepNext w:val="0"/>
        <w:keepLines w:val="0"/>
        <w:pageBreakBefore w:val="0"/>
        <w:wordWrap/>
        <w:topLinePunct w:val="0"/>
        <w:bidi w:val="0"/>
        <w:adjustRightInd/>
        <w:snapToGrid w:val="0"/>
        <w:spacing w:beforeAutospacing="0" w:afterAutospacing="0" w:line="240" w:lineRule="auto"/>
        <w:ind w:left="0" w:leftChars="0" w:right="0" w:firstLine="420"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spacing w:val="-2"/>
          <w:sz w:val="21"/>
          <w:szCs w:val="21"/>
          <w:highlight w:val="none"/>
        </w:rPr>
        <w:t>采购人可为中标人部分物业服务人员提供早、中、晚三餐，用餐人员需严格按照采购人相关要求错峰用餐，中标人需按照用餐明细定期向采购人缴纳餐费。</w:t>
      </w:r>
    </w:p>
    <w:p w14:paraId="56A9B7D1">
      <w:pPr>
        <w:pStyle w:val="124"/>
        <w:keepNext w:val="0"/>
        <w:keepLines w:val="0"/>
        <w:pageBreakBefore w:val="0"/>
        <w:numPr>
          <w:ilvl w:val="0"/>
          <w:numId w:val="0"/>
        </w:numPr>
        <w:wordWrap/>
        <w:topLinePunct w:val="0"/>
        <w:bidi w:val="0"/>
        <w:adjustRightInd/>
        <w:snapToGrid w:val="0"/>
        <w:spacing w:beforeAutospacing="0" w:afterAutospacing="0" w:line="240" w:lineRule="auto"/>
        <w:ind w:left="0" w:leftChars="0" w:right="0" w:firstLine="422" w:firstLineChars="200"/>
        <w:outlineLvl w:val="3"/>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eastAsia="zh-CN" w:bidi="ar-SA"/>
        </w:rPr>
        <w:t>2.</w:t>
      </w:r>
      <w:r>
        <w:rPr>
          <w:rFonts w:hint="eastAsia" w:ascii="宋体" w:hAnsi="宋体" w:eastAsia="宋体" w:cs="宋体"/>
          <w:b/>
          <w:bCs/>
          <w:color w:val="auto"/>
          <w:kern w:val="2"/>
          <w:sz w:val="21"/>
          <w:szCs w:val="21"/>
          <w:highlight w:val="none"/>
          <w:lang w:val="zh-CN"/>
        </w:rPr>
        <w:t>物业服务范围</w:t>
      </w:r>
    </w:p>
    <w:p w14:paraId="31290937">
      <w:pPr>
        <w:pStyle w:val="124"/>
        <w:keepNext w:val="0"/>
        <w:keepLines w:val="0"/>
        <w:pageBreakBefore w:val="0"/>
        <w:wordWrap/>
        <w:topLinePunct w:val="0"/>
        <w:bidi w:val="0"/>
        <w:adjustRightInd/>
        <w:snapToGrid w:val="0"/>
        <w:spacing w:beforeAutospacing="0" w:afterAutospacing="0" w:line="240" w:lineRule="auto"/>
        <w:ind w:left="0" w:leftChars="0" w:right="0" w:firstLine="420" w:firstLineChars="200"/>
        <w:outlineLvl w:val="4"/>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2.1</w:t>
      </w:r>
      <w:r>
        <w:rPr>
          <w:rFonts w:hint="eastAsia" w:ascii="宋体" w:hAnsi="宋体" w:eastAsia="宋体" w:cs="宋体"/>
          <w:color w:val="auto"/>
          <w:kern w:val="2"/>
          <w:sz w:val="21"/>
          <w:szCs w:val="21"/>
          <w:highlight w:val="none"/>
          <w:lang w:val="zh-CN"/>
        </w:rPr>
        <w:t>【国家税务总局珠海市税务局梅华西办公区】</w:t>
      </w:r>
    </w:p>
    <w:p w14:paraId="3122C3C5">
      <w:pPr>
        <w:pStyle w:val="124"/>
        <w:keepNext w:val="0"/>
        <w:keepLines w:val="0"/>
        <w:pageBreakBefore w:val="0"/>
        <w:numPr>
          <w:ilvl w:val="0"/>
          <w:numId w:val="0"/>
        </w:numPr>
        <w:wordWrap/>
        <w:topLinePunct w:val="0"/>
        <w:bidi w:val="0"/>
        <w:adjustRightInd/>
        <w:snapToGrid w:val="0"/>
        <w:spacing w:beforeAutospacing="0" w:afterAutospacing="0" w:line="240" w:lineRule="auto"/>
        <w:ind w:left="0" w:leftChars="0" w:right="0" w:firstLine="420" w:firstLineChars="200"/>
        <w:outlineLvl w:val="5"/>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bidi="ar-SA"/>
        </w:rPr>
        <w:t>(1)</w:t>
      </w:r>
      <w:r>
        <w:rPr>
          <w:rFonts w:hint="eastAsia" w:ascii="宋体" w:hAnsi="宋体" w:eastAsia="宋体" w:cs="宋体"/>
          <w:color w:val="auto"/>
          <w:kern w:val="2"/>
          <w:sz w:val="21"/>
          <w:szCs w:val="21"/>
          <w:highlight w:val="none"/>
          <w:lang w:val="zh-CN"/>
        </w:rPr>
        <w:t>物业管理（建筑物）</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3"/>
        <w:gridCol w:w="3345"/>
        <w:gridCol w:w="2131"/>
      </w:tblGrid>
      <w:tr w14:paraId="2615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4" w:type="pct"/>
            <w:gridSpan w:val="2"/>
            <w:noWrap w:val="0"/>
            <w:vAlign w:val="center"/>
          </w:tcPr>
          <w:p w14:paraId="30E7C734">
            <w:pPr>
              <w:pStyle w:val="124"/>
              <w:keepNext w:val="0"/>
              <w:keepLines w:val="0"/>
              <w:pageBreakBefore w:val="0"/>
              <w:wordWrap/>
              <w:topLinePunct w:val="0"/>
              <w:bidi w:val="0"/>
              <w:adjustRightInd/>
              <w:snapToGrid w:val="0"/>
              <w:spacing w:beforeAutospacing="0" w:afterAutospacing="0" w:line="240" w:lineRule="auto"/>
              <w:ind w:right="0"/>
              <w:jc w:val="center"/>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名称</w:t>
            </w:r>
          </w:p>
        </w:tc>
        <w:tc>
          <w:tcPr>
            <w:tcW w:w="1963" w:type="pct"/>
            <w:noWrap w:val="0"/>
            <w:vAlign w:val="center"/>
          </w:tcPr>
          <w:p w14:paraId="0EBFFB1E">
            <w:pPr>
              <w:pStyle w:val="124"/>
              <w:keepNext w:val="0"/>
              <w:keepLines w:val="0"/>
              <w:pageBreakBefore w:val="0"/>
              <w:wordWrap/>
              <w:topLinePunct w:val="0"/>
              <w:bidi w:val="0"/>
              <w:adjustRightInd/>
              <w:snapToGrid w:val="0"/>
              <w:spacing w:beforeAutospacing="0" w:afterAutospacing="0" w:line="240" w:lineRule="auto"/>
              <w:ind w:right="0"/>
              <w:jc w:val="center"/>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明细</w:t>
            </w:r>
          </w:p>
        </w:tc>
        <w:tc>
          <w:tcPr>
            <w:tcW w:w="1251" w:type="pct"/>
            <w:noWrap w:val="0"/>
            <w:vAlign w:val="center"/>
          </w:tcPr>
          <w:p w14:paraId="38AF36EF">
            <w:pPr>
              <w:pStyle w:val="124"/>
              <w:keepNext w:val="0"/>
              <w:keepLines w:val="0"/>
              <w:pageBreakBefore w:val="0"/>
              <w:wordWrap/>
              <w:topLinePunct w:val="0"/>
              <w:bidi w:val="0"/>
              <w:adjustRightInd/>
              <w:snapToGrid w:val="0"/>
              <w:spacing w:beforeAutospacing="0" w:afterAutospacing="0" w:line="240" w:lineRule="auto"/>
              <w:ind w:right="0"/>
              <w:jc w:val="center"/>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服务内容及标准</w:t>
            </w:r>
          </w:p>
        </w:tc>
      </w:tr>
      <w:tr w14:paraId="4DC5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4" w:type="pct"/>
            <w:gridSpan w:val="2"/>
            <w:noWrap w:val="0"/>
            <w:vAlign w:val="center"/>
          </w:tcPr>
          <w:p w14:paraId="408FD3CE">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建筑1名称</w:t>
            </w:r>
          </w:p>
        </w:tc>
        <w:tc>
          <w:tcPr>
            <w:tcW w:w="1963" w:type="pct"/>
            <w:noWrap w:val="0"/>
            <w:vAlign w:val="center"/>
          </w:tcPr>
          <w:p w14:paraId="29B90135">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国家税务总局珠海市税务局梅华西办公区</w:t>
            </w:r>
          </w:p>
        </w:tc>
        <w:tc>
          <w:tcPr>
            <w:tcW w:w="1251" w:type="pct"/>
            <w:noWrap w:val="0"/>
            <w:vAlign w:val="center"/>
          </w:tcPr>
          <w:p w14:paraId="595A0D7C">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p>
        </w:tc>
      </w:tr>
      <w:tr w14:paraId="2A9C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restart"/>
            <w:noWrap w:val="0"/>
            <w:vAlign w:val="center"/>
          </w:tcPr>
          <w:p w14:paraId="76DA4A54">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总面积</w:t>
            </w:r>
          </w:p>
        </w:tc>
        <w:tc>
          <w:tcPr>
            <w:tcW w:w="1193" w:type="pct"/>
            <w:noWrap w:val="0"/>
            <w:vAlign w:val="center"/>
          </w:tcPr>
          <w:p w14:paraId="59952B46">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建筑面积（m²）</w:t>
            </w:r>
          </w:p>
        </w:tc>
        <w:tc>
          <w:tcPr>
            <w:tcW w:w="1963" w:type="pct"/>
            <w:noWrap w:val="0"/>
            <w:vAlign w:val="center"/>
          </w:tcPr>
          <w:p w14:paraId="58E17CBE">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21880.24</w:t>
            </w:r>
            <w:r>
              <w:rPr>
                <w:rFonts w:hint="eastAsia" w:ascii="宋体" w:hAnsi="宋体" w:eastAsia="宋体" w:cs="宋体"/>
                <w:color w:val="auto"/>
                <w:kern w:val="2"/>
                <w:sz w:val="21"/>
                <w:szCs w:val="21"/>
                <w:highlight w:val="none"/>
                <w:lang w:val="zh-CN"/>
              </w:rPr>
              <w:t>m²</w:t>
            </w:r>
          </w:p>
        </w:tc>
        <w:tc>
          <w:tcPr>
            <w:tcW w:w="1251" w:type="pct"/>
            <w:noWrap w:val="0"/>
            <w:vAlign w:val="center"/>
          </w:tcPr>
          <w:p w14:paraId="348CC88F">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见“3.5保安服务”</w:t>
            </w:r>
          </w:p>
        </w:tc>
      </w:tr>
      <w:tr w14:paraId="2D7D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continue"/>
            <w:noWrap w:val="0"/>
            <w:vAlign w:val="center"/>
          </w:tcPr>
          <w:p w14:paraId="2331193D">
            <w:pPr>
              <w:pStyle w:val="124"/>
              <w:keepNext w:val="0"/>
              <w:keepLines w:val="0"/>
              <w:pageBreakBefore w:val="0"/>
              <w:wordWrap/>
              <w:topLinePunct w:val="0"/>
              <w:bidi w:val="0"/>
              <w:adjustRightInd/>
              <w:snapToGrid w:val="0"/>
              <w:spacing w:beforeAutospacing="0" w:afterAutospacing="0" w:line="240" w:lineRule="auto"/>
              <w:ind w:left="0" w:leftChars="0" w:right="0" w:firstLine="420" w:firstLineChars="200"/>
              <w:jc w:val="center"/>
              <w:rPr>
                <w:rFonts w:hint="eastAsia" w:ascii="宋体" w:hAnsi="宋体" w:eastAsia="宋体" w:cs="宋体"/>
                <w:color w:val="auto"/>
                <w:kern w:val="2"/>
                <w:sz w:val="21"/>
                <w:szCs w:val="21"/>
                <w:highlight w:val="none"/>
                <w:lang w:val="zh-CN"/>
              </w:rPr>
            </w:pPr>
          </w:p>
        </w:tc>
        <w:tc>
          <w:tcPr>
            <w:tcW w:w="1193" w:type="pct"/>
            <w:noWrap w:val="0"/>
            <w:vAlign w:val="center"/>
          </w:tcPr>
          <w:p w14:paraId="52555F68">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需保洁面积（m²）</w:t>
            </w:r>
          </w:p>
        </w:tc>
        <w:tc>
          <w:tcPr>
            <w:tcW w:w="1963" w:type="pct"/>
            <w:noWrap w:val="0"/>
            <w:vAlign w:val="center"/>
          </w:tcPr>
          <w:p w14:paraId="1FBFD6E0">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21880.24</w:t>
            </w:r>
            <w:r>
              <w:rPr>
                <w:rFonts w:hint="eastAsia" w:ascii="宋体" w:hAnsi="宋体" w:eastAsia="宋体" w:cs="宋体"/>
                <w:color w:val="auto"/>
                <w:kern w:val="2"/>
                <w:sz w:val="21"/>
                <w:szCs w:val="21"/>
                <w:highlight w:val="none"/>
                <w:lang w:val="zh-CN"/>
              </w:rPr>
              <w:t>m²</w:t>
            </w:r>
          </w:p>
        </w:tc>
        <w:tc>
          <w:tcPr>
            <w:tcW w:w="1251" w:type="pct"/>
            <w:noWrap w:val="0"/>
            <w:vAlign w:val="center"/>
          </w:tcPr>
          <w:p w14:paraId="74F7B360">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tc>
      </w:tr>
      <w:tr w14:paraId="6420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noWrap w:val="0"/>
            <w:vAlign w:val="center"/>
          </w:tcPr>
          <w:p w14:paraId="73B52CB6">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门窗</w:t>
            </w:r>
          </w:p>
        </w:tc>
        <w:tc>
          <w:tcPr>
            <w:tcW w:w="1193" w:type="pct"/>
            <w:noWrap w:val="0"/>
            <w:vAlign w:val="center"/>
          </w:tcPr>
          <w:p w14:paraId="4BD1ACF4">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门窗总数量（个）及总面积（m²）</w:t>
            </w:r>
          </w:p>
        </w:tc>
        <w:tc>
          <w:tcPr>
            <w:tcW w:w="1963" w:type="pct"/>
            <w:noWrap w:val="0"/>
            <w:vAlign w:val="center"/>
          </w:tcPr>
          <w:p w14:paraId="530B6D3E">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shd w:val="clear" w:color="auto" w:fill="auto"/>
                <w:lang w:val="en-US" w:eastAsia="zh-CN"/>
              </w:rPr>
              <w:t>708</w:t>
            </w:r>
            <w:r>
              <w:rPr>
                <w:rFonts w:hint="eastAsia" w:ascii="宋体" w:hAnsi="宋体" w:eastAsia="宋体" w:cs="宋体"/>
                <w:color w:val="auto"/>
                <w:kern w:val="2"/>
                <w:sz w:val="21"/>
                <w:szCs w:val="21"/>
                <w:highlight w:val="none"/>
                <w:shd w:val="clear" w:color="auto" w:fill="auto"/>
                <w:lang w:val="zh-CN"/>
              </w:rPr>
              <w:t>个，</w:t>
            </w:r>
            <w:r>
              <w:rPr>
                <w:rFonts w:hint="eastAsia" w:ascii="宋体" w:hAnsi="宋体" w:eastAsia="宋体" w:cs="宋体"/>
                <w:color w:val="auto"/>
                <w:kern w:val="2"/>
                <w:sz w:val="21"/>
                <w:szCs w:val="21"/>
                <w:highlight w:val="none"/>
                <w:shd w:val="clear" w:color="auto" w:fill="auto"/>
                <w:lang w:val="en-US" w:eastAsia="zh-CN"/>
              </w:rPr>
              <w:t>1529.28</w:t>
            </w:r>
            <w:r>
              <w:rPr>
                <w:rFonts w:hint="eastAsia" w:ascii="宋体" w:hAnsi="宋体" w:eastAsia="宋体" w:cs="宋体"/>
                <w:color w:val="auto"/>
                <w:kern w:val="2"/>
                <w:sz w:val="21"/>
                <w:szCs w:val="21"/>
                <w:highlight w:val="none"/>
                <w:shd w:val="clear" w:color="auto" w:fill="auto"/>
                <w:lang w:val="zh-CN"/>
              </w:rPr>
              <w:t>m²</w:t>
            </w:r>
          </w:p>
        </w:tc>
        <w:tc>
          <w:tcPr>
            <w:tcW w:w="1251" w:type="pct"/>
            <w:noWrap w:val="0"/>
            <w:vAlign w:val="center"/>
          </w:tcPr>
          <w:p w14:paraId="547B19D4">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tc>
      </w:tr>
      <w:tr w14:paraId="245D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noWrap w:val="0"/>
            <w:vAlign w:val="center"/>
          </w:tcPr>
          <w:p w14:paraId="71BBE3B5">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地面</w:t>
            </w:r>
          </w:p>
        </w:tc>
        <w:tc>
          <w:tcPr>
            <w:tcW w:w="1193" w:type="pct"/>
            <w:noWrap w:val="0"/>
            <w:vAlign w:val="center"/>
          </w:tcPr>
          <w:p w14:paraId="7AFC4006">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地面各材质及总面积（m²）</w:t>
            </w:r>
          </w:p>
        </w:tc>
        <w:tc>
          <w:tcPr>
            <w:tcW w:w="1963" w:type="pct"/>
            <w:noWrap w:val="0"/>
            <w:vAlign w:val="center"/>
          </w:tcPr>
          <w:p w14:paraId="0CA46514">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eastAsia="zh-CN"/>
              </w:rPr>
              <w:t>瓷砖地面总面积</w:t>
            </w:r>
            <w:r>
              <w:rPr>
                <w:rFonts w:hint="eastAsia" w:ascii="宋体" w:hAnsi="宋体" w:eastAsia="宋体" w:cs="宋体"/>
                <w:color w:val="auto"/>
                <w:kern w:val="2"/>
                <w:sz w:val="21"/>
                <w:szCs w:val="21"/>
                <w:highlight w:val="none"/>
                <w:lang w:val="en-US" w:eastAsia="zh-CN"/>
              </w:rPr>
              <w:t>13624.25</w:t>
            </w:r>
            <w:r>
              <w:rPr>
                <w:rFonts w:hint="eastAsia" w:ascii="宋体" w:hAnsi="宋体" w:eastAsia="宋体" w:cs="宋体"/>
                <w:color w:val="auto"/>
                <w:kern w:val="2"/>
                <w:sz w:val="21"/>
                <w:szCs w:val="21"/>
                <w:highlight w:val="none"/>
                <w:lang w:val="zh-CN" w:eastAsia="zh-CN"/>
              </w:rPr>
              <w:t>m²、 地毯地面总面积</w:t>
            </w:r>
            <w:r>
              <w:rPr>
                <w:rFonts w:hint="eastAsia" w:ascii="宋体" w:hAnsi="宋体" w:eastAsia="宋体" w:cs="宋体"/>
                <w:color w:val="auto"/>
                <w:kern w:val="2"/>
                <w:sz w:val="21"/>
                <w:szCs w:val="21"/>
                <w:highlight w:val="none"/>
                <w:lang w:val="en-US" w:eastAsia="zh-CN"/>
              </w:rPr>
              <w:t>3165.45</w:t>
            </w:r>
            <w:r>
              <w:rPr>
                <w:rFonts w:hint="eastAsia" w:ascii="宋体" w:hAnsi="宋体" w:eastAsia="宋体" w:cs="宋体"/>
                <w:color w:val="auto"/>
                <w:kern w:val="2"/>
                <w:sz w:val="21"/>
                <w:szCs w:val="21"/>
                <w:highlight w:val="none"/>
                <w:lang w:val="zh-CN" w:eastAsia="zh-CN"/>
              </w:rPr>
              <w:t>m²、木地板总面积</w:t>
            </w:r>
            <w:r>
              <w:rPr>
                <w:rFonts w:hint="eastAsia" w:ascii="宋体" w:hAnsi="宋体" w:eastAsia="宋体" w:cs="宋体"/>
                <w:color w:val="auto"/>
                <w:kern w:val="2"/>
                <w:sz w:val="21"/>
                <w:szCs w:val="21"/>
                <w:highlight w:val="none"/>
                <w:lang w:val="en-US" w:eastAsia="zh-CN"/>
              </w:rPr>
              <w:t>830.41</w:t>
            </w:r>
            <w:r>
              <w:rPr>
                <w:rFonts w:hint="eastAsia" w:ascii="宋体" w:hAnsi="宋体" w:eastAsia="宋体" w:cs="宋体"/>
                <w:color w:val="auto"/>
                <w:kern w:val="2"/>
                <w:sz w:val="21"/>
                <w:szCs w:val="21"/>
                <w:highlight w:val="none"/>
                <w:lang w:val="zh-CN" w:eastAsia="zh-CN"/>
              </w:rPr>
              <w:t>m²，地胶地板总面积</w:t>
            </w:r>
            <w:r>
              <w:rPr>
                <w:rFonts w:hint="eastAsia" w:ascii="宋体" w:hAnsi="宋体" w:eastAsia="宋体" w:cs="宋体"/>
                <w:color w:val="auto"/>
                <w:kern w:val="2"/>
                <w:sz w:val="21"/>
                <w:szCs w:val="21"/>
                <w:highlight w:val="none"/>
                <w:lang w:val="en-US" w:eastAsia="zh-CN"/>
              </w:rPr>
              <w:t>125.22</w:t>
            </w:r>
            <w:r>
              <w:rPr>
                <w:rFonts w:hint="eastAsia" w:ascii="宋体" w:hAnsi="宋体" w:eastAsia="宋体" w:cs="宋体"/>
                <w:color w:val="auto"/>
                <w:kern w:val="2"/>
                <w:sz w:val="21"/>
                <w:szCs w:val="21"/>
                <w:highlight w:val="none"/>
                <w:lang w:val="zh-CN" w:eastAsia="zh-CN"/>
              </w:rPr>
              <w:t>m²</w:t>
            </w:r>
          </w:p>
        </w:tc>
        <w:tc>
          <w:tcPr>
            <w:tcW w:w="1251" w:type="pct"/>
            <w:noWrap w:val="0"/>
            <w:vAlign w:val="center"/>
          </w:tcPr>
          <w:p w14:paraId="5D7713B8">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tc>
      </w:tr>
      <w:tr w14:paraId="72F9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noWrap w:val="0"/>
            <w:vAlign w:val="center"/>
          </w:tcPr>
          <w:p w14:paraId="179FDCD5">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顶面</w:t>
            </w:r>
          </w:p>
        </w:tc>
        <w:tc>
          <w:tcPr>
            <w:tcW w:w="1193" w:type="pct"/>
            <w:noWrap w:val="0"/>
            <w:vAlign w:val="center"/>
          </w:tcPr>
          <w:p w14:paraId="1BE4222C">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顶面各材质及总面积（m²）</w:t>
            </w:r>
          </w:p>
        </w:tc>
        <w:tc>
          <w:tcPr>
            <w:tcW w:w="1963" w:type="pct"/>
            <w:noWrap w:val="0"/>
            <w:vAlign w:val="center"/>
          </w:tcPr>
          <w:p w14:paraId="133A20A6">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铝板总面积</w:t>
            </w:r>
            <w:r>
              <w:rPr>
                <w:rFonts w:hint="eastAsia" w:ascii="宋体" w:hAnsi="宋体" w:eastAsia="宋体" w:cs="宋体"/>
                <w:color w:val="auto"/>
                <w:kern w:val="2"/>
                <w:sz w:val="21"/>
                <w:szCs w:val="21"/>
                <w:highlight w:val="none"/>
                <w:lang w:val="en-US" w:eastAsia="zh-CN"/>
              </w:rPr>
              <w:t>19840.67</w:t>
            </w:r>
            <w:r>
              <w:rPr>
                <w:rFonts w:hint="eastAsia" w:ascii="宋体" w:hAnsi="宋体" w:eastAsia="宋体" w:cs="宋体"/>
                <w:color w:val="auto"/>
                <w:kern w:val="2"/>
                <w:sz w:val="21"/>
                <w:szCs w:val="21"/>
                <w:highlight w:val="none"/>
                <w:lang w:val="zh-CN"/>
              </w:rPr>
              <w:t>m²，石膏板总面积</w:t>
            </w:r>
            <w:r>
              <w:rPr>
                <w:rFonts w:hint="eastAsia" w:ascii="宋体" w:hAnsi="宋体" w:eastAsia="宋体" w:cs="宋体"/>
                <w:color w:val="auto"/>
                <w:kern w:val="2"/>
                <w:sz w:val="21"/>
                <w:szCs w:val="21"/>
                <w:highlight w:val="none"/>
                <w:lang w:val="en-US" w:eastAsia="zh-CN"/>
              </w:rPr>
              <w:t>889.57</w:t>
            </w:r>
            <w:r>
              <w:rPr>
                <w:rFonts w:hint="eastAsia" w:ascii="宋体" w:hAnsi="宋体" w:eastAsia="宋体" w:cs="宋体"/>
                <w:color w:val="auto"/>
                <w:kern w:val="2"/>
                <w:sz w:val="21"/>
                <w:szCs w:val="21"/>
                <w:highlight w:val="none"/>
                <w:lang w:val="zh-CN"/>
              </w:rPr>
              <w:t>m²，</w:t>
            </w:r>
            <w:r>
              <w:rPr>
                <w:rFonts w:hint="eastAsia" w:ascii="宋体" w:hAnsi="宋体" w:eastAsia="宋体" w:cs="宋体"/>
                <w:color w:val="auto"/>
                <w:kern w:val="2"/>
                <w:sz w:val="21"/>
                <w:szCs w:val="21"/>
                <w:highlight w:val="none"/>
                <w:lang w:val="en-US" w:eastAsia="zh-CN"/>
              </w:rPr>
              <w:t>木板总面积1150</w:t>
            </w:r>
            <w:r>
              <w:rPr>
                <w:rFonts w:hint="eastAsia" w:ascii="宋体" w:hAnsi="宋体" w:eastAsia="宋体" w:cs="宋体"/>
                <w:color w:val="auto"/>
                <w:kern w:val="2"/>
                <w:sz w:val="21"/>
                <w:szCs w:val="21"/>
                <w:highlight w:val="none"/>
                <w:lang w:val="zh-CN"/>
              </w:rPr>
              <w:t>m²</w:t>
            </w:r>
          </w:p>
        </w:tc>
        <w:tc>
          <w:tcPr>
            <w:tcW w:w="1251" w:type="pct"/>
            <w:noWrap w:val="0"/>
            <w:vAlign w:val="center"/>
          </w:tcPr>
          <w:p w14:paraId="063C9DF1">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tc>
      </w:tr>
      <w:tr w14:paraId="1949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91" w:type="pct"/>
            <w:noWrap w:val="0"/>
            <w:vAlign w:val="center"/>
          </w:tcPr>
          <w:p w14:paraId="287653EF">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会议室</w:t>
            </w:r>
          </w:p>
        </w:tc>
        <w:tc>
          <w:tcPr>
            <w:tcW w:w="1193" w:type="pct"/>
            <w:noWrap w:val="0"/>
            <w:vAlign w:val="center"/>
          </w:tcPr>
          <w:p w14:paraId="5A83BAC7">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室内设施说明会议室数量（个）及总面积（m²）</w:t>
            </w:r>
          </w:p>
        </w:tc>
        <w:tc>
          <w:tcPr>
            <w:tcW w:w="1963" w:type="pct"/>
            <w:noWrap w:val="0"/>
            <w:vAlign w:val="center"/>
          </w:tcPr>
          <w:p w14:paraId="6457FFC4">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zh-CN"/>
              </w:rPr>
              <w:t>会议桌</w:t>
            </w:r>
            <w:r>
              <w:rPr>
                <w:rFonts w:hint="eastAsia" w:ascii="宋体" w:hAnsi="宋体" w:eastAsia="宋体" w:cs="宋体"/>
                <w:color w:val="auto"/>
                <w:kern w:val="2"/>
                <w:sz w:val="21"/>
                <w:szCs w:val="21"/>
                <w:highlight w:val="none"/>
                <w:lang w:val="en-US" w:eastAsia="zh-CN"/>
              </w:rPr>
              <w:t>270</w:t>
            </w:r>
            <w:r>
              <w:rPr>
                <w:rFonts w:hint="eastAsia" w:ascii="宋体" w:hAnsi="宋体" w:eastAsia="宋体" w:cs="宋体"/>
                <w:color w:val="auto"/>
                <w:kern w:val="2"/>
                <w:sz w:val="21"/>
                <w:szCs w:val="21"/>
                <w:highlight w:val="none"/>
                <w:lang w:val="zh-CN"/>
              </w:rPr>
              <w:t>张、会议椅</w:t>
            </w:r>
            <w:r>
              <w:rPr>
                <w:rFonts w:hint="eastAsia" w:ascii="宋体" w:hAnsi="宋体" w:eastAsia="宋体" w:cs="宋体"/>
                <w:color w:val="auto"/>
                <w:kern w:val="2"/>
                <w:sz w:val="21"/>
                <w:szCs w:val="21"/>
                <w:highlight w:val="none"/>
                <w:lang w:val="en-US" w:eastAsia="zh-CN"/>
              </w:rPr>
              <w:t>420</w:t>
            </w:r>
            <w:r>
              <w:rPr>
                <w:rFonts w:hint="eastAsia" w:ascii="宋体" w:hAnsi="宋体" w:eastAsia="宋体" w:cs="宋体"/>
                <w:color w:val="auto"/>
                <w:kern w:val="2"/>
                <w:sz w:val="21"/>
                <w:szCs w:val="21"/>
                <w:highlight w:val="none"/>
                <w:lang w:val="zh-CN"/>
              </w:rPr>
              <w:t>张、</w:t>
            </w: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lang w:val="zh-CN"/>
              </w:rPr>
              <w:t>个</w:t>
            </w:r>
            <w:r>
              <w:rPr>
                <w:rFonts w:hint="eastAsia" w:ascii="宋体" w:hAnsi="宋体" w:eastAsia="宋体" w:cs="宋体"/>
                <w:color w:val="auto"/>
                <w:kern w:val="2"/>
                <w:sz w:val="21"/>
                <w:szCs w:val="21"/>
                <w:highlight w:val="none"/>
                <w:lang w:val="zh-CN" w:eastAsia="zh-CN"/>
              </w:rPr>
              <w:t>会议室</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3296.08</w:t>
            </w:r>
            <w:r>
              <w:rPr>
                <w:rFonts w:hint="eastAsia" w:ascii="宋体" w:hAnsi="宋体" w:eastAsia="宋体" w:cs="宋体"/>
                <w:color w:val="auto"/>
                <w:kern w:val="2"/>
                <w:sz w:val="21"/>
                <w:szCs w:val="21"/>
                <w:highlight w:val="none"/>
                <w:lang w:val="zh-CN"/>
              </w:rPr>
              <w:t>m²</w:t>
            </w:r>
          </w:p>
        </w:tc>
        <w:tc>
          <w:tcPr>
            <w:tcW w:w="1251" w:type="pct"/>
            <w:noWrap w:val="0"/>
            <w:vAlign w:val="center"/>
          </w:tcPr>
          <w:p w14:paraId="4D68CCA2">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p w14:paraId="72CB85BE">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p>
        </w:tc>
      </w:tr>
      <w:tr w14:paraId="3A49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pct"/>
            <w:noWrap w:val="0"/>
            <w:vAlign w:val="center"/>
          </w:tcPr>
          <w:p w14:paraId="1C2B9265">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卫生间</w:t>
            </w:r>
          </w:p>
        </w:tc>
        <w:tc>
          <w:tcPr>
            <w:tcW w:w="1193" w:type="pct"/>
            <w:noWrap w:val="0"/>
            <w:vAlign w:val="center"/>
          </w:tcPr>
          <w:p w14:paraId="07BDE8E3">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卫生间数量（个）及总面积（m²）</w:t>
            </w:r>
          </w:p>
        </w:tc>
        <w:tc>
          <w:tcPr>
            <w:tcW w:w="1963" w:type="pct"/>
            <w:noWrap w:val="0"/>
            <w:vAlign w:val="center"/>
          </w:tcPr>
          <w:p w14:paraId="43AF2B97">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70</w:t>
            </w:r>
            <w:r>
              <w:rPr>
                <w:rFonts w:hint="eastAsia" w:ascii="宋体" w:hAnsi="宋体" w:eastAsia="宋体" w:cs="宋体"/>
                <w:color w:val="auto"/>
                <w:kern w:val="2"/>
                <w:sz w:val="21"/>
                <w:szCs w:val="21"/>
                <w:highlight w:val="none"/>
                <w:lang w:val="zh-CN"/>
              </w:rPr>
              <w:t>个，</w:t>
            </w:r>
            <w:r>
              <w:rPr>
                <w:rFonts w:hint="eastAsia" w:ascii="宋体" w:hAnsi="宋体" w:eastAsia="宋体" w:cs="宋体"/>
                <w:color w:val="auto"/>
                <w:kern w:val="2"/>
                <w:sz w:val="21"/>
                <w:szCs w:val="21"/>
                <w:highlight w:val="none"/>
                <w:lang w:val="en-US" w:eastAsia="zh-CN"/>
              </w:rPr>
              <w:t>325</w:t>
            </w:r>
            <w:r>
              <w:rPr>
                <w:rFonts w:hint="eastAsia" w:ascii="宋体" w:hAnsi="宋体" w:eastAsia="宋体" w:cs="宋体"/>
                <w:color w:val="auto"/>
                <w:kern w:val="2"/>
                <w:sz w:val="21"/>
                <w:szCs w:val="21"/>
                <w:highlight w:val="none"/>
                <w:lang w:val="zh-CN"/>
              </w:rPr>
              <w:t>m²</w:t>
            </w:r>
          </w:p>
        </w:tc>
        <w:tc>
          <w:tcPr>
            <w:tcW w:w="1251" w:type="pct"/>
            <w:noWrap w:val="0"/>
            <w:vAlign w:val="center"/>
          </w:tcPr>
          <w:p w14:paraId="7CE04AA6">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tc>
      </w:tr>
      <w:tr w14:paraId="3EF1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noWrap w:val="0"/>
            <w:vAlign w:val="center"/>
          </w:tcPr>
          <w:p w14:paraId="017A800B">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垃圾存放点</w:t>
            </w:r>
          </w:p>
        </w:tc>
        <w:tc>
          <w:tcPr>
            <w:tcW w:w="1193" w:type="pct"/>
            <w:noWrap w:val="0"/>
            <w:vAlign w:val="center"/>
          </w:tcPr>
          <w:p w14:paraId="6D911460">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各垃圾存放点位置、面积（m²）及数量（个）</w:t>
            </w:r>
          </w:p>
        </w:tc>
        <w:tc>
          <w:tcPr>
            <w:tcW w:w="1963" w:type="pct"/>
            <w:noWrap w:val="0"/>
            <w:vAlign w:val="center"/>
          </w:tcPr>
          <w:p w14:paraId="322F270A">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办公区</w:t>
            </w:r>
            <w:r>
              <w:rPr>
                <w:rFonts w:hint="eastAsia" w:ascii="宋体" w:hAnsi="宋体" w:eastAsia="宋体" w:cs="宋体"/>
                <w:color w:val="auto"/>
                <w:kern w:val="2"/>
                <w:sz w:val="21"/>
                <w:szCs w:val="21"/>
                <w:highlight w:val="none"/>
                <w:lang w:val="zh-CN" w:eastAsia="zh-CN"/>
              </w:rPr>
              <w:t>后门出口</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m²、1个</w:t>
            </w:r>
          </w:p>
        </w:tc>
        <w:tc>
          <w:tcPr>
            <w:tcW w:w="1251" w:type="pct"/>
            <w:noWrap w:val="0"/>
            <w:vAlign w:val="center"/>
          </w:tcPr>
          <w:p w14:paraId="5DE4186E">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tc>
      </w:tr>
      <w:tr w14:paraId="14FE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restart"/>
            <w:noWrap w:val="0"/>
            <w:vAlign w:val="center"/>
          </w:tcPr>
          <w:p w14:paraId="15F90764">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车位数</w:t>
            </w:r>
          </w:p>
        </w:tc>
        <w:tc>
          <w:tcPr>
            <w:tcW w:w="1193" w:type="pct"/>
            <w:noWrap w:val="0"/>
            <w:vAlign w:val="center"/>
          </w:tcPr>
          <w:p w14:paraId="6C519C82">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地下车位数</w:t>
            </w:r>
          </w:p>
        </w:tc>
        <w:tc>
          <w:tcPr>
            <w:tcW w:w="1963" w:type="pct"/>
            <w:noWrap w:val="0"/>
            <w:vAlign w:val="center"/>
          </w:tcPr>
          <w:p w14:paraId="20021BFE">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个</w:t>
            </w:r>
          </w:p>
        </w:tc>
        <w:tc>
          <w:tcPr>
            <w:tcW w:w="1251" w:type="pct"/>
            <w:noWrap w:val="0"/>
            <w:vAlign w:val="center"/>
          </w:tcPr>
          <w:p w14:paraId="50E8A872">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见“3.5保安服务”</w:t>
            </w:r>
          </w:p>
        </w:tc>
      </w:tr>
      <w:tr w14:paraId="6DF5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continue"/>
            <w:noWrap w:val="0"/>
            <w:vAlign w:val="center"/>
          </w:tcPr>
          <w:p w14:paraId="34E5514D">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p>
        </w:tc>
        <w:tc>
          <w:tcPr>
            <w:tcW w:w="1193" w:type="pct"/>
            <w:noWrap w:val="0"/>
            <w:vAlign w:val="center"/>
          </w:tcPr>
          <w:p w14:paraId="3484F017">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地面车位数</w:t>
            </w:r>
          </w:p>
        </w:tc>
        <w:tc>
          <w:tcPr>
            <w:tcW w:w="1963" w:type="pct"/>
            <w:noWrap w:val="0"/>
            <w:vAlign w:val="center"/>
          </w:tcPr>
          <w:p w14:paraId="4CE99290">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152</w:t>
            </w:r>
            <w:r>
              <w:rPr>
                <w:rFonts w:hint="eastAsia" w:ascii="宋体" w:hAnsi="宋体" w:eastAsia="宋体" w:cs="宋体"/>
                <w:color w:val="auto"/>
                <w:kern w:val="2"/>
                <w:sz w:val="21"/>
                <w:szCs w:val="21"/>
                <w:highlight w:val="none"/>
                <w:lang w:val="zh-CN"/>
              </w:rPr>
              <w:t>个</w:t>
            </w:r>
          </w:p>
        </w:tc>
        <w:tc>
          <w:tcPr>
            <w:tcW w:w="1251" w:type="pct"/>
            <w:noWrap w:val="0"/>
            <w:vAlign w:val="center"/>
          </w:tcPr>
          <w:p w14:paraId="03D0A236">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见“3.5保安服务”</w:t>
            </w:r>
          </w:p>
        </w:tc>
      </w:tr>
      <w:tr w14:paraId="1CE5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restart"/>
            <w:noWrap w:val="0"/>
            <w:vAlign w:val="center"/>
          </w:tcPr>
          <w:p w14:paraId="532DB7CE">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车行/人行口</w:t>
            </w:r>
          </w:p>
        </w:tc>
        <w:tc>
          <w:tcPr>
            <w:tcW w:w="1193" w:type="pct"/>
            <w:noWrap w:val="0"/>
            <w:vAlign w:val="center"/>
          </w:tcPr>
          <w:p w14:paraId="4DC5156A">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车行口</w:t>
            </w:r>
          </w:p>
        </w:tc>
        <w:tc>
          <w:tcPr>
            <w:tcW w:w="1963" w:type="pct"/>
            <w:noWrap w:val="0"/>
            <w:vAlign w:val="center"/>
          </w:tcPr>
          <w:p w14:paraId="50E61FC0">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个</w:t>
            </w:r>
          </w:p>
        </w:tc>
        <w:tc>
          <w:tcPr>
            <w:tcW w:w="1251" w:type="pct"/>
            <w:noWrap w:val="0"/>
            <w:vAlign w:val="center"/>
          </w:tcPr>
          <w:p w14:paraId="1EDAB659">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见“3.5保安服务”</w:t>
            </w:r>
          </w:p>
        </w:tc>
      </w:tr>
      <w:tr w14:paraId="17C9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continue"/>
            <w:noWrap w:val="0"/>
            <w:vAlign w:val="center"/>
          </w:tcPr>
          <w:p w14:paraId="62CC75AC">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p>
        </w:tc>
        <w:tc>
          <w:tcPr>
            <w:tcW w:w="1193" w:type="pct"/>
            <w:noWrap w:val="0"/>
            <w:vAlign w:val="center"/>
          </w:tcPr>
          <w:p w14:paraId="342BCD11">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人行口</w:t>
            </w:r>
          </w:p>
        </w:tc>
        <w:tc>
          <w:tcPr>
            <w:tcW w:w="1963" w:type="pct"/>
            <w:noWrap w:val="0"/>
            <w:vAlign w:val="center"/>
          </w:tcPr>
          <w:p w14:paraId="0D1D8F42">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个</w:t>
            </w:r>
          </w:p>
        </w:tc>
        <w:tc>
          <w:tcPr>
            <w:tcW w:w="1251" w:type="pct"/>
            <w:noWrap w:val="0"/>
            <w:vAlign w:val="center"/>
          </w:tcPr>
          <w:p w14:paraId="599A9D72">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见“3.5保安服务”</w:t>
            </w:r>
          </w:p>
        </w:tc>
      </w:tr>
      <w:tr w14:paraId="77B9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restart"/>
            <w:noWrap w:val="0"/>
            <w:vAlign w:val="center"/>
          </w:tcPr>
          <w:p w14:paraId="0B0DF51A">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设施设备（可另行附表）</w:t>
            </w:r>
          </w:p>
        </w:tc>
        <w:tc>
          <w:tcPr>
            <w:tcW w:w="1193" w:type="pct"/>
            <w:noWrap w:val="0"/>
            <w:vAlign w:val="center"/>
          </w:tcPr>
          <w:p w14:paraId="4CD06576">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电梯系统</w:t>
            </w:r>
          </w:p>
        </w:tc>
        <w:tc>
          <w:tcPr>
            <w:tcW w:w="1963" w:type="pct"/>
            <w:noWrap w:val="0"/>
            <w:vAlign w:val="center"/>
          </w:tcPr>
          <w:p w14:paraId="6292A89C">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载人客梯3台，传菜货梯3台</w:t>
            </w:r>
          </w:p>
        </w:tc>
        <w:tc>
          <w:tcPr>
            <w:tcW w:w="1251" w:type="pct"/>
            <w:noWrap w:val="0"/>
            <w:vAlign w:val="center"/>
          </w:tcPr>
          <w:p w14:paraId="1CB5C953">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见“3.5保安服务”</w:t>
            </w:r>
          </w:p>
          <w:p w14:paraId="7A4E3AB7">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“3.2公用设施设备维护服务”</w:t>
            </w:r>
          </w:p>
        </w:tc>
      </w:tr>
      <w:tr w14:paraId="2774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continue"/>
            <w:noWrap w:val="0"/>
            <w:vAlign w:val="top"/>
          </w:tcPr>
          <w:p w14:paraId="54CE7265">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p>
        </w:tc>
        <w:tc>
          <w:tcPr>
            <w:tcW w:w="1193" w:type="pct"/>
            <w:noWrap w:val="0"/>
            <w:vAlign w:val="center"/>
          </w:tcPr>
          <w:p w14:paraId="5A256708">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给排水系统</w:t>
            </w:r>
          </w:p>
        </w:tc>
        <w:tc>
          <w:tcPr>
            <w:tcW w:w="1963" w:type="pct"/>
            <w:noWrap w:val="0"/>
            <w:vAlign w:val="center"/>
          </w:tcPr>
          <w:p w14:paraId="700C6F2D">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生活给水设备</w:t>
            </w:r>
            <w:r>
              <w:rPr>
                <w:rFonts w:hint="eastAsia" w:ascii="宋体" w:hAnsi="宋体" w:eastAsia="宋体" w:cs="宋体"/>
                <w:color w:val="auto"/>
                <w:kern w:val="2"/>
                <w:sz w:val="21"/>
                <w:szCs w:val="21"/>
                <w:highlight w:val="none"/>
                <w:lang w:val="en-US" w:eastAsia="zh-CN"/>
              </w:rPr>
              <w:t>3套，</w:t>
            </w:r>
            <w:r>
              <w:rPr>
                <w:rFonts w:hint="eastAsia" w:ascii="宋体" w:hAnsi="宋体" w:eastAsia="宋体" w:cs="宋体"/>
                <w:color w:val="auto"/>
                <w:kern w:val="2"/>
                <w:sz w:val="21"/>
                <w:szCs w:val="21"/>
                <w:highlight w:val="none"/>
                <w:lang w:val="zh-CN"/>
              </w:rPr>
              <w:t>排水设备</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台</w:t>
            </w:r>
          </w:p>
        </w:tc>
        <w:tc>
          <w:tcPr>
            <w:tcW w:w="1251" w:type="pct"/>
            <w:noWrap w:val="0"/>
            <w:vAlign w:val="center"/>
          </w:tcPr>
          <w:p w14:paraId="5FAB920C">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见“3.5保安服务”</w:t>
            </w:r>
          </w:p>
          <w:p w14:paraId="4D63E22F">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“3.2公用设施设备维护服务”</w:t>
            </w:r>
          </w:p>
        </w:tc>
      </w:tr>
      <w:tr w14:paraId="2BBE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continue"/>
            <w:noWrap w:val="0"/>
            <w:vAlign w:val="top"/>
          </w:tcPr>
          <w:p w14:paraId="54F1CE7D">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p>
        </w:tc>
        <w:tc>
          <w:tcPr>
            <w:tcW w:w="1193" w:type="pct"/>
            <w:noWrap w:val="0"/>
            <w:vAlign w:val="center"/>
          </w:tcPr>
          <w:p w14:paraId="2506C3EC">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消防系统</w:t>
            </w:r>
          </w:p>
        </w:tc>
        <w:tc>
          <w:tcPr>
            <w:tcW w:w="1963" w:type="pct"/>
            <w:noWrap w:val="0"/>
            <w:vAlign w:val="center"/>
          </w:tcPr>
          <w:p w14:paraId="331E178E">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总控消防、消防设备1套</w:t>
            </w:r>
          </w:p>
        </w:tc>
        <w:tc>
          <w:tcPr>
            <w:tcW w:w="1251" w:type="pct"/>
            <w:noWrap w:val="0"/>
            <w:vAlign w:val="center"/>
          </w:tcPr>
          <w:p w14:paraId="39C1A550">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见“3.5保安服务”</w:t>
            </w:r>
          </w:p>
          <w:p w14:paraId="2EF7D85C">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“3.2公用设施设备维护服务”</w:t>
            </w:r>
          </w:p>
        </w:tc>
      </w:tr>
      <w:tr w14:paraId="592A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continue"/>
            <w:noWrap w:val="0"/>
            <w:vAlign w:val="top"/>
          </w:tcPr>
          <w:p w14:paraId="6D4F9156">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p>
        </w:tc>
        <w:tc>
          <w:tcPr>
            <w:tcW w:w="1193" w:type="pct"/>
            <w:noWrap w:val="0"/>
            <w:vAlign w:val="center"/>
          </w:tcPr>
          <w:p w14:paraId="29CC3D1D">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安防系统</w:t>
            </w:r>
          </w:p>
        </w:tc>
        <w:tc>
          <w:tcPr>
            <w:tcW w:w="1963" w:type="pct"/>
            <w:noWrap w:val="0"/>
            <w:vAlign w:val="center"/>
          </w:tcPr>
          <w:p w14:paraId="751914F6">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监控安防系统、1套</w:t>
            </w:r>
          </w:p>
        </w:tc>
        <w:tc>
          <w:tcPr>
            <w:tcW w:w="1251" w:type="pct"/>
            <w:noWrap w:val="0"/>
            <w:vAlign w:val="center"/>
          </w:tcPr>
          <w:p w14:paraId="76F8D0DC">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见“3.5保安服务”</w:t>
            </w:r>
          </w:p>
          <w:p w14:paraId="0DE1168F">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“3.2公用设施设备维护服务”</w:t>
            </w:r>
          </w:p>
        </w:tc>
      </w:tr>
      <w:tr w14:paraId="5B0C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continue"/>
            <w:noWrap w:val="0"/>
            <w:vAlign w:val="top"/>
          </w:tcPr>
          <w:p w14:paraId="009EFF22">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p>
        </w:tc>
        <w:tc>
          <w:tcPr>
            <w:tcW w:w="1193" w:type="pct"/>
            <w:noWrap w:val="0"/>
            <w:vAlign w:val="center"/>
          </w:tcPr>
          <w:p w14:paraId="30F50CE5">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照明系统</w:t>
            </w:r>
          </w:p>
        </w:tc>
        <w:tc>
          <w:tcPr>
            <w:tcW w:w="1963" w:type="pct"/>
            <w:noWrap w:val="0"/>
            <w:vAlign w:val="center"/>
          </w:tcPr>
          <w:p w14:paraId="27DBA5B1">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感应照明系统、1套</w:t>
            </w:r>
          </w:p>
        </w:tc>
        <w:tc>
          <w:tcPr>
            <w:tcW w:w="1251" w:type="pct"/>
            <w:noWrap w:val="0"/>
            <w:vAlign w:val="center"/>
          </w:tcPr>
          <w:p w14:paraId="4650DE1B">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见“3.5保安服务”“3.</w:t>
            </w: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公用设施设备维护服务”</w:t>
            </w:r>
          </w:p>
        </w:tc>
      </w:tr>
      <w:tr w14:paraId="00DE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continue"/>
            <w:noWrap w:val="0"/>
            <w:vAlign w:val="top"/>
          </w:tcPr>
          <w:p w14:paraId="51907D68">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p>
        </w:tc>
        <w:tc>
          <w:tcPr>
            <w:tcW w:w="1193" w:type="pct"/>
            <w:noWrap w:val="0"/>
            <w:vAlign w:val="center"/>
          </w:tcPr>
          <w:p w14:paraId="10C3EDE0">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空调系统</w:t>
            </w:r>
          </w:p>
        </w:tc>
        <w:tc>
          <w:tcPr>
            <w:tcW w:w="1963" w:type="pct"/>
            <w:noWrap w:val="0"/>
            <w:vAlign w:val="center"/>
          </w:tcPr>
          <w:p w14:paraId="107E5599">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中央空调</w:t>
            </w:r>
            <w:r>
              <w:rPr>
                <w:rFonts w:hint="eastAsia" w:ascii="宋体" w:hAnsi="宋体" w:eastAsia="宋体" w:cs="宋体"/>
                <w:color w:val="auto"/>
                <w:kern w:val="2"/>
                <w:sz w:val="21"/>
                <w:szCs w:val="21"/>
                <w:highlight w:val="none"/>
                <w:lang w:val="en-US" w:eastAsia="zh-CN"/>
              </w:rPr>
              <w:t>2套</w:t>
            </w:r>
          </w:p>
        </w:tc>
        <w:tc>
          <w:tcPr>
            <w:tcW w:w="1251" w:type="pct"/>
            <w:noWrap w:val="0"/>
            <w:vAlign w:val="center"/>
          </w:tcPr>
          <w:p w14:paraId="00163ACB">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w:t>
            </w: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公用设施设备维护服务”</w:t>
            </w:r>
          </w:p>
        </w:tc>
      </w:tr>
      <w:tr w14:paraId="12AE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continue"/>
            <w:noWrap w:val="0"/>
            <w:vAlign w:val="top"/>
          </w:tcPr>
          <w:p w14:paraId="7D97471D">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p>
        </w:tc>
        <w:tc>
          <w:tcPr>
            <w:tcW w:w="1193" w:type="pct"/>
            <w:noWrap w:val="0"/>
            <w:vAlign w:val="center"/>
          </w:tcPr>
          <w:p w14:paraId="06A52DC5">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供配电系统</w:t>
            </w:r>
          </w:p>
        </w:tc>
        <w:tc>
          <w:tcPr>
            <w:tcW w:w="1963" w:type="pct"/>
            <w:noWrap w:val="0"/>
            <w:vAlign w:val="center"/>
          </w:tcPr>
          <w:p w14:paraId="088F26FE">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高压房</w:t>
            </w:r>
            <w:r>
              <w:rPr>
                <w:rFonts w:hint="eastAsia" w:ascii="宋体" w:hAnsi="宋体" w:eastAsia="宋体" w:cs="宋体"/>
                <w:color w:val="auto"/>
                <w:kern w:val="2"/>
                <w:sz w:val="21"/>
                <w:szCs w:val="21"/>
                <w:highlight w:val="none"/>
                <w:lang w:val="en-US" w:eastAsia="zh-CN"/>
              </w:rPr>
              <w:t>1个，</w:t>
            </w:r>
            <w:r>
              <w:rPr>
                <w:rFonts w:hint="eastAsia" w:ascii="宋体" w:hAnsi="宋体" w:eastAsia="宋体" w:cs="宋体"/>
                <w:color w:val="auto"/>
                <w:kern w:val="2"/>
                <w:sz w:val="21"/>
                <w:szCs w:val="21"/>
                <w:highlight w:val="none"/>
                <w:lang w:val="zh-CN"/>
              </w:rPr>
              <w:t>低压房1个</w:t>
            </w:r>
          </w:p>
        </w:tc>
        <w:tc>
          <w:tcPr>
            <w:tcW w:w="1251" w:type="pct"/>
            <w:noWrap w:val="0"/>
            <w:vAlign w:val="center"/>
          </w:tcPr>
          <w:p w14:paraId="3422BC66">
            <w:pPr>
              <w:pStyle w:val="124"/>
              <w:keepNext w:val="0"/>
              <w:keepLines w:val="0"/>
              <w:pageBreakBefore w:val="0"/>
              <w:wordWrap/>
              <w:topLinePunct w:val="0"/>
              <w:bidi w:val="0"/>
              <w:adjustRightInd/>
              <w:snapToGrid w:val="0"/>
              <w:spacing w:beforeAutospacing="0" w:afterAutospacing="0" w:line="240" w:lineRule="auto"/>
              <w:ind w:left="0" w:leftChars="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见“3.2公用设施设备维护服务”</w:t>
            </w:r>
          </w:p>
        </w:tc>
      </w:tr>
    </w:tbl>
    <w:p w14:paraId="05F781E6">
      <w:pPr>
        <w:pStyle w:val="124"/>
        <w:keepNext w:val="0"/>
        <w:keepLines w:val="0"/>
        <w:pageBreakBefore w:val="0"/>
        <w:numPr>
          <w:ilvl w:val="0"/>
          <w:numId w:val="0"/>
        </w:numPr>
        <w:wordWrap/>
        <w:topLinePunct w:val="0"/>
        <w:bidi w:val="0"/>
        <w:adjustRightInd/>
        <w:snapToGrid w:val="0"/>
        <w:spacing w:beforeAutospacing="0" w:afterAutospacing="0" w:line="240" w:lineRule="auto"/>
        <w:ind w:left="0" w:leftChars="0" w:right="0" w:firstLine="420" w:firstLineChars="200"/>
        <w:outlineLvl w:val="5"/>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bidi="ar-SA"/>
        </w:rPr>
        <w:t>(2)</w:t>
      </w:r>
      <w:r>
        <w:rPr>
          <w:rFonts w:hint="eastAsia" w:ascii="宋体" w:hAnsi="宋体" w:eastAsia="宋体" w:cs="宋体"/>
          <w:color w:val="auto"/>
          <w:kern w:val="2"/>
          <w:sz w:val="21"/>
          <w:szCs w:val="21"/>
          <w:highlight w:val="none"/>
          <w:lang w:val="zh-CN"/>
        </w:rPr>
        <w:t>物业管理（室外）</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780"/>
        <w:gridCol w:w="3417"/>
      </w:tblGrid>
      <w:tr w14:paraId="1AB0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0" w:type="pct"/>
            <w:noWrap w:val="0"/>
            <w:vAlign w:val="center"/>
          </w:tcPr>
          <w:p w14:paraId="5B151C95">
            <w:pPr>
              <w:pStyle w:val="124"/>
              <w:keepNext w:val="0"/>
              <w:keepLines w:val="0"/>
              <w:pageBreakBefore w:val="0"/>
              <w:wordWrap/>
              <w:topLinePunct w:val="0"/>
              <w:bidi w:val="0"/>
              <w:adjustRightInd/>
              <w:snapToGrid w:val="0"/>
              <w:spacing w:beforeAutospacing="0" w:afterAutospacing="0" w:line="240" w:lineRule="auto"/>
              <w:ind w:right="0"/>
              <w:jc w:val="center"/>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名称</w:t>
            </w:r>
          </w:p>
        </w:tc>
        <w:tc>
          <w:tcPr>
            <w:tcW w:w="1632" w:type="pct"/>
            <w:noWrap w:val="0"/>
            <w:vAlign w:val="center"/>
          </w:tcPr>
          <w:p w14:paraId="29ABF55C">
            <w:pPr>
              <w:pStyle w:val="124"/>
              <w:keepNext w:val="0"/>
              <w:keepLines w:val="0"/>
              <w:pageBreakBefore w:val="0"/>
              <w:wordWrap/>
              <w:topLinePunct w:val="0"/>
              <w:bidi w:val="0"/>
              <w:adjustRightInd/>
              <w:snapToGrid w:val="0"/>
              <w:spacing w:beforeAutospacing="0" w:afterAutospacing="0" w:line="240" w:lineRule="auto"/>
              <w:ind w:right="0"/>
              <w:jc w:val="center"/>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明细</w:t>
            </w:r>
          </w:p>
        </w:tc>
        <w:tc>
          <w:tcPr>
            <w:tcW w:w="2006" w:type="pct"/>
            <w:noWrap w:val="0"/>
            <w:vAlign w:val="center"/>
          </w:tcPr>
          <w:p w14:paraId="15507D68">
            <w:pPr>
              <w:pStyle w:val="124"/>
              <w:keepNext w:val="0"/>
              <w:keepLines w:val="0"/>
              <w:pageBreakBefore w:val="0"/>
              <w:wordWrap/>
              <w:topLinePunct w:val="0"/>
              <w:bidi w:val="0"/>
              <w:adjustRightInd/>
              <w:snapToGrid w:val="0"/>
              <w:spacing w:beforeAutospacing="0" w:afterAutospacing="0" w:line="240" w:lineRule="auto"/>
              <w:ind w:right="0"/>
              <w:jc w:val="center"/>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服务内容及标准</w:t>
            </w:r>
          </w:p>
        </w:tc>
      </w:tr>
      <w:tr w14:paraId="14F0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0" w:type="pct"/>
            <w:noWrap w:val="0"/>
            <w:vAlign w:val="center"/>
          </w:tcPr>
          <w:p w14:paraId="37B52364">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室外面积</w:t>
            </w:r>
          </w:p>
        </w:tc>
        <w:tc>
          <w:tcPr>
            <w:tcW w:w="1632" w:type="pct"/>
            <w:noWrap w:val="0"/>
            <w:vAlign w:val="center"/>
          </w:tcPr>
          <w:p w14:paraId="2F07AB23">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3809</w:t>
            </w:r>
            <w:r>
              <w:rPr>
                <w:rFonts w:hint="eastAsia" w:ascii="宋体" w:hAnsi="宋体" w:eastAsia="宋体" w:cs="宋体"/>
                <w:color w:val="auto"/>
                <w:kern w:val="2"/>
                <w:sz w:val="21"/>
                <w:szCs w:val="21"/>
                <w:highlight w:val="none"/>
                <w:lang w:val="zh-CN"/>
              </w:rPr>
              <w:t>m²</w:t>
            </w:r>
          </w:p>
        </w:tc>
        <w:tc>
          <w:tcPr>
            <w:tcW w:w="2006" w:type="pct"/>
            <w:noWrap w:val="0"/>
            <w:vAlign w:val="center"/>
          </w:tcPr>
          <w:p w14:paraId="2C57787D">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p w14:paraId="549836F8">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“3.5保安服务”</w:t>
            </w:r>
          </w:p>
        </w:tc>
      </w:tr>
      <w:tr w14:paraId="3BCB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0" w:type="pct"/>
            <w:noWrap w:val="0"/>
            <w:vAlign w:val="center"/>
          </w:tcPr>
          <w:p w14:paraId="321F12CA">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绿化</w:t>
            </w:r>
          </w:p>
        </w:tc>
        <w:tc>
          <w:tcPr>
            <w:tcW w:w="1632" w:type="pct"/>
            <w:noWrap w:val="0"/>
            <w:vAlign w:val="center"/>
          </w:tcPr>
          <w:p w14:paraId="46B0C76B">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720</w:t>
            </w:r>
            <w:r>
              <w:rPr>
                <w:rFonts w:hint="eastAsia" w:ascii="宋体" w:hAnsi="宋体" w:eastAsia="宋体" w:cs="宋体"/>
                <w:color w:val="auto"/>
                <w:kern w:val="2"/>
                <w:sz w:val="21"/>
                <w:szCs w:val="21"/>
                <w:highlight w:val="none"/>
                <w:lang w:val="zh-CN"/>
              </w:rPr>
              <w:t>m²</w:t>
            </w:r>
          </w:p>
        </w:tc>
        <w:tc>
          <w:tcPr>
            <w:tcW w:w="2006" w:type="pct"/>
            <w:noWrap w:val="0"/>
            <w:vAlign w:val="center"/>
          </w:tcPr>
          <w:p w14:paraId="4512E10A">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p w14:paraId="75BCD35D">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“3.4绿化服务”</w:t>
            </w:r>
          </w:p>
        </w:tc>
      </w:tr>
      <w:tr w14:paraId="608E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0" w:type="pct"/>
            <w:noWrap w:val="0"/>
            <w:vAlign w:val="center"/>
          </w:tcPr>
          <w:p w14:paraId="08A488A5">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路灯、草坪灯、音箱</w:t>
            </w:r>
          </w:p>
        </w:tc>
        <w:tc>
          <w:tcPr>
            <w:tcW w:w="1632" w:type="pct"/>
            <w:noWrap w:val="0"/>
            <w:vAlign w:val="center"/>
          </w:tcPr>
          <w:p w14:paraId="00A20459">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户外强光灯</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个</w:t>
            </w:r>
          </w:p>
        </w:tc>
        <w:tc>
          <w:tcPr>
            <w:tcW w:w="2006" w:type="pct"/>
            <w:noWrap w:val="0"/>
            <w:vAlign w:val="center"/>
          </w:tcPr>
          <w:p w14:paraId="68987855">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p w14:paraId="0E701363">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“3.2公用设施设备维护服务”</w:t>
            </w:r>
          </w:p>
        </w:tc>
      </w:tr>
      <w:tr w14:paraId="300C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0" w:type="pct"/>
            <w:noWrap w:val="0"/>
            <w:vAlign w:val="center"/>
          </w:tcPr>
          <w:p w14:paraId="7D69CE84">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消防栓</w:t>
            </w:r>
          </w:p>
        </w:tc>
        <w:tc>
          <w:tcPr>
            <w:tcW w:w="1632" w:type="pct"/>
            <w:noWrap w:val="0"/>
            <w:vAlign w:val="center"/>
          </w:tcPr>
          <w:p w14:paraId="36CE9976">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4个</w:t>
            </w:r>
          </w:p>
        </w:tc>
        <w:tc>
          <w:tcPr>
            <w:tcW w:w="2006" w:type="pct"/>
            <w:noWrap w:val="0"/>
            <w:vAlign w:val="center"/>
          </w:tcPr>
          <w:p w14:paraId="4908FB6B">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p w14:paraId="11943C06">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“3.2公用设施设备维护服务”</w:t>
            </w:r>
          </w:p>
        </w:tc>
      </w:tr>
      <w:tr w14:paraId="28F9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0" w:type="pct"/>
            <w:noWrap w:val="0"/>
            <w:vAlign w:val="center"/>
          </w:tcPr>
          <w:p w14:paraId="6A8A4FA5">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垃圾箱</w:t>
            </w:r>
          </w:p>
        </w:tc>
        <w:tc>
          <w:tcPr>
            <w:tcW w:w="1632" w:type="pct"/>
            <w:noWrap w:val="0"/>
            <w:vAlign w:val="center"/>
          </w:tcPr>
          <w:p w14:paraId="7B5B546C">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个</w:t>
            </w:r>
          </w:p>
        </w:tc>
        <w:tc>
          <w:tcPr>
            <w:tcW w:w="2006" w:type="pct"/>
            <w:noWrap w:val="0"/>
            <w:vAlign w:val="center"/>
          </w:tcPr>
          <w:p w14:paraId="3BBAB88C">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tc>
      </w:tr>
      <w:tr w14:paraId="12A2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0" w:type="pct"/>
            <w:noWrap w:val="0"/>
            <w:vAlign w:val="center"/>
          </w:tcPr>
          <w:p w14:paraId="3582D487">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室外配电箱</w:t>
            </w:r>
          </w:p>
        </w:tc>
        <w:tc>
          <w:tcPr>
            <w:tcW w:w="1632" w:type="pct"/>
            <w:noWrap w:val="0"/>
            <w:vAlign w:val="center"/>
          </w:tcPr>
          <w:p w14:paraId="29AFD006">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个</w:t>
            </w:r>
          </w:p>
        </w:tc>
        <w:tc>
          <w:tcPr>
            <w:tcW w:w="2006" w:type="pct"/>
            <w:noWrap w:val="0"/>
            <w:vAlign w:val="center"/>
          </w:tcPr>
          <w:p w14:paraId="3D1AE1E6">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p w14:paraId="7727024F">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“3.2公用设施设备维护服务”</w:t>
            </w:r>
          </w:p>
        </w:tc>
      </w:tr>
      <w:tr w14:paraId="0DC2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0" w:type="pct"/>
            <w:noWrap w:val="0"/>
            <w:vAlign w:val="center"/>
          </w:tcPr>
          <w:p w14:paraId="0BB5DAB5">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门前三包</w:t>
            </w:r>
          </w:p>
        </w:tc>
        <w:tc>
          <w:tcPr>
            <w:tcW w:w="1632" w:type="pct"/>
            <w:noWrap w:val="0"/>
            <w:vAlign w:val="center"/>
          </w:tcPr>
          <w:p w14:paraId="39EB87D4">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150</w:t>
            </w:r>
            <w:r>
              <w:rPr>
                <w:rFonts w:hint="eastAsia" w:ascii="宋体" w:hAnsi="宋体" w:eastAsia="宋体" w:cs="宋体"/>
                <w:color w:val="auto"/>
                <w:kern w:val="2"/>
                <w:sz w:val="21"/>
                <w:szCs w:val="21"/>
                <w:highlight w:val="none"/>
                <w:lang w:val="zh-CN"/>
              </w:rPr>
              <w:t>m²</w:t>
            </w:r>
          </w:p>
        </w:tc>
        <w:tc>
          <w:tcPr>
            <w:tcW w:w="2006" w:type="pct"/>
            <w:noWrap w:val="0"/>
            <w:vAlign w:val="center"/>
          </w:tcPr>
          <w:p w14:paraId="0832D648">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tc>
      </w:tr>
      <w:tr w14:paraId="0665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0" w:type="pct"/>
            <w:noWrap w:val="0"/>
            <w:vAlign w:val="center"/>
          </w:tcPr>
          <w:p w14:paraId="7543E32B">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露台</w:t>
            </w:r>
          </w:p>
        </w:tc>
        <w:tc>
          <w:tcPr>
            <w:tcW w:w="1632" w:type="pct"/>
            <w:noWrap w:val="0"/>
            <w:vAlign w:val="center"/>
          </w:tcPr>
          <w:p w14:paraId="70ECF4FF">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410</w:t>
            </w:r>
            <w:r>
              <w:rPr>
                <w:rFonts w:hint="eastAsia" w:ascii="宋体" w:hAnsi="宋体" w:eastAsia="宋体" w:cs="宋体"/>
                <w:color w:val="auto"/>
                <w:kern w:val="2"/>
                <w:sz w:val="21"/>
                <w:szCs w:val="21"/>
                <w:highlight w:val="none"/>
                <w:lang w:val="zh-CN"/>
              </w:rPr>
              <w:t>m²</w:t>
            </w:r>
          </w:p>
        </w:tc>
        <w:tc>
          <w:tcPr>
            <w:tcW w:w="2006" w:type="pct"/>
            <w:noWrap w:val="0"/>
            <w:vAlign w:val="center"/>
          </w:tcPr>
          <w:p w14:paraId="2D98465F">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tc>
      </w:tr>
      <w:tr w14:paraId="287F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0" w:type="pct"/>
            <w:noWrap w:val="0"/>
            <w:vAlign w:val="center"/>
          </w:tcPr>
          <w:p w14:paraId="3CC040E5">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监控</w:t>
            </w:r>
          </w:p>
        </w:tc>
        <w:tc>
          <w:tcPr>
            <w:tcW w:w="1632" w:type="pct"/>
            <w:noWrap w:val="0"/>
            <w:vAlign w:val="center"/>
          </w:tcPr>
          <w:p w14:paraId="3BAB38FC">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16</w:t>
            </w:r>
            <w:r>
              <w:rPr>
                <w:rFonts w:hint="eastAsia" w:ascii="宋体" w:hAnsi="宋体" w:eastAsia="宋体" w:cs="宋体"/>
                <w:color w:val="auto"/>
                <w:kern w:val="2"/>
                <w:sz w:val="21"/>
                <w:szCs w:val="21"/>
                <w:highlight w:val="none"/>
                <w:lang w:val="zh-CN"/>
              </w:rPr>
              <w:t>个</w:t>
            </w:r>
          </w:p>
        </w:tc>
        <w:tc>
          <w:tcPr>
            <w:tcW w:w="2006" w:type="pct"/>
            <w:noWrap w:val="0"/>
            <w:vAlign w:val="center"/>
          </w:tcPr>
          <w:p w14:paraId="38EEBA4A">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见“3.3保洁服务”</w:t>
            </w:r>
          </w:p>
          <w:p w14:paraId="1B9EBF86">
            <w:pPr>
              <w:pStyle w:val="124"/>
              <w:keepNext w:val="0"/>
              <w:keepLines w:val="0"/>
              <w:pageBreakBefore w:val="0"/>
              <w:wordWrap/>
              <w:topLinePunct w:val="0"/>
              <w:bidi w:val="0"/>
              <w:adjustRightInd/>
              <w:snapToGrid w:val="0"/>
              <w:spacing w:beforeAutospacing="0" w:afterAutospacing="0" w:line="240" w:lineRule="auto"/>
              <w:ind w:left="0" w:leftChars="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公用设施设备维护服务”</w:t>
            </w:r>
          </w:p>
        </w:tc>
      </w:tr>
    </w:tbl>
    <w:p w14:paraId="73F65E14">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注：由于采购人机构改革或因工作需求调整办公地点和场所，采购人将在服务内容、服务面积对等的前提下调整服务费用（采购单位因政策变动，所采购的服务按变动后的实际人员进行支付服务费用），</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 xml:space="preserve">自行考虑风险成本。 </w:t>
      </w:r>
    </w:p>
    <w:p w14:paraId="1E58B222">
      <w:pPr>
        <w:pStyle w:val="124"/>
        <w:keepNext w:val="0"/>
        <w:keepLines w:val="0"/>
        <w:pageBreakBefore w:val="0"/>
        <w:numPr>
          <w:ilvl w:val="0"/>
          <w:numId w:val="0"/>
        </w:numPr>
        <w:wordWrap/>
        <w:topLinePunct w:val="0"/>
        <w:bidi w:val="0"/>
        <w:adjustRightInd/>
        <w:snapToGrid w:val="0"/>
        <w:spacing w:beforeAutospacing="0" w:afterAutospacing="0" w:line="240" w:lineRule="auto"/>
        <w:ind w:left="0" w:leftChars="0" w:right="0" w:firstLine="422" w:firstLineChars="200"/>
        <w:outlineLvl w:val="3"/>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eastAsia="zh-CN" w:bidi="ar-SA"/>
        </w:rPr>
        <w:t>3.</w:t>
      </w:r>
      <w:r>
        <w:rPr>
          <w:rFonts w:hint="eastAsia" w:ascii="宋体" w:hAnsi="宋体" w:eastAsia="宋体" w:cs="宋体"/>
          <w:b/>
          <w:bCs/>
          <w:color w:val="auto"/>
          <w:kern w:val="2"/>
          <w:sz w:val="21"/>
          <w:szCs w:val="21"/>
          <w:highlight w:val="none"/>
          <w:lang w:val="zh-CN"/>
        </w:rPr>
        <w:t>物业管理服务内容及标准</w:t>
      </w:r>
    </w:p>
    <w:p w14:paraId="48DD279F">
      <w:pPr>
        <w:pStyle w:val="33"/>
        <w:keepNext w:val="0"/>
        <w:keepLines w:val="0"/>
        <w:pageBreakBefore w:val="0"/>
        <w:shd w:val="clear" w:color="auto" w:fill="FFFFFF"/>
        <w:wordWrap/>
        <w:topLinePunct w:val="0"/>
        <w:bidi w:val="0"/>
        <w:adjustRightInd/>
        <w:spacing w:before="0" w:beforeAutospacing="0" w:after="0" w:afterAutospacing="0" w:line="240" w:lineRule="auto"/>
        <w:ind w:left="0" w:leftChars="0" w:right="0" w:firstLine="454" w:firstLineChars="200"/>
        <w:jc w:val="both"/>
        <w:outlineLvl w:val="4"/>
        <w:rPr>
          <w:rFonts w:hint="eastAsia" w:ascii="宋体" w:hAnsi="宋体" w:eastAsia="宋体" w:cs="宋体"/>
          <w:color w:val="auto"/>
          <w:spacing w:val="8"/>
          <w:sz w:val="21"/>
          <w:szCs w:val="21"/>
          <w:highlight w:val="none"/>
        </w:rPr>
      </w:pPr>
      <w:r>
        <w:rPr>
          <w:rStyle w:val="40"/>
          <w:rFonts w:hint="eastAsia" w:ascii="宋体" w:hAnsi="宋体" w:eastAsia="宋体" w:cs="宋体"/>
          <w:color w:val="auto"/>
          <w:spacing w:val="8"/>
          <w:sz w:val="21"/>
          <w:szCs w:val="21"/>
          <w:highlight w:val="none"/>
          <w:shd w:val="clear" w:color="auto" w:fill="FFFFFF"/>
        </w:rPr>
        <w:t>3.1基本服务</w:t>
      </w:r>
    </w:p>
    <w:tbl>
      <w:tblPr>
        <w:tblStyle w:val="37"/>
        <w:tblW w:w="48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628"/>
        <w:gridCol w:w="5713"/>
      </w:tblGrid>
      <w:tr w14:paraId="3BE8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noWrap w:val="0"/>
            <w:vAlign w:val="center"/>
          </w:tcPr>
          <w:p w14:paraId="276AA2F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994" w:type="pct"/>
            <w:noWrap w:val="0"/>
            <w:vAlign w:val="center"/>
          </w:tcPr>
          <w:p w14:paraId="3DAA629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w:t>
            </w:r>
          </w:p>
        </w:tc>
        <w:tc>
          <w:tcPr>
            <w:tcW w:w="3488" w:type="pct"/>
            <w:noWrap w:val="0"/>
            <w:vAlign w:val="center"/>
          </w:tcPr>
          <w:p w14:paraId="4644817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服务标准</w:t>
            </w:r>
          </w:p>
        </w:tc>
      </w:tr>
      <w:tr w14:paraId="1960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restart"/>
            <w:noWrap w:val="0"/>
            <w:vAlign w:val="center"/>
          </w:tcPr>
          <w:p w14:paraId="4F49FFE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4" w:type="pct"/>
            <w:vMerge w:val="restart"/>
            <w:noWrap w:val="0"/>
            <w:vAlign w:val="center"/>
          </w:tcPr>
          <w:p w14:paraId="1AAB4A9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目标与责任</w:t>
            </w:r>
          </w:p>
        </w:tc>
        <w:tc>
          <w:tcPr>
            <w:tcW w:w="3488" w:type="pct"/>
            <w:noWrap w:val="0"/>
            <w:vAlign w:val="top"/>
          </w:tcPr>
          <w:p w14:paraId="2965C2E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1、为确保能提供优质服务，要求中标人具备物业管理服务经验，且服务模式符合采购人需求。</w:t>
            </w:r>
          </w:p>
        </w:tc>
      </w:tr>
      <w:tr w14:paraId="4FA5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075EC75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430173B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11A25DA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2、结合采购人要求及物业服务实际，制定年度管理目标，明确责任分工，并制定配套实施方案。</w:t>
            </w:r>
          </w:p>
        </w:tc>
      </w:tr>
      <w:tr w14:paraId="4879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restart"/>
            <w:noWrap w:val="0"/>
            <w:vAlign w:val="center"/>
          </w:tcPr>
          <w:p w14:paraId="6774AC9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4" w:type="pct"/>
            <w:vMerge w:val="restart"/>
            <w:noWrap w:val="0"/>
            <w:vAlign w:val="center"/>
          </w:tcPr>
          <w:p w14:paraId="6512488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服务人员要求</w:t>
            </w:r>
          </w:p>
        </w:tc>
        <w:tc>
          <w:tcPr>
            <w:tcW w:w="3488" w:type="pct"/>
            <w:noWrap w:val="0"/>
            <w:vAlign w:val="top"/>
          </w:tcPr>
          <w:p w14:paraId="5FCF8FBF">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应根据采购人的行业、工作、形象及人员的特点和要求进行规范、精准、专业、文明服务。针对采购人各类专项工作和活动，中标人务必组织安排做到专员、专职、全力、全程保障和服务。所派遣到岗的物业技术人员具有对应专业岗位资质证书、执业证或上岗证。管理服务工作的实施，须以服从于采购人的工作需要为前提，以方便采购人为原则，影响正常办公的服务工作尽可能在采购人工作时间以外进行。</w:t>
            </w:r>
          </w:p>
        </w:tc>
      </w:tr>
      <w:tr w14:paraId="6687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760A09D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0AD64D5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027B612F">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2、中标人各类工作人员按岗位要求统一着装，佩戴相关证件，言行规范（会使用普通话），注意仪容仪表、自身及公众形象。</w:t>
            </w:r>
          </w:p>
        </w:tc>
      </w:tr>
      <w:tr w14:paraId="4F4B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0F1A0AA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73CE00A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321E2191">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配置的各类工作人员须按岗位要求参加岗前培训，在掌握本岗位的专业知识、专业技能、工作内容、工作流程、工作标准以及明确工作职能和责任，而且具备了适合本岗位的心理素质、身体素质后方可上岗。</w:t>
            </w:r>
          </w:p>
        </w:tc>
      </w:tr>
      <w:tr w14:paraId="78FD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1C7A3C4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42EE2D9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657D6447">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4、在服务期间，中标人要组织在本物业服务场所的服务人员在专业培训机构进行每年不少于1次的专业岗位培训，以不断提高服务人员业务素质和业务能力。 </w:t>
            </w:r>
          </w:p>
        </w:tc>
      </w:tr>
      <w:tr w14:paraId="10B4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restart"/>
            <w:noWrap w:val="0"/>
            <w:vAlign w:val="center"/>
          </w:tcPr>
          <w:p w14:paraId="27BF7FE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4" w:type="pct"/>
            <w:vMerge w:val="restart"/>
            <w:noWrap w:val="0"/>
            <w:vAlign w:val="center"/>
          </w:tcPr>
          <w:p w14:paraId="63FD351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保密和思想政治教育</w:t>
            </w:r>
          </w:p>
        </w:tc>
        <w:tc>
          <w:tcPr>
            <w:tcW w:w="3488" w:type="pct"/>
            <w:noWrap w:val="0"/>
            <w:vAlign w:val="top"/>
          </w:tcPr>
          <w:p w14:paraId="272AB90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1、中标人务必与采购人签订保密协议，工作人员须遵守采购人有关规章制度、管理规定和双方签订的保密协议，不得泄露采购人所有文件。</w:t>
            </w:r>
          </w:p>
        </w:tc>
      </w:tr>
      <w:tr w14:paraId="2CF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0D45DEA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1F9A58E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2F263E8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4"/>
                <w:sz w:val="21"/>
                <w:szCs w:val="21"/>
                <w:highlight w:val="none"/>
              </w:rPr>
              <w:t xml:space="preserve">中标人每年至少开展 </w:t>
            </w: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7"/>
                <w:sz w:val="21"/>
                <w:szCs w:val="21"/>
                <w:highlight w:val="none"/>
              </w:rPr>
              <w:t xml:space="preserve"> 次对服务人员进行保密、思想政治教育的</w:t>
            </w:r>
            <w:r>
              <w:rPr>
                <w:rFonts w:hint="eastAsia" w:ascii="宋体" w:hAnsi="宋体" w:eastAsia="宋体" w:cs="宋体"/>
                <w:color w:val="auto"/>
                <w:spacing w:val="-4"/>
                <w:sz w:val="21"/>
                <w:szCs w:val="21"/>
                <w:highlight w:val="none"/>
              </w:rPr>
              <w:t>培训，提高服务人员保密意识和思想政治意识。</w:t>
            </w:r>
            <w:r>
              <w:rPr>
                <w:rFonts w:hint="eastAsia" w:ascii="宋体" w:hAnsi="宋体" w:eastAsia="宋体" w:cs="宋体"/>
                <w:color w:val="auto"/>
                <w:sz w:val="21"/>
                <w:szCs w:val="21"/>
                <w:highlight w:val="none"/>
              </w:rPr>
              <w:t>中标人要负责工作人员的职业道德教育、业务知识培训工作，其中：保密培训每年不少于2小时。</w:t>
            </w:r>
          </w:p>
        </w:tc>
      </w:tr>
      <w:tr w14:paraId="02DF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5B2F383F">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p>
        </w:tc>
        <w:tc>
          <w:tcPr>
            <w:tcW w:w="994" w:type="pct"/>
            <w:vMerge w:val="continue"/>
            <w:noWrap w:val="0"/>
            <w:vAlign w:val="center"/>
          </w:tcPr>
          <w:p w14:paraId="1D79AC13">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p>
        </w:tc>
        <w:tc>
          <w:tcPr>
            <w:tcW w:w="3488" w:type="pct"/>
            <w:noWrap w:val="0"/>
            <w:vAlign w:val="top"/>
          </w:tcPr>
          <w:p w14:paraId="64265C6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lang w:eastAsia="zh-CN"/>
              </w:rPr>
              <w:t>中标人应建立保密管理制度。制度内容应当包括但不限于：①明</w:t>
            </w:r>
            <w:r>
              <w:rPr>
                <w:rFonts w:hint="eastAsia" w:ascii="宋体" w:hAnsi="宋体" w:eastAsia="宋体" w:cs="宋体"/>
                <w:color w:val="auto"/>
                <w:spacing w:val="-2"/>
                <w:sz w:val="21"/>
                <w:szCs w:val="21"/>
                <w:highlight w:val="none"/>
                <w:lang w:eastAsia="zh-CN"/>
              </w:rPr>
              <w:t>确重点要害岗位保密职责。</w:t>
            </w:r>
            <w:r>
              <w:rPr>
                <w:rFonts w:hint="eastAsia" w:ascii="宋体" w:hAnsi="宋体" w:eastAsia="宋体" w:cs="宋体"/>
                <w:color w:val="auto"/>
                <w:spacing w:val="-3"/>
                <w:sz w:val="21"/>
                <w:szCs w:val="21"/>
                <w:highlight w:val="none"/>
                <w:lang w:eastAsia="zh-CN"/>
              </w:rPr>
              <w:t>②对涉密工作岗位的保密要求。</w:t>
            </w:r>
          </w:p>
        </w:tc>
      </w:tr>
      <w:tr w14:paraId="1FA5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vMerge w:val="continue"/>
            <w:noWrap w:val="0"/>
            <w:vAlign w:val="center"/>
          </w:tcPr>
          <w:p w14:paraId="296403D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026A888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5BF66929">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、如有违反或损害采购人利益的，采购人有拒绝中标人的工作人员在此工作的权利，并有权要求中标人更换物业管理人员，中标人应当在2天内予以更换。 </w:t>
            </w:r>
          </w:p>
        </w:tc>
      </w:tr>
      <w:tr w14:paraId="7624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restart"/>
            <w:noWrap w:val="0"/>
            <w:vAlign w:val="center"/>
          </w:tcPr>
          <w:p w14:paraId="1D273FC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94" w:type="pct"/>
            <w:vMerge w:val="restart"/>
            <w:noWrap w:val="0"/>
            <w:vAlign w:val="center"/>
          </w:tcPr>
          <w:p w14:paraId="2D8ECE5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档案管理</w:t>
            </w:r>
          </w:p>
        </w:tc>
        <w:tc>
          <w:tcPr>
            <w:tcW w:w="3488" w:type="pct"/>
            <w:noWrap w:val="0"/>
            <w:vAlign w:val="top"/>
          </w:tcPr>
          <w:p w14:paraId="278E9A77">
            <w:pPr>
              <w:pStyle w:val="112"/>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1、中标人要建立物业管理资料的收集、分类整理、归档管理制度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7"/>
                <w:sz w:val="21"/>
                <w:szCs w:val="21"/>
                <w:highlight w:val="none"/>
              </w:rPr>
              <w:t>准确、及时地对文件资料和服务记录进行归档保存，并确保其物理安</w:t>
            </w:r>
            <w:r>
              <w:rPr>
                <w:rFonts w:hint="eastAsia" w:ascii="宋体" w:hAnsi="宋体" w:eastAsia="宋体" w:cs="宋体"/>
                <w:color w:val="auto"/>
                <w:spacing w:val="-8"/>
                <w:sz w:val="21"/>
                <w:szCs w:val="21"/>
                <w:highlight w:val="none"/>
              </w:rPr>
              <w:t>全。</w:t>
            </w:r>
          </w:p>
        </w:tc>
      </w:tr>
      <w:tr w14:paraId="24F3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1346E03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3B31B93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41FF347D">
            <w:pPr>
              <w:pStyle w:val="112"/>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2、档案盒和记录齐全，包括但不限于：</w:t>
            </w:r>
            <w:r>
              <w:rPr>
                <w:rFonts w:hint="eastAsia" w:ascii="宋体" w:hAnsi="宋体" w:eastAsia="宋体" w:cs="宋体"/>
                <w:b w:val="0"/>
                <w:bCs w:val="0"/>
                <w:color w:val="auto"/>
                <w:kern w:val="0"/>
                <w:sz w:val="21"/>
                <w:szCs w:val="21"/>
                <w:highlight w:val="none"/>
                <w:lang w:val="en-US" w:eastAsia="zh-CN"/>
              </w:rPr>
              <w:t>①采购人建议与投诉等。教育培训和考核记录。保密、思想政治教育培训记录。②房屋维护服务：房屋台账、使用说明、房屋装修、维保记录等。③公用设施设备维护服务：设备台账、设备卡、使用说明、维保记录、巡查记录、</w:t>
            </w:r>
            <w:r>
              <w:rPr>
                <w:rFonts w:hint="eastAsia" w:ascii="宋体" w:hAnsi="宋体" w:eastAsia="宋体" w:cs="宋体"/>
                <w:color w:val="auto"/>
                <w:kern w:val="0"/>
                <w:sz w:val="21"/>
                <w:szCs w:val="21"/>
                <w:highlight w:val="none"/>
              </w:rPr>
              <w:t>设施设备安全运行、设施设备定期巡检、维护保养、维修档案</w:t>
            </w:r>
            <w:r>
              <w:rPr>
                <w:rFonts w:hint="eastAsia" w:ascii="宋体" w:hAnsi="宋体" w:eastAsia="宋体" w:cs="宋体"/>
                <w:b w:val="0"/>
                <w:bCs w:val="0"/>
                <w:color w:val="auto"/>
                <w:kern w:val="0"/>
                <w:sz w:val="21"/>
                <w:szCs w:val="21"/>
                <w:highlight w:val="none"/>
                <w:lang w:val="en-US" w:eastAsia="zh-CN"/>
              </w:rPr>
              <w:t>等。④保安服务：监控记录、突发事件演习与处置记录等。⑤保洁服务：工作日志、清洁检查表、用品清单、客户反馈表等。⑥绿化服务：绿化总平面图、清洁整改记录、消杀记录等。⑦其他：客户信息、财务明细、合同协议、信报信息登记、大件物品进出登记等。</w:t>
            </w:r>
            <w:r>
              <w:rPr>
                <w:rFonts w:hint="eastAsia" w:ascii="宋体" w:hAnsi="宋体" w:eastAsia="宋体" w:cs="宋体"/>
                <w:color w:val="auto"/>
                <w:spacing w:val="-4"/>
                <w:sz w:val="21"/>
                <w:szCs w:val="21"/>
                <w:highlight w:val="none"/>
              </w:rPr>
              <w:t>遵守采购人的信息、档案资</w:t>
            </w:r>
            <w:r>
              <w:rPr>
                <w:rFonts w:hint="eastAsia" w:ascii="宋体" w:hAnsi="宋体" w:eastAsia="宋体" w:cs="宋体"/>
                <w:color w:val="auto"/>
                <w:spacing w:val="-7"/>
                <w:sz w:val="21"/>
                <w:szCs w:val="21"/>
                <w:highlight w:val="none"/>
              </w:rPr>
              <w:t>料保密要求，未经许可，不得将建筑物平面图等资料转作其他用途或</w:t>
            </w:r>
            <w:r>
              <w:rPr>
                <w:rFonts w:hint="eastAsia" w:ascii="宋体" w:hAnsi="宋体" w:eastAsia="宋体" w:cs="宋体"/>
                <w:color w:val="auto"/>
                <w:spacing w:val="-3"/>
                <w:sz w:val="21"/>
                <w:szCs w:val="21"/>
                <w:highlight w:val="none"/>
              </w:rPr>
              <w:t>向其他单位、个人提供。</w:t>
            </w:r>
          </w:p>
        </w:tc>
      </w:tr>
      <w:tr w14:paraId="508A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restart"/>
            <w:noWrap w:val="0"/>
            <w:vAlign w:val="center"/>
          </w:tcPr>
          <w:p w14:paraId="36C44F2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994" w:type="pct"/>
            <w:vMerge w:val="restart"/>
            <w:noWrap w:val="0"/>
            <w:vAlign w:val="center"/>
          </w:tcPr>
          <w:p w14:paraId="5165CF1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服务改进</w:t>
            </w:r>
          </w:p>
        </w:tc>
        <w:tc>
          <w:tcPr>
            <w:tcW w:w="3488" w:type="pct"/>
            <w:noWrap w:val="0"/>
            <w:vAlign w:val="top"/>
          </w:tcPr>
          <w:p w14:paraId="4739234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1、采购人对岗位设置、人员选用与日常管理具有指导、检查、监督权及协调权。</w:t>
            </w:r>
          </w:p>
        </w:tc>
      </w:tr>
      <w:tr w14:paraId="0E67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7D9C434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36855C5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3339C097">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2、中标人须按采购人要求和标书、合同约定开展，高效、保质、保量完成各（类）项物业管理、服务、保障工作，确保各办公场所正常、安全运行。</w:t>
            </w:r>
          </w:p>
        </w:tc>
      </w:tr>
      <w:tr w14:paraId="2969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0206A9B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6FB9CCE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4FD237E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3、对不合格服务进行控制，对不合格服务原因进行分析，及时采取纠正措施，消除不合格原因，不合格不再发生。</w:t>
            </w:r>
          </w:p>
        </w:tc>
      </w:tr>
      <w:tr w14:paraId="7352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5564FCE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391C439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26C21379">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4、需整改问题及时整改完成。</w:t>
            </w:r>
          </w:p>
        </w:tc>
      </w:tr>
      <w:tr w14:paraId="2FF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restart"/>
            <w:noWrap w:val="0"/>
            <w:vAlign w:val="center"/>
          </w:tcPr>
          <w:p w14:paraId="2204C95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994" w:type="pct"/>
            <w:vMerge w:val="restart"/>
            <w:noWrap w:val="0"/>
            <w:vAlign w:val="center"/>
          </w:tcPr>
          <w:p w14:paraId="58885CE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重大活动后期保障</w:t>
            </w:r>
          </w:p>
        </w:tc>
        <w:tc>
          <w:tcPr>
            <w:tcW w:w="3488" w:type="pct"/>
            <w:noWrap w:val="0"/>
            <w:vAlign w:val="top"/>
          </w:tcPr>
          <w:p w14:paraId="7ACE3449">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1、制定流程。配合采购人制定重大活动后期保障工作流程。</w:t>
            </w:r>
          </w:p>
        </w:tc>
      </w:tr>
      <w:tr w14:paraId="545C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49DFC04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168B2B5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1E232E1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2、实施保障。按计划在关键区域和重大部位进行部署，确保任务顺利完成。对活动区域进行全面安全检查，发现并排除安全隐患。</w:t>
            </w:r>
          </w:p>
        </w:tc>
      </w:tr>
      <w:tr w14:paraId="2AB7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15AFB9B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727020A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44E85F81">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3、收尾工作。对现场进行检查，做好清理工作。</w:t>
            </w:r>
          </w:p>
        </w:tc>
      </w:tr>
      <w:tr w14:paraId="44AF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restart"/>
            <w:noWrap w:val="0"/>
            <w:vAlign w:val="center"/>
          </w:tcPr>
          <w:p w14:paraId="136CC7B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994" w:type="pct"/>
            <w:vMerge w:val="restart"/>
            <w:noWrap w:val="0"/>
            <w:vAlign w:val="center"/>
          </w:tcPr>
          <w:p w14:paraId="3CDF965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应急保障预案</w:t>
            </w:r>
          </w:p>
        </w:tc>
        <w:tc>
          <w:tcPr>
            <w:tcW w:w="3488" w:type="pct"/>
            <w:noWrap w:val="0"/>
            <w:vAlign w:val="top"/>
          </w:tcPr>
          <w:p w14:paraId="25E1E419">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none"/>
                <w:lang w:val="en-US" w:eastAsia="zh-CN"/>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76C6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6A8DC27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6CAB197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0CAC288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2、由于采购人单位性质特殊，有部分属于接待窗口单位。要求投标人具有一定的应急保障能力，具备应对一切有可能遇到的特殊、临时、紧急情况的能力。 面对人民群众。现今社会事件增多，投标人应储备一定的临时抽调支援人员能力，如遇特殊情况可协助采购人现场主持工作。避免出现群体事件。</w:t>
            </w:r>
          </w:p>
        </w:tc>
      </w:tr>
      <w:tr w14:paraId="1411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46B1A03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251AD28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0E6CE613">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3、投标人应做好应急保障工作方案，积极协助采购人处置一切有可能遇到的特殊、临时、紧急情况。 </w:t>
            </w:r>
            <w:r>
              <w:rPr>
                <w:rFonts w:hint="eastAsia" w:ascii="宋体" w:hAnsi="宋体" w:eastAsia="宋体" w:cs="宋体"/>
                <w:color w:val="auto"/>
                <w:sz w:val="21"/>
                <w:szCs w:val="21"/>
                <w:highlight w:val="none"/>
                <w:u w:val="none"/>
                <w:lang w:val="en-US" w:eastAsia="zh-CN"/>
              </w:rPr>
              <w:t>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475F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5D094E4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3BD2AB3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06206A9C">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4、要求投标人至少对本项目投入具有相关急救知识、能力并实操经验在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年或以上的保安员，确保物业区域内无安全责任事故发生，遇到危急突发事故时，能沉稳应对，有一定的抢救知识。 </w:t>
            </w:r>
          </w:p>
        </w:tc>
      </w:tr>
      <w:tr w14:paraId="698C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1602A83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496EE82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336CD0CD">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须针对采购人物业具体情况制定防灾减灾应急预案，包括且不限于台风、暴雨、强对流天气等极端气候影响突发自然灾害，突发公共卫生事件，突发群体性公共安全事件等的应急处置办法。应急响应生效时，中标人需服从采购人总体指挥和要求，根据应急预案迅速响应。</w:t>
            </w:r>
          </w:p>
        </w:tc>
      </w:tr>
      <w:tr w14:paraId="7B4F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22CE6A9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51C95B9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28151A5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6、中标人负责做好辖区内防范各类传染病的各项防疫及应急工作，根据采购人对于传染病等防控工作需要，配合做好消杀工作。 </w:t>
            </w:r>
          </w:p>
        </w:tc>
      </w:tr>
      <w:tr w14:paraId="204B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31E4305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6EC9B0E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48AC4D6D">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7、投标人制定完善的消防应急预案，如若中标，履约期间需按照预案实施，防患于未然，所投入的全体保安员均为义务消防员，建立义务消防队，定期组织保安员消防安全学习教育、训练、演练。 </w:t>
            </w:r>
          </w:p>
        </w:tc>
      </w:tr>
      <w:tr w14:paraId="32F2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restart"/>
            <w:noWrap w:val="0"/>
            <w:vAlign w:val="center"/>
          </w:tcPr>
          <w:p w14:paraId="423AEC6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994" w:type="pct"/>
            <w:vMerge w:val="restart"/>
            <w:noWrap w:val="0"/>
            <w:vAlign w:val="center"/>
          </w:tcPr>
          <w:p w14:paraId="7FEF268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服务方案及工作制度</w:t>
            </w:r>
          </w:p>
        </w:tc>
        <w:tc>
          <w:tcPr>
            <w:tcW w:w="3488" w:type="pct"/>
            <w:noWrap w:val="0"/>
            <w:vAlign w:val="top"/>
          </w:tcPr>
          <w:p w14:paraId="5FD16B2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1、制定工作制度，主要包括：人员录用制度、档案管理制度、物业管理服务制度、公共设施设备管理制度。</w:t>
            </w:r>
          </w:p>
        </w:tc>
      </w:tr>
      <w:tr w14:paraId="54F6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648D983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68FE6CA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5DE975BD">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2、制定项目实施方案，主要包括：人员培训方案、人员稳定性方案、交接方案、保密</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z w:val="21"/>
                <w:szCs w:val="21"/>
                <w:highlight w:val="none"/>
              </w:rPr>
              <w:t>等。</w:t>
            </w:r>
          </w:p>
        </w:tc>
      </w:tr>
      <w:tr w14:paraId="0582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0BADDEF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449F90A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2BD8FF32">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3、制定物业服务方案，主要包括：</w:t>
            </w:r>
            <w:r>
              <w:rPr>
                <w:rFonts w:hint="eastAsia" w:ascii="宋体" w:hAnsi="宋体" w:eastAsia="宋体" w:cs="宋体"/>
                <w:color w:val="auto"/>
                <w:sz w:val="21"/>
                <w:szCs w:val="21"/>
                <w:highlight w:val="none"/>
                <w:lang w:val="zh-CN"/>
              </w:rPr>
              <w:t>物业公共安全、秩序管理、维护及服务；室外绿化养护；环境美化、清洁卫生服务、停车场管理、消防管理；大型活动或会议专项服务及采购人特定需要的其它特约服务等。</w:t>
            </w:r>
          </w:p>
        </w:tc>
      </w:tr>
      <w:tr w14:paraId="42BE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restart"/>
            <w:noWrap w:val="0"/>
            <w:vAlign w:val="center"/>
          </w:tcPr>
          <w:p w14:paraId="6A1D161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994" w:type="pct"/>
            <w:vMerge w:val="restart"/>
            <w:noWrap w:val="0"/>
            <w:vAlign w:val="center"/>
          </w:tcPr>
          <w:p w14:paraId="1389E86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信报服务</w:t>
            </w:r>
          </w:p>
        </w:tc>
        <w:tc>
          <w:tcPr>
            <w:tcW w:w="3488" w:type="pct"/>
            <w:noWrap w:val="0"/>
            <w:vAlign w:val="top"/>
          </w:tcPr>
          <w:p w14:paraId="4686544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1、来信及涉及法律效力信件、函件均由物业方通知采购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相关人员签收，不得擅自签收具体法律效力信件，否则责任由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w:t>
            </w:r>
          </w:p>
        </w:tc>
      </w:tr>
      <w:tr w14:paraId="1B45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6BBAA26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33D57A3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438EE839">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2、报刊的收发要及时、准确，无错发漏发。</w:t>
            </w:r>
          </w:p>
        </w:tc>
      </w:tr>
      <w:tr w14:paraId="1D3E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5D46C71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713576B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2258DB7C">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3、收发的各类重要刊物要认真做好登记，并及时通知相关人员签收。</w:t>
            </w:r>
          </w:p>
        </w:tc>
      </w:tr>
      <w:tr w14:paraId="6AE6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6D69A81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0FC0E1E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02D682C3">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4、做好信件刊物的管理工作，做到无信件丢失，无私拆信件邮件。</w:t>
            </w:r>
          </w:p>
        </w:tc>
      </w:tr>
      <w:tr w14:paraId="5C8E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71415DB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4" w:type="pct"/>
            <w:vMerge w:val="continue"/>
            <w:noWrap w:val="0"/>
            <w:vAlign w:val="center"/>
          </w:tcPr>
          <w:p w14:paraId="2A3BFF0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488" w:type="pct"/>
            <w:noWrap w:val="0"/>
            <w:vAlign w:val="top"/>
          </w:tcPr>
          <w:p w14:paraId="7F84D670">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5、严格执行保密制度。</w:t>
            </w:r>
          </w:p>
        </w:tc>
      </w:tr>
      <w:tr w14:paraId="481E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restart"/>
            <w:noWrap w:val="0"/>
            <w:vAlign w:val="center"/>
          </w:tcPr>
          <w:p w14:paraId="7E5061E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94" w:type="pct"/>
            <w:vMerge w:val="restart"/>
            <w:noWrap w:val="0"/>
            <w:vAlign w:val="center"/>
          </w:tcPr>
          <w:p w14:paraId="3038FFB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服务热线及紧急维修</w:t>
            </w:r>
          </w:p>
        </w:tc>
        <w:tc>
          <w:tcPr>
            <w:tcW w:w="3488" w:type="pct"/>
            <w:noWrap w:val="0"/>
            <w:vAlign w:val="top"/>
          </w:tcPr>
          <w:p w14:paraId="54789E27">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1、建立物业管理服务受理台(服务管家热线),统一指挥调度并跟踪记录完成情况，实行一站式物业管理服务。设置24小时服务热线。</w:t>
            </w:r>
          </w:p>
        </w:tc>
      </w:tr>
      <w:tr w14:paraId="3B10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6" w:type="pct"/>
            <w:vMerge w:val="continue"/>
            <w:noWrap w:val="0"/>
            <w:vAlign w:val="center"/>
          </w:tcPr>
          <w:p w14:paraId="00C3D30F">
            <w:pPr>
              <w:keepNext w:val="0"/>
              <w:keepLines w:val="0"/>
              <w:pageBreakBefore w:val="0"/>
              <w:wordWrap/>
              <w:topLinePunct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p>
        </w:tc>
        <w:tc>
          <w:tcPr>
            <w:tcW w:w="994" w:type="pct"/>
            <w:vMerge w:val="continue"/>
            <w:noWrap w:val="0"/>
            <w:vAlign w:val="top"/>
          </w:tcPr>
          <w:p w14:paraId="2E324F67">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p>
        </w:tc>
        <w:tc>
          <w:tcPr>
            <w:tcW w:w="3488" w:type="pct"/>
            <w:noWrap w:val="0"/>
            <w:vAlign w:val="top"/>
          </w:tcPr>
          <w:p w14:paraId="6997AA2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2、投标人应做好应急保障工作，积极协助采购人面对一切有可能遇到的特殊、临时、紧急情况，</w:t>
            </w:r>
            <w:r>
              <w:rPr>
                <w:rFonts w:hint="eastAsia" w:ascii="宋体" w:hAnsi="宋体" w:eastAsia="宋体" w:cs="宋体"/>
                <w:color w:val="auto"/>
                <w:sz w:val="21"/>
                <w:szCs w:val="21"/>
                <w:highlight w:val="none"/>
                <w:lang w:eastAsia="zh-CN"/>
              </w:rPr>
              <w:t>紧急维修应当</w:t>
            </w:r>
            <w:r>
              <w:rPr>
                <w:rFonts w:hint="eastAsia" w:ascii="宋体" w:hAnsi="宋体" w:eastAsia="宋体" w:cs="宋体"/>
                <w:color w:val="auto"/>
                <w:sz w:val="21"/>
                <w:szCs w:val="21"/>
                <w:highlight w:val="none"/>
                <w:lang w:val="en-US" w:eastAsia="zh-CN"/>
              </w:rPr>
              <w:t>15分钟内到达现场，不间断维修直至修复。</w:t>
            </w:r>
            <w:r>
              <w:rPr>
                <w:rFonts w:hint="eastAsia" w:ascii="宋体" w:hAnsi="宋体" w:eastAsia="宋体" w:cs="宋体"/>
                <w:color w:val="auto"/>
                <w:sz w:val="21"/>
                <w:szCs w:val="21"/>
                <w:highlight w:val="none"/>
              </w:rPr>
              <w:t>对于临时紧急情况，要求投标人应具备在30分钟内（含）能调配周边资源调动至少</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人的服务团队到达项目主要实施地（</w:t>
            </w:r>
            <w:r>
              <w:rPr>
                <w:rFonts w:hint="eastAsia" w:ascii="宋体" w:hAnsi="宋体" w:eastAsia="宋体" w:cs="宋体"/>
                <w:color w:val="auto"/>
                <w:sz w:val="21"/>
                <w:szCs w:val="21"/>
                <w:highlight w:val="none"/>
                <w:lang w:eastAsia="zh-CN"/>
              </w:rPr>
              <w:t>梅华西办公区</w:t>
            </w:r>
            <w:r>
              <w:rPr>
                <w:rFonts w:hint="eastAsia" w:ascii="宋体" w:hAnsi="宋体" w:eastAsia="宋体" w:cs="宋体"/>
                <w:color w:val="auto"/>
                <w:sz w:val="21"/>
                <w:szCs w:val="21"/>
                <w:highlight w:val="none"/>
              </w:rPr>
              <w:t>）的支援能力。</w:t>
            </w:r>
          </w:p>
        </w:tc>
      </w:tr>
    </w:tbl>
    <w:p w14:paraId="6C7008FF">
      <w:pPr>
        <w:pStyle w:val="33"/>
        <w:keepNext w:val="0"/>
        <w:keepLines w:val="0"/>
        <w:pageBreakBefore w:val="0"/>
        <w:shd w:val="clear" w:color="auto" w:fill="FFFFFF"/>
        <w:wordWrap/>
        <w:topLinePunct w:val="0"/>
        <w:bidi w:val="0"/>
        <w:adjustRightInd/>
        <w:spacing w:before="0" w:beforeAutospacing="0" w:after="0" w:afterAutospacing="0" w:line="240" w:lineRule="auto"/>
        <w:ind w:left="0" w:leftChars="0" w:right="0" w:firstLine="454" w:firstLineChars="200"/>
        <w:jc w:val="both"/>
        <w:outlineLvl w:val="4"/>
        <w:rPr>
          <w:rStyle w:val="40"/>
          <w:rFonts w:hint="eastAsia" w:ascii="宋体" w:hAnsi="宋体" w:eastAsia="宋体" w:cs="宋体"/>
          <w:color w:val="auto"/>
          <w:spacing w:val="8"/>
          <w:sz w:val="21"/>
          <w:szCs w:val="21"/>
          <w:highlight w:val="none"/>
          <w:shd w:val="clear" w:color="auto" w:fill="FFFFFF"/>
        </w:rPr>
      </w:pPr>
      <w:r>
        <w:rPr>
          <w:rStyle w:val="40"/>
          <w:rFonts w:hint="eastAsia" w:ascii="宋体" w:hAnsi="宋体" w:eastAsia="宋体" w:cs="宋体"/>
          <w:color w:val="auto"/>
          <w:spacing w:val="8"/>
          <w:sz w:val="21"/>
          <w:szCs w:val="21"/>
          <w:highlight w:val="none"/>
          <w:shd w:val="clear" w:color="auto" w:fill="FFFFFF"/>
        </w:rPr>
        <w:t>3.2公用设施设备维护服务</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31"/>
        <w:gridCol w:w="6134"/>
      </w:tblGrid>
      <w:tr w14:paraId="3902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noWrap w:val="0"/>
            <w:vAlign w:val="center"/>
          </w:tcPr>
          <w:p w14:paraId="1E68069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958" w:type="pct"/>
            <w:noWrap w:val="0"/>
            <w:vAlign w:val="center"/>
          </w:tcPr>
          <w:p w14:paraId="141CE09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w:t>
            </w:r>
          </w:p>
        </w:tc>
        <w:tc>
          <w:tcPr>
            <w:tcW w:w="3602" w:type="pct"/>
            <w:noWrap w:val="0"/>
            <w:vAlign w:val="center"/>
          </w:tcPr>
          <w:p w14:paraId="00B0513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服务标准</w:t>
            </w:r>
          </w:p>
        </w:tc>
      </w:tr>
      <w:tr w14:paraId="1D8F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restart"/>
            <w:noWrap w:val="0"/>
            <w:vAlign w:val="center"/>
          </w:tcPr>
          <w:p w14:paraId="66AD191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58" w:type="pct"/>
            <w:vMerge w:val="restart"/>
            <w:noWrap w:val="0"/>
            <w:vAlign w:val="center"/>
          </w:tcPr>
          <w:p w14:paraId="600C0A3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w:t>
            </w:r>
          </w:p>
        </w:tc>
        <w:tc>
          <w:tcPr>
            <w:tcW w:w="3602" w:type="pct"/>
            <w:noWrap w:val="0"/>
            <w:vAlign w:val="center"/>
          </w:tcPr>
          <w:p w14:paraId="6359739C">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1、重大节假日及恶劣天气前后，组织系统巡检1次。</w:t>
            </w:r>
          </w:p>
        </w:tc>
      </w:tr>
      <w:tr w14:paraId="6D56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63BEA5A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58" w:type="pct"/>
            <w:vMerge w:val="continue"/>
            <w:noWrap w:val="0"/>
            <w:vAlign w:val="center"/>
          </w:tcPr>
          <w:p w14:paraId="304E321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02" w:type="pct"/>
            <w:noWrap w:val="0"/>
            <w:vAlign w:val="center"/>
          </w:tcPr>
          <w:p w14:paraId="073E1219">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2、具备设施设备安全、稳定运行的环境和场所(含有限空间) 。</w:t>
            </w:r>
          </w:p>
        </w:tc>
      </w:tr>
      <w:tr w14:paraId="1F98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restart"/>
            <w:noWrap w:val="0"/>
            <w:vAlign w:val="center"/>
          </w:tcPr>
          <w:p w14:paraId="61DEDAB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58" w:type="pct"/>
            <w:vMerge w:val="restart"/>
            <w:noWrap w:val="0"/>
            <w:vAlign w:val="center"/>
          </w:tcPr>
          <w:p w14:paraId="3255BBE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给排水系统</w:t>
            </w:r>
          </w:p>
        </w:tc>
        <w:tc>
          <w:tcPr>
            <w:tcW w:w="3602" w:type="pct"/>
            <w:noWrap w:val="0"/>
            <w:vAlign w:val="center"/>
          </w:tcPr>
          <w:p w14:paraId="53F64D5B">
            <w:pPr>
              <w:pStyle w:val="113"/>
              <w:keepNext w:val="0"/>
              <w:keepLines w:val="0"/>
              <w:pageBreakBefore w:val="0"/>
              <w:numPr>
                <w:ilvl w:val="0"/>
                <w:numId w:val="0"/>
              </w:numPr>
              <w:tabs>
                <w:tab w:val="left" w:pos="1046"/>
              </w:tabs>
              <w:wordWrap/>
              <w:topLinePunct w:val="0"/>
              <w:bidi w:val="0"/>
              <w:adjustRightInd/>
              <w:spacing w:beforeAutospacing="0" w:afterAutospacing="0" w:line="24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rPr>
              <w:t>给水系统</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4"/>
                <w:sz w:val="21"/>
                <w:szCs w:val="21"/>
                <w:highlight w:val="none"/>
              </w:rPr>
              <w:t>日常维护水泵运行无异响，无异常震动。水泵轴无滴漏，盘根接合器处无积油泥，各阀门无</w:t>
            </w:r>
            <w:r>
              <w:rPr>
                <w:rFonts w:hint="eastAsia" w:ascii="宋体" w:hAnsi="宋体" w:eastAsia="宋体" w:cs="宋体"/>
                <w:color w:val="auto"/>
                <w:spacing w:val="-2"/>
                <w:sz w:val="21"/>
                <w:szCs w:val="21"/>
                <w:highlight w:val="none"/>
              </w:rPr>
              <w:t>生锈，运作正常可靠。</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3"/>
                <w:sz w:val="21"/>
                <w:szCs w:val="21"/>
                <w:highlight w:val="none"/>
              </w:rPr>
              <w:t>每周至少对供水设备检查</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8"/>
                <w:sz w:val="21"/>
                <w:szCs w:val="21"/>
                <w:highlight w:val="none"/>
              </w:rPr>
              <w:t xml:space="preserve">次；每年至少对生活水箱清洗消毒 </w:t>
            </w:r>
            <w:r>
              <w:rPr>
                <w:rFonts w:hint="eastAsia" w:ascii="宋体" w:hAnsi="宋体" w:eastAsia="宋体" w:cs="宋体"/>
                <w:color w:val="auto"/>
                <w:sz w:val="21"/>
                <w:szCs w:val="21"/>
                <w:highlight w:val="none"/>
              </w:rPr>
              <w:t>1</w:t>
            </w:r>
            <w:r>
              <w:rPr>
                <w:rFonts w:hint="eastAsia" w:ascii="宋体" w:hAnsi="宋体" w:eastAsia="宋体" w:cs="宋体"/>
                <w:color w:val="auto"/>
                <w:spacing w:val="-6"/>
                <w:sz w:val="21"/>
                <w:szCs w:val="21"/>
                <w:highlight w:val="none"/>
              </w:rPr>
              <w:t xml:space="preserve"> 次。清洗单位及清洗人员</w:t>
            </w:r>
            <w:r>
              <w:rPr>
                <w:rFonts w:hint="eastAsia" w:ascii="宋体" w:hAnsi="宋体" w:eastAsia="宋体" w:cs="宋体"/>
                <w:color w:val="auto"/>
                <w:spacing w:val="-2"/>
                <w:sz w:val="21"/>
                <w:szCs w:val="21"/>
                <w:highlight w:val="none"/>
              </w:rPr>
              <w:t xml:space="preserve">应有相应资质，水质应符合 </w:t>
            </w:r>
            <w:r>
              <w:rPr>
                <w:rFonts w:hint="eastAsia" w:ascii="宋体" w:hAnsi="宋体" w:eastAsia="宋体" w:cs="宋体"/>
                <w:color w:val="auto"/>
                <w:sz w:val="21"/>
                <w:szCs w:val="21"/>
                <w:highlight w:val="none"/>
              </w:rPr>
              <w:t>GB 5749-2022</w:t>
            </w:r>
            <w:r>
              <w:rPr>
                <w:rFonts w:hint="eastAsia" w:ascii="宋体" w:hAnsi="宋体" w:eastAsia="宋体" w:cs="宋体"/>
                <w:color w:val="auto"/>
                <w:spacing w:val="-4"/>
                <w:sz w:val="21"/>
                <w:szCs w:val="21"/>
                <w:highlight w:val="none"/>
              </w:rPr>
              <w:t xml:space="preserve"> 的要求，并委托有资质的检测机构进行检测。</w:t>
            </w:r>
          </w:p>
        </w:tc>
      </w:tr>
      <w:tr w14:paraId="6084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06E36D8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58" w:type="pct"/>
            <w:vMerge w:val="continue"/>
            <w:noWrap w:val="0"/>
            <w:vAlign w:val="center"/>
          </w:tcPr>
          <w:p w14:paraId="732C9D5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02" w:type="pct"/>
            <w:noWrap w:val="0"/>
            <w:vAlign w:val="center"/>
          </w:tcPr>
          <w:p w14:paraId="282DA6DF">
            <w:pPr>
              <w:pStyle w:val="113"/>
              <w:keepNext w:val="0"/>
              <w:keepLines w:val="0"/>
              <w:pageBreakBefore w:val="0"/>
              <w:numPr>
                <w:ilvl w:val="0"/>
                <w:numId w:val="0"/>
              </w:numPr>
              <w:tabs>
                <w:tab w:val="left" w:pos="1046"/>
              </w:tabs>
              <w:wordWrap/>
              <w:topLinePunct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排水系统</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经常检查下水管道、水沟运行正常，无雨污错接、混流。排水检查井、化粪池和隔油池（间）等排水预处理设施、地漏无堵塞、无淤积。各种井盖面板完好，各种警示安全提示标识齐全，安装牢固。</w:t>
            </w:r>
          </w:p>
        </w:tc>
      </w:tr>
      <w:tr w14:paraId="571F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restart"/>
            <w:noWrap w:val="0"/>
            <w:vAlign w:val="center"/>
          </w:tcPr>
          <w:p w14:paraId="6716197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58" w:type="pct"/>
            <w:vMerge w:val="restart"/>
            <w:noWrap w:val="0"/>
            <w:vAlign w:val="center"/>
          </w:tcPr>
          <w:p w14:paraId="146073D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消防系统</w:t>
            </w:r>
          </w:p>
        </w:tc>
        <w:tc>
          <w:tcPr>
            <w:tcW w:w="3602" w:type="pct"/>
            <w:noWrap w:val="0"/>
            <w:vAlign w:val="center"/>
          </w:tcPr>
          <w:p w14:paraId="5AF799DA">
            <w:pPr>
              <w:pStyle w:val="90"/>
              <w:keepNext w:val="0"/>
              <w:keepLines w:val="0"/>
              <w:pageBreakBefore w:val="0"/>
              <w:tabs>
                <w:tab w:val="left" w:pos="1433"/>
              </w:tabs>
              <w:wordWrap/>
              <w:topLinePunct w:val="0"/>
              <w:bidi w:val="0"/>
              <w:adjustRightInd/>
              <w:spacing w:beforeAutospacing="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1、建立健全各项消防管理制度。</w:t>
            </w:r>
          </w:p>
        </w:tc>
      </w:tr>
      <w:tr w14:paraId="74E2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69770C5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58" w:type="pct"/>
            <w:vMerge w:val="continue"/>
            <w:noWrap w:val="0"/>
            <w:vAlign w:val="center"/>
          </w:tcPr>
          <w:p w14:paraId="7EBB946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02" w:type="pct"/>
            <w:noWrap w:val="0"/>
            <w:vAlign w:val="center"/>
          </w:tcPr>
          <w:p w14:paraId="4CCBA18C">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2、物业区域内消防设备和器材，任何人不得擅自改动、挪用，做好物业区域内消防重点位置的日常消防巡查工作。</w:t>
            </w:r>
          </w:p>
        </w:tc>
      </w:tr>
      <w:tr w14:paraId="6AB7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15ED75C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58" w:type="pct"/>
            <w:vMerge w:val="continue"/>
            <w:noWrap w:val="0"/>
            <w:vAlign w:val="center"/>
          </w:tcPr>
          <w:p w14:paraId="14E1967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02" w:type="pct"/>
            <w:noWrap w:val="0"/>
            <w:vAlign w:val="center"/>
          </w:tcPr>
          <w:p w14:paraId="688A8460">
            <w:pPr>
              <w:pStyle w:val="90"/>
              <w:keepNext w:val="0"/>
              <w:keepLines w:val="0"/>
              <w:pageBreakBefore w:val="0"/>
              <w:tabs>
                <w:tab w:val="left" w:pos="1433"/>
              </w:tabs>
              <w:wordWrap/>
              <w:topLinePunct w:val="0"/>
              <w:bidi w:val="0"/>
              <w:adjustRightInd/>
              <w:spacing w:beforeAutospacing="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3、楼梯、走道和出口保持畅通无阻，任何人不得占用或封堵。</w:t>
            </w:r>
          </w:p>
        </w:tc>
      </w:tr>
      <w:tr w14:paraId="7BF4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300AAE6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58" w:type="pct"/>
            <w:vMerge w:val="continue"/>
            <w:noWrap w:val="0"/>
            <w:vAlign w:val="center"/>
          </w:tcPr>
          <w:p w14:paraId="5657AD0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02" w:type="pct"/>
            <w:noWrap w:val="0"/>
            <w:vAlign w:val="top"/>
          </w:tcPr>
          <w:p w14:paraId="12DAEED9">
            <w:pPr>
              <w:pStyle w:val="90"/>
              <w:keepNext w:val="0"/>
              <w:keepLines w:val="0"/>
              <w:pageBreakBefore w:val="0"/>
              <w:tabs>
                <w:tab w:val="left" w:pos="1433"/>
              </w:tabs>
              <w:wordWrap/>
              <w:topLinePunct w:val="0"/>
              <w:bidi w:val="0"/>
              <w:adjustRightInd/>
              <w:spacing w:beforeAutospacing="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4、严禁防范任何易燃、易爆物品和枪支弹药带入机关。如有发现，及时报告采购人后勤管理部门妥善处置。</w:t>
            </w:r>
          </w:p>
        </w:tc>
      </w:tr>
      <w:tr w14:paraId="7130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4D10249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58" w:type="pct"/>
            <w:vMerge w:val="continue"/>
            <w:noWrap w:val="0"/>
            <w:vAlign w:val="center"/>
          </w:tcPr>
          <w:p w14:paraId="2CDE700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02" w:type="pct"/>
            <w:noWrap w:val="0"/>
            <w:vAlign w:val="top"/>
          </w:tcPr>
          <w:p w14:paraId="3BC0259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5、不得在物业区域内燃烧废纸、废物，禁止将燃烧的烟头和其它火种丢在地面或垃圾桶内。</w:t>
            </w:r>
          </w:p>
        </w:tc>
      </w:tr>
      <w:tr w14:paraId="3D61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16EE337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58" w:type="pct"/>
            <w:vMerge w:val="continue"/>
            <w:noWrap w:val="0"/>
            <w:vAlign w:val="center"/>
          </w:tcPr>
          <w:p w14:paraId="7940F68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02" w:type="pct"/>
            <w:noWrap w:val="0"/>
            <w:vAlign w:val="top"/>
          </w:tcPr>
          <w:p w14:paraId="653AFCF0">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6、需进行用火作业时须先向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提出书面申请，待批准后方可进行，烧焊人员须持证操作，并在有安全管理人员监控的情况下作业。</w:t>
            </w:r>
          </w:p>
        </w:tc>
      </w:tr>
      <w:tr w14:paraId="33BF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782C2DB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58" w:type="pct"/>
            <w:vMerge w:val="continue"/>
            <w:noWrap w:val="0"/>
            <w:vAlign w:val="center"/>
          </w:tcPr>
          <w:p w14:paraId="7F2A366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02" w:type="pct"/>
            <w:noWrap w:val="0"/>
            <w:vAlign w:val="top"/>
          </w:tcPr>
          <w:p w14:paraId="417F5AD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7、每月配合专业机构对物业区域内的消防设施、设备全面检查一次，对存在的问题，报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整改。</w:t>
            </w:r>
          </w:p>
        </w:tc>
      </w:tr>
      <w:tr w14:paraId="18EE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6F4DBF7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58" w:type="pct"/>
            <w:vMerge w:val="continue"/>
            <w:noWrap w:val="0"/>
            <w:vAlign w:val="center"/>
          </w:tcPr>
          <w:p w14:paraId="0A51565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02" w:type="pct"/>
            <w:noWrap w:val="0"/>
            <w:vAlign w:val="top"/>
          </w:tcPr>
          <w:p w14:paraId="6154579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8、每年协助</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安排</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一次消防模拟演习，制定《消防演习方案》。</w:t>
            </w:r>
          </w:p>
        </w:tc>
      </w:tr>
      <w:tr w14:paraId="13F0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67FF97C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58" w:type="pct"/>
            <w:vMerge w:val="continue"/>
            <w:noWrap w:val="0"/>
            <w:vAlign w:val="center"/>
          </w:tcPr>
          <w:p w14:paraId="5B1C67C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02" w:type="pct"/>
            <w:noWrap w:val="0"/>
            <w:vAlign w:val="top"/>
          </w:tcPr>
          <w:p w14:paraId="7BFEDF01">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消防系统开展每月一次巡检和维护，包括但不限于</w:t>
            </w:r>
            <w:r>
              <w:rPr>
                <w:rFonts w:hint="eastAsia" w:ascii="宋体" w:hAnsi="宋体" w:eastAsia="宋体" w:cs="宋体"/>
                <w:color w:val="auto"/>
                <w:sz w:val="21"/>
                <w:szCs w:val="21"/>
                <w:highlight w:val="none"/>
              </w:rPr>
              <w:t>火灾自动报统、消火栓系统、自动喷水灭火系统、防排烟系统、防火门系统、防火卷帘系统，应急照明及疏散指示系统、消防广播及消防电话系统、气体灭火系统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对日常故障及时赶赴现场配合设备维修和系统恢复，保障设备的稳定运行，配合做好消防技术咨询服务等工作。以及每年一次对珠海</w:t>
            </w:r>
            <w:r>
              <w:rPr>
                <w:rFonts w:hint="eastAsia" w:ascii="宋体" w:hAnsi="宋体" w:eastAsia="宋体" w:cs="宋体"/>
                <w:color w:val="auto"/>
                <w:sz w:val="21"/>
                <w:szCs w:val="21"/>
                <w:highlight w:val="none"/>
              </w:rPr>
              <w:t>市税务局</w:t>
            </w:r>
            <w:r>
              <w:rPr>
                <w:rFonts w:hint="eastAsia" w:ascii="宋体" w:hAnsi="宋体" w:eastAsia="宋体" w:cs="宋体"/>
                <w:color w:val="auto"/>
                <w:sz w:val="21"/>
                <w:szCs w:val="21"/>
                <w:highlight w:val="none"/>
                <w:lang w:val="en-US" w:eastAsia="zh-CN"/>
              </w:rPr>
              <w:t>梅华西办公区消防系统进行全面检测工作，并出具检测报告。</w:t>
            </w:r>
          </w:p>
        </w:tc>
      </w:tr>
      <w:tr w14:paraId="24FA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noWrap w:val="0"/>
            <w:vAlign w:val="center"/>
          </w:tcPr>
          <w:p w14:paraId="66D9FBF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58" w:type="pct"/>
            <w:noWrap w:val="0"/>
            <w:vAlign w:val="top"/>
          </w:tcPr>
          <w:p w14:paraId="642A9219">
            <w:pPr>
              <w:pStyle w:val="112"/>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pacing w:val="0"/>
                <w:kern w:val="2"/>
                <w:sz w:val="21"/>
                <w:szCs w:val="21"/>
                <w:highlight w:val="none"/>
                <w:lang w:eastAsia="zh-CN"/>
              </w:rPr>
            </w:pPr>
          </w:p>
          <w:p w14:paraId="1F8C13AF">
            <w:pPr>
              <w:pStyle w:val="112"/>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kern w:val="0"/>
                <w:sz w:val="21"/>
                <w:szCs w:val="21"/>
                <w:highlight w:val="none"/>
                <w:lang w:val="en-US" w:eastAsia="en-US" w:bidi="ar-SA"/>
              </w:rPr>
            </w:pPr>
            <w:r>
              <w:rPr>
                <w:rFonts w:hint="eastAsia" w:ascii="宋体" w:hAnsi="宋体" w:eastAsia="宋体" w:cs="宋体"/>
                <w:color w:val="auto"/>
                <w:spacing w:val="0"/>
                <w:kern w:val="2"/>
                <w:sz w:val="21"/>
                <w:szCs w:val="21"/>
                <w:highlight w:val="none"/>
                <w:lang w:eastAsia="zh-CN"/>
              </w:rPr>
              <w:t>生活水池</w:t>
            </w:r>
          </w:p>
        </w:tc>
        <w:tc>
          <w:tcPr>
            <w:tcW w:w="3602" w:type="pct"/>
            <w:noWrap w:val="0"/>
            <w:vAlign w:val="top"/>
          </w:tcPr>
          <w:p w14:paraId="3ED45C5E">
            <w:pPr>
              <w:pStyle w:val="112"/>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kern w:val="0"/>
                <w:sz w:val="21"/>
                <w:szCs w:val="21"/>
                <w:highlight w:val="none"/>
                <w:lang w:val="en-US" w:eastAsia="en-US" w:bidi="ar-SA"/>
              </w:rPr>
            </w:pPr>
            <w:r>
              <w:rPr>
                <w:rFonts w:hint="eastAsia" w:ascii="宋体" w:hAnsi="宋体" w:eastAsia="宋体" w:cs="宋体"/>
                <w:color w:val="auto"/>
                <w:spacing w:val="-6"/>
                <w:sz w:val="21"/>
                <w:szCs w:val="21"/>
                <w:highlight w:val="none"/>
                <w:lang w:eastAsia="zh-CN"/>
              </w:rPr>
              <w:t>每年不少于</w:t>
            </w:r>
            <w:r>
              <w:rPr>
                <w:rFonts w:hint="eastAsia" w:ascii="宋体" w:hAnsi="宋体" w:eastAsia="宋体" w:cs="宋体"/>
                <w:color w:val="auto"/>
                <w:spacing w:val="-6"/>
                <w:sz w:val="21"/>
                <w:szCs w:val="21"/>
                <w:highlight w:val="none"/>
                <w:lang w:val="en-US" w:eastAsia="zh-CN"/>
              </w:rPr>
              <w:t>1次</w:t>
            </w:r>
            <w:r>
              <w:rPr>
                <w:rFonts w:hint="eastAsia" w:ascii="宋体" w:hAnsi="宋体" w:eastAsia="宋体" w:cs="宋体"/>
                <w:color w:val="auto"/>
                <w:spacing w:val="-6"/>
                <w:sz w:val="21"/>
                <w:szCs w:val="21"/>
                <w:highlight w:val="none"/>
              </w:rPr>
              <w:t>对生活水池进行清洗消毒，按规定做好生活用水的处理，确保生活饮用水符合国家规定的标准和要求</w:t>
            </w:r>
            <w:r>
              <w:rPr>
                <w:rFonts w:hint="eastAsia" w:ascii="宋体" w:hAnsi="宋体" w:eastAsia="宋体" w:cs="宋体"/>
                <w:color w:val="auto"/>
                <w:spacing w:val="-7"/>
                <w:sz w:val="21"/>
                <w:szCs w:val="21"/>
                <w:highlight w:val="none"/>
              </w:rPr>
              <w:t>，确保消</w:t>
            </w:r>
            <w:r>
              <w:rPr>
                <w:rFonts w:hint="eastAsia" w:ascii="宋体" w:hAnsi="宋体" w:eastAsia="宋体" w:cs="宋体"/>
                <w:color w:val="auto"/>
                <w:spacing w:val="-3"/>
                <w:sz w:val="21"/>
                <w:szCs w:val="21"/>
                <w:highlight w:val="none"/>
              </w:rPr>
              <w:t>防水池的用水安全符合相关标准。</w:t>
            </w:r>
          </w:p>
        </w:tc>
      </w:tr>
      <w:tr w14:paraId="4495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noWrap w:val="0"/>
            <w:vAlign w:val="center"/>
          </w:tcPr>
          <w:p w14:paraId="4560C2D6">
            <w:pPr>
              <w:pStyle w:val="112"/>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rPr>
              <w:t>5</w:t>
            </w:r>
          </w:p>
        </w:tc>
        <w:tc>
          <w:tcPr>
            <w:tcW w:w="958" w:type="pct"/>
            <w:noWrap w:val="0"/>
            <w:vAlign w:val="center"/>
          </w:tcPr>
          <w:p w14:paraId="082112B0">
            <w:pPr>
              <w:pStyle w:val="112"/>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b w:val="0"/>
                <w:color w:val="auto"/>
                <w:spacing w:val="0"/>
                <w:kern w:val="2"/>
                <w:sz w:val="21"/>
                <w:szCs w:val="21"/>
                <w:highlight w:val="none"/>
                <w:lang w:eastAsia="zh-CN"/>
              </w:rPr>
              <w:t>供配电系统</w:t>
            </w:r>
          </w:p>
        </w:tc>
        <w:tc>
          <w:tcPr>
            <w:tcW w:w="3602" w:type="pct"/>
            <w:noWrap w:val="0"/>
            <w:vAlign w:val="top"/>
          </w:tcPr>
          <w:p w14:paraId="7BF7002E">
            <w:pPr>
              <w:pStyle w:val="113"/>
              <w:keepNext w:val="0"/>
              <w:keepLines w:val="0"/>
              <w:pageBreakBefore w:val="0"/>
              <w:numPr>
                <w:ilvl w:val="0"/>
                <w:numId w:val="4"/>
              </w:numPr>
              <w:tabs>
                <w:tab w:val="left" w:pos="1046"/>
              </w:tabs>
              <w:wordWrap/>
              <w:topLinePunct w:val="0"/>
              <w:bidi w:val="0"/>
              <w:adjustRightInd/>
              <w:spacing w:beforeAutospacing="0" w:afterAutospacing="0" w:line="240" w:lineRule="auto"/>
              <w:ind w:left="0" w:leftChars="0" w:right="0" w:firstLine="0" w:firstLineChars="0"/>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中标人应对供配电系统进行严格管理和维护保养，建立严格的配送电运行制度、电气维修制度和配电房管理制度。</w:t>
            </w:r>
          </w:p>
          <w:p w14:paraId="644B252A">
            <w:pPr>
              <w:pStyle w:val="113"/>
              <w:keepNext w:val="0"/>
              <w:keepLines w:val="0"/>
              <w:pageBreakBefore w:val="0"/>
              <w:numPr>
                <w:ilvl w:val="0"/>
                <w:numId w:val="4"/>
              </w:numPr>
              <w:tabs>
                <w:tab w:val="left" w:pos="1046"/>
              </w:tabs>
              <w:wordWrap/>
              <w:topLinePunct w:val="0"/>
              <w:bidi w:val="0"/>
              <w:adjustRightInd/>
              <w:spacing w:beforeAutospacing="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对供配电系统进行每月巡视和重点检测，对楼层配电间每天进行检测，建立各项设备档案，确保供配电设备运行良好，做到安全、合理、节约用电。</w:t>
            </w:r>
          </w:p>
          <w:p w14:paraId="5D014F68">
            <w:pPr>
              <w:pStyle w:val="113"/>
              <w:keepNext w:val="0"/>
              <w:keepLines w:val="0"/>
              <w:pageBreakBefore w:val="0"/>
              <w:numPr>
                <w:ilvl w:val="0"/>
                <w:numId w:val="4"/>
              </w:numPr>
              <w:tabs>
                <w:tab w:val="left" w:pos="1046"/>
              </w:tabs>
              <w:wordWrap/>
              <w:topLinePunct w:val="0"/>
              <w:bidi w:val="0"/>
              <w:adjustRightInd/>
              <w:spacing w:beforeAutospacing="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供电运行和维修人员应持证上岗。配合 </w:t>
            </w:r>
            <w:r>
              <w:rPr>
                <w:rFonts w:hint="eastAsia" w:ascii="宋体" w:hAnsi="宋体" w:eastAsia="宋体" w:cs="宋体"/>
                <w:color w:val="auto"/>
                <w:spacing w:val="-2"/>
                <w:sz w:val="21"/>
                <w:szCs w:val="21"/>
                <w:highlight w:val="none"/>
              </w:rPr>
              <w:t>24</w:t>
            </w:r>
            <w:r>
              <w:rPr>
                <w:rFonts w:hint="eastAsia" w:ascii="宋体" w:hAnsi="宋体" w:eastAsia="宋体" w:cs="宋体"/>
                <w:color w:val="auto"/>
                <w:spacing w:val="-8"/>
                <w:sz w:val="21"/>
                <w:szCs w:val="21"/>
                <w:highlight w:val="none"/>
              </w:rPr>
              <w:t xml:space="preserve"> 小时运行维修值班制度，立刻排除故障，零修合</w:t>
            </w:r>
            <w:r>
              <w:rPr>
                <w:rFonts w:hint="eastAsia" w:ascii="宋体" w:hAnsi="宋体" w:eastAsia="宋体" w:cs="宋体"/>
                <w:color w:val="auto"/>
                <w:spacing w:val="-13"/>
                <w:sz w:val="21"/>
                <w:szCs w:val="21"/>
                <w:highlight w:val="none"/>
              </w:rPr>
              <w:t xml:space="preserve">格率 </w:t>
            </w:r>
            <w:r>
              <w:rPr>
                <w:rFonts w:hint="eastAsia" w:ascii="宋体" w:hAnsi="宋体" w:eastAsia="宋体" w:cs="宋体"/>
                <w:color w:val="auto"/>
                <w:sz w:val="21"/>
                <w:szCs w:val="21"/>
                <w:highlight w:val="none"/>
              </w:rPr>
              <w:t>100%。</w:t>
            </w:r>
          </w:p>
          <w:p w14:paraId="271C0376">
            <w:pPr>
              <w:pStyle w:val="113"/>
              <w:keepNext w:val="0"/>
              <w:keepLines w:val="0"/>
              <w:pageBreakBefore w:val="0"/>
              <w:numPr>
                <w:ilvl w:val="0"/>
                <w:numId w:val="4"/>
              </w:numPr>
              <w:tabs>
                <w:tab w:val="left" w:pos="1046"/>
              </w:tabs>
              <w:wordWrap/>
              <w:topLinePunct w:val="0"/>
              <w:bidi w:val="0"/>
              <w:adjustRightInd/>
              <w:spacing w:beforeAutospacing="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巡视检查保障高低压配电柜内部设备、接线端子热敏涂层、仪表、蜂鸣器、电铃、按钮、指</w:t>
            </w:r>
            <w:r>
              <w:rPr>
                <w:rFonts w:hint="eastAsia" w:ascii="宋体" w:hAnsi="宋体" w:eastAsia="宋体" w:cs="宋体"/>
                <w:color w:val="auto"/>
                <w:spacing w:val="-2"/>
                <w:sz w:val="21"/>
                <w:szCs w:val="21"/>
                <w:highlight w:val="none"/>
              </w:rPr>
              <w:t>示灯完好。</w:t>
            </w:r>
          </w:p>
        </w:tc>
      </w:tr>
      <w:tr w14:paraId="267C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restart"/>
            <w:noWrap w:val="0"/>
            <w:vAlign w:val="center"/>
          </w:tcPr>
          <w:p w14:paraId="63FA9A76">
            <w:pPr>
              <w:pStyle w:val="112"/>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kern w:val="0"/>
                <w:sz w:val="21"/>
                <w:szCs w:val="21"/>
                <w:highlight w:val="none"/>
                <w:lang w:val="en-US" w:eastAsia="en-US" w:bidi="ar-SA"/>
              </w:rPr>
            </w:pPr>
            <w:r>
              <w:rPr>
                <w:rFonts w:hint="eastAsia" w:ascii="宋体" w:hAnsi="宋体" w:eastAsia="宋体" w:cs="宋体"/>
                <w:color w:val="auto"/>
                <w:w w:val="99"/>
                <w:sz w:val="21"/>
                <w:szCs w:val="21"/>
                <w:highlight w:val="none"/>
              </w:rPr>
              <w:t>6</w:t>
            </w:r>
          </w:p>
        </w:tc>
        <w:tc>
          <w:tcPr>
            <w:tcW w:w="958" w:type="pct"/>
            <w:vMerge w:val="restart"/>
            <w:noWrap w:val="0"/>
            <w:vAlign w:val="center"/>
          </w:tcPr>
          <w:p w14:paraId="2EE7D847">
            <w:pPr>
              <w:pStyle w:val="112"/>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val="0"/>
                <w:color w:val="auto"/>
                <w:spacing w:val="0"/>
                <w:kern w:val="2"/>
                <w:sz w:val="21"/>
                <w:szCs w:val="21"/>
                <w:highlight w:val="none"/>
                <w:lang w:eastAsia="zh-CN"/>
              </w:rPr>
              <w:t>空调系统</w:t>
            </w:r>
          </w:p>
        </w:tc>
        <w:tc>
          <w:tcPr>
            <w:tcW w:w="3602" w:type="pct"/>
            <w:noWrap w:val="0"/>
            <w:vAlign w:val="top"/>
          </w:tcPr>
          <w:p w14:paraId="34DEF9C3">
            <w:pPr>
              <w:pStyle w:val="112"/>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kern w:val="0"/>
                <w:sz w:val="21"/>
                <w:szCs w:val="21"/>
                <w:highlight w:val="none"/>
                <w:lang w:val="en-US" w:eastAsia="en-US" w:bidi="ar-SA"/>
              </w:rPr>
            </w:pPr>
            <w:r>
              <w:rPr>
                <w:rFonts w:hint="eastAsia" w:ascii="宋体" w:hAnsi="宋体" w:eastAsia="宋体" w:cs="宋体"/>
                <w:color w:val="auto"/>
                <w:spacing w:val="-2"/>
                <w:sz w:val="21"/>
                <w:szCs w:val="21"/>
                <w:highlight w:val="none"/>
                <w:lang w:val="en-US" w:eastAsia="zh-CN"/>
              </w:rPr>
              <w:t>((1)基础维护：</w:t>
            </w:r>
            <w:r>
              <w:rPr>
                <w:rFonts w:hint="eastAsia" w:ascii="宋体" w:hAnsi="宋体" w:eastAsia="宋体" w:cs="宋体"/>
                <w:color w:val="auto"/>
                <w:spacing w:val="-2"/>
                <w:sz w:val="21"/>
                <w:szCs w:val="21"/>
                <w:highlight w:val="none"/>
              </w:rPr>
              <w:t>中标人制定并严格执行空调运行管理制度</w:t>
            </w:r>
            <w:r>
              <w:rPr>
                <w:rFonts w:hint="eastAsia" w:ascii="宋体" w:hAnsi="宋体" w:eastAsia="宋体" w:cs="宋体"/>
                <w:color w:val="auto"/>
                <w:spacing w:val="-12"/>
                <w:sz w:val="21"/>
                <w:szCs w:val="21"/>
                <w:highlight w:val="none"/>
              </w:rPr>
              <w:t>、安全操作规程和空</w:t>
            </w:r>
            <w:r>
              <w:rPr>
                <w:rFonts w:hint="eastAsia" w:ascii="宋体" w:hAnsi="宋体" w:eastAsia="宋体" w:cs="宋体"/>
                <w:color w:val="auto"/>
                <w:spacing w:val="-2"/>
                <w:sz w:val="21"/>
                <w:szCs w:val="21"/>
                <w:highlight w:val="none"/>
              </w:rPr>
              <w:t>调设备日常检查制度，定期对空调的设备设施进行检查,发现问题及时通知采购人进行维修和保养，确保空调系统安全运</w:t>
            </w:r>
            <w:r>
              <w:rPr>
                <w:rFonts w:hint="eastAsia" w:ascii="宋体" w:hAnsi="宋体" w:eastAsia="宋体" w:cs="宋体"/>
                <w:color w:val="auto"/>
                <w:spacing w:val="-4"/>
                <w:sz w:val="21"/>
                <w:szCs w:val="21"/>
                <w:highlight w:val="none"/>
              </w:rPr>
              <w:t>行、正常使用；建立空调设备档案，做好各项运行和日常检查</w:t>
            </w:r>
            <w:r>
              <w:rPr>
                <w:rFonts w:hint="eastAsia" w:ascii="宋体" w:hAnsi="宋体" w:eastAsia="宋体" w:cs="宋体"/>
                <w:color w:val="auto"/>
                <w:spacing w:val="-3"/>
                <w:sz w:val="21"/>
                <w:szCs w:val="21"/>
                <w:highlight w:val="none"/>
              </w:rPr>
              <w:t>记录；制定切实可行节能运行制度，有明显节能降耗效果。</w:t>
            </w:r>
          </w:p>
        </w:tc>
      </w:tr>
      <w:tr w14:paraId="2574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207FF9AC">
            <w:pPr>
              <w:pStyle w:val="112"/>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w w:val="99"/>
                <w:sz w:val="21"/>
                <w:szCs w:val="21"/>
                <w:highlight w:val="none"/>
              </w:rPr>
            </w:pPr>
          </w:p>
        </w:tc>
        <w:tc>
          <w:tcPr>
            <w:tcW w:w="958" w:type="pct"/>
            <w:vMerge w:val="continue"/>
            <w:noWrap w:val="0"/>
            <w:vAlign w:val="center"/>
          </w:tcPr>
          <w:p w14:paraId="7F41D3C0">
            <w:pPr>
              <w:pStyle w:val="112"/>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val="0"/>
                <w:color w:val="auto"/>
                <w:spacing w:val="0"/>
                <w:kern w:val="2"/>
                <w:sz w:val="21"/>
                <w:szCs w:val="21"/>
                <w:highlight w:val="none"/>
                <w:lang w:eastAsia="zh-CN"/>
              </w:rPr>
            </w:pPr>
          </w:p>
        </w:tc>
        <w:tc>
          <w:tcPr>
            <w:tcW w:w="3602" w:type="pct"/>
            <w:noWrap w:val="0"/>
            <w:vAlign w:val="top"/>
          </w:tcPr>
          <w:p w14:paraId="7E2F4714">
            <w:pPr>
              <w:pStyle w:val="33"/>
              <w:keepNext w:val="0"/>
              <w:keepLines w:val="0"/>
              <w:pageBreakBefore w:val="0"/>
              <w:widowControl/>
              <w:shd w:val="clear" w:color="auto" w:fill="FFFFFF"/>
              <w:wordWrap/>
              <w:topLinePunct w:val="0"/>
              <w:bidi w:val="0"/>
              <w:adjustRightInd/>
              <w:spacing w:before="0" w:beforeAutospacing="0" w:after="0" w:afterAutospacing="0" w:line="240" w:lineRule="auto"/>
              <w:ind w:left="0" w:leftChars="0" w:right="0"/>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）维保服务：中标人</w:t>
            </w:r>
            <w:r>
              <w:rPr>
                <w:rFonts w:hint="eastAsia" w:ascii="宋体" w:hAnsi="宋体" w:eastAsia="宋体" w:cs="宋体"/>
                <w:i w:val="0"/>
                <w:caps w:val="0"/>
                <w:color w:val="auto"/>
                <w:spacing w:val="-4"/>
                <w:sz w:val="21"/>
                <w:szCs w:val="21"/>
                <w:highlight w:val="none"/>
                <w:shd w:val="clear" w:color="auto" w:fill="auto"/>
                <w:lang w:eastAsia="en-US"/>
              </w:rPr>
              <w:t>对空调系统设备进行维保服务，包括但不限于中央空调冷却系统、冷冻系统循环水管道的水处理，以及主机维护与保养。涉及风柜、冷却塔、风机盘管、水冷机组、水泵、多联机组等各类设备，总计</w:t>
            </w:r>
            <w:r>
              <w:rPr>
                <w:rFonts w:hint="eastAsia" w:cs="宋体"/>
                <w:i w:val="0"/>
                <w:caps w:val="0"/>
                <w:color w:val="auto"/>
                <w:spacing w:val="-4"/>
                <w:sz w:val="21"/>
                <w:szCs w:val="21"/>
                <w:highlight w:val="none"/>
                <w:shd w:val="clear" w:color="auto" w:fill="auto"/>
                <w:lang w:val="en-US" w:eastAsia="zh-CN"/>
              </w:rPr>
              <w:t>256</w:t>
            </w:r>
            <w:r>
              <w:rPr>
                <w:rFonts w:hint="eastAsia" w:ascii="宋体" w:hAnsi="宋体" w:eastAsia="宋体" w:cs="宋体"/>
                <w:i w:val="0"/>
                <w:caps w:val="0"/>
                <w:color w:val="auto"/>
                <w:spacing w:val="-4"/>
                <w:sz w:val="21"/>
                <w:szCs w:val="21"/>
                <w:highlight w:val="none"/>
                <w:shd w:val="clear" w:color="auto" w:fill="auto"/>
                <w:lang w:eastAsia="en-US"/>
              </w:rPr>
              <w:t>台（套），并包含水处理专项服务。具体明确：冷却水系统需进行物理化学清洗、杀菌剥离、化学除垢、冷凝器清洗、钝化预膜及日常水质管理；冷冻水系统包括膨胀水箱清洗、系统剥离杀菌、化学清洗和缓蚀处理。每周进行水处理投药与保养，每月开展设备月度选件与保养，每年实施一次全面年度保养。水处理服务设有周、月、季、年度不同频次的标准项目，每周投加杀菌剂与水稳剂，每月清洗冷却塔并取样化验，每年进行系统化学清洗与预膜。技术指标对冷却水与冷冻水的PH值、电导率、硬度、浊度等关键参数提出了明确控制要求，确保系统运行稳定、高效、耐久。</w:t>
            </w:r>
          </w:p>
        </w:tc>
      </w:tr>
      <w:tr w14:paraId="345E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restart"/>
            <w:noWrap w:val="0"/>
            <w:vAlign w:val="center"/>
          </w:tcPr>
          <w:p w14:paraId="1C71C4C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958" w:type="pct"/>
            <w:vMerge w:val="restart"/>
            <w:noWrap w:val="0"/>
            <w:vAlign w:val="center"/>
          </w:tcPr>
          <w:p w14:paraId="63C9A1F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电梯系统</w:t>
            </w:r>
          </w:p>
        </w:tc>
        <w:tc>
          <w:tcPr>
            <w:tcW w:w="3602" w:type="pct"/>
            <w:noWrap w:val="0"/>
            <w:vAlign w:val="top"/>
          </w:tcPr>
          <w:p w14:paraId="7B69D68E">
            <w:pPr>
              <w:pStyle w:val="112"/>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）基础维护：</w:t>
            </w:r>
            <w:r>
              <w:rPr>
                <w:rFonts w:hint="eastAsia" w:ascii="宋体" w:hAnsi="宋体" w:eastAsia="宋体" w:cs="宋体"/>
                <w:color w:val="auto"/>
                <w:spacing w:val="-2"/>
                <w:sz w:val="21"/>
                <w:szCs w:val="21"/>
                <w:highlight w:val="none"/>
              </w:rPr>
              <w:t>中标人要制定并严格执行电梯运行管理制度、安全操作规程和电梯系统设备日常检查制度，定时、定期对电梯系统各项设备进行检查、检测；设立 24 小时报修电话或对讲机值守制度，及时发现并协助排除设备故障，及时配合有效处理电梯事故；协助对电梯进行年度定期检验，办理安全运行证；做好各项运行和日常检查记录；制定切实可行节能运行管理措施，有明显节能降耗成果。</w:t>
            </w:r>
          </w:p>
        </w:tc>
      </w:tr>
      <w:tr w14:paraId="2C68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vMerge w:val="continue"/>
            <w:noWrap w:val="0"/>
            <w:vAlign w:val="center"/>
          </w:tcPr>
          <w:p w14:paraId="37B9F76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p>
        </w:tc>
        <w:tc>
          <w:tcPr>
            <w:tcW w:w="958" w:type="pct"/>
            <w:vMerge w:val="continue"/>
            <w:noWrap w:val="0"/>
            <w:vAlign w:val="center"/>
          </w:tcPr>
          <w:p w14:paraId="0B4F5F8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p>
        </w:tc>
        <w:tc>
          <w:tcPr>
            <w:tcW w:w="3602" w:type="pct"/>
            <w:noWrap w:val="0"/>
            <w:vAlign w:val="top"/>
          </w:tcPr>
          <w:p w14:paraId="429697AD">
            <w:pPr>
              <w:pStyle w:val="33"/>
              <w:keepNext w:val="0"/>
              <w:keepLines w:val="0"/>
              <w:pageBreakBefore w:val="0"/>
              <w:widowControl/>
              <w:shd w:val="clear" w:color="auto" w:fill="FFFFFF"/>
              <w:wordWrap/>
              <w:topLinePunct w:val="0"/>
              <w:bidi w:val="0"/>
              <w:adjustRightInd/>
              <w:spacing w:before="0" w:beforeAutospacing="0" w:after="0" w:afterAutospacing="0" w:line="240" w:lineRule="auto"/>
              <w:ind w:left="0" w:leftChars="0" w:right="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）维保服务：</w:t>
            </w:r>
            <w:r>
              <w:rPr>
                <w:rFonts w:hint="eastAsia" w:ascii="宋体" w:hAnsi="宋体" w:eastAsia="宋体" w:cs="宋体"/>
                <w:i w:val="0"/>
                <w:caps w:val="0"/>
                <w:color w:val="auto"/>
                <w:spacing w:val="-2"/>
                <w:sz w:val="21"/>
                <w:szCs w:val="21"/>
                <w:highlight w:val="none"/>
                <w:shd w:val="clear" w:color="auto" w:fill="auto"/>
                <w:lang w:eastAsia="zh-CN"/>
              </w:rPr>
              <w:t>中标人对</w:t>
            </w:r>
            <w:r>
              <w:rPr>
                <w:rFonts w:hint="eastAsia" w:ascii="宋体" w:hAnsi="宋体" w:eastAsia="宋体" w:cs="宋体"/>
                <w:i w:val="0"/>
                <w:caps w:val="0"/>
                <w:color w:val="auto"/>
                <w:spacing w:val="-2"/>
                <w:sz w:val="21"/>
                <w:szCs w:val="21"/>
                <w:highlight w:val="none"/>
                <w:shd w:val="clear" w:color="auto" w:fill="auto"/>
                <w:lang w:eastAsia="en-US"/>
              </w:rPr>
              <w:t>电梯设备进行维保服务，主要内容包括电梯的清洁、检查、润滑、调整及井道定期清理。</w:t>
            </w:r>
            <w:r>
              <w:rPr>
                <w:rFonts w:hint="eastAsia" w:ascii="宋体" w:hAnsi="宋体" w:eastAsia="宋体" w:cs="宋体"/>
                <w:i w:val="0"/>
                <w:caps w:val="0"/>
                <w:color w:val="auto"/>
                <w:spacing w:val="-2"/>
                <w:sz w:val="21"/>
                <w:szCs w:val="21"/>
                <w:highlight w:val="none"/>
                <w:shd w:val="clear" w:color="auto" w:fill="auto"/>
                <w:lang w:eastAsia="zh-CN"/>
              </w:rPr>
              <w:t>梅华西</w:t>
            </w:r>
            <w:r>
              <w:rPr>
                <w:rFonts w:hint="eastAsia" w:ascii="宋体" w:hAnsi="宋体" w:eastAsia="宋体" w:cs="宋体"/>
                <w:i w:val="0"/>
                <w:caps w:val="0"/>
                <w:color w:val="auto"/>
                <w:spacing w:val="-2"/>
                <w:sz w:val="21"/>
                <w:szCs w:val="21"/>
                <w:highlight w:val="none"/>
                <w:shd w:val="clear" w:color="auto" w:fill="auto"/>
                <w:lang w:eastAsia="en-US"/>
              </w:rPr>
              <w:t>办公区有客梯</w:t>
            </w:r>
            <w:r>
              <w:rPr>
                <w:rFonts w:hint="eastAsia" w:ascii="宋体" w:hAnsi="宋体" w:eastAsia="宋体" w:cs="宋体"/>
                <w:i w:val="0"/>
                <w:caps w:val="0"/>
                <w:color w:val="auto"/>
                <w:spacing w:val="-2"/>
                <w:sz w:val="21"/>
                <w:szCs w:val="21"/>
                <w:highlight w:val="none"/>
                <w:shd w:val="clear" w:color="auto" w:fill="auto"/>
                <w:lang w:val="en-US" w:eastAsia="zh-CN"/>
              </w:rPr>
              <w:t>3</w:t>
            </w:r>
            <w:r>
              <w:rPr>
                <w:rFonts w:hint="eastAsia" w:ascii="宋体" w:hAnsi="宋体" w:eastAsia="宋体" w:cs="宋体"/>
                <w:i w:val="0"/>
                <w:caps w:val="0"/>
                <w:color w:val="auto"/>
                <w:spacing w:val="-2"/>
                <w:sz w:val="21"/>
                <w:szCs w:val="21"/>
                <w:highlight w:val="none"/>
                <w:shd w:val="clear" w:color="auto" w:fill="auto"/>
                <w:lang w:eastAsia="en-US"/>
              </w:rPr>
              <w:t>台及</w:t>
            </w:r>
            <w:r>
              <w:rPr>
                <w:rFonts w:hint="eastAsia" w:ascii="宋体" w:hAnsi="宋体" w:eastAsia="宋体" w:cs="宋体"/>
                <w:i w:val="0"/>
                <w:caps w:val="0"/>
                <w:color w:val="auto"/>
                <w:spacing w:val="-2"/>
                <w:sz w:val="21"/>
                <w:szCs w:val="21"/>
                <w:highlight w:val="none"/>
                <w:shd w:val="clear" w:color="auto" w:fill="auto"/>
                <w:lang w:eastAsia="zh-CN"/>
              </w:rPr>
              <w:t>传菜</w:t>
            </w:r>
            <w:r>
              <w:rPr>
                <w:rFonts w:hint="eastAsia" w:ascii="宋体" w:hAnsi="宋体" w:eastAsia="宋体" w:cs="宋体"/>
                <w:i w:val="0"/>
                <w:caps w:val="0"/>
                <w:color w:val="auto"/>
                <w:spacing w:val="-2"/>
                <w:sz w:val="21"/>
                <w:szCs w:val="21"/>
                <w:highlight w:val="none"/>
                <w:shd w:val="clear" w:color="auto" w:fill="auto"/>
                <w:lang w:eastAsia="en-US"/>
              </w:rPr>
              <w:t>货梯</w:t>
            </w:r>
            <w:r>
              <w:rPr>
                <w:rFonts w:hint="eastAsia" w:ascii="宋体" w:hAnsi="宋体" w:eastAsia="宋体" w:cs="宋体"/>
                <w:i w:val="0"/>
                <w:caps w:val="0"/>
                <w:color w:val="auto"/>
                <w:spacing w:val="-2"/>
                <w:sz w:val="21"/>
                <w:szCs w:val="21"/>
                <w:highlight w:val="none"/>
                <w:shd w:val="clear" w:color="auto" w:fill="auto"/>
                <w:lang w:val="en-US" w:eastAsia="zh-CN"/>
              </w:rPr>
              <w:t>3</w:t>
            </w:r>
            <w:r>
              <w:rPr>
                <w:rFonts w:hint="eastAsia" w:ascii="宋体" w:hAnsi="宋体" w:eastAsia="宋体" w:cs="宋体"/>
                <w:i w:val="0"/>
                <w:caps w:val="0"/>
                <w:color w:val="auto"/>
                <w:spacing w:val="-2"/>
                <w:sz w:val="21"/>
                <w:szCs w:val="21"/>
                <w:highlight w:val="none"/>
                <w:shd w:val="clear" w:color="auto" w:fill="auto"/>
                <w:lang w:eastAsia="en-US"/>
              </w:rPr>
              <w:t>台。核心维护要求：服务依据</w:t>
            </w:r>
            <w:r>
              <w:rPr>
                <w:rFonts w:hint="eastAsia" w:ascii="宋体" w:hAnsi="宋体" w:eastAsia="宋体" w:cs="宋体"/>
                <w:i w:val="0"/>
                <w:caps w:val="0"/>
                <w:color w:val="auto"/>
                <w:spacing w:val="-2"/>
                <w:sz w:val="21"/>
                <w:szCs w:val="21"/>
                <w:highlight w:val="none"/>
                <w:shd w:val="clear" w:color="auto" w:fill="auto"/>
                <w:lang w:eastAsia="zh-CN"/>
              </w:rPr>
              <w:t>国家质量监督检测检疫总局《电梯维护保养规则》（</w:t>
            </w:r>
            <w:r>
              <w:rPr>
                <w:rFonts w:hint="eastAsia" w:ascii="宋体" w:hAnsi="宋体" w:eastAsia="宋体" w:cs="宋体"/>
                <w:i w:val="0"/>
                <w:caps w:val="0"/>
                <w:color w:val="auto"/>
                <w:spacing w:val="-2"/>
                <w:sz w:val="21"/>
                <w:szCs w:val="21"/>
                <w:highlight w:val="none"/>
                <w:shd w:val="clear" w:color="auto" w:fill="auto"/>
                <w:lang w:val="en-US" w:eastAsia="zh-CN"/>
              </w:rPr>
              <w:t>TSG T5002-2017</w:t>
            </w:r>
            <w:r>
              <w:rPr>
                <w:rFonts w:hint="eastAsia" w:ascii="宋体" w:hAnsi="宋体" w:eastAsia="宋体" w:cs="宋体"/>
                <w:i w:val="0"/>
                <w:caps w:val="0"/>
                <w:color w:val="auto"/>
                <w:spacing w:val="-2"/>
                <w:sz w:val="21"/>
                <w:szCs w:val="21"/>
                <w:highlight w:val="none"/>
                <w:shd w:val="clear" w:color="auto" w:fill="auto"/>
                <w:lang w:eastAsia="zh-CN"/>
              </w:rPr>
              <w:t>）</w:t>
            </w:r>
            <w:r>
              <w:rPr>
                <w:rFonts w:hint="eastAsia" w:ascii="宋体" w:hAnsi="宋体" w:eastAsia="宋体" w:cs="宋体"/>
                <w:i w:val="0"/>
                <w:caps w:val="0"/>
                <w:color w:val="auto"/>
                <w:spacing w:val="-2"/>
                <w:sz w:val="21"/>
                <w:szCs w:val="21"/>
                <w:highlight w:val="none"/>
                <w:shd w:val="clear" w:color="auto" w:fill="auto"/>
                <w:lang w:eastAsia="en-US"/>
              </w:rPr>
              <w:t>详尽的52项标准执行，全面覆盖机房环境与设备、曳引系统、制动器、限速器、控制柜、轿厢与层站装置、厅轿门系统、安全保护装置（如安全钳、缓冲器、各类开关）以及井道设施等方面，通过系统的检查、清洁、润滑与调试，确保所有电梯运行安全、平稳、可靠，各项功能正常有效。</w:t>
            </w:r>
          </w:p>
        </w:tc>
      </w:tr>
      <w:tr w14:paraId="3A2C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39" w:type="pct"/>
            <w:noWrap w:val="0"/>
            <w:vAlign w:val="center"/>
          </w:tcPr>
          <w:p w14:paraId="35C7B19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58" w:type="pct"/>
            <w:noWrap w:val="0"/>
            <w:vAlign w:val="center"/>
          </w:tcPr>
          <w:p w14:paraId="1285EC1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b w:val="0"/>
                <w:color w:val="auto"/>
                <w:spacing w:val="0"/>
                <w:sz w:val="21"/>
                <w:szCs w:val="21"/>
                <w:highlight w:val="none"/>
              </w:rPr>
              <w:t>监控系统各类设</w:t>
            </w:r>
            <w:r>
              <w:rPr>
                <w:rFonts w:hint="eastAsia" w:ascii="宋体" w:hAnsi="宋体" w:eastAsia="宋体" w:cs="宋体"/>
                <w:b w:val="0"/>
                <w:color w:val="auto"/>
                <w:sz w:val="21"/>
                <w:szCs w:val="21"/>
                <w:highlight w:val="none"/>
              </w:rPr>
              <w:t>备</w:t>
            </w:r>
            <w:r>
              <w:rPr>
                <w:rFonts w:hint="eastAsia" w:ascii="宋体" w:hAnsi="宋体" w:eastAsia="宋体" w:cs="宋体"/>
                <w:b w:val="0"/>
                <w:color w:val="auto"/>
                <w:spacing w:val="0"/>
                <w:sz w:val="21"/>
                <w:szCs w:val="21"/>
                <w:highlight w:val="none"/>
              </w:rPr>
              <w:t>管理</w:t>
            </w:r>
          </w:p>
        </w:tc>
        <w:tc>
          <w:tcPr>
            <w:tcW w:w="3602" w:type="pct"/>
            <w:noWrap w:val="0"/>
            <w:vAlign w:val="top"/>
          </w:tcPr>
          <w:p w14:paraId="6D5B745C">
            <w:pPr>
              <w:pStyle w:val="112"/>
              <w:keepNext w:val="0"/>
              <w:keepLines w:val="0"/>
              <w:pageBreakBefore w:val="0"/>
              <w:numPr>
                <w:ilvl w:val="0"/>
                <w:numId w:val="5"/>
              </w:numPr>
              <w:wordWrap/>
              <w:topLinePunct w:val="0"/>
              <w:bidi w:val="0"/>
              <w:adjustRightInd/>
              <w:spacing w:beforeAutospacing="0" w:afterAutospacing="0" w:line="240" w:lineRule="auto"/>
              <w:ind w:left="0" w:leftChars="0" w:right="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中标人要制定并严格执行监控系统运行管理制度、安全操作规程。定时、定期对监控系统各项设备进行检查，保证监控设备运作正常，画面清晰。</w:t>
            </w:r>
          </w:p>
          <w:p w14:paraId="1EF8AF36">
            <w:pPr>
              <w:pStyle w:val="112"/>
              <w:keepNext w:val="0"/>
              <w:keepLines w:val="0"/>
              <w:pageBreakBefore w:val="0"/>
              <w:numPr>
                <w:ilvl w:val="0"/>
                <w:numId w:val="5"/>
              </w:numPr>
              <w:wordWrap/>
              <w:topLinePunct w:val="0"/>
              <w:bidi w:val="0"/>
              <w:adjustRightInd/>
              <w:spacing w:beforeAutospacing="0" w:afterAutospacing="0" w:line="240" w:lineRule="auto"/>
              <w:ind w:left="0" w:leftChars="0" w:right="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做好录像资料储存设备的安全工作，录像资料至少保留三个月。</w:t>
            </w:r>
          </w:p>
          <w:p w14:paraId="205D315D">
            <w:pPr>
              <w:pStyle w:val="112"/>
              <w:keepNext w:val="0"/>
              <w:keepLines w:val="0"/>
              <w:pageBreakBefore w:val="0"/>
              <w:numPr>
                <w:ilvl w:val="0"/>
                <w:numId w:val="5"/>
              </w:numPr>
              <w:wordWrap/>
              <w:topLinePunct w:val="0"/>
              <w:bidi w:val="0"/>
              <w:adjustRightInd/>
              <w:spacing w:beforeAutospacing="0" w:afterAutospacing="0" w:line="240" w:lineRule="auto"/>
              <w:ind w:left="0" w:leftChars="0" w:right="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保证监控岗位 24 小时值班工作并做好值班记录，不得脱岗。</w:t>
            </w:r>
          </w:p>
        </w:tc>
      </w:tr>
    </w:tbl>
    <w:p w14:paraId="6B2FB983">
      <w:pPr>
        <w:pStyle w:val="33"/>
        <w:keepNext w:val="0"/>
        <w:keepLines w:val="0"/>
        <w:pageBreakBefore w:val="0"/>
        <w:shd w:val="clear" w:color="auto" w:fill="FFFFFF"/>
        <w:wordWrap/>
        <w:topLinePunct w:val="0"/>
        <w:bidi w:val="0"/>
        <w:adjustRightInd/>
        <w:spacing w:before="0" w:beforeAutospacing="0" w:after="0" w:afterAutospacing="0" w:line="240" w:lineRule="auto"/>
        <w:ind w:left="0" w:leftChars="0" w:right="0" w:firstLine="454" w:firstLineChars="200"/>
        <w:jc w:val="both"/>
        <w:outlineLvl w:val="4"/>
        <w:rPr>
          <w:rStyle w:val="40"/>
          <w:rFonts w:hint="eastAsia" w:ascii="宋体" w:hAnsi="宋体" w:eastAsia="宋体" w:cs="宋体"/>
          <w:color w:val="auto"/>
          <w:spacing w:val="8"/>
          <w:sz w:val="21"/>
          <w:szCs w:val="21"/>
          <w:highlight w:val="none"/>
          <w:shd w:val="clear" w:color="auto" w:fill="FFFFFF"/>
        </w:rPr>
      </w:pPr>
      <w:r>
        <w:rPr>
          <w:rStyle w:val="40"/>
          <w:rFonts w:hint="eastAsia" w:ascii="宋体" w:hAnsi="宋体" w:eastAsia="宋体" w:cs="宋体"/>
          <w:color w:val="auto"/>
          <w:spacing w:val="8"/>
          <w:sz w:val="21"/>
          <w:szCs w:val="21"/>
          <w:highlight w:val="none"/>
          <w:shd w:val="clear" w:color="auto" w:fill="FFFFFF"/>
        </w:rPr>
        <w:t>3.3保洁服务</w:t>
      </w:r>
    </w:p>
    <w:tbl>
      <w:tblPr>
        <w:tblStyle w:val="37"/>
        <w:tblW w:w="5020" w:type="pct"/>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14"/>
        <w:gridCol w:w="1523"/>
        <w:gridCol w:w="6202"/>
      </w:tblGrid>
      <w:tr w14:paraId="5B8FA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noWrap w:val="0"/>
            <w:vAlign w:val="center"/>
          </w:tcPr>
          <w:p w14:paraId="0DA0873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13" w:type="pct"/>
            <w:noWrap w:val="0"/>
            <w:vAlign w:val="center"/>
          </w:tcPr>
          <w:p w14:paraId="28FA1EE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w:t>
            </w:r>
          </w:p>
        </w:tc>
        <w:tc>
          <w:tcPr>
            <w:tcW w:w="3717" w:type="pct"/>
            <w:noWrap w:val="0"/>
            <w:vAlign w:val="center"/>
          </w:tcPr>
          <w:p w14:paraId="5DE4C13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服务标准</w:t>
            </w:r>
          </w:p>
        </w:tc>
      </w:tr>
      <w:tr w14:paraId="2ABFF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restart"/>
            <w:noWrap w:val="0"/>
            <w:vAlign w:val="center"/>
          </w:tcPr>
          <w:p w14:paraId="22EB361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13" w:type="pct"/>
            <w:vMerge w:val="restart"/>
            <w:noWrap w:val="0"/>
            <w:vAlign w:val="center"/>
          </w:tcPr>
          <w:p w14:paraId="1F30AC94">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w:t>
            </w:r>
          </w:p>
        </w:tc>
        <w:tc>
          <w:tcPr>
            <w:tcW w:w="3717" w:type="pct"/>
            <w:noWrap w:val="0"/>
            <w:vAlign w:val="center"/>
          </w:tcPr>
          <w:p w14:paraId="5E96A6E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1、建立相关保洁制度、消杀制度和具体操作规程，保洁服务定时定点，按照操作规范进行，保持环境卫生管理区域环境整洁、干净，生活垃圾日产日清，使用环保清洁剂。</w:t>
            </w:r>
          </w:p>
        </w:tc>
      </w:tr>
      <w:tr w14:paraId="4F001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0B98D9B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1AD692C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58E0494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2、做好保洁服务工作记录，记录填写规范、保存完好。</w:t>
            </w:r>
          </w:p>
        </w:tc>
      </w:tr>
      <w:tr w14:paraId="70A43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31D9468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0711E2C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1A3A1A75">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3、作业时采取安全防护措施，防止对作业人员或他人造成伤害。相关耗材的环保、安全性等应当符合国家相关规定要求。</w:t>
            </w:r>
          </w:p>
        </w:tc>
      </w:tr>
      <w:tr w14:paraId="16A87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0206D1F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40A21C6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73EFC62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4、进入保密区域时，有采购人相关人员全程在场。</w:t>
            </w:r>
          </w:p>
        </w:tc>
      </w:tr>
      <w:tr w14:paraId="565F3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restart"/>
            <w:noWrap w:val="0"/>
            <w:vAlign w:val="center"/>
          </w:tcPr>
          <w:p w14:paraId="15C54A3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13" w:type="pct"/>
            <w:vMerge w:val="restart"/>
            <w:noWrap w:val="0"/>
            <w:vAlign w:val="center"/>
          </w:tcPr>
          <w:p w14:paraId="04FC1394">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办公用房及附属用房区域保洁</w:t>
            </w:r>
          </w:p>
        </w:tc>
        <w:tc>
          <w:tcPr>
            <w:tcW w:w="3717" w:type="pct"/>
            <w:noWrap w:val="0"/>
            <w:vAlign w:val="center"/>
          </w:tcPr>
          <w:p w14:paraId="08375040">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1、地面：地面无垃圾杂物、无泥沙、无污渍。</w:t>
            </w:r>
          </w:p>
        </w:tc>
      </w:tr>
      <w:tr w14:paraId="3BA53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2B5B375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6730DF3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2F5B8FD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2、地毯：定时对地毯进行吸尘保洁、清洗，地毯无灰尘、无垃圾、无污渍。定时对各类功能用房办公、会议家具、窗帘等进行清洗、养护，及时添加消耗品。严格遵守采购人的相关管理制度。</w:t>
            </w:r>
          </w:p>
        </w:tc>
      </w:tr>
      <w:tr w14:paraId="0A07F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4515D21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669BAF7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6BE76809">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3、墙面：大理石、瓷片、喷涂等墙面无灰尘；干净、无污渍、无张贴。</w:t>
            </w:r>
          </w:p>
        </w:tc>
      </w:tr>
      <w:tr w14:paraId="0C6CA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4BE8D8A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0FE8A89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606B3B6F">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4、楼道梯走廊：楼道梯间、走廊地面目视无杂物、污迹纸屑、无积水。</w:t>
            </w:r>
          </w:p>
        </w:tc>
      </w:tr>
      <w:tr w14:paraId="0A3E6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121729C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133B128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48EEF59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5、楼道梯地面：无痰迹、无积尘、无污染。</w:t>
            </w:r>
          </w:p>
        </w:tc>
      </w:tr>
      <w:tr w14:paraId="26C5C3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4280D28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48D8587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08885CEC">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6、楼道梯天花：无灰尘、无污渍、无手印、无蜘蛛网。</w:t>
            </w:r>
          </w:p>
        </w:tc>
      </w:tr>
      <w:tr w14:paraId="7E149D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265B34E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45C5E2F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55D41570">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7、电梯：轿厢四壁干净、无尘、无污迹、无手印。</w:t>
            </w:r>
          </w:p>
        </w:tc>
      </w:tr>
      <w:tr w14:paraId="3F8F6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5ECD326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31D075A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1128DD6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8、电梯门轨槽、显示屏、按钮开关干净、无尘、无手印、槽内无沙粒。</w:t>
            </w:r>
          </w:p>
        </w:tc>
      </w:tr>
      <w:tr w14:paraId="28F50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1F8F8F1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1A0CCBD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24F43FC8">
            <w:pPr>
              <w:keepNext w:val="0"/>
              <w:keepLines w:val="0"/>
              <w:pageBreakBefore w:val="0"/>
              <w:kinsoku w:val="0"/>
              <w:wordWrap/>
              <w:overflowPunct w:val="0"/>
              <w:topLinePunct w:val="0"/>
              <w:autoSpaceDE w:val="0"/>
              <w:autoSpaceDN w:val="0"/>
              <w:bidi w:val="0"/>
              <w:adjustRightInd/>
              <w:snapToGrid w:val="0"/>
              <w:spacing w:beforeAutospacing="0" w:afterAutospacing="0" w:line="240" w:lineRule="auto"/>
              <w:ind w:left="0" w:leftChars="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9、办公室：地面无污迹；墙面无灰尘；无蜘蛛网、整洁、无杂物。</w:t>
            </w:r>
          </w:p>
        </w:tc>
      </w:tr>
      <w:tr w14:paraId="6590E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173EA45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73F164D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568BF99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10、办公室：桌椅、沙发、文件柜无灰尘、无污渍、空气清新。</w:t>
            </w:r>
          </w:p>
        </w:tc>
      </w:tr>
      <w:tr w14:paraId="400050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423E84D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51D017D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384F559F">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11、办公室玻璃门镜面：玻璃表面无污迹、无手印、无水印。</w:t>
            </w:r>
          </w:p>
        </w:tc>
      </w:tr>
      <w:tr w14:paraId="6B54D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155A6AC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0C054A4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3BBB21B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12、卫生间地面：干净、无异味、无积水、无杂物、无烟头、纸屑、无污渍。保洁人员及时做到响应并到位，卫生间除定期清洁外，还应根据观众情况巡回保洁。</w:t>
            </w:r>
          </w:p>
        </w:tc>
      </w:tr>
      <w:tr w14:paraId="258CB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474E54E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1B55F84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3EEA191D">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13、卫生间墙面：瓷片、门、窗无灰尘，便器无黄色污渍，墙面、门无涂画。</w:t>
            </w:r>
          </w:p>
        </w:tc>
      </w:tr>
      <w:tr w14:paraId="703B9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636E007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561D43D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47DE246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14、卫生间设施完好、用品齐全；水喉光亮。</w:t>
            </w:r>
          </w:p>
        </w:tc>
      </w:tr>
      <w:tr w14:paraId="278A3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74F16A0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3DAAF40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4566A610">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15、卫生间天花、灯具无尘无蜘蛛网；玻璃、镜面无灰尘、无污迹、无手印。</w:t>
            </w:r>
          </w:p>
        </w:tc>
      </w:tr>
      <w:tr w14:paraId="5305F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19014C3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7BB033A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49386C9D">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16、公共区域开关灯、指示灯、消防栓：无灰尘、无污迹。</w:t>
            </w:r>
          </w:p>
        </w:tc>
      </w:tr>
      <w:tr w14:paraId="58C134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608B5C0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4D95F3A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660937CC">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17、烟灰筒、垃圾桶：目视内外壁干净、无粘附物、无污渍、无异味。</w:t>
            </w:r>
          </w:p>
        </w:tc>
      </w:tr>
      <w:tr w14:paraId="76A26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0DEC573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1AF697A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0D6EA2E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19、地下室、地下车库墙面：目视无污渍，无明显灰尘。</w:t>
            </w:r>
          </w:p>
        </w:tc>
      </w:tr>
      <w:tr w14:paraId="6F381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29AE184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6F626C5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5B93D24D">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20、地下室、地下车库标识牌、消防栓、门窗防护栏等设施无污渍、无灰尘。</w:t>
            </w:r>
          </w:p>
        </w:tc>
      </w:tr>
      <w:tr w14:paraId="1F553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restart"/>
            <w:noWrap w:val="0"/>
            <w:vAlign w:val="center"/>
          </w:tcPr>
          <w:p w14:paraId="199A13D9">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13" w:type="pct"/>
            <w:vMerge w:val="restart"/>
            <w:noWrap w:val="0"/>
            <w:vAlign w:val="center"/>
          </w:tcPr>
          <w:p w14:paraId="46DAE38C">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公共场地区域保洁</w:t>
            </w:r>
          </w:p>
        </w:tc>
        <w:tc>
          <w:tcPr>
            <w:tcW w:w="3717" w:type="pct"/>
            <w:noWrap w:val="0"/>
            <w:vAlign w:val="center"/>
          </w:tcPr>
          <w:p w14:paraId="718792A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1、绿地无纸屑、无烟头、无石块等杂物。</w:t>
            </w:r>
          </w:p>
        </w:tc>
      </w:tr>
      <w:tr w14:paraId="18F1E9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258F600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659B289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78C9D807">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2、排水明沟：无明显泥沙、树叶、污垢，每100M²烟头、纸屑在两个以下。</w:t>
            </w:r>
          </w:p>
        </w:tc>
      </w:tr>
      <w:tr w14:paraId="222BC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71C4C90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50884FB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01DC2E3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3、沙井、污雨水井、化粪池、化油池：无垃圾、底部无沉淀物，内壁无粘附物，井盖无污迹。</w:t>
            </w:r>
          </w:p>
        </w:tc>
      </w:tr>
      <w:tr w14:paraId="3C851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5EED5D5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3AD9EBF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01249E4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4、广场地面无明显污渍、无垃圾、无烟头、果皮。</w:t>
            </w:r>
          </w:p>
        </w:tc>
      </w:tr>
      <w:tr w14:paraId="00F7D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42663C5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2217129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7C2CC4D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5、楼旁花台外表洁净、无污渍。</w:t>
            </w:r>
          </w:p>
        </w:tc>
      </w:tr>
      <w:tr w14:paraId="0863C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37D642C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787559D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5DDEE52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6、玻璃无水印、无污渍、无灰尘。</w:t>
            </w:r>
          </w:p>
        </w:tc>
      </w:tr>
      <w:tr w14:paraId="745A9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1987D0A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3048DE9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3F45C75F">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7、目视垃圾桶表面无污迹、无油迹、无粘附物、无异味。</w:t>
            </w:r>
          </w:p>
        </w:tc>
      </w:tr>
      <w:tr w14:paraId="04F28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5DDC806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0D53446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6CF8ED43">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8、垃圾桶、果皮箱周围无积水。</w:t>
            </w:r>
          </w:p>
        </w:tc>
      </w:tr>
      <w:tr w14:paraId="4D036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2164D2F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7BDEA76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48B99210">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9、天台、雨蓬：目视天台、雨蓬无垃圾、杂物、排水畅通、无水印、无污渍。</w:t>
            </w:r>
          </w:p>
        </w:tc>
      </w:tr>
      <w:tr w14:paraId="55A00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2B5B7A2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7BAD25B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03F1706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10、水沟无杂物、泥沙堆积和堵塞排水口。</w:t>
            </w:r>
          </w:p>
        </w:tc>
      </w:tr>
      <w:tr w14:paraId="00EEB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0E593E7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1D240CB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17C4A263">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11、生活垃圾日产日清，定期进行卫生消毒灭杀。</w:t>
            </w:r>
          </w:p>
        </w:tc>
      </w:tr>
      <w:tr w14:paraId="48A50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4A68095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3D56A63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187565E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12、广告、宣传栏、标示牌：无灰尘、无污迹、干净、光亮。</w:t>
            </w:r>
          </w:p>
        </w:tc>
      </w:tr>
      <w:tr w14:paraId="42DDD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3FC5B54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6C962A1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4C384329">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13、消防设备、器材表面无尘、无污迹。</w:t>
            </w:r>
          </w:p>
        </w:tc>
      </w:tr>
      <w:tr w14:paraId="4D4F4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3E45308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2C5602E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77B8D491">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14、工作记录：相应《清洁工作巡检表》《卫生间巡回保洁记录表》及《消杀记录表》等记录完整。</w:t>
            </w:r>
          </w:p>
        </w:tc>
      </w:tr>
      <w:tr w14:paraId="11C2D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4E9013E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2207178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3D979EE2">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节假日和需值班值守的重要节点每天对值班值守室进行保洁1次，时间安排在8:30后。床铺干净整齐，房间物品整齐摆放。卫生间：面盆、浴盆、马桶（干净无毛发、无污垢）。镜子（光亮干净无水迹污迹）。墙面地面（无污渍，无杂物）。物品布放齐全,摆放有序。</w:t>
            </w:r>
          </w:p>
        </w:tc>
      </w:tr>
      <w:tr w14:paraId="21119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13B6B47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2BF30C7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21B997A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16、严格遵守采购人的相关管理制度。</w:t>
            </w:r>
          </w:p>
        </w:tc>
      </w:tr>
      <w:tr w14:paraId="17CEE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restart"/>
            <w:noWrap w:val="0"/>
            <w:vAlign w:val="center"/>
          </w:tcPr>
          <w:p w14:paraId="3E18374B">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13" w:type="pct"/>
            <w:vMerge w:val="restart"/>
            <w:noWrap w:val="0"/>
            <w:vAlign w:val="center"/>
          </w:tcPr>
          <w:p w14:paraId="71736D26">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垃圾处理</w:t>
            </w:r>
          </w:p>
        </w:tc>
        <w:tc>
          <w:tcPr>
            <w:tcW w:w="3717" w:type="pct"/>
            <w:noWrap w:val="0"/>
            <w:vAlign w:val="center"/>
          </w:tcPr>
          <w:p w14:paraId="6ED5195D">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1、在指定位置摆放分类垃圾桶，并在显著处张贴垃圾分类标识。分类垃圾桶和垃圾分类标识根据所在城市的要求设置。</w:t>
            </w:r>
          </w:p>
        </w:tc>
      </w:tr>
      <w:tr w14:paraId="61910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662E44E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42838B2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3A958076">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2、桶身表面干净无污渍，每日开展至少1次清洁作业。</w:t>
            </w:r>
          </w:p>
        </w:tc>
      </w:tr>
      <w:tr w14:paraId="7915F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0FF6F26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6B5EEF4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0109456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3、垃圾中转区保持整洁，无明显异味，每日至少开展1次清洁作业。</w:t>
            </w:r>
          </w:p>
        </w:tc>
      </w:tr>
      <w:tr w14:paraId="1366B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5C1D027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391A222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308ED4B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4、每个工作日内要对楼层产生的垃圾，进行清理分类，并运至垃圾集中堆放点。</w:t>
            </w:r>
          </w:p>
        </w:tc>
      </w:tr>
      <w:tr w14:paraId="3F339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148F584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086A27E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2B84A4C5">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5、垃圾装袋，日产日清。</w:t>
            </w:r>
          </w:p>
        </w:tc>
      </w:tr>
      <w:tr w14:paraId="6F368B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01E412E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00ACEAE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7E05A2A0">
            <w:pPr>
              <w:keepNext w:val="0"/>
              <w:keepLines w:val="0"/>
              <w:pageBreakBefore w:val="0"/>
              <w:wordWrap/>
              <w:topLinePunct w:val="0"/>
              <w:bidi w:val="0"/>
              <w:adjustRightInd/>
              <w:snapToGri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6.建立垃圾清运台账，交由规范的渠道回收处理。</w:t>
            </w:r>
          </w:p>
        </w:tc>
      </w:tr>
      <w:tr w14:paraId="3FEDE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443D5EC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4000472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3AA41A0A">
            <w:pPr>
              <w:keepNext w:val="0"/>
              <w:keepLines w:val="0"/>
              <w:pageBreakBefore w:val="0"/>
              <w:wordWrap/>
              <w:topLinePunct w:val="0"/>
              <w:bidi w:val="0"/>
              <w:adjustRightInd/>
              <w:snapToGri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7.做好垃圾分类管理的宣传工作，督促并引导全员参与垃圾分类投放。</w:t>
            </w:r>
          </w:p>
        </w:tc>
      </w:tr>
      <w:tr w14:paraId="0113D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0BEA28F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55C32E6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382A9538">
            <w:pPr>
              <w:keepNext w:val="0"/>
              <w:keepLines w:val="0"/>
              <w:pageBreakBefore w:val="0"/>
              <w:wordWrap/>
              <w:topLinePunct w:val="0"/>
              <w:bidi w:val="0"/>
              <w:adjustRightInd/>
              <w:snapToGri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8.垃圾分类投放管理工作的执行标准，按所在城市的要求执行。</w:t>
            </w:r>
          </w:p>
        </w:tc>
      </w:tr>
      <w:tr w14:paraId="7D3DD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0711060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1F33BAD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269FF463">
            <w:pPr>
              <w:keepNext w:val="0"/>
              <w:keepLines w:val="0"/>
              <w:pageBreakBefore w:val="0"/>
              <w:wordWrap/>
              <w:topLinePunct w:val="0"/>
              <w:bidi w:val="0"/>
              <w:adjustRightInd/>
              <w:snapToGri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eastAsia="zh-CN"/>
              </w:rPr>
              <w:t>垃圾清运：所有垃圾（含生活垃圾、绿化垃圾、建筑垃圾等）清运处理、督促装修垃圾清运处理和废纸等可再生废物的回收。所有垃圾清运处理应符合广东省及当地有关法律法规规定。</w:t>
            </w:r>
          </w:p>
        </w:tc>
      </w:tr>
      <w:tr w14:paraId="56243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restart"/>
            <w:noWrap w:val="0"/>
            <w:vAlign w:val="center"/>
          </w:tcPr>
          <w:p w14:paraId="6FFEC42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13" w:type="pct"/>
            <w:vMerge w:val="restart"/>
            <w:noWrap w:val="0"/>
            <w:vAlign w:val="center"/>
          </w:tcPr>
          <w:p w14:paraId="5BB4AF4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卫生消毒</w:t>
            </w:r>
          </w:p>
        </w:tc>
        <w:tc>
          <w:tcPr>
            <w:tcW w:w="3717" w:type="pct"/>
            <w:noWrap w:val="0"/>
            <w:vAlign w:val="center"/>
          </w:tcPr>
          <w:p w14:paraId="0B1D91AD">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1、办公用房区域、公共场所区域和周围环境预防性卫生消毒， 消毒后及时通风，每周至少开展1次作业。</w:t>
            </w:r>
          </w:p>
        </w:tc>
      </w:tr>
      <w:tr w14:paraId="341B5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4DA62B1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15AC3D4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472F43AF">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2、按操作规程和标准使用卫生（保洁）洗涤工具及消毒用品；实施垃圾分类，每日定期清运处理垃圾，垃圾房定时消毒。</w:t>
            </w:r>
          </w:p>
        </w:tc>
      </w:tr>
      <w:tr w14:paraId="50DA3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vMerge w:val="continue"/>
            <w:noWrap w:val="0"/>
            <w:vAlign w:val="top"/>
          </w:tcPr>
          <w:p w14:paraId="180A236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13" w:type="pct"/>
            <w:vMerge w:val="continue"/>
            <w:noWrap w:val="0"/>
            <w:vAlign w:val="top"/>
          </w:tcPr>
          <w:p w14:paraId="0B31353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0D393DA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3、发生公共卫生事件时，邀请专业单位开展消毒、检测等工作。</w:t>
            </w:r>
          </w:p>
        </w:tc>
      </w:tr>
      <w:tr w14:paraId="4E6A2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noWrap w:val="0"/>
            <w:vAlign w:val="center"/>
          </w:tcPr>
          <w:p w14:paraId="1680890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13" w:type="pct"/>
            <w:noWrap w:val="0"/>
            <w:vAlign w:val="center"/>
          </w:tcPr>
          <w:p w14:paraId="5536FA8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专业除四害</w:t>
            </w:r>
          </w:p>
        </w:tc>
        <w:tc>
          <w:tcPr>
            <w:tcW w:w="3717" w:type="pct"/>
            <w:noWrap w:val="0"/>
            <w:vAlign w:val="center"/>
          </w:tcPr>
          <w:p w14:paraId="1922FC13">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（1）应每月制定消杀工作计划。消杀工作计划应包括消杀对象、消杀区域、消杀方式 与药物配比、消杀时间等。</w:t>
            </w:r>
          </w:p>
          <w:p w14:paraId="575FA025">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（2）“四害”、白蚁、红火蚁等消杀防治工作应由专业人员操作，消杀人员应按规定着统一标识服装，穿长衣、长裤、戴口罩、手套。</w:t>
            </w:r>
          </w:p>
          <w:p w14:paraId="3565D03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（3）灭蟑螂、苍蝇、蚊子每周至少进行 1 次；灭鼠一般每月至少进行 2 次，在夏季老鼠频繁期每月至少 3 次。</w:t>
            </w:r>
          </w:p>
          <w:p w14:paraId="666867D1">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（4）采用低毒、环保、符合国家农药管理规定的消杀药物。</w:t>
            </w:r>
          </w:p>
          <w:p w14:paraId="3F18900F">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消杀区域包括但不限于以下区域：服务区域内的各人行通道、各楼层的梯口、公共洗手间及房屋周围；垃圾桶、垃圾池、化粪池、污水井等室外公共区域；雨水井、排水沟等较阴暗潮湿区域；办公用房、设备房、洗手间、空置房；绿化带周围。</w:t>
            </w:r>
          </w:p>
          <w:p w14:paraId="6AB9EE55">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（6）每次消杀工作前应至少提前 1 日告知采购人，并在作业现场设置安全警示牌，采取相应安全保护措施，确保人员安全。消杀作业完毕应将器具、药具统一清洗并送至指定地点保管。灭鼠 1 周后撤回饵料。</w:t>
            </w:r>
          </w:p>
        </w:tc>
      </w:tr>
      <w:tr w14:paraId="02D76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68" w:type="pct"/>
            <w:noWrap w:val="0"/>
            <w:vAlign w:val="center"/>
          </w:tcPr>
          <w:p w14:paraId="3EA6511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913" w:type="pct"/>
            <w:noWrap w:val="0"/>
            <w:vAlign w:val="center"/>
          </w:tcPr>
          <w:p w14:paraId="4D3ECEED">
            <w:pPr>
              <w:pStyle w:val="125"/>
              <w:keepNext w:val="0"/>
              <w:keepLines w:val="0"/>
              <w:pageBreakBefore w:val="0"/>
              <w:numPr>
                <w:ilvl w:val="0"/>
                <w:numId w:val="0"/>
              </w:numPr>
              <w:tabs>
                <w:tab w:val="left" w:pos="524"/>
              </w:tabs>
              <w:wordWrap/>
              <w:topLinePunct w:val="0"/>
              <w:bidi w:val="0"/>
              <w:adjustRightInd/>
              <w:spacing w:beforeAutospacing="0" w:afterAutospacing="0" w:line="240" w:lineRule="auto"/>
              <w:ind w:left="0" w:leftChars="0" w:right="0" w:firstLine="0"/>
              <w:jc w:val="center"/>
              <w:rPr>
                <w:rFonts w:hint="eastAsia" w:ascii="宋体" w:hAnsi="宋体" w:eastAsia="宋体" w:cs="宋体"/>
                <w:b w:val="0"/>
                <w:bCs w:val="0"/>
                <w:color w:val="auto"/>
                <w:spacing w:val="-4"/>
                <w:sz w:val="21"/>
                <w:szCs w:val="21"/>
                <w:highlight w:val="none"/>
              </w:rPr>
            </w:pPr>
            <w:r>
              <w:rPr>
                <w:rFonts w:hint="eastAsia" w:ascii="宋体" w:hAnsi="宋体" w:eastAsia="宋体" w:cs="宋体"/>
                <w:b w:val="0"/>
                <w:bCs w:val="0"/>
                <w:color w:val="auto"/>
                <w:spacing w:val="-4"/>
                <w:sz w:val="21"/>
                <w:szCs w:val="21"/>
                <w:highlight w:val="none"/>
              </w:rPr>
              <w:t>食堂下水管道油污清理、化粪池清理、厨余垃圾清运（垃圾分类与收集）</w:t>
            </w:r>
          </w:p>
          <w:p w14:paraId="53DEA48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717" w:type="pct"/>
            <w:noWrap w:val="0"/>
            <w:vAlign w:val="center"/>
          </w:tcPr>
          <w:p w14:paraId="0FFB6749">
            <w:pPr>
              <w:keepNext w:val="0"/>
              <w:keepLines w:val="0"/>
              <w:pageBreakBefore w:val="0"/>
              <w:numPr>
                <w:ilvl w:val="0"/>
                <w:numId w:val="6"/>
              </w:numPr>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餐厨垃圾需进行源头单独分类收集，严禁餐厨垃圾与其它垃圾混合收集。应采用密闭、防腐专用容器盛装，采用密闭式专用收集车进行收集。餐厨垃圾应做到日产日清，在容器中存放时间不应超过 24 小时，每天将厨余垃圾运到指定清运地点，待市政府环卫倾倒后，将空垃圾桶拉回厨房，并清洗干净。</w:t>
            </w:r>
          </w:p>
          <w:p w14:paraId="388440E9">
            <w:pPr>
              <w:keepNext w:val="0"/>
              <w:keepLines w:val="0"/>
              <w:pageBreakBefore w:val="0"/>
              <w:numPr>
                <w:ilvl w:val="0"/>
                <w:numId w:val="0"/>
              </w:numPr>
              <w:wordWrap/>
              <w:topLinePunct w:val="0"/>
              <w:bidi w:val="0"/>
              <w:adjustRightInd/>
              <w:spacing w:beforeAutospacing="0" w:afterAutospacing="0" w:line="240" w:lineRule="auto"/>
              <w:ind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对食堂隔油池进行</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次清理，确保隔油池保持干净状态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每半年对物业化粪池进行一次清掏工作，每年不少于 2 次，确保化粪池不发生堵塞情况，若发生堵塞情况，需临时增加清掏工作的，所有费用由中标人承担。</w:t>
            </w:r>
          </w:p>
          <w:p w14:paraId="5416A0B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合采购人推行垃圾分类措施，在服务区域内设置分类投放点，分类投放点应设置玻璃、金属、塑料、纸类、电池、灯管垃圾收集容器；设置餐厨垃圾收集容器；根据实际需要设置少量单一的"其他垃圾"收集容器；分类投放点应配套设置投放指引牌或标识。</w:t>
            </w:r>
          </w:p>
          <w:p w14:paraId="62F86E35">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（4）每日收集垃圾，垃圾袋装率 100%（大件木板等装修垃圾除外），收集率 100%，运至指定地点并堆放整齐，收运过程无洒漏。无异味溢出，防止二次污染。如有泄露污染地面，应立即清洁干净。</w:t>
            </w:r>
          </w:p>
          <w:p w14:paraId="2262357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（5）采用密封垃圾运输车清运垃圾至街道指定地点，运送垃圾应避开人流高峰，不得使用客用电梯运送垃圾。装修垃圾清运途中，不得损坏电梯、墙壁、门等设备设施或在地板上拖拉。</w:t>
            </w:r>
          </w:p>
          <w:p w14:paraId="4919FA11">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（6）垃圾中转站外墙/外围每日至少清扫冲洗 1 次，每月车少进行 1 次全面清洁，保持地面清洁干燥，无散落垃圾、污水、油污，墙面无污垢、排水通畅。垃圾房、垃圾池每日至少清扫冲洗 1 次，每月至少进行 1 次全面清洁，保证垃圾日产日清、袋装化，无污水横流、无异味，无蚊蝇。</w:t>
            </w:r>
          </w:p>
          <w:p w14:paraId="13EB98D1">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（7）排水沟每日至少清理 1 次，每月至少进行 1 次全面清洁，保证排水沟无垃圾、无堵塞。垃圾</w:t>
            </w:r>
          </w:p>
          <w:p w14:paraId="722C8AE5">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桶每日至少清洁擦拭 1 次，保证垃圾桶外无污渍，垃圾桶内及地面保持无积水、无污迹、无异味。</w:t>
            </w:r>
          </w:p>
          <w:p w14:paraId="387C3D3F">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（8）运输用手推车半年翻新油漆 1 次。容器和工具完好率为 98%以上。</w:t>
            </w:r>
          </w:p>
        </w:tc>
      </w:tr>
    </w:tbl>
    <w:p w14:paraId="396DC5CA">
      <w:pPr>
        <w:pStyle w:val="33"/>
        <w:keepNext w:val="0"/>
        <w:keepLines w:val="0"/>
        <w:pageBreakBefore w:val="0"/>
        <w:shd w:val="clear" w:color="auto" w:fill="FFFFFF"/>
        <w:wordWrap/>
        <w:topLinePunct w:val="0"/>
        <w:bidi w:val="0"/>
        <w:adjustRightInd/>
        <w:spacing w:before="0" w:beforeAutospacing="0" w:after="0" w:afterAutospacing="0" w:line="240" w:lineRule="auto"/>
        <w:ind w:left="0" w:leftChars="0" w:right="0" w:firstLine="454" w:firstLineChars="200"/>
        <w:jc w:val="both"/>
        <w:outlineLvl w:val="5"/>
        <w:rPr>
          <w:rStyle w:val="40"/>
          <w:rFonts w:hint="eastAsia" w:ascii="宋体" w:hAnsi="宋体" w:eastAsia="宋体" w:cs="宋体"/>
          <w:color w:val="auto"/>
          <w:spacing w:val="8"/>
          <w:sz w:val="21"/>
          <w:szCs w:val="21"/>
          <w:highlight w:val="none"/>
          <w:shd w:val="clear" w:color="auto" w:fill="FFFFFF"/>
        </w:rPr>
      </w:pPr>
      <w:r>
        <w:rPr>
          <w:rStyle w:val="40"/>
          <w:rFonts w:hint="eastAsia" w:ascii="宋体" w:hAnsi="宋体" w:eastAsia="宋体" w:cs="宋体"/>
          <w:color w:val="auto"/>
          <w:spacing w:val="8"/>
          <w:sz w:val="21"/>
          <w:szCs w:val="21"/>
          <w:highlight w:val="none"/>
          <w:shd w:val="clear" w:color="auto" w:fill="FFFFFF"/>
        </w:rPr>
        <w:t>3.3.1具体清洁要求</w:t>
      </w:r>
    </w:p>
    <w:tbl>
      <w:tblPr>
        <w:tblStyle w:val="37"/>
        <w:tblW w:w="5011" w:type="pct"/>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41"/>
        <w:gridCol w:w="1659"/>
        <w:gridCol w:w="6024"/>
      </w:tblGrid>
      <w:tr w14:paraId="3C30A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5" w:type="pct"/>
            <w:noWrap w:val="0"/>
            <w:vAlign w:val="center"/>
          </w:tcPr>
          <w:p w14:paraId="1F55945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96" w:type="pct"/>
            <w:noWrap w:val="0"/>
            <w:vAlign w:val="center"/>
          </w:tcPr>
          <w:p w14:paraId="40CE411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材质</w:t>
            </w:r>
          </w:p>
        </w:tc>
        <w:tc>
          <w:tcPr>
            <w:tcW w:w="3617" w:type="pct"/>
            <w:noWrap w:val="0"/>
            <w:vAlign w:val="center"/>
          </w:tcPr>
          <w:p w14:paraId="6E0F5E6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清洁要求</w:t>
            </w:r>
          </w:p>
        </w:tc>
      </w:tr>
      <w:tr w14:paraId="3ECC5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5" w:type="pct"/>
            <w:vMerge w:val="restart"/>
            <w:noWrap w:val="0"/>
            <w:vAlign w:val="center"/>
          </w:tcPr>
          <w:p w14:paraId="5856F3E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6" w:type="pct"/>
            <w:vMerge w:val="restart"/>
            <w:noWrap w:val="0"/>
            <w:vAlign w:val="center"/>
          </w:tcPr>
          <w:p w14:paraId="3A0CAC9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瓷砖地面</w:t>
            </w:r>
          </w:p>
        </w:tc>
        <w:tc>
          <w:tcPr>
            <w:tcW w:w="3617" w:type="pct"/>
            <w:noWrap w:val="0"/>
            <w:vAlign w:val="center"/>
          </w:tcPr>
          <w:p w14:paraId="39935C15">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1、日常清洁：推尘，保持地面干净无杂物。</w:t>
            </w:r>
          </w:p>
        </w:tc>
      </w:tr>
      <w:tr w14:paraId="1AE95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5" w:type="pct"/>
            <w:vMerge w:val="continue"/>
            <w:noWrap w:val="0"/>
            <w:vAlign w:val="top"/>
          </w:tcPr>
          <w:p w14:paraId="3F7632BC">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p>
        </w:tc>
        <w:tc>
          <w:tcPr>
            <w:tcW w:w="996" w:type="pct"/>
            <w:vMerge w:val="continue"/>
            <w:noWrap w:val="0"/>
            <w:vAlign w:val="top"/>
          </w:tcPr>
          <w:p w14:paraId="31C90BB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17" w:type="pct"/>
            <w:noWrap w:val="0"/>
            <w:vAlign w:val="center"/>
          </w:tcPr>
          <w:p w14:paraId="0A22742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2、深度清洁：使用洗洁精或肥皂水清理。</w:t>
            </w:r>
          </w:p>
        </w:tc>
      </w:tr>
      <w:tr w14:paraId="6F389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5" w:type="pct"/>
            <w:vMerge w:val="restart"/>
            <w:noWrap w:val="0"/>
            <w:vAlign w:val="center"/>
          </w:tcPr>
          <w:p w14:paraId="27B7A19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6" w:type="pct"/>
            <w:vMerge w:val="restart"/>
            <w:noWrap w:val="0"/>
            <w:vAlign w:val="center"/>
          </w:tcPr>
          <w:p w14:paraId="0B38C89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石材地面</w:t>
            </w:r>
          </w:p>
        </w:tc>
        <w:tc>
          <w:tcPr>
            <w:tcW w:w="3617" w:type="pct"/>
            <w:noWrap w:val="0"/>
            <w:vAlign w:val="center"/>
          </w:tcPr>
          <w:p w14:paraId="7FC268D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1、根据各区域的人流量及大理石的实际磨损程度制定大理石的晶面保养计划。</w:t>
            </w:r>
          </w:p>
        </w:tc>
      </w:tr>
      <w:tr w14:paraId="467D6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5" w:type="pct"/>
            <w:vMerge w:val="continue"/>
            <w:noWrap w:val="0"/>
            <w:vAlign w:val="top"/>
          </w:tcPr>
          <w:p w14:paraId="3E384ED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6" w:type="pct"/>
            <w:vMerge w:val="continue"/>
            <w:noWrap w:val="0"/>
            <w:vAlign w:val="top"/>
          </w:tcPr>
          <w:p w14:paraId="0FCEBAB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17" w:type="pct"/>
            <w:noWrap w:val="0"/>
            <w:vAlign w:val="center"/>
          </w:tcPr>
          <w:p w14:paraId="4FE2F1F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2、启动晶面机，使用中性清洁剂清洁，避免使用强酸或强碱清洁剂，定期进行基础维护。</w:t>
            </w:r>
          </w:p>
        </w:tc>
      </w:tr>
      <w:tr w14:paraId="03205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5" w:type="pct"/>
            <w:vMerge w:val="restart"/>
            <w:noWrap w:val="0"/>
            <w:vAlign w:val="center"/>
          </w:tcPr>
          <w:p w14:paraId="17D81F6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6" w:type="pct"/>
            <w:vMerge w:val="restart"/>
            <w:noWrap w:val="0"/>
            <w:vAlign w:val="center"/>
          </w:tcPr>
          <w:p w14:paraId="044CEB4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地胶板地面</w:t>
            </w:r>
          </w:p>
        </w:tc>
        <w:tc>
          <w:tcPr>
            <w:tcW w:w="3617" w:type="pct"/>
            <w:noWrap w:val="0"/>
            <w:vAlign w:val="center"/>
          </w:tcPr>
          <w:p w14:paraId="194FB423">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1、定期保养。使用中性清洁剂清洁，避免使用强酸或强碱清洁剂，定期进行基础维护。</w:t>
            </w:r>
          </w:p>
        </w:tc>
      </w:tr>
      <w:tr w14:paraId="765B8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5" w:type="pct"/>
            <w:vMerge w:val="continue"/>
            <w:noWrap w:val="0"/>
            <w:vAlign w:val="top"/>
          </w:tcPr>
          <w:p w14:paraId="364E0B8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6" w:type="pct"/>
            <w:vMerge w:val="continue"/>
            <w:noWrap w:val="0"/>
            <w:vAlign w:val="top"/>
          </w:tcPr>
          <w:p w14:paraId="6FAE27B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17" w:type="pct"/>
            <w:noWrap w:val="0"/>
            <w:vAlign w:val="center"/>
          </w:tcPr>
          <w:p w14:paraId="6EF89A95">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2、日常维护。使用湿润的拖把清洁，污染严重时局部清洁。</w:t>
            </w:r>
          </w:p>
        </w:tc>
      </w:tr>
      <w:tr w14:paraId="7B55F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5" w:type="pct"/>
            <w:vMerge w:val="restart"/>
            <w:noWrap w:val="0"/>
            <w:vAlign w:val="center"/>
          </w:tcPr>
          <w:p w14:paraId="7C352BB2">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96" w:type="pct"/>
            <w:vMerge w:val="restart"/>
            <w:noWrap w:val="0"/>
            <w:vAlign w:val="center"/>
          </w:tcPr>
          <w:p w14:paraId="6AFFE3D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木板地面</w:t>
            </w:r>
          </w:p>
        </w:tc>
        <w:tc>
          <w:tcPr>
            <w:tcW w:w="3617" w:type="pct"/>
            <w:noWrap w:val="0"/>
            <w:vAlign w:val="center"/>
          </w:tcPr>
          <w:p w14:paraId="76195422">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1、定期保养。使用中性清洁剂清洁，避免使用强酸或强碱清洁剂，定期进行基础维护。</w:t>
            </w:r>
          </w:p>
        </w:tc>
      </w:tr>
      <w:tr w14:paraId="3F1638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5" w:type="pct"/>
            <w:vMerge w:val="continue"/>
            <w:noWrap w:val="0"/>
            <w:vAlign w:val="center"/>
          </w:tcPr>
          <w:p w14:paraId="4B3CAC82">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996" w:type="pct"/>
            <w:vMerge w:val="continue"/>
            <w:noWrap w:val="0"/>
            <w:vAlign w:val="center"/>
          </w:tcPr>
          <w:p w14:paraId="7941839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617" w:type="pct"/>
            <w:noWrap w:val="0"/>
            <w:vAlign w:val="center"/>
          </w:tcPr>
          <w:p w14:paraId="7243F4D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2、日常维护。使用湿润的拖把清洁，污染严重时局部清洁。</w:t>
            </w:r>
          </w:p>
        </w:tc>
      </w:tr>
      <w:tr w14:paraId="4A129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5" w:type="pct"/>
            <w:noWrap w:val="0"/>
            <w:vAlign w:val="center"/>
          </w:tcPr>
          <w:p w14:paraId="3EF932F7">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96" w:type="pct"/>
            <w:noWrap w:val="0"/>
            <w:vAlign w:val="center"/>
          </w:tcPr>
          <w:p w14:paraId="36F9E4D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乳胶漆内墙</w:t>
            </w:r>
          </w:p>
        </w:tc>
        <w:tc>
          <w:tcPr>
            <w:tcW w:w="3617" w:type="pct"/>
            <w:noWrap w:val="0"/>
            <w:vAlign w:val="center"/>
          </w:tcPr>
          <w:p w14:paraId="20131E3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有污渍时用半干布擦拭。</w:t>
            </w:r>
          </w:p>
        </w:tc>
      </w:tr>
      <w:tr w14:paraId="0A5A7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5" w:type="pct"/>
            <w:noWrap w:val="0"/>
            <w:vAlign w:val="center"/>
          </w:tcPr>
          <w:p w14:paraId="1B83F1CA">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96" w:type="pct"/>
            <w:noWrap w:val="0"/>
            <w:vAlign w:val="center"/>
          </w:tcPr>
          <w:p w14:paraId="103CFF9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石材内墙</w:t>
            </w:r>
          </w:p>
        </w:tc>
        <w:tc>
          <w:tcPr>
            <w:tcW w:w="3617" w:type="pct"/>
            <w:noWrap w:val="0"/>
            <w:vAlign w:val="center"/>
          </w:tcPr>
          <w:p w14:paraId="2A6A7AA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有污渍时用半干布擦拭。</w:t>
            </w:r>
          </w:p>
        </w:tc>
      </w:tr>
    </w:tbl>
    <w:p w14:paraId="4F1953BF">
      <w:pPr>
        <w:pStyle w:val="33"/>
        <w:keepNext w:val="0"/>
        <w:keepLines w:val="0"/>
        <w:pageBreakBefore w:val="0"/>
        <w:shd w:val="clear" w:color="auto" w:fill="FFFFFF"/>
        <w:wordWrap/>
        <w:topLinePunct w:val="0"/>
        <w:bidi w:val="0"/>
        <w:adjustRightInd/>
        <w:spacing w:before="0" w:beforeAutospacing="0" w:after="0" w:afterAutospacing="0" w:line="240" w:lineRule="auto"/>
        <w:ind w:left="0" w:leftChars="0" w:right="0" w:firstLine="454" w:firstLineChars="200"/>
        <w:jc w:val="both"/>
        <w:outlineLvl w:val="4"/>
        <w:rPr>
          <w:rStyle w:val="40"/>
          <w:rFonts w:hint="eastAsia" w:ascii="宋体" w:hAnsi="宋体" w:eastAsia="宋体" w:cs="宋体"/>
          <w:color w:val="auto"/>
          <w:spacing w:val="8"/>
          <w:sz w:val="21"/>
          <w:szCs w:val="21"/>
          <w:highlight w:val="none"/>
          <w:shd w:val="clear" w:color="auto" w:fill="FFFFFF"/>
        </w:rPr>
      </w:pPr>
      <w:r>
        <w:rPr>
          <w:rStyle w:val="40"/>
          <w:rFonts w:hint="eastAsia" w:ascii="宋体" w:hAnsi="宋体" w:eastAsia="宋体" w:cs="宋体"/>
          <w:color w:val="auto"/>
          <w:spacing w:val="8"/>
          <w:sz w:val="21"/>
          <w:szCs w:val="21"/>
          <w:highlight w:val="none"/>
          <w:shd w:val="clear" w:color="auto" w:fill="FFFFFF"/>
        </w:rPr>
        <w:t>3.4绿化服务</w:t>
      </w:r>
    </w:p>
    <w:tbl>
      <w:tblPr>
        <w:tblStyle w:val="37"/>
        <w:tblW w:w="5007" w:type="pct"/>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37"/>
        <w:gridCol w:w="1706"/>
        <w:gridCol w:w="5975"/>
      </w:tblGrid>
      <w:tr w14:paraId="7A507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noWrap w:val="0"/>
            <w:vAlign w:val="center"/>
          </w:tcPr>
          <w:p w14:paraId="36134CE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25" w:type="pct"/>
            <w:noWrap w:val="0"/>
            <w:vAlign w:val="center"/>
          </w:tcPr>
          <w:p w14:paraId="592D79C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w:t>
            </w:r>
          </w:p>
        </w:tc>
        <w:tc>
          <w:tcPr>
            <w:tcW w:w="3591" w:type="pct"/>
            <w:noWrap w:val="0"/>
            <w:vAlign w:val="center"/>
          </w:tcPr>
          <w:p w14:paraId="6248310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服务标准</w:t>
            </w:r>
          </w:p>
        </w:tc>
      </w:tr>
      <w:tr w14:paraId="6CDC7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restart"/>
            <w:noWrap w:val="0"/>
            <w:vAlign w:val="center"/>
          </w:tcPr>
          <w:p w14:paraId="299123E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25" w:type="pct"/>
            <w:vMerge w:val="restart"/>
            <w:noWrap w:val="0"/>
            <w:vAlign w:val="center"/>
          </w:tcPr>
          <w:p w14:paraId="64BAAB87">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w:t>
            </w:r>
          </w:p>
        </w:tc>
        <w:tc>
          <w:tcPr>
            <w:tcW w:w="3591" w:type="pct"/>
            <w:noWrap w:val="0"/>
            <w:vAlign w:val="center"/>
          </w:tcPr>
          <w:p w14:paraId="6115C73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1、制定绿化服务的工作制度及工作计划，并按照执行。做好绿化服务工作记录，填写规范。</w:t>
            </w:r>
          </w:p>
        </w:tc>
      </w:tr>
      <w:tr w14:paraId="7D764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3DEF7A2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0420800C">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69904EA7">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除服务区域内现有室外固定地植正常生长的各类植物外，由中标人承担服务区域内室内外盆栽植物的配置，并负责对所有植物的养护管理。中标人应依据绿化养护服务合同、季节变化和绿化植物的生长特点，制定养护和配置计划，对养护过程进行控制，对绿化植物和设施进行分类养护、补植和维护，保持绿地清洁。在雨水缺少的季节应增加浇水频次，雨季注意排涝，每次养护或清理产生的操作设备租赁、运输清洁费用由中标人全包。</w:t>
            </w:r>
          </w:p>
          <w:p w14:paraId="6DAA2BC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2.2室外地植植物自然凋谢或死亡的，中标人应及时以书面形式向采购人报告，并提出更换、补种的方案或建议，经采购人同意后实施，单株或一次批量不超过 500 元的植物，由中标人负责采购补种，单株或一次批量超过 500 元的植物由采购人采购，中标人进行补种。个人购置的植物，中标人只负责养护，不负责更换。</w:t>
            </w:r>
          </w:p>
          <w:p w14:paraId="467BAFF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2.3服务区域内的树木按规定悬挂树种铭牌。每月2 次清理绿化区域内的鼠迹、蟑迹和鼠洞堵塞，清理绿化区域内乱张贴和乱搭挂物；每天清理花盆、绿化地中的垃圾、杂物。</w:t>
            </w:r>
          </w:p>
          <w:p w14:paraId="489933F9">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2.4进入办公室养护花木时，要注意礼节礼貌, 讲话和气，态度诚恳大方，严禁翻动办公室内的任何物品，更不能监守自盗，侵占他人物品。</w:t>
            </w:r>
          </w:p>
          <w:p w14:paraId="3284F46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2.5工作人员要统一穿工作服，仪表整洁，工作时佩戴工作证，男性不得留长胡须或怪异发型，女的不能披肩散发，工作时带齐日常养护所需的工具，工作期间不得喧哗、闲聊</w:t>
            </w:r>
            <w:r>
              <w:rPr>
                <w:rFonts w:hint="eastAsia" w:ascii="宋体" w:hAnsi="宋体" w:eastAsia="宋体" w:cs="宋体"/>
                <w:color w:val="auto"/>
                <w:sz w:val="21"/>
                <w:szCs w:val="21"/>
                <w:highlight w:val="none"/>
                <w:lang w:eastAsia="zh-CN"/>
              </w:rPr>
              <w:t>。</w:t>
            </w:r>
          </w:p>
        </w:tc>
      </w:tr>
      <w:tr w14:paraId="54205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0A8FD19C">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0FD51119">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0EFE98E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3、绿化养护从业人员应经由培训上岗；在进行修剪、打药等操作时，采取安全防护措施，穿戴安全制服、安全帽、手套等，做好防护措施，工作现场必要时应设立安全标志牌，防止对作业人员或他人造成伤害。</w:t>
            </w:r>
          </w:p>
        </w:tc>
      </w:tr>
      <w:tr w14:paraId="6AA0A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3ACBACE1">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6CBC69D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2CD227D0">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可对绿化养护情况进行检查，如发现不符合绿化要求的将对中标人提出整改要求，如中标人在规定期限内不能按要求完成，采购人酌情考虑扣罚。绿化工作中使用的工具器械、设备设施及化肥农药等耗材费用由中标人承担。相关耗材的环保、安全性应当符合规定要求。</w:t>
            </w:r>
          </w:p>
        </w:tc>
      </w:tr>
      <w:tr w14:paraId="117E4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restart"/>
            <w:noWrap w:val="0"/>
            <w:vAlign w:val="center"/>
          </w:tcPr>
          <w:p w14:paraId="254FAF9C">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25" w:type="pct"/>
            <w:vMerge w:val="restart"/>
            <w:noWrap w:val="0"/>
            <w:vAlign w:val="center"/>
          </w:tcPr>
          <w:p w14:paraId="25B2113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室外绿化养护</w:t>
            </w:r>
          </w:p>
        </w:tc>
        <w:tc>
          <w:tcPr>
            <w:tcW w:w="3591" w:type="pct"/>
            <w:noWrap w:val="0"/>
            <w:vAlign w:val="center"/>
          </w:tcPr>
          <w:p w14:paraId="414D685F">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1、严格按照采购人的绿化养护工作要求进行绿化养护，绿化进行科学养护，植物定时进行更换，清除体表灰尘，促进植株美观，确保植物处于良好的生长状态。</w:t>
            </w:r>
          </w:p>
        </w:tc>
      </w:tr>
      <w:tr w14:paraId="70A43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5C7833F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2C8EF94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31480BF7">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2、花草树木长势良好，无旱涝、缺水现象，及时做好病虫防治工作。</w:t>
            </w:r>
          </w:p>
        </w:tc>
      </w:tr>
      <w:tr w14:paraId="57E36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5C7E382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247C11C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049930F6">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3、绿地无明显杂草、烟头、杂物、垃圾。</w:t>
            </w:r>
          </w:p>
        </w:tc>
      </w:tr>
      <w:tr w14:paraId="2E9D0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1CF1DDC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34CECAE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7BFD631C">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4、乔木、灌木：树形美观、无明显枯病树枝、无枯黄叶，正常开花。</w:t>
            </w:r>
          </w:p>
        </w:tc>
      </w:tr>
      <w:tr w14:paraId="01680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76E7E0A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7A851E4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30E9F1B4">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5、绿篱：平齐、造型明显。</w:t>
            </w:r>
          </w:p>
        </w:tc>
      </w:tr>
      <w:tr w14:paraId="46F53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37087F8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2071B8C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1C171CF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6、草坪：高度一致，并须控制在10厘米以内。</w:t>
            </w:r>
          </w:p>
        </w:tc>
      </w:tr>
      <w:tr w14:paraId="3C5FB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1D13C2C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50DC5B5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4CB01486">
            <w:pPr>
              <w:pStyle w:val="126"/>
              <w:keepNext w:val="0"/>
              <w:keepLines w:val="0"/>
              <w:pageBreakBefore w:val="0"/>
              <w:kinsoku w:val="0"/>
              <w:wordWrap/>
              <w:overflowPunct w:val="0"/>
              <w:topLinePunct w:val="0"/>
              <w:autoSpaceDE w:val="0"/>
              <w:autoSpaceDN w:val="0"/>
              <w:bidi w:val="0"/>
              <w:adjustRightInd/>
              <w:snapToGrid w:val="0"/>
              <w:spacing w:beforeAutospacing="0" w:afterAutospacing="0" w:line="240" w:lineRule="auto"/>
              <w:ind w:left="0" w:leftChars="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7、无死苗，绿篱、草坪完整无缺，出现死苗、缺苗，一周内补种。</w:t>
            </w:r>
          </w:p>
        </w:tc>
      </w:tr>
      <w:tr w14:paraId="2D470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3D4CB37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40631DA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096AC681">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8、作业时无漏洒现象，绿化垃圾当天内清理完毕。</w:t>
            </w:r>
          </w:p>
        </w:tc>
      </w:tr>
      <w:tr w14:paraId="70BB3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58E235B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525ED1C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4B6C9FA1">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9、绿化无垃圾、烟头等杂物。</w:t>
            </w:r>
          </w:p>
        </w:tc>
      </w:tr>
      <w:tr w14:paraId="62BF9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70A2D79E">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6C98541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234DB6B1">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10、新种树木有保护架，台风前做好树木保护措施，暴风雨过后12小时草地无明显积水，树木无倾斜，断枝、落叶在12小时内处理完毕。</w:t>
            </w:r>
          </w:p>
        </w:tc>
      </w:tr>
      <w:tr w14:paraId="5BD9C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04EF0E06">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19DA3D3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3AF304B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11、绿化水管、阀门、水龙头保持完好，如有自然损坏及时报告维修。</w:t>
            </w:r>
          </w:p>
        </w:tc>
      </w:tr>
      <w:tr w14:paraId="263CA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6A68419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0000CE80">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1F9BBB21">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12、制定和落实绿化养护工作计划，书面告知采购人，记录每次绿化养护工作，每月就落实情况与采购人确认。</w:t>
            </w:r>
          </w:p>
        </w:tc>
      </w:tr>
      <w:tr w14:paraId="61B4D2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53C5344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5C219AC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0A707F4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13、绿化工作人员操作熟练、规范。</w:t>
            </w:r>
          </w:p>
        </w:tc>
      </w:tr>
      <w:tr w14:paraId="3C0DF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vMerge w:val="continue"/>
            <w:noWrap w:val="0"/>
            <w:vAlign w:val="top"/>
          </w:tcPr>
          <w:p w14:paraId="141B141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25" w:type="pct"/>
            <w:vMerge w:val="continue"/>
            <w:noWrap w:val="0"/>
            <w:vAlign w:val="top"/>
          </w:tcPr>
          <w:p w14:paraId="37114F8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91" w:type="pct"/>
            <w:noWrap w:val="0"/>
            <w:vAlign w:val="center"/>
          </w:tcPr>
          <w:p w14:paraId="4193FF4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14、对于采购人提出的合理意见及时落实或整改。</w:t>
            </w:r>
          </w:p>
        </w:tc>
      </w:tr>
      <w:tr w14:paraId="3BEE8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83" w:type="pct"/>
            <w:noWrap w:val="0"/>
            <w:vAlign w:val="center"/>
          </w:tcPr>
          <w:p w14:paraId="6466F6C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25" w:type="pct"/>
            <w:noWrap w:val="0"/>
            <w:vAlign w:val="center"/>
          </w:tcPr>
          <w:p w14:paraId="6132A06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办公楼内部绿化摆放、养护</w:t>
            </w:r>
          </w:p>
        </w:tc>
        <w:tc>
          <w:tcPr>
            <w:tcW w:w="3591" w:type="pct"/>
            <w:noWrap w:val="0"/>
            <w:vAlign w:val="center"/>
          </w:tcPr>
          <w:p w14:paraId="1827A46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室内绿化养护：室内绿化必需用陶瓷花盆或同等以上材质，绿化植物应生长良好，树形优美，长期保持叶面清洁光泽，花朵鲜艳。无枯叶，无黄叶，花盆干净，底盆无积水现象，无病虫害，每日喷洒叶面，适度淋水，施肥。应选用无毒、无害、无味、园艺型肥料。进行存活率、造景、修剪、施肥、病虫害控制。发现病变、虫害、枯萎应予以更换。</w:t>
            </w:r>
          </w:p>
          <w:p w14:paraId="4DCADB7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室内绿化摆放：根据采购人需要和标准，在室内办公室内及公共场所公共位置摆放绿化，布局合理、均匀、疏密有度。绿化植物的色彩、形态和气质应与空间大小、装饰氛围及功能相协调。应选择光度、温度、湿度的耐受程度适宜，观赏性强、观赏周期长，管理方便的品种。</w:t>
            </w:r>
          </w:p>
        </w:tc>
      </w:tr>
    </w:tbl>
    <w:p w14:paraId="60D00B80">
      <w:pPr>
        <w:pStyle w:val="33"/>
        <w:keepNext w:val="0"/>
        <w:keepLines w:val="0"/>
        <w:pageBreakBefore w:val="0"/>
        <w:shd w:val="clear" w:color="auto" w:fill="FFFFFF"/>
        <w:wordWrap/>
        <w:topLinePunct w:val="0"/>
        <w:bidi w:val="0"/>
        <w:adjustRightInd/>
        <w:spacing w:before="0" w:beforeAutospacing="0" w:after="0" w:afterAutospacing="0" w:line="240" w:lineRule="auto"/>
        <w:ind w:left="0" w:leftChars="0" w:right="0" w:firstLine="454" w:firstLineChars="200"/>
        <w:jc w:val="both"/>
        <w:outlineLvl w:val="4"/>
        <w:rPr>
          <w:rStyle w:val="40"/>
          <w:rFonts w:hint="eastAsia" w:ascii="宋体" w:hAnsi="宋体" w:eastAsia="宋体" w:cs="宋体"/>
          <w:color w:val="auto"/>
          <w:spacing w:val="8"/>
          <w:sz w:val="21"/>
          <w:szCs w:val="21"/>
          <w:highlight w:val="none"/>
          <w:shd w:val="clear" w:color="auto" w:fill="FFFFFF"/>
        </w:rPr>
      </w:pPr>
      <w:r>
        <w:rPr>
          <w:rStyle w:val="40"/>
          <w:rFonts w:hint="eastAsia" w:ascii="宋体" w:hAnsi="宋体" w:eastAsia="宋体" w:cs="宋体"/>
          <w:color w:val="auto"/>
          <w:spacing w:val="8"/>
          <w:sz w:val="21"/>
          <w:szCs w:val="21"/>
          <w:highlight w:val="none"/>
          <w:shd w:val="clear" w:color="auto" w:fill="FFFFFF"/>
        </w:rPr>
        <w:t>3.5保安服务</w:t>
      </w:r>
    </w:p>
    <w:tbl>
      <w:tblPr>
        <w:tblStyle w:val="37"/>
        <w:tblW w:w="5005" w:type="pct"/>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50"/>
        <w:gridCol w:w="1715"/>
        <w:gridCol w:w="5949"/>
      </w:tblGrid>
      <w:tr w14:paraId="197DA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noWrap w:val="0"/>
            <w:vAlign w:val="center"/>
          </w:tcPr>
          <w:p w14:paraId="13B2D3B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31" w:type="pct"/>
            <w:noWrap w:val="0"/>
            <w:vAlign w:val="center"/>
          </w:tcPr>
          <w:p w14:paraId="2F64BF0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w:t>
            </w:r>
          </w:p>
        </w:tc>
        <w:tc>
          <w:tcPr>
            <w:tcW w:w="3577" w:type="pct"/>
            <w:noWrap w:val="0"/>
            <w:vAlign w:val="center"/>
          </w:tcPr>
          <w:p w14:paraId="7F77437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服务标准</w:t>
            </w:r>
          </w:p>
        </w:tc>
      </w:tr>
      <w:tr w14:paraId="794F4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restart"/>
            <w:noWrap w:val="0"/>
            <w:vAlign w:val="center"/>
          </w:tcPr>
          <w:p w14:paraId="63F3652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31" w:type="pct"/>
            <w:vMerge w:val="restart"/>
            <w:noWrap w:val="0"/>
            <w:vAlign w:val="center"/>
          </w:tcPr>
          <w:p w14:paraId="5166EB9A">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w:t>
            </w:r>
          </w:p>
        </w:tc>
        <w:tc>
          <w:tcPr>
            <w:tcW w:w="3577" w:type="pct"/>
            <w:noWrap w:val="0"/>
            <w:vAlign w:val="center"/>
          </w:tcPr>
          <w:p w14:paraId="456AEF50">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1、建立保安服务相关制度，并按照执行。</w:t>
            </w:r>
          </w:p>
        </w:tc>
      </w:tr>
      <w:tr w14:paraId="7AFCD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26F5FA5A">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62A15BB1">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0E865CD7">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2、对巡查、值守及异常情况等做好相关记录，填写规范，保存完好。</w:t>
            </w:r>
          </w:p>
        </w:tc>
      </w:tr>
      <w:tr w14:paraId="1E51E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2699DED1">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734E84F2">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70771C4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3、配备保安服务必要的器材。</w:t>
            </w:r>
          </w:p>
        </w:tc>
      </w:tr>
      <w:tr w14:paraId="28DC1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restart"/>
            <w:noWrap w:val="0"/>
            <w:vAlign w:val="center"/>
          </w:tcPr>
          <w:p w14:paraId="47C9B2B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1" w:type="pct"/>
            <w:vMerge w:val="restart"/>
            <w:noWrap w:val="0"/>
            <w:vAlign w:val="center"/>
          </w:tcPr>
          <w:p w14:paraId="0F9B44A9">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出入管理</w:t>
            </w:r>
          </w:p>
        </w:tc>
        <w:tc>
          <w:tcPr>
            <w:tcW w:w="3577" w:type="pct"/>
            <w:noWrap w:val="0"/>
            <w:vAlign w:val="center"/>
          </w:tcPr>
          <w:p w14:paraId="719C4096">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1、办公楼 (区) 主出入口应当实行 24小时值班制。</w:t>
            </w:r>
          </w:p>
        </w:tc>
      </w:tr>
      <w:tr w14:paraId="1B888F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4DD2BC4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340F674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019B1DF5">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2、设置门岗。</w:t>
            </w:r>
          </w:p>
        </w:tc>
      </w:tr>
      <w:tr w14:paraId="5340F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13CD983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3E0740D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2CC3949F">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3、在出入口对外来人员及其携带大件物品、外来车辆进行询问和记录，并与相关部门取得联系，同意后方可进入。</w:t>
            </w:r>
          </w:p>
        </w:tc>
      </w:tr>
      <w:tr w14:paraId="05FF5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324C197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42ABC25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5FC7315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4、大件物品搬出有相关部门开具的证明和清单，经核实后放行。</w:t>
            </w:r>
          </w:p>
        </w:tc>
      </w:tr>
      <w:tr w14:paraId="2B486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25D4400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132017A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206E5BC7">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5、排查可疑人员，对于不出示证件、不按规定登记、不听劝阻而强行闯入者，及时劝离，必要时通知公安机关进行处理。</w:t>
            </w:r>
          </w:p>
        </w:tc>
      </w:tr>
      <w:tr w14:paraId="53E1B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303F471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1C69331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1D36AD8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6、配合相关部门积极疏导上访人员，有效疏导如出入口人群集聚、车辆拥堵、货物堵塞道路等情况。</w:t>
            </w:r>
          </w:p>
        </w:tc>
      </w:tr>
      <w:tr w14:paraId="04D23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5A56EF8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12EB6AD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08D6688D">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7、根据物业服务合同约定，对物品进出实行安检、登记、电话确认等分类管理措施。大宗物品进出会同接收单位收件人审检，严防违禁品(包括毒品、军火弹药、管制刀具、易燃易爆品等) 、限带品(包括动物、任何未经授权的专业摄影设备、无人机等)进入。</w:t>
            </w:r>
          </w:p>
        </w:tc>
      </w:tr>
      <w:tr w14:paraId="0F125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654C499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674565D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6D54271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8、提供现场接待服务。</w:t>
            </w:r>
          </w:p>
          <w:p w14:paraId="693A6497">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①做好来访人员、车辆进出证件登记，及时通报。</w:t>
            </w:r>
          </w:p>
          <w:p w14:paraId="14E6114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②严禁无关人员、可疑人员和危险物品进入办公楼(区)内。</w:t>
            </w:r>
          </w:p>
          <w:p w14:paraId="2D829329">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③物品摆放整齐有序、分类放置。</w:t>
            </w:r>
          </w:p>
          <w:p w14:paraId="5B16BC0D">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④现场办理等待时间不超过5分钟，等待较长时间应当及时沟通。</w:t>
            </w:r>
          </w:p>
          <w:p w14:paraId="36C9B86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⑤对来访人员咨询、建议、求助等事项，及时处理或答复，处理和答复率100%。</w:t>
            </w:r>
          </w:p>
          <w:p w14:paraId="07FF763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⑥接待服务工作时间应当覆盖采购人工作时间(上班时间：上午</w:t>
            </w:r>
            <w:r>
              <w:rPr>
                <w:rFonts w:hint="eastAsia" w:ascii="宋体" w:hAnsi="宋体" w:eastAsia="宋体" w:cs="宋体"/>
                <w:color w:val="auto"/>
                <w:sz w:val="21"/>
                <w:szCs w:val="21"/>
                <w:highlight w:val="none"/>
                <w:lang w:val="en-US" w:eastAsia="zh-CN"/>
              </w:rPr>
              <w:t>09:0</w:t>
            </w:r>
            <w:r>
              <w:rPr>
                <w:rFonts w:hint="eastAsia" w:ascii="宋体" w:hAnsi="宋体" w:eastAsia="宋体" w:cs="宋体"/>
                <w:color w:val="auto"/>
                <w:sz w:val="21"/>
                <w:szCs w:val="21"/>
                <w:highlight w:val="none"/>
              </w:rPr>
              <w:t>0-12:00，下午14: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w:t>
            </w:r>
          </w:p>
          <w:p w14:paraId="265FFAFE">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⑦与被访人进行核实确认；告知被访人的办公室门牌号；告知访客注意事项(根据实际需要填写注意事项) 。</w:t>
            </w:r>
          </w:p>
        </w:tc>
      </w:tr>
      <w:tr w14:paraId="52C59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restart"/>
            <w:noWrap w:val="0"/>
            <w:vAlign w:val="center"/>
          </w:tcPr>
          <w:p w14:paraId="02E777D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31" w:type="pct"/>
            <w:vMerge w:val="restart"/>
            <w:noWrap w:val="0"/>
            <w:vAlign w:val="center"/>
          </w:tcPr>
          <w:p w14:paraId="4B8ADA8A">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值班巡查</w:t>
            </w:r>
          </w:p>
        </w:tc>
        <w:tc>
          <w:tcPr>
            <w:tcW w:w="3577" w:type="pct"/>
            <w:noWrap w:val="0"/>
            <w:vAlign w:val="center"/>
          </w:tcPr>
          <w:p w14:paraId="63566087">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1、实行每天3班，</w:t>
            </w:r>
            <w:r>
              <w:rPr>
                <w:rFonts w:hint="eastAsia" w:ascii="宋体" w:hAnsi="宋体" w:eastAsia="宋体" w:cs="宋体"/>
                <w:color w:val="auto"/>
                <w:sz w:val="21"/>
                <w:szCs w:val="21"/>
                <w:highlight w:val="none"/>
                <w:lang w:eastAsia="zh-CN"/>
              </w:rPr>
              <w:t>其中白班</w:t>
            </w:r>
            <w:r>
              <w:rPr>
                <w:rFonts w:hint="eastAsia" w:ascii="宋体" w:hAnsi="宋体" w:eastAsia="宋体" w:cs="宋体"/>
                <w:color w:val="auto"/>
                <w:sz w:val="21"/>
                <w:szCs w:val="21"/>
                <w:highlight w:val="none"/>
              </w:rPr>
              <w:t>不少于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名保安的全天24小时对物业辖区范围治安情况进行巡查和保卫监控。</w:t>
            </w:r>
          </w:p>
        </w:tc>
      </w:tr>
      <w:tr w14:paraId="72A73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397D0E9C">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2161E514">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42D5B0D6">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正常上班时间上、下午巡逻各不少于1次，非上班时间每2小时巡逻不少于1次，巡逻必须对所有巡更点进行签到。发现和查问进入办公区域的陌生人员，检查办公楼内重点部位及各层门、窗、设施设备、水电、消防等情况。</w:t>
            </w:r>
          </w:p>
        </w:tc>
      </w:tr>
      <w:tr w14:paraId="75636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128A6CE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39809EDB">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7375C9D2">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3、值班保安 24 小时密切注视</w:t>
            </w:r>
            <w:r>
              <w:rPr>
                <w:rFonts w:hint="eastAsia" w:ascii="宋体" w:hAnsi="宋体" w:eastAsia="宋体" w:cs="宋体"/>
                <w:color w:val="auto"/>
                <w:sz w:val="21"/>
                <w:szCs w:val="21"/>
                <w:highlight w:val="none"/>
                <w:lang w:eastAsia="zh-CN"/>
              </w:rPr>
              <w:t>大门岗值班室</w:t>
            </w:r>
            <w:r>
              <w:rPr>
                <w:rFonts w:hint="eastAsia" w:ascii="宋体" w:hAnsi="宋体" w:eastAsia="宋体" w:cs="宋体"/>
                <w:color w:val="auto"/>
                <w:sz w:val="21"/>
                <w:szCs w:val="21"/>
                <w:highlight w:val="none"/>
              </w:rPr>
              <w:t>监督视频及各设备运行状态，每班至少进行一次各类信号检查，不得离岗。</w:t>
            </w:r>
          </w:p>
        </w:tc>
      </w:tr>
      <w:tr w14:paraId="6D48F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restart"/>
            <w:noWrap w:val="0"/>
            <w:vAlign w:val="center"/>
          </w:tcPr>
          <w:p w14:paraId="3611026D">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31" w:type="pct"/>
            <w:vMerge w:val="restart"/>
            <w:noWrap w:val="0"/>
            <w:vAlign w:val="center"/>
          </w:tcPr>
          <w:p w14:paraId="75B4053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大门岗</w:t>
            </w:r>
            <w:r>
              <w:rPr>
                <w:rFonts w:hint="eastAsia" w:ascii="宋体" w:hAnsi="宋体" w:eastAsia="宋体" w:cs="宋体"/>
                <w:color w:val="auto"/>
                <w:sz w:val="21"/>
                <w:szCs w:val="21"/>
                <w:highlight w:val="none"/>
              </w:rPr>
              <w:t>监控值守</w:t>
            </w:r>
          </w:p>
        </w:tc>
        <w:tc>
          <w:tcPr>
            <w:tcW w:w="3577" w:type="pct"/>
            <w:noWrap w:val="0"/>
            <w:vAlign w:val="center"/>
          </w:tcPr>
          <w:p w14:paraId="3A9543B3">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1、监控室环境符合系统设备运行要求，定期进行检查和检测，确保系统功能正常。</w:t>
            </w:r>
          </w:p>
        </w:tc>
      </w:tr>
      <w:tr w14:paraId="3A6B8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19BE4092">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1C3934A4">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12DCBE49">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2、监控设备24小时正常运行，监控室实行专人24小时值班制度。</w:t>
            </w:r>
          </w:p>
        </w:tc>
      </w:tr>
      <w:tr w14:paraId="6D28A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0F8342D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74A0C6C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515C48AC">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3、监控记录画面清晰， 视频监控无死角、无盲区。</w:t>
            </w:r>
          </w:p>
        </w:tc>
      </w:tr>
      <w:tr w14:paraId="2BDF9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43E12EC1">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1869B96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736AA515">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4、值班期间遵守操作规程和保密制度，做好监控记录的保存工作。</w:t>
            </w:r>
          </w:p>
        </w:tc>
      </w:tr>
      <w:tr w14:paraId="6D6BB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5E84925C">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76BD5B2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120FFDBA">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5、监控记录保持完整，保存时间不应少于90天。</w:t>
            </w:r>
          </w:p>
        </w:tc>
      </w:tr>
      <w:tr w14:paraId="729C0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74ACF39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7B464D8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1EB3239D">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6、无关人员进入监控室或查阅监控记录，经授权人批准并做好相关记录。</w:t>
            </w:r>
          </w:p>
        </w:tc>
      </w:tr>
      <w:tr w14:paraId="31B4C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68EC5124">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11F2BAD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6C9151D2">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7、监控室收到火情等报警信号、其他异常情况信号后，及时报警并安排其他安保人员前往现场进行处理。</w:t>
            </w:r>
          </w:p>
        </w:tc>
      </w:tr>
      <w:tr w14:paraId="7752C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restart"/>
            <w:noWrap w:val="0"/>
            <w:vAlign w:val="center"/>
          </w:tcPr>
          <w:p w14:paraId="6F144ECC">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31" w:type="pct"/>
            <w:vMerge w:val="restart"/>
            <w:noWrap w:val="0"/>
            <w:vAlign w:val="center"/>
          </w:tcPr>
          <w:p w14:paraId="2C81E7AA">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车辆停放</w:t>
            </w:r>
          </w:p>
        </w:tc>
        <w:tc>
          <w:tcPr>
            <w:tcW w:w="3577" w:type="pct"/>
            <w:noWrap w:val="0"/>
            <w:vAlign w:val="center"/>
          </w:tcPr>
          <w:p w14:paraId="25B963C2">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1、建立健全车辆管理制度</w:t>
            </w:r>
          </w:p>
        </w:tc>
      </w:tr>
      <w:tr w14:paraId="39EAC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0A16431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3E5AD50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00F31FF5">
            <w:pPr>
              <w:pStyle w:val="12"/>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2、协助指引车辆遵守车辆停放和进出秩序； </w:t>
            </w:r>
          </w:p>
        </w:tc>
      </w:tr>
      <w:tr w14:paraId="046D7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7F2C669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7770C1A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763DCA13">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3、严禁在办公楼的公用走道、楼梯间、安全出口处等公共区域停放车辆或充电。</w:t>
            </w:r>
          </w:p>
        </w:tc>
      </w:tr>
      <w:tr w14:paraId="44585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43D632B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3BA6EEFB">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589C0EA8">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4、非机动车定点有序停放。</w:t>
            </w:r>
          </w:p>
        </w:tc>
      </w:tr>
      <w:tr w14:paraId="5D6D8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3A557D8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21642DB5">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39E0374B">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5、发现车辆异常情况及时通知车主，并做好登记；发生交通事故、自然灾害等意外事故时及时赶赴现场疏导和协助处理，响应时间不超过3分钟。</w:t>
            </w:r>
          </w:p>
        </w:tc>
      </w:tr>
      <w:tr w14:paraId="17F2F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6C79437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5D74089A">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031B916A">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6、有对进入物业区域的所有车辆，督促其遵守停放制度、纠正违章行驶、停放的职责，有阻止存在重大安全隐患的车辆进入物业区域的权利(如爆炸物品、剧毒、恶臭、易燃、易爆等化学物品)。</w:t>
            </w:r>
          </w:p>
        </w:tc>
      </w:tr>
      <w:tr w14:paraId="561027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restart"/>
            <w:noWrap w:val="0"/>
            <w:vAlign w:val="center"/>
          </w:tcPr>
          <w:p w14:paraId="7B37ACCF">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31" w:type="pct"/>
            <w:vMerge w:val="restart"/>
            <w:noWrap w:val="0"/>
            <w:vAlign w:val="center"/>
          </w:tcPr>
          <w:p w14:paraId="7EF0C28A">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消防安全管理</w:t>
            </w:r>
          </w:p>
        </w:tc>
        <w:tc>
          <w:tcPr>
            <w:tcW w:w="3577" w:type="pct"/>
            <w:noWrap w:val="0"/>
            <w:vAlign w:val="center"/>
          </w:tcPr>
          <w:p w14:paraId="4DCB0FDD">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1、建立消防安全责任制，确定各级消防安全责任人及其职责。</w:t>
            </w:r>
          </w:p>
        </w:tc>
      </w:tr>
      <w:tr w14:paraId="58AD6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07D2C274">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48E377CC">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4FADCEF1">
            <w:pPr>
              <w:keepNext w:val="0"/>
              <w:keepLines w:val="0"/>
              <w:pageBreakBefore w:val="0"/>
              <w:widowControl/>
              <w:wordWrap/>
              <w:topLinePunct w:val="0"/>
              <w:autoSpaceDE/>
              <w:autoSpaceDN/>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bidi="ar"/>
              </w:rPr>
              <w:t>消防控制室实行24小时值班制度，每班不少于2人。</w:t>
            </w:r>
            <w:r>
              <w:rPr>
                <w:rFonts w:hint="eastAsia" w:ascii="宋体" w:hAnsi="宋体" w:eastAsia="宋体" w:cs="宋体"/>
                <w:color w:val="auto"/>
                <w:kern w:val="2"/>
                <w:sz w:val="21"/>
                <w:szCs w:val="21"/>
                <w:highlight w:val="none"/>
                <w:lang w:val="en-US" w:eastAsia="zh-CN" w:bidi="ar"/>
              </w:rPr>
              <w:t xml:space="preserve">每日巡查1次消防设备，确保完好、齐全，发现设备故障时，应立即报修，填写相关记录并存档。 </w:t>
            </w:r>
          </w:p>
        </w:tc>
      </w:tr>
      <w:tr w14:paraId="18AFC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5DE9A03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24372F0D">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04009D74">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3、消火栓、应急照明、应急物资、消防及人员逃生通道、消防车通道可随时正常使用。</w:t>
            </w:r>
          </w:p>
        </w:tc>
      </w:tr>
      <w:tr w14:paraId="60DF5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6E5B86BC">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4D91775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3ABF16B9">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4、易燃易爆品设专区专人管理，做好相关记录。</w:t>
            </w:r>
          </w:p>
        </w:tc>
      </w:tr>
      <w:tr w14:paraId="4E527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1BE602C6">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7B161E44">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1E8EE94F">
            <w:pPr>
              <w:keepNext w:val="0"/>
              <w:keepLines w:val="0"/>
              <w:pageBreakBefore w:val="0"/>
              <w:widowControl/>
              <w:suppressLineNumbers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kern w:val="2"/>
                <w:sz w:val="21"/>
                <w:szCs w:val="21"/>
                <w:highlight w:val="none"/>
                <w:lang w:val="en-US" w:eastAsia="zh-CN" w:bidi="ar"/>
              </w:rPr>
              <w:t xml:space="preserve">每半年应至少组织1次消防演练，消防演练内容和范围需提前报告采购人核准，设置明显标识并事先发布通知。另外，中标人应组织引导及配合采购人参与每年进行1次重大的，全要素的消防及防灾演练。 </w:t>
            </w:r>
          </w:p>
          <w:p w14:paraId="40E76DBB">
            <w:pPr>
              <w:keepNext w:val="0"/>
              <w:keepLines w:val="0"/>
              <w:pageBreakBefore w:val="0"/>
              <w:widowControl/>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定期开展形式多样的消防安全宣传教育，中标人本项目全员均应具备相应的消防知识，熟悉并能正确使用各种消防设施和器材。设置消防宣传专栏、消防宣传公益广告牌等固定消防宣传设施，提高消防安全意识和技能水平。</w:t>
            </w:r>
          </w:p>
        </w:tc>
      </w:tr>
      <w:tr w14:paraId="15915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restart"/>
            <w:noWrap w:val="0"/>
            <w:vAlign w:val="center"/>
          </w:tcPr>
          <w:p w14:paraId="2E38E58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031" w:type="pct"/>
            <w:vMerge w:val="restart"/>
            <w:noWrap w:val="0"/>
            <w:vAlign w:val="center"/>
          </w:tcPr>
          <w:p w14:paraId="5F5CC298">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突发事件处理</w:t>
            </w:r>
          </w:p>
        </w:tc>
        <w:tc>
          <w:tcPr>
            <w:tcW w:w="3577" w:type="pct"/>
            <w:noWrap w:val="0"/>
            <w:vAlign w:val="center"/>
          </w:tcPr>
          <w:p w14:paraId="584FBA0C">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1、制定突发事件安全责任书，明确突发事件责任人及应承担的安全责任。</w:t>
            </w:r>
          </w:p>
        </w:tc>
      </w:tr>
      <w:tr w14:paraId="4FB9D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3B22A0BB">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3FB5D801">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12138C62">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2、建立应急突发事件处置队伍，明确各自的职责。</w:t>
            </w:r>
          </w:p>
        </w:tc>
      </w:tr>
      <w:tr w14:paraId="19ABD7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69F783B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295729D9">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75B9A5D8">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3、识别、分析各种潜在风险，针对不同风险类型制定相应解决方案，并配备应急物资。</w:t>
            </w:r>
          </w:p>
        </w:tc>
      </w:tr>
      <w:tr w14:paraId="3D9D7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0808AF18">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4209FB14">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1E28FBE4">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4、每半年至少开展1次突发事件应急演练，并有相应记录。</w:t>
            </w:r>
          </w:p>
        </w:tc>
      </w:tr>
      <w:tr w14:paraId="0C4A6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03BCB4E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378F3E66">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2BC16FD3">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5、发生意外事件时，及时采取应急措施，维护办公区域物业服务正常进行，保护人身财产安全。</w:t>
            </w:r>
          </w:p>
        </w:tc>
      </w:tr>
      <w:tr w14:paraId="1DC38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08A14E2F">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768B5CEA">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35AA7B12">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6、办公区域物业服务应急预案终止实施后，积极采取措施，在尽可能短的时间内，消除事故带来的不良影响，妥善安置和慰问受害及受影响的人员和部门。</w:t>
            </w:r>
          </w:p>
        </w:tc>
      </w:tr>
      <w:tr w14:paraId="7FF41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38753D32">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3675F06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70DA2823">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7、事故处理后，及时形成事故应急总结报告，完善应急救援工作方案。</w:t>
            </w:r>
          </w:p>
        </w:tc>
      </w:tr>
      <w:tr w14:paraId="10316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restart"/>
            <w:noWrap w:val="0"/>
            <w:vAlign w:val="center"/>
          </w:tcPr>
          <w:p w14:paraId="4100CFC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31" w:type="pct"/>
            <w:vMerge w:val="restart"/>
            <w:noWrap w:val="0"/>
            <w:vAlign w:val="center"/>
          </w:tcPr>
          <w:p w14:paraId="6704219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大型活动秩序</w:t>
            </w:r>
          </w:p>
        </w:tc>
        <w:tc>
          <w:tcPr>
            <w:tcW w:w="3577" w:type="pct"/>
            <w:noWrap w:val="0"/>
            <w:vAlign w:val="center"/>
          </w:tcPr>
          <w:p w14:paraId="3213CD39">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1、制定相应的活动秩序维护方案，合理安排人员，并对场所的安全隐患进行排查。</w:t>
            </w:r>
          </w:p>
        </w:tc>
      </w:tr>
      <w:tr w14:paraId="047F2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446BDC7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14DF12B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65C547A9">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2、应当保障通道、出入口、停车场等区域畅通。</w:t>
            </w:r>
          </w:p>
        </w:tc>
      </w:tr>
      <w:tr w14:paraId="6C278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166BEF1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56662EC8">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5E3440AB">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3、活动举办过程中，做好现场秩序的维护和突发事故的处置工作，确保活动正常进行。</w:t>
            </w:r>
          </w:p>
        </w:tc>
      </w:tr>
      <w:tr w14:paraId="26E69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vMerge w:val="continue"/>
            <w:noWrap w:val="0"/>
            <w:vAlign w:val="top"/>
          </w:tcPr>
          <w:p w14:paraId="67B57F0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031" w:type="pct"/>
            <w:vMerge w:val="continue"/>
            <w:noWrap w:val="0"/>
            <w:vAlign w:val="top"/>
          </w:tcPr>
          <w:p w14:paraId="74F49092">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3577" w:type="pct"/>
            <w:noWrap w:val="0"/>
            <w:vAlign w:val="center"/>
          </w:tcPr>
          <w:p w14:paraId="429FF8E8">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4、活动结束后及时做好清理工作，并对活动保障进行总结。</w:t>
            </w:r>
          </w:p>
        </w:tc>
      </w:tr>
    </w:tbl>
    <w:p w14:paraId="6528DA03">
      <w:pPr>
        <w:pStyle w:val="33"/>
        <w:keepNext w:val="0"/>
        <w:keepLines w:val="0"/>
        <w:pageBreakBefore w:val="0"/>
        <w:shd w:val="clear" w:color="auto" w:fill="FFFFFF"/>
        <w:wordWrap/>
        <w:topLinePunct w:val="0"/>
        <w:bidi w:val="0"/>
        <w:adjustRightInd/>
        <w:spacing w:before="0" w:beforeAutospacing="0" w:after="0" w:afterAutospacing="0" w:line="240" w:lineRule="auto"/>
        <w:ind w:left="0" w:leftChars="0" w:right="0" w:firstLine="454" w:firstLineChars="200"/>
        <w:jc w:val="both"/>
        <w:outlineLvl w:val="4"/>
        <w:rPr>
          <w:rStyle w:val="40"/>
          <w:rFonts w:hint="eastAsia" w:ascii="宋体" w:hAnsi="宋体" w:eastAsia="宋体" w:cs="宋体"/>
          <w:color w:val="auto"/>
          <w:spacing w:val="8"/>
          <w:sz w:val="21"/>
          <w:szCs w:val="21"/>
          <w:highlight w:val="none"/>
          <w:shd w:val="clear" w:color="auto" w:fill="FFFFFF"/>
        </w:rPr>
      </w:pPr>
      <w:r>
        <w:rPr>
          <w:rStyle w:val="40"/>
          <w:rFonts w:hint="eastAsia" w:ascii="宋体" w:hAnsi="宋体" w:eastAsia="宋体" w:cs="宋体"/>
          <w:color w:val="auto"/>
          <w:spacing w:val="8"/>
          <w:sz w:val="21"/>
          <w:szCs w:val="21"/>
          <w:highlight w:val="none"/>
          <w:shd w:val="clear" w:color="auto" w:fill="FFFFFF"/>
        </w:rPr>
        <w:t>3.6会议服务</w:t>
      </w:r>
    </w:p>
    <w:tbl>
      <w:tblPr>
        <w:tblStyle w:val="37"/>
        <w:tblW w:w="5005" w:type="pct"/>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50"/>
        <w:gridCol w:w="2550"/>
        <w:gridCol w:w="5114"/>
      </w:tblGrid>
      <w:tr w14:paraId="0CF7E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noWrap w:val="0"/>
            <w:vAlign w:val="center"/>
          </w:tcPr>
          <w:p w14:paraId="177D24D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33" w:type="pct"/>
            <w:noWrap w:val="0"/>
            <w:vAlign w:val="center"/>
          </w:tcPr>
          <w:p w14:paraId="7185589C">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w:t>
            </w:r>
          </w:p>
        </w:tc>
        <w:tc>
          <w:tcPr>
            <w:tcW w:w="3075" w:type="pct"/>
            <w:noWrap w:val="0"/>
            <w:vAlign w:val="center"/>
          </w:tcPr>
          <w:p w14:paraId="49B17CA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服务标准</w:t>
            </w:r>
          </w:p>
        </w:tc>
      </w:tr>
      <w:tr w14:paraId="076D1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noWrap w:val="0"/>
            <w:vAlign w:val="center"/>
          </w:tcPr>
          <w:p w14:paraId="1FC3EB3F">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3" w:type="pct"/>
            <w:noWrap w:val="0"/>
            <w:vAlign w:val="center"/>
          </w:tcPr>
          <w:p w14:paraId="066FD4A9">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会议受理</w:t>
            </w:r>
          </w:p>
        </w:tc>
        <w:tc>
          <w:tcPr>
            <w:tcW w:w="3075" w:type="pct"/>
            <w:noWrap w:val="0"/>
            <w:vAlign w:val="center"/>
          </w:tcPr>
          <w:p w14:paraId="54893E19">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接受办公室会议安排，记录会议需求。</w:t>
            </w:r>
          </w:p>
        </w:tc>
      </w:tr>
      <w:tr w14:paraId="1CB03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noWrap w:val="0"/>
            <w:vAlign w:val="center"/>
          </w:tcPr>
          <w:p w14:paraId="4A39998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33" w:type="pct"/>
            <w:noWrap w:val="0"/>
            <w:vAlign w:val="center"/>
          </w:tcPr>
          <w:p w14:paraId="3E1F2BD4">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会前准备</w:t>
            </w:r>
          </w:p>
        </w:tc>
        <w:tc>
          <w:tcPr>
            <w:tcW w:w="3075" w:type="pct"/>
            <w:noWrap w:val="0"/>
            <w:vAlign w:val="center"/>
          </w:tcPr>
          <w:p w14:paraId="33B9D9EC">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做好会议室的通风、室内温度调节、桌椅摆放、台牌摆放、茶水准备等。</w:t>
            </w:r>
          </w:p>
        </w:tc>
      </w:tr>
      <w:tr w14:paraId="2FEA3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noWrap w:val="0"/>
            <w:vAlign w:val="center"/>
          </w:tcPr>
          <w:p w14:paraId="76210A18">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33" w:type="pct"/>
            <w:noWrap w:val="0"/>
            <w:vAlign w:val="center"/>
          </w:tcPr>
          <w:p w14:paraId="11163A22">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引导服务</w:t>
            </w:r>
          </w:p>
        </w:tc>
        <w:tc>
          <w:tcPr>
            <w:tcW w:w="3075" w:type="pct"/>
            <w:noWrap w:val="0"/>
            <w:vAlign w:val="center"/>
          </w:tcPr>
          <w:p w14:paraId="5C8335B2">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引导人员引导手势规范，语言标准。</w:t>
            </w:r>
          </w:p>
        </w:tc>
      </w:tr>
      <w:tr w14:paraId="25C35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noWrap w:val="0"/>
            <w:vAlign w:val="center"/>
          </w:tcPr>
          <w:p w14:paraId="6F474D7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33" w:type="pct"/>
            <w:noWrap w:val="0"/>
            <w:vAlign w:val="center"/>
          </w:tcPr>
          <w:p w14:paraId="605DD4F6">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会中服务</w:t>
            </w:r>
          </w:p>
        </w:tc>
        <w:tc>
          <w:tcPr>
            <w:tcW w:w="3075" w:type="pct"/>
            <w:noWrap w:val="0"/>
            <w:vAlign w:val="center"/>
          </w:tcPr>
          <w:p w14:paraId="78778F4F">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巡视会场，维护秩序和处置突发应急事件的工作，适当添加茶水。</w:t>
            </w:r>
          </w:p>
        </w:tc>
      </w:tr>
      <w:tr w14:paraId="1A26FA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rPr>
        <w:tc>
          <w:tcPr>
            <w:tcW w:w="391" w:type="pct"/>
            <w:noWrap w:val="0"/>
            <w:vAlign w:val="center"/>
          </w:tcPr>
          <w:p w14:paraId="09B246FD">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33" w:type="pct"/>
            <w:noWrap w:val="0"/>
            <w:vAlign w:val="center"/>
          </w:tcPr>
          <w:p w14:paraId="3E3C9821">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会后整理</w:t>
            </w:r>
          </w:p>
        </w:tc>
        <w:tc>
          <w:tcPr>
            <w:tcW w:w="3075" w:type="pct"/>
            <w:noWrap w:val="0"/>
            <w:vAlign w:val="center"/>
          </w:tcPr>
          <w:p w14:paraId="40943180">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做好清洁，桌椅归回原位，摆放整齐。</w:t>
            </w:r>
          </w:p>
        </w:tc>
      </w:tr>
    </w:tbl>
    <w:p w14:paraId="27FA6999">
      <w:pPr>
        <w:pStyle w:val="101"/>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lang w:val="zh-CN"/>
        </w:rPr>
        <w:t>目前履行合同所需配备的设备</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560"/>
        <w:gridCol w:w="2936"/>
        <w:gridCol w:w="1180"/>
        <w:gridCol w:w="902"/>
      </w:tblGrid>
      <w:tr w14:paraId="18DB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9" w:type="pct"/>
            <w:noWrap w:val="0"/>
            <w:vAlign w:val="center"/>
          </w:tcPr>
          <w:p w14:paraId="40A39FC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03" w:type="pct"/>
            <w:noWrap w:val="0"/>
            <w:vAlign w:val="center"/>
          </w:tcPr>
          <w:p w14:paraId="6FE69CF4">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用途</w:t>
            </w:r>
          </w:p>
        </w:tc>
        <w:tc>
          <w:tcPr>
            <w:tcW w:w="1724" w:type="pct"/>
            <w:noWrap w:val="0"/>
            <w:vAlign w:val="center"/>
          </w:tcPr>
          <w:p w14:paraId="200FAFB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作业设备名称</w:t>
            </w:r>
          </w:p>
        </w:tc>
        <w:tc>
          <w:tcPr>
            <w:tcW w:w="693" w:type="pct"/>
            <w:noWrap w:val="0"/>
            <w:vAlign w:val="center"/>
          </w:tcPr>
          <w:p w14:paraId="454D5FA3">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529" w:type="pct"/>
            <w:noWrap w:val="0"/>
            <w:vAlign w:val="center"/>
          </w:tcPr>
          <w:p w14:paraId="70B26DCD">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r>
      <w:tr w14:paraId="0754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9" w:type="pct"/>
            <w:noWrap w:val="0"/>
            <w:vAlign w:val="top"/>
          </w:tcPr>
          <w:p w14:paraId="55BE2B28">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03" w:type="pct"/>
            <w:noWrap w:val="0"/>
            <w:vAlign w:val="top"/>
          </w:tcPr>
          <w:p w14:paraId="724928DF">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基本服务</w:t>
            </w:r>
          </w:p>
        </w:tc>
        <w:tc>
          <w:tcPr>
            <w:tcW w:w="1724" w:type="pct"/>
            <w:noWrap w:val="0"/>
            <w:vAlign w:val="top"/>
          </w:tcPr>
          <w:p w14:paraId="25935241">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电脑、打印机</w:t>
            </w:r>
          </w:p>
        </w:tc>
        <w:tc>
          <w:tcPr>
            <w:tcW w:w="693" w:type="pct"/>
            <w:noWrap w:val="0"/>
            <w:vAlign w:val="top"/>
          </w:tcPr>
          <w:p w14:paraId="234EEFB9">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29" w:type="pct"/>
            <w:noWrap w:val="0"/>
            <w:vAlign w:val="top"/>
          </w:tcPr>
          <w:p w14:paraId="3186D74D">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592E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9" w:type="pct"/>
            <w:noWrap w:val="0"/>
            <w:vAlign w:val="center"/>
          </w:tcPr>
          <w:p w14:paraId="51DC4FDB">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03" w:type="pct"/>
            <w:noWrap w:val="0"/>
            <w:vAlign w:val="center"/>
          </w:tcPr>
          <w:p w14:paraId="59304948">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w:t>
            </w:r>
          </w:p>
        </w:tc>
        <w:tc>
          <w:tcPr>
            <w:tcW w:w="1724" w:type="pct"/>
            <w:noWrap w:val="0"/>
            <w:vAlign w:val="center"/>
          </w:tcPr>
          <w:p w14:paraId="1D4B72DF">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地面清扫机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2"/>
                <w:sz w:val="21"/>
                <w:szCs w:val="21"/>
                <w:highlight w:val="none"/>
              </w:rPr>
              <w:t>洗地机、吸尘机、</w:t>
            </w:r>
            <w:r>
              <w:rPr>
                <w:rFonts w:hint="eastAsia" w:ascii="宋体" w:hAnsi="宋体" w:eastAsia="宋体" w:cs="宋体"/>
                <w:color w:val="auto"/>
                <w:spacing w:val="-2"/>
                <w:sz w:val="21"/>
                <w:szCs w:val="21"/>
                <w:highlight w:val="none"/>
                <w:lang w:eastAsia="zh-CN"/>
              </w:rPr>
              <w:t>高压清洗机、单擦机、</w:t>
            </w:r>
            <w:r>
              <w:rPr>
                <w:rFonts w:hint="eastAsia" w:ascii="宋体" w:hAnsi="宋体" w:eastAsia="宋体" w:cs="宋体"/>
                <w:color w:val="auto"/>
                <w:spacing w:val="-2"/>
                <w:sz w:val="21"/>
                <w:szCs w:val="21"/>
                <w:highlight w:val="none"/>
              </w:rPr>
              <w:t>吸水机</w:t>
            </w:r>
            <w:r>
              <w:rPr>
                <w:rFonts w:hint="eastAsia" w:ascii="宋体" w:hAnsi="宋体" w:eastAsia="宋体" w:cs="宋体"/>
                <w:color w:val="auto"/>
                <w:spacing w:val="-2"/>
                <w:sz w:val="21"/>
                <w:szCs w:val="21"/>
                <w:highlight w:val="none"/>
                <w:lang w:eastAsia="zh-CN"/>
              </w:rPr>
              <w:t>、吹风清洁设备</w:t>
            </w:r>
          </w:p>
        </w:tc>
        <w:tc>
          <w:tcPr>
            <w:tcW w:w="693" w:type="pct"/>
            <w:noWrap w:val="0"/>
            <w:vAlign w:val="center"/>
          </w:tcPr>
          <w:p w14:paraId="0256AD2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各1</w:t>
            </w:r>
          </w:p>
        </w:tc>
        <w:tc>
          <w:tcPr>
            <w:tcW w:w="529" w:type="pct"/>
            <w:noWrap w:val="0"/>
            <w:vAlign w:val="center"/>
          </w:tcPr>
          <w:p w14:paraId="3AE5380B">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3644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9" w:type="pct"/>
            <w:vMerge w:val="restart"/>
            <w:noWrap w:val="0"/>
            <w:vAlign w:val="center"/>
          </w:tcPr>
          <w:p w14:paraId="4BAB398C">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03" w:type="pct"/>
            <w:vMerge w:val="restart"/>
            <w:noWrap w:val="0"/>
            <w:vAlign w:val="center"/>
          </w:tcPr>
          <w:p w14:paraId="2992542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绿化服务</w:t>
            </w:r>
          </w:p>
        </w:tc>
        <w:tc>
          <w:tcPr>
            <w:tcW w:w="1724" w:type="pct"/>
            <w:noWrap w:val="0"/>
            <w:vAlign w:val="top"/>
          </w:tcPr>
          <w:p w14:paraId="7BB23019">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绿化用机械</w:t>
            </w:r>
            <w:r>
              <w:rPr>
                <w:rFonts w:hint="eastAsia" w:ascii="宋体" w:hAnsi="宋体" w:eastAsia="宋体" w:cs="宋体"/>
                <w:color w:val="auto"/>
                <w:sz w:val="21"/>
                <w:szCs w:val="21"/>
                <w:highlight w:val="none"/>
                <w:lang w:eastAsia="zh-CN"/>
              </w:rPr>
              <w:t>（绿篱机、打草机、裁截工具类、喷淋工具类、挖掘工具类、园林工具等配套设施）</w:t>
            </w:r>
          </w:p>
        </w:tc>
        <w:tc>
          <w:tcPr>
            <w:tcW w:w="693" w:type="pct"/>
            <w:noWrap w:val="0"/>
            <w:vAlign w:val="top"/>
          </w:tcPr>
          <w:p w14:paraId="21998B37">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29" w:type="pct"/>
            <w:noWrap w:val="0"/>
            <w:vAlign w:val="top"/>
          </w:tcPr>
          <w:p w14:paraId="7763DE62">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464F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9" w:type="pct"/>
            <w:vMerge w:val="continue"/>
            <w:noWrap w:val="0"/>
            <w:vAlign w:val="top"/>
          </w:tcPr>
          <w:p w14:paraId="597A3106">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503" w:type="pct"/>
            <w:vMerge w:val="continue"/>
            <w:noWrap w:val="0"/>
            <w:vAlign w:val="top"/>
          </w:tcPr>
          <w:p w14:paraId="53489DCB">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724" w:type="pct"/>
            <w:noWrap w:val="0"/>
            <w:vAlign w:val="top"/>
          </w:tcPr>
          <w:p w14:paraId="5891499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云梯</w:t>
            </w:r>
          </w:p>
        </w:tc>
        <w:tc>
          <w:tcPr>
            <w:tcW w:w="693" w:type="pct"/>
            <w:noWrap w:val="0"/>
            <w:vAlign w:val="top"/>
          </w:tcPr>
          <w:p w14:paraId="71C6A9CC">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29" w:type="pct"/>
            <w:noWrap w:val="0"/>
            <w:vAlign w:val="top"/>
          </w:tcPr>
          <w:p w14:paraId="5BB8A6A0">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w:t>
            </w:r>
          </w:p>
        </w:tc>
      </w:tr>
      <w:tr w14:paraId="3EBF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9" w:type="pct"/>
            <w:vMerge w:val="restart"/>
            <w:noWrap w:val="0"/>
            <w:vAlign w:val="center"/>
          </w:tcPr>
          <w:p w14:paraId="460AC3F4">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03" w:type="pct"/>
            <w:vMerge w:val="restart"/>
            <w:noWrap w:val="0"/>
            <w:vAlign w:val="center"/>
          </w:tcPr>
          <w:p w14:paraId="12BD650D">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保安服务</w:t>
            </w:r>
          </w:p>
        </w:tc>
        <w:tc>
          <w:tcPr>
            <w:tcW w:w="1724" w:type="pct"/>
            <w:noWrap w:val="0"/>
            <w:vAlign w:val="top"/>
          </w:tcPr>
          <w:p w14:paraId="4FC8DDA1">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成套保安器械</w:t>
            </w:r>
          </w:p>
        </w:tc>
        <w:tc>
          <w:tcPr>
            <w:tcW w:w="693" w:type="pct"/>
            <w:noWrap w:val="0"/>
            <w:vAlign w:val="top"/>
          </w:tcPr>
          <w:p w14:paraId="11EA6FAB">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29" w:type="pct"/>
            <w:noWrap w:val="0"/>
            <w:vAlign w:val="top"/>
          </w:tcPr>
          <w:p w14:paraId="1C49469B">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771D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9" w:type="pct"/>
            <w:vMerge w:val="continue"/>
            <w:noWrap w:val="0"/>
            <w:vAlign w:val="top"/>
          </w:tcPr>
          <w:p w14:paraId="697DCB7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503" w:type="pct"/>
            <w:vMerge w:val="continue"/>
            <w:noWrap w:val="0"/>
            <w:vAlign w:val="top"/>
          </w:tcPr>
          <w:p w14:paraId="68FA8B2A">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1724" w:type="pct"/>
            <w:noWrap w:val="0"/>
            <w:vAlign w:val="top"/>
          </w:tcPr>
          <w:p w14:paraId="6670476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对讲机</w:t>
            </w:r>
          </w:p>
        </w:tc>
        <w:tc>
          <w:tcPr>
            <w:tcW w:w="693" w:type="pct"/>
            <w:noWrap w:val="0"/>
            <w:vAlign w:val="top"/>
          </w:tcPr>
          <w:p w14:paraId="474C5C4D">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29" w:type="pct"/>
            <w:noWrap w:val="0"/>
            <w:vAlign w:val="top"/>
          </w:tcPr>
          <w:p w14:paraId="64600BA0">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bl>
    <w:p w14:paraId="0E7E6F51">
      <w:pPr>
        <w:pStyle w:val="124"/>
        <w:keepNext w:val="0"/>
        <w:keepLines w:val="0"/>
        <w:pageBreakBefore w:val="0"/>
        <w:numPr>
          <w:ilvl w:val="0"/>
          <w:numId w:val="0"/>
        </w:numPr>
        <w:wordWrap/>
        <w:topLinePunct w:val="0"/>
        <w:bidi w:val="0"/>
        <w:adjustRightInd/>
        <w:snapToGrid w:val="0"/>
        <w:spacing w:beforeAutospacing="0" w:afterAutospacing="0" w:line="240" w:lineRule="auto"/>
        <w:ind w:left="0" w:leftChars="0" w:right="0" w:firstLine="0" w:firstLineChars="0"/>
        <w:outlineLvl w:val="3"/>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lang w:val="zh-CN"/>
        </w:rPr>
        <w:t>物业管理服务岗位需求</w:t>
      </w:r>
    </w:p>
    <w:tbl>
      <w:tblPr>
        <w:tblStyle w:val="37"/>
        <w:tblW w:w="50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959"/>
        <w:gridCol w:w="787"/>
        <w:gridCol w:w="811"/>
        <w:gridCol w:w="4994"/>
      </w:tblGrid>
      <w:tr w14:paraId="7124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1" w:type="pct"/>
            <w:noWrap w:val="0"/>
            <w:vAlign w:val="center"/>
          </w:tcPr>
          <w:p w14:paraId="6F245CC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部门职能</w:t>
            </w:r>
          </w:p>
        </w:tc>
        <w:tc>
          <w:tcPr>
            <w:tcW w:w="557" w:type="pct"/>
            <w:noWrap w:val="0"/>
            <w:vAlign w:val="center"/>
          </w:tcPr>
          <w:p w14:paraId="4A4AFE01">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w:t>
            </w:r>
          </w:p>
        </w:tc>
        <w:tc>
          <w:tcPr>
            <w:tcW w:w="457" w:type="pct"/>
            <w:noWrap w:val="0"/>
            <w:vAlign w:val="center"/>
          </w:tcPr>
          <w:p w14:paraId="25AB2439">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同时在岗人数</w:t>
            </w:r>
          </w:p>
        </w:tc>
        <w:tc>
          <w:tcPr>
            <w:tcW w:w="471" w:type="pct"/>
            <w:noWrap w:val="0"/>
            <w:vAlign w:val="center"/>
          </w:tcPr>
          <w:p w14:paraId="73C17AF7">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岗位所需人数</w:t>
            </w:r>
          </w:p>
        </w:tc>
        <w:tc>
          <w:tcPr>
            <w:tcW w:w="2900" w:type="pct"/>
            <w:noWrap w:val="0"/>
            <w:vAlign w:val="center"/>
          </w:tcPr>
          <w:p w14:paraId="064FF37F">
            <w:pPr>
              <w:keepNext w:val="0"/>
              <w:keepLines w:val="0"/>
              <w:pageBreakBefore w:val="0"/>
              <w:wordWrap/>
              <w:topLinePunct w:val="0"/>
              <w:bidi w:val="0"/>
              <w:adjustRightInd/>
              <w:spacing w:beforeAutospacing="0" w:afterAutospacing="0" w:line="240" w:lineRule="auto"/>
              <w:ind w:left="0" w:leftChars="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备注（岗位所需服务时长或时段、需具备的上岗资格证、人员学历、工作经验等要求）</w:t>
            </w:r>
          </w:p>
        </w:tc>
      </w:tr>
      <w:tr w14:paraId="1146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1" w:type="pct"/>
            <w:noWrap w:val="0"/>
            <w:vAlign w:val="center"/>
          </w:tcPr>
          <w:p w14:paraId="70D943E0">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基本服务</w:t>
            </w:r>
          </w:p>
        </w:tc>
        <w:tc>
          <w:tcPr>
            <w:tcW w:w="557" w:type="pct"/>
            <w:noWrap w:val="0"/>
            <w:vAlign w:val="center"/>
          </w:tcPr>
          <w:p w14:paraId="7DFC8570">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项目经理</w:t>
            </w:r>
          </w:p>
        </w:tc>
        <w:tc>
          <w:tcPr>
            <w:tcW w:w="457" w:type="pct"/>
            <w:noWrap w:val="0"/>
            <w:vAlign w:val="center"/>
          </w:tcPr>
          <w:p w14:paraId="58419981">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1" w:type="pct"/>
            <w:noWrap w:val="0"/>
            <w:vAlign w:val="center"/>
          </w:tcPr>
          <w:p w14:paraId="5E1B600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00" w:type="pct"/>
            <w:noWrap w:val="0"/>
            <w:vAlign w:val="center"/>
          </w:tcPr>
          <w:p w14:paraId="6E06FCD0">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8小时，合同期内在岗率100%；</w:t>
            </w:r>
          </w:p>
          <w:p w14:paraId="61B911F7">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.年龄45周岁以下</w:t>
            </w:r>
            <w:r>
              <w:rPr>
                <w:rFonts w:hint="eastAsia" w:ascii="宋体" w:hAnsi="宋体" w:eastAsia="宋体" w:cs="宋体"/>
                <w:color w:val="auto"/>
                <w:sz w:val="21"/>
                <w:szCs w:val="21"/>
                <w:highlight w:val="none"/>
              </w:rPr>
              <w:t>。</w:t>
            </w:r>
          </w:p>
          <w:p w14:paraId="22CFFB1A">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zh-CN"/>
              </w:rPr>
              <w:t>3</w:t>
            </w:r>
            <w:r>
              <w:rPr>
                <w:rFonts w:hint="eastAsia" w:ascii="宋体" w:hAnsi="宋体" w:eastAsia="宋体" w:cs="宋体"/>
                <w:color w:val="auto"/>
                <w:sz w:val="21"/>
                <w:szCs w:val="21"/>
                <w:highlight w:val="none"/>
                <w:lang w:val="zh-CN" w:eastAsia="zh-CN" w:bidi="zh-CN"/>
              </w:rPr>
              <w:t>.具有3年或以上物业项目的项目经理任职经验。具备策划能力和决策能力，团队建设能力，执行能力，创新能力，沟通协调能力，专业技术能力，财务管理能力，人力资源管理能力，社区文化建设能力。年富力强，精通本行，掌握国家政策法规。培训下属，定期对下属员工进行绩效评估，并按规定进行奖惩。</w:t>
            </w:r>
          </w:p>
        </w:tc>
      </w:tr>
      <w:tr w14:paraId="7328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1" w:type="pct"/>
            <w:vMerge w:val="restart"/>
            <w:noWrap w:val="0"/>
            <w:vAlign w:val="center"/>
          </w:tcPr>
          <w:p w14:paraId="0215BCBD">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w:t>
            </w:r>
            <w:r>
              <w:rPr>
                <w:rFonts w:hint="eastAsia" w:ascii="宋体" w:hAnsi="宋体" w:eastAsia="宋体" w:cs="宋体"/>
                <w:color w:val="auto"/>
                <w:sz w:val="21"/>
                <w:szCs w:val="21"/>
                <w:highlight w:val="none"/>
                <w:lang w:eastAsia="zh-CN"/>
              </w:rPr>
              <w:t>岗</w:t>
            </w:r>
          </w:p>
        </w:tc>
        <w:tc>
          <w:tcPr>
            <w:tcW w:w="557" w:type="pct"/>
            <w:noWrap w:val="0"/>
            <w:vAlign w:val="center"/>
          </w:tcPr>
          <w:p w14:paraId="6B63683D">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领班</w:t>
            </w:r>
          </w:p>
        </w:tc>
        <w:tc>
          <w:tcPr>
            <w:tcW w:w="457" w:type="pct"/>
            <w:noWrap w:val="0"/>
            <w:vAlign w:val="center"/>
          </w:tcPr>
          <w:p w14:paraId="0D5F9EC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71" w:type="pct"/>
            <w:noWrap w:val="0"/>
            <w:vAlign w:val="center"/>
          </w:tcPr>
          <w:p w14:paraId="302FB006">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900" w:type="pct"/>
            <w:noWrap w:val="0"/>
            <w:vAlign w:val="center"/>
          </w:tcPr>
          <w:p w14:paraId="377B96C3">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8小时，合同期内在岗率100%；</w:t>
            </w:r>
          </w:p>
          <w:p w14:paraId="77CCC493">
            <w:pPr>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具有3年或以上保洁工作经验；</w:t>
            </w:r>
            <w:r>
              <w:rPr>
                <w:rFonts w:hint="eastAsia" w:ascii="宋体" w:hAnsi="宋体" w:eastAsia="宋体" w:cs="宋体"/>
                <w:color w:val="auto"/>
                <w:spacing w:val="-2"/>
                <w:sz w:val="21"/>
                <w:szCs w:val="21"/>
                <w:highlight w:val="none"/>
              </w:rPr>
              <w:t>熟悉环境卫生行业相关服务规范、岗位技能、操作流程和法律法规、专业技能如熟练掌握麻石等建材清洁保养工具使用方法与晶面处理等技术；有良好的组织和应变能力，善于沟通协调，团队协作意识强。</w:t>
            </w:r>
          </w:p>
          <w:p w14:paraId="54B57C26">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女性，符合法定工作年龄，身体健康（上岗时提供健康体检证明）。</w:t>
            </w:r>
          </w:p>
        </w:tc>
      </w:tr>
      <w:tr w14:paraId="680C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1" w:type="pct"/>
            <w:vMerge w:val="continue"/>
            <w:noWrap w:val="0"/>
            <w:vAlign w:val="center"/>
          </w:tcPr>
          <w:p w14:paraId="2AD5CBFA">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557" w:type="pct"/>
            <w:noWrap w:val="0"/>
            <w:vAlign w:val="center"/>
          </w:tcPr>
          <w:p w14:paraId="64819291">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p w14:paraId="2DA4E69B">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保洁员</w:t>
            </w:r>
          </w:p>
        </w:tc>
        <w:tc>
          <w:tcPr>
            <w:tcW w:w="457" w:type="pct"/>
            <w:noWrap w:val="0"/>
            <w:vAlign w:val="center"/>
          </w:tcPr>
          <w:p w14:paraId="6992BE5D">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p w14:paraId="373DD48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471" w:type="pct"/>
            <w:noWrap w:val="0"/>
            <w:vAlign w:val="center"/>
          </w:tcPr>
          <w:p w14:paraId="509BDEEF">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p w14:paraId="30041C8A">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900" w:type="pct"/>
            <w:noWrap w:val="0"/>
            <w:vAlign w:val="center"/>
          </w:tcPr>
          <w:p w14:paraId="3E43B8AE">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8小时，合同期内在岗率100%；</w:t>
            </w:r>
          </w:p>
          <w:p w14:paraId="39EF879A">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具有3年或以上保洁工作经验；</w:t>
            </w:r>
            <w:r>
              <w:rPr>
                <w:rFonts w:hint="eastAsia" w:ascii="宋体" w:hAnsi="宋体" w:eastAsia="宋体" w:cs="宋体"/>
                <w:color w:val="auto"/>
                <w:spacing w:val="-2"/>
                <w:sz w:val="21"/>
                <w:szCs w:val="21"/>
                <w:highlight w:val="none"/>
              </w:rPr>
              <w:t>掌握各种清洁工具的正确使用方法和技巧，如尘推、地拖、扫把、玻璃刮等。学会操作各种设备，如洗地机、吸尘机、吸水机等。掌握各种清洁保养剂的使用办法。熟悉墙面地面石材、金属制品、皮沙发、地毯的清洁护。</w:t>
            </w:r>
          </w:p>
          <w:p w14:paraId="1C7D1EF1">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女性，符合法定工作年龄，身体健康（上岗时提供健康体检证明）。</w:t>
            </w:r>
          </w:p>
        </w:tc>
      </w:tr>
      <w:tr w14:paraId="031C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1" w:type="pct"/>
            <w:noWrap w:val="0"/>
            <w:vAlign w:val="center"/>
          </w:tcPr>
          <w:p w14:paraId="64E01335">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绿化服务</w:t>
            </w:r>
            <w:r>
              <w:rPr>
                <w:rFonts w:hint="eastAsia" w:ascii="宋体" w:hAnsi="宋体" w:eastAsia="宋体" w:cs="宋体"/>
                <w:color w:val="auto"/>
                <w:sz w:val="21"/>
                <w:szCs w:val="21"/>
                <w:highlight w:val="none"/>
                <w:lang w:eastAsia="zh-CN"/>
              </w:rPr>
              <w:t>岗</w:t>
            </w:r>
          </w:p>
        </w:tc>
        <w:tc>
          <w:tcPr>
            <w:tcW w:w="557" w:type="pct"/>
            <w:noWrap w:val="0"/>
            <w:vAlign w:val="center"/>
          </w:tcPr>
          <w:p w14:paraId="08FE067B">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绿化工</w:t>
            </w:r>
          </w:p>
        </w:tc>
        <w:tc>
          <w:tcPr>
            <w:tcW w:w="457" w:type="pct"/>
            <w:noWrap w:val="0"/>
            <w:vAlign w:val="center"/>
          </w:tcPr>
          <w:p w14:paraId="1524E7B0">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471" w:type="pct"/>
            <w:noWrap w:val="0"/>
            <w:vAlign w:val="center"/>
          </w:tcPr>
          <w:p w14:paraId="4F866042">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900" w:type="pct"/>
            <w:noWrap w:val="0"/>
            <w:vAlign w:val="center"/>
          </w:tcPr>
          <w:p w14:paraId="0C26143F">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曾接受专业技术培训，掌握多项绿化养护工作程序和规程；</w:t>
            </w:r>
            <w:r>
              <w:rPr>
                <w:rFonts w:hint="eastAsia" w:ascii="宋体" w:hAnsi="宋体" w:eastAsia="宋体" w:cs="宋体"/>
                <w:color w:val="auto"/>
                <w:spacing w:val="-2"/>
                <w:sz w:val="21"/>
                <w:szCs w:val="21"/>
                <w:highlight w:val="none"/>
              </w:rPr>
              <w:t>需熟悉植物点，掌握不同气候、环境对植物的影响，及时浇水、松土、施肥、修剪、病虫防治、除草保洁、防寒、苗木补植和保护基本技能。</w:t>
            </w:r>
          </w:p>
          <w:p w14:paraId="7CB818AF">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具有3年或以上绿化养护工作经验（上岗时提供健康体检证明）。</w:t>
            </w:r>
          </w:p>
        </w:tc>
      </w:tr>
      <w:tr w14:paraId="3BA6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1" w:type="pct"/>
            <w:vMerge w:val="restart"/>
            <w:noWrap w:val="0"/>
            <w:vAlign w:val="center"/>
          </w:tcPr>
          <w:p w14:paraId="23624EBF">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保安服务</w:t>
            </w:r>
            <w:r>
              <w:rPr>
                <w:rFonts w:hint="eastAsia" w:ascii="宋体" w:hAnsi="宋体" w:eastAsia="宋体" w:cs="宋体"/>
                <w:color w:val="auto"/>
                <w:sz w:val="21"/>
                <w:szCs w:val="21"/>
                <w:highlight w:val="none"/>
                <w:lang w:eastAsia="zh-CN"/>
              </w:rPr>
              <w:t>岗</w:t>
            </w:r>
          </w:p>
        </w:tc>
        <w:tc>
          <w:tcPr>
            <w:tcW w:w="557" w:type="pct"/>
            <w:noWrap w:val="0"/>
            <w:vAlign w:val="center"/>
          </w:tcPr>
          <w:p w14:paraId="21BFA6DD">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领班</w:t>
            </w:r>
          </w:p>
        </w:tc>
        <w:tc>
          <w:tcPr>
            <w:tcW w:w="457" w:type="pct"/>
            <w:noWrap w:val="0"/>
            <w:vAlign w:val="center"/>
          </w:tcPr>
          <w:p w14:paraId="1FB247BB">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1" w:type="pct"/>
            <w:noWrap w:val="0"/>
            <w:vAlign w:val="center"/>
          </w:tcPr>
          <w:p w14:paraId="3C61F9F2">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900" w:type="pct"/>
            <w:noWrap w:val="0"/>
            <w:vAlign w:val="center"/>
          </w:tcPr>
          <w:p w14:paraId="541F1545">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8小时，合同期内在岗率100%；</w:t>
            </w:r>
          </w:p>
          <w:p w14:paraId="6AB6419A">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具有3年或以上保安管理工作经验；</w:t>
            </w:r>
            <w:r>
              <w:rPr>
                <w:rFonts w:hint="eastAsia" w:ascii="宋体" w:hAnsi="宋体" w:eastAsia="宋体" w:cs="宋体"/>
                <w:color w:val="auto"/>
                <w:spacing w:val="-4"/>
                <w:sz w:val="21"/>
                <w:szCs w:val="21"/>
                <w:highlight w:val="none"/>
              </w:rPr>
              <w:t>负责项目所有服务场所的安保管理、</w:t>
            </w:r>
            <w:r>
              <w:rPr>
                <w:rFonts w:hint="eastAsia" w:ascii="宋体" w:hAnsi="宋体" w:eastAsia="宋体" w:cs="宋体"/>
                <w:color w:val="auto"/>
                <w:spacing w:val="-2"/>
                <w:sz w:val="21"/>
                <w:szCs w:val="21"/>
                <w:highlight w:val="none"/>
              </w:rPr>
              <w:t>监督、培训工作，能够胜任各项安保工作，具有较强的事业心和责任感，具有较强管理、组织协调能力，有较高的个人修养和良好的人际关系，为人正直，秉公依法办事，遵守国家法律法规忠于职守，勇于奉献；</w:t>
            </w:r>
          </w:p>
          <w:p w14:paraId="16178667">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男性，年龄28至58岁（上岗时提供健康体检证明和无犯罪记录证明）。</w:t>
            </w:r>
          </w:p>
          <w:p w14:paraId="1C051188">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color w:val="auto"/>
                <w:spacing w:val="-2"/>
                <w:sz w:val="21"/>
                <w:szCs w:val="21"/>
                <w:highlight w:val="none"/>
              </w:rPr>
              <w:t>要求需持有公安部门核发的保安员上岗证。</w:t>
            </w:r>
            <w:r>
              <w:rPr>
                <w:rFonts w:hint="eastAsia" w:ascii="宋体" w:hAnsi="宋体" w:eastAsia="宋体" w:cs="宋体"/>
                <w:b/>
                <w:color w:val="auto"/>
                <w:sz w:val="21"/>
                <w:szCs w:val="21"/>
                <w:highlight w:val="none"/>
              </w:rPr>
              <w:t>（投标时提供相应人员证书复印件或承诺签订合同后提供具备相应证书的上述人员，可参照“投标文件格式”中《承诺函》格式 ）。</w:t>
            </w:r>
          </w:p>
        </w:tc>
      </w:tr>
      <w:tr w14:paraId="2EB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1" w:type="pct"/>
            <w:vMerge w:val="continue"/>
            <w:noWrap w:val="0"/>
            <w:vAlign w:val="center"/>
          </w:tcPr>
          <w:p w14:paraId="432094C9">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p>
        </w:tc>
        <w:tc>
          <w:tcPr>
            <w:tcW w:w="557" w:type="pct"/>
            <w:noWrap w:val="0"/>
            <w:vAlign w:val="center"/>
          </w:tcPr>
          <w:p w14:paraId="01AEFC09">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保安员</w:t>
            </w:r>
          </w:p>
        </w:tc>
        <w:tc>
          <w:tcPr>
            <w:tcW w:w="457" w:type="pct"/>
            <w:noWrap w:val="0"/>
            <w:vAlign w:val="center"/>
          </w:tcPr>
          <w:p w14:paraId="0F79BF8A">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471" w:type="pct"/>
            <w:noWrap w:val="0"/>
            <w:vAlign w:val="center"/>
          </w:tcPr>
          <w:p w14:paraId="3697CCE3">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900" w:type="pct"/>
            <w:noWrap w:val="0"/>
            <w:vAlign w:val="center"/>
          </w:tcPr>
          <w:p w14:paraId="3234331C">
            <w:pPr>
              <w:keepNext w:val="0"/>
              <w:keepLines w:val="0"/>
              <w:pageBreakBefore w:val="0"/>
              <w:wordWrap/>
              <w:topLinePunct w:val="0"/>
              <w:autoSpaceDE w:val="0"/>
              <w:autoSpaceDN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8小时，合同期内在岗率100%；</w:t>
            </w:r>
          </w:p>
          <w:p w14:paraId="4DF5071F">
            <w:pPr>
              <w:keepNext w:val="0"/>
              <w:keepLines w:val="0"/>
              <w:pageBreakBefore w:val="0"/>
              <w:wordWrap/>
              <w:topLinePunct w:val="0"/>
              <w:autoSpaceDE w:val="0"/>
              <w:autoSpaceDN w:val="0"/>
              <w:bidi w:val="0"/>
              <w:adjustRightInd/>
              <w:spacing w:beforeAutospacing="0" w:afterAutospacing="0" w:line="240" w:lineRule="auto"/>
              <w:ind w:left="0" w:leftChars="0" w:right="0"/>
              <w:jc w:val="left"/>
              <w:rPr>
                <w:rFonts w:hint="eastAsia" w:ascii="宋体" w:hAnsi="宋体" w:eastAsia="宋体" w:cs="宋体"/>
                <w:color w:val="auto"/>
                <w:spacing w:val="-24"/>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具有3年或以上保安工作经验；</w:t>
            </w:r>
            <w:r>
              <w:rPr>
                <w:rFonts w:hint="eastAsia" w:ascii="宋体" w:hAnsi="宋体" w:eastAsia="宋体" w:cs="宋体"/>
                <w:color w:val="auto"/>
                <w:spacing w:val="-10"/>
                <w:sz w:val="21"/>
                <w:szCs w:val="21"/>
                <w:highlight w:val="none"/>
              </w:rPr>
              <w:t xml:space="preserve">安保服务为 </w:t>
            </w:r>
            <w:r>
              <w:rPr>
                <w:rFonts w:hint="eastAsia" w:ascii="宋体" w:hAnsi="宋体" w:eastAsia="宋体" w:cs="宋体"/>
                <w:color w:val="auto"/>
                <w:spacing w:val="-2"/>
                <w:sz w:val="21"/>
                <w:szCs w:val="21"/>
                <w:highlight w:val="none"/>
              </w:rPr>
              <w:t>24</w:t>
            </w:r>
            <w:r>
              <w:rPr>
                <w:rFonts w:hint="eastAsia" w:ascii="宋体" w:hAnsi="宋体" w:eastAsia="宋体" w:cs="宋体"/>
                <w:color w:val="auto"/>
                <w:spacing w:val="-10"/>
                <w:sz w:val="21"/>
                <w:szCs w:val="21"/>
                <w:highlight w:val="none"/>
              </w:rPr>
              <w:t xml:space="preserve"> 小时值班制，每天分早、中、晚三班次，根据项目总体要求，满足所有岗位人</w:t>
            </w:r>
            <w:r>
              <w:rPr>
                <w:rFonts w:hint="eastAsia" w:ascii="宋体" w:hAnsi="宋体" w:eastAsia="宋体" w:cs="宋体"/>
                <w:color w:val="auto"/>
                <w:sz w:val="21"/>
                <w:szCs w:val="21"/>
                <w:highlight w:val="none"/>
              </w:rPr>
              <w:t>员应不少</w:t>
            </w:r>
            <w:r>
              <w:rPr>
                <w:rFonts w:hint="eastAsia" w:ascii="宋体" w:hAnsi="宋体" w:eastAsia="宋体" w:cs="宋体"/>
                <w:color w:val="auto"/>
                <w:spacing w:val="-24"/>
                <w:sz w:val="21"/>
                <w:szCs w:val="21"/>
                <w:highlight w:val="none"/>
              </w:rPr>
              <w:t xml:space="preserve">于 </w:t>
            </w:r>
            <w:r>
              <w:rPr>
                <w:rFonts w:hint="eastAsia" w:ascii="宋体" w:hAnsi="宋体" w:cs="宋体"/>
                <w:color w:val="auto"/>
                <w:spacing w:val="-24"/>
                <w:sz w:val="21"/>
                <w:szCs w:val="21"/>
                <w:highlight w:val="none"/>
                <w:lang w:val="en-US" w:eastAsia="zh-CN"/>
              </w:rPr>
              <w:t>12</w:t>
            </w:r>
            <w:r>
              <w:rPr>
                <w:rFonts w:hint="eastAsia" w:ascii="宋体" w:hAnsi="宋体" w:eastAsia="宋体" w:cs="宋体"/>
                <w:color w:val="auto"/>
                <w:spacing w:val="-25"/>
                <w:sz w:val="21"/>
                <w:szCs w:val="21"/>
                <w:highlight w:val="none"/>
              </w:rPr>
              <w:t>人</w:t>
            </w:r>
            <w:r>
              <w:rPr>
                <w:rFonts w:hint="eastAsia" w:ascii="宋体" w:hAnsi="宋体" w:eastAsia="宋体" w:cs="宋体"/>
                <w:color w:val="auto"/>
                <w:sz w:val="21"/>
                <w:szCs w:val="21"/>
                <w:highlight w:val="none"/>
              </w:rPr>
              <w:t>岗。其中，男性派驻要求年龄</w:t>
            </w:r>
            <w:r>
              <w:rPr>
                <w:rFonts w:hint="eastAsia" w:ascii="宋体" w:hAnsi="宋体" w:eastAsia="宋体" w:cs="宋体"/>
                <w:color w:val="auto"/>
                <w:spacing w:val="-24"/>
                <w:sz w:val="21"/>
                <w:szCs w:val="21"/>
                <w:highlight w:val="none"/>
              </w:rPr>
              <w:t xml:space="preserve">在 </w:t>
            </w:r>
            <w:r>
              <w:rPr>
                <w:rFonts w:hint="eastAsia" w:ascii="宋体" w:hAnsi="宋体" w:eastAsia="宋体" w:cs="宋体"/>
                <w:color w:val="auto"/>
                <w:sz w:val="21"/>
                <w:szCs w:val="21"/>
                <w:highlight w:val="none"/>
              </w:rPr>
              <w:t>45</w:t>
            </w:r>
            <w:r>
              <w:rPr>
                <w:rFonts w:hint="eastAsia" w:ascii="宋体" w:hAnsi="宋体" w:eastAsia="宋体" w:cs="宋体"/>
                <w:color w:val="auto"/>
                <w:spacing w:val="-25"/>
                <w:sz w:val="21"/>
                <w:szCs w:val="21"/>
                <w:highlight w:val="none"/>
              </w:rPr>
              <w:t xml:space="preserve"> 岁</w:t>
            </w:r>
            <w:r>
              <w:rPr>
                <w:rFonts w:hint="eastAsia" w:ascii="宋体" w:hAnsi="宋体" w:eastAsia="宋体" w:cs="宋体"/>
                <w:color w:val="auto"/>
                <w:sz w:val="21"/>
                <w:szCs w:val="21"/>
                <w:highlight w:val="none"/>
              </w:rPr>
              <w:t>以上人员不高于男性总人数</w:t>
            </w:r>
            <w:r>
              <w:rPr>
                <w:rFonts w:hint="eastAsia" w:ascii="宋体" w:hAnsi="宋体" w:eastAsia="宋体" w:cs="宋体"/>
                <w:color w:val="auto"/>
                <w:spacing w:val="-24"/>
                <w:sz w:val="21"/>
                <w:szCs w:val="21"/>
                <w:highlight w:val="none"/>
              </w:rPr>
              <w:t xml:space="preserve">的 </w:t>
            </w:r>
            <w:r>
              <w:rPr>
                <w:rFonts w:hint="eastAsia" w:ascii="宋体" w:hAnsi="宋体" w:eastAsia="宋体" w:cs="宋体"/>
                <w:color w:val="auto"/>
                <w:sz w:val="21"/>
                <w:szCs w:val="21"/>
                <w:highlight w:val="none"/>
              </w:rPr>
              <w:t>30%，退伍军人占人数比例不少于 40%；部分岗位优先考虑女性人员，并且人数占比例不少于 10%。（上岗</w:t>
            </w:r>
            <w:r>
              <w:rPr>
                <w:rFonts w:hint="eastAsia" w:ascii="宋体" w:hAnsi="宋体" w:eastAsia="宋体" w:cs="宋体"/>
                <w:color w:val="auto"/>
                <w:spacing w:val="-24"/>
                <w:sz w:val="21"/>
                <w:szCs w:val="21"/>
                <w:highlight w:val="none"/>
              </w:rPr>
              <w:t>时提供健康体检证明和无犯罪记录证明）。</w:t>
            </w:r>
          </w:p>
          <w:p w14:paraId="184F125D">
            <w:pPr>
              <w:autoSpaceDE w:val="0"/>
              <w:autoSpaceDN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val="0"/>
                <w:color w:val="auto"/>
                <w:spacing w:val="0"/>
                <w:sz w:val="21"/>
                <w:szCs w:val="21"/>
                <w:highlight w:val="none"/>
              </w:rPr>
              <w:t>★</w:t>
            </w:r>
            <w:r>
              <w:rPr>
                <w:rFonts w:hint="eastAsia" w:ascii="宋体" w:hAnsi="宋体" w:eastAsia="宋体" w:cs="宋体"/>
                <w:b w:val="0"/>
                <w:color w:val="auto"/>
                <w:spacing w:val="0"/>
                <w:sz w:val="21"/>
                <w:szCs w:val="21"/>
                <w:highlight w:val="none"/>
                <w:lang w:val="en-US" w:eastAsia="zh-CN"/>
              </w:rPr>
              <w:t>3.</w:t>
            </w:r>
            <w:r>
              <w:rPr>
                <w:rFonts w:hint="eastAsia" w:ascii="宋体" w:hAnsi="宋体" w:eastAsia="宋体" w:cs="宋体"/>
                <w:color w:val="auto"/>
                <w:spacing w:val="-2"/>
                <w:sz w:val="21"/>
                <w:szCs w:val="21"/>
                <w:highlight w:val="none"/>
              </w:rPr>
              <w:t>要求需持有公安部门核发的保安员上岗证。</w:t>
            </w:r>
            <w:r>
              <w:rPr>
                <w:rFonts w:hint="eastAsia" w:ascii="宋体" w:hAnsi="宋体" w:eastAsia="宋体" w:cs="宋体"/>
                <w:b w:val="0"/>
                <w:color w:val="auto"/>
                <w:spacing w:val="0"/>
                <w:sz w:val="21"/>
                <w:szCs w:val="21"/>
                <w:highlight w:val="none"/>
              </w:rPr>
              <w:t>（投标时提供相应人员证书复印件或承诺签订合同后提供具备相应证书的上述人员，可参照“投标文件格式”中《承诺函》格式 ）。</w:t>
            </w:r>
          </w:p>
        </w:tc>
      </w:tr>
      <w:tr w14:paraId="1625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1" w:type="pct"/>
            <w:vMerge w:val="continue"/>
            <w:noWrap w:val="0"/>
            <w:vAlign w:val="center"/>
          </w:tcPr>
          <w:p w14:paraId="18915A54">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消防控制中心值班服务岗</w:t>
            </w:r>
          </w:p>
        </w:tc>
        <w:tc>
          <w:tcPr>
            <w:tcW w:w="557" w:type="pct"/>
            <w:noWrap w:val="0"/>
            <w:vAlign w:val="center"/>
          </w:tcPr>
          <w:p w14:paraId="17206DF1">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消防控制中心值班员</w:t>
            </w:r>
          </w:p>
        </w:tc>
        <w:tc>
          <w:tcPr>
            <w:tcW w:w="457" w:type="pct"/>
            <w:noWrap w:val="0"/>
            <w:vAlign w:val="center"/>
          </w:tcPr>
          <w:p w14:paraId="5C56C408">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71" w:type="pct"/>
            <w:noWrap w:val="0"/>
            <w:vAlign w:val="center"/>
          </w:tcPr>
          <w:p w14:paraId="390356DE">
            <w:pPr>
              <w:keepNext w:val="0"/>
              <w:keepLines w:val="0"/>
              <w:pageBreakBefore w:val="0"/>
              <w:wordWrap/>
              <w:topLinePunct w:val="0"/>
              <w:autoSpaceDE w:val="0"/>
              <w:autoSpaceDN w:val="0"/>
              <w:bidi w:val="0"/>
              <w:adjustRightInd/>
              <w:spacing w:beforeAutospacing="0" w:afterAutospacing="0"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900" w:type="pct"/>
            <w:noWrap w:val="0"/>
            <w:vAlign w:val="center"/>
          </w:tcPr>
          <w:p w14:paraId="0964252D">
            <w:pPr>
              <w:pStyle w:val="12"/>
              <w:keepNext w:val="0"/>
              <w:keepLines w:val="0"/>
              <w:pageBreakBefore w:val="0"/>
              <w:wordWrap/>
              <w:topLinePunct w:val="0"/>
              <w:bidi w:val="0"/>
              <w:adjustRightInd/>
              <w:spacing w:beforeAutospacing="0" w:afterAutospacing="0" w:line="240" w:lineRule="auto"/>
              <w:ind w:left="0" w:leftChars="0" w:right="0" w:firstLine="0"/>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eastAsia="zh-CN"/>
              </w:rPr>
              <w:t>梅华西办公区</w:t>
            </w:r>
            <w:r>
              <w:rPr>
                <w:rFonts w:hint="eastAsia" w:ascii="宋体" w:hAnsi="宋体" w:eastAsia="宋体" w:cs="宋体"/>
                <w:color w:val="auto"/>
                <w:spacing w:val="-7"/>
                <w:sz w:val="21"/>
                <w:szCs w:val="21"/>
                <w:highlight w:val="none"/>
              </w:rPr>
              <w:t xml:space="preserve">内配备至少 </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5"/>
                <w:sz w:val="21"/>
                <w:szCs w:val="21"/>
                <w:highlight w:val="none"/>
              </w:rPr>
              <w:t xml:space="preserve"> 名消防控制</w:t>
            </w:r>
            <w:r>
              <w:rPr>
                <w:rFonts w:hint="eastAsia" w:ascii="宋体" w:hAnsi="宋体" w:eastAsia="宋体" w:cs="宋体"/>
                <w:color w:val="auto"/>
                <w:spacing w:val="-2"/>
                <w:sz w:val="21"/>
                <w:szCs w:val="21"/>
                <w:highlight w:val="none"/>
              </w:rPr>
              <w:t>中心</w:t>
            </w:r>
            <w:r>
              <w:rPr>
                <w:rFonts w:hint="eastAsia" w:ascii="宋体" w:hAnsi="宋体" w:eastAsia="宋体" w:cs="宋体"/>
                <w:color w:val="auto"/>
                <w:spacing w:val="-14"/>
                <w:sz w:val="21"/>
                <w:szCs w:val="21"/>
                <w:highlight w:val="none"/>
              </w:rPr>
              <w:t>值班工作人员，</w:t>
            </w:r>
            <w:r>
              <w:rPr>
                <w:rFonts w:hint="eastAsia" w:ascii="宋体" w:hAnsi="宋体" w:eastAsia="宋体" w:cs="宋体"/>
                <w:color w:val="auto"/>
                <w:spacing w:val="-14"/>
                <w:sz w:val="21"/>
                <w:szCs w:val="21"/>
                <w:highlight w:val="none"/>
                <w:lang w:eastAsia="zh-CN"/>
              </w:rPr>
              <w:t>实行</w:t>
            </w:r>
            <w:r>
              <w:rPr>
                <w:rFonts w:hint="eastAsia" w:ascii="宋体" w:hAnsi="宋体" w:eastAsia="宋体" w:cs="宋体"/>
                <w:color w:val="auto"/>
                <w:spacing w:val="-14"/>
                <w:sz w:val="21"/>
                <w:szCs w:val="21"/>
                <w:highlight w:val="none"/>
                <w:lang w:val="en-US" w:eastAsia="zh-CN"/>
              </w:rPr>
              <w:t>3班制，每班不少于1人岗，</w:t>
            </w:r>
            <w:r>
              <w:rPr>
                <w:rFonts w:hint="eastAsia" w:ascii="宋体" w:hAnsi="宋体" w:eastAsia="宋体" w:cs="宋体"/>
                <w:color w:val="auto"/>
                <w:spacing w:val="-14"/>
                <w:sz w:val="21"/>
                <w:szCs w:val="21"/>
                <w:highlight w:val="none"/>
              </w:rPr>
              <w:t>负责执</w:t>
            </w:r>
            <w:r>
              <w:rPr>
                <w:rFonts w:hint="eastAsia" w:ascii="宋体" w:hAnsi="宋体" w:eastAsia="宋体" w:cs="宋体"/>
                <w:color w:val="auto"/>
                <w:spacing w:val="-4"/>
                <w:sz w:val="21"/>
                <w:szCs w:val="21"/>
                <w:highlight w:val="none"/>
              </w:rPr>
              <w:t>行消防安全管理制度</w:t>
            </w:r>
            <w:r>
              <w:rPr>
                <w:rFonts w:hint="eastAsia" w:ascii="宋体" w:hAnsi="宋体" w:eastAsia="宋体" w:cs="宋体"/>
                <w:color w:val="auto"/>
                <w:spacing w:val="-5"/>
                <w:sz w:val="21"/>
                <w:szCs w:val="21"/>
                <w:highlight w:val="none"/>
              </w:rPr>
              <w:t>，监督维保单位履职，协助消防部门做好消防工作，完成消防控制中心值班工作。</w:t>
            </w:r>
          </w:p>
          <w:p w14:paraId="11590C62">
            <w:pPr>
              <w:pStyle w:val="12"/>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b w:val="0"/>
                <w:bCs w:val="0"/>
                <w:color w:val="auto"/>
                <w:spacing w:val="-2"/>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4"/>
                <w:sz w:val="21"/>
                <w:szCs w:val="21"/>
                <w:highlight w:val="none"/>
                <w:lang w:val="en-US" w:eastAsia="zh-CN"/>
              </w:rPr>
              <w:t>2.</w:t>
            </w:r>
            <w:r>
              <w:rPr>
                <w:rFonts w:hint="eastAsia" w:ascii="宋体" w:hAnsi="宋体" w:eastAsia="宋体" w:cs="宋体"/>
                <w:b w:val="0"/>
                <w:bCs w:val="0"/>
                <w:color w:val="auto"/>
                <w:spacing w:val="-14"/>
                <w:sz w:val="21"/>
                <w:szCs w:val="21"/>
                <w:highlight w:val="none"/>
              </w:rPr>
              <w:t>要求</w:t>
            </w:r>
            <w:r>
              <w:rPr>
                <w:rFonts w:hint="eastAsia" w:ascii="宋体" w:hAnsi="宋体" w:eastAsia="宋体" w:cs="宋体"/>
                <w:b w:val="0"/>
                <w:bCs w:val="0"/>
                <w:color w:val="auto"/>
                <w:spacing w:val="-14"/>
                <w:sz w:val="21"/>
                <w:szCs w:val="21"/>
                <w:highlight w:val="none"/>
                <w:lang w:val="en-US" w:eastAsia="zh-CN"/>
              </w:rPr>
              <w:t>2</w:t>
            </w:r>
            <w:r>
              <w:rPr>
                <w:rFonts w:hint="eastAsia" w:ascii="宋体" w:hAnsi="宋体" w:eastAsia="宋体" w:cs="宋体"/>
                <w:b w:val="0"/>
                <w:bCs w:val="0"/>
                <w:color w:val="auto"/>
                <w:spacing w:val="-14"/>
                <w:sz w:val="21"/>
                <w:szCs w:val="21"/>
                <w:highlight w:val="none"/>
              </w:rPr>
              <w:t>人，均持有《建（构）筑物消防员》（或《消防设施操作员》）证书，投标时提交有效的证书复印件或承诺签订合同后2个工作日内配备到位（投标时提供承诺，可参照“投标文件格式”中《承诺函》格式）</w:t>
            </w:r>
            <w:r>
              <w:rPr>
                <w:rFonts w:hint="eastAsia" w:ascii="宋体" w:hAnsi="宋体" w:eastAsia="宋体" w:cs="宋体"/>
                <w:b w:val="0"/>
                <w:bCs w:val="0"/>
                <w:color w:val="auto"/>
                <w:spacing w:val="-2"/>
                <w:sz w:val="21"/>
                <w:szCs w:val="21"/>
                <w:highlight w:val="none"/>
              </w:rPr>
              <w:t>；</w:t>
            </w:r>
          </w:p>
          <w:p w14:paraId="23C8D0C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4"/>
                <w:sz w:val="21"/>
                <w:szCs w:val="21"/>
                <w:highlight w:val="none"/>
              </w:rPr>
              <w:t>★</w:t>
            </w:r>
            <w:r>
              <w:rPr>
                <w:rFonts w:hint="eastAsia" w:ascii="宋体" w:hAnsi="宋体" w:eastAsia="宋体" w:cs="宋体"/>
                <w:b w:val="0"/>
                <w:bCs w:val="0"/>
                <w:color w:val="auto"/>
                <w:spacing w:val="-2"/>
                <w:sz w:val="21"/>
                <w:szCs w:val="21"/>
                <w:highlight w:val="none"/>
                <w:lang w:val="en-US" w:eastAsia="zh-CN"/>
              </w:rPr>
              <w:t>3.应具备电工作业操作证</w:t>
            </w:r>
            <w:r>
              <w:rPr>
                <w:rFonts w:hint="eastAsia" w:ascii="宋体" w:hAnsi="宋体" w:eastAsia="宋体" w:cs="宋体"/>
                <w:b w:val="0"/>
                <w:bCs w:val="0"/>
                <w:color w:val="auto"/>
                <w:spacing w:val="-14"/>
                <w:sz w:val="21"/>
                <w:szCs w:val="21"/>
                <w:highlight w:val="none"/>
              </w:rPr>
              <w:t>（投标时提供承诺，可参照“投标文件格式”中《承诺函》格式）</w:t>
            </w:r>
          </w:p>
          <w:p w14:paraId="6B8B7A9D">
            <w:pPr>
              <w:pStyle w:val="12"/>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rPr>
              <w:t>责任心强，善于沟通，具有专业的技</w:t>
            </w:r>
            <w:r>
              <w:rPr>
                <w:rFonts w:hint="eastAsia" w:ascii="宋体" w:hAnsi="宋体" w:eastAsia="宋体" w:cs="宋体"/>
                <w:color w:val="auto"/>
                <w:sz w:val="21"/>
                <w:szCs w:val="21"/>
                <w:highlight w:val="none"/>
              </w:rPr>
              <w:t>术能力；</w:t>
            </w:r>
          </w:p>
          <w:p w14:paraId="651C8CFC">
            <w:pPr>
              <w:pStyle w:val="12"/>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在办公物业项目中从事过相关工作；</w:t>
            </w:r>
          </w:p>
          <w:p w14:paraId="68018739">
            <w:pPr>
              <w:pStyle w:val="12"/>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具</w:t>
            </w:r>
            <w:r>
              <w:rPr>
                <w:rFonts w:hint="eastAsia" w:ascii="宋体" w:hAnsi="宋体" w:eastAsia="宋体" w:cs="宋体"/>
                <w:color w:val="auto"/>
                <w:spacing w:val="-9"/>
                <w:sz w:val="21"/>
                <w:szCs w:val="21"/>
                <w:highlight w:val="none"/>
              </w:rPr>
              <w:t xml:space="preserve">有 </w:t>
            </w:r>
            <w:r>
              <w:rPr>
                <w:rFonts w:hint="eastAsia" w:ascii="宋体" w:hAnsi="宋体" w:eastAsia="宋体" w:cs="宋体"/>
                <w:color w:val="auto"/>
                <w:sz w:val="21"/>
                <w:szCs w:val="21"/>
                <w:highlight w:val="none"/>
              </w:rPr>
              <w:t>3</w:t>
            </w:r>
            <w:r>
              <w:rPr>
                <w:rFonts w:hint="eastAsia" w:ascii="宋体" w:hAnsi="宋体" w:eastAsia="宋体" w:cs="宋体"/>
                <w:color w:val="auto"/>
                <w:spacing w:val="-4"/>
                <w:sz w:val="21"/>
                <w:szCs w:val="21"/>
                <w:highlight w:val="none"/>
              </w:rPr>
              <w:t xml:space="preserve"> 年</w:t>
            </w:r>
            <w:r>
              <w:rPr>
                <w:rFonts w:hint="eastAsia" w:ascii="宋体" w:hAnsi="宋体" w:eastAsia="宋体" w:cs="宋体"/>
                <w:color w:val="auto"/>
                <w:spacing w:val="-4"/>
                <w:sz w:val="21"/>
                <w:szCs w:val="21"/>
                <w:highlight w:val="none"/>
                <w:lang w:val="en-US" w:eastAsia="zh-CN"/>
              </w:rPr>
              <w:t>或</w:t>
            </w:r>
            <w:r>
              <w:rPr>
                <w:rFonts w:hint="eastAsia" w:ascii="宋体" w:hAnsi="宋体" w:eastAsia="宋体" w:cs="宋体"/>
                <w:color w:val="auto"/>
                <w:spacing w:val="-4"/>
                <w:sz w:val="21"/>
                <w:szCs w:val="21"/>
                <w:highlight w:val="none"/>
              </w:rPr>
              <w:t>以上技工经验；</w:t>
            </w:r>
          </w:p>
          <w:p w14:paraId="7845F9C8">
            <w:pPr>
              <w:pStyle w:val="12"/>
              <w:keepNext w:val="0"/>
              <w:keepLines w:val="0"/>
              <w:pageBreakBefore w:val="0"/>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消防设备设施方面</w:t>
            </w:r>
            <w:r>
              <w:rPr>
                <w:rFonts w:hint="eastAsia" w:ascii="宋体" w:hAnsi="宋体" w:eastAsia="宋体" w:cs="宋体"/>
                <w:color w:val="auto"/>
                <w:spacing w:val="-2"/>
                <w:sz w:val="21"/>
                <w:szCs w:val="21"/>
                <w:highlight w:val="none"/>
              </w:rPr>
              <w:t>有较全面的了解，身体健康。</w:t>
            </w:r>
          </w:p>
        </w:tc>
      </w:tr>
    </w:tbl>
    <w:p w14:paraId="3AE1054F">
      <w:pPr>
        <w:pStyle w:val="124"/>
        <w:keepNext w:val="0"/>
        <w:keepLines w:val="0"/>
        <w:pageBreakBefore w:val="0"/>
        <w:numPr>
          <w:ilvl w:val="0"/>
          <w:numId w:val="0"/>
        </w:numPr>
        <w:wordWrap/>
        <w:topLinePunct w:val="0"/>
        <w:bidi w:val="0"/>
        <w:adjustRightInd/>
        <w:spacing w:beforeAutospacing="0" w:afterAutospacing="0" w:line="240" w:lineRule="auto"/>
        <w:ind w:left="0" w:leftChars="0" w:right="0" w:firstLine="0" w:firstLineChars="0"/>
        <w:outlineLvl w:val="3"/>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6.</w:t>
      </w:r>
      <w:r>
        <w:rPr>
          <w:rFonts w:hint="eastAsia" w:ascii="宋体" w:hAnsi="宋体" w:eastAsia="宋体" w:cs="宋体"/>
          <w:b/>
          <w:bCs/>
          <w:color w:val="auto"/>
          <w:kern w:val="2"/>
          <w:sz w:val="21"/>
          <w:szCs w:val="21"/>
          <w:highlight w:val="none"/>
          <w:lang w:val="zh-CN"/>
        </w:rPr>
        <w:t>需要说明的其他事项</w:t>
      </w:r>
    </w:p>
    <w:p w14:paraId="0590BA51">
      <w:pPr>
        <w:pStyle w:val="33"/>
        <w:keepNext w:val="0"/>
        <w:keepLines w:val="0"/>
        <w:pageBreakBefore w:val="0"/>
        <w:shd w:val="clear" w:color="auto" w:fill="FFFFFF"/>
        <w:wordWrap/>
        <w:topLinePunct w:val="0"/>
        <w:bidi w:val="0"/>
        <w:adjustRightInd/>
        <w:spacing w:before="0" w:beforeAutospacing="0" w:after="0" w:afterAutospacing="0" w:line="240" w:lineRule="auto"/>
        <w:ind w:left="0" w:leftChars="0" w:right="0" w:firstLine="454" w:firstLineChars="200"/>
        <w:jc w:val="both"/>
        <w:outlineLvl w:val="4"/>
        <w:rPr>
          <w:rStyle w:val="40"/>
          <w:rFonts w:hint="eastAsia" w:ascii="宋体" w:hAnsi="宋体" w:eastAsia="宋体" w:cs="宋体"/>
          <w:color w:val="auto"/>
          <w:spacing w:val="8"/>
          <w:sz w:val="21"/>
          <w:szCs w:val="21"/>
          <w:highlight w:val="none"/>
          <w:shd w:val="clear" w:color="auto" w:fill="FFFFFF"/>
        </w:rPr>
      </w:pPr>
      <w:r>
        <w:rPr>
          <w:rStyle w:val="40"/>
          <w:rFonts w:hint="eastAsia" w:ascii="宋体" w:hAnsi="宋体" w:eastAsia="宋体" w:cs="宋体"/>
          <w:color w:val="auto"/>
          <w:spacing w:val="8"/>
          <w:sz w:val="21"/>
          <w:szCs w:val="21"/>
          <w:highlight w:val="none"/>
          <w:shd w:val="clear" w:color="auto" w:fill="FFFFFF"/>
          <w:lang w:val="en-US"/>
        </w:rPr>
        <w:t>6</w:t>
      </w:r>
      <w:r>
        <w:rPr>
          <w:rStyle w:val="40"/>
          <w:rFonts w:hint="eastAsia" w:ascii="宋体" w:hAnsi="宋体" w:eastAsia="宋体" w:cs="宋体"/>
          <w:color w:val="auto"/>
          <w:spacing w:val="8"/>
          <w:sz w:val="21"/>
          <w:szCs w:val="21"/>
          <w:highlight w:val="none"/>
          <w:shd w:val="clear" w:color="auto" w:fill="FFFFFF"/>
        </w:rPr>
        <w:t>.1装备物料</w:t>
      </w:r>
    </w:p>
    <w:p w14:paraId="2913E58D">
      <w:pPr>
        <w:pStyle w:val="33"/>
        <w:keepNext w:val="0"/>
        <w:keepLines w:val="0"/>
        <w:pageBreakBefore w:val="0"/>
        <w:shd w:val="clear" w:color="auto" w:fill="FFFFFF"/>
        <w:wordWrap/>
        <w:topLinePunct w:val="0"/>
        <w:bidi w:val="0"/>
        <w:adjustRightInd/>
        <w:spacing w:before="0" w:beforeAutospacing="0" w:after="0" w:afterAutospacing="0" w:line="240" w:lineRule="auto"/>
        <w:ind w:left="0" w:leftChars="0" w:right="0" w:firstLine="454" w:firstLineChars="200"/>
        <w:jc w:val="both"/>
        <w:outlineLvl w:val="4"/>
        <w:rPr>
          <w:rStyle w:val="40"/>
          <w:rFonts w:hint="eastAsia" w:ascii="宋体" w:hAnsi="宋体" w:eastAsia="宋体" w:cs="宋体"/>
          <w:color w:val="auto"/>
          <w:spacing w:val="8"/>
          <w:sz w:val="21"/>
          <w:szCs w:val="21"/>
          <w:highlight w:val="none"/>
          <w:shd w:val="clear" w:color="auto" w:fill="FFFFFF"/>
        </w:rPr>
      </w:pPr>
      <w:r>
        <w:rPr>
          <w:rStyle w:val="40"/>
          <w:rFonts w:hint="eastAsia" w:ascii="宋体" w:hAnsi="宋体" w:eastAsia="宋体" w:cs="宋体"/>
          <w:color w:val="auto"/>
          <w:spacing w:val="8"/>
          <w:sz w:val="21"/>
          <w:szCs w:val="21"/>
          <w:highlight w:val="none"/>
          <w:shd w:val="clear" w:color="auto" w:fill="FFFFFF"/>
          <w:lang w:val="en-US"/>
        </w:rPr>
        <w:t>6.1.1</w:t>
      </w:r>
      <w:r>
        <w:rPr>
          <w:rStyle w:val="40"/>
          <w:rFonts w:hint="eastAsia" w:ascii="宋体" w:hAnsi="宋体" w:eastAsia="宋体" w:cs="宋体"/>
          <w:color w:val="auto"/>
          <w:spacing w:val="0"/>
          <w:kern w:val="2"/>
          <w:sz w:val="21"/>
          <w:szCs w:val="21"/>
          <w:highlight w:val="none"/>
          <w:shd w:val="clear" w:color="auto" w:fill="auto"/>
        </w:rPr>
        <w:t>符合采购人要求足够数量的作业机具、物品、物料等，包括但不限于：工作人员的制服、鞋帽等劳动、劳保日常必备的各种用具用品，机液压升降台，对讲机（当班在岗员工每人1 部），房屋修缮和机电维修各种工（机、器）具及五金、电气材料，电脑、打（复）印机、 成套保安器械、各种度、测量（器）仪，卫生清洁工具、毛巾等装备物资，以及服务于采购人各服务场所公共区域的厕纸、擦手纸、抽纸、面巾纸（不包括餐厅、饭堂的抽纸、擦手纸、面巾纸）、洗手液、消毒液、卫生间香茗等日常用品。休息室、值班室包括被子、床单、枕头等床上用品</w:t>
      </w:r>
      <w:r>
        <w:rPr>
          <w:rStyle w:val="40"/>
          <w:rFonts w:hint="eastAsia" w:ascii="宋体" w:hAnsi="宋体" w:eastAsia="宋体" w:cs="宋体"/>
          <w:color w:val="auto"/>
          <w:spacing w:val="0"/>
          <w:kern w:val="2"/>
          <w:sz w:val="21"/>
          <w:szCs w:val="21"/>
          <w:highlight w:val="none"/>
          <w:shd w:val="clear" w:color="auto" w:fill="auto"/>
          <w:lang w:eastAsia="zh-CN"/>
        </w:rPr>
        <w:t>清洗</w:t>
      </w:r>
      <w:r>
        <w:rPr>
          <w:rStyle w:val="40"/>
          <w:rFonts w:hint="eastAsia" w:ascii="宋体" w:hAnsi="宋体" w:eastAsia="宋体" w:cs="宋体"/>
          <w:color w:val="auto"/>
          <w:spacing w:val="0"/>
          <w:kern w:val="2"/>
          <w:sz w:val="21"/>
          <w:szCs w:val="21"/>
          <w:highlight w:val="none"/>
          <w:shd w:val="clear" w:color="auto" w:fill="auto"/>
        </w:rPr>
        <w:t>；拖鞋、牙膏、牙刷、沐浴液、洗头液、肥皂等浴室耗用品全年正常供应，投标人报价时应充分评估项目需求及成本，确保充足供应。</w:t>
      </w:r>
    </w:p>
    <w:p w14:paraId="087878ED">
      <w:pPr>
        <w:keepNext w:val="0"/>
        <w:keepLines w:val="0"/>
        <w:pageBreakBefore w:val="0"/>
        <w:wordWrap/>
        <w:topLinePunct w:val="0"/>
        <w:autoSpaceDE w:val="0"/>
        <w:autoSpaceDN w:val="0"/>
        <w:bidi w:val="0"/>
        <w:adjustRightInd/>
        <w:snapToGrid w:val="0"/>
        <w:spacing w:beforeAutospacing="0" w:afterAutospacing="0" w:line="240" w:lineRule="auto"/>
        <w:ind w:left="0" w:leftChars="0" w:right="0" w:firstLine="422" w:firstLineChars="200"/>
        <w:rPr>
          <w:rStyle w:val="40"/>
          <w:rFonts w:hint="eastAsia" w:ascii="宋体" w:hAnsi="宋体" w:eastAsia="宋体" w:cs="宋体"/>
          <w:color w:val="auto"/>
          <w:spacing w:val="0"/>
          <w:sz w:val="21"/>
          <w:szCs w:val="21"/>
          <w:highlight w:val="none"/>
          <w:shd w:val="clear" w:color="auto" w:fill="auto"/>
        </w:rPr>
      </w:pPr>
      <w:r>
        <w:rPr>
          <w:rStyle w:val="40"/>
          <w:rFonts w:hint="eastAsia" w:ascii="宋体" w:hAnsi="宋体" w:eastAsia="宋体" w:cs="宋体"/>
          <w:color w:val="auto"/>
          <w:spacing w:val="0"/>
          <w:sz w:val="21"/>
          <w:szCs w:val="21"/>
          <w:highlight w:val="none"/>
          <w:shd w:val="clear" w:color="auto" w:fill="auto"/>
          <w:lang w:val="en-US"/>
        </w:rPr>
        <w:t>6</w:t>
      </w:r>
      <w:r>
        <w:rPr>
          <w:rStyle w:val="40"/>
          <w:rFonts w:hint="eastAsia" w:ascii="宋体" w:hAnsi="宋体" w:eastAsia="宋体" w:cs="宋体"/>
          <w:color w:val="auto"/>
          <w:spacing w:val="0"/>
          <w:sz w:val="21"/>
          <w:szCs w:val="21"/>
          <w:highlight w:val="none"/>
          <w:shd w:val="clear" w:color="auto" w:fill="auto"/>
        </w:rPr>
        <w:t>.2保洁时所用的清洁用品要求如下：清洁剂类：安全、不伤瓷，杀菌；纸品类（卫生卷纸）： 安全无毒、不漂白，抑菌亲肤，湿水柔韧、清爽无屑等等。投标人投标时应选择安全品牌市场认可度较高及品质可靠的产品。中标人所选产品需由采购人确认，采购人有权对中标人所选产品进行审核、对比或检测，并根据核对检测情况要求中标人对不符要求的产品予以更换。</w:t>
      </w:r>
    </w:p>
    <w:p w14:paraId="1A42FF58">
      <w:pPr>
        <w:keepNext w:val="0"/>
        <w:keepLines w:val="0"/>
        <w:pageBreakBefore w:val="0"/>
        <w:wordWrap/>
        <w:topLinePunct w:val="0"/>
        <w:autoSpaceDE w:val="0"/>
        <w:autoSpaceDN w:val="0"/>
        <w:bidi w:val="0"/>
        <w:adjustRightInd/>
        <w:snapToGrid w:val="0"/>
        <w:spacing w:beforeAutospacing="0" w:afterAutospacing="0" w:line="240" w:lineRule="auto"/>
        <w:ind w:left="0" w:leftChars="0" w:right="0"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6</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rPr>
        <w:t xml:space="preserve"> 中标人务必与采购人签订保密协议，工作人员需遵守采购人有关规章制度、管理规定和双方签订的保密协议，不得泄漏采购人有关的机密文件，如有违反或损害采购人利益的，采购人有拒绝中标人的工作人员在此工作的权利，并有权要求中标人更换相关人员，中标人应当在2天内予以更换；造成严重后果的，根据事件性质追究相应责任。</w:t>
      </w:r>
    </w:p>
    <w:p w14:paraId="2A67C482">
      <w:pPr>
        <w:keepNext w:val="0"/>
        <w:keepLines w:val="0"/>
        <w:pageBreakBefore w:val="0"/>
        <w:widowControl/>
        <w:wordWrap/>
        <w:topLinePunct w:val="0"/>
        <w:autoSpaceDE w:val="0"/>
        <w:autoSpaceDN w:val="0"/>
        <w:bidi w:val="0"/>
        <w:adjustRightInd/>
        <w:snapToGrid w:val="0"/>
        <w:spacing w:beforeAutospacing="0" w:afterAutospacing="0" w:line="240" w:lineRule="auto"/>
        <w:ind w:left="0" w:leftChars="0" w:right="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val="en-US" w:eastAsia="zh-CN"/>
        </w:rPr>
        <w:t>6</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4</w:t>
      </w:r>
      <w:r>
        <w:rPr>
          <w:rFonts w:hint="eastAsia" w:ascii="宋体" w:hAnsi="宋体" w:eastAsia="宋体" w:cs="宋体"/>
          <w:bCs w:val="0"/>
          <w:color w:val="auto"/>
          <w:sz w:val="21"/>
          <w:szCs w:val="21"/>
          <w:highlight w:val="none"/>
        </w:rPr>
        <w:t xml:space="preserve"> 中标人需积极配合采购人做好节能减排、垃圾分类等节约型机关建设的工作，共同营造绿色低碳的机关运行机制。</w:t>
      </w:r>
    </w:p>
    <w:p w14:paraId="67275907">
      <w:pPr>
        <w:keepNext w:val="0"/>
        <w:keepLines w:val="0"/>
        <w:pageBreakBefore w:val="0"/>
        <w:widowControl/>
        <w:wordWrap/>
        <w:topLinePunct w:val="0"/>
        <w:autoSpaceDE w:val="0"/>
        <w:autoSpaceDN w:val="0"/>
        <w:bidi w:val="0"/>
        <w:adjustRightInd/>
        <w:snapToGrid w:val="0"/>
        <w:spacing w:beforeAutospacing="0" w:afterAutospacing="0" w:line="240" w:lineRule="auto"/>
        <w:ind w:left="0" w:leftChars="0" w:right="0"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6</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4.</w:t>
      </w:r>
      <w:r>
        <w:rPr>
          <w:rFonts w:hint="eastAsia" w:ascii="宋体" w:hAnsi="宋体" w:eastAsia="宋体" w:cs="宋体"/>
          <w:bCs w:val="0"/>
          <w:color w:val="auto"/>
          <w:sz w:val="21"/>
          <w:szCs w:val="21"/>
          <w:highlight w:val="none"/>
        </w:rPr>
        <w:t>1中标人要协助采购人的耗能设备进行全方位的了解和分析，制定切实可行的节能减排工作方案，建立节能减排管理体系，采取行之有效的措施开展节能减排的相关工作。</w:t>
      </w:r>
    </w:p>
    <w:p w14:paraId="05D572C1">
      <w:pPr>
        <w:keepNext w:val="0"/>
        <w:keepLines w:val="0"/>
        <w:pageBreakBefore w:val="0"/>
        <w:widowControl/>
        <w:wordWrap/>
        <w:topLinePunct w:val="0"/>
        <w:autoSpaceDE w:val="0"/>
        <w:autoSpaceDN w:val="0"/>
        <w:bidi w:val="0"/>
        <w:adjustRightInd/>
        <w:snapToGrid w:val="0"/>
        <w:spacing w:beforeAutospacing="0" w:afterAutospacing="0" w:line="240" w:lineRule="auto"/>
        <w:ind w:left="0" w:leftChars="0" w:right="0"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6</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4</w:t>
      </w:r>
      <w:r>
        <w:rPr>
          <w:rFonts w:hint="eastAsia" w:ascii="宋体" w:hAnsi="宋体" w:eastAsia="宋体" w:cs="宋体"/>
          <w:bCs w:val="0"/>
          <w:color w:val="auto"/>
          <w:sz w:val="21"/>
          <w:szCs w:val="21"/>
          <w:highlight w:val="none"/>
        </w:rPr>
        <w:t>.2中标人要成立节能减排小组，协助采购人进行节能减排宣传，以提高广大干部职工的节能意识。定期宣传节能减排的意义和具体的节能减排方式方法。</w:t>
      </w:r>
    </w:p>
    <w:p w14:paraId="70809E3C">
      <w:pPr>
        <w:keepNext w:val="0"/>
        <w:keepLines w:val="0"/>
        <w:pageBreakBefore w:val="0"/>
        <w:widowControl/>
        <w:wordWrap/>
        <w:topLinePunct w:val="0"/>
        <w:autoSpaceDE w:val="0"/>
        <w:autoSpaceDN w:val="0"/>
        <w:bidi w:val="0"/>
        <w:adjustRightInd/>
        <w:snapToGrid w:val="0"/>
        <w:spacing w:beforeAutospacing="0" w:afterAutospacing="0" w:line="240" w:lineRule="auto"/>
        <w:ind w:left="0" w:leftChars="0" w:right="0"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6</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4</w:t>
      </w:r>
      <w:r>
        <w:rPr>
          <w:rFonts w:hint="eastAsia" w:ascii="宋体" w:hAnsi="宋体" w:eastAsia="宋体" w:cs="宋体"/>
          <w:bCs w:val="0"/>
          <w:color w:val="auto"/>
          <w:sz w:val="21"/>
          <w:szCs w:val="21"/>
          <w:highlight w:val="none"/>
        </w:rPr>
        <w:t>.3协助采购人制定节能减排措施。专业节能减排措施包括水专业及电专业的节能减排措施。</w:t>
      </w:r>
    </w:p>
    <w:p w14:paraId="0B9D0B42">
      <w:pPr>
        <w:keepNext w:val="0"/>
        <w:keepLines w:val="0"/>
        <w:pageBreakBefore w:val="0"/>
        <w:wordWrap/>
        <w:topLinePunct w:val="0"/>
        <w:autoSpaceDE w:val="0"/>
        <w:autoSpaceDN w:val="0"/>
        <w:bidi w:val="0"/>
        <w:adjustRightInd/>
        <w:snapToGrid w:val="0"/>
        <w:spacing w:beforeAutospacing="0" w:afterAutospacing="0" w:line="240" w:lineRule="auto"/>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bCs w:val="0"/>
          <w:color w:val="auto"/>
          <w:sz w:val="21"/>
          <w:szCs w:val="21"/>
          <w:highlight w:val="none"/>
          <w:lang w:val="en-US" w:eastAsia="zh-CN"/>
        </w:rPr>
        <w:t>6</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4</w:t>
      </w:r>
      <w:r>
        <w:rPr>
          <w:rFonts w:hint="eastAsia" w:ascii="宋体" w:hAnsi="宋体" w:eastAsia="宋体" w:cs="宋体"/>
          <w:bCs w:val="0"/>
          <w:color w:val="auto"/>
          <w:sz w:val="21"/>
          <w:szCs w:val="21"/>
          <w:highlight w:val="none"/>
        </w:rPr>
        <w:t>.4注重设施设备的日常保养检修，避免设备“带病”运行，增大能源消耗；通过科学有效的手段，在不投资或少投资的情况下杜绝能源浪费，减少各种费用支出，使能源消耗运行平稳。</w:t>
      </w:r>
    </w:p>
    <w:p w14:paraId="5A86456F">
      <w:pPr>
        <w:pStyle w:val="33"/>
        <w:keepNext w:val="0"/>
        <w:keepLines w:val="0"/>
        <w:pageBreakBefore w:val="0"/>
        <w:shd w:val="clear" w:color="auto" w:fill="FFFFFF"/>
        <w:wordWrap/>
        <w:topLinePunct w:val="0"/>
        <w:bidi w:val="0"/>
        <w:adjustRightInd/>
        <w:spacing w:before="0" w:beforeAutospacing="0" w:after="0" w:afterAutospacing="0" w:line="240" w:lineRule="auto"/>
        <w:ind w:left="0" w:leftChars="0" w:right="0" w:firstLine="454" w:firstLineChars="200"/>
        <w:jc w:val="both"/>
        <w:outlineLvl w:val="4"/>
        <w:rPr>
          <w:rFonts w:hint="eastAsia" w:ascii="宋体" w:hAnsi="宋体" w:eastAsia="宋体" w:cs="宋体"/>
          <w:b/>
          <w:bCs/>
          <w:color w:val="auto"/>
          <w:sz w:val="21"/>
          <w:szCs w:val="21"/>
          <w:highlight w:val="none"/>
        </w:rPr>
      </w:pPr>
      <w:r>
        <w:rPr>
          <w:rStyle w:val="40"/>
          <w:rFonts w:hint="eastAsia" w:ascii="宋体" w:hAnsi="宋体" w:eastAsia="宋体" w:cs="宋体"/>
          <w:color w:val="auto"/>
          <w:spacing w:val="8"/>
          <w:sz w:val="21"/>
          <w:szCs w:val="21"/>
          <w:highlight w:val="none"/>
          <w:shd w:val="clear" w:color="auto" w:fill="FFFFFF"/>
          <w:lang w:val="en-US"/>
        </w:rPr>
        <w:t>7.</w:t>
      </w:r>
      <w:r>
        <w:rPr>
          <w:rStyle w:val="40"/>
          <w:rFonts w:hint="eastAsia" w:ascii="宋体" w:hAnsi="宋体" w:eastAsia="宋体" w:cs="宋体"/>
          <w:color w:val="auto"/>
          <w:spacing w:val="8"/>
          <w:sz w:val="21"/>
          <w:szCs w:val="21"/>
          <w:highlight w:val="none"/>
          <w:shd w:val="clear" w:color="auto" w:fill="FFFFFF"/>
        </w:rPr>
        <w:t>采</w:t>
      </w:r>
      <w:r>
        <w:rPr>
          <w:rFonts w:hint="eastAsia" w:ascii="宋体" w:hAnsi="宋体" w:eastAsia="宋体" w:cs="宋体"/>
          <w:b/>
          <w:bCs/>
          <w:color w:val="auto"/>
          <w:sz w:val="21"/>
          <w:szCs w:val="21"/>
          <w:highlight w:val="none"/>
        </w:rPr>
        <w:t>购项目技术要求</w:t>
      </w:r>
    </w:p>
    <w:p w14:paraId="5D7FC70F">
      <w:pPr>
        <w:pStyle w:val="124"/>
        <w:keepNext w:val="0"/>
        <w:keepLines w:val="0"/>
        <w:pageBreakBefore w:val="0"/>
        <w:numPr>
          <w:ilvl w:val="0"/>
          <w:numId w:val="0"/>
        </w:numPr>
        <w:wordWrap/>
        <w:topLinePunct w:val="0"/>
        <w:bidi w:val="0"/>
        <w:adjustRightInd/>
        <w:snapToGrid w:val="0"/>
        <w:spacing w:beforeAutospacing="0" w:afterAutospacing="0" w:line="240" w:lineRule="auto"/>
        <w:ind w:left="0" w:leftChars="0" w:right="0" w:firstLine="422" w:firstLineChars="0"/>
        <w:outlineLvl w:val="2"/>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eastAsia="zh-CN" w:bidi="ar-SA"/>
        </w:rPr>
        <w:t>（一）</w:t>
      </w:r>
      <w:r>
        <w:rPr>
          <w:rFonts w:hint="eastAsia" w:ascii="宋体" w:hAnsi="宋体" w:eastAsia="宋体" w:cs="宋体"/>
          <w:b/>
          <w:bCs/>
          <w:color w:val="auto"/>
          <w:kern w:val="2"/>
          <w:sz w:val="21"/>
          <w:szCs w:val="21"/>
          <w:highlight w:val="none"/>
          <w:lang w:val="zh-CN"/>
        </w:rPr>
        <w:t>采购项目总体服务要求</w:t>
      </w:r>
    </w:p>
    <w:p w14:paraId="6D8EB857">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1、投标人需就本项第2、3、4条所述情况和人员配置进行书面承诺，如中标则在项目实施时完全按照</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文件的要求及配置进行安排。</w:t>
      </w:r>
    </w:p>
    <w:p w14:paraId="4828D40B">
      <w:pPr>
        <w:keepNext w:val="0"/>
        <w:keepLines w:val="0"/>
        <w:pageBreakBefore w:val="0"/>
        <w:wordWrap/>
        <w:topLinePunct w:val="0"/>
        <w:autoSpaceDE w:val="0"/>
        <w:autoSpaceDN w:val="0"/>
        <w:bidi w:val="0"/>
        <w:adjustRightInd/>
        <w:spacing w:beforeAutospacing="0" w:afterAutospacing="0" w:line="240" w:lineRule="auto"/>
        <w:ind w:left="0" w:leftChars="0" w:right="0"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2、投标人全部工作人员应符合国家用工标准要求，书面承诺与该项目所有人员签订劳动合同；按国家相关规定购买相应的社会保险（包括养老保险、医疗保险、工伤保险、失业保险与生育保险）、劳动保险</w:t>
      </w:r>
      <w:r>
        <w:rPr>
          <w:rFonts w:hint="eastAsia" w:ascii="宋体" w:hAnsi="宋体" w:eastAsia="宋体" w:cs="宋体"/>
          <w:b/>
          <w:color w:val="auto"/>
          <w:sz w:val="21"/>
          <w:szCs w:val="21"/>
          <w:highlight w:val="none"/>
          <w:lang w:eastAsia="zh-CN"/>
        </w:rPr>
        <w:t>、意外保险</w:t>
      </w:r>
      <w:r>
        <w:rPr>
          <w:rFonts w:hint="eastAsia" w:ascii="宋体" w:hAnsi="宋体" w:eastAsia="宋体" w:cs="宋体"/>
          <w:b/>
          <w:color w:val="auto"/>
          <w:sz w:val="21"/>
          <w:szCs w:val="21"/>
          <w:highlight w:val="none"/>
        </w:rPr>
        <w:t>；在签订合同两个月内按照采购人的要求向采购人提供相关人员的劳动合同、社保证明（每月）、医保证明（每月）、健康证明（每年）、身份证证明（投标时提供承诺，可参照“投标文件格式”中《承诺函》格式）。</w:t>
      </w:r>
    </w:p>
    <w:p w14:paraId="3A972B08">
      <w:pPr>
        <w:keepNext w:val="0"/>
        <w:keepLines w:val="0"/>
        <w:pageBreakBefore w:val="0"/>
        <w:wordWrap/>
        <w:topLinePunct w:val="0"/>
        <w:autoSpaceDE w:val="0"/>
        <w:autoSpaceDN w:val="0"/>
        <w:bidi w:val="0"/>
        <w:adjustRightInd/>
        <w:spacing w:beforeAutospacing="0" w:afterAutospacing="0" w:line="240" w:lineRule="auto"/>
        <w:ind w:left="0" w:leftChars="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中标人的工作人员应遵守采购人有关规章制度和管理规定，按服务标准规范操作，不得泄露采购人有关的机密文件。如有违反或损害采购人利益，或未能按服务标准规范操作，或违反了采购文件、合同约定和相关管理规定，或收到相关人员三次以上投诉，经查证属实，采购人有拒绝中标人的相关工作人员在此工作的权利，并有权要求中标人更换物业管理人员，采购人有权按采购文件和合同相关规定予以扣分、罚款等处理，并</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天内予以换人（投标时提供承诺，可参照“投标文件格式”中《承诺函》格式）。 </w:t>
      </w:r>
    </w:p>
    <w:p w14:paraId="5C295948">
      <w:pPr>
        <w:keepNext w:val="0"/>
        <w:keepLines w:val="0"/>
        <w:pageBreakBefore w:val="0"/>
        <w:wordWrap/>
        <w:topLinePunct w:val="0"/>
        <w:autoSpaceDE w:val="0"/>
        <w:autoSpaceDN w:val="0"/>
        <w:bidi w:val="0"/>
        <w:adjustRightInd/>
        <w:spacing w:beforeAutospacing="0" w:afterAutospacing="0" w:line="240" w:lineRule="auto"/>
        <w:ind w:left="0" w:leftChars="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4、中标人应承诺提供装备和配置满足服务工作需求、符合采购人要求足够数量的作业机具、物品、物料、劳保用品等，其包括工作人员的制服（防寒服）、鞋帽等劳动、劳保日常必备的各种用具用品；对讲机（当班在岗保安需每人1部）；电脑、打（复）印机、成套保安器械；卫生清洁工具、毛巾等日常用品；绿化用机械、云梯等器具（投标时提供承诺，可参照“投标文件格式”中《承诺函》格式）。 </w:t>
      </w:r>
    </w:p>
    <w:p w14:paraId="62152153">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5、中标人需对在岗员工每年培训时间不少于24小时；定期接受采购人关于服务工作满意度的测评，若测评不满意，采购人保留提出更改服务单位的权利。</w:t>
      </w:r>
    </w:p>
    <w:p w14:paraId="4B37719B">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本项目服务期限内，采购人因工作需求调整办公场所，中标人应全力配合搬迁工作，在采购人总体组织下，制定实施措施和方案，承担协调采购人各部门需求、跟随引导运输车辆、指派工程人员协助拆卸及安装部分设施设备、协助楼内短距离搬运家具等物品、加派保安人员确保安全等工作。 </w:t>
      </w:r>
    </w:p>
    <w:p w14:paraId="27EB7E2C">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7、采购人除按合同规定支付物业管理服务费和合同明确规定的相关费用外，物业管理各项费用开支均由中标人自行承担。 </w:t>
      </w:r>
    </w:p>
    <w:p w14:paraId="0CD03366">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8、中标人需确保在管理服务期内辖区内无以下事故发生： </w:t>
      </w:r>
    </w:p>
    <w:p w14:paraId="770F2FDB">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（1）被盗等治安事件； </w:t>
      </w:r>
    </w:p>
    <w:p w14:paraId="17480377">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（2）纵火、爆炸、投毒等恶性事（案）件； </w:t>
      </w:r>
    </w:p>
    <w:p w14:paraId="4F3C9987">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（3）外事纠纷、泄密等事（案）件； </w:t>
      </w:r>
    </w:p>
    <w:p w14:paraId="14A334F4">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（4）消防责任事故； </w:t>
      </w:r>
    </w:p>
    <w:p w14:paraId="384CEB8E">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（5）机械设备、操作责任事故等； </w:t>
      </w:r>
    </w:p>
    <w:p w14:paraId="55DA9C17">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9、中标人负责协助协调处理采购人关于街道、公安、消防、城管、通讯、传媒、供电、供水、煤气、环保、市政等相关外联互动工作，维护采购人正常工作秩序，保证采购人的各项工作顺利进行。 </w:t>
      </w:r>
    </w:p>
    <w:p w14:paraId="60D7964F">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10、中标人须按采购人要求和</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合同约定开展，高效、保质、保量完成各（类）项物业管理、服务、保障工作，确保各办公场所正常、安全运行。根据有关规定和采购人需求，中标人应建立项目服务质量管理体系，包括但不限于质量目标、质量指标、岗位责任、问题处理计划、质量评价、整改完善等内容，并建立奖惩制度，且经采购人认可后方能实施。</w:t>
      </w:r>
    </w:p>
    <w:p w14:paraId="0B8BA941">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11、中标人管理服务不允许外包。办公大楼保安和保洁、大理石墙面、地面、外墙干挂保洁等管理服务项目未经过采购人同意，均不得外委。 </w:t>
      </w:r>
    </w:p>
    <w:p w14:paraId="060A3142">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12、节能减排有关要求</w:t>
      </w:r>
    </w:p>
    <w:p w14:paraId="20DBF640">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节能减排管理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国家大力开展“节约型公共机构示范单位”的活动，绿色、低碳、环保已成为公共机构的要求。根据国务院《关于印发“十三五”节能减排综合工作方案的通知》（国发〔2016〕74 号）要求，本项目有大量的设施设备需要中标人进行日常运行管理，要求中标人要制定科学合理的经济运行和节能降耗措施，提出节能减排的合理化建议，协助采购人做好办公大楼能源消耗和数据统计、分析等节能减排工作。</w:t>
      </w:r>
    </w:p>
    <w:p w14:paraId="6CAF3A50">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（1）积极主动落实各项节能减排措施，做好行为节能、管理节能，开展技术节能。</w:t>
      </w:r>
    </w:p>
    <w:p w14:paraId="56440FBF">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（2）节约用水，严防管网出现“跑、冒、滴、漏”等现象。</w:t>
      </w:r>
    </w:p>
    <w:p w14:paraId="76183582">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（3）配合管理部门进行能耗统计和分析，根据实际情况提出符合本物业的改进措施和建议。</w:t>
      </w:r>
    </w:p>
    <w:p w14:paraId="3F38B058">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（4）严格按照要求做好生活垃圾分类工作。</w:t>
      </w:r>
    </w:p>
    <w:p w14:paraId="13CD7ABC">
      <w:pPr>
        <w:pStyle w:val="124"/>
        <w:keepNext w:val="0"/>
        <w:keepLines w:val="0"/>
        <w:pageBreakBefore w:val="0"/>
        <w:numPr>
          <w:ilvl w:val="0"/>
          <w:numId w:val="0"/>
        </w:numPr>
        <w:wordWrap/>
        <w:topLinePunct w:val="0"/>
        <w:bidi w:val="0"/>
        <w:adjustRightInd/>
        <w:snapToGrid w:val="0"/>
        <w:spacing w:beforeAutospacing="0" w:afterAutospacing="0" w:line="240" w:lineRule="auto"/>
        <w:ind w:left="0" w:leftChars="0" w:right="0" w:firstLine="422" w:firstLineChars="0"/>
        <w:outlineLvl w:val="2"/>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eastAsia="zh-CN" w:bidi="ar-SA"/>
        </w:rPr>
        <w:t>（二）</w:t>
      </w:r>
      <w:r>
        <w:rPr>
          <w:rFonts w:hint="eastAsia" w:ascii="宋体" w:hAnsi="宋体" w:eastAsia="宋体" w:cs="宋体"/>
          <w:b/>
          <w:bCs/>
          <w:color w:val="auto"/>
          <w:kern w:val="2"/>
          <w:sz w:val="21"/>
          <w:szCs w:val="21"/>
          <w:highlight w:val="none"/>
          <w:lang w:val="zh-CN"/>
        </w:rPr>
        <w:t>采购项目服务内容及具体标准要求</w:t>
      </w:r>
    </w:p>
    <w:p w14:paraId="4234C094">
      <w:pPr>
        <w:pStyle w:val="12"/>
        <w:keepNext w:val="0"/>
        <w:keepLines w:val="0"/>
        <w:pageBreakBefore w:val="0"/>
        <w:numPr>
          <w:ilvl w:val="0"/>
          <w:numId w:val="0"/>
        </w:numPr>
        <w:wordWrap/>
        <w:topLinePunct w:val="0"/>
        <w:bidi w:val="0"/>
        <w:adjustRightInd/>
        <w:spacing w:beforeAutospacing="0" w:afterAutospacing="0" w:line="240" w:lineRule="auto"/>
        <w:ind w:left="0" w:leftChars="0" w:right="0" w:firstLine="420" w:firstLineChars="200"/>
        <w:outlineLvl w:val="3"/>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安全防范管理服务需求</w:t>
      </w:r>
    </w:p>
    <w:p w14:paraId="25C0F2F8">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珠海市税务局梅华西办公区物业</w:t>
      </w:r>
      <w:r>
        <w:rPr>
          <w:rFonts w:hint="eastAsia" w:ascii="宋体" w:hAnsi="宋体" w:eastAsia="宋体" w:cs="宋体"/>
          <w:color w:val="auto"/>
          <w:sz w:val="21"/>
          <w:szCs w:val="21"/>
          <w:highlight w:val="none"/>
        </w:rPr>
        <w:t>安全保卫、维护秩序和处置突发应急事件的工作，制定完善的安全保卫应急方案。</w:t>
      </w:r>
    </w:p>
    <w:p w14:paraId="02CB8D39">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（1）加强对出入口和周边环境的监控，严防外来人员从车库及外围直接进入办公楼，密切监视可疑人员出入动态。 </w:t>
      </w:r>
    </w:p>
    <w:p w14:paraId="0C20C9F9">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（2）熟练并灵活运用监视控制系统，充分发挥本办公楼的技防优势，实行24小时全天候对重点部位、监控点进行监视及录像工作。</w:t>
      </w:r>
    </w:p>
    <w:p w14:paraId="0C0A72A0">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（3）做好与周边区域消防、公安、街道、卫生、城管、通讯、信息等单位的沟通、协调、联动。</w:t>
      </w:r>
    </w:p>
    <w:p w14:paraId="574D897B">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值班室、监控室、车场管理等岗位保安员上岗时，须坚守岗位，坚持原则，认真负责，保持威严可敬的仪表仪容，严格执行队列行走标准，文明执勤，礼貌执勤；不做与工作无关的其它事情，树立良好形象和道德风范；保安人员不得裸露纹身、一律不准留长发、长胡子、大包头，蓄发不得露于帽檐外。 </w:t>
      </w:r>
    </w:p>
    <w:p w14:paraId="39805FA1">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（5）保安员穿着整齐,整洁,无褶皱现象。领带佩戴整齐,衬衣的第一颗</w:t>
      </w:r>
      <w:r>
        <w:rPr>
          <w:rFonts w:hint="eastAsia" w:ascii="宋体" w:hAnsi="宋体" w:eastAsia="宋体" w:cs="宋体"/>
          <w:color w:val="auto"/>
          <w:sz w:val="21"/>
          <w:szCs w:val="21"/>
          <w:highlight w:val="none"/>
          <w:lang w:eastAsia="zh-CN"/>
        </w:rPr>
        <w:t>纽</w:t>
      </w:r>
      <w:r>
        <w:rPr>
          <w:rFonts w:hint="eastAsia" w:ascii="宋体" w:hAnsi="宋体" w:eastAsia="宋体" w:cs="宋体"/>
          <w:color w:val="auto"/>
          <w:sz w:val="21"/>
          <w:szCs w:val="21"/>
          <w:highlight w:val="none"/>
        </w:rPr>
        <w:t xml:space="preserve">扣扣好。袖口扣好。帽子正确佩戴,帽檐朝前。下班时间可着工作服,不得敞怀赤膊。在岗期间不得勾肩搭背，东倒西歪，不背手、袖手或将手插入衣袋，严禁睡岗以及看书、看报、玩手机等一切与工作无关的事情，禁止讨论涉及业主单位内部工作事宜。 </w:t>
      </w:r>
    </w:p>
    <w:p w14:paraId="74ED00C7">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（6）安全秩序管理</w:t>
      </w:r>
    </w:p>
    <w:p w14:paraId="07CA835A">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要求：提供安全防范管理服务，并协助</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和公安行政管理机关维护各物业区域内的公共秩序，包括秩序维护、安全监控、物业巡视、门岗执勤。</w:t>
      </w:r>
    </w:p>
    <w:p w14:paraId="5D272606">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p w14:paraId="48EEA684">
      <w:pPr>
        <w:pStyle w:val="90"/>
        <w:keepNext w:val="0"/>
        <w:keepLines w:val="0"/>
        <w:pageBreakBefore w:val="0"/>
        <w:tabs>
          <w:tab w:val="left" w:pos="1433"/>
        </w:tabs>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a.物业区域内实行 24 小时保安值班巡逻制。</w:t>
      </w:r>
    </w:p>
    <w:p w14:paraId="02B4029C">
      <w:pPr>
        <w:pStyle w:val="90"/>
        <w:keepNext w:val="0"/>
        <w:keepLines w:val="0"/>
        <w:pageBreakBefore w:val="0"/>
        <w:tabs>
          <w:tab w:val="left" w:pos="1433"/>
        </w:tabs>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b.为保障各场馆物业的安全，根据物业周边的环境情况，实施定编足额的配置编排。</w:t>
      </w:r>
    </w:p>
    <w:p w14:paraId="64D689B4">
      <w:pPr>
        <w:pStyle w:val="90"/>
        <w:keepNext w:val="0"/>
        <w:keepLines w:val="0"/>
        <w:pageBreakBefore w:val="0"/>
        <w:tabs>
          <w:tab w:val="left" w:pos="1433"/>
        </w:tabs>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c.发现</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配置的安全智能系统，在运行过程中出现故障时，及时告知，由</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进行维修。</w:t>
      </w:r>
    </w:p>
    <w:p w14:paraId="7D8E2649">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d.如物业区域内发生治安安全事件，应及时报告</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，并配合</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 xml:space="preserve">及时处置； </w:t>
      </w:r>
    </w:p>
    <w:p w14:paraId="793B2F1A">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e.协助做好</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的重大活动、会议的相关执勤工作，其他领导交代的临时任务等。</w:t>
      </w:r>
    </w:p>
    <w:p w14:paraId="5F451255">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（7）消防管理</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中标人保障物业区域内无消防安全责任事故。</w:t>
      </w:r>
    </w:p>
    <w:p w14:paraId="790E3FAD">
      <w:pPr>
        <w:pStyle w:val="12"/>
        <w:keepNext w:val="0"/>
        <w:keepLines w:val="0"/>
        <w:pageBreakBefore w:val="0"/>
        <w:numPr>
          <w:ilvl w:val="0"/>
          <w:numId w:val="0"/>
        </w:numPr>
        <w:wordWrap/>
        <w:topLinePunct w:val="0"/>
        <w:bidi w:val="0"/>
        <w:adjustRightInd/>
        <w:spacing w:beforeAutospacing="0" w:afterAutospacing="0" w:line="240" w:lineRule="auto"/>
        <w:ind w:left="0" w:leftChars="0" w:right="0" w:firstLine="420" w:firstLineChars="200"/>
        <w:outlineLvl w:val="3"/>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物业保洁、会务服务需求</w:t>
      </w:r>
    </w:p>
    <w:p w14:paraId="5D440E19">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珠海市税务局梅华西办公区</w:t>
      </w:r>
      <w:r>
        <w:rPr>
          <w:rFonts w:hint="eastAsia" w:ascii="宋体" w:hAnsi="宋体" w:eastAsia="宋体" w:cs="宋体"/>
          <w:color w:val="auto"/>
          <w:sz w:val="21"/>
          <w:szCs w:val="21"/>
          <w:highlight w:val="none"/>
        </w:rPr>
        <w:t>物业辖内的保洁、会务工作，制定完善的日常保洁维护方案。</w:t>
      </w:r>
    </w:p>
    <w:p w14:paraId="0DB05801">
      <w:pPr>
        <w:pStyle w:val="90"/>
        <w:keepNext w:val="0"/>
        <w:keepLines w:val="0"/>
        <w:pageBreakBefore w:val="0"/>
        <w:tabs>
          <w:tab w:val="left" w:pos="1224"/>
        </w:tabs>
        <w:wordWrap/>
        <w:topLinePunct w:val="0"/>
        <w:bidi w:val="0"/>
        <w:adjustRightInd/>
        <w:spacing w:beforeAutospacing="0" w:afterAutospacing="0"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物业范围内广场、道路；地面；地板；室内办公场所；大堂；会议室；公共部位（卫生间及厕具、楼梯、电梯、走廊、走火通道等；）水池消毒清洗；停车场；各种设备、设施等的日常卫生清洁，以及采购人临时要求的突击清洁任务，如清洁会场、大扫除等，随时保洁。</w:t>
      </w:r>
    </w:p>
    <w:p w14:paraId="6DB3394F">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（2）关键办公区域、指定办公室的清洁卫生，中标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须安排专人跟进和监督质量。</w:t>
      </w:r>
    </w:p>
    <w:p w14:paraId="4A24CFF8">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清洁时间应尽量避免打扰采购人的正常工作时间，对大堂、公共区域等每天采取循环保洁方式。</w:t>
      </w:r>
    </w:p>
    <w:p w14:paraId="53546A78">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（4）负责物业范围的垃圾分类收集工作，做到日产日清，门前三包和清运工作。</w:t>
      </w:r>
    </w:p>
    <w:p w14:paraId="64524C7F">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（5）垃圾收纳：17:00-18:30收纳清除（运）垃圾保洁，收纳清运垃圾务必袋装封闭，预防污水流出、臭气冲天，同时，巡回保洁，有脏即除，保持干净。 </w:t>
      </w:r>
    </w:p>
    <w:p w14:paraId="50C13E07">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（6）垃圾桶：所有垃圾桶套垃圾袋使用，每天每班次每2小时各巡查保洁一次，有脏必除，垃圾装满必清，同时，巡回保洁，有脏即除，保持干净。</w:t>
      </w:r>
    </w:p>
    <w:p w14:paraId="4CFCC102">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（7）投标人应具备物业建筑物管理经验，需要有建筑物清洁养护相关资质和专业熟练的技术人员。</w:t>
      </w:r>
    </w:p>
    <w:p w14:paraId="74B8B09D">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（8）中标人自备日常清洁工作及清洁过程中消耗的物料（包括但不限于扫帚、地拖、抹布、水桶、水管、简易钢塑梯、手拉车等）。</w:t>
      </w:r>
    </w:p>
    <w:p w14:paraId="355294E1">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（9）会务服务</w:t>
      </w:r>
    </w:p>
    <w:p w14:paraId="6CCBD31E">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a.会前做好会议室的通风、室内温度调节、桌椅摆放、台牌摆放、茶水准备等。</w:t>
      </w:r>
    </w:p>
    <w:p w14:paraId="65CFF613">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b.会中巡视会场，维护秩序和处置突发应急事件的工作，适当添加茶水。</w:t>
      </w:r>
    </w:p>
    <w:p w14:paraId="42642826">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c.会后做好清洁，桌椅归回原位，摆放整齐。</w:t>
      </w:r>
    </w:p>
    <w:p w14:paraId="0C096F48">
      <w:pPr>
        <w:pStyle w:val="12"/>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d.做好日常接待工作。</w:t>
      </w:r>
    </w:p>
    <w:p w14:paraId="2FD9630F">
      <w:pPr>
        <w:pStyle w:val="12"/>
        <w:keepNext w:val="0"/>
        <w:keepLines w:val="0"/>
        <w:pageBreakBefore w:val="0"/>
        <w:numPr>
          <w:ilvl w:val="0"/>
          <w:numId w:val="0"/>
        </w:numPr>
        <w:wordWrap/>
        <w:topLinePunct w:val="0"/>
        <w:bidi w:val="0"/>
        <w:adjustRightInd/>
        <w:spacing w:beforeAutospacing="0" w:afterAutospacing="0" w:line="240" w:lineRule="auto"/>
        <w:ind w:left="0" w:leftChars="0" w:right="0" w:firstLine="420" w:firstLineChars="200"/>
        <w:outlineLvl w:val="3"/>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绿化养护服务需求</w:t>
      </w:r>
    </w:p>
    <w:p w14:paraId="719BDC0F">
      <w:pPr>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珠海市税务局梅华西办公区</w:t>
      </w:r>
      <w:r>
        <w:rPr>
          <w:rFonts w:hint="eastAsia" w:ascii="宋体" w:hAnsi="宋体" w:eastAsia="宋体" w:cs="宋体"/>
          <w:color w:val="auto"/>
          <w:sz w:val="21"/>
          <w:szCs w:val="21"/>
          <w:highlight w:val="none"/>
        </w:rPr>
        <w:t>物业辖内物业范围内绿化服务养护工作</w:t>
      </w:r>
      <w:r>
        <w:rPr>
          <w:rFonts w:hint="eastAsia" w:ascii="宋体" w:hAnsi="宋体" w:eastAsia="宋体" w:cs="宋体"/>
          <w:color w:val="auto"/>
          <w:sz w:val="21"/>
          <w:szCs w:val="21"/>
          <w:highlight w:val="none"/>
          <w:lang w:val="zh-CN"/>
        </w:rPr>
        <w:t>。</w:t>
      </w:r>
    </w:p>
    <w:p w14:paraId="2A80AC7B">
      <w:pPr>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户外绿化养护要求：根据植物生态习性，合理修剪，留枝均匀，疏密合理，剪口平滑，保持树形整齐美观，枝繁叶茂；绿篱生长旺盛、修剪整齐、合理、无死株、缺档；花坛（台）、草坪等绿地内保持无杂草生长，无杂藤攀援树木，无污物、垃圾等；定期做好植物虫害的预防和消杀工作。</w:t>
      </w:r>
    </w:p>
    <w:p w14:paraId="37CD43AA">
      <w:pPr>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（2）加强对现有的公共花基的绿化养护，定期对花草、树木进行修剪、施肥、杀虫。晴天每隔三天进行一次全面喷水。根据花草树木的生长情况，保持每月一次杀虫。</w:t>
      </w:r>
    </w:p>
    <w:p w14:paraId="2951C34E">
      <w:pPr>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（3）每年3月、6月、9月、12月对花草树木进行一次定期的修剪和施肥。</w:t>
      </w:r>
    </w:p>
    <w:p w14:paraId="7940E27F">
      <w:pPr>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（4）随时清理花草树木底下的落叶，保持绿化地清洁卫生。</w:t>
      </w:r>
    </w:p>
    <w:p w14:paraId="674C6DF3">
      <w:pPr>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（5）对枯死的花草树木及时更换、补种，保持无杂草、生长良好。</w:t>
      </w:r>
    </w:p>
    <w:p w14:paraId="7E6C38A5">
      <w:pPr>
        <w:pStyle w:val="12"/>
        <w:keepNext w:val="0"/>
        <w:keepLines w:val="0"/>
        <w:pageBreakBefore w:val="0"/>
        <w:numPr>
          <w:ilvl w:val="0"/>
          <w:numId w:val="0"/>
        </w:numPr>
        <w:wordWrap/>
        <w:topLinePunct w:val="0"/>
        <w:bidi w:val="0"/>
        <w:adjustRightInd/>
        <w:spacing w:beforeAutospacing="0" w:afterAutospacing="0" w:line="240" w:lineRule="auto"/>
        <w:ind w:left="0" w:leftChars="0" w:right="0" w:firstLine="420" w:firstLineChars="200"/>
        <w:outlineLvl w:val="3"/>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 xml:space="preserve">其他服务需求 </w:t>
      </w:r>
    </w:p>
    <w:p w14:paraId="733EDE3D">
      <w:pPr>
        <w:keepNext w:val="0"/>
        <w:keepLines w:val="0"/>
        <w:pageBreakBefore w:val="0"/>
        <w:tabs>
          <w:tab w:val="left" w:pos="540"/>
        </w:tabs>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（1）协助各部门搬运家具、小件物品，清理废旧物品。 </w:t>
      </w:r>
    </w:p>
    <w:p w14:paraId="33802211">
      <w:pPr>
        <w:keepNext w:val="0"/>
        <w:keepLines w:val="0"/>
        <w:pageBreakBefore w:val="0"/>
        <w:tabs>
          <w:tab w:val="left" w:pos="540"/>
        </w:tabs>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（2）协助辖区内的装修、改造工程施工管理。</w:t>
      </w:r>
    </w:p>
    <w:p w14:paraId="48366169">
      <w:pPr>
        <w:keepNext w:val="0"/>
        <w:keepLines w:val="0"/>
        <w:pageBreakBefore w:val="0"/>
        <w:tabs>
          <w:tab w:val="left" w:pos="540"/>
        </w:tabs>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（3）负责节日及协助大型活动布置工作。 </w:t>
      </w:r>
    </w:p>
    <w:p w14:paraId="0F58115E">
      <w:pPr>
        <w:keepNext w:val="0"/>
        <w:keepLines w:val="0"/>
        <w:pageBreakBefore w:val="0"/>
        <w:tabs>
          <w:tab w:val="left" w:pos="540"/>
        </w:tabs>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（4）负责物业管理服务项目其它相关工作及采购人提出的辖区内其它管理工作、任务和要求。 </w:t>
      </w:r>
    </w:p>
    <w:p w14:paraId="0CE8B060">
      <w:pPr>
        <w:keepNext w:val="0"/>
        <w:keepLines w:val="0"/>
        <w:pageBreakBefore w:val="0"/>
        <w:tabs>
          <w:tab w:val="left" w:pos="540"/>
        </w:tabs>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（5）采购人不提供中标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物业管理人员的住宿用房。</w:t>
      </w:r>
    </w:p>
    <w:p w14:paraId="4A305370">
      <w:pPr>
        <w:pStyle w:val="12"/>
        <w:keepNext w:val="0"/>
        <w:keepLines w:val="0"/>
        <w:pageBreakBefore w:val="0"/>
        <w:numPr>
          <w:ilvl w:val="0"/>
          <w:numId w:val="0"/>
        </w:numPr>
        <w:wordWrap/>
        <w:topLinePunct w:val="0"/>
        <w:bidi w:val="0"/>
        <w:adjustRightInd/>
        <w:spacing w:beforeAutospacing="0" w:afterAutospacing="0" w:line="240" w:lineRule="auto"/>
        <w:ind w:left="0" w:leftChars="0" w:right="0" w:firstLine="420" w:firstLineChars="200"/>
        <w:outlineLvl w:val="3"/>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专业岗位人员培训</w:t>
      </w:r>
    </w:p>
    <w:p w14:paraId="0F88FFFC">
      <w:pPr>
        <w:keepNext w:val="0"/>
        <w:keepLines w:val="0"/>
        <w:pageBreakBefore w:val="0"/>
        <w:tabs>
          <w:tab w:val="left" w:pos="540"/>
        </w:tabs>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中标人配置的各类工作人员需按岗位要求参加岗前培训，在掌握本岗位的专业知识、专业技能、工作内容、工作流程、工作标准以及明确工作职能和责任，而且具备了适合本岗位的心理素质、身体素质后方可上岗。在服务期间，中标人要组织在本物业服务场所的服务人员在专业培训机构进行每年不少于1次的专业岗位培训，以不断提高服务人员业务素质和业务能力。 </w:t>
      </w:r>
    </w:p>
    <w:p w14:paraId="4A8E60E3">
      <w:pPr>
        <w:keepNext w:val="0"/>
        <w:keepLines w:val="0"/>
        <w:pageBreakBefore w:val="0"/>
        <w:tabs>
          <w:tab w:val="left" w:pos="540"/>
        </w:tabs>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中标人负责属下员工的职业道德教育、业务知识培训工作；定期接受采购人服务工作满意度的测评。若测评不满意，采购人保留提出更换服务单位的权力。如果中标人的派驻人员受到采购人3次以上投诉，经查证属实，确实违反了合同约定和相关管理规定的，采购人有权要求中标人更换该派驻人员，中标人应当在3日内予以更换。 </w:t>
      </w:r>
    </w:p>
    <w:p w14:paraId="03492050">
      <w:pPr>
        <w:keepNext w:val="0"/>
        <w:keepLines w:val="0"/>
        <w:pageBreakBefore w:val="0"/>
        <w:tabs>
          <w:tab w:val="left" w:pos="540"/>
        </w:tabs>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（3）绿化养护人员需经过有害生物防治培训，具有对应服务的措施。 </w:t>
      </w:r>
    </w:p>
    <w:p w14:paraId="695E2079">
      <w:pPr>
        <w:pStyle w:val="12"/>
        <w:keepNext w:val="0"/>
        <w:keepLines w:val="0"/>
        <w:pageBreakBefore w:val="0"/>
        <w:numPr>
          <w:ilvl w:val="0"/>
          <w:numId w:val="0"/>
        </w:numPr>
        <w:wordWrap/>
        <w:topLinePunct w:val="0"/>
        <w:bidi w:val="0"/>
        <w:adjustRightInd/>
        <w:spacing w:beforeAutospacing="0" w:afterAutospacing="0" w:line="240" w:lineRule="auto"/>
        <w:ind w:left="0" w:leftChars="0" w:right="0" w:firstLine="420" w:firstLineChars="200"/>
        <w:outlineLvl w:val="3"/>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应急管理要求</w:t>
      </w:r>
    </w:p>
    <w:p w14:paraId="355D1EBF">
      <w:pPr>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rPr>
        <w:t>中标人应做好应急保障工作，积极协助采购人面对一切有可能遇到的特殊、临时、紧急情况，对于临时紧急情况，要求中标人应具备在30分钟内（含）能调配周边资源至少15人的服务团队到达项目主要实施地的支援能力</w:t>
      </w:r>
      <w:r>
        <w:rPr>
          <w:rFonts w:hint="eastAsia" w:ascii="宋体" w:hAnsi="宋体" w:eastAsia="宋体" w:cs="宋体"/>
          <w:color w:val="auto"/>
          <w:sz w:val="21"/>
          <w:szCs w:val="21"/>
          <w:highlight w:val="none"/>
          <w:lang w:bidi="ar"/>
        </w:rPr>
        <w:t>。</w:t>
      </w:r>
    </w:p>
    <w:p w14:paraId="7FDEA5F5">
      <w:pPr>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中标人需针对采购人物业具体情况制定防灾减灾的应急预案并提交采购人审核批准，包括且不限于台风、暴雨、强对流天气等极端气候影响突发自然灾害，突发群体性公共安全事件等的应急处置办法。应急响应生效时，中标人需服从采购人总体指挥和要求，根据应急预案迅速响应，做好防灾减灾工作。</w:t>
      </w:r>
    </w:p>
    <w:p w14:paraId="33CBF9C2">
      <w:pPr>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bidi="ar"/>
        </w:rPr>
        <w:t>应加强与周边区域消防、公安、街道等单位的沟通、协调、联动。做好办公楼内重大突发情况和事（案）件的报警和救助工作。对办公楼内及大楼外红线范围内发生的侵犯采购人工作人员事件或者出现扰乱采购人正常工作秩序情况，保安人员应当予以制止，并采取救助行动。</w:t>
      </w:r>
    </w:p>
    <w:p w14:paraId="1F0E1424">
      <w:pPr>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bidi="ar"/>
        </w:rPr>
        <w:t>负责做好安全防范，保障工作管理，加强服务区域内气味、噪音、饮水的安全控制和管理，有效预防违法犯罪、治安、灾害、泄密、污染、噪音、投毒等突发事件的发生，维护机关良好的工作秩序、生活秩序，保证采购人正常工作的开展。</w:t>
      </w:r>
    </w:p>
    <w:p w14:paraId="43D52E95">
      <w:pPr>
        <w:pStyle w:val="124"/>
        <w:keepNext w:val="0"/>
        <w:keepLines w:val="0"/>
        <w:pageBreakBefore w:val="0"/>
        <w:numPr>
          <w:ilvl w:val="0"/>
          <w:numId w:val="0"/>
        </w:numPr>
        <w:wordWrap/>
        <w:topLinePunct w:val="0"/>
        <w:bidi w:val="0"/>
        <w:adjustRightInd/>
        <w:snapToGrid w:val="0"/>
        <w:spacing w:beforeAutospacing="0" w:afterAutospacing="0" w:line="240" w:lineRule="auto"/>
        <w:ind w:left="0" w:leftChars="0" w:right="0" w:firstLine="420" w:firstLineChars="0"/>
        <w:outlineLvl w:val="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bidi="ar-SA"/>
        </w:rPr>
        <w:t>（三）</w:t>
      </w:r>
      <w:r>
        <w:rPr>
          <w:rFonts w:hint="eastAsia" w:ascii="宋体" w:hAnsi="宋体" w:eastAsia="宋体" w:cs="宋体"/>
          <w:color w:val="auto"/>
          <w:kern w:val="2"/>
          <w:sz w:val="21"/>
          <w:szCs w:val="21"/>
          <w:highlight w:val="none"/>
          <w:lang w:val="zh-CN"/>
        </w:rPr>
        <w:t xml:space="preserve">中标人义务与责任 </w:t>
      </w:r>
    </w:p>
    <w:p w14:paraId="0577481B">
      <w:pPr>
        <w:keepNext w:val="0"/>
        <w:keepLines w:val="0"/>
        <w:pageBreakBefore w:val="0"/>
        <w:wordWrap/>
        <w:topLinePunct w:val="0"/>
        <w:bidi w:val="0"/>
        <w:adjustRightInd/>
        <w:spacing w:beforeAutospacing="0" w:afterAutospacing="0" w:line="24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1、在管理服务期内由于中标人责任造成第三人、采购人和中标人工作人员人身伤亡和财产损失，由中标人负责承担赔偿。 </w:t>
      </w:r>
    </w:p>
    <w:p w14:paraId="75B081CB">
      <w:pPr>
        <w:keepNext w:val="0"/>
        <w:keepLines w:val="0"/>
        <w:pageBreakBefore w:val="0"/>
        <w:wordWrap/>
        <w:topLinePunct w:val="0"/>
        <w:autoSpaceDE w:val="0"/>
        <w:autoSpaceDN w:val="0"/>
        <w:bidi w:val="0"/>
        <w:adjustRightInd/>
        <w:spacing w:beforeAutospacing="0" w:afterAutospacing="0" w:line="240" w:lineRule="auto"/>
        <w:ind w:left="0" w:leftChars="0" w:right="0"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中标人履约过程中，如有意外事件或采购人需要，承诺</w:t>
      </w:r>
      <w:r>
        <w:rPr>
          <w:rFonts w:hint="eastAsia" w:ascii="宋体" w:hAnsi="宋体" w:eastAsia="宋体" w:cs="宋体"/>
          <w:b/>
          <w:color w:val="auto"/>
          <w:sz w:val="21"/>
          <w:szCs w:val="21"/>
          <w:highlight w:val="none"/>
          <w:lang w:val="en-US" w:eastAsia="zh-CN"/>
        </w:rPr>
        <w:t>项目经理</w:t>
      </w:r>
      <w:r>
        <w:rPr>
          <w:rFonts w:hint="eastAsia" w:ascii="宋体" w:hAnsi="宋体" w:eastAsia="宋体" w:cs="宋体"/>
          <w:b/>
          <w:color w:val="auto"/>
          <w:sz w:val="21"/>
          <w:szCs w:val="21"/>
          <w:highlight w:val="none"/>
        </w:rPr>
        <w:t xml:space="preserve">或以上级别管理人员30分钟内到达现场并及时处理上述问题，并杜绝意外问题再次发生（投标时提交承诺，承诺可参照“投标文件格式”中《承诺函》格式）。 </w:t>
      </w:r>
    </w:p>
    <w:p w14:paraId="4F84DD6C">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、中标人工作人员在本项目辖区范围内发生违法、违规行为的，所造成的一切后果及损失，由中标人承担责任及负责赔偿。</w:t>
      </w:r>
    </w:p>
    <w:p w14:paraId="48B5BAC7">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、中标人不按照采购人要求及时更换不合格物业服务人员，或者擅自更换采购人要求保留的物业服务人员，以及人员变动率超过标准（每季度10%）时，采购人有权按2%的比例予以扣减当月物业管理费。</w:t>
      </w:r>
    </w:p>
    <w:p w14:paraId="6980852C">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、在物业服务期内中标人应确保在服务范围内无刑事、治安案件（事件）的发生；无消防责任事故发生、无机械设备操作责任事故发生。</w:t>
      </w:r>
    </w:p>
    <w:p w14:paraId="280BBDE5">
      <w:pPr>
        <w:keepNext w:val="0"/>
        <w:keepLines w:val="0"/>
        <w:pageBreakBefore w:val="0"/>
        <w:wordWrap/>
        <w:topLinePunct w:val="0"/>
        <w:autoSpaceDE w:val="0"/>
        <w:autoSpaceDN w:val="0"/>
        <w:bidi w:val="0"/>
        <w:adjustRightInd/>
        <w:spacing w:beforeAutospacing="0" w:afterAutospacing="0" w:line="24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人不能响应招标文件或服务合同，或者1个月内连续3（人）次出现违反采购人管理规定情况，或者因中标人在服务期内2次及以上物业服务综合考核未达标，采购人可以单方面终止合同，并追究相关违约责任。</w:t>
      </w:r>
    </w:p>
    <w:p w14:paraId="00A0DDA6">
      <w:pPr>
        <w:keepNext w:val="0"/>
        <w:keepLines w:val="0"/>
        <w:pageBreakBefore w:val="0"/>
        <w:numPr>
          <w:ilvl w:val="0"/>
          <w:numId w:val="0"/>
        </w:numPr>
        <w:wordWrap/>
        <w:topLinePunct w:val="0"/>
        <w:autoSpaceDE w:val="0"/>
        <w:autoSpaceDN w:val="0"/>
        <w:bidi w:val="0"/>
        <w:adjustRightInd/>
        <w:spacing w:beforeAutospacing="0" w:afterAutospacing="0" w:line="240" w:lineRule="auto"/>
        <w:ind w:left="0" w:leftChars="0" w:right="0"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rPr>
        <w:t>其它要求</w:t>
      </w:r>
    </w:p>
    <w:p w14:paraId="70986753">
      <w:pPr>
        <w:pStyle w:val="123"/>
        <w:keepNext w:val="0"/>
        <w:keepLines w:val="0"/>
        <w:pageBreakBefore w:val="0"/>
        <w:widowControl/>
        <w:tabs>
          <w:tab w:val="left" w:pos="0"/>
        </w:tabs>
        <w:wordWrap/>
        <w:topLinePunct w:val="0"/>
        <w:bidi w:val="0"/>
        <w:adjustRightInd/>
        <w:spacing w:before="0" w:beforeAutospacing="0" w:after="0" w:afterAutospacing="0" w:line="240" w:lineRule="auto"/>
        <w:ind w:left="0" w:leftChars="0" w:right="0"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1、投标人</w:t>
      </w:r>
      <w:r>
        <w:rPr>
          <w:rFonts w:hint="eastAsia" w:ascii="宋体" w:hAnsi="宋体" w:eastAsia="宋体" w:cs="宋体"/>
          <w:b/>
          <w:color w:val="auto"/>
          <w:sz w:val="21"/>
          <w:szCs w:val="21"/>
          <w:highlight w:val="none"/>
        </w:rPr>
        <w:t>须保证，如中标（成交），投标（响应）文件所提供的材料，如果有效期（包括需要年审、继续教育等完成后才能执业的行政许可、人员证书等情形）未能覆盖项目（包组）合同履行期的，将提前按规定办理延期手续，确保合同顺利履行。（</w:t>
      </w:r>
      <w:r>
        <w:rPr>
          <w:rFonts w:hint="eastAsia" w:ascii="宋体" w:hAnsi="宋体" w:eastAsia="宋体" w:cs="宋体"/>
          <w:b/>
          <w:color w:val="auto"/>
          <w:sz w:val="21"/>
          <w:szCs w:val="21"/>
          <w:highlight w:val="none"/>
          <w:lang w:val="en-US" w:eastAsia="zh-CN"/>
        </w:rPr>
        <w:t>投标人</w:t>
      </w:r>
      <w:r>
        <w:rPr>
          <w:rFonts w:hint="eastAsia" w:ascii="宋体" w:hAnsi="宋体" w:eastAsia="宋体" w:cs="宋体"/>
          <w:b/>
          <w:color w:val="auto"/>
          <w:sz w:val="21"/>
          <w:szCs w:val="21"/>
          <w:highlight w:val="none"/>
        </w:rPr>
        <w:t>投标时提供承诺，可参照“投标（响应）文件格式”中《承诺函》格式）</w:t>
      </w:r>
    </w:p>
    <w:p w14:paraId="0CAF66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422" w:firstLineChars="200"/>
        <w:textAlignment w:val="auto"/>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2、退出机制及补位机制</w:t>
      </w:r>
    </w:p>
    <w:p w14:paraId="660FCC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（一）退出机制</w:t>
      </w:r>
    </w:p>
    <w:p w14:paraId="46A466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中标人按要求与采购人签订的</w:t>
      </w:r>
      <w:r>
        <w:rPr>
          <w:rFonts w:hint="eastAsia" w:ascii="宋体" w:hAnsi="宋体" w:eastAsia="宋体" w:cs="宋体"/>
          <w:color w:val="auto"/>
          <w:sz w:val="21"/>
          <w:szCs w:val="21"/>
          <w:highlight w:val="none"/>
          <w:lang w:eastAsia="zh-CN"/>
        </w:rPr>
        <w:t>物业管理服务</w:t>
      </w:r>
      <w:r>
        <w:rPr>
          <w:rFonts w:hint="eastAsia" w:ascii="宋体" w:hAnsi="宋体" w:eastAsia="宋体" w:cs="宋体"/>
          <w:color w:val="auto"/>
          <w:sz w:val="21"/>
          <w:szCs w:val="21"/>
          <w:highlight w:val="none"/>
        </w:rPr>
        <w:t>合同及安全承诺书，在服务期满后自然退出。</w:t>
      </w:r>
    </w:p>
    <w:p w14:paraId="604F3D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在采购过程中以弄虚作假等欺诈手段中标，或</w:t>
      </w:r>
      <w:r>
        <w:rPr>
          <w:rFonts w:hint="eastAsia" w:ascii="宋体" w:hAnsi="宋体" w:eastAsia="宋体" w:cs="宋体"/>
          <w:color w:val="auto"/>
          <w:sz w:val="21"/>
          <w:szCs w:val="21"/>
          <w:highlight w:val="none"/>
          <w:lang w:eastAsia="zh-CN"/>
        </w:rPr>
        <w:t>物业服务管理</w:t>
      </w:r>
      <w:r>
        <w:rPr>
          <w:rFonts w:hint="eastAsia" w:ascii="宋体" w:hAnsi="宋体" w:eastAsia="宋体" w:cs="宋体"/>
          <w:color w:val="auto"/>
          <w:sz w:val="21"/>
          <w:szCs w:val="21"/>
          <w:highlight w:val="none"/>
        </w:rPr>
        <w:t>过程中由于情况变化不再符合准入条件的，采购人有权取消其</w:t>
      </w:r>
      <w:r>
        <w:rPr>
          <w:rFonts w:hint="eastAsia" w:ascii="宋体" w:hAnsi="宋体" w:eastAsia="宋体" w:cs="宋体"/>
          <w:color w:val="auto"/>
          <w:sz w:val="21"/>
          <w:szCs w:val="21"/>
          <w:highlight w:val="none"/>
          <w:lang w:eastAsia="zh-CN"/>
        </w:rPr>
        <w:t>物业服务</w:t>
      </w:r>
      <w:r>
        <w:rPr>
          <w:rFonts w:hint="eastAsia" w:ascii="宋体" w:hAnsi="宋体" w:eastAsia="宋体" w:cs="宋体"/>
          <w:color w:val="auto"/>
          <w:sz w:val="21"/>
          <w:szCs w:val="21"/>
          <w:highlight w:val="none"/>
        </w:rPr>
        <w:t>资格，责令限期退出。</w:t>
      </w:r>
    </w:p>
    <w:p w14:paraId="022186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中标人在合同期间未按</w:t>
      </w:r>
      <w:r>
        <w:rPr>
          <w:rFonts w:hint="eastAsia" w:ascii="宋体" w:hAnsi="宋体" w:eastAsia="宋体" w:cs="宋体"/>
          <w:color w:val="auto"/>
          <w:sz w:val="21"/>
          <w:szCs w:val="21"/>
          <w:highlight w:val="none"/>
          <w:lang w:eastAsia="zh-CN"/>
        </w:rPr>
        <w:t>物业管理</w:t>
      </w:r>
      <w:r>
        <w:rPr>
          <w:rFonts w:hint="eastAsia" w:ascii="宋体" w:hAnsi="宋体" w:eastAsia="宋体" w:cs="宋体"/>
          <w:color w:val="auto"/>
          <w:sz w:val="21"/>
          <w:szCs w:val="21"/>
          <w:highlight w:val="none"/>
        </w:rPr>
        <w:t>要求提供</w:t>
      </w:r>
      <w:r>
        <w:rPr>
          <w:rFonts w:hint="eastAsia" w:ascii="宋体" w:hAnsi="宋体" w:eastAsia="宋体" w:cs="宋体"/>
          <w:color w:val="auto"/>
          <w:sz w:val="21"/>
          <w:szCs w:val="21"/>
          <w:highlight w:val="none"/>
          <w:lang w:val="en-US" w:eastAsia="zh-CN"/>
        </w:rPr>
        <w:t>物料</w:t>
      </w:r>
      <w:r>
        <w:rPr>
          <w:rFonts w:hint="eastAsia" w:ascii="宋体" w:hAnsi="宋体" w:eastAsia="宋体" w:cs="宋体"/>
          <w:color w:val="auto"/>
          <w:sz w:val="21"/>
          <w:szCs w:val="21"/>
          <w:highlight w:val="none"/>
        </w:rPr>
        <w:t>，影响正常</w:t>
      </w:r>
      <w:r>
        <w:rPr>
          <w:rFonts w:hint="eastAsia" w:ascii="宋体" w:hAnsi="宋体" w:eastAsia="宋体" w:cs="宋体"/>
          <w:color w:val="auto"/>
          <w:sz w:val="21"/>
          <w:szCs w:val="21"/>
          <w:highlight w:val="none"/>
          <w:lang w:eastAsia="zh-CN"/>
        </w:rPr>
        <w:t>工作开展</w:t>
      </w:r>
      <w:r>
        <w:rPr>
          <w:rFonts w:hint="eastAsia" w:ascii="宋体" w:hAnsi="宋体" w:eastAsia="宋体" w:cs="宋体"/>
          <w:color w:val="auto"/>
          <w:sz w:val="21"/>
          <w:szCs w:val="21"/>
          <w:highlight w:val="none"/>
        </w:rPr>
        <w:t>，达到两次的，采购人有权取消其</w:t>
      </w:r>
      <w:r>
        <w:rPr>
          <w:rFonts w:hint="eastAsia" w:ascii="宋体" w:hAnsi="宋体" w:eastAsia="宋体" w:cs="宋体"/>
          <w:color w:val="auto"/>
          <w:sz w:val="21"/>
          <w:szCs w:val="21"/>
          <w:highlight w:val="none"/>
          <w:lang w:eastAsia="zh-CN"/>
        </w:rPr>
        <w:t>物业服务</w:t>
      </w:r>
      <w:r>
        <w:rPr>
          <w:rFonts w:hint="eastAsia" w:ascii="宋体" w:hAnsi="宋体" w:eastAsia="宋体" w:cs="宋体"/>
          <w:color w:val="auto"/>
          <w:sz w:val="21"/>
          <w:szCs w:val="21"/>
          <w:highlight w:val="none"/>
        </w:rPr>
        <w:t>资格，责令限期退出。</w:t>
      </w:r>
    </w:p>
    <w:p w14:paraId="36C87C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确认</w:t>
      </w:r>
      <w:r>
        <w:rPr>
          <w:rFonts w:hint="eastAsia" w:ascii="宋体" w:hAnsi="宋体" w:eastAsia="宋体" w:cs="宋体"/>
          <w:color w:val="auto"/>
          <w:sz w:val="21"/>
          <w:szCs w:val="21"/>
          <w:highlight w:val="none"/>
          <w:lang w:eastAsia="zh-CN"/>
        </w:rPr>
        <w:t>因为</w:t>
      </w:r>
      <w:r>
        <w:rPr>
          <w:rFonts w:hint="eastAsia" w:ascii="宋体" w:hAnsi="宋体" w:eastAsia="宋体" w:cs="宋体"/>
          <w:color w:val="auto"/>
          <w:sz w:val="21"/>
          <w:szCs w:val="21"/>
          <w:highlight w:val="none"/>
        </w:rPr>
        <w:t>中标人而造成的</w:t>
      </w:r>
      <w:r>
        <w:rPr>
          <w:rFonts w:hint="eastAsia" w:ascii="宋体" w:hAnsi="宋体" w:eastAsia="宋体" w:cs="宋体"/>
          <w:color w:val="auto"/>
          <w:sz w:val="21"/>
          <w:szCs w:val="21"/>
          <w:highlight w:val="none"/>
          <w:lang w:eastAsia="zh-CN"/>
        </w:rPr>
        <w:t>安全</w:t>
      </w:r>
      <w:r>
        <w:rPr>
          <w:rFonts w:hint="eastAsia" w:ascii="宋体" w:hAnsi="宋体" w:eastAsia="宋体" w:cs="宋体"/>
          <w:color w:val="auto"/>
          <w:sz w:val="21"/>
          <w:szCs w:val="21"/>
          <w:highlight w:val="none"/>
        </w:rPr>
        <w:t>事故或</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质量引发重大安全事故，采购人有权取消其</w:t>
      </w:r>
      <w:r>
        <w:rPr>
          <w:rFonts w:hint="eastAsia" w:ascii="宋体" w:hAnsi="宋体" w:eastAsia="宋体" w:cs="宋体"/>
          <w:color w:val="auto"/>
          <w:sz w:val="21"/>
          <w:szCs w:val="21"/>
          <w:highlight w:val="none"/>
          <w:lang w:eastAsia="zh-CN"/>
        </w:rPr>
        <w:t>物业服务</w:t>
      </w:r>
      <w:r>
        <w:rPr>
          <w:rFonts w:hint="eastAsia" w:ascii="宋体" w:hAnsi="宋体" w:eastAsia="宋体" w:cs="宋体"/>
          <w:color w:val="auto"/>
          <w:sz w:val="21"/>
          <w:szCs w:val="21"/>
          <w:highlight w:val="none"/>
        </w:rPr>
        <w:t>资格，责令限期退出，对所造成的损失有权追究中标人的法律责任和经济赔偿。</w:t>
      </w:r>
    </w:p>
    <w:p w14:paraId="7C04CE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rPr>
        <w:t>若一个考核年度累计有两个月考核为</w:t>
      </w:r>
      <w:r>
        <w:rPr>
          <w:rFonts w:hint="eastAsia" w:ascii="宋体" w:hAnsi="宋体" w:eastAsia="宋体" w:cs="宋体"/>
          <w:color w:val="auto"/>
          <w:sz w:val="21"/>
          <w:szCs w:val="21"/>
          <w:highlight w:val="none"/>
          <w:lang w:eastAsia="zh-CN"/>
        </w:rPr>
        <w:t>“不及格”等级的</w:t>
      </w:r>
      <w:r>
        <w:rPr>
          <w:rFonts w:hint="eastAsia" w:ascii="宋体" w:hAnsi="宋体" w:eastAsia="宋体" w:cs="宋体"/>
          <w:color w:val="auto"/>
          <w:sz w:val="21"/>
          <w:szCs w:val="21"/>
          <w:highlight w:val="none"/>
          <w:lang w:val="en-US" w:eastAsia="zh-CN"/>
        </w:rPr>
        <w:t>，采购人有权将根据合同约定解除合同。</w:t>
      </w:r>
    </w:p>
    <w:p w14:paraId="30D217E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（二）补位机制</w:t>
      </w:r>
    </w:p>
    <w:p w14:paraId="0AD4E242">
      <w:pPr>
        <w:keepNext w:val="0"/>
        <w:keepLines w:val="0"/>
        <w:pageBreakBefore w:val="0"/>
        <w:wordWrap/>
        <w:topLinePunct w:val="0"/>
        <w:bidi w:val="0"/>
        <w:adjustRightInd/>
        <w:spacing w:beforeAutospacing="0" w:afterAutospacing="0" w:line="24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达到退出机制条件时，中标人应与本项目新服务商进行交接管理，交接完成时间不超过确定新服务商的中标公告发出之日后7个工作日。交接完成前，中标人必须继续按本合同规定履约，如不能按规定履约，将对中标人上月</w:t>
      </w:r>
      <w:r>
        <w:rPr>
          <w:rFonts w:hint="eastAsia" w:ascii="宋体" w:hAnsi="宋体" w:eastAsia="宋体" w:cs="宋体"/>
          <w:color w:val="auto"/>
          <w:sz w:val="21"/>
          <w:szCs w:val="21"/>
          <w:highlight w:val="none"/>
          <w:lang w:eastAsia="zh-CN"/>
        </w:rPr>
        <w:t>物业服务管理费用</w:t>
      </w:r>
      <w:r>
        <w:rPr>
          <w:rFonts w:hint="eastAsia" w:ascii="宋体" w:hAnsi="宋体" w:eastAsia="宋体" w:cs="宋体"/>
          <w:color w:val="auto"/>
          <w:sz w:val="21"/>
          <w:szCs w:val="21"/>
          <w:highlight w:val="none"/>
        </w:rPr>
        <w:t>结算金额的10%进行</w:t>
      </w:r>
      <w:r>
        <w:rPr>
          <w:rFonts w:hint="eastAsia" w:ascii="宋体" w:hAnsi="宋体" w:eastAsia="宋体" w:cs="宋体"/>
          <w:color w:val="auto"/>
          <w:sz w:val="21"/>
          <w:szCs w:val="21"/>
          <w:highlight w:val="none"/>
          <w:lang w:val="en-US" w:eastAsia="zh-CN"/>
        </w:rPr>
        <w:t>扣减</w:t>
      </w:r>
      <w:r>
        <w:rPr>
          <w:rFonts w:hint="eastAsia" w:ascii="宋体" w:hAnsi="宋体" w:eastAsia="宋体" w:cs="宋体"/>
          <w:color w:val="auto"/>
          <w:sz w:val="21"/>
          <w:szCs w:val="21"/>
          <w:highlight w:val="none"/>
        </w:rPr>
        <w:t>。</w:t>
      </w:r>
    </w:p>
    <w:p w14:paraId="0DA03A23">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w:t>
      </w:r>
    </w:p>
    <w:p w14:paraId="09945E25">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〈二〉、招标项目商务要求</w:t>
      </w:r>
    </w:p>
    <w:p w14:paraId="7484B2B5">
      <w:pPr>
        <w:autoSpaceDE w:val="0"/>
        <w:autoSpaceDN w:val="0"/>
        <w:adjustRightInd w:val="0"/>
        <w:jc w:val="left"/>
        <w:rPr>
          <w:rFonts w:hint="eastAsia" w:ascii="宋体" w:hAnsi="宋体" w:eastAsia="宋体" w:cs="宋体"/>
          <w:b/>
          <w:bCs/>
          <w:color w:val="auto"/>
          <w:kern w:val="0"/>
          <w:sz w:val="21"/>
          <w:szCs w:val="21"/>
          <w:highlight w:val="none"/>
          <w14:ligatures w14:val="standardContextual"/>
        </w:rPr>
      </w:pPr>
      <w:r>
        <w:rPr>
          <w:rFonts w:hint="eastAsia" w:ascii="宋体" w:hAnsi="宋体" w:eastAsia="宋体" w:cs="宋体"/>
          <w:b/>
          <w:bCs/>
          <w:color w:val="auto"/>
          <w:kern w:val="0"/>
          <w:sz w:val="21"/>
          <w:szCs w:val="21"/>
          <w:highlight w:val="none"/>
          <w14:ligatures w14:val="standardContextual"/>
        </w:rPr>
        <w:t>1.</w:t>
      </w:r>
      <w:r>
        <w:rPr>
          <w:rFonts w:hint="eastAsia" w:ascii="宋体" w:hAnsi="宋体" w:eastAsia="宋体" w:cs="宋体"/>
          <w:b/>
          <w:bCs/>
          <w:color w:val="auto"/>
          <w:kern w:val="0"/>
          <w:sz w:val="21"/>
          <w:szCs w:val="21"/>
          <w:highlight w:val="none"/>
          <w14:ligatures w14:val="standardContextual"/>
        </w:rPr>
        <w:tab/>
      </w:r>
      <w:r>
        <w:rPr>
          <w:rFonts w:hint="eastAsia" w:ascii="宋体" w:hAnsi="宋体" w:eastAsia="宋体" w:cs="宋体"/>
          <w:b/>
          <w:bCs/>
          <w:color w:val="auto"/>
          <w:kern w:val="0"/>
          <w:sz w:val="21"/>
          <w:szCs w:val="21"/>
          <w:highlight w:val="none"/>
          <w14:ligatures w14:val="standardContextual"/>
        </w:rPr>
        <w:t>实施期限</w:t>
      </w:r>
    </w:p>
    <w:p w14:paraId="6205FAD9">
      <w:pPr>
        <w:keepLines w:val="0"/>
        <w:pageBreakBefore w:val="0"/>
        <w:wordWrap/>
        <w:topLinePunct w:val="0"/>
        <w:autoSpaceDE w:val="0"/>
        <w:autoSpaceDN w:val="0"/>
        <w:bidi w:val="0"/>
        <w:snapToGrid/>
        <w:spacing w:line="240" w:lineRule="auto"/>
        <w:rPr>
          <w:rFonts w:hint="eastAsia" w:ascii="宋体" w:hAnsi="宋体" w:eastAsia="宋体" w:cs="宋体"/>
          <w:color w:val="auto"/>
          <w:spacing w:val="8"/>
          <w:kern w:val="0"/>
          <w:sz w:val="21"/>
          <w:szCs w:val="21"/>
          <w:highlight w:val="none"/>
          <w:shd w:val="clear" w:color="auto" w:fill="FFFFFF"/>
          <w:lang w:eastAsia="zh-CN"/>
        </w:rPr>
      </w:pPr>
      <w:r>
        <w:rPr>
          <w:rFonts w:hint="eastAsia" w:ascii="宋体" w:hAnsi="宋体" w:eastAsia="宋体" w:cs="宋体"/>
          <w:color w:val="auto"/>
          <w:spacing w:val="8"/>
          <w:kern w:val="0"/>
          <w:sz w:val="21"/>
          <w:szCs w:val="21"/>
          <w:highlight w:val="none"/>
          <w:shd w:val="clear" w:color="auto" w:fill="FFFFFF"/>
          <w:lang w:eastAsia="zh-CN"/>
        </w:rPr>
        <w:t>（1）实施期限：24个月（</w:t>
      </w:r>
      <w:r>
        <w:rPr>
          <w:rFonts w:hint="eastAsia" w:ascii="宋体" w:hAnsi="宋体" w:eastAsia="宋体" w:cs="宋体"/>
          <w:color w:val="auto"/>
          <w:sz w:val="21"/>
          <w:szCs w:val="21"/>
          <w:highlight w:val="none"/>
          <w:lang w:val="en-US" w:eastAsia="zh-CN"/>
        </w:rPr>
        <w:t>2026年4月1日至2028年3月31日</w:t>
      </w:r>
      <w:r>
        <w:rPr>
          <w:rFonts w:hint="eastAsia" w:ascii="宋体" w:hAnsi="宋体" w:eastAsia="宋体" w:cs="宋体"/>
          <w:color w:val="auto"/>
          <w:spacing w:val="8"/>
          <w:kern w:val="0"/>
          <w:sz w:val="21"/>
          <w:szCs w:val="21"/>
          <w:highlight w:val="none"/>
          <w:shd w:val="clear" w:color="auto" w:fill="FFFFFF"/>
          <w:lang w:eastAsia="zh-CN"/>
        </w:rPr>
        <w:t>止）。</w:t>
      </w:r>
    </w:p>
    <w:p w14:paraId="414A5538">
      <w:pPr>
        <w:keepLines w:val="0"/>
        <w:pageBreakBefore w:val="0"/>
        <w:wordWrap/>
        <w:topLinePunct w:val="0"/>
        <w:autoSpaceDE w:val="0"/>
        <w:autoSpaceDN w:val="0"/>
        <w:bidi w:val="0"/>
        <w:snapToGrid/>
        <w:spacing w:line="240" w:lineRule="auto"/>
        <w:rPr>
          <w:rFonts w:hint="eastAsia" w:ascii="宋体" w:hAnsi="宋体" w:eastAsia="宋体" w:cs="宋体"/>
          <w:color w:val="auto"/>
          <w:spacing w:val="8"/>
          <w:kern w:val="0"/>
          <w:sz w:val="21"/>
          <w:szCs w:val="21"/>
          <w:highlight w:val="none"/>
          <w:shd w:val="clear" w:color="auto" w:fill="FFFFFF"/>
          <w:lang w:eastAsia="zh-CN"/>
        </w:rPr>
      </w:pPr>
      <w:r>
        <w:rPr>
          <w:rFonts w:hint="eastAsia" w:ascii="宋体" w:hAnsi="宋体" w:eastAsia="宋体" w:cs="宋体"/>
          <w:color w:val="auto"/>
          <w:spacing w:val="8"/>
          <w:kern w:val="0"/>
          <w:sz w:val="21"/>
          <w:szCs w:val="21"/>
          <w:highlight w:val="none"/>
          <w:shd w:val="clear" w:color="auto" w:fill="FFFFFF"/>
          <w:lang w:eastAsia="zh-CN"/>
        </w:rPr>
        <w:t>（2）合同履行期限：</w:t>
      </w:r>
      <w:r>
        <w:rPr>
          <w:rFonts w:hint="eastAsia" w:ascii="宋体" w:hAnsi="宋体" w:eastAsia="宋体" w:cs="宋体"/>
          <w:color w:val="auto"/>
          <w:sz w:val="21"/>
          <w:szCs w:val="21"/>
          <w:highlight w:val="none"/>
          <w:lang w:val="en-US" w:eastAsia="zh-CN"/>
        </w:rPr>
        <w:t>2026年4月1日至2028年3月31日</w:t>
      </w:r>
      <w:r>
        <w:rPr>
          <w:rFonts w:hint="eastAsia" w:ascii="宋体" w:hAnsi="宋体" w:eastAsia="宋体" w:cs="宋体"/>
          <w:color w:val="auto"/>
          <w:spacing w:val="8"/>
          <w:kern w:val="0"/>
          <w:sz w:val="21"/>
          <w:szCs w:val="21"/>
          <w:highlight w:val="none"/>
          <w:shd w:val="clear" w:color="auto" w:fill="FFFFFF"/>
          <w:lang w:eastAsia="zh-CN"/>
        </w:rPr>
        <w:t>止。</w:t>
      </w:r>
    </w:p>
    <w:p w14:paraId="04871214">
      <w:pPr>
        <w:autoSpaceDE w:val="0"/>
        <w:autoSpaceDN w:val="0"/>
        <w:adjustRightInd w:val="0"/>
        <w:jc w:val="left"/>
        <w:rPr>
          <w:rFonts w:hint="eastAsia" w:ascii="宋体" w:hAnsi="宋体" w:eastAsia="宋体" w:cs="宋体"/>
          <w:b/>
          <w:bCs/>
          <w:color w:val="auto"/>
          <w:kern w:val="0"/>
          <w:sz w:val="21"/>
          <w:szCs w:val="21"/>
          <w:highlight w:val="none"/>
          <w14:ligatures w14:val="standardContextual"/>
        </w:rPr>
      </w:pPr>
      <w:r>
        <w:rPr>
          <w:rFonts w:hint="eastAsia" w:ascii="宋体" w:hAnsi="宋体" w:eastAsia="宋体" w:cs="宋体"/>
          <w:b/>
          <w:bCs/>
          <w:color w:val="auto"/>
          <w:kern w:val="0"/>
          <w:sz w:val="21"/>
          <w:szCs w:val="21"/>
          <w:highlight w:val="none"/>
          <w14:ligatures w14:val="standardContextual"/>
        </w:rPr>
        <w:t>2.付款方式</w:t>
      </w:r>
    </w:p>
    <w:p w14:paraId="7F38A8BD">
      <w:pPr>
        <w:tabs>
          <w:tab w:val="left" w:pos="321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采购人按中标价分24个月平均计算，每期支付合同款项时，中标人提前向采购人提供与当期支付款项金额等值的中华人民共和国大陆地区合法有效发票，中标人迟延提供的，采购人有权相应顺延付款时间且不视为违约。中标人每期开具的物业管理服务费发票金额应扣除前期的考核扣、罚的相关金额。如中标人提供服务不足一个月的，以每月服务费除以该月天数后按日计算物业管理服务费。采购人收到中标人开具的发票后，10个工作日内支付服务费,支付方式：银行转账</w:t>
      </w:r>
      <w:r>
        <w:rPr>
          <w:rFonts w:hint="eastAsia" w:ascii="宋体" w:hAnsi="宋体" w:eastAsia="宋体" w:cs="宋体"/>
          <w:color w:val="auto"/>
          <w:spacing w:val="8"/>
          <w:kern w:val="0"/>
          <w:sz w:val="21"/>
          <w:szCs w:val="21"/>
          <w:highlight w:val="none"/>
          <w:shd w:val="clear" w:color="auto" w:fill="FFFFFF"/>
        </w:rPr>
        <w:t>。</w:t>
      </w:r>
    </w:p>
    <w:p w14:paraId="49AA9144">
      <w:pPr>
        <w:autoSpaceDE w:val="0"/>
        <w:autoSpaceDN w:val="0"/>
        <w:adjustRightInd w:val="0"/>
        <w:jc w:val="left"/>
        <w:rPr>
          <w:rFonts w:hint="eastAsia" w:ascii="宋体" w:hAnsi="宋体" w:eastAsia="宋体" w:cs="宋体"/>
          <w:b/>
          <w:bCs/>
          <w:color w:val="auto"/>
          <w:kern w:val="0"/>
          <w:sz w:val="21"/>
          <w:szCs w:val="21"/>
          <w:highlight w:val="none"/>
          <w14:ligatures w14:val="standardContextual"/>
        </w:rPr>
      </w:pPr>
      <w:r>
        <w:rPr>
          <w:rFonts w:hint="eastAsia" w:ascii="宋体" w:hAnsi="宋体" w:eastAsia="宋体" w:cs="宋体"/>
          <w:b/>
          <w:bCs/>
          <w:color w:val="auto"/>
          <w:kern w:val="0"/>
          <w:sz w:val="21"/>
          <w:szCs w:val="21"/>
          <w:highlight w:val="none"/>
          <w14:ligatures w14:val="standardContextual"/>
        </w:rPr>
        <w:t>3.验收标准与要求</w:t>
      </w:r>
    </w:p>
    <w:p w14:paraId="4195ED9E">
      <w:pPr>
        <w:keepNext w:val="0"/>
        <w:keepLines w:val="0"/>
        <w:pageBreakBefore w:val="0"/>
        <w:wordWrap/>
        <w:topLinePunct w:val="0"/>
        <w:autoSpaceDE w:val="0"/>
        <w:autoSpaceDN w:val="0"/>
        <w:bidi w:val="0"/>
        <w:spacing w:line="240" w:lineRule="auto"/>
        <w:ind w:left="0" w:leftChars="0" w:right="0" w:firstLine="452" w:firstLineChars="200"/>
        <w:rPr>
          <w:rFonts w:hint="eastAsia" w:ascii="宋体" w:hAnsi="宋体" w:eastAsia="宋体" w:cs="宋体"/>
          <w:color w:val="auto"/>
          <w:spacing w:val="8"/>
          <w:kern w:val="0"/>
          <w:sz w:val="21"/>
          <w:szCs w:val="21"/>
          <w:highlight w:val="none"/>
          <w:shd w:val="clear" w:color="auto" w:fill="FFFFFF"/>
        </w:rPr>
      </w:pPr>
      <w:r>
        <w:rPr>
          <w:rFonts w:hint="eastAsia" w:ascii="宋体" w:hAnsi="宋体" w:eastAsia="宋体" w:cs="宋体"/>
          <w:color w:val="auto"/>
          <w:spacing w:val="8"/>
          <w:kern w:val="0"/>
          <w:sz w:val="21"/>
          <w:szCs w:val="21"/>
          <w:highlight w:val="none"/>
          <w:shd w:val="clear" w:color="auto" w:fill="FFFFFF"/>
        </w:rPr>
        <w:t xml:space="preserve">（1）服务应达到《全国物业管理示范大厦标准》和《广东省物业管理示范小区标准》的有关规定执行，服务需达到如下目标： </w:t>
      </w:r>
    </w:p>
    <w:tbl>
      <w:tblPr>
        <w:tblStyle w:val="37"/>
        <w:tblW w:w="8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5299"/>
        <w:gridCol w:w="2365"/>
      </w:tblGrid>
      <w:tr w14:paraId="5757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0769E7F0">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序号</w:t>
            </w:r>
          </w:p>
        </w:tc>
        <w:tc>
          <w:tcPr>
            <w:tcW w:w="5299" w:type="dxa"/>
            <w:noWrap w:val="0"/>
            <w:vAlign w:val="center"/>
          </w:tcPr>
          <w:p w14:paraId="733B2374">
            <w:pPr>
              <w:pStyle w:val="112"/>
              <w:keepNext w:val="0"/>
              <w:keepLines w:val="0"/>
              <w:pageBreakBefore w:val="0"/>
              <w:tabs>
                <w:tab w:val="left" w:pos="639"/>
              </w:tabs>
              <w:kinsoku w:val="0"/>
              <w:wordWrap/>
              <w:overflowPunct w:val="0"/>
              <w:topLinePunct w:val="0"/>
              <w:bidi w:val="0"/>
              <w:adjustRightInd w:val="0"/>
              <w:snapToGrid w:val="0"/>
              <w:spacing w:line="240" w:lineRule="auto"/>
              <w:ind w:left="0" w:leftChars="0" w:right="0"/>
              <w:jc w:val="center"/>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项</w:t>
            </w:r>
            <w:r>
              <w:rPr>
                <w:rFonts w:hint="eastAsia" w:ascii="宋体" w:hAnsi="宋体" w:eastAsia="宋体" w:cs="宋体"/>
                <w:b/>
                <w:bCs/>
                <w:color w:val="auto"/>
                <w:kern w:val="2"/>
                <w:sz w:val="21"/>
                <w:szCs w:val="21"/>
                <w:highlight w:val="none"/>
                <w:lang w:eastAsia="zh-CN"/>
              </w:rPr>
              <w:tab/>
            </w:r>
            <w:r>
              <w:rPr>
                <w:rFonts w:hint="eastAsia" w:ascii="宋体" w:hAnsi="宋体" w:eastAsia="宋体" w:cs="宋体"/>
                <w:b/>
                <w:bCs/>
                <w:color w:val="auto"/>
                <w:kern w:val="2"/>
                <w:sz w:val="21"/>
                <w:szCs w:val="21"/>
                <w:highlight w:val="none"/>
                <w:lang w:eastAsia="zh-CN"/>
              </w:rPr>
              <w:t>目</w:t>
            </w:r>
          </w:p>
        </w:tc>
        <w:tc>
          <w:tcPr>
            <w:tcW w:w="2365" w:type="dxa"/>
            <w:noWrap w:val="0"/>
            <w:vAlign w:val="center"/>
          </w:tcPr>
          <w:p w14:paraId="6D79A6C5">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目   标</w:t>
            </w:r>
          </w:p>
        </w:tc>
      </w:tr>
      <w:tr w14:paraId="461BB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75" w:type="dxa"/>
            <w:noWrap w:val="0"/>
            <w:vAlign w:val="center"/>
          </w:tcPr>
          <w:p w14:paraId="6DB61E4E">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99" w:type="dxa"/>
            <w:noWrap w:val="0"/>
            <w:vAlign w:val="center"/>
          </w:tcPr>
          <w:p w14:paraId="5DC85489">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清洁、保洁满意率</w:t>
            </w:r>
          </w:p>
        </w:tc>
        <w:tc>
          <w:tcPr>
            <w:tcW w:w="2365" w:type="dxa"/>
            <w:noWrap w:val="0"/>
            <w:vAlign w:val="center"/>
          </w:tcPr>
          <w:p w14:paraId="0CB95FC3">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99%</w:t>
            </w:r>
          </w:p>
        </w:tc>
      </w:tr>
      <w:tr w14:paraId="5480E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683B8E1B">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w:t>
            </w:r>
          </w:p>
        </w:tc>
        <w:tc>
          <w:tcPr>
            <w:tcW w:w="5299" w:type="dxa"/>
            <w:noWrap w:val="0"/>
            <w:vAlign w:val="center"/>
          </w:tcPr>
          <w:p w14:paraId="56EEDA0E">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化粪池、化油池、雨水井、污水井完好率</w:t>
            </w:r>
          </w:p>
        </w:tc>
        <w:tc>
          <w:tcPr>
            <w:tcW w:w="2365" w:type="dxa"/>
            <w:noWrap w:val="0"/>
            <w:vAlign w:val="center"/>
          </w:tcPr>
          <w:p w14:paraId="45015B96">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100%</w:t>
            </w:r>
          </w:p>
        </w:tc>
      </w:tr>
      <w:tr w14:paraId="0FC9A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75DC1482">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w:t>
            </w:r>
          </w:p>
        </w:tc>
        <w:tc>
          <w:tcPr>
            <w:tcW w:w="5299" w:type="dxa"/>
            <w:noWrap w:val="0"/>
            <w:vAlign w:val="center"/>
          </w:tcPr>
          <w:p w14:paraId="5338C10D">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排水管、明暗沟保洁完好率</w:t>
            </w:r>
          </w:p>
        </w:tc>
        <w:tc>
          <w:tcPr>
            <w:tcW w:w="2365" w:type="dxa"/>
            <w:noWrap w:val="0"/>
            <w:vAlign w:val="center"/>
          </w:tcPr>
          <w:p w14:paraId="1E0098E1">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100%</w:t>
            </w:r>
          </w:p>
        </w:tc>
      </w:tr>
      <w:tr w14:paraId="53395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416B4FFA">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w:t>
            </w:r>
          </w:p>
        </w:tc>
        <w:tc>
          <w:tcPr>
            <w:tcW w:w="5299" w:type="dxa"/>
            <w:noWrap w:val="0"/>
            <w:vAlign w:val="center"/>
          </w:tcPr>
          <w:p w14:paraId="004F0AF7">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安保合格率</w:t>
            </w:r>
          </w:p>
        </w:tc>
        <w:tc>
          <w:tcPr>
            <w:tcW w:w="2365" w:type="dxa"/>
            <w:noWrap w:val="0"/>
            <w:vAlign w:val="center"/>
          </w:tcPr>
          <w:p w14:paraId="01FDE85B">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95%</w:t>
            </w:r>
          </w:p>
        </w:tc>
      </w:tr>
      <w:tr w14:paraId="15180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18E38256">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w:t>
            </w:r>
          </w:p>
        </w:tc>
        <w:tc>
          <w:tcPr>
            <w:tcW w:w="5299" w:type="dxa"/>
            <w:noWrap w:val="0"/>
            <w:vAlign w:val="center"/>
          </w:tcPr>
          <w:p w14:paraId="4E9D260A">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巡查公共设施完好率</w:t>
            </w:r>
          </w:p>
        </w:tc>
        <w:tc>
          <w:tcPr>
            <w:tcW w:w="2365" w:type="dxa"/>
            <w:noWrap w:val="0"/>
            <w:vAlign w:val="center"/>
          </w:tcPr>
          <w:p w14:paraId="2BEC11DC">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98%</w:t>
            </w:r>
          </w:p>
        </w:tc>
      </w:tr>
      <w:tr w14:paraId="36F51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2B76A781">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6</w:t>
            </w:r>
          </w:p>
        </w:tc>
        <w:tc>
          <w:tcPr>
            <w:tcW w:w="5299" w:type="dxa"/>
            <w:noWrap w:val="0"/>
            <w:vAlign w:val="center"/>
          </w:tcPr>
          <w:p w14:paraId="301B5E46">
            <w:pPr>
              <w:pStyle w:val="112"/>
              <w:keepNext w:val="0"/>
              <w:keepLines w:val="0"/>
              <w:pageBreakBefore w:val="0"/>
              <w:kinsoku w:val="0"/>
              <w:wordWrap/>
              <w:overflowPunct w:val="0"/>
              <w:topLinePunct w:val="0"/>
              <w:bidi w:val="0"/>
              <w:adjustRightInd w:val="0"/>
              <w:snapToGrid w:val="0"/>
              <w:spacing w:line="240" w:lineRule="auto"/>
              <w:ind w:left="0" w:leftChars="0" w:right="0" w:firstLine="210" w:firstLineChars="10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确保日常应急通道畅通，巡查应急照明率</w:t>
            </w:r>
          </w:p>
        </w:tc>
        <w:tc>
          <w:tcPr>
            <w:tcW w:w="2365" w:type="dxa"/>
            <w:noWrap w:val="0"/>
            <w:vAlign w:val="center"/>
          </w:tcPr>
          <w:p w14:paraId="7E3574C1">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100%</w:t>
            </w:r>
          </w:p>
        </w:tc>
      </w:tr>
      <w:tr w14:paraId="06861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59FD885A">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7</w:t>
            </w:r>
          </w:p>
        </w:tc>
        <w:tc>
          <w:tcPr>
            <w:tcW w:w="5299" w:type="dxa"/>
            <w:noWrap w:val="0"/>
            <w:vAlign w:val="center"/>
          </w:tcPr>
          <w:p w14:paraId="5F5C6B50">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大楼治安案件的发生率</w:t>
            </w:r>
          </w:p>
        </w:tc>
        <w:tc>
          <w:tcPr>
            <w:tcW w:w="2365" w:type="dxa"/>
            <w:noWrap w:val="0"/>
            <w:vAlign w:val="center"/>
          </w:tcPr>
          <w:p w14:paraId="497C856A">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0</w:t>
            </w:r>
          </w:p>
        </w:tc>
      </w:tr>
      <w:tr w14:paraId="240C7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2AB44BD4">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8</w:t>
            </w:r>
          </w:p>
        </w:tc>
        <w:tc>
          <w:tcPr>
            <w:tcW w:w="5299" w:type="dxa"/>
            <w:noWrap w:val="0"/>
            <w:vAlign w:val="center"/>
          </w:tcPr>
          <w:p w14:paraId="3BE9E459">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刑事责任</w:t>
            </w:r>
          </w:p>
        </w:tc>
        <w:tc>
          <w:tcPr>
            <w:tcW w:w="2365" w:type="dxa"/>
            <w:noWrap w:val="0"/>
            <w:vAlign w:val="center"/>
          </w:tcPr>
          <w:p w14:paraId="3E2DC220">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0</w:t>
            </w:r>
          </w:p>
        </w:tc>
      </w:tr>
      <w:tr w14:paraId="5CB6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27F81ED2">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9</w:t>
            </w:r>
          </w:p>
        </w:tc>
        <w:tc>
          <w:tcPr>
            <w:tcW w:w="5299" w:type="dxa"/>
            <w:noWrap w:val="0"/>
            <w:vAlign w:val="center"/>
          </w:tcPr>
          <w:p w14:paraId="2114B801">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杜绝火灾事故责任</w:t>
            </w:r>
          </w:p>
        </w:tc>
        <w:tc>
          <w:tcPr>
            <w:tcW w:w="2365" w:type="dxa"/>
            <w:noWrap w:val="0"/>
            <w:vAlign w:val="center"/>
          </w:tcPr>
          <w:p w14:paraId="1F99CFFC">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0</w:t>
            </w:r>
          </w:p>
        </w:tc>
      </w:tr>
      <w:tr w14:paraId="49041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7EF33526">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w:t>
            </w:r>
          </w:p>
        </w:tc>
        <w:tc>
          <w:tcPr>
            <w:tcW w:w="5299" w:type="dxa"/>
            <w:noWrap w:val="0"/>
            <w:vAlign w:val="center"/>
          </w:tcPr>
          <w:p w14:paraId="199240FF">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投诉处理率</w:t>
            </w:r>
          </w:p>
        </w:tc>
        <w:tc>
          <w:tcPr>
            <w:tcW w:w="2365" w:type="dxa"/>
            <w:noWrap w:val="0"/>
            <w:vAlign w:val="center"/>
          </w:tcPr>
          <w:p w14:paraId="07A7223F">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100%</w:t>
            </w:r>
          </w:p>
        </w:tc>
      </w:tr>
      <w:tr w14:paraId="0CB2A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2510C4D7">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11</w:t>
            </w:r>
          </w:p>
        </w:tc>
        <w:tc>
          <w:tcPr>
            <w:tcW w:w="5299" w:type="dxa"/>
            <w:noWrap w:val="0"/>
            <w:vAlign w:val="center"/>
          </w:tcPr>
          <w:p w14:paraId="6CC752B3">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人员专业培训合格率</w:t>
            </w:r>
          </w:p>
        </w:tc>
        <w:tc>
          <w:tcPr>
            <w:tcW w:w="2365" w:type="dxa"/>
            <w:noWrap w:val="0"/>
            <w:vAlign w:val="center"/>
          </w:tcPr>
          <w:p w14:paraId="5E371F8F">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100%</w:t>
            </w:r>
          </w:p>
        </w:tc>
      </w:tr>
      <w:tr w14:paraId="3FB3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7C036632">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12</w:t>
            </w:r>
          </w:p>
        </w:tc>
        <w:tc>
          <w:tcPr>
            <w:tcW w:w="5299" w:type="dxa"/>
            <w:noWrap w:val="0"/>
            <w:vAlign w:val="center"/>
          </w:tcPr>
          <w:p w14:paraId="2FEF7149">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服务及时率</w:t>
            </w:r>
          </w:p>
        </w:tc>
        <w:tc>
          <w:tcPr>
            <w:tcW w:w="2365" w:type="dxa"/>
            <w:noWrap w:val="0"/>
            <w:vAlign w:val="center"/>
          </w:tcPr>
          <w:p w14:paraId="409FC4EB">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99%</w:t>
            </w:r>
          </w:p>
        </w:tc>
      </w:tr>
      <w:tr w14:paraId="03C73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2EB15445">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13</w:t>
            </w:r>
          </w:p>
        </w:tc>
        <w:tc>
          <w:tcPr>
            <w:tcW w:w="5299" w:type="dxa"/>
            <w:noWrap w:val="0"/>
            <w:vAlign w:val="center"/>
          </w:tcPr>
          <w:p w14:paraId="1D0068B3">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绿化完好率</w:t>
            </w:r>
          </w:p>
        </w:tc>
        <w:tc>
          <w:tcPr>
            <w:tcW w:w="2365" w:type="dxa"/>
            <w:noWrap w:val="0"/>
            <w:vAlign w:val="center"/>
          </w:tcPr>
          <w:p w14:paraId="3E6F20BA">
            <w:pPr>
              <w:pStyle w:val="112"/>
              <w:keepNext w:val="0"/>
              <w:keepLines w:val="0"/>
              <w:pageBreakBefore w:val="0"/>
              <w:kinsoku w:val="0"/>
              <w:wordWrap/>
              <w:overflowPunct w:val="0"/>
              <w:topLinePunct w:val="0"/>
              <w:bidi w:val="0"/>
              <w:adjustRightInd w:val="0"/>
              <w:snapToGrid w:val="0"/>
              <w:spacing w:line="240" w:lineRule="auto"/>
              <w:ind w:left="0" w:leftChars="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100%</w:t>
            </w:r>
          </w:p>
        </w:tc>
      </w:tr>
    </w:tbl>
    <w:p w14:paraId="393BA2E4">
      <w:pPr>
        <w:keepNext w:val="0"/>
        <w:keepLines w:val="0"/>
        <w:pageBreakBefore w:val="0"/>
        <w:wordWrap/>
        <w:topLinePunct w:val="0"/>
        <w:autoSpaceDE w:val="0"/>
        <w:autoSpaceDN w:val="0"/>
        <w:bidi w:val="0"/>
        <w:adjustRightInd w:val="0"/>
        <w:snapToGrid w:val="0"/>
        <w:spacing w:line="240" w:lineRule="auto"/>
        <w:ind w:left="0" w:leftChars="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 xml:space="preserve"> 履约验收考核及奖罚</w:t>
      </w:r>
    </w:p>
    <w:p w14:paraId="76EFB516">
      <w:pPr>
        <w:keepNext w:val="0"/>
        <w:keepLines w:val="0"/>
        <w:pageBreakBefore w:val="0"/>
        <w:wordWrap/>
        <w:topLinePunct w:val="0"/>
        <w:autoSpaceDE w:val="0"/>
        <w:autoSpaceDN w:val="0"/>
        <w:bidi w:val="0"/>
        <w:adjustRightInd w:val="0"/>
        <w:snapToGrid w:val="0"/>
        <w:spacing w:line="240" w:lineRule="auto"/>
        <w:ind w:left="0" w:leftChars="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考核</w:t>
      </w:r>
    </w:p>
    <w:p w14:paraId="370BDC79">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（1）根据采购人提出的考核标准实施考核。本部分详见表一、二。</w:t>
      </w:r>
    </w:p>
    <w:p w14:paraId="1F54D6A6">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（2）中标人如有违反或未达到招标文件内★号项要求，视为0分考评，采购人将根据合同约定解除合同，重新组织招标。有分歧异议的，以采购人的意见为准。</w:t>
      </w:r>
    </w:p>
    <w:p w14:paraId="71A3DD31">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（3）采购人对中标人试用和管理服务期间每月综合考评一次，中标人应根据考评结果针对问题及时整改。采购人针对</w:t>
      </w:r>
      <w:r>
        <w:rPr>
          <w:rFonts w:hint="eastAsia" w:ascii="宋体" w:hAnsi="宋体" w:eastAsia="宋体" w:cs="宋体"/>
          <w:color w:val="auto"/>
          <w:sz w:val="21"/>
          <w:szCs w:val="21"/>
          <w:highlight w:val="none"/>
          <w:lang w:eastAsia="zh-CN"/>
        </w:rPr>
        <w:t>整体物业服务</w:t>
      </w:r>
      <w:r>
        <w:rPr>
          <w:rFonts w:hint="eastAsia" w:ascii="宋体" w:hAnsi="宋体" w:eastAsia="宋体" w:cs="宋体"/>
          <w:color w:val="auto"/>
          <w:sz w:val="21"/>
          <w:szCs w:val="21"/>
          <w:highlight w:val="none"/>
        </w:rPr>
        <w:t>进行考核，考核得分低于</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分，均视为项目考核不合格。若一个考核年度累计有两个月项目考核不及格，采购人有权将根据合同约定解除合同。</w:t>
      </w:r>
    </w:p>
    <w:p w14:paraId="34E2FAD4">
      <w:pPr>
        <w:keepNext w:val="0"/>
        <w:keepLines w:val="0"/>
        <w:pageBreakBefore w:val="0"/>
        <w:wordWrap/>
        <w:topLinePunct w:val="0"/>
        <w:bidi w:val="0"/>
        <w:spacing w:line="240" w:lineRule="auto"/>
        <w:ind w:left="0" w:leftChars="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表</w:t>
      </w:r>
      <w:r>
        <w:rPr>
          <w:rFonts w:hint="eastAsia" w:ascii="宋体" w:hAnsi="宋体" w:eastAsia="宋体" w:cs="宋体"/>
          <w:color w:val="auto"/>
          <w:spacing w:val="-4"/>
          <w:sz w:val="21"/>
          <w:szCs w:val="21"/>
          <w:highlight w:val="none"/>
        </w:rPr>
        <w:t>一、考核扣分情况汇总表（</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4"/>
          <w:sz w:val="21"/>
          <w:szCs w:val="21"/>
          <w:highlight w:val="none"/>
        </w:rPr>
        <w:t>月份）</w:t>
      </w:r>
    </w:p>
    <w:tbl>
      <w:tblPr>
        <w:tblStyle w:val="37"/>
        <w:tblW w:w="87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548"/>
        <w:gridCol w:w="1167"/>
        <w:gridCol w:w="1338"/>
        <w:gridCol w:w="3036"/>
        <w:gridCol w:w="1070"/>
      </w:tblGrid>
      <w:tr w14:paraId="21F3A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70" w:type="dxa"/>
            <w:noWrap w:val="0"/>
            <w:vAlign w:val="center"/>
          </w:tcPr>
          <w:p w14:paraId="1B80A38D">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1548" w:type="dxa"/>
            <w:noWrap w:val="0"/>
            <w:vAlign w:val="center"/>
          </w:tcPr>
          <w:p w14:paraId="42CA5768">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扣分项目</w:t>
            </w:r>
          </w:p>
        </w:tc>
        <w:tc>
          <w:tcPr>
            <w:tcW w:w="1167" w:type="dxa"/>
            <w:noWrap w:val="0"/>
            <w:vAlign w:val="center"/>
          </w:tcPr>
          <w:p w14:paraId="13F22143">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项目分值</w:t>
            </w:r>
          </w:p>
        </w:tc>
        <w:tc>
          <w:tcPr>
            <w:tcW w:w="1338" w:type="dxa"/>
            <w:noWrap w:val="0"/>
            <w:vAlign w:val="center"/>
          </w:tcPr>
          <w:p w14:paraId="534C298B">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考评分值</w:t>
            </w:r>
          </w:p>
        </w:tc>
        <w:tc>
          <w:tcPr>
            <w:tcW w:w="3036" w:type="dxa"/>
            <w:noWrap w:val="0"/>
            <w:vAlign w:val="center"/>
          </w:tcPr>
          <w:p w14:paraId="33040AD6">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扣分理由</w:t>
            </w:r>
          </w:p>
        </w:tc>
        <w:tc>
          <w:tcPr>
            <w:tcW w:w="1070" w:type="dxa"/>
            <w:noWrap w:val="0"/>
            <w:vAlign w:val="center"/>
          </w:tcPr>
          <w:p w14:paraId="20C02C83">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r>
      <w:tr w14:paraId="39254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29" w:type="dxa"/>
            <w:gridSpan w:val="6"/>
            <w:noWrap w:val="0"/>
            <w:vAlign w:val="center"/>
          </w:tcPr>
          <w:p w14:paraId="453C83A1">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办公场所</w:t>
            </w:r>
            <w:r>
              <w:rPr>
                <w:rFonts w:hint="eastAsia" w:ascii="宋体" w:hAnsi="宋体" w:eastAsia="宋体" w:cs="宋体"/>
                <w:color w:val="auto"/>
                <w:spacing w:val="-2"/>
                <w:sz w:val="21"/>
                <w:szCs w:val="21"/>
                <w:highlight w:val="none"/>
                <w:lang w:eastAsia="zh-CN"/>
              </w:rPr>
              <w:t>及所属公有住房物业服务</w:t>
            </w:r>
          </w:p>
        </w:tc>
      </w:tr>
      <w:tr w14:paraId="6BC7D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29" w:type="dxa"/>
            <w:gridSpan w:val="6"/>
            <w:noWrap w:val="0"/>
            <w:vAlign w:val="top"/>
          </w:tcPr>
          <w:p w14:paraId="37A7001B">
            <w:pPr>
              <w:pStyle w:val="127"/>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服务点：        （考核得分</w:t>
            </w:r>
            <w:r>
              <w:rPr>
                <w:rFonts w:hint="eastAsia" w:ascii="宋体" w:hAnsi="宋体" w:eastAsia="宋体" w:cs="宋体"/>
                <w:color w:val="auto"/>
                <w:spacing w:val="5"/>
                <w:sz w:val="21"/>
                <w:szCs w:val="21"/>
                <w:highlight w:val="none"/>
                <w:lang w:eastAsia="zh-CN"/>
              </w:rPr>
              <w:t>：   ）</w:t>
            </w:r>
          </w:p>
        </w:tc>
      </w:tr>
      <w:tr w14:paraId="39603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70" w:type="dxa"/>
            <w:noWrap w:val="0"/>
            <w:vAlign w:val="top"/>
          </w:tcPr>
          <w:p w14:paraId="7785C74E">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548" w:type="dxa"/>
            <w:noWrap w:val="0"/>
            <w:vAlign w:val="top"/>
          </w:tcPr>
          <w:p w14:paraId="05464AC2">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167" w:type="dxa"/>
            <w:noWrap w:val="0"/>
            <w:vAlign w:val="top"/>
          </w:tcPr>
          <w:p w14:paraId="2E575D8B">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338" w:type="dxa"/>
            <w:noWrap w:val="0"/>
            <w:vAlign w:val="top"/>
          </w:tcPr>
          <w:p w14:paraId="1D872FCA">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3036" w:type="dxa"/>
            <w:noWrap w:val="0"/>
            <w:vAlign w:val="top"/>
          </w:tcPr>
          <w:p w14:paraId="2B22B91F">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070" w:type="dxa"/>
            <w:noWrap w:val="0"/>
            <w:vAlign w:val="top"/>
          </w:tcPr>
          <w:p w14:paraId="3F07941D">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r>
      <w:tr w14:paraId="6B9B8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70" w:type="dxa"/>
            <w:noWrap w:val="0"/>
            <w:vAlign w:val="top"/>
          </w:tcPr>
          <w:p w14:paraId="7EC19F89">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548" w:type="dxa"/>
            <w:noWrap w:val="0"/>
            <w:vAlign w:val="top"/>
          </w:tcPr>
          <w:p w14:paraId="03CDB25C">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167" w:type="dxa"/>
            <w:noWrap w:val="0"/>
            <w:vAlign w:val="top"/>
          </w:tcPr>
          <w:p w14:paraId="30D371DC">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338" w:type="dxa"/>
            <w:noWrap w:val="0"/>
            <w:vAlign w:val="top"/>
          </w:tcPr>
          <w:p w14:paraId="4E843FD4">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3036" w:type="dxa"/>
            <w:noWrap w:val="0"/>
            <w:vAlign w:val="top"/>
          </w:tcPr>
          <w:p w14:paraId="1F8F4713">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070" w:type="dxa"/>
            <w:noWrap w:val="0"/>
            <w:vAlign w:val="top"/>
          </w:tcPr>
          <w:p w14:paraId="30FEC112">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r>
      <w:tr w14:paraId="661D9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70" w:type="dxa"/>
            <w:noWrap w:val="0"/>
            <w:vAlign w:val="top"/>
          </w:tcPr>
          <w:p w14:paraId="41601B7B">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548" w:type="dxa"/>
            <w:noWrap w:val="0"/>
            <w:vAlign w:val="top"/>
          </w:tcPr>
          <w:p w14:paraId="4C39489C">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167" w:type="dxa"/>
            <w:noWrap w:val="0"/>
            <w:vAlign w:val="top"/>
          </w:tcPr>
          <w:p w14:paraId="18C4090E">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338" w:type="dxa"/>
            <w:noWrap w:val="0"/>
            <w:vAlign w:val="top"/>
          </w:tcPr>
          <w:p w14:paraId="24D0F5C4">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3036" w:type="dxa"/>
            <w:noWrap w:val="0"/>
            <w:vAlign w:val="top"/>
          </w:tcPr>
          <w:p w14:paraId="391E6B44">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070" w:type="dxa"/>
            <w:noWrap w:val="0"/>
            <w:vAlign w:val="top"/>
          </w:tcPr>
          <w:p w14:paraId="5A2189BD">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r>
      <w:tr w14:paraId="07020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70" w:type="dxa"/>
            <w:noWrap w:val="0"/>
            <w:vAlign w:val="top"/>
          </w:tcPr>
          <w:p w14:paraId="436A5A41">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548" w:type="dxa"/>
            <w:noWrap w:val="0"/>
            <w:vAlign w:val="top"/>
          </w:tcPr>
          <w:p w14:paraId="0F235082">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167" w:type="dxa"/>
            <w:noWrap w:val="0"/>
            <w:vAlign w:val="top"/>
          </w:tcPr>
          <w:p w14:paraId="534A9E9D">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338" w:type="dxa"/>
            <w:noWrap w:val="0"/>
            <w:vAlign w:val="top"/>
          </w:tcPr>
          <w:p w14:paraId="0E3D343A">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3036" w:type="dxa"/>
            <w:noWrap w:val="0"/>
            <w:vAlign w:val="top"/>
          </w:tcPr>
          <w:p w14:paraId="6B4DB0EA">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070" w:type="dxa"/>
            <w:noWrap w:val="0"/>
            <w:vAlign w:val="top"/>
          </w:tcPr>
          <w:p w14:paraId="5A65209F">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r>
      <w:tr w14:paraId="57A82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70" w:type="dxa"/>
            <w:noWrap w:val="0"/>
            <w:vAlign w:val="top"/>
          </w:tcPr>
          <w:p w14:paraId="21BA1ACF">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548" w:type="dxa"/>
            <w:noWrap w:val="0"/>
            <w:vAlign w:val="top"/>
          </w:tcPr>
          <w:p w14:paraId="4E2C8876">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167" w:type="dxa"/>
            <w:noWrap w:val="0"/>
            <w:vAlign w:val="top"/>
          </w:tcPr>
          <w:p w14:paraId="03325071">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338" w:type="dxa"/>
            <w:noWrap w:val="0"/>
            <w:vAlign w:val="top"/>
          </w:tcPr>
          <w:p w14:paraId="017243AC">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3036" w:type="dxa"/>
            <w:noWrap w:val="0"/>
            <w:vAlign w:val="top"/>
          </w:tcPr>
          <w:p w14:paraId="7C62BB31">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070" w:type="dxa"/>
            <w:noWrap w:val="0"/>
            <w:vAlign w:val="top"/>
          </w:tcPr>
          <w:p w14:paraId="3AAC1625">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r>
      <w:tr w14:paraId="3A9C5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70" w:type="dxa"/>
            <w:noWrap w:val="0"/>
            <w:vAlign w:val="top"/>
          </w:tcPr>
          <w:p w14:paraId="0E08DED4">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548" w:type="dxa"/>
            <w:noWrap w:val="0"/>
            <w:vAlign w:val="top"/>
          </w:tcPr>
          <w:p w14:paraId="29CC0C8F">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167" w:type="dxa"/>
            <w:noWrap w:val="0"/>
            <w:vAlign w:val="top"/>
          </w:tcPr>
          <w:p w14:paraId="45860F96">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338" w:type="dxa"/>
            <w:noWrap w:val="0"/>
            <w:vAlign w:val="top"/>
          </w:tcPr>
          <w:p w14:paraId="76BA7320">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3036" w:type="dxa"/>
            <w:noWrap w:val="0"/>
            <w:vAlign w:val="top"/>
          </w:tcPr>
          <w:p w14:paraId="35A6DFC3">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c>
          <w:tcPr>
            <w:tcW w:w="1070" w:type="dxa"/>
            <w:noWrap w:val="0"/>
            <w:vAlign w:val="top"/>
          </w:tcPr>
          <w:p w14:paraId="05C4F822">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p>
        </w:tc>
      </w:tr>
    </w:tbl>
    <w:p w14:paraId="7F61C838">
      <w:pPr>
        <w:keepNext w:val="0"/>
        <w:keepLines w:val="0"/>
        <w:pageBreakBefore w:val="0"/>
        <w:wordWrap/>
        <w:topLinePunct w:val="0"/>
        <w:bidi w:val="0"/>
        <w:spacing w:line="240" w:lineRule="auto"/>
        <w:ind w:left="0" w:leftChars="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表</w:t>
      </w:r>
      <w:r>
        <w:rPr>
          <w:rFonts w:hint="eastAsia" w:ascii="宋体" w:hAnsi="宋体" w:eastAsia="宋体" w:cs="宋体"/>
          <w:color w:val="auto"/>
          <w:spacing w:val="-3"/>
          <w:sz w:val="21"/>
          <w:szCs w:val="21"/>
          <w:highlight w:val="none"/>
        </w:rPr>
        <w:t>二、物业服务每月考核评分情况（</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3"/>
          <w:sz w:val="21"/>
          <w:szCs w:val="21"/>
          <w:highlight w:val="none"/>
        </w:rPr>
        <w:t>月份）</w:t>
      </w:r>
    </w:p>
    <w:tbl>
      <w:tblPr>
        <w:tblStyle w:val="37"/>
        <w:tblW w:w="87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1"/>
        <w:gridCol w:w="530"/>
        <w:gridCol w:w="612"/>
        <w:gridCol w:w="4486"/>
        <w:gridCol w:w="1039"/>
        <w:gridCol w:w="564"/>
        <w:gridCol w:w="551"/>
        <w:gridCol w:w="430"/>
      </w:tblGrid>
      <w:tr w14:paraId="41E81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43" w:type="dxa"/>
            <w:gridSpan w:val="8"/>
            <w:noWrap w:val="0"/>
            <w:vAlign w:val="top"/>
          </w:tcPr>
          <w:p w14:paraId="129B9276">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6"/>
                <w:sz w:val="21"/>
                <w:szCs w:val="21"/>
                <w:highlight w:val="none"/>
                <w:lang w:eastAsia="zh-CN"/>
              </w:rPr>
              <w:t>考核人员：</w:t>
            </w:r>
            <w:r>
              <w:rPr>
                <w:rFonts w:hint="eastAsia" w:ascii="宋体" w:hAnsi="宋体" w:eastAsia="宋体" w:cs="宋体"/>
                <w:color w:val="auto"/>
                <w:spacing w:val="1"/>
                <w:sz w:val="21"/>
                <w:szCs w:val="21"/>
                <w:highlight w:val="none"/>
                <w:lang w:eastAsia="zh-CN"/>
              </w:rPr>
              <w:t xml:space="preserve">                                       </w:t>
            </w:r>
            <w:r>
              <w:rPr>
                <w:rFonts w:hint="eastAsia" w:ascii="宋体" w:hAnsi="宋体" w:eastAsia="宋体" w:cs="宋体"/>
                <w:color w:val="auto"/>
                <w:spacing w:val="-16"/>
                <w:sz w:val="21"/>
                <w:szCs w:val="21"/>
                <w:highlight w:val="none"/>
                <w:lang w:eastAsia="zh-CN"/>
              </w:rPr>
              <w:t>被考核单位：</w:t>
            </w:r>
          </w:p>
        </w:tc>
      </w:tr>
      <w:tr w14:paraId="10ED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6864773E">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530" w:type="dxa"/>
            <w:noWrap w:val="0"/>
            <w:vAlign w:val="center"/>
          </w:tcPr>
          <w:p w14:paraId="198593D4">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考评项目</w:t>
            </w:r>
          </w:p>
        </w:tc>
        <w:tc>
          <w:tcPr>
            <w:tcW w:w="612" w:type="dxa"/>
            <w:noWrap w:val="0"/>
            <w:vAlign w:val="center"/>
          </w:tcPr>
          <w:p w14:paraId="03D19F86">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项目分值</w:t>
            </w:r>
          </w:p>
        </w:tc>
        <w:tc>
          <w:tcPr>
            <w:tcW w:w="4486" w:type="dxa"/>
            <w:noWrap w:val="0"/>
            <w:vAlign w:val="center"/>
          </w:tcPr>
          <w:p w14:paraId="5922F900">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考评内容及标准</w:t>
            </w:r>
          </w:p>
        </w:tc>
        <w:tc>
          <w:tcPr>
            <w:tcW w:w="1039" w:type="dxa"/>
            <w:noWrap w:val="0"/>
            <w:vAlign w:val="center"/>
          </w:tcPr>
          <w:p w14:paraId="32408D7F">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评分标准</w:t>
            </w:r>
          </w:p>
        </w:tc>
        <w:tc>
          <w:tcPr>
            <w:tcW w:w="564" w:type="dxa"/>
            <w:noWrap w:val="0"/>
            <w:vAlign w:val="center"/>
          </w:tcPr>
          <w:p w14:paraId="79415D87">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考评分值</w:t>
            </w:r>
          </w:p>
        </w:tc>
        <w:tc>
          <w:tcPr>
            <w:tcW w:w="551" w:type="dxa"/>
            <w:noWrap w:val="0"/>
            <w:vAlign w:val="center"/>
          </w:tcPr>
          <w:p w14:paraId="3B9A23BA">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考评理由</w:t>
            </w:r>
          </w:p>
        </w:tc>
        <w:tc>
          <w:tcPr>
            <w:tcW w:w="430" w:type="dxa"/>
            <w:noWrap w:val="0"/>
            <w:vAlign w:val="center"/>
          </w:tcPr>
          <w:p w14:paraId="1D89B413">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r>
      <w:tr w14:paraId="2B385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4A2B6732">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position w:val="-4"/>
                <w:sz w:val="21"/>
                <w:szCs w:val="21"/>
                <w:highlight w:val="none"/>
              </w:rPr>
              <w:t>一</w:t>
            </w:r>
          </w:p>
        </w:tc>
        <w:tc>
          <w:tcPr>
            <w:tcW w:w="530" w:type="dxa"/>
            <w:noWrap w:val="0"/>
            <w:vAlign w:val="center"/>
          </w:tcPr>
          <w:p w14:paraId="4E25BCD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综合要求</w:t>
            </w:r>
          </w:p>
        </w:tc>
        <w:tc>
          <w:tcPr>
            <w:tcW w:w="612" w:type="dxa"/>
            <w:noWrap w:val="0"/>
            <w:vAlign w:val="center"/>
          </w:tcPr>
          <w:p w14:paraId="23FFA6AC">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w:t>
            </w:r>
          </w:p>
        </w:tc>
        <w:tc>
          <w:tcPr>
            <w:tcW w:w="4486" w:type="dxa"/>
            <w:noWrap w:val="0"/>
            <w:vAlign w:val="top"/>
          </w:tcPr>
          <w:p w14:paraId="1F917467">
            <w:pPr>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c>
          <w:tcPr>
            <w:tcW w:w="1039" w:type="dxa"/>
            <w:noWrap w:val="0"/>
            <w:vAlign w:val="top"/>
          </w:tcPr>
          <w:p w14:paraId="45B8C3BF">
            <w:pPr>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c>
          <w:tcPr>
            <w:tcW w:w="564" w:type="dxa"/>
            <w:noWrap w:val="0"/>
            <w:vAlign w:val="top"/>
          </w:tcPr>
          <w:p w14:paraId="3F8C1BB0">
            <w:pPr>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c>
          <w:tcPr>
            <w:tcW w:w="551" w:type="dxa"/>
            <w:noWrap w:val="0"/>
            <w:vAlign w:val="top"/>
          </w:tcPr>
          <w:p w14:paraId="4AE55DDC">
            <w:pPr>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c>
          <w:tcPr>
            <w:tcW w:w="430" w:type="dxa"/>
            <w:noWrap w:val="0"/>
            <w:vAlign w:val="top"/>
          </w:tcPr>
          <w:p w14:paraId="2D4C7EE6">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r>
      <w:tr w14:paraId="5E018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3B570BEF">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30" w:type="dxa"/>
            <w:noWrap w:val="0"/>
            <w:vAlign w:val="center"/>
          </w:tcPr>
          <w:p w14:paraId="4B1E6FB9">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规章制度</w:t>
            </w:r>
          </w:p>
        </w:tc>
        <w:tc>
          <w:tcPr>
            <w:tcW w:w="612" w:type="dxa"/>
            <w:noWrap w:val="0"/>
            <w:vAlign w:val="center"/>
          </w:tcPr>
          <w:p w14:paraId="7586EEC4">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486" w:type="dxa"/>
            <w:noWrap w:val="0"/>
            <w:vAlign w:val="center"/>
          </w:tcPr>
          <w:p w14:paraId="54928285">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①建立健全相关规章制度，包括但不限于员工岗位责任制度、岗位</w:t>
            </w:r>
            <w:r>
              <w:rPr>
                <w:rFonts w:hint="eastAsia" w:ascii="宋体" w:hAnsi="宋体" w:eastAsia="宋体" w:cs="宋体"/>
                <w:color w:val="auto"/>
                <w:spacing w:val="8"/>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考核制度、24小时值班制度、</w:t>
            </w:r>
            <w:r>
              <w:rPr>
                <w:rFonts w:hint="eastAsia" w:ascii="宋体" w:hAnsi="宋体" w:eastAsia="宋体" w:cs="宋体"/>
                <w:color w:val="auto"/>
                <w:spacing w:val="3"/>
                <w:sz w:val="21"/>
                <w:szCs w:val="21"/>
                <w:highlight w:val="none"/>
                <w:lang w:eastAsia="zh-CN"/>
              </w:rPr>
              <w:t>投诉处理制度、应急处理预案、物业管理意见征询制度、档案资料管理规定等；</w:t>
            </w:r>
          </w:p>
          <w:p w14:paraId="0C5A7DD0">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②制定岗位职责、工作程序和工作标准等；</w:t>
            </w:r>
          </w:p>
          <w:p w14:paraId="3C9CCFCB">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③应使用计算机、智能化设备等现代化管理手段，提高管理效率；</w:t>
            </w:r>
          </w:p>
          <w:p w14:paraId="5D2EDC36">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④工</w:t>
            </w:r>
            <w:r>
              <w:rPr>
                <w:rFonts w:hint="eastAsia" w:ascii="宋体" w:hAnsi="宋体" w:eastAsia="宋体" w:cs="宋体"/>
                <w:color w:val="auto"/>
                <w:spacing w:val="-3"/>
                <w:sz w:val="21"/>
                <w:szCs w:val="21"/>
                <w:highlight w:val="none"/>
                <w:lang w:eastAsia="zh-CN"/>
              </w:rPr>
              <w:t>作记录应及时、清楚、完整等。</w:t>
            </w:r>
          </w:p>
        </w:tc>
        <w:tc>
          <w:tcPr>
            <w:tcW w:w="1039" w:type="dxa"/>
            <w:noWrap w:val="0"/>
            <w:vAlign w:val="center"/>
          </w:tcPr>
          <w:p w14:paraId="32C08B77">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42"/>
                <w:sz w:val="21"/>
                <w:szCs w:val="21"/>
                <w:highlight w:val="none"/>
                <w:lang w:val="en-US" w:eastAsia="zh-CN"/>
              </w:rPr>
              <w:t>4</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1.0</w:t>
            </w:r>
          </w:p>
        </w:tc>
        <w:tc>
          <w:tcPr>
            <w:tcW w:w="564" w:type="dxa"/>
            <w:noWrap w:val="0"/>
            <w:vAlign w:val="top"/>
          </w:tcPr>
          <w:p w14:paraId="6AB229C2">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551" w:type="dxa"/>
            <w:noWrap w:val="0"/>
            <w:vAlign w:val="top"/>
          </w:tcPr>
          <w:p w14:paraId="48253099">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430" w:type="dxa"/>
            <w:noWrap w:val="0"/>
            <w:vAlign w:val="top"/>
          </w:tcPr>
          <w:p w14:paraId="1B6D7A4D">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r>
      <w:tr w14:paraId="7ACCF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67F29D8C">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30" w:type="dxa"/>
            <w:noWrap w:val="0"/>
            <w:vAlign w:val="center"/>
          </w:tcPr>
          <w:p w14:paraId="6012376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持证上岗</w:t>
            </w:r>
          </w:p>
        </w:tc>
        <w:tc>
          <w:tcPr>
            <w:tcW w:w="612" w:type="dxa"/>
            <w:noWrap w:val="0"/>
            <w:vAlign w:val="center"/>
          </w:tcPr>
          <w:p w14:paraId="3F9428B0">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486" w:type="dxa"/>
            <w:noWrap w:val="0"/>
            <w:vAlign w:val="center"/>
          </w:tcPr>
          <w:p w14:paraId="782E962E">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3"/>
                <w:sz w:val="21"/>
                <w:szCs w:val="21"/>
                <w:highlight w:val="none"/>
                <w:lang w:eastAsia="zh-CN"/>
              </w:rPr>
              <w:t>①上岗五个月以上的保安人员</w:t>
            </w:r>
            <w:r>
              <w:rPr>
                <w:rFonts w:hint="eastAsia" w:ascii="宋体" w:hAnsi="宋体" w:eastAsia="宋体" w:cs="宋体"/>
                <w:color w:val="auto"/>
                <w:sz w:val="21"/>
                <w:szCs w:val="21"/>
                <w:highlight w:val="none"/>
                <w:lang w:eastAsia="zh-CN"/>
              </w:rPr>
              <w:t>持证上岗率达 10</w:t>
            </w:r>
            <w:r>
              <w:rPr>
                <w:rFonts w:hint="eastAsia" w:ascii="宋体" w:hAnsi="宋体" w:eastAsia="宋体" w:cs="宋体"/>
                <w:color w:val="auto"/>
                <w:spacing w:val="-1"/>
                <w:sz w:val="21"/>
                <w:szCs w:val="21"/>
                <w:highlight w:val="none"/>
                <w:lang w:eastAsia="zh-CN"/>
              </w:rPr>
              <w:t>0%，</w:t>
            </w:r>
          </w:p>
          <w:p w14:paraId="30D59FC4">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②员工上岗前需接受相应的培训，考核合格后方可上岗。</w:t>
            </w:r>
          </w:p>
        </w:tc>
        <w:tc>
          <w:tcPr>
            <w:tcW w:w="1039" w:type="dxa"/>
            <w:noWrap w:val="0"/>
            <w:vAlign w:val="center"/>
          </w:tcPr>
          <w:p w14:paraId="53CA2A92">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42"/>
                <w:sz w:val="21"/>
                <w:szCs w:val="21"/>
                <w:highlight w:val="none"/>
                <w:lang w:val="en-US" w:eastAsia="zh-CN"/>
              </w:rPr>
              <w:t>4</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0</w:t>
            </w:r>
          </w:p>
        </w:tc>
        <w:tc>
          <w:tcPr>
            <w:tcW w:w="564" w:type="dxa"/>
            <w:noWrap w:val="0"/>
            <w:vAlign w:val="top"/>
          </w:tcPr>
          <w:p w14:paraId="60FAE3F2">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551" w:type="dxa"/>
            <w:noWrap w:val="0"/>
            <w:vAlign w:val="top"/>
          </w:tcPr>
          <w:p w14:paraId="0FD94376">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430" w:type="dxa"/>
            <w:noWrap w:val="0"/>
            <w:vAlign w:val="top"/>
          </w:tcPr>
          <w:p w14:paraId="27040D12">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r>
      <w:tr w14:paraId="3DE50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7861120B">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30" w:type="dxa"/>
            <w:noWrap w:val="0"/>
            <w:vAlign w:val="center"/>
          </w:tcPr>
          <w:p w14:paraId="20832127">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员工管理</w:t>
            </w:r>
          </w:p>
        </w:tc>
        <w:tc>
          <w:tcPr>
            <w:tcW w:w="612" w:type="dxa"/>
            <w:noWrap w:val="0"/>
            <w:vAlign w:val="center"/>
          </w:tcPr>
          <w:p w14:paraId="2DE7BF58">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486" w:type="dxa"/>
            <w:noWrap w:val="0"/>
            <w:vAlign w:val="center"/>
          </w:tcPr>
          <w:p w14:paraId="7FC5EF95">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①应按服务合同要求配备相应数量和资格条件的服务人员，包括现场管理人员、保安人员，以及客服、保洁等服务人员；</w:t>
            </w:r>
          </w:p>
          <w:p w14:paraId="7020FA5C">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②应接受岗前培训和保密教育，合格后上岗；</w:t>
            </w:r>
          </w:p>
          <w:p w14:paraId="2EFF33E5">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3"/>
                <w:sz w:val="21"/>
                <w:szCs w:val="21"/>
                <w:highlight w:val="none"/>
                <w:lang w:eastAsia="zh-CN"/>
              </w:rPr>
              <w:t>③服务人员应满足以下基</w:t>
            </w:r>
            <w:r>
              <w:rPr>
                <w:rFonts w:hint="eastAsia" w:ascii="宋体" w:hAnsi="宋体" w:eastAsia="宋体" w:cs="宋体"/>
                <w:color w:val="auto"/>
                <w:spacing w:val="-7"/>
                <w:sz w:val="21"/>
                <w:szCs w:val="21"/>
                <w:highlight w:val="none"/>
                <w:lang w:eastAsia="zh-CN"/>
              </w:rPr>
              <w:t>本条件：</w:t>
            </w:r>
          </w:p>
          <w:p w14:paraId="7EA93FA1">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a.遵守法律法规，遵守各项规章制度；</w:t>
            </w:r>
          </w:p>
          <w:p w14:paraId="588E1A2A">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7"/>
                <w:sz w:val="21"/>
                <w:szCs w:val="21"/>
                <w:highlight w:val="none"/>
                <w:lang w:eastAsia="zh-CN"/>
              </w:rPr>
              <w:t>b.具有良好的职业</w:t>
            </w:r>
            <w:r>
              <w:rPr>
                <w:rFonts w:hint="eastAsia" w:ascii="宋体" w:hAnsi="宋体" w:eastAsia="宋体" w:cs="宋体"/>
                <w:color w:val="auto"/>
                <w:spacing w:val="-4"/>
                <w:sz w:val="21"/>
                <w:szCs w:val="21"/>
                <w:highlight w:val="none"/>
                <w:lang w:eastAsia="zh-CN"/>
              </w:rPr>
              <w:t>道德，具备岗位所需的技能、知识、工作经验和资格；</w:t>
            </w:r>
          </w:p>
          <w:p w14:paraId="10AE817A">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c.履行工作职责，遵守工作标准，忠于职守；</w:t>
            </w:r>
          </w:p>
          <w:p w14:paraId="4DC1EDF6">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d.接受思想教育、专业技能、法律法规、安全保密、服务规范、服务礼仪等培训；</w:t>
            </w:r>
          </w:p>
          <w:p w14:paraId="1FDA397D">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4"/>
                <w:sz w:val="21"/>
                <w:szCs w:val="21"/>
                <w:highlight w:val="none"/>
                <w:lang w:eastAsia="zh-CN"/>
              </w:rPr>
              <w:t>e.具备良好的沟</w:t>
            </w:r>
            <w:r>
              <w:rPr>
                <w:rFonts w:hint="eastAsia" w:ascii="宋体" w:hAnsi="宋体" w:eastAsia="宋体" w:cs="宋体"/>
                <w:color w:val="auto"/>
                <w:spacing w:val="-9"/>
                <w:sz w:val="21"/>
                <w:szCs w:val="21"/>
                <w:highlight w:val="none"/>
                <w:lang w:eastAsia="zh-CN"/>
              </w:rPr>
              <w:t>通和表达能力；</w:t>
            </w:r>
          </w:p>
          <w:p w14:paraId="4FE2DEFA">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f.认真填写工作记录，妥善保管记录资料；</w:t>
            </w:r>
          </w:p>
          <w:p w14:paraId="482B9D08">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1"/>
                <w:sz w:val="21"/>
                <w:szCs w:val="21"/>
                <w:highlight w:val="none"/>
                <w:lang w:eastAsia="zh-CN"/>
              </w:rPr>
              <w:t>④服务过程</w:t>
            </w:r>
            <w:r>
              <w:rPr>
                <w:rFonts w:hint="eastAsia" w:ascii="宋体" w:hAnsi="宋体" w:eastAsia="宋体" w:cs="宋体"/>
                <w:color w:val="auto"/>
                <w:spacing w:val="2"/>
                <w:sz w:val="21"/>
                <w:szCs w:val="21"/>
                <w:highlight w:val="none"/>
                <w:lang w:eastAsia="zh-CN"/>
              </w:rPr>
              <w:t>中应统一着装（不得将制服与个人衣服混穿</w:t>
            </w:r>
            <w:r>
              <w:rPr>
                <w:rFonts w:hint="eastAsia" w:ascii="宋体" w:hAnsi="宋体" w:eastAsia="宋体" w:cs="宋体"/>
                <w:color w:val="auto"/>
                <w:spacing w:val="1"/>
                <w:sz w:val="21"/>
                <w:szCs w:val="21"/>
                <w:highlight w:val="none"/>
                <w:lang w:eastAsia="zh-CN"/>
              </w:rPr>
              <w:t>，不得将不同季节的制</w:t>
            </w:r>
            <w:r>
              <w:rPr>
                <w:rFonts w:hint="eastAsia" w:ascii="宋体" w:hAnsi="宋体" w:eastAsia="宋体" w:cs="宋体"/>
                <w:color w:val="auto"/>
                <w:spacing w:val="2"/>
                <w:sz w:val="21"/>
                <w:szCs w:val="21"/>
                <w:highlight w:val="none"/>
                <w:lang w:eastAsia="zh-CN"/>
              </w:rPr>
              <w:t>服混穿</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lang w:eastAsia="zh-CN"/>
              </w:rPr>
              <w:t>佩戴明显标识，仪容仪表整洁；应遵</w:t>
            </w:r>
            <w:r>
              <w:rPr>
                <w:rFonts w:hint="eastAsia" w:ascii="宋体" w:hAnsi="宋体" w:eastAsia="宋体" w:cs="宋体"/>
                <w:color w:val="auto"/>
                <w:spacing w:val="1"/>
                <w:sz w:val="21"/>
                <w:szCs w:val="21"/>
                <w:highlight w:val="none"/>
                <w:lang w:eastAsia="zh-CN"/>
              </w:rPr>
              <w:t>循服务礼仪，保持</w:t>
            </w:r>
            <w:r>
              <w:rPr>
                <w:rFonts w:hint="eastAsia" w:ascii="宋体" w:hAnsi="宋体" w:eastAsia="宋体" w:cs="宋体"/>
                <w:color w:val="auto"/>
                <w:spacing w:val="-5"/>
                <w:sz w:val="21"/>
                <w:szCs w:val="21"/>
                <w:highlight w:val="none"/>
                <w:lang w:eastAsia="zh-CN"/>
              </w:rPr>
              <w:t>良好精神状态，举止大方有礼，用语文明规范，主</w:t>
            </w:r>
            <w:r>
              <w:rPr>
                <w:rFonts w:hint="eastAsia" w:ascii="宋体" w:hAnsi="宋体" w:eastAsia="宋体" w:cs="宋体"/>
                <w:color w:val="auto"/>
                <w:spacing w:val="-6"/>
                <w:sz w:val="21"/>
                <w:szCs w:val="21"/>
                <w:highlight w:val="none"/>
                <w:lang w:eastAsia="zh-CN"/>
              </w:rPr>
              <w:t>动、热情、耐心、</w:t>
            </w:r>
            <w:r>
              <w:rPr>
                <w:rFonts w:hint="eastAsia" w:ascii="宋体" w:hAnsi="宋体" w:eastAsia="宋体" w:cs="宋体"/>
                <w:color w:val="auto"/>
                <w:spacing w:val="2"/>
                <w:sz w:val="21"/>
                <w:szCs w:val="21"/>
                <w:highlight w:val="none"/>
                <w:lang w:eastAsia="zh-CN"/>
              </w:rPr>
              <w:t>周到、及时提供服务。</w:t>
            </w:r>
          </w:p>
          <w:p w14:paraId="197EE695">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⑤工作期间，严禁员工在岗玩手机或做其他</w:t>
            </w:r>
            <w:r>
              <w:rPr>
                <w:rFonts w:hint="eastAsia" w:ascii="宋体" w:hAnsi="宋体" w:eastAsia="宋体" w:cs="宋体"/>
                <w:color w:val="auto"/>
                <w:spacing w:val="-2"/>
                <w:sz w:val="21"/>
                <w:szCs w:val="21"/>
                <w:highlight w:val="none"/>
                <w:lang w:eastAsia="zh-CN"/>
              </w:rPr>
              <w:t>与工作无关的事情等。</w:t>
            </w:r>
          </w:p>
        </w:tc>
        <w:tc>
          <w:tcPr>
            <w:tcW w:w="1039" w:type="dxa"/>
            <w:noWrap w:val="0"/>
            <w:vAlign w:val="center"/>
          </w:tcPr>
          <w:p w14:paraId="0B4BB91E">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42"/>
                <w:sz w:val="21"/>
                <w:szCs w:val="21"/>
                <w:highlight w:val="none"/>
                <w:lang w:val="en-US" w:eastAsia="zh-CN"/>
              </w:rPr>
              <w:t>10</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2.0</w:t>
            </w:r>
          </w:p>
        </w:tc>
        <w:tc>
          <w:tcPr>
            <w:tcW w:w="564" w:type="dxa"/>
            <w:noWrap w:val="0"/>
            <w:vAlign w:val="top"/>
          </w:tcPr>
          <w:p w14:paraId="509C6986">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551" w:type="dxa"/>
            <w:noWrap w:val="0"/>
            <w:vAlign w:val="top"/>
          </w:tcPr>
          <w:p w14:paraId="006B4CB1">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430" w:type="dxa"/>
            <w:noWrap w:val="0"/>
            <w:vAlign w:val="top"/>
          </w:tcPr>
          <w:p w14:paraId="38608697">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r>
      <w:tr w14:paraId="19D7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1ECB9F89">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30" w:type="dxa"/>
            <w:noWrap w:val="0"/>
            <w:vAlign w:val="center"/>
          </w:tcPr>
          <w:p w14:paraId="5895A628">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2"/>
                <w:sz w:val="21"/>
                <w:szCs w:val="21"/>
                <w:highlight w:val="none"/>
              </w:rPr>
              <w:t>服务响应</w:t>
            </w:r>
          </w:p>
        </w:tc>
        <w:tc>
          <w:tcPr>
            <w:tcW w:w="612" w:type="dxa"/>
            <w:noWrap w:val="0"/>
            <w:vAlign w:val="center"/>
          </w:tcPr>
          <w:p w14:paraId="487BB6BA">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4486" w:type="dxa"/>
            <w:noWrap w:val="0"/>
            <w:vAlign w:val="center"/>
          </w:tcPr>
          <w:p w14:paraId="0CDE291D">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 xml:space="preserve">①建立 24 小时人员值班制度，有值班工作记录，字迹清楚，数据准确； </w:t>
            </w:r>
          </w:p>
          <w:p w14:paraId="23339598">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②设有客户服务中心，24 小时服务热线电话并公示；</w:t>
            </w:r>
          </w:p>
          <w:p w14:paraId="5B9FEBA7">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③非办公时间，应做好人员出入登记的工作；</w:t>
            </w:r>
          </w:p>
          <w:p w14:paraId="33462FD4">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④投诉处理率应为100%，投诉处理及时率应为100%，可联络投诉回复率应为100%；</w:t>
            </w:r>
          </w:p>
          <w:p w14:paraId="59ADF7D4">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4"/>
                <w:sz w:val="21"/>
                <w:szCs w:val="21"/>
                <w:highlight w:val="none"/>
                <w:lang w:eastAsia="zh-CN"/>
              </w:rPr>
              <w:t>⑤工作记录应及时、清楚、完整等。</w:t>
            </w:r>
          </w:p>
        </w:tc>
        <w:tc>
          <w:tcPr>
            <w:tcW w:w="1039" w:type="dxa"/>
            <w:noWrap w:val="0"/>
            <w:vAlign w:val="center"/>
          </w:tcPr>
          <w:p w14:paraId="659F8DEB">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09DBEF8E">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9"/>
                <w:sz w:val="21"/>
                <w:szCs w:val="21"/>
                <w:highlight w:val="none"/>
                <w:lang w:eastAsia="zh-CN"/>
              </w:rPr>
              <w:t>全部符合</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35"/>
                <w:sz w:val="21"/>
                <w:szCs w:val="21"/>
                <w:highlight w:val="none"/>
                <w:lang w:val="en-US" w:eastAsia="zh-CN"/>
              </w:rPr>
              <w:t>5</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1.0</w:t>
            </w:r>
          </w:p>
        </w:tc>
        <w:tc>
          <w:tcPr>
            <w:tcW w:w="564" w:type="dxa"/>
            <w:noWrap w:val="0"/>
            <w:vAlign w:val="top"/>
          </w:tcPr>
          <w:p w14:paraId="067579B3">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551" w:type="dxa"/>
            <w:noWrap w:val="0"/>
            <w:vAlign w:val="top"/>
          </w:tcPr>
          <w:p w14:paraId="3EE3B80F">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top"/>
          </w:tcPr>
          <w:p w14:paraId="0D94118F">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30285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74C712F9">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30" w:type="dxa"/>
            <w:noWrap w:val="0"/>
            <w:vAlign w:val="center"/>
          </w:tcPr>
          <w:p w14:paraId="02F612DE">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2"/>
                <w:sz w:val="21"/>
                <w:szCs w:val="21"/>
                <w:highlight w:val="none"/>
              </w:rPr>
              <w:t>巡查巡检</w:t>
            </w:r>
          </w:p>
        </w:tc>
        <w:tc>
          <w:tcPr>
            <w:tcW w:w="612" w:type="dxa"/>
            <w:noWrap w:val="0"/>
            <w:vAlign w:val="center"/>
          </w:tcPr>
          <w:p w14:paraId="3D7CA22D">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4486" w:type="dxa"/>
            <w:noWrap w:val="0"/>
            <w:vAlign w:val="center"/>
          </w:tcPr>
          <w:p w14:paraId="5C72EF79">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①日检。各项目管理员应填报日检表并送物业管理处相关主管审阅；</w:t>
            </w:r>
          </w:p>
          <w:p w14:paraId="4FC06C16">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5"/>
                <w:sz w:val="21"/>
                <w:szCs w:val="21"/>
                <w:highlight w:val="none"/>
                <w:lang w:eastAsia="zh-CN"/>
              </w:rPr>
              <w:t>②月检。项目负责人每月组织对全部管理项目进行检查</w:t>
            </w:r>
            <w:r>
              <w:rPr>
                <w:rFonts w:hint="eastAsia" w:ascii="宋体" w:hAnsi="宋体" w:eastAsia="宋体" w:cs="宋体"/>
                <w:color w:val="auto"/>
                <w:spacing w:val="-6"/>
                <w:sz w:val="21"/>
                <w:szCs w:val="21"/>
                <w:highlight w:val="none"/>
                <w:lang w:eastAsia="zh-CN"/>
              </w:rPr>
              <w:t>；</w:t>
            </w:r>
          </w:p>
          <w:p w14:paraId="51E24C85">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6"/>
                <w:sz w:val="21"/>
                <w:szCs w:val="21"/>
                <w:highlight w:val="none"/>
                <w:lang w:eastAsia="zh-CN"/>
              </w:rPr>
              <w:t>③临检。</w:t>
            </w:r>
            <w:r>
              <w:rPr>
                <w:rFonts w:hint="eastAsia" w:ascii="宋体" w:hAnsi="宋体" w:eastAsia="宋体" w:cs="宋体"/>
                <w:color w:val="auto"/>
                <w:spacing w:val="-4"/>
                <w:sz w:val="21"/>
                <w:szCs w:val="21"/>
                <w:highlight w:val="none"/>
                <w:lang w:eastAsia="zh-CN"/>
              </w:rPr>
              <w:t>根据需要，项目负责人组织进行专项检查或应急抽检；</w:t>
            </w:r>
          </w:p>
          <w:p w14:paraId="00DC7128">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4"/>
                <w:sz w:val="21"/>
                <w:szCs w:val="21"/>
                <w:highlight w:val="none"/>
                <w:lang w:eastAsia="zh-CN"/>
              </w:rPr>
              <w:t>④检查情况</w:t>
            </w:r>
            <w:r>
              <w:rPr>
                <w:rFonts w:hint="eastAsia" w:ascii="宋体" w:hAnsi="宋体" w:eastAsia="宋体" w:cs="宋体"/>
                <w:color w:val="auto"/>
                <w:spacing w:val="-5"/>
                <w:sz w:val="21"/>
                <w:szCs w:val="21"/>
                <w:highlight w:val="none"/>
                <w:lang w:eastAsia="zh-CN"/>
              </w:rPr>
              <w:t>应做好记录，存在问题应及时整改，</w:t>
            </w:r>
            <w:r>
              <w:rPr>
                <w:rFonts w:hint="eastAsia" w:ascii="宋体" w:hAnsi="宋体" w:eastAsia="宋体" w:cs="宋体"/>
                <w:color w:val="auto"/>
                <w:spacing w:val="-20"/>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整改情况及时反馈。</w:t>
            </w:r>
          </w:p>
        </w:tc>
        <w:tc>
          <w:tcPr>
            <w:tcW w:w="1039" w:type="dxa"/>
            <w:noWrap w:val="0"/>
            <w:vAlign w:val="center"/>
          </w:tcPr>
          <w:p w14:paraId="4E929999">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0CDC4C47">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42"/>
                <w:sz w:val="21"/>
                <w:szCs w:val="21"/>
                <w:highlight w:val="none"/>
                <w:lang w:val="en-US" w:eastAsia="zh-CN"/>
              </w:rPr>
              <w:t>4</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1.0</w:t>
            </w:r>
          </w:p>
        </w:tc>
        <w:tc>
          <w:tcPr>
            <w:tcW w:w="564" w:type="dxa"/>
            <w:noWrap w:val="0"/>
            <w:vAlign w:val="top"/>
          </w:tcPr>
          <w:p w14:paraId="25BA725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551" w:type="dxa"/>
            <w:noWrap w:val="0"/>
            <w:vAlign w:val="top"/>
          </w:tcPr>
          <w:p w14:paraId="1A701710">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top"/>
          </w:tcPr>
          <w:p w14:paraId="4076532D">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3BA0E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3ABA95E4">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30" w:type="dxa"/>
            <w:noWrap w:val="0"/>
            <w:vAlign w:val="center"/>
          </w:tcPr>
          <w:p w14:paraId="11F76961">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2"/>
                <w:sz w:val="21"/>
                <w:szCs w:val="21"/>
                <w:highlight w:val="none"/>
              </w:rPr>
              <w:t>档案管理</w:t>
            </w:r>
          </w:p>
        </w:tc>
        <w:tc>
          <w:tcPr>
            <w:tcW w:w="612" w:type="dxa"/>
            <w:noWrap w:val="0"/>
            <w:vAlign w:val="center"/>
          </w:tcPr>
          <w:p w14:paraId="5B062966">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4486" w:type="dxa"/>
            <w:noWrap w:val="0"/>
            <w:vAlign w:val="center"/>
          </w:tcPr>
          <w:p w14:paraId="4ECDE3BE">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3"/>
                <w:sz w:val="21"/>
                <w:szCs w:val="21"/>
                <w:highlight w:val="none"/>
                <w:lang w:eastAsia="zh-CN"/>
              </w:rPr>
              <w:t>①</w:t>
            </w:r>
            <w:r>
              <w:rPr>
                <w:rFonts w:hint="eastAsia" w:ascii="宋体" w:hAnsi="宋体" w:eastAsia="宋体" w:cs="宋体"/>
                <w:color w:val="auto"/>
                <w:spacing w:val="-7"/>
                <w:sz w:val="21"/>
                <w:szCs w:val="21"/>
                <w:highlight w:val="none"/>
                <w:lang w:eastAsia="zh-CN"/>
              </w:rPr>
              <w:t>根据档案管理规范进行资料收集、分类、整理和编制等，保存物业服务管理过程中的各类档案资料；</w:t>
            </w:r>
          </w:p>
          <w:p w14:paraId="07311145">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②档案资料的收集内容应真实、准确和完整等；</w:t>
            </w:r>
          </w:p>
          <w:p w14:paraId="3ED8B3C5">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6"/>
                <w:sz w:val="21"/>
                <w:szCs w:val="21"/>
                <w:highlight w:val="none"/>
                <w:lang w:eastAsia="zh-CN"/>
              </w:rPr>
              <w:t>③</w:t>
            </w:r>
            <w:r>
              <w:rPr>
                <w:rFonts w:hint="eastAsia" w:ascii="宋体" w:hAnsi="宋体" w:eastAsia="宋体" w:cs="宋体"/>
                <w:color w:val="auto"/>
                <w:spacing w:val="-7"/>
                <w:sz w:val="21"/>
                <w:szCs w:val="21"/>
                <w:highlight w:val="none"/>
                <w:lang w:eastAsia="zh-CN"/>
              </w:rPr>
              <w:t>档案资料的保存年限应与《物业服务合同》的履行期限一致。</w:t>
            </w:r>
          </w:p>
        </w:tc>
        <w:tc>
          <w:tcPr>
            <w:tcW w:w="1039" w:type="dxa"/>
            <w:noWrap w:val="0"/>
            <w:vAlign w:val="center"/>
          </w:tcPr>
          <w:p w14:paraId="5F218A08">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42"/>
                <w:sz w:val="21"/>
                <w:szCs w:val="21"/>
                <w:highlight w:val="none"/>
                <w:lang w:val="en-US" w:eastAsia="zh-CN"/>
              </w:rPr>
              <w:t>3</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1</w:t>
            </w:r>
          </w:p>
        </w:tc>
        <w:tc>
          <w:tcPr>
            <w:tcW w:w="564" w:type="dxa"/>
            <w:noWrap w:val="0"/>
            <w:vAlign w:val="center"/>
          </w:tcPr>
          <w:p w14:paraId="407DE36A">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551" w:type="dxa"/>
            <w:noWrap w:val="0"/>
            <w:vAlign w:val="center"/>
          </w:tcPr>
          <w:p w14:paraId="741CD31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center"/>
          </w:tcPr>
          <w:p w14:paraId="02C6D0FE">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25CBA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6DDDAD20">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30" w:type="dxa"/>
            <w:noWrap w:val="0"/>
            <w:vAlign w:val="center"/>
          </w:tcPr>
          <w:p w14:paraId="17C66F1E">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应急管理</w:t>
            </w:r>
          </w:p>
        </w:tc>
        <w:tc>
          <w:tcPr>
            <w:tcW w:w="612" w:type="dxa"/>
            <w:noWrap w:val="0"/>
            <w:vAlign w:val="center"/>
          </w:tcPr>
          <w:p w14:paraId="2C4497F9">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4486" w:type="dxa"/>
            <w:noWrap w:val="0"/>
            <w:vAlign w:val="center"/>
          </w:tcPr>
          <w:p w14:paraId="6ABDB864">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①运行机制：</w:t>
            </w:r>
          </w:p>
          <w:p w14:paraId="7652182D">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4"/>
                <w:sz w:val="21"/>
                <w:szCs w:val="21"/>
                <w:highlight w:val="none"/>
                <w:lang w:eastAsia="zh-CN"/>
              </w:rPr>
              <w:t>a.应建立并实施物业服务企业全员、全过程、全方位</w:t>
            </w:r>
            <w:r>
              <w:rPr>
                <w:rFonts w:hint="eastAsia" w:ascii="宋体" w:hAnsi="宋体" w:eastAsia="宋体" w:cs="宋体"/>
                <w:color w:val="auto"/>
                <w:spacing w:val="-2"/>
                <w:sz w:val="21"/>
                <w:szCs w:val="21"/>
                <w:highlight w:val="none"/>
                <w:lang w:eastAsia="zh-CN"/>
              </w:rPr>
              <w:t>的应急管理责任制度；</w:t>
            </w:r>
          </w:p>
          <w:p w14:paraId="75BAEB59">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2"/>
                <w:sz w:val="21"/>
                <w:szCs w:val="21"/>
                <w:highlight w:val="none"/>
                <w:lang w:eastAsia="zh-CN"/>
              </w:rPr>
              <w:t>b.应成立应急救援</w:t>
            </w:r>
            <w:r>
              <w:rPr>
                <w:rFonts w:hint="eastAsia" w:ascii="宋体" w:hAnsi="宋体" w:eastAsia="宋体" w:cs="宋体"/>
                <w:color w:val="auto"/>
                <w:spacing w:val="-3"/>
                <w:sz w:val="21"/>
                <w:szCs w:val="21"/>
                <w:highlight w:val="none"/>
                <w:lang w:eastAsia="zh-CN"/>
              </w:rPr>
              <w:t>队伍，应每年至少 3 次，</w:t>
            </w:r>
            <w:r>
              <w:rPr>
                <w:rFonts w:hint="eastAsia" w:ascii="宋体" w:hAnsi="宋体" w:eastAsia="宋体" w:cs="宋体"/>
                <w:color w:val="auto"/>
                <w:spacing w:val="2"/>
                <w:sz w:val="21"/>
                <w:szCs w:val="21"/>
                <w:highlight w:val="none"/>
                <w:lang w:eastAsia="zh-CN"/>
              </w:rPr>
              <w:t>定期对应急救援人员进行培训，确保应急救援人员具备必要的专业</w:t>
            </w:r>
            <w:r>
              <w:rPr>
                <w:rFonts w:hint="eastAsia" w:ascii="宋体" w:hAnsi="宋体" w:eastAsia="宋体" w:cs="宋体"/>
                <w:color w:val="auto"/>
                <w:spacing w:val="-4"/>
                <w:sz w:val="21"/>
                <w:szCs w:val="21"/>
                <w:highlight w:val="none"/>
                <w:lang w:eastAsia="zh-CN"/>
              </w:rPr>
              <w:t>知识、技能、身体素质和心理素质；</w:t>
            </w:r>
          </w:p>
          <w:p w14:paraId="3DD8E45A">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4"/>
                <w:sz w:val="21"/>
                <w:szCs w:val="21"/>
                <w:highlight w:val="none"/>
                <w:lang w:eastAsia="zh-CN"/>
              </w:rPr>
              <w:t>c.应制定应急预案，针对突发</w:t>
            </w:r>
            <w:r>
              <w:rPr>
                <w:rFonts w:hint="eastAsia" w:ascii="宋体" w:hAnsi="宋体" w:eastAsia="宋体" w:cs="宋体"/>
                <w:color w:val="auto"/>
                <w:spacing w:val="2"/>
                <w:sz w:val="21"/>
                <w:szCs w:val="21"/>
                <w:highlight w:val="none"/>
                <w:lang w:eastAsia="zh-CN"/>
              </w:rPr>
              <w:t>事故和火灾、水灾、爆炸、地震、安全疏散以及电梯应急等制定相</w:t>
            </w:r>
            <w:r>
              <w:rPr>
                <w:rFonts w:hint="eastAsia" w:ascii="宋体" w:hAnsi="宋体" w:eastAsia="宋体" w:cs="宋体"/>
                <w:color w:val="auto"/>
                <w:spacing w:val="-2"/>
                <w:sz w:val="21"/>
                <w:szCs w:val="21"/>
                <w:highlight w:val="none"/>
                <w:lang w:eastAsia="zh-CN"/>
              </w:rPr>
              <w:t>应的应急预案；</w:t>
            </w:r>
          </w:p>
          <w:p w14:paraId="59BC78A7">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2"/>
                <w:sz w:val="21"/>
                <w:szCs w:val="21"/>
                <w:highlight w:val="none"/>
                <w:lang w:eastAsia="zh-CN"/>
              </w:rPr>
              <w:t>d.制定应急预案的培训计划，明确培训对象、方式、</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频次和要求，评估培训效果。制定应急预案的演练计划，明确不同</w:t>
            </w:r>
            <w:r>
              <w:rPr>
                <w:rFonts w:hint="eastAsia" w:ascii="宋体" w:hAnsi="宋体" w:eastAsia="宋体" w:cs="宋体"/>
                <w:color w:val="auto"/>
                <w:spacing w:val="-1"/>
                <w:sz w:val="21"/>
                <w:szCs w:val="21"/>
                <w:highlight w:val="none"/>
                <w:lang w:eastAsia="zh-CN"/>
              </w:rPr>
              <w:t>类型应急预案的演练形式和内容，每年至少组织</w:t>
            </w:r>
            <w:r>
              <w:rPr>
                <w:rFonts w:hint="eastAsia" w:ascii="宋体" w:hAnsi="宋体" w:eastAsia="宋体" w:cs="宋体"/>
                <w:color w:val="auto"/>
                <w:spacing w:val="-2"/>
                <w:sz w:val="21"/>
                <w:szCs w:val="21"/>
                <w:highlight w:val="none"/>
                <w:lang w:eastAsia="zh-CN"/>
              </w:rPr>
              <w:t xml:space="preserve"> 2 次应急演练，进</w:t>
            </w:r>
            <w:r>
              <w:rPr>
                <w:rFonts w:hint="eastAsia" w:ascii="宋体" w:hAnsi="宋体" w:eastAsia="宋体" w:cs="宋体"/>
                <w:color w:val="auto"/>
                <w:spacing w:val="-4"/>
                <w:sz w:val="21"/>
                <w:szCs w:val="21"/>
                <w:highlight w:val="none"/>
                <w:lang w:eastAsia="zh-CN"/>
              </w:rPr>
              <w:t>行演练效果评估和总结；</w:t>
            </w:r>
          </w:p>
          <w:p w14:paraId="0F47AFCD">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e.应配置应急物资，并建立应急物资管理</w:t>
            </w:r>
            <w:r>
              <w:rPr>
                <w:rFonts w:hint="eastAsia" w:ascii="宋体" w:hAnsi="宋体" w:eastAsia="宋体" w:cs="宋体"/>
                <w:color w:val="auto"/>
                <w:spacing w:val="2"/>
                <w:sz w:val="21"/>
                <w:szCs w:val="21"/>
                <w:highlight w:val="none"/>
                <w:lang w:eastAsia="zh-CN"/>
              </w:rPr>
              <w:t>制度。应急物资管理制度应明确专职部门，有制定存放地点和使用</w:t>
            </w:r>
            <w:r>
              <w:rPr>
                <w:rFonts w:hint="eastAsia" w:ascii="宋体" w:hAnsi="宋体" w:eastAsia="宋体" w:cs="宋体"/>
                <w:color w:val="auto"/>
                <w:spacing w:val="-3"/>
                <w:sz w:val="21"/>
                <w:szCs w:val="21"/>
                <w:highlight w:val="none"/>
                <w:lang w:eastAsia="zh-CN"/>
              </w:rPr>
              <w:t>记录。每月至少对应急物资进行</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eastAsia="zh-CN"/>
              </w:rPr>
              <w:t>次维护及检查，做好相应记录，</w:t>
            </w:r>
            <w:r>
              <w:rPr>
                <w:rFonts w:hint="eastAsia" w:ascii="宋体" w:hAnsi="宋体" w:eastAsia="宋体" w:cs="宋体"/>
                <w:color w:val="auto"/>
                <w:spacing w:val="-4"/>
                <w:sz w:val="21"/>
                <w:szCs w:val="21"/>
                <w:highlight w:val="none"/>
                <w:lang w:eastAsia="zh-CN"/>
              </w:rPr>
              <w:t>确保应急物资完好待用。</w:t>
            </w:r>
          </w:p>
          <w:p w14:paraId="24F66EE5">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②应急响应：</w:t>
            </w:r>
          </w:p>
          <w:p w14:paraId="0ADF193C">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4"/>
                <w:sz w:val="21"/>
                <w:szCs w:val="21"/>
                <w:highlight w:val="none"/>
                <w:lang w:eastAsia="zh-CN"/>
              </w:rPr>
              <w:t>a.发生突发事件时，应根据</w:t>
            </w:r>
            <w:r>
              <w:rPr>
                <w:rFonts w:hint="eastAsia" w:ascii="宋体" w:hAnsi="宋体" w:eastAsia="宋体" w:cs="宋体"/>
                <w:color w:val="auto"/>
                <w:spacing w:val="-3"/>
                <w:sz w:val="21"/>
                <w:szCs w:val="21"/>
                <w:highlight w:val="none"/>
                <w:lang w:eastAsia="zh-CN"/>
              </w:rPr>
              <w:t>事件的性质和发展态势，第一时间报告或报警，在15</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分钟内召集安</w:t>
            </w:r>
            <w:r>
              <w:rPr>
                <w:rFonts w:hint="eastAsia" w:ascii="宋体" w:hAnsi="宋体" w:eastAsia="宋体" w:cs="宋体"/>
                <w:color w:val="auto"/>
                <w:spacing w:val="-4"/>
                <w:sz w:val="21"/>
                <w:szCs w:val="21"/>
                <w:highlight w:val="none"/>
                <w:lang w:eastAsia="zh-CN"/>
              </w:rPr>
              <w:t>保人员在指定地点集合；并组织应急救援队伍和工作人员，分级启</w:t>
            </w:r>
            <w:r>
              <w:rPr>
                <w:rFonts w:hint="eastAsia" w:ascii="宋体" w:hAnsi="宋体" w:eastAsia="宋体" w:cs="宋体"/>
                <w:color w:val="auto"/>
                <w:spacing w:val="2"/>
                <w:sz w:val="21"/>
                <w:szCs w:val="21"/>
                <w:highlight w:val="none"/>
                <w:lang w:eastAsia="zh-CN"/>
              </w:rPr>
              <w:t>动应急预案，营救受害人员，疏散、撤离、安置受到威胁的人员，控制危险源，标明危险区域，封锁危险场所，并采取其他防止危害扩大的必要措施。当相关主管部门和社会专业救援力量抵达后做好</w:t>
            </w:r>
            <w:r>
              <w:rPr>
                <w:rFonts w:hint="eastAsia" w:ascii="宋体" w:hAnsi="宋体" w:eastAsia="宋体" w:cs="宋体"/>
                <w:color w:val="auto"/>
                <w:spacing w:val="-3"/>
                <w:sz w:val="21"/>
                <w:szCs w:val="21"/>
                <w:highlight w:val="none"/>
                <w:lang w:eastAsia="zh-CN"/>
              </w:rPr>
              <w:t>协助处置工作。</w:t>
            </w:r>
          </w:p>
          <w:p w14:paraId="7A15C7D6">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3"/>
                <w:sz w:val="21"/>
                <w:szCs w:val="21"/>
                <w:highlight w:val="none"/>
                <w:lang w:eastAsia="zh-CN"/>
              </w:rPr>
              <w:t>b.突发事件的威胁和危害得到控制或消除后，应进</w:t>
            </w:r>
            <w:r>
              <w:rPr>
                <w:rFonts w:hint="eastAsia" w:ascii="宋体" w:hAnsi="宋体" w:eastAsia="宋体" w:cs="宋体"/>
                <w:color w:val="auto"/>
                <w:spacing w:val="-4"/>
                <w:sz w:val="21"/>
                <w:szCs w:val="21"/>
                <w:highlight w:val="none"/>
                <w:lang w:eastAsia="zh-CN"/>
              </w:rPr>
              <w:t>行事后恢复工作；</w:t>
            </w:r>
          </w:p>
          <w:p w14:paraId="1C8332A1">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4"/>
                <w:sz w:val="21"/>
                <w:szCs w:val="21"/>
                <w:highlight w:val="none"/>
                <w:lang w:eastAsia="zh-CN"/>
              </w:rPr>
              <w:t>c.在突发事件应急响应结束后，应对应急预案的</w:t>
            </w:r>
            <w:r>
              <w:rPr>
                <w:rFonts w:hint="eastAsia" w:ascii="宋体" w:hAnsi="宋体" w:eastAsia="宋体" w:cs="宋体"/>
                <w:color w:val="auto"/>
                <w:spacing w:val="3"/>
                <w:sz w:val="21"/>
                <w:szCs w:val="21"/>
                <w:highlight w:val="none"/>
                <w:lang w:eastAsia="zh-CN"/>
              </w:rPr>
              <w:t>有效性及应急救援的效果进行评估与总结，形成书面报告。对存在的问题进行跟踪整改，必要时修编应急预案，不断提高应急</w:t>
            </w:r>
            <w:r>
              <w:rPr>
                <w:rFonts w:hint="eastAsia" w:ascii="宋体" w:hAnsi="宋体" w:eastAsia="宋体" w:cs="宋体"/>
                <w:color w:val="auto"/>
                <w:spacing w:val="2"/>
                <w:sz w:val="21"/>
                <w:szCs w:val="21"/>
                <w:highlight w:val="none"/>
                <w:lang w:eastAsia="zh-CN"/>
              </w:rPr>
              <w:t>能力；</w:t>
            </w:r>
          </w:p>
          <w:p w14:paraId="590F90EC">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pacing w:val="3"/>
                <w:sz w:val="21"/>
                <w:szCs w:val="21"/>
                <w:highlight w:val="none"/>
                <w:lang w:eastAsia="zh-CN"/>
              </w:rPr>
              <w:t>.应对突发事件全过程的记录（包括各类图像、录音、录像、文字</w:t>
            </w:r>
            <w:r>
              <w:rPr>
                <w:rFonts w:hint="eastAsia" w:ascii="宋体" w:hAnsi="宋体" w:eastAsia="宋体" w:cs="宋体"/>
                <w:color w:val="auto"/>
                <w:spacing w:val="-9"/>
                <w:sz w:val="21"/>
                <w:szCs w:val="21"/>
                <w:highlight w:val="none"/>
                <w:lang w:eastAsia="zh-CN"/>
              </w:rPr>
              <w:t>报告）</w:t>
            </w:r>
            <w:r>
              <w:rPr>
                <w:rFonts w:hint="eastAsia" w:ascii="宋体" w:hAnsi="宋体" w:eastAsia="宋体" w:cs="宋体"/>
                <w:color w:val="auto"/>
                <w:spacing w:val="-19"/>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进行归档保存。</w:t>
            </w:r>
          </w:p>
        </w:tc>
        <w:tc>
          <w:tcPr>
            <w:tcW w:w="1039" w:type="dxa"/>
            <w:noWrap w:val="0"/>
            <w:vAlign w:val="center"/>
          </w:tcPr>
          <w:p w14:paraId="0EBE4C2D">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3E71881A">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66CF875C">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0776BB81">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294C3C92">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1255C718">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7B39D527">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43A796BE">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4E2889A1">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5F36ECE1">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709D3473">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0726991D">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68909F72">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3"/>
                <w:sz w:val="21"/>
                <w:szCs w:val="21"/>
                <w:highlight w:val="none"/>
                <w:lang w:eastAsia="zh-CN"/>
              </w:rPr>
              <w:t xml:space="preserve"> </w:t>
            </w:r>
            <w:r>
              <w:rPr>
                <w:rFonts w:hint="eastAsia" w:ascii="宋体" w:hAnsi="宋体" w:eastAsia="宋体" w:cs="宋体"/>
                <w:color w:val="auto"/>
                <w:spacing w:val="-43"/>
                <w:sz w:val="21"/>
                <w:szCs w:val="21"/>
                <w:highlight w:val="none"/>
                <w:lang w:val="en-US" w:eastAsia="zh-CN"/>
              </w:rPr>
              <w:t>5</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.5</w:t>
            </w:r>
          </w:p>
        </w:tc>
        <w:tc>
          <w:tcPr>
            <w:tcW w:w="564" w:type="dxa"/>
            <w:noWrap w:val="0"/>
            <w:vAlign w:val="center"/>
          </w:tcPr>
          <w:p w14:paraId="5790DB70">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551" w:type="dxa"/>
            <w:noWrap w:val="0"/>
            <w:vAlign w:val="center"/>
          </w:tcPr>
          <w:p w14:paraId="3A2C8C58">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center"/>
          </w:tcPr>
          <w:p w14:paraId="0E2EE908">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77A5D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3679169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30" w:type="dxa"/>
            <w:noWrap w:val="0"/>
            <w:vAlign w:val="center"/>
          </w:tcPr>
          <w:p w14:paraId="3445DC8C">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监督考核与改进</w:t>
            </w:r>
          </w:p>
        </w:tc>
        <w:tc>
          <w:tcPr>
            <w:tcW w:w="612" w:type="dxa"/>
            <w:noWrap w:val="0"/>
            <w:vAlign w:val="center"/>
          </w:tcPr>
          <w:p w14:paraId="275B536F">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4486" w:type="dxa"/>
            <w:noWrap w:val="0"/>
            <w:vAlign w:val="center"/>
          </w:tcPr>
          <w:p w14:paraId="23308B9A">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①日常监督：</w:t>
            </w:r>
          </w:p>
          <w:p w14:paraId="57450441">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3"/>
                <w:sz w:val="21"/>
                <w:szCs w:val="21"/>
                <w:highlight w:val="none"/>
                <w:lang w:eastAsia="zh-CN"/>
              </w:rPr>
              <w:t>a.物业服务企业应每日对物业管理区域范围内的人员</w:t>
            </w:r>
            <w:r>
              <w:rPr>
                <w:rFonts w:hint="eastAsia" w:ascii="宋体" w:hAnsi="宋体" w:eastAsia="宋体" w:cs="宋体"/>
                <w:color w:val="auto"/>
                <w:spacing w:val="3"/>
                <w:sz w:val="21"/>
                <w:szCs w:val="21"/>
                <w:highlight w:val="none"/>
                <w:lang w:eastAsia="zh-CN"/>
              </w:rPr>
              <w:t>来访、服务、环境卫生、秩序与安全等</w:t>
            </w:r>
            <w:r>
              <w:rPr>
                <w:rFonts w:hint="eastAsia" w:ascii="宋体" w:hAnsi="宋体" w:eastAsia="宋体" w:cs="宋体"/>
                <w:color w:val="auto"/>
                <w:spacing w:val="-4"/>
                <w:sz w:val="21"/>
                <w:szCs w:val="21"/>
                <w:highlight w:val="none"/>
                <w:lang w:eastAsia="zh-CN"/>
              </w:rPr>
              <w:t>状况进行检查,并查看相关记录；</w:t>
            </w:r>
          </w:p>
          <w:p w14:paraId="476F5BE7">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4"/>
                <w:sz w:val="21"/>
                <w:szCs w:val="21"/>
                <w:highlight w:val="none"/>
                <w:lang w:eastAsia="zh-CN"/>
              </w:rPr>
              <w:t>b.物业服务企业应每季度至少进行</w:t>
            </w: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25"/>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次内部服务流程和服务质量的自我监督检查；</w:t>
            </w:r>
          </w:p>
          <w:p w14:paraId="06B502AA">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3"/>
                <w:sz w:val="21"/>
                <w:szCs w:val="21"/>
                <w:highlight w:val="none"/>
                <w:lang w:val="en-US" w:eastAsia="zh-CN"/>
              </w:rPr>
              <w:t>c</w:t>
            </w:r>
            <w:r>
              <w:rPr>
                <w:rFonts w:hint="eastAsia" w:ascii="宋体" w:hAnsi="宋体" w:eastAsia="宋体" w:cs="宋体"/>
                <w:color w:val="auto"/>
                <w:spacing w:val="-3"/>
                <w:sz w:val="21"/>
                <w:szCs w:val="21"/>
                <w:highlight w:val="none"/>
                <w:lang w:eastAsia="zh-CN"/>
              </w:rPr>
              <w:t>.监管部门应每年组</w:t>
            </w:r>
            <w:r>
              <w:rPr>
                <w:rFonts w:hint="eastAsia" w:ascii="宋体" w:hAnsi="宋体" w:eastAsia="宋体" w:cs="宋体"/>
                <w:color w:val="auto"/>
                <w:spacing w:val="-1"/>
                <w:sz w:val="21"/>
                <w:szCs w:val="21"/>
                <w:highlight w:val="none"/>
                <w:lang w:eastAsia="zh-CN"/>
              </w:rPr>
              <w:t>织对物业管理区域进行</w:t>
            </w: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lang w:eastAsia="zh-CN"/>
              </w:rPr>
              <w:t>次全面检查，</w:t>
            </w:r>
          </w:p>
          <w:p w14:paraId="49217956">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val="en-US" w:eastAsia="zh-CN"/>
              </w:rPr>
              <w:t>d</w:t>
            </w:r>
            <w:r>
              <w:rPr>
                <w:rFonts w:hint="eastAsia" w:ascii="宋体" w:hAnsi="宋体" w:eastAsia="宋体" w:cs="宋体"/>
                <w:color w:val="auto"/>
                <w:spacing w:val="3"/>
                <w:sz w:val="21"/>
                <w:szCs w:val="21"/>
                <w:highlight w:val="none"/>
                <w:lang w:eastAsia="zh-CN"/>
              </w:rPr>
              <w:t>.根据特殊情况（如异常危害性天气等）需要，监管部门应临</w:t>
            </w:r>
            <w:r>
              <w:rPr>
                <w:rFonts w:hint="eastAsia" w:ascii="宋体" w:hAnsi="宋体" w:eastAsia="宋体" w:cs="宋体"/>
                <w:color w:val="auto"/>
                <w:spacing w:val="2"/>
                <w:sz w:val="21"/>
                <w:szCs w:val="21"/>
                <w:highlight w:val="none"/>
                <w:lang w:eastAsia="zh-CN"/>
              </w:rPr>
              <w:t>时安</w:t>
            </w:r>
            <w:r>
              <w:rPr>
                <w:rFonts w:hint="eastAsia" w:ascii="宋体" w:hAnsi="宋体" w:eastAsia="宋体" w:cs="宋体"/>
                <w:color w:val="auto"/>
                <w:spacing w:val="-3"/>
                <w:sz w:val="21"/>
                <w:szCs w:val="21"/>
                <w:highlight w:val="none"/>
                <w:lang w:eastAsia="zh-CN"/>
              </w:rPr>
              <w:t>排对重点部位和重点设施设备进行针对性检查。</w:t>
            </w:r>
          </w:p>
          <w:p w14:paraId="3724E3FF">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②考核评价：</w:t>
            </w:r>
          </w:p>
          <w:p w14:paraId="2F7C1BBE">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a.物业服务企业每年应至少进行</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eastAsia="zh-CN"/>
              </w:rPr>
              <w:t>次内部人员考核，考核内容包括</w:t>
            </w:r>
            <w:r>
              <w:rPr>
                <w:rFonts w:hint="eastAsia" w:ascii="宋体" w:hAnsi="宋体" w:eastAsia="宋体" w:cs="宋体"/>
                <w:color w:val="auto"/>
                <w:spacing w:val="-4"/>
                <w:sz w:val="21"/>
                <w:szCs w:val="21"/>
                <w:highlight w:val="none"/>
                <w:lang w:eastAsia="zh-CN"/>
              </w:rPr>
              <w:t>理论</w:t>
            </w:r>
            <w:r>
              <w:rPr>
                <w:rFonts w:hint="eastAsia" w:ascii="宋体" w:hAnsi="宋体" w:eastAsia="宋体" w:cs="宋体"/>
                <w:color w:val="auto"/>
                <w:spacing w:val="-3"/>
                <w:sz w:val="21"/>
                <w:szCs w:val="21"/>
                <w:highlight w:val="none"/>
                <w:lang w:eastAsia="zh-CN"/>
              </w:rPr>
              <w:t>知识、实际操作、管理制度、相关政策法规等；</w:t>
            </w:r>
          </w:p>
          <w:p w14:paraId="414E2B89">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3"/>
                <w:sz w:val="21"/>
                <w:szCs w:val="21"/>
                <w:highlight w:val="none"/>
                <w:lang w:eastAsia="zh-CN"/>
              </w:rPr>
              <w:t>b.物业服务企业应</w:t>
            </w:r>
            <w:r>
              <w:rPr>
                <w:rFonts w:hint="eastAsia" w:ascii="宋体" w:hAnsi="宋体" w:eastAsia="宋体" w:cs="宋体"/>
                <w:color w:val="auto"/>
                <w:spacing w:val="-4"/>
                <w:sz w:val="21"/>
                <w:szCs w:val="21"/>
                <w:highlight w:val="none"/>
                <w:lang w:eastAsia="zh-CN"/>
              </w:rPr>
              <w:t>每季度或每半年至少进行</w:t>
            </w:r>
            <w:r>
              <w:rPr>
                <w:rFonts w:hint="eastAsia" w:ascii="宋体" w:hAnsi="宋体" w:eastAsia="宋体" w:cs="宋体"/>
                <w:color w:val="auto"/>
                <w:spacing w:val="-4"/>
                <w:sz w:val="21"/>
                <w:szCs w:val="21"/>
                <w:highlight w:val="none"/>
                <w:lang w:val="en-US" w:eastAsia="zh-CN"/>
              </w:rPr>
              <w:t>1</w:t>
            </w:r>
            <w:r>
              <w:rPr>
                <w:rFonts w:hint="eastAsia" w:ascii="宋体" w:hAnsi="宋体" w:eastAsia="宋体" w:cs="宋体"/>
                <w:color w:val="auto"/>
                <w:spacing w:val="-4"/>
                <w:sz w:val="21"/>
                <w:szCs w:val="21"/>
                <w:highlight w:val="none"/>
                <w:lang w:eastAsia="zh-CN"/>
              </w:rPr>
              <w:t>次抽样征询业主服务意见；</w:t>
            </w:r>
          </w:p>
          <w:p w14:paraId="4858ACF2">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4"/>
                <w:sz w:val="21"/>
                <w:szCs w:val="21"/>
                <w:highlight w:val="none"/>
                <w:lang w:eastAsia="zh-CN"/>
              </w:rPr>
              <w:t>c.监管部门</w:t>
            </w:r>
            <w:r>
              <w:rPr>
                <w:rFonts w:hint="eastAsia" w:ascii="宋体" w:hAnsi="宋体" w:eastAsia="宋体" w:cs="宋体"/>
                <w:color w:val="auto"/>
                <w:spacing w:val="-5"/>
                <w:sz w:val="21"/>
                <w:szCs w:val="21"/>
                <w:highlight w:val="none"/>
                <w:lang w:eastAsia="zh-CN"/>
              </w:rPr>
              <w:t>每年应至少进行</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lang w:eastAsia="zh-CN"/>
              </w:rPr>
              <w:t>次意见征询，</w:t>
            </w:r>
            <w:r>
              <w:rPr>
                <w:rFonts w:hint="eastAsia" w:ascii="宋体" w:hAnsi="宋体" w:eastAsia="宋体" w:cs="宋体"/>
                <w:color w:val="auto"/>
                <w:spacing w:val="3"/>
                <w:sz w:val="21"/>
                <w:szCs w:val="21"/>
                <w:highlight w:val="none"/>
                <w:lang w:eastAsia="zh-CN"/>
              </w:rPr>
              <w:t>征询项目包括：综合服务、秩序与安全管理、环境</w:t>
            </w:r>
            <w:r>
              <w:rPr>
                <w:rFonts w:hint="eastAsia" w:ascii="宋体" w:hAnsi="宋体" w:eastAsia="宋体" w:cs="宋体"/>
                <w:color w:val="auto"/>
                <w:spacing w:val="-3"/>
                <w:sz w:val="21"/>
                <w:szCs w:val="21"/>
                <w:highlight w:val="none"/>
                <w:lang w:eastAsia="zh-CN"/>
              </w:rPr>
              <w:t>卫生等方面；</w:t>
            </w:r>
          </w:p>
          <w:p w14:paraId="5EB60E30">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3"/>
                <w:sz w:val="21"/>
                <w:szCs w:val="21"/>
                <w:highlight w:val="none"/>
                <w:lang w:eastAsia="zh-CN"/>
              </w:rPr>
              <w:t>d.意见征询可采取电话联系、走访、恳谈</w:t>
            </w:r>
            <w:r>
              <w:rPr>
                <w:rFonts w:hint="eastAsia" w:ascii="宋体" w:hAnsi="宋体" w:eastAsia="宋体" w:cs="宋体"/>
                <w:color w:val="auto"/>
                <w:spacing w:val="3"/>
                <w:sz w:val="21"/>
                <w:szCs w:val="21"/>
                <w:highlight w:val="none"/>
                <w:lang w:eastAsia="zh-CN"/>
              </w:rPr>
              <w:t>会、问卷调查、联谊活动、联系函、满意度测评等多种形式，征询</w:t>
            </w:r>
            <w:r>
              <w:rPr>
                <w:rFonts w:hint="eastAsia" w:ascii="宋体" w:hAnsi="宋体" w:eastAsia="宋体" w:cs="宋体"/>
                <w:color w:val="auto"/>
                <w:spacing w:val="-5"/>
                <w:sz w:val="21"/>
                <w:szCs w:val="21"/>
                <w:highlight w:val="none"/>
                <w:lang w:eastAsia="zh-CN"/>
              </w:rPr>
              <w:t>业主的意见。</w:t>
            </w:r>
          </w:p>
          <w:p w14:paraId="46921AFC">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e.满意度应达到</w:t>
            </w:r>
            <w:r>
              <w:rPr>
                <w:rFonts w:hint="eastAsia" w:ascii="宋体" w:hAnsi="宋体" w:eastAsia="宋体" w:cs="宋体"/>
                <w:color w:val="auto"/>
                <w:spacing w:val="-43"/>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98%以上；</w:t>
            </w:r>
          </w:p>
          <w:p w14:paraId="6974C078">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5"/>
                <w:sz w:val="21"/>
                <w:szCs w:val="21"/>
                <w:highlight w:val="none"/>
                <w:lang w:eastAsia="zh-CN"/>
              </w:rPr>
              <w:t>f.意见征询的记录应</w:t>
            </w:r>
            <w:r>
              <w:rPr>
                <w:rFonts w:hint="eastAsia" w:ascii="宋体" w:hAnsi="宋体" w:eastAsia="宋体" w:cs="宋体"/>
                <w:color w:val="auto"/>
                <w:spacing w:val="-6"/>
                <w:sz w:val="21"/>
                <w:szCs w:val="21"/>
                <w:highlight w:val="none"/>
                <w:lang w:eastAsia="zh-CN"/>
              </w:rPr>
              <w:t>至少保</w:t>
            </w:r>
            <w:r>
              <w:rPr>
                <w:rFonts w:hint="eastAsia" w:ascii="宋体" w:hAnsi="宋体" w:eastAsia="宋体" w:cs="宋体"/>
                <w:color w:val="auto"/>
                <w:spacing w:val="-3"/>
                <w:sz w:val="21"/>
                <w:szCs w:val="21"/>
                <w:highlight w:val="none"/>
                <w:lang w:eastAsia="zh-CN"/>
              </w:rPr>
              <w:t>存到物业服务合同终止，有其他相关约定的除外。</w:t>
            </w:r>
          </w:p>
          <w:p w14:paraId="2BE0C190">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③持续改进：</w:t>
            </w:r>
          </w:p>
          <w:p w14:paraId="50FC0257">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a.</w:t>
            </w:r>
            <w:r>
              <w:rPr>
                <w:rFonts w:hint="eastAsia" w:ascii="宋体" w:hAnsi="宋体" w:eastAsia="宋体" w:cs="宋体"/>
                <w:color w:val="auto"/>
                <w:spacing w:val="3"/>
                <w:sz w:val="21"/>
                <w:szCs w:val="21"/>
                <w:highlight w:val="none"/>
                <w:lang w:eastAsia="zh-CN"/>
              </w:rPr>
              <w:t>物业服务监督检查中发现的不合格问题，应采取纠正措施。监管部门应进行跟踪验证，确保纠正措施实施结果有效，并按要求予以汇</w:t>
            </w:r>
            <w:r>
              <w:rPr>
                <w:rFonts w:hint="eastAsia" w:ascii="宋体" w:hAnsi="宋体" w:eastAsia="宋体" w:cs="宋体"/>
                <w:color w:val="auto"/>
                <w:sz w:val="21"/>
                <w:szCs w:val="21"/>
                <w:highlight w:val="none"/>
                <w:lang w:eastAsia="zh-CN"/>
              </w:rPr>
              <w:t>总记录；</w:t>
            </w:r>
          </w:p>
          <w:p w14:paraId="6DAF15E3">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b.意见征询中发现的问题，应予</w:t>
            </w:r>
            <w:r>
              <w:rPr>
                <w:rFonts w:hint="eastAsia" w:ascii="宋体" w:hAnsi="宋体" w:eastAsia="宋体" w:cs="宋体"/>
                <w:color w:val="auto"/>
                <w:spacing w:val="-1"/>
                <w:sz w:val="21"/>
                <w:szCs w:val="21"/>
                <w:highlight w:val="none"/>
                <w:lang w:eastAsia="zh-CN"/>
              </w:rPr>
              <w:t>以汇总分析，形成书面评</w:t>
            </w:r>
            <w:r>
              <w:rPr>
                <w:rFonts w:hint="eastAsia" w:ascii="宋体" w:hAnsi="宋体" w:eastAsia="宋体" w:cs="宋体"/>
                <w:color w:val="auto"/>
                <w:spacing w:val="3"/>
                <w:sz w:val="21"/>
                <w:szCs w:val="21"/>
                <w:highlight w:val="none"/>
                <w:lang w:eastAsia="zh-CN"/>
              </w:rPr>
              <w:t>价报告，物业服务企业应在限期内进行整改，不断改进服务内容和</w:t>
            </w:r>
            <w:r>
              <w:rPr>
                <w:rFonts w:hint="eastAsia" w:ascii="宋体" w:hAnsi="宋体" w:eastAsia="宋体" w:cs="宋体"/>
                <w:color w:val="auto"/>
                <w:spacing w:val="-9"/>
                <w:sz w:val="21"/>
                <w:szCs w:val="21"/>
                <w:highlight w:val="none"/>
                <w:lang w:eastAsia="zh-CN"/>
              </w:rPr>
              <w:t>质量，并对整改结果进行回访。</w:t>
            </w:r>
          </w:p>
        </w:tc>
        <w:tc>
          <w:tcPr>
            <w:tcW w:w="1039" w:type="dxa"/>
            <w:noWrap w:val="0"/>
            <w:vAlign w:val="center"/>
          </w:tcPr>
          <w:p w14:paraId="610F9131">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7C50587F">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72E22E50">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529BDD6F">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42A73A62">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7947F3F8">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5200B18D">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1F99367C">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5B866AA7">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65E32C7C">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1BF3DC74">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5E3F97BF">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3"/>
                <w:sz w:val="21"/>
                <w:szCs w:val="21"/>
                <w:highlight w:val="none"/>
                <w:lang w:eastAsia="zh-CN"/>
              </w:rPr>
              <w:t xml:space="preserve"> </w:t>
            </w:r>
            <w:r>
              <w:rPr>
                <w:rFonts w:hint="eastAsia" w:ascii="宋体" w:hAnsi="宋体" w:eastAsia="宋体" w:cs="宋体"/>
                <w:color w:val="auto"/>
                <w:spacing w:val="-8"/>
                <w:sz w:val="21"/>
                <w:szCs w:val="21"/>
                <w:highlight w:val="none"/>
                <w:lang w:val="en-US" w:eastAsia="zh-CN"/>
              </w:rPr>
              <w:t>6</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2</w:t>
            </w:r>
          </w:p>
        </w:tc>
        <w:tc>
          <w:tcPr>
            <w:tcW w:w="564" w:type="dxa"/>
            <w:noWrap w:val="0"/>
            <w:vAlign w:val="center"/>
          </w:tcPr>
          <w:p w14:paraId="52C87C13">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551" w:type="dxa"/>
            <w:noWrap w:val="0"/>
            <w:vAlign w:val="center"/>
          </w:tcPr>
          <w:p w14:paraId="0761C3D2">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center"/>
          </w:tcPr>
          <w:p w14:paraId="1D2CBF00">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5AE08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4B5756AA">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w:t>
            </w:r>
          </w:p>
        </w:tc>
        <w:tc>
          <w:tcPr>
            <w:tcW w:w="530" w:type="dxa"/>
            <w:noWrap w:val="0"/>
            <w:vAlign w:val="center"/>
          </w:tcPr>
          <w:p w14:paraId="1807A2F0">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加分奖励</w:t>
            </w:r>
          </w:p>
        </w:tc>
        <w:tc>
          <w:tcPr>
            <w:tcW w:w="612" w:type="dxa"/>
            <w:noWrap w:val="0"/>
            <w:vAlign w:val="center"/>
          </w:tcPr>
          <w:p w14:paraId="67B95CB8">
            <w:pPr>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c>
          <w:tcPr>
            <w:tcW w:w="4486" w:type="dxa"/>
            <w:noWrap w:val="0"/>
            <w:vAlign w:val="center"/>
          </w:tcPr>
          <w:p w14:paraId="2BCF6B4C">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2"/>
                <w:sz w:val="21"/>
                <w:szCs w:val="21"/>
                <w:highlight w:val="none"/>
                <w:lang w:eastAsia="zh-CN"/>
              </w:rPr>
              <w:t>①拾金不昧，及时返还失主者，奖励</w:t>
            </w:r>
            <w:r>
              <w:rPr>
                <w:rFonts w:hint="eastAsia" w:ascii="宋体" w:hAnsi="宋体" w:eastAsia="宋体" w:cs="宋体"/>
                <w:color w:val="auto"/>
                <w:spacing w:val="-27"/>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0.5-1</w:t>
            </w:r>
            <w:r>
              <w:rPr>
                <w:rFonts w:hint="eastAsia" w:ascii="宋体" w:hAnsi="宋体" w:eastAsia="宋体" w:cs="宋体"/>
                <w:color w:val="auto"/>
                <w:spacing w:val="-44"/>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分/次，数额巨大，加倍</w:t>
            </w:r>
            <w:r>
              <w:rPr>
                <w:rFonts w:hint="eastAsia" w:ascii="宋体" w:hAnsi="宋体" w:eastAsia="宋体" w:cs="宋体"/>
                <w:color w:val="auto"/>
                <w:spacing w:val="-6"/>
                <w:sz w:val="21"/>
                <w:szCs w:val="21"/>
                <w:highlight w:val="none"/>
                <w:lang w:eastAsia="zh-CN"/>
              </w:rPr>
              <w:t>奖励；</w:t>
            </w:r>
          </w:p>
          <w:p w14:paraId="1D95D83A">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6"/>
                <w:sz w:val="21"/>
                <w:szCs w:val="21"/>
                <w:highlight w:val="none"/>
                <w:lang w:eastAsia="zh-CN"/>
              </w:rPr>
              <w:t>②见义勇为，事迹突出者，给予通报表扬，奖励</w:t>
            </w:r>
            <w:r>
              <w:rPr>
                <w:rFonts w:hint="eastAsia" w:ascii="宋体" w:hAnsi="宋体" w:eastAsia="宋体" w:cs="宋体"/>
                <w:color w:val="auto"/>
                <w:spacing w:val="-43"/>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0.5-1</w:t>
            </w:r>
            <w:r>
              <w:rPr>
                <w:rFonts w:hint="eastAsia" w:ascii="宋体" w:hAnsi="宋体" w:eastAsia="宋体" w:cs="宋体"/>
                <w:color w:val="auto"/>
                <w:spacing w:val="-44"/>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分</w:t>
            </w:r>
            <w:r>
              <w:rPr>
                <w:rFonts w:hint="eastAsia" w:ascii="宋体" w:hAnsi="宋体" w:eastAsia="宋体" w:cs="宋体"/>
                <w:color w:val="auto"/>
                <w:spacing w:val="-7"/>
                <w:sz w:val="21"/>
                <w:szCs w:val="21"/>
                <w:highlight w:val="none"/>
                <w:lang w:eastAsia="zh-CN"/>
              </w:rPr>
              <w:t>/次，</w:t>
            </w:r>
            <w:r>
              <w:rPr>
                <w:rFonts w:hint="eastAsia" w:ascii="宋体" w:hAnsi="宋体" w:eastAsia="宋体" w:cs="宋体"/>
                <w:color w:val="auto"/>
                <w:spacing w:val="2"/>
                <w:sz w:val="21"/>
                <w:szCs w:val="21"/>
                <w:highlight w:val="none"/>
                <w:lang w:eastAsia="zh-CN"/>
              </w:rPr>
              <w:t>特别突出者，加倍奖励；</w:t>
            </w:r>
          </w:p>
          <w:p w14:paraId="322F0050">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2"/>
                <w:sz w:val="21"/>
                <w:szCs w:val="21"/>
                <w:highlight w:val="none"/>
                <w:lang w:eastAsia="zh-CN"/>
              </w:rPr>
              <w:t>③及时制止治安、消防及其它突发事件，</w:t>
            </w:r>
            <w:r>
              <w:rPr>
                <w:rFonts w:hint="eastAsia" w:ascii="宋体" w:hAnsi="宋体" w:eastAsia="宋体" w:cs="宋体"/>
                <w:color w:val="auto"/>
                <w:spacing w:val="-2"/>
                <w:sz w:val="21"/>
                <w:szCs w:val="21"/>
                <w:highlight w:val="none"/>
                <w:lang w:eastAsia="zh-CN"/>
              </w:rPr>
              <w:t>保护了生命财产安全，减少经济损失，奖励</w:t>
            </w:r>
            <w:r>
              <w:rPr>
                <w:rFonts w:hint="eastAsia" w:ascii="宋体" w:hAnsi="宋体" w:eastAsia="宋体" w:cs="宋体"/>
                <w:color w:val="auto"/>
                <w:spacing w:val="-43"/>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0.5-2</w:t>
            </w:r>
            <w:r>
              <w:rPr>
                <w:rFonts w:hint="eastAsia" w:ascii="宋体" w:hAnsi="宋体" w:eastAsia="宋体" w:cs="宋体"/>
                <w:color w:val="auto"/>
                <w:spacing w:val="-45"/>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分/次。</w:t>
            </w:r>
          </w:p>
        </w:tc>
        <w:tc>
          <w:tcPr>
            <w:tcW w:w="1039" w:type="dxa"/>
            <w:noWrap w:val="0"/>
            <w:vAlign w:val="center"/>
          </w:tcPr>
          <w:p w14:paraId="0D6D3967">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8"/>
                <w:sz w:val="21"/>
                <w:szCs w:val="21"/>
                <w:highlight w:val="none"/>
                <w:lang w:eastAsia="zh-CN"/>
              </w:rPr>
              <w:t>在最终得分的基础上增加分值</w:t>
            </w:r>
          </w:p>
        </w:tc>
        <w:tc>
          <w:tcPr>
            <w:tcW w:w="564" w:type="dxa"/>
            <w:noWrap w:val="0"/>
            <w:vAlign w:val="top"/>
          </w:tcPr>
          <w:p w14:paraId="6C0AC08D">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p w14:paraId="23DD9828">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p w14:paraId="0D51AD0F">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51" w:type="dxa"/>
            <w:noWrap w:val="0"/>
            <w:vAlign w:val="center"/>
          </w:tcPr>
          <w:p w14:paraId="329FEE6D">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c>
          <w:tcPr>
            <w:tcW w:w="430" w:type="dxa"/>
            <w:noWrap w:val="0"/>
            <w:vAlign w:val="center"/>
          </w:tcPr>
          <w:p w14:paraId="533BBB3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r>
      <w:tr w14:paraId="312D7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033A71EE">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w:t>
            </w:r>
          </w:p>
        </w:tc>
        <w:tc>
          <w:tcPr>
            <w:tcW w:w="530" w:type="dxa"/>
            <w:noWrap w:val="0"/>
            <w:vAlign w:val="center"/>
          </w:tcPr>
          <w:p w14:paraId="6877AA5A">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客户服务</w:t>
            </w:r>
          </w:p>
        </w:tc>
        <w:tc>
          <w:tcPr>
            <w:tcW w:w="612" w:type="dxa"/>
            <w:noWrap w:val="0"/>
            <w:vAlign w:val="center"/>
          </w:tcPr>
          <w:p w14:paraId="3EE1087E">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4486" w:type="dxa"/>
            <w:noWrap w:val="0"/>
            <w:vAlign w:val="center"/>
          </w:tcPr>
          <w:p w14:paraId="5691362A">
            <w:pPr>
              <w:keepNext w:val="0"/>
              <w:keepLines w:val="0"/>
              <w:pageBreakBefore w:val="0"/>
              <w:wordWrap/>
              <w:topLinePunct w:val="0"/>
              <w:bidi w:val="0"/>
              <w:spacing w:line="240" w:lineRule="auto"/>
              <w:ind w:left="0" w:leftChars="0" w:right="0"/>
              <w:jc w:val="both"/>
              <w:rPr>
                <w:rFonts w:hint="eastAsia" w:ascii="宋体" w:hAnsi="宋体" w:eastAsia="宋体" w:cs="宋体"/>
                <w:color w:val="auto"/>
                <w:sz w:val="21"/>
                <w:szCs w:val="21"/>
                <w:highlight w:val="none"/>
              </w:rPr>
            </w:pPr>
          </w:p>
        </w:tc>
        <w:tc>
          <w:tcPr>
            <w:tcW w:w="1039" w:type="dxa"/>
            <w:noWrap w:val="0"/>
            <w:vAlign w:val="center"/>
          </w:tcPr>
          <w:p w14:paraId="2296C346">
            <w:pPr>
              <w:keepNext w:val="0"/>
              <w:keepLines w:val="0"/>
              <w:pageBreakBefore w:val="0"/>
              <w:wordWrap/>
              <w:topLinePunct w:val="0"/>
              <w:bidi w:val="0"/>
              <w:spacing w:line="240" w:lineRule="auto"/>
              <w:ind w:left="0" w:leftChars="0" w:right="-23" w:rightChars="-11"/>
              <w:jc w:val="center"/>
              <w:rPr>
                <w:rFonts w:hint="eastAsia" w:ascii="宋体" w:hAnsi="宋体" w:eastAsia="宋体" w:cs="宋体"/>
                <w:color w:val="auto"/>
                <w:sz w:val="21"/>
                <w:szCs w:val="21"/>
                <w:highlight w:val="none"/>
              </w:rPr>
            </w:pPr>
          </w:p>
        </w:tc>
        <w:tc>
          <w:tcPr>
            <w:tcW w:w="564" w:type="dxa"/>
            <w:noWrap w:val="0"/>
            <w:vAlign w:val="top"/>
          </w:tcPr>
          <w:p w14:paraId="4A865FDE">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551" w:type="dxa"/>
            <w:noWrap w:val="0"/>
            <w:vAlign w:val="center"/>
          </w:tcPr>
          <w:p w14:paraId="56F4119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c>
          <w:tcPr>
            <w:tcW w:w="430" w:type="dxa"/>
            <w:noWrap w:val="0"/>
            <w:vAlign w:val="center"/>
          </w:tcPr>
          <w:p w14:paraId="4FD3E60C">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r>
      <w:tr w14:paraId="4406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66CB6912">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10</w:t>
            </w:r>
          </w:p>
        </w:tc>
        <w:tc>
          <w:tcPr>
            <w:tcW w:w="530" w:type="dxa"/>
            <w:noWrap w:val="0"/>
            <w:vAlign w:val="center"/>
          </w:tcPr>
          <w:p w14:paraId="2C9B3022">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热线服务</w:t>
            </w:r>
          </w:p>
        </w:tc>
        <w:tc>
          <w:tcPr>
            <w:tcW w:w="612" w:type="dxa"/>
            <w:noWrap w:val="0"/>
            <w:vAlign w:val="center"/>
          </w:tcPr>
          <w:p w14:paraId="5FF3BDEC">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4486" w:type="dxa"/>
            <w:noWrap w:val="0"/>
            <w:vAlign w:val="center"/>
          </w:tcPr>
          <w:p w14:paraId="748F232C">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①建立</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24</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小时客户热线服务值班制度，有值班记录，字迹清晰；</w:t>
            </w:r>
          </w:p>
          <w:p w14:paraId="4E212AF7">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②</w:t>
            </w:r>
            <w:r>
              <w:rPr>
                <w:rFonts w:hint="eastAsia" w:ascii="宋体" w:hAnsi="宋体" w:eastAsia="宋体" w:cs="宋体"/>
                <w:color w:val="auto"/>
                <w:spacing w:val="-3"/>
                <w:sz w:val="21"/>
                <w:szCs w:val="21"/>
                <w:highlight w:val="none"/>
                <w:lang w:eastAsia="zh-CN"/>
              </w:rPr>
              <w:t>及时接听业主的报修、求助、建议、问询、质疑、投诉等各类电话，</w:t>
            </w:r>
            <w:r>
              <w:rPr>
                <w:rFonts w:hint="eastAsia" w:ascii="宋体" w:hAnsi="宋体" w:eastAsia="宋体" w:cs="宋体"/>
                <w:color w:val="auto"/>
                <w:spacing w:val="-2"/>
                <w:sz w:val="21"/>
                <w:szCs w:val="21"/>
                <w:highlight w:val="none"/>
                <w:lang w:eastAsia="zh-CN"/>
              </w:rPr>
              <w:t>及时收集、处理和及时反馈各类信息；</w:t>
            </w:r>
          </w:p>
          <w:p w14:paraId="26A0B815">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③一般情况，应在1个工作</w:t>
            </w:r>
            <w:r>
              <w:rPr>
                <w:rFonts w:hint="eastAsia" w:ascii="宋体" w:hAnsi="宋体" w:eastAsia="宋体" w:cs="宋体"/>
                <w:color w:val="auto"/>
                <w:spacing w:val="2"/>
                <w:sz w:val="21"/>
                <w:szCs w:val="21"/>
                <w:highlight w:val="none"/>
                <w:lang w:eastAsia="zh-CN"/>
              </w:rPr>
              <w:t>日内处理完毕，或告知处理和答复的时限；</w:t>
            </w:r>
          </w:p>
          <w:p w14:paraId="2AAFF42A">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④有回访制度和记录，对投诉事项及处理结果应及时登记存档，并掌握业主对处理结果的</w:t>
            </w:r>
            <w:r>
              <w:rPr>
                <w:rFonts w:hint="eastAsia" w:ascii="宋体" w:hAnsi="宋体" w:eastAsia="宋体" w:cs="宋体"/>
                <w:color w:val="auto"/>
                <w:spacing w:val="-2"/>
                <w:sz w:val="21"/>
                <w:szCs w:val="21"/>
                <w:highlight w:val="none"/>
                <w:lang w:eastAsia="zh-CN"/>
              </w:rPr>
              <w:t>满意度。</w:t>
            </w:r>
          </w:p>
        </w:tc>
        <w:tc>
          <w:tcPr>
            <w:tcW w:w="1039" w:type="dxa"/>
            <w:noWrap w:val="0"/>
            <w:vAlign w:val="center"/>
          </w:tcPr>
          <w:p w14:paraId="6CE0F789">
            <w:pPr>
              <w:keepNext w:val="0"/>
              <w:keepLines w:val="0"/>
              <w:pageBreakBefore w:val="0"/>
              <w:wordWrap/>
              <w:topLinePunct w:val="0"/>
              <w:bidi w:val="0"/>
              <w:spacing w:line="240" w:lineRule="auto"/>
              <w:ind w:left="0" w:leftChars="0" w:right="-23" w:rightChars="-11"/>
              <w:jc w:val="center"/>
              <w:rPr>
                <w:rFonts w:hint="eastAsia" w:ascii="宋体" w:hAnsi="宋体" w:eastAsia="宋体" w:cs="宋体"/>
                <w:color w:val="auto"/>
                <w:sz w:val="21"/>
                <w:szCs w:val="21"/>
                <w:highlight w:val="none"/>
              </w:rPr>
            </w:pPr>
          </w:p>
          <w:p w14:paraId="2B2A42D1">
            <w:pPr>
              <w:keepNext w:val="0"/>
              <w:keepLines w:val="0"/>
              <w:pageBreakBefore w:val="0"/>
              <w:wordWrap/>
              <w:topLinePunct w:val="0"/>
              <w:bidi w:val="0"/>
              <w:spacing w:line="240" w:lineRule="auto"/>
              <w:ind w:left="0" w:leftChars="0" w:right="-23" w:rightChars="-11"/>
              <w:jc w:val="center"/>
              <w:rPr>
                <w:rFonts w:hint="eastAsia" w:ascii="宋体" w:hAnsi="宋体" w:eastAsia="宋体" w:cs="宋体"/>
                <w:color w:val="auto"/>
                <w:sz w:val="21"/>
                <w:szCs w:val="21"/>
                <w:highlight w:val="none"/>
              </w:rPr>
            </w:pPr>
          </w:p>
          <w:p w14:paraId="37525308">
            <w:pPr>
              <w:pStyle w:val="127"/>
              <w:keepNext w:val="0"/>
              <w:keepLines w:val="0"/>
              <w:pageBreakBefore w:val="0"/>
              <w:wordWrap/>
              <w:topLinePunct w:val="0"/>
              <w:bidi w:val="0"/>
              <w:spacing w:line="240" w:lineRule="auto"/>
              <w:ind w:left="0" w:leftChars="0" w:right="-23" w:rightChars="-1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全部符合</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35"/>
                <w:sz w:val="21"/>
                <w:szCs w:val="21"/>
                <w:highlight w:val="none"/>
                <w:lang w:val="en-US" w:eastAsia="zh-CN"/>
              </w:rPr>
              <w:t>4</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p>
          <w:p w14:paraId="6CAFDBDE">
            <w:pPr>
              <w:pStyle w:val="127"/>
              <w:keepNext w:val="0"/>
              <w:keepLines w:val="0"/>
              <w:pageBreakBefore w:val="0"/>
              <w:wordWrap/>
              <w:topLinePunct w:val="0"/>
              <w:bidi w:val="0"/>
              <w:spacing w:line="240" w:lineRule="auto"/>
              <w:ind w:left="0" w:leftChars="0" w:right="-23" w:rightChars="-1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lang w:val="en-US" w:eastAsia="zh-CN"/>
              </w:rPr>
              <w:t>1.0</w:t>
            </w:r>
          </w:p>
        </w:tc>
        <w:tc>
          <w:tcPr>
            <w:tcW w:w="564" w:type="dxa"/>
            <w:noWrap w:val="0"/>
            <w:vAlign w:val="top"/>
          </w:tcPr>
          <w:p w14:paraId="5568631E">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551" w:type="dxa"/>
            <w:noWrap w:val="0"/>
            <w:vAlign w:val="center"/>
          </w:tcPr>
          <w:p w14:paraId="1E92B281">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c>
          <w:tcPr>
            <w:tcW w:w="430" w:type="dxa"/>
            <w:noWrap w:val="0"/>
            <w:vAlign w:val="center"/>
          </w:tcPr>
          <w:p w14:paraId="177BC480">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r>
      <w:tr w14:paraId="3836C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3DD59708">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6"/>
                <w:sz w:val="21"/>
                <w:szCs w:val="21"/>
                <w:highlight w:val="none"/>
                <w:lang w:val="en-US" w:eastAsia="zh-CN"/>
              </w:rPr>
              <w:t>11</w:t>
            </w:r>
          </w:p>
        </w:tc>
        <w:tc>
          <w:tcPr>
            <w:tcW w:w="530" w:type="dxa"/>
            <w:noWrap w:val="0"/>
            <w:vAlign w:val="center"/>
          </w:tcPr>
          <w:p w14:paraId="3202FD79">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投诉处理</w:t>
            </w:r>
          </w:p>
        </w:tc>
        <w:tc>
          <w:tcPr>
            <w:tcW w:w="612" w:type="dxa"/>
            <w:noWrap w:val="0"/>
            <w:vAlign w:val="center"/>
          </w:tcPr>
          <w:p w14:paraId="1B60576C">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4486" w:type="dxa"/>
            <w:noWrap w:val="0"/>
            <w:vAlign w:val="center"/>
          </w:tcPr>
          <w:p w14:paraId="6BF207C4">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①应</w:t>
            </w:r>
            <w:r>
              <w:rPr>
                <w:rFonts w:hint="eastAsia" w:ascii="宋体" w:hAnsi="宋体" w:eastAsia="宋体" w:cs="宋体"/>
                <w:color w:val="auto"/>
                <w:spacing w:val="-2"/>
                <w:sz w:val="21"/>
                <w:szCs w:val="21"/>
                <w:highlight w:val="none"/>
                <w:lang w:eastAsia="zh-CN"/>
              </w:rPr>
              <w:t>将投诉渠道及相关负责人信息进行公示；</w:t>
            </w:r>
          </w:p>
          <w:p w14:paraId="49A3D7D1">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②接到有效投诉后，应根据投诉事项严重性，安排相应的负责人员，在30分钟内到达现场确认，并根据实际情况，至多不超过 5 个工作日将问题处理完毕；</w:t>
            </w:r>
          </w:p>
          <w:p w14:paraId="739E7154">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③在一般情况下，即时受理的责任性投诉应在30 分钟内给予答复；书面回复的应在</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lang w:eastAsia="zh-CN"/>
              </w:rPr>
              <w:t>个工作日内完成。</w:t>
            </w:r>
          </w:p>
          <w:p w14:paraId="440D0ED7">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④非责任性投诉应向投诉人说明责任范围并在职责范围内提供必要协助；</w:t>
            </w:r>
          </w:p>
          <w:p w14:paraId="2C9B3D03">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⑤投诉处理率应为100% 投诉处理及时率应为100%；可联络投诉回复率应为100%；</w:t>
            </w:r>
          </w:p>
          <w:p w14:paraId="46291DA9">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⑥对投诉事项及处理结果应登记存档，并掌握业主对处理结果的满意度。</w:t>
            </w:r>
          </w:p>
        </w:tc>
        <w:tc>
          <w:tcPr>
            <w:tcW w:w="1039" w:type="dxa"/>
            <w:noWrap w:val="0"/>
            <w:vAlign w:val="center"/>
          </w:tcPr>
          <w:p w14:paraId="194A9F59">
            <w:pPr>
              <w:pStyle w:val="127"/>
              <w:keepNext w:val="0"/>
              <w:keepLines w:val="0"/>
              <w:pageBreakBefore w:val="0"/>
              <w:wordWrap/>
              <w:topLinePunct w:val="0"/>
              <w:bidi w:val="0"/>
              <w:spacing w:line="240" w:lineRule="auto"/>
              <w:ind w:left="0" w:leftChars="0" w:right="-23" w:rightChars="-1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3"/>
                <w:sz w:val="21"/>
                <w:szCs w:val="21"/>
                <w:highlight w:val="none"/>
                <w:lang w:eastAsia="zh-CN"/>
              </w:rPr>
              <w:t xml:space="preserve"> </w:t>
            </w:r>
            <w:r>
              <w:rPr>
                <w:rFonts w:hint="eastAsia" w:ascii="宋体" w:hAnsi="宋体" w:eastAsia="宋体" w:cs="宋体"/>
                <w:color w:val="auto"/>
                <w:spacing w:val="-43"/>
                <w:sz w:val="21"/>
                <w:szCs w:val="21"/>
                <w:highlight w:val="none"/>
                <w:lang w:val="en-US" w:eastAsia="zh-CN"/>
              </w:rPr>
              <w:t>6</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1.0</w:t>
            </w:r>
          </w:p>
        </w:tc>
        <w:tc>
          <w:tcPr>
            <w:tcW w:w="564" w:type="dxa"/>
            <w:noWrap w:val="0"/>
            <w:vAlign w:val="top"/>
          </w:tcPr>
          <w:p w14:paraId="379C40A4">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lang w:eastAsia="zh-CN"/>
              </w:rPr>
            </w:pPr>
          </w:p>
        </w:tc>
        <w:tc>
          <w:tcPr>
            <w:tcW w:w="551" w:type="dxa"/>
            <w:noWrap w:val="0"/>
            <w:vAlign w:val="center"/>
          </w:tcPr>
          <w:p w14:paraId="1390A95B">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center"/>
          </w:tcPr>
          <w:p w14:paraId="418D4837">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16E0E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50C6E5ED">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2</w:t>
            </w:r>
          </w:p>
        </w:tc>
        <w:tc>
          <w:tcPr>
            <w:tcW w:w="530" w:type="dxa"/>
            <w:noWrap w:val="0"/>
            <w:vAlign w:val="center"/>
          </w:tcPr>
          <w:p w14:paraId="262B0E04">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信报收发</w:t>
            </w:r>
          </w:p>
        </w:tc>
        <w:tc>
          <w:tcPr>
            <w:tcW w:w="612" w:type="dxa"/>
            <w:noWrap w:val="0"/>
            <w:vAlign w:val="center"/>
          </w:tcPr>
          <w:p w14:paraId="3C202BE7">
            <w:pPr>
              <w:pStyle w:val="127"/>
              <w:keepNext w:val="0"/>
              <w:keepLines w:val="0"/>
              <w:pageBreakBefore w:val="0"/>
              <w:wordWrap/>
              <w:topLinePunct w:val="0"/>
              <w:bidi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4486" w:type="dxa"/>
            <w:noWrap w:val="0"/>
            <w:vAlign w:val="center"/>
          </w:tcPr>
          <w:p w14:paraId="5476D13F">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①正确有效分拣好各类报刊，并及时准确投送到相应的信箱内；</w:t>
            </w:r>
          </w:p>
          <w:p w14:paraId="175DCC3D">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3"/>
                <w:sz w:val="21"/>
                <w:szCs w:val="21"/>
                <w:highlight w:val="none"/>
                <w:lang w:eastAsia="zh-CN"/>
              </w:rPr>
              <w:t>②</w:t>
            </w:r>
            <w:r>
              <w:rPr>
                <w:rFonts w:hint="eastAsia" w:ascii="宋体" w:hAnsi="宋体" w:eastAsia="宋体" w:cs="宋体"/>
                <w:color w:val="auto"/>
                <w:spacing w:val="-1"/>
                <w:sz w:val="21"/>
                <w:szCs w:val="21"/>
                <w:highlight w:val="none"/>
                <w:lang w:eastAsia="zh-CN"/>
              </w:rPr>
              <w:t>做好挂号信、汇款单、以及快递等特殊邮件的登记工作</w:t>
            </w:r>
          </w:p>
          <w:p w14:paraId="2D76ED71">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③因业主原因无法及时派送到人的信件，应做好信息登记，及时做好后续沟通工作等；</w:t>
            </w:r>
          </w:p>
          <w:p w14:paraId="7F194511">
            <w:pPr>
              <w:pStyle w:val="127"/>
              <w:keepNext w:val="0"/>
              <w:keepLines w:val="0"/>
              <w:pageBreakBefore w:val="0"/>
              <w:wordWrap/>
              <w:topLinePunct w:val="0"/>
              <w:bidi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④正确处理各类盲信、退信、以及受损等信件，做好台账登记工作对特殊邮件的处理应</w:t>
            </w:r>
            <w:r>
              <w:rPr>
                <w:rFonts w:hint="eastAsia" w:ascii="宋体" w:hAnsi="宋体" w:eastAsia="宋体" w:cs="宋体"/>
                <w:color w:val="auto"/>
                <w:spacing w:val="-1"/>
                <w:sz w:val="21"/>
                <w:szCs w:val="21"/>
                <w:highlight w:val="none"/>
                <w:lang w:eastAsia="zh-CN"/>
              </w:rPr>
              <w:t>作出责任申明等。</w:t>
            </w:r>
          </w:p>
        </w:tc>
        <w:tc>
          <w:tcPr>
            <w:tcW w:w="1039" w:type="dxa"/>
            <w:noWrap w:val="0"/>
            <w:vAlign w:val="center"/>
          </w:tcPr>
          <w:p w14:paraId="33860B80">
            <w:pPr>
              <w:pStyle w:val="127"/>
              <w:keepNext w:val="0"/>
              <w:keepLines w:val="0"/>
              <w:pageBreakBefore w:val="0"/>
              <w:wordWrap/>
              <w:topLinePunct w:val="0"/>
              <w:bidi w:val="0"/>
              <w:spacing w:line="240" w:lineRule="auto"/>
              <w:ind w:left="0" w:leftChars="0" w:right="-23" w:rightChars="-11"/>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42"/>
                <w:sz w:val="21"/>
                <w:szCs w:val="21"/>
                <w:highlight w:val="none"/>
                <w:lang w:val="en-US" w:eastAsia="zh-CN"/>
              </w:rPr>
              <w:t>2</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0.5</w:t>
            </w:r>
          </w:p>
        </w:tc>
        <w:tc>
          <w:tcPr>
            <w:tcW w:w="564" w:type="dxa"/>
            <w:noWrap w:val="0"/>
            <w:vAlign w:val="top"/>
          </w:tcPr>
          <w:p w14:paraId="7BFD559E">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lang w:eastAsia="zh-CN"/>
              </w:rPr>
            </w:pPr>
          </w:p>
        </w:tc>
        <w:tc>
          <w:tcPr>
            <w:tcW w:w="551" w:type="dxa"/>
            <w:noWrap w:val="0"/>
            <w:vAlign w:val="center"/>
          </w:tcPr>
          <w:p w14:paraId="331A328E">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center"/>
          </w:tcPr>
          <w:p w14:paraId="5BC58689">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5194C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1B903D53">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w:t>
            </w:r>
          </w:p>
        </w:tc>
        <w:tc>
          <w:tcPr>
            <w:tcW w:w="530" w:type="dxa"/>
            <w:noWrap w:val="0"/>
            <w:vAlign w:val="center"/>
          </w:tcPr>
          <w:p w14:paraId="79EBB34F">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安保</w:t>
            </w:r>
            <w:r>
              <w:rPr>
                <w:rFonts w:hint="eastAsia" w:ascii="宋体" w:hAnsi="宋体" w:eastAsia="宋体" w:cs="宋体"/>
                <w:color w:val="auto"/>
                <w:spacing w:val="-2"/>
                <w:sz w:val="21"/>
                <w:szCs w:val="21"/>
                <w:highlight w:val="none"/>
                <w:lang w:val="en-US" w:eastAsia="zh-CN"/>
              </w:rPr>
              <w:t>,保洁</w:t>
            </w:r>
            <w:r>
              <w:rPr>
                <w:rFonts w:hint="eastAsia" w:ascii="宋体" w:hAnsi="宋体" w:eastAsia="宋体" w:cs="宋体"/>
                <w:color w:val="auto"/>
                <w:spacing w:val="-2"/>
                <w:sz w:val="21"/>
                <w:szCs w:val="21"/>
                <w:highlight w:val="none"/>
              </w:rPr>
              <w:t>及车场管理</w:t>
            </w:r>
            <w:r>
              <w:rPr>
                <w:rFonts w:hint="eastAsia" w:ascii="宋体" w:hAnsi="宋体" w:eastAsia="宋体" w:cs="宋体"/>
                <w:color w:val="auto"/>
                <w:spacing w:val="-2"/>
                <w:sz w:val="21"/>
                <w:szCs w:val="21"/>
                <w:highlight w:val="none"/>
                <w:lang w:eastAsia="zh-CN"/>
              </w:rPr>
              <w:t>等</w:t>
            </w:r>
          </w:p>
        </w:tc>
        <w:tc>
          <w:tcPr>
            <w:tcW w:w="612" w:type="dxa"/>
            <w:noWrap w:val="0"/>
            <w:vAlign w:val="center"/>
          </w:tcPr>
          <w:p w14:paraId="7305FB6C">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w:t>
            </w:r>
          </w:p>
        </w:tc>
        <w:tc>
          <w:tcPr>
            <w:tcW w:w="4486" w:type="dxa"/>
            <w:noWrap w:val="0"/>
            <w:vAlign w:val="center"/>
          </w:tcPr>
          <w:p w14:paraId="12A4E5BC">
            <w:pPr>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z w:val="21"/>
                <w:szCs w:val="21"/>
                <w:highlight w:val="none"/>
              </w:rPr>
            </w:pPr>
          </w:p>
        </w:tc>
        <w:tc>
          <w:tcPr>
            <w:tcW w:w="1039" w:type="dxa"/>
            <w:noWrap w:val="0"/>
            <w:vAlign w:val="center"/>
          </w:tcPr>
          <w:p w14:paraId="786B8361">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tc>
        <w:tc>
          <w:tcPr>
            <w:tcW w:w="564" w:type="dxa"/>
            <w:noWrap w:val="0"/>
            <w:vAlign w:val="top"/>
          </w:tcPr>
          <w:p w14:paraId="4A4660C3">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551" w:type="dxa"/>
            <w:noWrap w:val="0"/>
            <w:vAlign w:val="center"/>
          </w:tcPr>
          <w:p w14:paraId="7ED85D6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c>
          <w:tcPr>
            <w:tcW w:w="430" w:type="dxa"/>
            <w:noWrap w:val="0"/>
            <w:vAlign w:val="center"/>
          </w:tcPr>
          <w:p w14:paraId="08A4F507">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r>
      <w:tr w14:paraId="04948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12567E0A">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13</w:t>
            </w:r>
          </w:p>
        </w:tc>
        <w:tc>
          <w:tcPr>
            <w:tcW w:w="530" w:type="dxa"/>
            <w:noWrap w:val="0"/>
            <w:vAlign w:val="center"/>
          </w:tcPr>
          <w:p w14:paraId="06D18382">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基本要求</w:t>
            </w:r>
          </w:p>
        </w:tc>
        <w:tc>
          <w:tcPr>
            <w:tcW w:w="612" w:type="dxa"/>
            <w:noWrap w:val="0"/>
            <w:vAlign w:val="center"/>
          </w:tcPr>
          <w:p w14:paraId="1C2DF5DC">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486" w:type="dxa"/>
            <w:noWrap w:val="0"/>
            <w:vAlign w:val="center"/>
          </w:tcPr>
          <w:p w14:paraId="32DCEC2E">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2"/>
                <w:sz w:val="21"/>
                <w:szCs w:val="21"/>
                <w:highlight w:val="none"/>
                <w:lang w:eastAsia="zh-CN"/>
              </w:rPr>
              <w:t>①应制定出入管理、停车管理、巡查管理等各项管理制</w:t>
            </w:r>
            <w:r>
              <w:rPr>
                <w:rFonts w:hint="eastAsia" w:ascii="宋体" w:hAnsi="宋体" w:eastAsia="宋体" w:cs="宋体"/>
                <w:color w:val="auto"/>
                <w:spacing w:val="-1"/>
                <w:sz w:val="21"/>
                <w:szCs w:val="21"/>
                <w:highlight w:val="none"/>
                <w:lang w:eastAsia="zh-CN"/>
              </w:rPr>
              <w:t>度、</w:t>
            </w:r>
            <w:r>
              <w:rPr>
                <w:rFonts w:hint="eastAsia" w:ascii="宋体" w:hAnsi="宋体" w:eastAsia="宋体" w:cs="宋体"/>
                <w:color w:val="auto"/>
                <w:spacing w:val="-13"/>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操作规程、应急处置预案，并按要求执行；各项记录齐全。</w:t>
            </w:r>
          </w:p>
          <w:p w14:paraId="5584DEEE">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1"/>
                <w:sz w:val="21"/>
                <w:szCs w:val="21"/>
                <w:highlight w:val="none"/>
                <w:lang w:eastAsia="zh-CN"/>
              </w:rPr>
              <w:t xml:space="preserve">② </w:t>
            </w:r>
            <w:r>
              <w:rPr>
                <w:rFonts w:hint="eastAsia" w:ascii="宋体" w:hAnsi="宋体" w:eastAsia="宋体" w:cs="宋体"/>
                <w:color w:val="auto"/>
                <w:spacing w:val="2"/>
                <w:sz w:val="21"/>
                <w:szCs w:val="21"/>
                <w:highlight w:val="none"/>
                <w:lang w:eastAsia="zh-CN"/>
              </w:rPr>
              <w:t>根据值守岗位的实际需要，配备相应的保安人员。安保人员应接受队列训练、交通手势指挥、消防技能、安防知识与技能、服务礼仪</w:t>
            </w:r>
            <w:r>
              <w:rPr>
                <w:rFonts w:hint="eastAsia" w:ascii="宋体" w:hAnsi="宋体" w:eastAsia="宋体" w:cs="宋体"/>
                <w:color w:val="auto"/>
                <w:spacing w:val="-6"/>
                <w:sz w:val="21"/>
                <w:szCs w:val="21"/>
                <w:highlight w:val="none"/>
                <w:lang w:eastAsia="zh-CN"/>
              </w:rPr>
              <w:t>等业务培训，并服从工作分配与岗位调度，接受</w:t>
            </w:r>
            <w:r>
              <w:rPr>
                <w:rFonts w:hint="eastAsia" w:ascii="宋体" w:hAnsi="宋体" w:eastAsia="宋体" w:cs="宋体"/>
                <w:color w:val="auto"/>
                <w:spacing w:val="-45"/>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24</w:t>
            </w:r>
            <w:r>
              <w:rPr>
                <w:rFonts w:hint="eastAsia" w:ascii="宋体" w:hAnsi="宋体" w:eastAsia="宋体" w:cs="宋体"/>
                <w:color w:val="auto"/>
                <w:spacing w:val="-40"/>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小时轮班工作</w:t>
            </w:r>
            <w:r>
              <w:rPr>
                <w:rFonts w:hint="eastAsia" w:ascii="宋体" w:hAnsi="宋体" w:eastAsia="宋体" w:cs="宋体"/>
                <w:color w:val="auto"/>
                <w:spacing w:val="-7"/>
                <w:sz w:val="21"/>
                <w:szCs w:val="21"/>
                <w:highlight w:val="none"/>
                <w:lang w:eastAsia="zh-CN"/>
              </w:rPr>
              <w:t>制，</w:t>
            </w:r>
            <w:r>
              <w:rPr>
                <w:rFonts w:hint="eastAsia" w:ascii="宋体" w:hAnsi="宋体" w:eastAsia="宋体" w:cs="宋体"/>
                <w:color w:val="auto"/>
                <w:spacing w:val="-4"/>
                <w:sz w:val="21"/>
                <w:szCs w:val="21"/>
                <w:highlight w:val="none"/>
                <w:lang w:eastAsia="zh-CN"/>
              </w:rPr>
              <w:t>当值人员应至少提前</w:t>
            </w:r>
            <w:r>
              <w:rPr>
                <w:rFonts w:hint="eastAsia" w:ascii="宋体" w:hAnsi="宋体" w:eastAsia="宋体" w:cs="宋体"/>
                <w:color w:val="auto"/>
                <w:spacing w:val="-20"/>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10 分钟到达工作岗位，做好交接事宜。</w:t>
            </w:r>
          </w:p>
          <w:p w14:paraId="1039D036">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4"/>
                <w:sz w:val="21"/>
                <w:szCs w:val="21"/>
                <w:highlight w:val="none"/>
                <w:lang w:eastAsia="zh-CN"/>
              </w:rPr>
              <w:t>③保安</w:t>
            </w:r>
            <w:r>
              <w:rPr>
                <w:rFonts w:hint="eastAsia" w:ascii="宋体" w:hAnsi="宋体" w:eastAsia="宋体" w:cs="宋体"/>
                <w:color w:val="auto"/>
                <w:spacing w:val="-5"/>
                <w:sz w:val="21"/>
                <w:szCs w:val="21"/>
                <w:highlight w:val="none"/>
                <w:lang w:eastAsia="zh-CN"/>
              </w:rPr>
              <w:t>人员应配备安全管理所需的防范装备及器械，可包括</w:t>
            </w:r>
            <w:r>
              <w:rPr>
                <w:rFonts w:hint="eastAsia" w:ascii="宋体" w:hAnsi="宋体" w:eastAsia="宋体" w:cs="宋体"/>
                <w:color w:val="auto"/>
                <w:spacing w:val="2"/>
                <w:sz w:val="21"/>
                <w:szCs w:val="21"/>
                <w:highlight w:val="none"/>
                <w:lang w:eastAsia="zh-CN"/>
              </w:rPr>
              <w:t>安保装备、安保（警用）器械等。</w:t>
            </w:r>
          </w:p>
          <w:p w14:paraId="1FEE1CFA">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④保安人员上岗时应佩戴统一标</w:t>
            </w:r>
            <w:r>
              <w:rPr>
                <w:rFonts w:hint="eastAsia" w:ascii="宋体" w:hAnsi="宋体" w:eastAsia="宋体" w:cs="宋体"/>
                <w:color w:val="auto"/>
                <w:spacing w:val="-2"/>
                <w:sz w:val="21"/>
                <w:szCs w:val="21"/>
                <w:highlight w:val="none"/>
                <w:lang w:eastAsia="zh-CN"/>
              </w:rPr>
              <w:t>志，按要求着装并佩带器械，仪容仪表整洁规范。</w:t>
            </w:r>
          </w:p>
        </w:tc>
        <w:tc>
          <w:tcPr>
            <w:tcW w:w="1039" w:type="dxa"/>
            <w:noWrap w:val="0"/>
            <w:vAlign w:val="center"/>
          </w:tcPr>
          <w:p w14:paraId="477CC001">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42"/>
                <w:sz w:val="21"/>
                <w:szCs w:val="21"/>
                <w:highlight w:val="none"/>
                <w:lang w:val="en-US" w:eastAsia="zh-CN"/>
              </w:rPr>
              <w:t>4</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1.0</w:t>
            </w:r>
          </w:p>
        </w:tc>
        <w:tc>
          <w:tcPr>
            <w:tcW w:w="564" w:type="dxa"/>
            <w:noWrap w:val="0"/>
            <w:vAlign w:val="top"/>
          </w:tcPr>
          <w:p w14:paraId="69960D31">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lang w:eastAsia="zh-CN"/>
              </w:rPr>
            </w:pPr>
          </w:p>
        </w:tc>
        <w:tc>
          <w:tcPr>
            <w:tcW w:w="551" w:type="dxa"/>
            <w:noWrap w:val="0"/>
            <w:vAlign w:val="center"/>
          </w:tcPr>
          <w:p w14:paraId="2F36BDCC">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center"/>
          </w:tcPr>
          <w:p w14:paraId="60DBEB6F">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5FD45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2E11B26F">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3"/>
                <w:sz w:val="21"/>
                <w:szCs w:val="21"/>
                <w:highlight w:val="none"/>
                <w:lang w:eastAsia="zh-CN"/>
              </w:rPr>
              <w:t>14</w:t>
            </w:r>
          </w:p>
        </w:tc>
        <w:tc>
          <w:tcPr>
            <w:tcW w:w="530" w:type="dxa"/>
            <w:noWrap w:val="0"/>
            <w:vAlign w:val="center"/>
          </w:tcPr>
          <w:p w14:paraId="4AEC5262">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8"/>
                <w:sz w:val="21"/>
                <w:szCs w:val="21"/>
                <w:highlight w:val="none"/>
              </w:rPr>
              <w:t>门卫值守</w:t>
            </w:r>
          </w:p>
        </w:tc>
        <w:tc>
          <w:tcPr>
            <w:tcW w:w="612" w:type="dxa"/>
            <w:noWrap w:val="0"/>
            <w:vAlign w:val="center"/>
          </w:tcPr>
          <w:p w14:paraId="4E9F3C8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486" w:type="dxa"/>
            <w:noWrap w:val="0"/>
            <w:vAlign w:val="center"/>
          </w:tcPr>
          <w:p w14:paraId="37C6D7C8">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①人员管理：</w:t>
            </w:r>
          </w:p>
          <w:p w14:paraId="2BE9D543">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2"/>
                <w:sz w:val="21"/>
                <w:szCs w:val="21"/>
                <w:highlight w:val="none"/>
                <w:lang w:eastAsia="zh-CN"/>
              </w:rPr>
              <w:t>a.大楼基本实行封闭式管理，主要出入口应安排</w:t>
            </w:r>
            <w:r>
              <w:rPr>
                <w:rFonts w:hint="eastAsia" w:ascii="宋体" w:hAnsi="宋体" w:eastAsia="宋体" w:cs="宋体"/>
                <w:color w:val="auto"/>
                <w:spacing w:val="-43"/>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24</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小</w:t>
            </w:r>
            <w:r>
              <w:rPr>
                <w:rFonts w:hint="eastAsia" w:ascii="宋体" w:hAnsi="宋体" w:eastAsia="宋体" w:cs="宋体"/>
                <w:color w:val="auto"/>
                <w:spacing w:val="-1"/>
                <w:sz w:val="21"/>
                <w:szCs w:val="21"/>
                <w:highlight w:val="none"/>
                <w:lang w:eastAsia="zh-CN"/>
              </w:rPr>
              <w:t>时值岗；</w:t>
            </w:r>
          </w:p>
          <w:p w14:paraId="28615FFA">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1"/>
                <w:sz w:val="21"/>
                <w:szCs w:val="21"/>
                <w:highlight w:val="none"/>
                <w:lang w:eastAsia="zh-CN"/>
              </w:rPr>
              <w:t>b.对外来人员及车辆（访问、</w:t>
            </w:r>
            <w:r>
              <w:rPr>
                <w:rFonts w:hint="eastAsia" w:ascii="宋体" w:hAnsi="宋体" w:eastAsia="宋体" w:cs="宋体"/>
                <w:color w:val="auto"/>
                <w:spacing w:val="-2"/>
                <w:sz w:val="21"/>
                <w:szCs w:val="21"/>
                <w:highlight w:val="none"/>
                <w:lang w:eastAsia="zh-CN"/>
              </w:rPr>
              <w:t>参观、施工、送货等）执行</w:t>
            </w:r>
            <w:r>
              <w:rPr>
                <w:rFonts w:hint="eastAsia" w:ascii="宋体" w:hAnsi="宋体" w:eastAsia="宋体" w:cs="宋体"/>
                <w:color w:val="auto"/>
                <w:spacing w:val="-4"/>
                <w:sz w:val="21"/>
                <w:szCs w:val="21"/>
                <w:highlight w:val="none"/>
                <w:lang w:eastAsia="zh-CN"/>
              </w:rPr>
              <w:t>来访证件登记制度；</w:t>
            </w:r>
          </w:p>
          <w:p w14:paraId="4C0A911D">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4"/>
                <w:sz w:val="21"/>
                <w:szCs w:val="21"/>
                <w:highlight w:val="none"/>
                <w:lang w:eastAsia="zh-CN"/>
              </w:rPr>
              <w:t>c.信访人员应介绍到接访部门或通知信访办有</w:t>
            </w:r>
            <w:r>
              <w:rPr>
                <w:rFonts w:hint="eastAsia" w:ascii="宋体" w:hAnsi="宋体" w:eastAsia="宋体" w:cs="宋体"/>
                <w:color w:val="auto"/>
                <w:spacing w:val="-5"/>
                <w:sz w:val="21"/>
                <w:szCs w:val="21"/>
                <w:highlight w:val="none"/>
                <w:lang w:eastAsia="zh-CN"/>
              </w:rPr>
              <w:t>关人员接访，不得影响办公区域正常的生活和工作秩序；</w:t>
            </w:r>
          </w:p>
          <w:p w14:paraId="72683491">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5"/>
                <w:sz w:val="21"/>
                <w:szCs w:val="21"/>
                <w:highlight w:val="none"/>
                <w:lang w:eastAsia="zh-CN"/>
              </w:rPr>
              <w:t>d.问候、</w:t>
            </w:r>
            <w:r>
              <w:rPr>
                <w:rFonts w:hint="eastAsia" w:ascii="宋体" w:hAnsi="宋体" w:eastAsia="宋体" w:cs="宋体"/>
                <w:color w:val="auto"/>
                <w:spacing w:val="1"/>
                <w:sz w:val="21"/>
                <w:szCs w:val="21"/>
                <w:highlight w:val="none"/>
                <w:lang w:eastAsia="zh-CN"/>
              </w:rPr>
              <w:t>问话、回答等用语规范，必要时引导至电梯厅或指示到达的方向、</w:t>
            </w:r>
            <w:r>
              <w:rPr>
                <w:rFonts w:hint="eastAsia" w:ascii="宋体" w:hAnsi="宋体" w:eastAsia="宋体" w:cs="宋体"/>
                <w:color w:val="auto"/>
                <w:spacing w:val="-1"/>
                <w:sz w:val="21"/>
                <w:szCs w:val="21"/>
                <w:highlight w:val="none"/>
                <w:lang w:eastAsia="zh-CN"/>
              </w:rPr>
              <w:t>部位；</w:t>
            </w:r>
          </w:p>
          <w:p w14:paraId="11202366">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1"/>
                <w:sz w:val="21"/>
                <w:szCs w:val="21"/>
                <w:highlight w:val="none"/>
                <w:lang w:eastAsia="zh-CN"/>
              </w:rPr>
              <w:t>e.非办公时间进入办公楼的人员</w:t>
            </w:r>
            <w:r>
              <w:rPr>
                <w:rFonts w:hint="eastAsia" w:ascii="宋体" w:hAnsi="宋体" w:eastAsia="宋体" w:cs="宋体"/>
                <w:color w:val="auto"/>
                <w:spacing w:val="-2"/>
                <w:sz w:val="21"/>
                <w:szCs w:val="21"/>
                <w:highlight w:val="none"/>
                <w:lang w:eastAsia="zh-CN"/>
              </w:rPr>
              <w:t>应实施详细登记，必要时通</w:t>
            </w:r>
            <w:r>
              <w:rPr>
                <w:rFonts w:hint="eastAsia" w:ascii="宋体" w:hAnsi="宋体" w:eastAsia="宋体" w:cs="宋体"/>
                <w:color w:val="auto"/>
                <w:spacing w:val="-4"/>
                <w:sz w:val="21"/>
                <w:szCs w:val="21"/>
                <w:highlight w:val="none"/>
                <w:lang w:eastAsia="zh-CN"/>
              </w:rPr>
              <w:t>知监控中心实施监控。</w:t>
            </w:r>
          </w:p>
          <w:p w14:paraId="4277D0E6">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②物品管控：</w:t>
            </w:r>
          </w:p>
          <w:p w14:paraId="6F31937D">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4"/>
                <w:sz w:val="21"/>
                <w:szCs w:val="21"/>
                <w:highlight w:val="none"/>
                <w:lang w:eastAsia="zh-CN"/>
              </w:rPr>
              <w:t>a.进入办公楼的物品应符合国</w:t>
            </w:r>
            <w:r>
              <w:rPr>
                <w:rFonts w:hint="eastAsia" w:ascii="宋体" w:hAnsi="宋体" w:eastAsia="宋体" w:cs="宋体"/>
                <w:color w:val="auto"/>
                <w:spacing w:val="2"/>
                <w:sz w:val="21"/>
                <w:szCs w:val="21"/>
                <w:highlight w:val="none"/>
                <w:lang w:eastAsia="zh-CN"/>
              </w:rPr>
              <w:t>家卫生检疫标准和安全防范要求，并进行检查登记，大件物品进出</w:t>
            </w:r>
            <w:r>
              <w:rPr>
                <w:rFonts w:hint="eastAsia" w:ascii="宋体" w:hAnsi="宋体" w:eastAsia="宋体" w:cs="宋体"/>
                <w:color w:val="auto"/>
                <w:spacing w:val="-3"/>
                <w:sz w:val="21"/>
                <w:szCs w:val="21"/>
                <w:highlight w:val="none"/>
                <w:lang w:eastAsia="zh-CN"/>
              </w:rPr>
              <w:t>实行审验制度；</w:t>
            </w:r>
          </w:p>
          <w:p w14:paraId="450517AF">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3"/>
                <w:sz w:val="21"/>
                <w:szCs w:val="21"/>
                <w:highlight w:val="none"/>
                <w:lang w:eastAsia="zh-CN"/>
              </w:rPr>
              <w:t>b.拒绝易燃易爆等危险物品</w:t>
            </w:r>
            <w:r>
              <w:rPr>
                <w:rFonts w:hint="eastAsia" w:ascii="宋体" w:hAnsi="宋体" w:eastAsia="宋体" w:cs="宋体"/>
                <w:color w:val="auto"/>
                <w:spacing w:val="-4"/>
                <w:sz w:val="21"/>
                <w:szCs w:val="21"/>
                <w:highlight w:val="none"/>
                <w:lang w:eastAsia="zh-CN"/>
              </w:rPr>
              <w:t>进入大楼，禁止无证明</w:t>
            </w:r>
            <w:r>
              <w:rPr>
                <w:rFonts w:hint="eastAsia" w:ascii="宋体" w:hAnsi="宋体" w:eastAsia="宋体" w:cs="宋体"/>
                <w:color w:val="auto"/>
                <w:spacing w:val="-2"/>
                <w:sz w:val="21"/>
                <w:szCs w:val="21"/>
                <w:highlight w:val="none"/>
                <w:lang w:eastAsia="zh-CN"/>
              </w:rPr>
              <w:t>或无许可的大件物品流出大楼；</w:t>
            </w:r>
          </w:p>
          <w:p w14:paraId="1F72B4B2">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2"/>
                <w:sz w:val="21"/>
                <w:szCs w:val="21"/>
                <w:highlight w:val="none"/>
                <w:lang w:eastAsia="zh-CN"/>
              </w:rPr>
              <w:t>c.当发现有携带可疑危险品（</w:t>
            </w:r>
            <w:r>
              <w:rPr>
                <w:rFonts w:hint="eastAsia" w:ascii="宋体" w:hAnsi="宋体" w:eastAsia="宋体" w:cs="宋体"/>
                <w:color w:val="auto"/>
                <w:spacing w:val="-3"/>
                <w:sz w:val="21"/>
                <w:szCs w:val="21"/>
                <w:highlight w:val="none"/>
                <w:lang w:eastAsia="zh-CN"/>
              </w:rPr>
              <w:t>易燃、</w:t>
            </w:r>
            <w:r>
              <w:rPr>
                <w:rFonts w:hint="eastAsia" w:ascii="宋体" w:hAnsi="宋体" w:eastAsia="宋体" w:cs="宋体"/>
                <w:color w:val="auto"/>
                <w:spacing w:val="-4"/>
                <w:sz w:val="21"/>
                <w:szCs w:val="21"/>
                <w:highlight w:val="none"/>
                <w:lang w:eastAsia="zh-CN"/>
              </w:rPr>
              <w:t>易爆、剧毒等）进入时，应予以扣留，并上报主管部门；</w:t>
            </w:r>
          </w:p>
          <w:p w14:paraId="01B34597">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4"/>
                <w:sz w:val="21"/>
                <w:szCs w:val="21"/>
                <w:highlight w:val="none"/>
                <w:lang w:eastAsia="zh-CN"/>
              </w:rPr>
              <w:t>d.施工人</w:t>
            </w:r>
            <w:r>
              <w:rPr>
                <w:rFonts w:hint="eastAsia" w:ascii="宋体" w:hAnsi="宋体" w:eastAsia="宋体" w:cs="宋体"/>
                <w:color w:val="auto"/>
                <w:spacing w:val="2"/>
                <w:sz w:val="21"/>
                <w:szCs w:val="21"/>
                <w:highlight w:val="none"/>
                <w:lang w:eastAsia="zh-CN"/>
              </w:rPr>
              <w:t xml:space="preserve">员携带物品出办公楼，应有相关部门开据的证明和清单，经核实后放行 </w:t>
            </w:r>
          </w:p>
          <w:p w14:paraId="5801251D">
            <w:pPr>
              <w:pStyle w:val="127"/>
              <w:keepNext w:val="0"/>
              <w:keepLines w:val="0"/>
              <w:pageBreakBefore w:val="0"/>
              <w:wordWrap/>
              <w:topLinePunct w:val="0"/>
              <w:bidi w:val="0"/>
              <w:adjustRightInd w:val="0"/>
              <w:snapToGrid w:val="0"/>
              <w:spacing w:line="240" w:lineRule="auto"/>
              <w:ind w:left="0" w:leftChars="0" w:right="0" w:hanging="1"/>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e.可向入业主人员提供临时性物品寄存服务，转交物品应做好登记。</w:t>
            </w:r>
          </w:p>
        </w:tc>
        <w:tc>
          <w:tcPr>
            <w:tcW w:w="1039" w:type="dxa"/>
            <w:noWrap w:val="0"/>
            <w:vAlign w:val="center"/>
          </w:tcPr>
          <w:p w14:paraId="0F0BE8D0">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3C78B474">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9"/>
                <w:sz w:val="21"/>
                <w:szCs w:val="21"/>
                <w:highlight w:val="none"/>
                <w:lang w:eastAsia="zh-CN"/>
              </w:rPr>
              <w:t>全部符合</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35"/>
                <w:sz w:val="21"/>
                <w:szCs w:val="21"/>
                <w:highlight w:val="none"/>
                <w:lang w:val="en-US" w:eastAsia="zh-CN"/>
              </w:rPr>
              <w:t>4</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2.0</w:t>
            </w:r>
          </w:p>
        </w:tc>
        <w:tc>
          <w:tcPr>
            <w:tcW w:w="564" w:type="dxa"/>
            <w:noWrap w:val="0"/>
            <w:vAlign w:val="top"/>
          </w:tcPr>
          <w:p w14:paraId="430BA658">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lang w:eastAsia="zh-CN"/>
              </w:rPr>
            </w:pPr>
          </w:p>
        </w:tc>
        <w:tc>
          <w:tcPr>
            <w:tcW w:w="551" w:type="dxa"/>
            <w:noWrap w:val="0"/>
            <w:vAlign w:val="center"/>
          </w:tcPr>
          <w:p w14:paraId="51883911">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center"/>
          </w:tcPr>
          <w:p w14:paraId="12549599">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06E1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315B9238">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15</w:t>
            </w:r>
          </w:p>
        </w:tc>
        <w:tc>
          <w:tcPr>
            <w:tcW w:w="530" w:type="dxa"/>
            <w:noWrap w:val="0"/>
            <w:vAlign w:val="center"/>
          </w:tcPr>
          <w:p w14:paraId="1ED0F739">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安全巡视</w:t>
            </w:r>
          </w:p>
        </w:tc>
        <w:tc>
          <w:tcPr>
            <w:tcW w:w="612" w:type="dxa"/>
            <w:noWrap w:val="0"/>
            <w:vAlign w:val="center"/>
          </w:tcPr>
          <w:p w14:paraId="5D232711">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486" w:type="dxa"/>
            <w:noWrap w:val="0"/>
            <w:vAlign w:val="center"/>
          </w:tcPr>
          <w:p w14:paraId="1ADD3898">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①明确巡视工作职责、流程，制定相对固定的巡视路线。</w:t>
            </w:r>
          </w:p>
          <w:p w14:paraId="6D44ECD9">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②重点区</w:t>
            </w:r>
            <w:r>
              <w:rPr>
                <w:rFonts w:hint="eastAsia" w:ascii="宋体" w:hAnsi="宋体" w:eastAsia="宋体" w:cs="宋体"/>
                <w:color w:val="auto"/>
                <w:spacing w:val="-3"/>
                <w:sz w:val="21"/>
                <w:szCs w:val="21"/>
                <w:highlight w:val="none"/>
                <w:lang w:eastAsia="zh-CN"/>
              </w:rPr>
              <w:t>域、部位和设备房至少每</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2</w:t>
            </w:r>
            <w:r>
              <w:rPr>
                <w:rFonts w:hint="eastAsia" w:ascii="宋体" w:hAnsi="宋体" w:eastAsia="宋体" w:cs="宋体"/>
                <w:color w:val="auto"/>
                <w:spacing w:val="-39"/>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小时巡视一次，并规范记录，发现违法、</w:t>
            </w:r>
            <w:r>
              <w:rPr>
                <w:rFonts w:hint="eastAsia" w:ascii="宋体" w:hAnsi="宋体" w:eastAsia="宋体" w:cs="宋体"/>
                <w:color w:val="auto"/>
                <w:spacing w:val="2"/>
                <w:sz w:val="21"/>
                <w:szCs w:val="21"/>
                <w:highlight w:val="none"/>
                <w:lang w:eastAsia="zh-CN"/>
              </w:rPr>
              <w:t>违章行为应及时制止；</w:t>
            </w:r>
          </w:p>
          <w:p w14:paraId="113371C3">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2"/>
                <w:sz w:val="21"/>
                <w:szCs w:val="21"/>
                <w:highlight w:val="none"/>
                <w:lang w:eastAsia="zh-CN"/>
              </w:rPr>
              <w:t>③巡视时使用巡更设备，在监控中心保持巡</w:t>
            </w:r>
            <w:r>
              <w:rPr>
                <w:rFonts w:hint="eastAsia" w:ascii="宋体" w:hAnsi="宋体" w:eastAsia="宋体" w:cs="宋体"/>
                <w:color w:val="auto"/>
                <w:spacing w:val="3"/>
                <w:sz w:val="21"/>
                <w:szCs w:val="21"/>
                <w:highlight w:val="none"/>
                <w:lang w:eastAsia="zh-CN"/>
              </w:rPr>
              <w:t>更记录；</w:t>
            </w:r>
          </w:p>
          <w:p w14:paraId="581D9D3D">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3"/>
                <w:sz w:val="21"/>
                <w:szCs w:val="21"/>
                <w:highlight w:val="none"/>
                <w:lang w:eastAsia="zh-CN"/>
              </w:rPr>
              <w:t>④如巡视中发现异常情况，应立即通知有关部门和报告相关负责人，并在现场采取必要的应急措施，随时准备启动相应的应</w:t>
            </w:r>
            <w:r>
              <w:rPr>
                <w:rFonts w:hint="eastAsia" w:ascii="宋体" w:hAnsi="宋体" w:eastAsia="宋体" w:cs="宋体"/>
                <w:color w:val="auto"/>
                <w:spacing w:val="-5"/>
                <w:sz w:val="21"/>
                <w:szCs w:val="21"/>
                <w:highlight w:val="none"/>
                <w:lang w:eastAsia="zh-CN"/>
              </w:rPr>
              <w:t>急预案。</w:t>
            </w:r>
          </w:p>
          <w:p w14:paraId="26DF9B13">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9"/>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(注：巡视频次和时间如合同另有规定且高于上述标准的按</w:t>
            </w:r>
            <w:r>
              <w:rPr>
                <w:rFonts w:hint="eastAsia" w:ascii="宋体" w:hAnsi="宋体" w:eastAsia="宋体" w:cs="宋体"/>
                <w:color w:val="auto"/>
                <w:spacing w:val="-13"/>
                <w:sz w:val="21"/>
                <w:szCs w:val="21"/>
                <w:highlight w:val="none"/>
                <w:lang w:eastAsia="zh-CN"/>
              </w:rPr>
              <w:t>合同执行。</w:t>
            </w:r>
            <w:r>
              <w:rPr>
                <w:rFonts w:hint="eastAsia" w:ascii="宋体" w:hAnsi="宋体" w:eastAsia="宋体" w:cs="宋体"/>
                <w:color w:val="auto"/>
                <w:spacing w:val="-27"/>
                <w:sz w:val="21"/>
                <w:szCs w:val="21"/>
                <w:highlight w:val="none"/>
                <w:lang w:eastAsia="zh-CN"/>
              </w:rPr>
              <w:t xml:space="preserve"> </w:t>
            </w:r>
            <w:r>
              <w:rPr>
                <w:rFonts w:hint="eastAsia" w:ascii="宋体" w:hAnsi="宋体" w:eastAsia="宋体" w:cs="宋体"/>
                <w:color w:val="auto"/>
                <w:spacing w:val="-13"/>
                <w:sz w:val="21"/>
                <w:szCs w:val="21"/>
                <w:highlight w:val="none"/>
              </w:rPr>
              <w:t>)</w:t>
            </w:r>
          </w:p>
        </w:tc>
        <w:tc>
          <w:tcPr>
            <w:tcW w:w="1039" w:type="dxa"/>
            <w:noWrap w:val="0"/>
            <w:vAlign w:val="center"/>
          </w:tcPr>
          <w:p w14:paraId="74889BD5">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3"/>
                <w:sz w:val="21"/>
                <w:szCs w:val="21"/>
                <w:highlight w:val="none"/>
                <w:lang w:eastAsia="zh-CN"/>
              </w:rPr>
              <w:t xml:space="preserve"> </w:t>
            </w:r>
            <w:r>
              <w:rPr>
                <w:rFonts w:hint="eastAsia" w:ascii="宋体" w:hAnsi="宋体" w:eastAsia="宋体" w:cs="宋体"/>
                <w:color w:val="auto"/>
                <w:spacing w:val="-43"/>
                <w:sz w:val="21"/>
                <w:szCs w:val="21"/>
                <w:highlight w:val="none"/>
                <w:lang w:val="en-US" w:eastAsia="zh-CN"/>
              </w:rPr>
              <w:t>4</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1.0</w:t>
            </w:r>
          </w:p>
          <w:p w14:paraId="4131C5BC">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eastAsia="zh-CN"/>
              </w:rPr>
            </w:pPr>
          </w:p>
        </w:tc>
        <w:tc>
          <w:tcPr>
            <w:tcW w:w="564" w:type="dxa"/>
            <w:noWrap w:val="0"/>
            <w:vAlign w:val="top"/>
          </w:tcPr>
          <w:p w14:paraId="44DF9FA1">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lang w:eastAsia="zh-CN"/>
              </w:rPr>
            </w:pPr>
          </w:p>
        </w:tc>
        <w:tc>
          <w:tcPr>
            <w:tcW w:w="551" w:type="dxa"/>
            <w:noWrap w:val="0"/>
            <w:vAlign w:val="center"/>
          </w:tcPr>
          <w:p w14:paraId="020798E8">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center"/>
          </w:tcPr>
          <w:p w14:paraId="14B0CB9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3F1DA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77F02678">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16</w:t>
            </w:r>
          </w:p>
        </w:tc>
        <w:tc>
          <w:tcPr>
            <w:tcW w:w="530" w:type="dxa"/>
            <w:noWrap w:val="0"/>
            <w:vAlign w:val="center"/>
          </w:tcPr>
          <w:p w14:paraId="3D4EC281">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重大活动安保</w:t>
            </w:r>
          </w:p>
        </w:tc>
        <w:tc>
          <w:tcPr>
            <w:tcW w:w="612" w:type="dxa"/>
            <w:noWrap w:val="0"/>
            <w:vAlign w:val="center"/>
          </w:tcPr>
          <w:p w14:paraId="0C92343C">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4486" w:type="dxa"/>
            <w:noWrap w:val="0"/>
            <w:vAlign w:val="center"/>
          </w:tcPr>
          <w:p w14:paraId="5064D610">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①重大活动开始前，应制定相应的活动安保方案，合理安排安保人</w:t>
            </w:r>
            <w:r>
              <w:rPr>
                <w:rFonts w:hint="eastAsia" w:ascii="宋体" w:hAnsi="宋体" w:eastAsia="宋体" w:cs="宋体"/>
                <w:color w:val="auto"/>
                <w:spacing w:val="8"/>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员，提前通知物业管理区域内的全体人员，并对活动场所安全隐患</w:t>
            </w:r>
            <w:r>
              <w:rPr>
                <w:rFonts w:hint="eastAsia" w:ascii="宋体" w:hAnsi="宋体" w:eastAsia="宋体" w:cs="宋体"/>
                <w:color w:val="auto"/>
                <w:spacing w:val="9"/>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进行排查；</w:t>
            </w:r>
          </w:p>
          <w:p w14:paraId="76809FF8">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②应保障活动场所通道、出入口通畅，应有专人落实停车场地、做好交通疏导工作；</w:t>
            </w:r>
          </w:p>
          <w:p w14:paraId="3BCC7CD7">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3"/>
                <w:sz w:val="21"/>
                <w:szCs w:val="21"/>
                <w:highlight w:val="none"/>
                <w:lang w:eastAsia="zh-CN"/>
              </w:rPr>
              <w:t>③活动举办过程中，应做好现场治安秩序的维护和突发事故的处置工作，确保无妨碍大型活动安全的行</w:t>
            </w:r>
            <w:r>
              <w:rPr>
                <w:rFonts w:hint="eastAsia" w:ascii="宋体" w:hAnsi="宋体" w:eastAsia="宋体" w:cs="宋体"/>
                <w:color w:val="auto"/>
                <w:spacing w:val="-1"/>
                <w:sz w:val="21"/>
                <w:szCs w:val="21"/>
                <w:highlight w:val="none"/>
                <w:lang w:eastAsia="zh-CN"/>
              </w:rPr>
              <w:t>为，无违法犯罪行为。</w:t>
            </w:r>
          </w:p>
        </w:tc>
        <w:tc>
          <w:tcPr>
            <w:tcW w:w="1039" w:type="dxa"/>
            <w:noWrap w:val="0"/>
            <w:vAlign w:val="center"/>
          </w:tcPr>
          <w:p w14:paraId="5BC0C590">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42"/>
                <w:sz w:val="21"/>
                <w:szCs w:val="21"/>
                <w:highlight w:val="none"/>
                <w:lang w:val="en-US" w:eastAsia="zh-CN"/>
              </w:rPr>
              <w:t>3</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1.0</w:t>
            </w:r>
          </w:p>
        </w:tc>
        <w:tc>
          <w:tcPr>
            <w:tcW w:w="564" w:type="dxa"/>
            <w:noWrap w:val="0"/>
            <w:vAlign w:val="top"/>
          </w:tcPr>
          <w:p w14:paraId="46D7714D">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lang w:eastAsia="zh-CN"/>
              </w:rPr>
            </w:pPr>
          </w:p>
        </w:tc>
        <w:tc>
          <w:tcPr>
            <w:tcW w:w="551" w:type="dxa"/>
            <w:noWrap w:val="0"/>
            <w:vAlign w:val="center"/>
          </w:tcPr>
          <w:p w14:paraId="4186C59A">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center"/>
          </w:tcPr>
          <w:p w14:paraId="0882EC1B">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584E3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7915F226">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17</w:t>
            </w:r>
          </w:p>
        </w:tc>
        <w:tc>
          <w:tcPr>
            <w:tcW w:w="530" w:type="dxa"/>
            <w:noWrap w:val="0"/>
            <w:vAlign w:val="center"/>
          </w:tcPr>
          <w:p w14:paraId="74FB380C">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3"/>
                <w:sz w:val="21"/>
                <w:szCs w:val="21"/>
                <w:highlight w:val="none"/>
              </w:rPr>
              <w:t>车场（库）</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3"/>
                <w:sz w:val="21"/>
                <w:szCs w:val="21"/>
                <w:highlight w:val="none"/>
              </w:rPr>
              <w:t>管理</w:t>
            </w:r>
          </w:p>
        </w:tc>
        <w:tc>
          <w:tcPr>
            <w:tcW w:w="612" w:type="dxa"/>
            <w:noWrap w:val="0"/>
            <w:vAlign w:val="center"/>
          </w:tcPr>
          <w:p w14:paraId="6C762EA4">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486" w:type="dxa"/>
            <w:noWrap w:val="0"/>
            <w:vAlign w:val="center"/>
          </w:tcPr>
          <w:p w14:paraId="4A2ABC08">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①根据业主的相关管理制度建立完善的车场（库）管理、车辆停放</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管理资料档案，做好相关车辆信息登记等；</w:t>
            </w:r>
          </w:p>
          <w:p w14:paraId="7788E1A4">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3"/>
                <w:sz w:val="21"/>
                <w:szCs w:val="21"/>
                <w:highlight w:val="none"/>
                <w:lang w:eastAsia="zh-CN"/>
              </w:rPr>
              <w:t>②车场（库）内的交通及指示标志应清晰明显，明确各类车辆停放位置和划定区域，现场</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环境干净整洁等；</w:t>
            </w:r>
          </w:p>
          <w:p w14:paraId="30908851">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6"/>
                <w:sz w:val="21"/>
                <w:szCs w:val="21"/>
                <w:highlight w:val="none"/>
                <w:lang w:eastAsia="zh-CN"/>
              </w:rPr>
              <w:t>③应按业主相关要求，设置</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24</w:t>
            </w:r>
            <w:r>
              <w:rPr>
                <w:rFonts w:hint="eastAsia" w:ascii="宋体" w:hAnsi="宋体" w:eastAsia="宋体" w:cs="宋体"/>
                <w:color w:val="auto"/>
                <w:spacing w:val="-40"/>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小时车场</w:t>
            </w:r>
            <w:r>
              <w:rPr>
                <w:rFonts w:hint="eastAsia" w:ascii="宋体" w:hAnsi="宋体" w:eastAsia="宋体" w:cs="宋体"/>
                <w:color w:val="auto"/>
                <w:spacing w:val="-7"/>
                <w:sz w:val="21"/>
                <w:szCs w:val="21"/>
                <w:highlight w:val="none"/>
                <w:lang w:eastAsia="zh-CN"/>
              </w:rPr>
              <w:t>值班岗位，</w:t>
            </w:r>
            <w:r>
              <w:rPr>
                <w:rFonts w:hint="eastAsia" w:ascii="宋体" w:hAnsi="宋体" w:eastAsia="宋体" w:cs="宋体"/>
                <w:color w:val="auto"/>
                <w:spacing w:val="3"/>
                <w:sz w:val="21"/>
                <w:szCs w:val="21"/>
                <w:highlight w:val="none"/>
                <w:lang w:eastAsia="zh-CN"/>
              </w:rPr>
              <w:t>有值班记录台账，字迹清晰，内容完整，值班人员应熟悉停车场</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（库）的分布状况，掌握重要客户的车辆停放情况，并熟练掌握消防设备器材的使用；</w:t>
            </w:r>
          </w:p>
          <w:p w14:paraId="089E9B94">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④进出大楼各种车辆管理有序，无堵塞交通现</w:t>
            </w:r>
            <w:r>
              <w:rPr>
                <w:rFonts w:hint="eastAsia" w:ascii="宋体" w:hAnsi="宋体" w:eastAsia="宋体" w:cs="宋体"/>
                <w:color w:val="auto"/>
                <w:spacing w:val="1"/>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象，不影响行人通行；上下班高峰期，应及时做好停车场出入口的车辆进出指引及疏导工作。应做好停车场区域内车辆的安全秩序管</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理，同时做好停车场区域的安全巡视及检查工作。</w:t>
            </w:r>
          </w:p>
          <w:p w14:paraId="475F1A58">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⑤如大楼外有停车场，应安排专人现场疏导，管理有序，排列整齐。</w:t>
            </w:r>
          </w:p>
          <w:p w14:paraId="3C50F290">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⑥应定期对停</w:t>
            </w:r>
            <w:r>
              <w:rPr>
                <w:rFonts w:hint="eastAsia" w:ascii="宋体" w:hAnsi="宋体" w:eastAsia="宋体" w:cs="宋体"/>
                <w:color w:val="auto"/>
                <w:spacing w:val="-1"/>
                <w:sz w:val="21"/>
                <w:szCs w:val="21"/>
                <w:highlight w:val="none"/>
                <w:lang w:eastAsia="zh-CN"/>
              </w:rPr>
              <w:t>车场（库）的设施设备（包括车辆识别系统、车辆引导系统等）进</w:t>
            </w:r>
            <w:r>
              <w:rPr>
                <w:rFonts w:hint="eastAsia" w:ascii="宋体" w:hAnsi="宋体" w:eastAsia="宋体" w:cs="宋体"/>
                <w:color w:val="auto"/>
                <w:spacing w:val="-2"/>
                <w:sz w:val="21"/>
                <w:szCs w:val="21"/>
                <w:highlight w:val="none"/>
                <w:lang w:eastAsia="zh-CN"/>
              </w:rPr>
              <w:t>行检查，保证弯道斜视镜、限速路障和车位倒车杆等</w:t>
            </w:r>
            <w:r>
              <w:rPr>
                <w:rFonts w:hint="eastAsia" w:ascii="宋体" w:hAnsi="宋体" w:eastAsia="宋体" w:cs="宋体"/>
                <w:color w:val="auto"/>
                <w:spacing w:val="-3"/>
                <w:sz w:val="21"/>
                <w:szCs w:val="21"/>
                <w:highlight w:val="none"/>
                <w:lang w:eastAsia="zh-CN"/>
              </w:rPr>
              <w:t>设施完好无损；</w:t>
            </w:r>
            <w:r>
              <w:rPr>
                <w:rFonts w:hint="eastAsia" w:ascii="宋体" w:hAnsi="宋体" w:eastAsia="宋体" w:cs="宋体"/>
                <w:color w:val="auto"/>
                <w:spacing w:val="3"/>
                <w:sz w:val="21"/>
                <w:szCs w:val="21"/>
                <w:highlight w:val="none"/>
                <w:lang w:eastAsia="zh-CN"/>
              </w:rPr>
              <w:t>如发现有损坏情况，需及时上报维修；危及人身安全处，应设有明显警示标志和安全防范措施。</w:t>
            </w:r>
          </w:p>
          <w:p w14:paraId="780D52FB">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3"/>
                <w:sz w:val="21"/>
                <w:szCs w:val="21"/>
                <w:highlight w:val="none"/>
                <w:lang w:eastAsia="zh-CN"/>
              </w:rPr>
              <w:t>⑦设置充电桩的停车区域，定期对配</w:t>
            </w:r>
            <w:r>
              <w:rPr>
                <w:rFonts w:hint="eastAsia" w:ascii="宋体" w:hAnsi="宋体" w:eastAsia="宋体" w:cs="宋体"/>
                <w:color w:val="auto"/>
                <w:spacing w:val="-3"/>
                <w:sz w:val="21"/>
                <w:szCs w:val="21"/>
                <w:highlight w:val="none"/>
                <w:lang w:eastAsia="zh-CN"/>
              </w:rPr>
              <w:t>套充电设施设备进行检查，确保充电桩及其相关设备情况良好，做</w:t>
            </w:r>
            <w:r>
              <w:rPr>
                <w:rFonts w:hint="eastAsia" w:ascii="宋体" w:hAnsi="宋体" w:eastAsia="宋体" w:cs="宋体"/>
                <w:color w:val="auto"/>
                <w:spacing w:val="-5"/>
                <w:sz w:val="21"/>
                <w:szCs w:val="21"/>
                <w:highlight w:val="none"/>
                <w:lang w:eastAsia="zh-CN"/>
              </w:rPr>
              <w:t>好巡查记录，发现安全隐患，应立即通知维修人员，并按要求上报；</w:t>
            </w:r>
          </w:p>
          <w:p w14:paraId="5BCD2D81">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3"/>
                <w:sz w:val="21"/>
                <w:szCs w:val="21"/>
                <w:highlight w:val="none"/>
                <w:lang w:eastAsia="zh-CN"/>
              </w:rPr>
              <w:t>⑧应按照相关应急处理预案（包括火警、盗警、车辆失窃、水淹车</w:t>
            </w:r>
            <w:r>
              <w:rPr>
                <w:rFonts w:hint="eastAsia" w:ascii="宋体" w:hAnsi="宋体" w:eastAsia="宋体" w:cs="宋体"/>
                <w:color w:val="auto"/>
                <w:spacing w:val="4"/>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库等）要求，做好停车场内的突发事件的应急处理，做好相关事件</w:t>
            </w:r>
            <w:r>
              <w:rPr>
                <w:rFonts w:hint="eastAsia" w:ascii="宋体" w:hAnsi="宋体" w:eastAsia="宋体" w:cs="宋体"/>
                <w:color w:val="auto"/>
                <w:spacing w:val="-8"/>
                <w:sz w:val="21"/>
                <w:szCs w:val="21"/>
                <w:highlight w:val="none"/>
                <w:lang w:eastAsia="zh-CN"/>
              </w:rPr>
              <w:t>登记，及时向业主管理部门汇报。</w:t>
            </w:r>
          </w:p>
        </w:tc>
        <w:tc>
          <w:tcPr>
            <w:tcW w:w="1039" w:type="dxa"/>
            <w:noWrap w:val="0"/>
            <w:vAlign w:val="center"/>
          </w:tcPr>
          <w:p w14:paraId="7A8AEB50">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lang w:eastAsia="zh-CN"/>
              </w:rPr>
              <w:t>全部符合</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35"/>
                <w:sz w:val="21"/>
                <w:szCs w:val="21"/>
                <w:highlight w:val="none"/>
                <w:lang w:val="en-US" w:eastAsia="zh-CN"/>
              </w:rPr>
              <w:t>4</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0.5</w:t>
            </w:r>
          </w:p>
          <w:p w14:paraId="35E34782">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pacing w:val="-2"/>
                <w:sz w:val="21"/>
                <w:szCs w:val="21"/>
                <w:highlight w:val="none"/>
                <w:lang w:eastAsia="zh-CN"/>
              </w:rPr>
            </w:pPr>
          </w:p>
        </w:tc>
        <w:tc>
          <w:tcPr>
            <w:tcW w:w="564" w:type="dxa"/>
            <w:noWrap w:val="0"/>
            <w:vAlign w:val="top"/>
          </w:tcPr>
          <w:p w14:paraId="2DFADA6D">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551" w:type="dxa"/>
            <w:noWrap w:val="0"/>
            <w:vAlign w:val="top"/>
          </w:tcPr>
          <w:p w14:paraId="5436DA37">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430" w:type="dxa"/>
            <w:noWrap w:val="0"/>
            <w:vAlign w:val="top"/>
          </w:tcPr>
          <w:p w14:paraId="67780F98">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r>
      <w:tr w14:paraId="333E9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1D860C47">
            <w:pPr>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p w14:paraId="0B6FAEBB">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18</w:t>
            </w:r>
          </w:p>
        </w:tc>
        <w:tc>
          <w:tcPr>
            <w:tcW w:w="530" w:type="dxa"/>
            <w:noWrap w:val="0"/>
            <w:vAlign w:val="center"/>
          </w:tcPr>
          <w:p w14:paraId="26C183FF">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13"/>
                <w:sz w:val="21"/>
                <w:szCs w:val="21"/>
                <w:highlight w:val="none"/>
              </w:rPr>
            </w:pPr>
            <w:r>
              <w:rPr>
                <w:rFonts w:hint="eastAsia" w:ascii="宋体" w:hAnsi="宋体" w:eastAsia="宋体" w:cs="宋体"/>
                <w:color w:val="auto"/>
                <w:spacing w:val="-3"/>
                <w:sz w:val="21"/>
                <w:szCs w:val="21"/>
                <w:highlight w:val="none"/>
              </w:rPr>
              <w:t>消防安全</w:t>
            </w:r>
          </w:p>
        </w:tc>
        <w:tc>
          <w:tcPr>
            <w:tcW w:w="612" w:type="dxa"/>
            <w:noWrap w:val="0"/>
            <w:vAlign w:val="center"/>
          </w:tcPr>
          <w:p w14:paraId="4581CC57">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486" w:type="dxa"/>
            <w:noWrap w:val="0"/>
            <w:vAlign w:val="center"/>
          </w:tcPr>
          <w:p w14:paraId="59B59902">
            <w:pPr>
              <w:pStyle w:val="127"/>
              <w:keepNext w:val="0"/>
              <w:keepLines w:val="0"/>
              <w:pageBreakBefore w:val="0"/>
              <w:wordWrap/>
              <w:topLinePunct w:val="0"/>
              <w:bidi w:val="0"/>
              <w:adjustRightInd w:val="0"/>
              <w:snapToGrid w:val="0"/>
              <w:spacing w:line="240" w:lineRule="auto"/>
              <w:ind w:left="0" w:leftChars="0" w:right="0" w:firstLine="1"/>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①建立完整的消防设施设备资料档案、消防管理档案；</w:t>
            </w:r>
          </w:p>
          <w:p w14:paraId="6C214086">
            <w:pPr>
              <w:pStyle w:val="127"/>
              <w:keepNext w:val="0"/>
              <w:keepLines w:val="0"/>
              <w:pageBreakBefore w:val="0"/>
              <w:wordWrap/>
              <w:topLinePunct w:val="0"/>
              <w:bidi w:val="0"/>
              <w:adjustRightInd w:val="0"/>
              <w:snapToGrid w:val="0"/>
              <w:spacing w:line="240" w:lineRule="auto"/>
              <w:ind w:left="0" w:leftChars="0" w:right="0" w:firstLine="1"/>
              <w:jc w:val="both"/>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4"/>
                <w:sz w:val="21"/>
                <w:szCs w:val="21"/>
                <w:highlight w:val="none"/>
                <w:lang w:eastAsia="zh-CN"/>
              </w:rPr>
              <w:t>②建立</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24</w:t>
            </w:r>
            <w:r>
              <w:rPr>
                <w:rFonts w:hint="eastAsia" w:ascii="宋体" w:hAnsi="宋体" w:eastAsia="宋体" w:cs="宋体"/>
                <w:color w:val="auto"/>
                <w:spacing w:val="-39"/>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小</w:t>
            </w:r>
            <w:r>
              <w:rPr>
                <w:rFonts w:hint="eastAsia" w:ascii="宋体" w:hAnsi="宋体" w:eastAsia="宋体" w:cs="宋体"/>
                <w:color w:val="auto"/>
                <w:spacing w:val="9"/>
                <w:sz w:val="21"/>
                <w:szCs w:val="21"/>
                <w:highlight w:val="none"/>
                <w:lang w:eastAsia="zh-CN"/>
              </w:rPr>
              <w:t>时消防值班制度，有相应的值班记录，字迹清晰；</w:t>
            </w:r>
          </w:p>
          <w:p w14:paraId="57B9D174">
            <w:pPr>
              <w:pStyle w:val="127"/>
              <w:keepNext w:val="0"/>
              <w:keepLines w:val="0"/>
              <w:pageBreakBefore w:val="0"/>
              <w:wordWrap/>
              <w:topLinePunct w:val="0"/>
              <w:bidi w:val="0"/>
              <w:adjustRightInd w:val="0"/>
              <w:snapToGrid w:val="0"/>
              <w:spacing w:line="240" w:lineRule="auto"/>
              <w:ind w:left="0" w:leftChars="0" w:right="0" w:firstLine="1"/>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62"/>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③大楼内应按</w:t>
            </w:r>
            <w:r>
              <w:rPr>
                <w:rFonts w:hint="eastAsia" w:ascii="宋体" w:hAnsi="宋体" w:eastAsia="宋体" w:cs="宋体"/>
                <w:color w:val="auto"/>
                <w:sz w:val="21"/>
                <w:szCs w:val="21"/>
                <w:highlight w:val="none"/>
                <w:lang w:eastAsia="zh-CN"/>
              </w:rPr>
              <w:t xml:space="preserve"> GB</w:t>
            </w:r>
            <w:r>
              <w:rPr>
                <w:rFonts w:hint="eastAsia" w:ascii="宋体" w:hAnsi="宋体" w:eastAsia="宋体" w:cs="宋体"/>
                <w:color w:val="auto"/>
                <w:spacing w:val="3"/>
                <w:sz w:val="21"/>
                <w:szCs w:val="21"/>
                <w:highlight w:val="none"/>
                <w:lang w:eastAsia="zh-CN"/>
              </w:rPr>
              <w:t>50140的规定配置相应的消防灭火器材，及</w:t>
            </w:r>
            <w:r>
              <w:rPr>
                <w:rFonts w:hint="eastAsia" w:ascii="宋体" w:hAnsi="宋体" w:eastAsia="宋体" w:cs="宋体"/>
                <w:color w:val="auto"/>
                <w:spacing w:val="2"/>
                <w:sz w:val="21"/>
                <w:szCs w:val="21"/>
                <w:highlight w:val="none"/>
                <w:lang w:eastAsia="zh-CN"/>
              </w:rPr>
              <w:t>时更换过期消防器材</w:t>
            </w:r>
            <w:r>
              <w:rPr>
                <w:rFonts w:hint="eastAsia" w:ascii="宋体" w:hAnsi="宋体" w:eastAsia="宋体" w:cs="宋体"/>
                <w:color w:val="auto"/>
                <w:spacing w:val="3"/>
                <w:sz w:val="21"/>
                <w:szCs w:val="21"/>
                <w:highlight w:val="none"/>
                <w:lang w:eastAsia="zh-CN"/>
              </w:rPr>
              <w:t>（合同有约定由业主采购的应及时向业主申领</w:t>
            </w:r>
            <w:r>
              <w:rPr>
                <w:rFonts w:hint="eastAsia" w:ascii="宋体" w:hAnsi="宋体" w:eastAsia="宋体" w:cs="宋体"/>
                <w:color w:val="auto"/>
                <w:spacing w:val="4"/>
                <w:sz w:val="21"/>
                <w:szCs w:val="21"/>
                <w:highlight w:val="none"/>
                <w:lang w:eastAsia="zh-CN"/>
              </w:rPr>
              <w:t>）；</w:t>
            </w:r>
          </w:p>
          <w:p w14:paraId="364EB1FB">
            <w:pPr>
              <w:pStyle w:val="127"/>
              <w:keepNext w:val="0"/>
              <w:keepLines w:val="0"/>
              <w:pageBreakBefore w:val="0"/>
              <w:wordWrap/>
              <w:topLinePunct w:val="0"/>
              <w:bidi w:val="0"/>
              <w:adjustRightInd w:val="0"/>
              <w:snapToGrid w:val="0"/>
              <w:spacing w:line="240" w:lineRule="auto"/>
              <w:ind w:left="0" w:leftChars="0" w:right="0" w:firstLine="1"/>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④消防管理人员应掌握消防设施设备的使用方法并能及时处理各种问题；</w:t>
            </w:r>
          </w:p>
          <w:p w14:paraId="60891F52">
            <w:pPr>
              <w:pStyle w:val="127"/>
              <w:keepNext w:val="0"/>
              <w:keepLines w:val="0"/>
              <w:pageBreakBefore w:val="0"/>
              <w:wordWrap/>
              <w:topLinePunct w:val="0"/>
              <w:bidi w:val="0"/>
              <w:adjustRightInd w:val="0"/>
              <w:snapToGrid w:val="0"/>
              <w:spacing w:line="240" w:lineRule="auto"/>
              <w:ind w:left="0" w:leftChars="0" w:right="0" w:firstLine="1"/>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⑤如业主有聘请专业的消防维保单位，应协助业主监督消防维保单位做好大楼各类消防设施设备的维护保养；</w:t>
            </w:r>
          </w:p>
          <w:p w14:paraId="73F54C10">
            <w:pPr>
              <w:pStyle w:val="127"/>
              <w:keepNext w:val="0"/>
              <w:keepLines w:val="0"/>
              <w:pageBreakBefore w:val="0"/>
              <w:wordWrap/>
              <w:topLinePunct w:val="0"/>
              <w:bidi w:val="0"/>
              <w:adjustRightInd w:val="0"/>
              <w:snapToGrid w:val="0"/>
              <w:spacing w:line="240" w:lineRule="auto"/>
              <w:ind w:left="0" w:leftChars="0" w:right="0" w:firstLine="1"/>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3"/>
                <w:sz w:val="21"/>
                <w:szCs w:val="21"/>
                <w:highlight w:val="none"/>
                <w:lang w:eastAsia="zh-CN"/>
              </w:rPr>
              <w:t>⑥组织开展消防法规及消防知识</w:t>
            </w:r>
            <w:r>
              <w:rPr>
                <w:rFonts w:hint="eastAsia" w:ascii="宋体" w:hAnsi="宋体" w:eastAsia="宋体" w:cs="宋体"/>
                <w:color w:val="auto"/>
                <w:spacing w:val="2"/>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的宣传教育，明确各区域防火责任人；</w:t>
            </w:r>
          </w:p>
          <w:p w14:paraId="24628857">
            <w:pPr>
              <w:pStyle w:val="127"/>
              <w:keepNext w:val="0"/>
              <w:keepLines w:val="0"/>
              <w:pageBreakBefore w:val="0"/>
              <w:wordWrap/>
              <w:topLinePunct w:val="0"/>
              <w:bidi w:val="0"/>
              <w:adjustRightInd w:val="0"/>
              <w:snapToGrid w:val="0"/>
              <w:spacing w:line="240" w:lineRule="auto"/>
              <w:ind w:left="0" w:leftChars="0" w:right="0" w:firstLine="1"/>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2"/>
                <w:sz w:val="21"/>
                <w:szCs w:val="21"/>
                <w:highlight w:val="none"/>
                <w:lang w:eastAsia="zh-CN"/>
              </w:rPr>
              <w:t>⑦订有突发火灾的应急方案，</w:t>
            </w:r>
            <w:r>
              <w:rPr>
                <w:rFonts w:hint="eastAsia" w:ascii="宋体" w:hAnsi="宋体" w:eastAsia="宋体" w:cs="宋体"/>
                <w:color w:val="auto"/>
                <w:spacing w:val="3"/>
                <w:sz w:val="21"/>
                <w:szCs w:val="21"/>
                <w:highlight w:val="none"/>
                <w:lang w:eastAsia="zh-CN"/>
              </w:rPr>
              <w:t>设立消防疏散示意图，照明设施、引路标志完好，紧急疏散通道畅</w:t>
            </w:r>
            <w:r>
              <w:rPr>
                <w:rFonts w:hint="eastAsia" w:ascii="宋体" w:hAnsi="宋体" w:eastAsia="宋体" w:cs="宋体"/>
                <w:color w:val="auto"/>
                <w:spacing w:val="2"/>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通；</w:t>
            </w:r>
          </w:p>
          <w:p w14:paraId="690258E1">
            <w:pPr>
              <w:pStyle w:val="127"/>
              <w:keepNext w:val="0"/>
              <w:keepLines w:val="0"/>
              <w:pageBreakBefore w:val="0"/>
              <w:wordWrap/>
              <w:topLinePunct w:val="0"/>
              <w:bidi w:val="0"/>
              <w:adjustRightInd w:val="0"/>
              <w:snapToGrid w:val="0"/>
              <w:spacing w:line="240" w:lineRule="auto"/>
              <w:ind w:left="0" w:leftChars="0" w:right="0" w:firstLine="1"/>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⑧应组建志愿消防队，每年组织消防演练不少于 1 次；</w:t>
            </w:r>
          </w:p>
          <w:p w14:paraId="29609A3D">
            <w:pPr>
              <w:pStyle w:val="127"/>
              <w:keepNext w:val="0"/>
              <w:keepLines w:val="0"/>
              <w:pageBreakBefore w:val="0"/>
              <w:wordWrap/>
              <w:topLinePunct w:val="0"/>
              <w:bidi w:val="0"/>
              <w:adjustRightInd w:val="0"/>
              <w:snapToGrid w:val="0"/>
              <w:spacing w:line="240" w:lineRule="auto"/>
              <w:ind w:left="0" w:leftChars="0" w:right="0" w:firstLine="1"/>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3"/>
                <w:sz w:val="21"/>
                <w:szCs w:val="21"/>
                <w:highlight w:val="none"/>
                <w:lang w:eastAsia="zh-CN"/>
              </w:rPr>
              <w:t>⑨无火</w:t>
            </w:r>
            <w:r>
              <w:rPr>
                <w:rFonts w:hint="eastAsia" w:ascii="宋体" w:hAnsi="宋体" w:eastAsia="宋体" w:cs="宋体"/>
                <w:color w:val="auto"/>
                <w:spacing w:val="-4"/>
                <w:sz w:val="21"/>
                <w:szCs w:val="21"/>
                <w:highlight w:val="none"/>
                <w:lang w:eastAsia="zh-CN"/>
              </w:rPr>
              <w:t>灾安全隐患等。</w:t>
            </w:r>
          </w:p>
        </w:tc>
        <w:tc>
          <w:tcPr>
            <w:tcW w:w="1039" w:type="dxa"/>
            <w:noWrap w:val="0"/>
            <w:vAlign w:val="center"/>
          </w:tcPr>
          <w:p w14:paraId="464EE13B">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9"/>
                <w:sz w:val="21"/>
                <w:szCs w:val="21"/>
                <w:highlight w:val="none"/>
                <w:lang w:eastAsia="zh-CN"/>
              </w:rPr>
              <w:t>全部符合</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35"/>
                <w:sz w:val="21"/>
                <w:szCs w:val="21"/>
                <w:highlight w:val="none"/>
                <w:lang w:val="en-US" w:eastAsia="zh-CN"/>
              </w:rPr>
              <w:t>5</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4"/>
                <w:sz w:val="21"/>
                <w:szCs w:val="21"/>
                <w:highlight w:val="none"/>
                <w:lang w:eastAsia="zh-CN"/>
              </w:rPr>
              <w:t>①</w:t>
            </w: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3"/>
                <w:sz w:val="21"/>
                <w:szCs w:val="21"/>
                <w:highlight w:val="none"/>
                <w:lang w:eastAsia="zh-CN"/>
              </w:rPr>
              <w:t>⑧</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0.5,</w:t>
            </w:r>
            <w:r>
              <w:rPr>
                <w:rFonts w:hint="eastAsia" w:ascii="宋体" w:hAnsi="宋体" w:eastAsia="宋体" w:cs="宋体"/>
                <w:color w:val="auto"/>
                <w:spacing w:val="-9"/>
                <w:sz w:val="21"/>
                <w:szCs w:val="21"/>
                <w:highlight w:val="none"/>
                <w:lang w:eastAsia="zh-CN"/>
              </w:rPr>
              <w:t>第⑨项扣</w:t>
            </w:r>
            <w:r>
              <w:rPr>
                <w:rFonts w:hint="eastAsia" w:ascii="宋体" w:hAnsi="宋体" w:eastAsia="宋体" w:cs="宋体"/>
                <w:color w:val="auto"/>
                <w:spacing w:val="-36"/>
                <w:sz w:val="21"/>
                <w:szCs w:val="21"/>
                <w:highlight w:val="none"/>
                <w:lang w:eastAsia="zh-CN"/>
              </w:rPr>
              <w:t xml:space="preserve"> </w:t>
            </w:r>
            <w:r>
              <w:rPr>
                <w:rFonts w:hint="eastAsia" w:ascii="宋体" w:hAnsi="宋体" w:eastAsia="宋体" w:cs="宋体"/>
                <w:color w:val="auto"/>
                <w:spacing w:val="-9"/>
                <w:sz w:val="21"/>
                <w:szCs w:val="21"/>
                <w:highlight w:val="none"/>
                <w:lang w:val="en-US" w:eastAsia="zh-CN"/>
              </w:rPr>
              <w:t>1</w:t>
            </w:r>
            <w:r>
              <w:rPr>
                <w:rFonts w:hint="eastAsia" w:ascii="宋体" w:hAnsi="宋体" w:eastAsia="宋体" w:cs="宋体"/>
                <w:color w:val="auto"/>
                <w:spacing w:val="-9"/>
                <w:sz w:val="21"/>
                <w:szCs w:val="21"/>
                <w:highlight w:val="none"/>
                <w:lang w:eastAsia="zh-CN"/>
              </w:rPr>
              <w:t>分</w:t>
            </w:r>
          </w:p>
        </w:tc>
        <w:tc>
          <w:tcPr>
            <w:tcW w:w="564" w:type="dxa"/>
            <w:noWrap w:val="0"/>
            <w:vAlign w:val="top"/>
          </w:tcPr>
          <w:p w14:paraId="3CDDD86F">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551" w:type="dxa"/>
            <w:noWrap w:val="0"/>
            <w:vAlign w:val="top"/>
          </w:tcPr>
          <w:p w14:paraId="105EDA76">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430" w:type="dxa"/>
            <w:noWrap w:val="0"/>
            <w:vAlign w:val="top"/>
          </w:tcPr>
          <w:p w14:paraId="3AEC2E3E">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r>
      <w:tr w14:paraId="2042C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3C4D414F">
            <w:pPr>
              <w:pStyle w:val="127"/>
              <w:keepNext w:val="0"/>
              <w:keepLines w:val="0"/>
              <w:pageBreakBefore w:val="0"/>
              <w:wordWrap/>
              <w:topLinePunct w:val="0"/>
              <w:bidi w:val="0"/>
              <w:adjustRightInd w:val="0"/>
              <w:snapToGrid w:val="0"/>
              <w:spacing w:line="240" w:lineRule="auto"/>
              <w:ind w:left="0" w:leftChars="0" w:right="0" w:firstLine="0" w:firstLineChars="0"/>
              <w:jc w:val="center"/>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19</w:t>
            </w:r>
          </w:p>
        </w:tc>
        <w:tc>
          <w:tcPr>
            <w:tcW w:w="530" w:type="dxa"/>
            <w:noWrap w:val="0"/>
            <w:vAlign w:val="center"/>
          </w:tcPr>
          <w:p w14:paraId="0A1CE3DD">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13"/>
                <w:sz w:val="21"/>
                <w:szCs w:val="21"/>
                <w:highlight w:val="none"/>
              </w:rPr>
            </w:pPr>
            <w:r>
              <w:rPr>
                <w:rFonts w:hint="eastAsia" w:ascii="宋体" w:hAnsi="宋体" w:eastAsia="宋体" w:cs="宋体"/>
                <w:color w:val="auto"/>
                <w:spacing w:val="-2"/>
                <w:sz w:val="21"/>
                <w:szCs w:val="21"/>
                <w:highlight w:val="none"/>
              </w:rPr>
              <w:t>应急处理</w:t>
            </w:r>
          </w:p>
        </w:tc>
        <w:tc>
          <w:tcPr>
            <w:tcW w:w="612" w:type="dxa"/>
            <w:noWrap w:val="0"/>
            <w:vAlign w:val="center"/>
          </w:tcPr>
          <w:p w14:paraId="1385906C">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486" w:type="dxa"/>
            <w:noWrap w:val="0"/>
            <w:vAlign w:val="center"/>
          </w:tcPr>
          <w:p w14:paraId="30F6CA1A">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9"/>
                <w:sz w:val="21"/>
                <w:szCs w:val="21"/>
                <w:highlight w:val="none"/>
                <w:lang w:eastAsia="zh-CN"/>
              </w:rPr>
              <w:t>①发现火灾险情时，3 分钟内应有人员到达现场查看，5 分钟内应</w:t>
            </w:r>
            <w:r>
              <w:rPr>
                <w:rFonts w:hint="eastAsia" w:ascii="宋体" w:hAnsi="宋体" w:eastAsia="宋体" w:cs="宋体"/>
                <w:color w:val="auto"/>
                <w:spacing w:val="-4"/>
                <w:sz w:val="21"/>
                <w:szCs w:val="21"/>
                <w:highlight w:val="none"/>
                <w:lang w:eastAsia="zh-CN"/>
              </w:rPr>
              <w:t>有人员到达现场进行应急处理；</w:t>
            </w:r>
          </w:p>
          <w:p w14:paraId="66DE987D">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4"/>
                <w:sz w:val="21"/>
                <w:szCs w:val="21"/>
                <w:highlight w:val="none"/>
                <w:lang w:eastAsia="zh-CN"/>
              </w:rPr>
              <w:t>②火灾较大时，应立即拨打7</w:t>
            </w:r>
            <w:r>
              <w:rPr>
                <w:rFonts w:hint="eastAsia" w:ascii="宋体" w:hAnsi="宋体" w:eastAsia="宋体" w:cs="宋体"/>
                <w:color w:val="auto"/>
                <w:spacing w:val="-5"/>
                <w:sz w:val="21"/>
                <w:szCs w:val="21"/>
                <w:highlight w:val="none"/>
                <w:lang w:eastAsia="zh-CN"/>
              </w:rPr>
              <w:t>0 并</w:t>
            </w:r>
            <w:r>
              <w:rPr>
                <w:rFonts w:hint="eastAsia" w:ascii="宋体" w:hAnsi="宋体" w:eastAsia="宋体" w:cs="宋体"/>
                <w:color w:val="auto"/>
                <w:spacing w:val="2"/>
                <w:sz w:val="21"/>
                <w:szCs w:val="21"/>
                <w:highlight w:val="none"/>
                <w:lang w:eastAsia="zh-CN"/>
              </w:rPr>
              <w:t>进行事故广播，通知物业管理区域内人员进行紧急疏散，确保无滞留人员；</w:t>
            </w:r>
          </w:p>
          <w:p w14:paraId="3A7F627F">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③应切实落实相关应急处置预案（包括自然灾害、事故灾</w:t>
            </w:r>
            <w:r>
              <w:rPr>
                <w:rFonts w:hint="eastAsia" w:ascii="宋体" w:hAnsi="宋体" w:eastAsia="宋体" w:cs="宋体"/>
                <w:color w:val="auto"/>
                <w:spacing w:val="14"/>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害、公共卫生事件、社会安全事件、以及其他不可预见紧急事件等</w:t>
            </w:r>
            <w:r>
              <w:rPr>
                <w:rFonts w:hint="eastAsia" w:ascii="宋体" w:hAnsi="宋体" w:eastAsia="宋体" w:cs="宋体"/>
                <w:color w:val="auto"/>
                <w:spacing w:val="-43"/>
                <w:sz w:val="21"/>
                <w:szCs w:val="21"/>
                <w:highlight w:val="none"/>
                <w:lang w:eastAsia="zh-CN"/>
              </w:rPr>
              <w:t>），</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及时、准确、有序处置相关应急事件；</w:t>
            </w:r>
          </w:p>
          <w:p w14:paraId="70D1AD83">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④应随时向遇难、遇危、遇险、或遇困的人员提供紧急援助；</w:t>
            </w:r>
          </w:p>
          <w:p w14:paraId="0D5150C6">
            <w:pPr>
              <w:pStyle w:val="127"/>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2"/>
                <w:sz w:val="21"/>
                <w:szCs w:val="21"/>
                <w:highlight w:val="none"/>
                <w:lang w:eastAsia="zh-CN"/>
              </w:rPr>
              <w:t>⑤应随时向国家公安机关、消防</w:t>
            </w:r>
            <w:r>
              <w:rPr>
                <w:rFonts w:hint="eastAsia" w:ascii="宋体" w:hAnsi="宋体" w:eastAsia="宋体" w:cs="宋体"/>
                <w:color w:val="auto"/>
                <w:spacing w:val="-2"/>
                <w:sz w:val="21"/>
                <w:szCs w:val="21"/>
                <w:highlight w:val="none"/>
                <w:lang w:eastAsia="zh-CN"/>
              </w:rPr>
              <w:t>单位、以及医护人员等提供必要协助。</w:t>
            </w:r>
          </w:p>
        </w:tc>
        <w:tc>
          <w:tcPr>
            <w:tcW w:w="1039" w:type="dxa"/>
            <w:noWrap w:val="0"/>
            <w:vAlign w:val="center"/>
          </w:tcPr>
          <w:p w14:paraId="1974076A">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4986D06B">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8"/>
                <w:sz w:val="21"/>
                <w:szCs w:val="21"/>
                <w:highlight w:val="none"/>
                <w:lang w:eastAsia="zh-CN"/>
              </w:rPr>
              <w:t>全部符合</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42"/>
                <w:sz w:val="21"/>
                <w:szCs w:val="21"/>
                <w:highlight w:val="none"/>
                <w:lang w:val="en-US" w:eastAsia="zh-CN"/>
              </w:rPr>
              <w:t>5，</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1.0</w:t>
            </w:r>
          </w:p>
        </w:tc>
        <w:tc>
          <w:tcPr>
            <w:tcW w:w="564" w:type="dxa"/>
            <w:noWrap w:val="0"/>
            <w:vAlign w:val="top"/>
          </w:tcPr>
          <w:p w14:paraId="1ED67FFB">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551" w:type="dxa"/>
            <w:noWrap w:val="0"/>
            <w:vAlign w:val="top"/>
          </w:tcPr>
          <w:p w14:paraId="49233663">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430" w:type="dxa"/>
            <w:noWrap w:val="0"/>
            <w:vAlign w:val="top"/>
          </w:tcPr>
          <w:p w14:paraId="4A1ECEC6">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r>
      <w:tr w14:paraId="4FA14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620C0B3A">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20</w:t>
            </w:r>
          </w:p>
        </w:tc>
        <w:tc>
          <w:tcPr>
            <w:tcW w:w="530" w:type="dxa"/>
            <w:noWrap w:val="0"/>
            <w:vAlign w:val="center"/>
          </w:tcPr>
          <w:p w14:paraId="3E13925F">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保洁服务</w:t>
            </w:r>
          </w:p>
        </w:tc>
        <w:tc>
          <w:tcPr>
            <w:tcW w:w="612" w:type="dxa"/>
            <w:noWrap w:val="0"/>
            <w:vAlign w:val="center"/>
          </w:tcPr>
          <w:p w14:paraId="246D623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486" w:type="dxa"/>
            <w:noWrap w:val="0"/>
            <w:vAlign w:val="center"/>
          </w:tcPr>
          <w:p w14:paraId="35C85ACE">
            <w:pPr>
              <w:pStyle w:val="127"/>
              <w:keepNext w:val="0"/>
              <w:keepLines w:val="0"/>
              <w:pageBreakBefore w:val="0"/>
              <w:wordWrap/>
              <w:topLinePunct w:val="0"/>
              <w:bidi w:val="0"/>
              <w:adjustRightInd w:val="0"/>
              <w:snapToGrid w:val="0"/>
              <w:spacing w:line="240" w:lineRule="auto"/>
              <w:ind w:left="0" w:leftChars="0" w:right="0" w:hanging="2"/>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①建立完善的办公楼主体、室内外范围及附属配套设施的保洁及消杀工作内各项规章制度、操作规程、工作程序、工作计划和作业指导书等；</w:t>
            </w:r>
          </w:p>
          <w:p w14:paraId="405CC5DB">
            <w:pPr>
              <w:pStyle w:val="127"/>
              <w:keepNext w:val="0"/>
              <w:keepLines w:val="0"/>
              <w:pageBreakBefore w:val="0"/>
              <w:wordWrap/>
              <w:topLinePunct w:val="0"/>
              <w:bidi w:val="0"/>
              <w:adjustRightInd w:val="0"/>
              <w:snapToGrid w:val="0"/>
              <w:spacing w:line="240" w:lineRule="auto"/>
              <w:ind w:left="0" w:leftChars="0" w:right="0" w:hanging="2"/>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②按操作规程和标准使用卫生（保洁）洗涤工具及消毒用品；</w:t>
            </w:r>
          </w:p>
          <w:p w14:paraId="39D56575">
            <w:pPr>
              <w:pStyle w:val="127"/>
              <w:keepNext w:val="0"/>
              <w:keepLines w:val="0"/>
              <w:pageBreakBefore w:val="0"/>
              <w:wordWrap/>
              <w:topLinePunct w:val="0"/>
              <w:bidi w:val="0"/>
              <w:adjustRightInd w:val="0"/>
              <w:snapToGrid w:val="0"/>
              <w:spacing w:line="240" w:lineRule="auto"/>
              <w:ind w:left="0" w:leftChars="0" w:right="0" w:hanging="2"/>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③根据合同约定提供相应的卫生用品用具（包括洗涤剂、卫生</w:t>
            </w:r>
            <w:r>
              <w:rPr>
                <w:rFonts w:hint="eastAsia" w:ascii="宋体" w:hAnsi="宋体" w:eastAsia="宋体" w:cs="宋体"/>
                <w:color w:val="auto"/>
                <w:spacing w:val="-3"/>
                <w:sz w:val="21"/>
                <w:szCs w:val="21"/>
                <w:highlight w:val="none"/>
                <w:lang w:eastAsia="zh-CN"/>
              </w:rPr>
              <w:t>纸、垃圾桶等</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3"/>
                <w:sz w:val="21"/>
                <w:szCs w:val="21"/>
                <w:highlight w:val="none"/>
                <w:lang w:eastAsia="zh-CN"/>
              </w:rPr>
              <w:t>应及时更换或补充易耗品等；工作记录应及时、</w:t>
            </w:r>
            <w:r>
              <w:rPr>
                <w:rFonts w:hint="eastAsia" w:ascii="宋体" w:hAnsi="宋体" w:eastAsia="宋体" w:cs="宋体"/>
                <w:color w:val="auto"/>
                <w:spacing w:val="1"/>
                <w:sz w:val="21"/>
                <w:szCs w:val="21"/>
                <w:highlight w:val="none"/>
                <w:lang w:eastAsia="zh-CN"/>
              </w:rPr>
              <w:t>清晰、完整等；</w:t>
            </w:r>
          </w:p>
          <w:p w14:paraId="7E7D37A9">
            <w:pPr>
              <w:pStyle w:val="127"/>
              <w:keepNext w:val="0"/>
              <w:keepLines w:val="0"/>
              <w:pageBreakBefore w:val="0"/>
              <w:wordWrap/>
              <w:topLinePunct w:val="0"/>
              <w:bidi w:val="0"/>
              <w:adjustRightInd w:val="0"/>
              <w:snapToGrid w:val="0"/>
              <w:spacing w:line="240" w:lineRule="auto"/>
              <w:ind w:left="0" w:leftChars="0" w:right="0" w:hanging="2"/>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3"/>
                <w:sz w:val="21"/>
                <w:szCs w:val="21"/>
                <w:highlight w:val="none"/>
                <w:lang w:eastAsia="zh-CN"/>
              </w:rPr>
              <w:t>④</w:t>
            </w:r>
            <w:r>
              <w:rPr>
                <w:rFonts w:hint="eastAsia" w:ascii="宋体" w:hAnsi="宋体" w:eastAsia="宋体" w:cs="宋体"/>
                <w:color w:val="auto"/>
                <w:spacing w:val="1"/>
                <w:sz w:val="21"/>
                <w:szCs w:val="21"/>
                <w:highlight w:val="none"/>
                <w:lang w:eastAsia="zh-CN"/>
              </w:rPr>
              <w:t>实行卫生清洁责任制，有专职的清洁人员和明确的责任范围，实行标准化清洁保洁；</w:t>
            </w:r>
          </w:p>
          <w:p w14:paraId="19E4A7D8">
            <w:pPr>
              <w:pStyle w:val="127"/>
              <w:keepNext w:val="0"/>
              <w:keepLines w:val="0"/>
              <w:pageBreakBefore w:val="0"/>
              <w:wordWrap/>
              <w:topLinePunct w:val="0"/>
              <w:bidi w:val="0"/>
              <w:adjustRightInd w:val="0"/>
              <w:snapToGrid w:val="0"/>
              <w:spacing w:line="240" w:lineRule="auto"/>
              <w:ind w:left="0" w:leftChars="0" w:right="0" w:hanging="2"/>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1"/>
                <w:sz w:val="21"/>
                <w:szCs w:val="21"/>
                <w:highlight w:val="none"/>
                <w:lang w:eastAsia="zh-CN"/>
              </w:rPr>
              <w:t>⑤根据不同区域和部位实施巡回保洁，</w:t>
            </w:r>
            <w:r>
              <w:rPr>
                <w:rFonts w:hint="eastAsia" w:ascii="宋体" w:hAnsi="宋体" w:eastAsia="宋体" w:cs="宋体"/>
                <w:color w:val="auto"/>
                <w:spacing w:val="2"/>
                <w:sz w:val="21"/>
                <w:szCs w:val="21"/>
                <w:highlight w:val="none"/>
                <w:lang w:eastAsia="zh-CN"/>
              </w:rPr>
              <w:t>环境和设施无臭味、无污渍、无痕迹、无积水、</w:t>
            </w:r>
            <w:r>
              <w:rPr>
                <w:rFonts w:hint="eastAsia" w:ascii="宋体" w:hAnsi="宋体" w:eastAsia="宋体" w:cs="宋体"/>
                <w:color w:val="auto"/>
                <w:spacing w:val="1"/>
                <w:sz w:val="21"/>
                <w:szCs w:val="21"/>
                <w:highlight w:val="none"/>
                <w:lang w:eastAsia="zh-CN"/>
              </w:rPr>
              <w:t>无粉尘、无虫害、</w:t>
            </w:r>
            <w:r>
              <w:rPr>
                <w:rFonts w:hint="eastAsia" w:ascii="宋体" w:hAnsi="宋体" w:eastAsia="宋体" w:cs="宋体"/>
                <w:color w:val="auto"/>
                <w:spacing w:val="2"/>
                <w:sz w:val="21"/>
                <w:szCs w:val="21"/>
                <w:highlight w:val="none"/>
                <w:lang w:eastAsia="zh-CN"/>
              </w:rPr>
              <w:t>无污染、或无卫生死角等；</w:t>
            </w:r>
          </w:p>
          <w:p w14:paraId="7E9E2DE7">
            <w:pPr>
              <w:pStyle w:val="127"/>
              <w:keepNext w:val="0"/>
              <w:keepLines w:val="0"/>
              <w:pageBreakBefore w:val="0"/>
              <w:wordWrap/>
              <w:topLinePunct w:val="0"/>
              <w:bidi w:val="0"/>
              <w:adjustRightInd w:val="0"/>
              <w:snapToGrid w:val="0"/>
              <w:spacing w:line="240" w:lineRule="auto"/>
              <w:ind w:left="0" w:leftChars="0" w:right="0" w:hanging="2"/>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⑥</w:t>
            </w:r>
            <w:r>
              <w:rPr>
                <w:rFonts w:hint="eastAsia" w:ascii="宋体" w:hAnsi="宋体" w:eastAsia="宋体" w:cs="宋体"/>
                <w:color w:val="auto"/>
                <w:spacing w:val="2"/>
                <w:sz w:val="21"/>
                <w:szCs w:val="21"/>
                <w:highlight w:val="none"/>
                <w:lang w:eastAsia="zh-CN"/>
              </w:rPr>
              <w:t>配备专用拖把和抹布，</w:t>
            </w:r>
            <w:r>
              <w:rPr>
                <w:rFonts w:hint="eastAsia" w:ascii="宋体" w:hAnsi="宋体" w:eastAsia="宋体" w:cs="宋体"/>
                <w:color w:val="auto"/>
                <w:spacing w:val="1"/>
                <w:sz w:val="21"/>
                <w:szCs w:val="21"/>
                <w:highlight w:val="none"/>
                <w:lang w:eastAsia="zh-CN"/>
              </w:rPr>
              <w:t>清洁工作摆放</w:t>
            </w:r>
            <w:r>
              <w:rPr>
                <w:rFonts w:hint="eastAsia" w:ascii="宋体" w:hAnsi="宋体" w:eastAsia="宋体" w:cs="宋体"/>
                <w:color w:val="auto"/>
                <w:spacing w:val="-2"/>
                <w:sz w:val="21"/>
                <w:szCs w:val="21"/>
                <w:highlight w:val="none"/>
                <w:lang w:eastAsia="zh-CN"/>
              </w:rPr>
              <w:t>规范；</w:t>
            </w:r>
            <w:r>
              <w:rPr>
                <w:rFonts w:hint="eastAsia" w:ascii="宋体" w:hAnsi="宋体" w:eastAsia="宋体" w:cs="宋体"/>
                <w:color w:val="auto"/>
                <w:spacing w:val="1"/>
                <w:sz w:val="21"/>
                <w:szCs w:val="21"/>
                <w:highlight w:val="none"/>
                <w:lang w:eastAsia="zh-CN"/>
              </w:rPr>
              <w:t>在电梯厅及主要出入口通道等位置摆放垃圾收集容器；</w:t>
            </w:r>
          </w:p>
          <w:p w14:paraId="3F2D3069">
            <w:pPr>
              <w:pStyle w:val="127"/>
              <w:keepNext w:val="0"/>
              <w:keepLines w:val="0"/>
              <w:pageBreakBefore w:val="0"/>
              <w:wordWrap/>
              <w:topLinePunct w:val="0"/>
              <w:bidi w:val="0"/>
              <w:adjustRightInd w:val="0"/>
              <w:snapToGrid w:val="0"/>
              <w:spacing w:line="240" w:lineRule="auto"/>
              <w:ind w:left="0" w:leftChars="0" w:right="0" w:hanging="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⑦</w:t>
            </w:r>
            <w:r>
              <w:rPr>
                <w:rFonts w:hint="eastAsia" w:ascii="宋体" w:hAnsi="宋体" w:eastAsia="宋体" w:cs="宋体"/>
                <w:color w:val="auto"/>
                <w:spacing w:val="-2"/>
                <w:sz w:val="21"/>
                <w:szCs w:val="21"/>
                <w:highlight w:val="none"/>
                <w:lang w:eastAsia="zh-CN"/>
              </w:rPr>
              <w:t>实施垃圾分类，每日定期清运处理垃圾，垃圾房</w:t>
            </w:r>
            <w:r>
              <w:rPr>
                <w:rFonts w:hint="eastAsia" w:ascii="宋体" w:hAnsi="宋体" w:eastAsia="宋体" w:cs="宋体"/>
                <w:color w:val="auto"/>
                <w:spacing w:val="-3"/>
                <w:sz w:val="21"/>
                <w:szCs w:val="21"/>
                <w:highlight w:val="none"/>
                <w:lang w:eastAsia="zh-CN"/>
              </w:rPr>
              <w:t>定时消毒</w:t>
            </w:r>
            <w:r>
              <w:rPr>
                <w:rFonts w:hint="eastAsia" w:ascii="宋体" w:hAnsi="宋体" w:eastAsia="宋体" w:cs="宋体"/>
                <w:color w:val="auto"/>
                <w:spacing w:val="-4"/>
                <w:sz w:val="21"/>
                <w:szCs w:val="21"/>
                <w:highlight w:val="none"/>
                <w:lang w:eastAsia="zh-CN"/>
              </w:rPr>
              <w:t>等。注：作业范围、内容、频次和时间如合同另有规</w:t>
            </w:r>
            <w:r>
              <w:rPr>
                <w:rFonts w:hint="eastAsia" w:ascii="宋体" w:hAnsi="宋体" w:eastAsia="宋体" w:cs="宋体"/>
                <w:color w:val="auto"/>
                <w:spacing w:val="-2"/>
                <w:sz w:val="21"/>
                <w:szCs w:val="21"/>
                <w:highlight w:val="none"/>
                <w:lang w:eastAsia="zh-CN"/>
              </w:rPr>
              <w:t>定且高于上述标准的按合同执行。</w:t>
            </w:r>
          </w:p>
        </w:tc>
        <w:tc>
          <w:tcPr>
            <w:tcW w:w="1039" w:type="dxa"/>
            <w:noWrap w:val="0"/>
            <w:vAlign w:val="center"/>
          </w:tcPr>
          <w:p w14:paraId="05C7AAD3">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lang w:eastAsia="zh-CN"/>
              </w:rPr>
              <w:t>全部符合</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9"/>
                <w:sz w:val="21"/>
                <w:szCs w:val="21"/>
                <w:highlight w:val="none"/>
                <w:lang w:val="en-US" w:eastAsia="zh-CN"/>
              </w:rPr>
              <w:t>7</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1.0</w:t>
            </w:r>
          </w:p>
        </w:tc>
        <w:tc>
          <w:tcPr>
            <w:tcW w:w="564" w:type="dxa"/>
            <w:noWrap w:val="0"/>
            <w:vAlign w:val="top"/>
          </w:tcPr>
          <w:p w14:paraId="212258F1">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551" w:type="dxa"/>
            <w:noWrap w:val="0"/>
            <w:vAlign w:val="top"/>
          </w:tcPr>
          <w:p w14:paraId="5D981C8A">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430" w:type="dxa"/>
            <w:noWrap w:val="0"/>
            <w:vAlign w:val="top"/>
          </w:tcPr>
          <w:p w14:paraId="40EB4C1C">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r>
      <w:tr w14:paraId="4718C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3EB84D5E">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eastAsia="zh-CN"/>
              </w:rPr>
              <w:t>1</w:t>
            </w:r>
          </w:p>
        </w:tc>
        <w:tc>
          <w:tcPr>
            <w:tcW w:w="530" w:type="dxa"/>
            <w:noWrap w:val="0"/>
            <w:vAlign w:val="center"/>
          </w:tcPr>
          <w:p w14:paraId="7B69A833">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专项清洁</w:t>
            </w:r>
          </w:p>
        </w:tc>
        <w:tc>
          <w:tcPr>
            <w:tcW w:w="612" w:type="dxa"/>
            <w:noWrap w:val="0"/>
            <w:vAlign w:val="center"/>
          </w:tcPr>
          <w:p w14:paraId="64DD53A3">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4486" w:type="dxa"/>
            <w:noWrap w:val="0"/>
            <w:vAlign w:val="center"/>
          </w:tcPr>
          <w:p w14:paraId="340C5676">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10"/>
                <w:sz w:val="21"/>
                <w:szCs w:val="21"/>
                <w:highlight w:val="none"/>
                <w:lang w:eastAsia="zh-CN"/>
              </w:rPr>
              <w:t xml:space="preserve">洗手间清洁： </w:t>
            </w:r>
          </w:p>
          <w:p w14:paraId="4762CD90">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10"/>
                <w:sz w:val="21"/>
                <w:szCs w:val="21"/>
                <w:highlight w:val="none"/>
                <w:lang w:eastAsia="zh-CN"/>
              </w:rPr>
              <w:t>①洗手间每日间隔</w:t>
            </w:r>
            <w:r>
              <w:rPr>
                <w:rFonts w:hint="eastAsia" w:ascii="宋体" w:hAnsi="宋体" w:eastAsia="宋体" w:cs="宋体"/>
                <w:color w:val="auto"/>
                <w:spacing w:val="-27"/>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2</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小时进行巡回保洁，无垃圾、</w:t>
            </w:r>
            <w:r>
              <w:rPr>
                <w:rFonts w:hint="eastAsia" w:ascii="宋体" w:hAnsi="宋体" w:eastAsia="宋体" w:cs="宋体"/>
                <w:color w:val="auto"/>
                <w:spacing w:val="-8"/>
                <w:sz w:val="21"/>
                <w:szCs w:val="21"/>
                <w:highlight w:val="none"/>
                <w:lang w:eastAsia="zh-CN"/>
              </w:rPr>
              <w:t>无污渍、无积水，干爽、整洁，定时消毒；</w:t>
            </w:r>
          </w:p>
          <w:p w14:paraId="70A405D8">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8"/>
                <w:sz w:val="21"/>
                <w:szCs w:val="21"/>
                <w:highlight w:val="none"/>
                <w:lang w:eastAsia="zh-CN"/>
              </w:rPr>
              <w:t>②配备专用拖把和抹布，</w:t>
            </w:r>
            <w:r>
              <w:rPr>
                <w:rFonts w:hint="eastAsia" w:ascii="宋体" w:hAnsi="宋体" w:eastAsia="宋体" w:cs="宋体"/>
                <w:color w:val="auto"/>
                <w:spacing w:val="1"/>
                <w:sz w:val="21"/>
                <w:szCs w:val="21"/>
                <w:highlight w:val="none"/>
                <w:lang w:eastAsia="zh-CN"/>
              </w:rPr>
              <w:t>清洁工作摆放规范；</w:t>
            </w:r>
          </w:p>
          <w:p w14:paraId="7F429A2F">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1"/>
                <w:sz w:val="21"/>
                <w:szCs w:val="21"/>
                <w:highlight w:val="none"/>
                <w:lang w:eastAsia="zh-CN"/>
              </w:rPr>
              <w:t>③现场环境无恶臭，地面、洗手台面无积水、</w:t>
            </w:r>
            <w:r>
              <w:rPr>
                <w:rFonts w:hint="eastAsia" w:ascii="宋体" w:hAnsi="宋体" w:eastAsia="宋体" w:cs="宋体"/>
                <w:color w:val="auto"/>
                <w:spacing w:val="2"/>
                <w:sz w:val="21"/>
                <w:szCs w:val="21"/>
                <w:highlight w:val="none"/>
                <w:lang w:eastAsia="zh-CN"/>
              </w:rPr>
              <w:t>杂物，墙（镜）面整洁明亮；</w:t>
            </w:r>
          </w:p>
          <w:p w14:paraId="5A605A22">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2"/>
                <w:sz w:val="21"/>
                <w:szCs w:val="21"/>
                <w:highlight w:val="none"/>
                <w:lang w:eastAsia="zh-CN"/>
              </w:rPr>
              <w:t>④垃圾桶无外溢，马桶、便池冲洗干</w:t>
            </w:r>
            <w:r>
              <w:rPr>
                <w:rFonts w:hint="eastAsia" w:ascii="宋体" w:hAnsi="宋体" w:eastAsia="宋体" w:cs="宋体"/>
                <w:color w:val="auto"/>
                <w:spacing w:val="-4"/>
                <w:sz w:val="21"/>
                <w:szCs w:val="21"/>
                <w:highlight w:val="none"/>
                <w:lang w:eastAsia="zh-CN"/>
              </w:rPr>
              <w:t>净、无堵塞，定期消毒；</w:t>
            </w:r>
          </w:p>
          <w:p w14:paraId="5A51351E">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⑤及时补充易耗品等。</w:t>
            </w:r>
          </w:p>
          <w:p w14:paraId="21136CF9">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4"/>
                <w:sz w:val="21"/>
                <w:szCs w:val="21"/>
                <w:highlight w:val="none"/>
                <w:lang w:eastAsia="zh-CN"/>
              </w:rPr>
              <w:t>注：作业频次和时</w:t>
            </w:r>
            <w:r>
              <w:rPr>
                <w:rFonts w:hint="eastAsia" w:ascii="宋体" w:hAnsi="宋体" w:eastAsia="宋体" w:cs="宋体"/>
                <w:color w:val="auto"/>
                <w:spacing w:val="-3"/>
                <w:sz w:val="21"/>
                <w:szCs w:val="21"/>
                <w:highlight w:val="none"/>
                <w:lang w:eastAsia="zh-CN"/>
              </w:rPr>
              <w:t>间如合同另有规定且高于上述标准的按合同执行。</w:t>
            </w:r>
          </w:p>
          <w:p w14:paraId="17B5CD1A">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（2）停车场（车库）清洁：</w:t>
            </w:r>
          </w:p>
          <w:p w14:paraId="751C7CEC">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1"/>
                <w:sz w:val="21"/>
                <w:szCs w:val="21"/>
                <w:highlight w:val="none"/>
                <w:lang w:eastAsia="zh-CN"/>
              </w:rPr>
              <w:t>①停车场每日至少</w:t>
            </w:r>
            <w:r>
              <w:rPr>
                <w:rFonts w:hint="eastAsia" w:ascii="宋体" w:hAnsi="宋体" w:eastAsia="宋体" w:cs="宋体"/>
                <w:color w:val="auto"/>
                <w:spacing w:val="-44"/>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2</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次进</w:t>
            </w:r>
            <w:r>
              <w:rPr>
                <w:rFonts w:hint="eastAsia" w:ascii="宋体" w:hAnsi="宋体" w:eastAsia="宋体" w:cs="宋体"/>
                <w:color w:val="auto"/>
                <w:spacing w:val="-2"/>
                <w:sz w:val="21"/>
                <w:szCs w:val="21"/>
                <w:highlight w:val="none"/>
                <w:lang w:eastAsia="zh-CN"/>
              </w:rPr>
              <w:t>行巡回保洁，</w:t>
            </w:r>
            <w:r>
              <w:rPr>
                <w:rFonts w:hint="eastAsia" w:ascii="宋体" w:hAnsi="宋体" w:eastAsia="宋体" w:cs="宋体"/>
                <w:color w:val="auto"/>
                <w:spacing w:val="3"/>
                <w:sz w:val="21"/>
                <w:szCs w:val="21"/>
                <w:highlight w:val="none"/>
                <w:lang w:eastAsia="zh-CN"/>
              </w:rPr>
              <w:t>现场无明显油迹、无杂物、烟蒂、纸屑等，干净、整洁；</w:t>
            </w:r>
          </w:p>
          <w:p w14:paraId="0C9A1DA1">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23"/>
                <w:sz w:val="21"/>
                <w:szCs w:val="21"/>
                <w:highlight w:val="none"/>
                <w:lang w:eastAsia="zh-CN"/>
              </w:rPr>
            </w:pPr>
            <w:r>
              <w:rPr>
                <w:rFonts w:hint="eastAsia" w:ascii="宋体" w:hAnsi="宋体" w:eastAsia="宋体" w:cs="宋体"/>
                <w:color w:val="auto"/>
                <w:spacing w:val="3"/>
                <w:sz w:val="21"/>
                <w:szCs w:val="21"/>
                <w:highlight w:val="none"/>
                <w:lang w:eastAsia="zh-CN"/>
              </w:rPr>
              <w:t>②每日定</w:t>
            </w:r>
            <w:r>
              <w:rPr>
                <w:rFonts w:hint="eastAsia" w:ascii="宋体" w:hAnsi="宋体" w:eastAsia="宋体" w:cs="宋体"/>
                <w:color w:val="auto"/>
                <w:spacing w:val="-4"/>
                <w:sz w:val="21"/>
                <w:szCs w:val="21"/>
                <w:highlight w:val="none"/>
                <w:lang w:eastAsia="zh-CN"/>
              </w:rPr>
              <w:t>期清理地面及坡道路面的垃圾、杂物等，</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及时</w:t>
            </w:r>
            <w:r>
              <w:rPr>
                <w:rFonts w:hint="eastAsia" w:ascii="宋体" w:hAnsi="宋体" w:eastAsia="宋体" w:cs="宋体"/>
                <w:color w:val="auto"/>
                <w:spacing w:val="-5"/>
                <w:sz w:val="21"/>
                <w:szCs w:val="21"/>
                <w:highlight w:val="none"/>
                <w:lang w:eastAsia="zh-CN"/>
              </w:rPr>
              <w:t>清倒垃圾（不超过</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2/3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垃圾桶容量</w:t>
            </w:r>
            <w:r>
              <w:rPr>
                <w:rFonts w:hint="eastAsia" w:ascii="宋体" w:hAnsi="宋体" w:eastAsia="宋体" w:cs="宋体"/>
                <w:color w:val="auto"/>
                <w:spacing w:val="-39"/>
                <w:sz w:val="21"/>
                <w:szCs w:val="21"/>
                <w:highlight w:val="none"/>
                <w:lang w:eastAsia="zh-CN"/>
              </w:rPr>
              <w:t>）；</w:t>
            </w:r>
            <w:r>
              <w:rPr>
                <w:rFonts w:hint="eastAsia" w:ascii="宋体" w:hAnsi="宋体" w:eastAsia="宋体" w:cs="宋体"/>
                <w:color w:val="auto"/>
                <w:spacing w:val="-23"/>
                <w:sz w:val="21"/>
                <w:szCs w:val="21"/>
                <w:highlight w:val="none"/>
                <w:lang w:eastAsia="zh-CN"/>
              </w:rPr>
              <w:t xml:space="preserve"> </w:t>
            </w:r>
          </w:p>
          <w:p w14:paraId="38F04261">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③每周清洗车库地面 1 次，</w:t>
            </w:r>
            <w:r>
              <w:rPr>
                <w:rFonts w:hint="eastAsia" w:ascii="宋体" w:hAnsi="宋体" w:eastAsia="宋体" w:cs="宋体"/>
                <w:color w:val="auto"/>
                <w:spacing w:val="-29"/>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清洗车辆出入口、车辆</w:t>
            </w:r>
            <w:r>
              <w:rPr>
                <w:rFonts w:hint="eastAsia" w:ascii="宋体" w:hAnsi="宋体" w:eastAsia="宋体" w:cs="宋体"/>
                <w:color w:val="auto"/>
                <w:sz w:val="21"/>
                <w:szCs w:val="21"/>
                <w:highlight w:val="none"/>
                <w:lang w:eastAsia="zh-CN"/>
              </w:rPr>
              <w:t>通道以及车位等；</w:t>
            </w:r>
          </w:p>
          <w:p w14:paraId="4D5EA1AF">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z w:val="21"/>
                <w:szCs w:val="21"/>
                <w:highlight w:val="none"/>
                <w:lang w:eastAsia="zh-CN"/>
              </w:rPr>
              <w:t>④每月清理积水沟、渠及集水井 1</w:t>
            </w:r>
            <w:r>
              <w:rPr>
                <w:rFonts w:hint="eastAsia" w:ascii="宋体" w:hAnsi="宋体" w:eastAsia="宋体" w:cs="宋体"/>
                <w:color w:val="auto"/>
                <w:spacing w:val="-1"/>
                <w:sz w:val="21"/>
                <w:szCs w:val="21"/>
                <w:highlight w:val="none"/>
                <w:lang w:eastAsia="zh-CN"/>
              </w:rPr>
              <w:t xml:space="preserve"> 次；</w:t>
            </w:r>
          </w:p>
          <w:p w14:paraId="139991ED">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1"/>
                <w:sz w:val="21"/>
                <w:szCs w:val="21"/>
                <w:highlight w:val="none"/>
                <w:lang w:eastAsia="zh-CN"/>
              </w:rPr>
              <w:t>⑤在清拖</w:t>
            </w:r>
            <w:r>
              <w:rPr>
                <w:rFonts w:hint="eastAsia" w:ascii="宋体" w:hAnsi="宋体" w:eastAsia="宋体" w:cs="宋体"/>
                <w:color w:val="auto"/>
                <w:spacing w:val="3"/>
                <w:sz w:val="21"/>
                <w:szCs w:val="21"/>
                <w:highlight w:val="none"/>
                <w:lang w:eastAsia="zh-CN"/>
              </w:rPr>
              <w:t>地下车库主要出入通道时，要避免在上下班高峰期作业，作业期间</w:t>
            </w:r>
            <w:r>
              <w:rPr>
                <w:rFonts w:hint="eastAsia" w:ascii="宋体" w:hAnsi="宋体" w:eastAsia="宋体" w:cs="宋体"/>
                <w:color w:val="auto"/>
                <w:spacing w:val="-3"/>
                <w:sz w:val="21"/>
                <w:szCs w:val="21"/>
                <w:highlight w:val="none"/>
                <w:lang w:eastAsia="zh-CN"/>
              </w:rPr>
              <w:t>按要求穿戴反光衣，及时避让来往车辆。</w:t>
            </w:r>
          </w:p>
          <w:p w14:paraId="33E9C135">
            <w:pPr>
              <w:pStyle w:val="127"/>
              <w:keepNext w:val="0"/>
              <w:keepLines w:val="0"/>
              <w:pageBreakBefore w:val="0"/>
              <w:wordWrap/>
              <w:topLinePunct w:val="0"/>
              <w:bidi w:val="0"/>
              <w:adjustRightInd w:val="0"/>
              <w:snapToGrid w:val="0"/>
              <w:spacing w:line="240" w:lineRule="auto"/>
              <w:ind w:left="0" w:leftChars="0" w:right="0" w:firstLine="6"/>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注：作业频次和时间如合</w:t>
            </w:r>
            <w:r>
              <w:rPr>
                <w:rFonts w:hint="eastAsia" w:ascii="宋体" w:hAnsi="宋体" w:eastAsia="宋体" w:cs="宋体"/>
                <w:color w:val="auto"/>
                <w:spacing w:val="-2"/>
                <w:sz w:val="21"/>
                <w:szCs w:val="21"/>
                <w:highlight w:val="none"/>
                <w:lang w:eastAsia="zh-CN"/>
              </w:rPr>
              <w:t>同另有规定且高于上述标准的按合同执行。</w:t>
            </w:r>
          </w:p>
        </w:tc>
        <w:tc>
          <w:tcPr>
            <w:tcW w:w="1039" w:type="dxa"/>
            <w:noWrap w:val="0"/>
            <w:vAlign w:val="center"/>
          </w:tcPr>
          <w:p w14:paraId="2570C1DA">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lang w:eastAsia="zh-CN"/>
              </w:rPr>
              <w:t>全部符合</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35"/>
                <w:sz w:val="21"/>
                <w:szCs w:val="21"/>
                <w:highlight w:val="none"/>
                <w:lang w:val="en-US" w:eastAsia="zh-CN"/>
              </w:rPr>
              <w:t>7</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0.7</w:t>
            </w:r>
          </w:p>
        </w:tc>
        <w:tc>
          <w:tcPr>
            <w:tcW w:w="564" w:type="dxa"/>
            <w:noWrap w:val="0"/>
            <w:vAlign w:val="top"/>
          </w:tcPr>
          <w:p w14:paraId="4BC51D5A">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lang w:eastAsia="zh-CN"/>
              </w:rPr>
            </w:pPr>
          </w:p>
        </w:tc>
        <w:tc>
          <w:tcPr>
            <w:tcW w:w="551" w:type="dxa"/>
            <w:noWrap w:val="0"/>
            <w:vAlign w:val="center"/>
          </w:tcPr>
          <w:p w14:paraId="5D8C2D66">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center"/>
          </w:tcPr>
          <w:p w14:paraId="03B6210B">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5C03C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381ACC3C">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22</w:t>
            </w:r>
          </w:p>
        </w:tc>
        <w:tc>
          <w:tcPr>
            <w:tcW w:w="530" w:type="dxa"/>
            <w:noWrap w:val="0"/>
            <w:vAlign w:val="center"/>
          </w:tcPr>
          <w:p w14:paraId="00A7D418">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12"/>
                <w:sz w:val="21"/>
                <w:szCs w:val="21"/>
                <w:highlight w:val="none"/>
                <w:lang w:eastAsia="zh-CN"/>
              </w:rPr>
              <w:t>公共卫生事件</w:t>
            </w:r>
          </w:p>
          <w:p w14:paraId="1B79F910">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应急处理</w:t>
            </w:r>
          </w:p>
        </w:tc>
        <w:tc>
          <w:tcPr>
            <w:tcW w:w="612" w:type="dxa"/>
            <w:noWrap w:val="0"/>
            <w:vAlign w:val="center"/>
          </w:tcPr>
          <w:p w14:paraId="49E62B1A">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486" w:type="dxa"/>
            <w:noWrap w:val="0"/>
            <w:vAlign w:val="center"/>
          </w:tcPr>
          <w:p w14:paraId="2016D5FC">
            <w:pPr>
              <w:pStyle w:val="127"/>
              <w:keepNext w:val="0"/>
              <w:keepLines w:val="0"/>
              <w:pageBreakBefore w:val="0"/>
              <w:wordWrap/>
              <w:topLinePunct w:val="0"/>
              <w:bidi w:val="0"/>
              <w:adjustRightInd w:val="0"/>
              <w:snapToGrid w:val="0"/>
              <w:spacing w:line="240" w:lineRule="auto"/>
              <w:ind w:left="0" w:leftChars="0" w:right="0" w:hanging="3"/>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①应制定完善的公共卫生事件应急处置预案。管控区域内若发生传</w:t>
            </w:r>
            <w:r>
              <w:rPr>
                <w:rFonts w:hint="eastAsia" w:ascii="宋体" w:hAnsi="宋体" w:eastAsia="宋体" w:cs="宋体"/>
                <w:color w:val="auto"/>
                <w:spacing w:val="8"/>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染性疫病或有毒性物品泄露等公共卫生安全事件，第一时间启动应</w:t>
            </w:r>
            <w:r>
              <w:rPr>
                <w:rFonts w:hint="eastAsia" w:ascii="宋体" w:hAnsi="宋体" w:eastAsia="宋体" w:cs="宋体"/>
                <w:color w:val="auto"/>
                <w:spacing w:val="5"/>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急处置预案响应，控制事件扩散，上报相关情况，配合业主或政府部门做好相关工作；</w:t>
            </w:r>
          </w:p>
          <w:p w14:paraId="61A68389">
            <w:pPr>
              <w:pStyle w:val="127"/>
              <w:keepNext w:val="0"/>
              <w:keepLines w:val="0"/>
              <w:pageBreakBefore w:val="0"/>
              <w:wordWrap/>
              <w:topLinePunct w:val="0"/>
              <w:bidi w:val="0"/>
              <w:adjustRightInd w:val="0"/>
              <w:snapToGrid w:val="0"/>
              <w:spacing w:line="240" w:lineRule="auto"/>
              <w:ind w:left="0" w:leftChars="0" w:right="0" w:hanging="3"/>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②日常做好相关防疫物资储备，根据相关防疫工作要求，对管理区域实施环境消毒和人员防护；</w:t>
            </w:r>
          </w:p>
          <w:p w14:paraId="5A4E03B9">
            <w:pPr>
              <w:pStyle w:val="127"/>
              <w:keepNext w:val="0"/>
              <w:keepLines w:val="0"/>
              <w:pageBreakBefore w:val="0"/>
              <w:wordWrap/>
              <w:topLinePunct w:val="0"/>
              <w:bidi w:val="0"/>
              <w:adjustRightInd w:val="0"/>
              <w:snapToGrid w:val="0"/>
              <w:spacing w:line="240" w:lineRule="auto"/>
              <w:ind w:left="0" w:leftChars="0" w:right="0" w:hanging="3"/>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③加强人员进出管理，按相关规定和要求查验进出人员的健康信息，必要时应减少办公楼出入口或限制和规定人员通行通道；</w:t>
            </w:r>
          </w:p>
          <w:p w14:paraId="767D99D1">
            <w:pPr>
              <w:pStyle w:val="127"/>
              <w:keepNext w:val="0"/>
              <w:keepLines w:val="0"/>
              <w:pageBreakBefore w:val="0"/>
              <w:wordWrap/>
              <w:topLinePunct w:val="0"/>
              <w:bidi w:val="0"/>
              <w:adjustRightInd w:val="0"/>
              <w:snapToGrid w:val="0"/>
              <w:spacing w:line="240" w:lineRule="auto"/>
              <w:ind w:left="0" w:leftChars="0" w:right="0" w:hanging="3"/>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④应急管理期间，物业管理处应加强管理人员力量，增加防控人员，确保严防死守的工作</w:t>
            </w:r>
            <w:r>
              <w:rPr>
                <w:rFonts w:hint="eastAsia" w:ascii="宋体" w:hAnsi="宋体" w:eastAsia="宋体" w:cs="宋体"/>
                <w:color w:val="auto"/>
                <w:spacing w:val="-11"/>
                <w:sz w:val="21"/>
                <w:szCs w:val="21"/>
                <w:highlight w:val="none"/>
              </w:rPr>
              <w:t>需要。</w:t>
            </w:r>
          </w:p>
        </w:tc>
        <w:tc>
          <w:tcPr>
            <w:tcW w:w="1039" w:type="dxa"/>
            <w:noWrap w:val="0"/>
            <w:vAlign w:val="center"/>
          </w:tcPr>
          <w:p w14:paraId="179E8C60">
            <w:pPr>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rPr>
            </w:pPr>
          </w:p>
          <w:p w14:paraId="5CFBF0DB">
            <w:pPr>
              <w:pStyle w:val="127"/>
              <w:keepNext w:val="0"/>
              <w:keepLines w:val="0"/>
              <w:pageBreakBefore w:val="0"/>
              <w:wordWrap/>
              <w:topLinePunct w:val="0"/>
              <w:bidi w:val="0"/>
              <w:adjustRightInd w:val="0"/>
              <w:snapToGrid w:val="0"/>
              <w:spacing w:line="240" w:lineRule="auto"/>
              <w:ind w:left="0" w:leftChars="0" w:right="-23" w:rightChars="-1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lang w:eastAsia="zh-CN"/>
              </w:rPr>
              <w:t>全部符合</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35"/>
                <w:sz w:val="21"/>
                <w:szCs w:val="21"/>
                <w:highlight w:val="none"/>
                <w:lang w:val="en-US" w:eastAsia="zh-CN"/>
              </w:rPr>
              <w:t>4</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2"/>
                <w:sz w:val="21"/>
                <w:szCs w:val="21"/>
                <w:highlight w:val="none"/>
                <w:lang w:eastAsia="zh-CN"/>
              </w:rPr>
              <w:t>不符合每项扣</w:t>
            </w:r>
            <w:r>
              <w:rPr>
                <w:rFonts w:hint="eastAsia" w:ascii="宋体" w:hAnsi="宋体" w:eastAsia="宋体" w:cs="宋体"/>
                <w:color w:val="auto"/>
                <w:spacing w:val="-2"/>
                <w:sz w:val="21"/>
                <w:szCs w:val="21"/>
                <w:highlight w:val="none"/>
                <w:lang w:val="en-US" w:eastAsia="zh-CN"/>
              </w:rPr>
              <w:t>1.0</w:t>
            </w:r>
          </w:p>
        </w:tc>
        <w:tc>
          <w:tcPr>
            <w:tcW w:w="564" w:type="dxa"/>
            <w:noWrap w:val="0"/>
            <w:vAlign w:val="top"/>
          </w:tcPr>
          <w:p w14:paraId="0AD16A5F">
            <w:pPr>
              <w:pStyle w:val="127"/>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lang w:eastAsia="zh-CN"/>
              </w:rPr>
            </w:pPr>
          </w:p>
        </w:tc>
        <w:tc>
          <w:tcPr>
            <w:tcW w:w="551" w:type="dxa"/>
            <w:noWrap w:val="0"/>
            <w:vAlign w:val="center"/>
          </w:tcPr>
          <w:p w14:paraId="15621CB4">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c>
          <w:tcPr>
            <w:tcW w:w="430" w:type="dxa"/>
            <w:noWrap w:val="0"/>
            <w:vAlign w:val="center"/>
          </w:tcPr>
          <w:p w14:paraId="0870E604">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p>
        </w:tc>
      </w:tr>
      <w:tr w14:paraId="050E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5C4D4FC3">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合计</w:t>
            </w:r>
          </w:p>
        </w:tc>
        <w:tc>
          <w:tcPr>
            <w:tcW w:w="530" w:type="dxa"/>
            <w:noWrap w:val="0"/>
            <w:vAlign w:val="center"/>
          </w:tcPr>
          <w:p w14:paraId="2FE12294">
            <w:pPr>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c>
          <w:tcPr>
            <w:tcW w:w="612" w:type="dxa"/>
            <w:noWrap w:val="0"/>
            <w:vAlign w:val="center"/>
          </w:tcPr>
          <w:p w14:paraId="420F4FD5">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100</w:t>
            </w:r>
          </w:p>
        </w:tc>
        <w:tc>
          <w:tcPr>
            <w:tcW w:w="4486" w:type="dxa"/>
            <w:noWrap w:val="0"/>
            <w:vAlign w:val="center"/>
          </w:tcPr>
          <w:p w14:paraId="53AFD79C">
            <w:pPr>
              <w:keepNext w:val="0"/>
              <w:keepLines w:val="0"/>
              <w:pageBreakBefore w:val="0"/>
              <w:wordWrap/>
              <w:topLinePunct w:val="0"/>
              <w:bidi w:val="0"/>
              <w:adjustRightInd w:val="0"/>
              <w:snapToGrid w:val="0"/>
              <w:spacing w:line="240" w:lineRule="auto"/>
              <w:ind w:left="0" w:leftChars="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（如有加分，</w:t>
            </w:r>
            <w:r>
              <w:rPr>
                <w:rFonts w:hint="eastAsia" w:ascii="宋体" w:hAnsi="宋体" w:eastAsia="宋体" w:cs="宋体"/>
                <w:color w:val="auto"/>
                <w:spacing w:val="-9"/>
                <w:sz w:val="21"/>
                <w:szCs w:val="21"/>
                <w:highlight w:val="none"/>
                <w:lang w:eastAsia="zh-CN"/>
              </w:rPr>
              <w:t>考评总分值</w:t>
            </w:r>
            <w:r>
              <w:rPr>
                <w:rFonts w:hint="eastAsia" w:ascii="宋体" w:hAnsi="宋体" w:eastAsia="宋体" w:cs="宋体"/>
                <w:color w:val="auto"/>
                <w:sz w:val="21"/>
                <w:szCs w:val="21"/>
                <w:highlight w:val="none"/>
                <w:lang w:eastAsia="zh-CN"/>
              </w:rPr>
              <w:t>超过</w:t>
            </w:r>
            <w:r>
              <w:rPr>
                <w:rFonts w:hint="eastAsia" w:ascii="宋体" w:hAnsi="宋体" w:eastAsia="宋体" w:cs="宋体"/>
                <w:color w:val="auto"/>
                <w:sz w:val="21"/>
                <w:szCs w:val="21"/>
                <w:highlight w:val="none"/>
                <w:lang w:val="en-US" w:eastAsia="zh-CN"/>
              </w:rPr>
              <w:t>100分按100分计算。</w:t>
            </w:r>
            <w:r>
              <w:rPr>
                <w:rFonts w:hint="eastAsia" w:ascii="宋体" w:hAnsi="宋体" w:eastAsia="宋体" w:cs="宋体"/>
                <w:color w:val="auto"/>
                <w:sz w:val="21"/>
                <w:szCs w:val="21"/>
                <w:highlight w:val="none"/>
                <w:lang w:eastAsia="zh-CN"/>
              </w:rPr>
              <w:t>）</w:t>
            </w:r>
          </w:p>
        </w:tc>
        <w:tc>
          <w:tcPr>
            <w:tcW w:w="1039" w:type="dxa"/>
            <w:noWrap w:val="0"/>
            <w:vAlign w:val="center"/>
          </w:tcPr>
          <w:p w14:paraId="6904B480">
            <w:pPr>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z w:val="21"/>
                <w:szCs w:val="21"/>
                <w:highlight w:val="none"/>
              </w:rPr>
            </w:pPr>
          </w:p>
        </w:tc>
        <w:tc>
          <w:tcPr>
            <w:tcW w:w="564" w:type="dxa"/>
            <w:noWrap w:val="0"/>
            <w:vAlign w:val="top"/>
          </w:tcPr>
          <w:p w14:paraId="35D6FE26">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551" w:type="dxa"/>
            <w:noWrap w:val="0"/>
            <w:vAlign w:val="top"/>
          </w:tcPr>
          <w:p w14:paraId="59E1A932">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c>
          <w:tcPr>
            <w:tcW w:w="430" w:type="dxa"/>
            <w:noWrap w:val="0"/>
            <w:vAlign w:val="top"/>
          </w:tcPr>
          <w:p w14:paraId="33E7E4A5">
            <w:pPr>
              <w:keepNext w:val="0"/>
              <w:keepLines w:val="0"/>
              <w:pageBreakBefore w:val="0"/>
              <w:wordWrap/>
              <w:topLinePunct w:val="0"/>
              <w:bidi w:val="0"/>
              <w:adjustRightInd w:val="0"/>
              <w:snapToGrid w:val="0"/>
              <w:spacing w:line="240" w:lineRule="auto"/>
              <w:ind w:left="0" w:leftChars="0" w:right="0"/>
              <w:rPr>
                <w:rFonts w:hint="eastAsia" w:ascii="宋体" w:hAnsi="宋体" w:eastAsia="宋体" w:cs="宋体"/>
                <w:color w:val="auto"/>
                <w:sz w:val="21"/>
                <w:szCs w:val="21"/>
                <w:highlight w:val="none"/>
              </w:rPr>
            </w:pPr>
          </w:p>
        </w:tc>
      </w:tr>
      <w:tr w14:paraId="1636A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62FA23F3">
            <w:pPr>
              <w:pStyle w:val="127"/>
              <w:keepNext w:val="0"/>
              <w:keepLines w:val="0"/>
              <w:pageBreakBefore w:val="0"/>
              <w:wordWrap/>
              <w:topLinePunct w:val="0"/>
              <w:bidi w:val="0"/>
              <w:adjustRightInd w:val="0"/>
              <w:snapToGrid w:val="0"/>
              <w:spacing w:line="240" w:lineRule="auto"/>
              <w:ind w:left="0" w:leftChars="0" w:right="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说明</w:t>
            </w:r>
          </w:p>
        </w:tc>
        <w:tc>
          <w:tcPr>
            <w:tcW w:w="8212" w:type="dxa"/>
            <w:gridSpan w:val="7"/>
            <w:noWrap w:val="0"/>
            <w:vAlign w:val="top"/>
          </w:tcPr>
          <w:p w14:paraId="4D130D7A">
            <w:pPr>
              <w:pStyle w:val="127"/>
              <w:keepNext w:val="0"/>
              <w:keepLines w:val="0"/>
              <w:pageBreakBefore w:val="0"/>
              <w:wordWrap/>
              <w:topLinePunct w:val="0"/>
              <w:bidi w:val="0"/>
              <w:adjustRightInd w:val="0"/>
              <w:snapToGrid w:val="0"/>
              <w:spacing w:line="240" w:lineRule="auto"/>
              <w:ind w:left="0" w:leftChars="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12"/>
                <w:sz w:val="21"/>
                <w:szCs w:val="21"/>
                <w:highlight w:val="none"/>
                <w:lang w:eastAsia="zh-CN"/>
              </w:rPr>
              <w:t>1、扣分说明： 如当月出现扣分项，但已过整改期限未整改完成且未提交相关情况说明，或次月再次出现相同问</w:t>
            </w:r>
            <w:r>
              <w:rPr>
                <w:rFonts w:hint="eastAsia" w:ascii="宋体" w:hAnsi="宋体" w:eastAsia="宋体" w:cs="宋体"/>
                <w:color w:val="auto"/>
                <w:spacing w:val="-4"/>
                <w:position w:val="12"/>
                <w:sz w:val="21"/>
                <w:szCs w:val="21"/>
                <w:highlight w:val="none"/>
                <w:lang w:eastAsia="zh-CN"/>
              </w:rPr>
              <w:t>题，对应的考核项目在次月考核中将不得分；</w:t>
            </w:r>
          </w:p>
          <w:p w14:paraId="3DCCF75E">
            <w:pPr>
              <w:pStyle w:val="127"/>
              <w:keepNext w:val="0"/>
              <w:keepLines w:val="0"/>
              <w:pageBreakBefore w:val="0"/>
              <w:wordWrap/>
              <w:topLinePunct w:val="0"/>
              <w:bidi w:val="0"/>
              <w:adjustRightInd w:val="0"/>
              <w:snapToGrid w:val="0"/>
              <w:spacing w:line="240" w:lineRule="auto"/>
              <w:ind w:left="0" w:leftChars="0" w:right="0"/>
              <w:jc w:val="left"/>
              <w:rPr>
                <w:rFonts w:hint="eastAsia" w:ascii="宋体" w:hAnsi="宋体" w:eastAsia="宋体" w:cs="宋体"/>
                <w:color w:val="auto"/>
                <w:spacing w:val="-3"/>
                <w:position w:val="12"/>
                <w:sz w:val="21"/>
                <w:szCs w:val="21"/>
                <w:highlight w:val="none"/>
                <w:lang w:eastAsia="zh-CN"/>
              </w:rPr>
            </w:pPr>
            <w:r>
              <w:rPr>
                <w:rFonts w:hint="eastAsia" w:ascii="宋体" w:hAnsi="宋体" w:eastAsia="宋体" w:cs="宋体"/>
                <w:color w:val="auto"/>
                <w:spacing w:val="-3"/>
                <w:position w:val="12"/>
                <w:sz w:val="21"/>
                <w:szCs w:val="21"/>
                <w:highlight w:val="none"/>
                <w:lang w:eastAsia="zh-CN"/>
              </w:rPr>
              <w:t xml:space="preserve">2、考评分值： 95-100 分（不含 95 分） 为优秀， 90-95 分（不含 90 分）为良好， 85到90 （不含 </w:t>
            </w:r>
            <w:r>
              <w:rPr>
                <w:rFonts w:hint="eastAsia" w:ascii="宋体" w:hAnsi="宋体" w:eastAsia="宋体" w:cs="宋体"/>
                <w:color w:val="auto"/>
                <w:spacing w:val="-3"/>
                <w:position w:val="12"/>
                <w:sz w:val="21"/>
                <w:szCs w:val="21"/>
                <w:highlight w:val="none"/>
                <w:lang w:val="en-US" w:eastAsia="zh-CN"/>
              </w:rPr>
              <w:t>85</w:t>
            </w:r>
            <w:r>
              <w:rPr>
                <w:rFonts w:hint="eastAsia" w:ascii="宋体" w:hAnsi="宋体" w:eastAsia="宋体" w:cs="宋体"/>
                <w:color w:val="auto"/>
                <w:spacing w:val="-3"/>
                <w:position w:val="12"/>
                <w:sz w:val="21"/>
                <w:szCs w:val="21"/>
                <w:highlight w:val="none"/>
                <w:lang w:eastAsia="zh-CN"/>
              </w:rPr>
              <w:t xml:space="preserve"> 分）分为及格， 85分以下为不及格；</w:t>
            </w:r>
          </w:p>
          <w:p w14:paraId="54135C4F">
            <w:pPr>
              <w:pStyle w:val="127"/>
              <w:keepNext w:val="0"/>
              <w:keepLines w:val="0"/>
              <w:pageBreakBefore w:val="0"/>
              <w:wordWrap/>
              <w:topLinePunct w:val="0"/>
              <w:bidi w:val="0"/>
              <w:adjustRightInd w:val="0"/>
              <w:snapToGrid w:val="0"/>
              <w:spacing w:line="240" w:lineRule="auto"/>
              <w:ind w:left="0" w:leftChars="0" w:right="0"/>
              <w:jc w:val="left"/>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4"/>
                <w:sz w:val="21"/>
                <w:szCs w:val="21"/>
                <w:highlight w:val="none"/>
                <w:lang w:eastAsia="zh-CN"/>
              </w:rPr>
              <w:t>3、考评结果：</w:t>
            </w:r>
            <w:r>
              <w:rPr>
                <w:rFonts w:hint="eastAsia" w:ascii="宋体" w:hAnsi="宋体" w:eastAsia="宋体" w:cs="宋体"/>
                <w:color w:val="auto"/>
                <w:spacing w:val="-18"/>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考核单位将根据实际考评分值结果，</w:t>
            </w:r>
            <w:r>
              <w:rPr>
                <w:rFonts w:hint="eastAsia" w:ascii="宋体" w:hAnsi="宋体" w:eastAsia="宋体" w:cs="宋体"/>
                <w:color w:val="auto"/>
                <w:spacing w:val="-23"/>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在当月的物业管理服务费用中做出相应的扣罚；</w:t>
            </w:r>
          </w:p>
        </w:tc>
      </w:tr>
    </w:tbl>
    <w:p w14:paraId="438C0605">
      <w:pPr>
        <w:keepNext w:val="0"/>
        <w:keepLines w:val="0"/>
        <w:pageBreakBefore w:val="0"/>
        <w:wordWrap/>
        <w:topLinePunct w:val="0"/>
        <w:bidi w:val="0"/>
        <w:spacing w:line="240" w:lineRule="auto"/>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考核单位（盖章）：</w:t>
      </w:r>
    </w:p>
    <w:p w14:paraId="44A2EEA4">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代表人（签字）：</w:t>
      </w:r>
    </w:p>
    <w:p w14:paraId="088D6A8A">
      <w:pPr>
        <w:keepNext w:val="0"/>
        <w:keepLines w:val="0"/>
        <w:pageBreakBefore w:val="0"/>
        <w:wordWrap/>
        <w:topLinePunct w:val="0"/>
        <w:bidi w:val="0"/>
        <w:spacing w:line="24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78A2CB11">
      <w:pPr>
        <w:keepNext w:val="0"/>
        <w:keepLines w:val="0"/>
        <w:pageBreakBefore w:val="0"/>
        <w:wordWrap/>
        <w:topLinePunct w:val="0"/>
        <w:autoSpaceDE w:val="0"/>
        <w:autoSpaceDN w:val="0"/>
        <w:bidi w:val="0"/>
        <w:adjustRightInd w:val="0"/>
        <w:snapToGrid w:val="0"/>
        <w:spacing w:line="240" w:lineRule="auto"/>
        <w:ind w:left="0" w:leftChars="0" w:right="0"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奖励和处罚</w:t>
      </w:r>
    </w:p>
    <w:p w14:paraId="18F1E86B">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（1）中标人在履约过程中有好人好事、见义勇为、临危不惧及主动作为取得重大成果等优异表现的，采购人将视情况予以考核加分、嘉奖或向有关部门报请记功。</w:t>
      </w:r>
    </w:p>
    <w:p w14:paraId="1025C51C">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标人在履约过程连续多次在考核获得满分的，采购人将视情况予以嘉奖。</w:t>
      </w:r>
    </w:p>
    <w:p w14:paraId="13B50D2B">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（3）采购人对中标人在物业管理服务中造成失误、过错、事故的，当月进行处罚。</w:t>
      </w:r>
    </w:p>
    <w:p w14:paraId="36AAECA2">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（4）招标文件条款明确的责任及罚则所涉及的投诉类型、失误、过错大小、事故性质、有效性的确定由采购人与中标人在合同签订时协商予以明确,分歧异议部分，以采购人后勤主管部门的意见为准。</w:t>
      </w:r>
    </w:p>
    <w:p w14:paraId="6F52D564">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（5）一般过错的有效投诉，扣罚80元/次；</w:t>
      </w:r>
    </w:p>
    <w:p w14:paraId="0360CEC1">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（6）一般过错的重（反）复性有效投诉，扣罚150元/次；</w:t>
      </w:r>
    </w:p>
    <w:p w14:paraId="5E907A87">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（7）较大过错的有效投诉，扣罚200元/次；</w:t>
      </w:r>
    </w:p>
    <w:p w14:paraId="6D70EFA0">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（8）较大过错的的重（反）复性有效投诉，扣罚500元/次；</w:t>
      </w:r>
    </w:p>
    <w:p w14:paraId="651C3DC5">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（9）重大过错的有效投诉，扣罚800元/次；</w:t>
      </w:r>
    </w:p>
    <w:p w14:paraId="4FF4567A">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（10）重大过错的重（反）复性有效投诉，扣罚2000元/次；</w:t>
      </w:r>
    </w:p>
    <w:p w14:paraId="6D4619D9">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）一般事故过错的扣罚1.5-2.4万元/次；</w:t>
      </w:r>
    </w:p>
    <w:p w14:paraId="0BF67130">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（12）较大事故过错的扣罚3-6万元/次；</w:t>
      </w:r>
    </w:p>
    <w:p w14:paraId="25BD3A5F">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（13）重大事故过错的扣罚6-15万元/次；</w:t>
      </w:r>
    </w:p>
    <w:p w14:paraId="3CE8A4AF">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（14）如有气味、噪音、饮水等影响正常了采购人工作秩序，中标人没能及时处理和制止， 每次扣减物业管理费2000元；</w:t>
      </w:r>
    </w:p>
    <w:p w14:paraId="21AC5CA4">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（15）按规定准时关闭空调、电脑、照明、抽风及非需使用的电气设备，造成浪费，每次扣减物业管理费100元；</w:t>
      </w:r>
    </w:p>
    <w:p w14:paraId="1790EEF5">
      <w:pPr>
        <w:keepNext w:val="0"/>
        <w:keepLines w:val="0"/>
        <w:pageBreakBefore w:val="0"/>
        <w:widowControl/>
        <w:kinsoku w:val="0"/>
        <w:wordWrap/>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（16）出现其他违法违规情形的，将按规定上报相关主管部门处理。</w:t>
      </w:r>
    </w:p>
    <w:p w14:paraId="65E6E965">
      <w:pPr>
        <w:keepLines w:val="0"/>
        <w:pageBreakBefore w:val="0"/>
        <w:widowControl/>
        <w:shd w:val="clear" w:color="auto" w:fill="FFFFFF"/>
        <w:wordWrap/>
        <w:topLinePunct w:val="0"/>
        <w:bidi w:val="0"/>
        <w:snapToGrid/>
        <w:spacing w:beforeAutospacing="0" w:afterAutospacing="0" w:line="240" w:lineRule="auto"/>
        <w:jc w:val="both"/>
        <w:outlineLvl w:val="4"/>
        <w:rPr>
          <w:rStyle w:val="40"/>
          <w:rFonts w:hint="eastAsia" w:ascii="宋体" w:hAnsi="宋体" w:eastAsia="宋体" w:cs="宋体"/>
          <w:color w:val="auto"/>
          <w:spacing w:val="8"/>
          <w:kern w:val="0"/>
          <w:sz w:val="21"/>
          <w:szCs w:val="21"/>
          <w:highlight w:val="none"/>
          <w:shd w:val="clear" w:color="auto" w:fill="FFFFFF"/>
          <w:lang w:val="en-US" w:eastAsia="zh-CN" w:bidi="ar-SA"/>
        </w:rPr>
      </w:pPr>
      <w:r>
        <w:rPr>
          <w:rStyle w:val="40"/>
          <w:rFonts w:hint="eastAsia" w:ascii="宋体" w:hAnsi="宋体" w:eastAsia="宋体" w:cs="宋体"/>
          <w:color w:val="auto"/>
          <w:spacing w:val="8"/>
          <w:kern w:val="0"/>
          <w:sz w:val="21"/>
          <w:szCs w:val="21"/>
          <w:highlight w:val="none"/>
          <w:shd w:val="clear" w:color="auto" w:fill="FFFFFF"/>
          <w:lang w:val="en-US"/>
        </w:rPr>
        <w:t>4</w:t>
      </w:r>
      <w:r>
        <w:rPr>
          <w:rStyle w:val="40"/>
          <w:rFonts w:hint="eastAsia" w:ascii="宋体" w:hAnsi="宋体" w:eastAsia="宋体" w:cs="宋体"/>
          <w:color w:val="auto"/>
          <w:spacing w:val="8"/>
          <w:kern w:val="0"/>
          <w:sz w:val="21"/>
          <w:szCs w:val="21"/>
          <w:highlight w:val="none"/>
          <w:shd w:val="clear" w:color="auto" w:fill="FFFFFF"/>
        </w:rPr>
        <w:t>.1管理体系认证</w:t>
      </w:r>
    </w:p>
    <w:p w14:paraId="7556D76F">
      <w:pPr>
        <w:keepNext w:val="0"/>
        <w:keepLines w:val="0"/>
        <w:pageBreakBefore w:val="0"/>
        <w:widowControl/>
        <w:wordWrap/>
        <w:topLinePunct w:val="0"/>
        <w:autoSpaceDE w:val="0"/>
        <w:autoSpaceDN w:val="0"/>
        <w:bidi w:val="0"/>
        <w:adjustRightInd w:val="0"/>
        <w:snapToGrid w:val="0"/>
        <w:spacing w:line="240" w:lineRule="auto"/>
        <w:ind w:left="0" w:leftChars="0" w:right="0" w:firstLine="420" w:firstLineChars="200"/>
        <w:rPr>
          <w:rFonts w:hint="eastAsia" w:ascii="宋体" w:hAnsi="宋体" w:eastAsia="宋体" w:cs="宋体"/>
          <w:bCs w:val="0"/>
          <w:color w:val="auto"/>
          <w:sz w:val="21"/>
          <w:szCs w:val="21"/>
          <w:highlight w:val="none"/>
          <w:lang w:eastAsia="zh-CN"/>
        </w:rPr>
      </w:pPr>
      <w:r>
        <w:rPr>
          <w:rFonts w:hint="eastAsia" w:ascii="宋体" w:hAnsi="宋体" w:eastAsia="宋体" w:cs="宋体"/>
          <w:bCs w:val="0"/>
          <w:color w:val="auto"/>
          <w:sz w:val="21"/>
          <w:szCs w:val="21"/>
          <w:highlight w:val="none"/>
          <w:lang w:eastAsia="zh-CN"/>
        </w:rPr>
        <w:t>1、投标人具有有效期内的质量管理体系认证证书（认证范围与物业管理相关）。</w:t>
      </w:r>
    </w:p>
    <w:p w14:paraId="11001FBE">
      <w:pPr>
        <w:keepNext w:val="0"/>
        <w:keepLines w:val="0"/>
        <w:pageBreakBefore w:val="0"/>
        <w:widowControl/>
        <w:wordWrap/>
        <w:topLinePunct w:val="0"/>
        <w:autoSpaceDE w:val="0"/>
        <w:autoSpaceDN w:val="0"/>
        <w:bidi w:val="0"/>
        <w:adjustRightInd w:val="0"/>
        <w:snapToGrid w:val="0"/>
        <w:spacing w:line="240" w:lineRule="auto"/>
        <w:ind w:left="0" w:leftChars="0" w:right="0" w:firstLine="420" w:firstLineChars="200"/>
        <w:rPr>
          <w:rFonts w:hint="eastAsia" w:ascii="宋体" w:hAnsi="宋体" w:eastAsia="宋体" w:cs="宋体"/>
          <w:bCs w:val="0"/>
          <w:color w:val="auto"/>
          <w:sz w:val="21"/>
          <w:szCs w:val="21"/>
          <w:highlight w:val="none"/>
          <w:lang w:eastAsia="zh-CN"/>
        </w:rPr>
      </w:pPr>
      <w:r>
        <w:rPr>
          <w:rFonts w:hint="eastAsia" w:ascii="宋体" w:hAnsi="宋体" w:eastAsia="宋体" w:cs="宋体"/>
          <w:bCs w:val="0"/>
          <w:color w:val="auto"/>
          <w:sz w:val="21"/>
          <w:szCs w:val="21"/>
          <w:highlight w:val="none"/>
          <w:lang w:eastAsia="zh-CN"/>
        </w:rPr>
        <w:t>2、投标人具有有效期内的物业服务认证证书/物业管理服务认证证书。</w:t>
      </w:r>
    </w:p>
    <w:p w14:paraId="409C99E5">
      <w:pPr>
        <w:autoSpaceDE w:val="0"/>
        <w:autoSpaceDN w:val="0"/>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lang w:val="en-US" w:eastAsia="zh-CN"/>
        </w:rPr>
        <w:t>5</w:t>
      </w:r>
      <w:r>
        <w:rPr>
          <w:rFonts w:hint="eastAsia" w:ascii="宋体" w:hAnsi="宋体" w:eastAsia="宋体" w:cs="宋体"/>
          <w:b/>
          <w:bCs/>
          <w:color w:val="auto"/>
          <w:spacing w:val="6"/>
          <w:sz w:val="21"/>
          <w:szCs w:val="21"/>
          <w:highlight w:val="none"/>
        </w:rPr>
        <w:t>.投标报价要求</w:t>
      </w:r>
    </w:p>
    <w:p w14:paraId="33C7A2D0">
      <w:pPr>
        <w:autoSpaceDE w:val="0"/>
        <w:autoSpaceDN w:val="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（1）投标报价应包括</w:t>
      </w:r>
      <w:r>
        <w:rPr>
          <w:rFonts w:hint="eastAsia" w:ascii="宋体" w:hAnsi="宋体" w:eastAsia="宋体" w:cs="宋体"/>
          <w:color w:val="auto"/>
          <w:sz w:val="21"/>
          <w:szCs w:val="21"/>
          <w:highlight w:val="none"/>
        </w:rPr>
        <w:t>完成用户需求书全部内容所需的一切含税费用：投标人应根据本企业的经营成本及风险评估自行决定报价，需提交办公场所和公有住房物业管理服务费独立的详细报价明细说明，包括但不限于下述费用：人员工资福利及保险、行政费用（办公耗材、服装费、培训费等）、公共区域房屋和公共设备维修保养、治安保卫（保安器械维护更换费、保安员人身保险等）、保洁消杀（日常清洁用品、大理石地面养护、垃圾清运、外墙清洗费、公共区域消杀等）、绿化、折旧、其他（不可预见费、公共责任保险）、管理者酬金、税费等</w:t>
      </w:r>
      <w:r>
        <w:rPr>
          <w:rFonts w:hint="eastAsia" w:ascii="宋体" w:hAnsi="宋体" w:eastAsia="宋体" w:cs="宋体"/>
          <w:bCs/>
          <w:color w:val="auto"/>
          <w:spacing w:val="6"/>
          <w:sz w:val="21"/>
          <w:szCs w:val="21"/>
          <w:highlight w:val="none"/>
        </w:rPr>
        <w:t>。</w:t>
      </w:r>
    </w:p>
    <w:p w14:paraId="2B3FF8D2">
      <w:pPr>
        <w:adjustRightInd w:val="0"/>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（2）投标人必须自行考虑本项目在实施期间的一切可能产生的费用。在合同执行过程中，采购人将不再另行支付与非本项目相关的任何费用（本项目另需的其它服务项目除外）。</w:t>
      </w:r>
    </w:p>
    <w:p w14:paraId="42401AB5">
      <w:pPr>
        <w:autoSpaceDE w:val="0"/>
        <w:autoSpaceDN w:val="0"/>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rPr>
        <w:t>（3）本项目分项</w:t>
      </w:r>
      <w:r>
        <w:rPr>
          <w:rFonts w:hint="eastAsia" w:ascii="宋体" w:hAnsi="宋体" w:eastAsia="宋体" w:cs="宋体"/>
          <w:bCs/>
          <w:color w:val="auto"/>
          <w:sz w:val="21"/>
          <w:szCs w:val="21"/>
          <w:highlight w:val="none"/>
          <w:lang w:val="en-US" w:eastAsia="zh-CN"/>
        </w:rPr>
        <w:t>报价</w:t>
      </w:r>
      <w:r>
        <w:rPr>
          <w:rFonts w:hint="eastAsia" w:ascii="宋体" w:hAnsi="宋体" w:eastAsia="宋体" w:cs="宋体"/>
          <w:bCs/>
          <w:color w:val="auto"/>
          <w:sz w:val="21"/>
          <w:szCs w:val="21"/>
          <w:highlight w:val="none"/>
        </w:rPr>
        <w:t>：投标人须按照以上服务内容进行分项报价，</w:t>
      </w:r>
      <w:r>
        <w:rPr>
          <w:rFonts w:hint="eastAsia" w:ascii="宋体" w:hAnsi="宋体" w:eastAsia="宋体" w:cs="宋体"/>
          <w:bCs/>
          <w:color w:val="auto"/>
          <w:sz w:val="21"/>
          <w:szCs w:val="21"/>
          <w:highlight w:val="none"/>
          <w:lang w:val="en-US" w:eastAsia="zh-CN"/>
        </w:rPr>
        <w:t>分项投标文件格式由投标人自拟</w:t>
      </w:r>
      <w:r>
        <w:rPr>
          <w:rFonts w:hint="eastAsia" w:ascii="宋体" w:hAnsi="宋体" w:eastAsia="宋体" w:cs="宋体"/>
          <w:bCs/>
          <w:color w:val="auto"/>
          <w:sz w:val="21"/>
          <w:szCs w:val="21"/>
          <w:highlight w:val="none"/>
        </w:rPr>
        <w:t>。</w:t>
      </w:r>
    </w:p>
    <w:p w14:paraId="24AE67DF">
      <w:pPr>
        <w:tabs>
          <w:tab w:val="left" w:pos="3210"/>
        </w:tabs>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.服务提供方式</w:t>
      </w:r>
    </w:p>
    <w:p w14:paraId="507A8CDD">
      <w:pPr>
        <w:tabs>
          <w:tab w:val="left" w:pos="3210"/>
        </w:tabs>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服务人员须于采购人通知送达之日起5个工作日内到达指定地点服务。中标人应确保派驻服务人员在规定的服务期限提供合格的服务。</w:t>
      </w:r>
    </w:p>
    <w:p w14:paraId="009319C5">
      <w:pPr>
        <w:tabs>
          <w:tab w:val="left" w:pos="321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.保密要求</w:t>
      </w:r>
    </w:p>
    <w:p w14:paraId="38A4ECC2">
      <w:pPr>
        <w:keepLines w:val="0"/>
        <w:pageBreakBefore w:val="0"/>
        <w:widowControl/>
        <w:shd w:val="clear" w:color="auto" w:fill="FFFFFF"/>
        <w:wordWrap/>
        <w:topLinePunct w:val="0"/>
        <w:bidi w:val="0"/>
        <w:snapToGrid/>
        <w:spacing w:beforeAutospacing="0" w:afterAutospacing="0" w:line="240" w:lineRule="auto"/>
        <w:ind w:leftChars="0" w:firstLine="420" w:firstLineChars="200"/>
        <w:jc w:val="both"/>
        <w:outlineLvl w:val="4"/>
        <w:rPr>
          <w:rStyle w:val="40"/>
          <w:rFonts w:hint="eastAsia" w:ascii="宋体" w:hAnsi="宋体" w:eastAsia="宋体" w:cs="宋体"/>
          <w:color w:val="auto"/>
          <w:spacing w:val="8"/>
          <w:kern w:val="0"/>
          <w:sz w:val="21"/>
          <w:szCs w:val="21"/>
          <w:highlight w:val="none"/>
          <w:shd w:val="clear" w:color="auto" w:fill="FFFFFF"/>
          <w:lang w:val="en-US"/>
        </w:rPr>
      </w:pPr>
      <w:r>
        <w:rPr>
          <w:rFonts w:hint="eastAsia" w:ascii="宋体" w:hAnsi="宋体" w:eastAsia="宋体" w:cs="宋体"/>
          <w:bCs/>
          <w:color w:val="auto"/>
          <w:sz w:val="21"/>
          <w:szCs w:val="21"/>
          <w:highlight w:val="none"/>
        </w:rPr>
        <w:t>服务人员不得泄露或不正当地使用通过本项目知悉的国家秘密、工作秘密 、商业秘密、纳税人信息资料及有关文件信息。在未经过采购人认可的情况下，不得将任何采购人认为涉及数据安全的文档、观点、数据、系统结构信息传出或者披露和使用。与本项目有关的涉税信息中涉及国家秘密的内容，均要求按照《中华人民共和国国家保密法》及相关法律法规执行。如因服务人员原因造成发生任何有损于采购人保密性的事件，中标人有责任采取补救措施，并向采购人赔偿损失。</w:t>
      </w:r>
    </w:p>
    <w:p w14:paraId="5139A0F2">
      <w:pPr>
        <w:keepLines w:val="0"/>
        <w:pageBreakBefore w:val="0"/>
        <w:widowControl/>
        <w:shd w:val="clear" w:color="auto" w:fill="FFFFFF"/>
        <w:wordWrap/>
        <w:topLinePunct w:val="0"/>
        <w:bidi w:val="0"/>
        <w:snapToGrid/>
        <w:spacing w:beforeAutospacing="0" w:afterAutospacing="0" w:line="240" w:lineRule="auto"/>
        <w:ind w:leftChars="0" w:firstLine="454" w:firstLineChars="200"/>
        <w:jc w:val="both"/>
        <w:outlineLvl w:val="4"/>
        <w:rPr>
          <w:rStyle w:val="40"/>
          <w:rFonts w:hint="eastAsia" w:ascii="宋体" w:hAnsi="宋体" w:eastAsia="宋体" w:cs="宋体"/>
          <w:color w:val="auto"/>
          <w:spacing w:val="8"/>
          <w:kern w:val="0"/>
          <w:sz w:val="21"/>
          <w:szCs w:val="21"/>
          <w:highlight w:val="none"/>
          <w:shd w:val="clear" w:color="auto" w:fill="FFFFFF"/>
          <w:lang w:val="en-US"/>
        </w:rPr>
      </w:pPr>
    </w:p>
    <w:p w14:paraId="5FA6F581">
      <w:pPr>
        <w:rPr>
          <w:rFonts w:hint="eastAsia" w:ascii="宋体" w:hAnsi="宋体"/>
          <w:b/>
          <w:color w:val="auto"/>
          <w:sz w:val="28"/>
          <w:szCs w:val="28"/>
          <w:highlight w:val="none"/>
          <w:lang w:val="zh-CN"/>
        </w:rPr>
      </w:pPr>
      <w:r>
        <w:rPr>
          <w:rFonts w:hint="eastAsia" w:ascii="宋体" w:hAnsi="宋体"/>
          <w:b/>
          <w:color w:val="auto"/>
          <w:sz w:val="28"/>
          <w:szCs w:val="28"/>
          <w:highlight w:val="none"/>
          <w:lang w:val="zh-CN"/>
        </w:rPr>
        <w:br w:type="page"/>
      </w:r>
    </w:p>
    <w:p w14:paraId="23FB51E1">
      <w:pPr>
        <w:jc w:val="center"/>
        <w:rPr>
          <w:rFonts w:hint="eastAsia" w:ascii="宋体" w:hAnsi="宋体"/>
          <w:color w:val="auto"/>
          <w:szCs w:val="21"/>
          <w:highlight w:val="none"/>
        </w:rPr>
      </w:pPr>
      <w:r>
        <w:rPr>
          <w:rFonts w:hint="eastAsia" w:ascii="宋体" w:hAnsi="宋体"/>
          <w:b/>
          <w:color w:val="auto"/>
          <w:sz w:val="28"/>
          <w:szCs w:val="28"/>
          <w:highlight w:val="none"/>
          <w:lang w:val="zh-CN"/>
        </w:rPr>
        <w:t>第三部分　</w:t>
      </w:r>
      <w:r>
        <w:rPr>
          <w:rFonts w:hint="eastAsia" w:ascii="宋体" w:hAnsi="宋体"/>
          <w:b/>
          <w:color w:val="auto"/>
          <w:sz w:val="28"/>
          <w:szCs w:val="28"/>
          <w:highlight w:val="none"/>
        </w:rPr>
        <w:t>投标人须知</w:t>
      </w:r>
    </w:p>
    <w:p w14:paraId="60095CAD">
      <w:pPr>
        <w:pStyle w:val="17"/>
        <w:adjustRightInd w:val="0"/>
        <w:snapToGrid w:val="0"/>
        <w:ind w:left="1" w:firstLine="359"/>
        <w:rPr>
          <w:rFonts w:hint="eastAsia" w:hAnsi="宋体" w:cs="Times New Roman"/>
          <w:b/>
          <w:color w:val="auto"/>
          <w:highlight w:val="none"/>
        </w:rPr>
      </w:pPr>
      <w:r>
        <w:rPr>
          <w:rFonts w:hint="eastAsia" w:hAnsi="宋体" w:cs="Times New Roman"/>
          <w:b/>
          <w:color w:val="auto"/>
          <w:highlight w:val="none"/>
        </w:rPr>
        <w:t>一、说  明</w:t>
      </w:r>
    </w:p>
    <w:p w14:paraId="41424882">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1．适用范围</w:t>
      </w:r>
    </w:p>
    <w:p w14:paraId="3AE75AAF">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1.1本招标文件适用于本投标邀请函中所述项目的政府采购。</w:t>
      </w:r>
    </w:p>
    <w:p w14:paraId="120AF25F">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 定义</w:t>
      </w:r>
    </w:p>
    <w:p w14:paraId="17550FDC">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2.1 “采购人”是指：</w:t>
      </w:r>
      <w:r>
        <w:rPr>
          <w:rFonts w:hint="eastAsia" w:ascii="宋体" w:hAnsi="宋体"/>
          <w:color w:val="auto"/>
          <w:szCs w:val="21"/>
          <w:highlight w:val="none"/>
          <w:u w:val="single"/>
          <w:lang w:eastAsia="zh-CN"/>
        </w:rPr>
        <w:t>国家税务总局珠海市税务局稽查局及国家税务总局珠海市税务局第一稽查局</w:t>
      </w:r>
      <w:r>
        <w:rPr>
          <w:rFonts w:hint="eastAsia" w:hAnsi="宋体" w:cs="Times New Roman"/>
          <w:color w:val="auto"/>
          <w:highlight w:val="none"/>
        </w:rPr>
        <w:t>。</w:t>
      </w:r>
    </w:p>
    <w:p w14:paraId="57E4274D">
      <w:pPr>
        <w:pStyle w:val="17"/>
        <w:adjustRightInd w:val="0"/>
        <w:snapToGrid w:val="0"/>
        <w:ind w:firstLine="359"/>
        <w:rPr>
          <w:rFonts w:hint="eastAsia" w:hAnsi="宋体" w:cs="Times New Roman"/>
          <w:color w:val="auto"/>
          <w:highlight w:val="none"/>
          <w:u w:val="single"/>
        </w:rPr>
      </w:pPr>
      <w:r>
        <w:rPr>
          <w:rFonts w:hint="eastAsia" w:hAnsi="宋体" w:cs="Times New Roman"/>
          <w:color w:val="auto"/>
          <w:highlight w:val="none"/>
        </w:rPr>
        <w:t>2.2 “监管部门”是指：</w:t>
      </w:r>
      <w:r>
        <w:rPr>
          <w:rFonts w:hint="eastAsia" w:hAnsi="宋体" w:cs="Times New Roman"/>
          <w:color w:val="auto"/>
          <w:highlight w:val="none"/>
          <w:u w:val="single"/>
        </w:rPr>
        <w:t>财政部。</w:t>
      </w:r>
    </w:p>
    <w:p w14:paraId="13373135">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2.3“采购代理机构”是指：</w:t>
      </w:r>
      <w:r>
        <w:rPr>
          <w:rFonts w:hint="eastAsia" w:hAnsi="宋体" w:cs="Times New Roman"/>
          <w:color w:val="auto"/>
          <w:highlight w:val="none"/>
          <w:u w:val="single"/>
        </w:rPr>
        <w:t>国义招标股份有限公司</w:t>
      </w:r>
      <w:r>
        <w:rPr>
          <w:rFonts w:hint="eastAsia" w:hAnsi="宋体" w:cs="Times New Roman"/>
          <w:color w:val="auto"/>
          <w:highlight w:val="none"/>
        </w:rPr>
        <w:t>。</w:t>
      </w:r>
    </w:p>
    <w:p w14:paraId="00C66BD8">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2.4“招标采购单位”是指：</w:t>
      </w:r>
      <w:r>
        <w:rPr>
          <w:rFonts w:hint="eastAsia" w:hAnsi="宋体" w:cs="Times New Roman"/>
          <w:color w:val="auto"/>
          <w:highlight w:val="none"/>
          <w:u w:val="single"/>
        </w:rPr>
        <w:t>采购人，采购代理机构。</w:t>
      </w:r>
    </w:p>
    <w:p w14:paraId="6F241013">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 xml:space="preserve">2.5合格的投标人 </w:t>
      </w:r>
    </w:p>
    <w:p w14:paraId="7DFE1E75">
      <w:pPr>
        <w:pStyle w:val="17"/>
        <w:tabs>
          <w:tab w:val="left" w:pos="360"/>
        </w:tabs>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1) 符合《政府采购法》第二十二条规定的投标人。</w:t>
      </w:r>
    </w:p>
    <w:p w14:paraId="297CA4F8">
      <w:pPr>
        <w:pStyle w:val="17"/>
        <w:tabs>
          <w:tab w:val="left" w:pos="360"/>
        </w:tabs>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2) 符合招标文件规定的资格要求及实质性要求。</w:t>
      </w:r>
    </w:p>
    <w:p w14:paraId="6E79B15D">
      <w:pPr>
        <w:pStyle w:val="17"/>
        <w:tabs>
          <w:tab w:val="left" w:pos="360"/>
        </w:tabs>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3）</w:t>
      </w:r>
      <w:r>
        <w:rPr>
          <w:rFonts w:hint="eastAsia" w:hAnsi="宋体"/>
          <w:color w:val="auto"/>
          <w:highlight w:val="none"/>
        </w:rPr>
        <w:t>在采购代理机构登记并购买了招标文件。</w:t>
      </w:r>
    </w:p>
    <w:p w14:paraId="194D7324">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2.6 “中标人”是指经法定程序确定并授予合同的投标人。</w:t>
      </w:r>
    </w:p>
    <w:p w14:paraId="14E5D584">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3. 合格的货物、工程和服务</w:t>
      </w:r>
    </w:p>
    <w:p w14:paraId="24AFC2F7">
      <w:pPr>
        <w:adjustRightInd w:val="0"/>
        <w:snapToGrid w:val="0"/>
        <w:ind w:firstLine="359"/>
        <w:rPr>
          <w:rFonts w:hint="eastAsia" w:ascii="宋体" w:hAnsi="宋体"/>
          <w:color w:val="auto"/>
          <w:szCs w:val="21"/>
          <w:highlight w:val="none"/>
        </w:rPr>
      </w:pPr>
      <w:r>
        <w:rPr>
          <w:rFonts w:hint="eastAsia" w:ascii="宋体" w:hAnsi="宋体"/>
          <w:color w:val="auto"/>
          <w:szCs w:val="21"/>
          <w:highlight w:val="none"/>
        </w:rPr>
        <w:t>3.1 “货物”是指投标人制造或组织符合招标文件要求的货物等。</w:t>
      </w:r>
      <w:r>
        <w:rPr>
          <w:rFonts w:hint="eastAsia" w:ascii="宋体" w:hAnsi="宋体"/>
          <w:snapToGrid w:val="0"/>
          <w:color w:val="auto"/>
          <w:kern w:val="0"/>
          <w:szCs w:val="21"/>
          <w:highlight w:val="none"/>
        </w:rPr>
        <w:t>投标的货物必须是其合法生产的符合国家有关标准要求的货物，并满足政府采购文件规定的规格、参数、质量、价格、有效期、售后服务等要求。</w:t>
      </w:r>
    </w:p>
    <w:p w14:paraId="09E5A8BB">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 xml:space="preserve">3.2 </w:t>
      </w:r>
      <w:r>
        <w:rPr>
          <w:rFonts w:hint="eastAsia" w:hAnsi="宋体"/>
          <w:color w:val="auto"/>
          <w:highlight w:val="none"/>
        </w:rPr>
        <w:t>“工程”是指</w:t>
      </w:r>
      <w:r>
        <w:rPr>
          <w:rFonts w:hint="eastAsia" w:hAnsi="宋体" w:cs="Times New Roman"/>
          <w:color w:val="auto"/>
          <w:highlight w:val="none"/>
        </w:rPr>
        <w:t>满足国家相关法律、法规、规章等规定，并符合本项目相关质量要求、安全文明施工要求的工程。</w:t>
      </w:r>
    </w:p>
    <w:p w14:paraId="5E84784E">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3.3 “服务”是指除货物和工程以外的其他政府采购对象,其中包括：投标人须承担的运输、安装、技术支持、培训以及符合招标文件规定的其它服务。</w:t>
      </w:r>
    </w:p>
    <w:p w14:paraId="3E3B32C0">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4．投标费用</w:t>
      </w:r>
    </w:p>
    <w:p w14:paraId="353C0302">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4.1 投标人应承担所有与准备和参加投标有关的费用。不论投标的结果如何，招标采购单位均无义务和责任承担这些费用。</w:t>
      </w:r>
    </w:p>
    <w:p w14:paraId="12C0FBD3">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4.2</w:t>
      </w:r>
      <w:r>
        <w:rPr>
          <w:rFonts w:hAnsi="宋体" w:cs="Times New Roman"/>
          <w:color w:val="auto"/>
          <w:highlight w:val="none"/>
        </w:rPr>
        <w:t>1</w:t>
      </w:r>
      <w:r>
        <w:rPr>
          <w:rFonts w:hint="eastAsia" w:hAnsi="宋体" w:cs="Times New Roman"/>
          <w:color w:val="auto"/>
          <w:highlight w:val="none"/>
        </w:rPr>
        <w:t>本次招标向中标人收取的中标服务费，</w:t>
      </w:r>
      <w:r>
        <w:rPr>
          <w:rFonts w:hint="eastAsia" w:hAnsi="宋体"/>
          <w:color w:val="auto"/>
          <w:highlight w:val="none"/>
        </w:rPr>
        <w:t>参考国家发展计划委员会颁发的[2002]1980号文《招标代理服务收费管理暂行办法》及[2011]534号文《国家发改委关于降低部分建设项目收费标准规范收费行为等有关问题的通知》的有关规定执行，具体如下：</w:t>
      </w:r>
    </w:p>
    <w:p w14:paraId="2FA2A56B">
      <w:pPr>
        <w:pStyle w:val="17"/>
        <w:adjustRightInd w:val="0"/>
        <w:snapToGrid w:val="0"/>
        <w:ind w:firstLine="359"/>
        <w:rPr>
          <w:rFonts w:hint="eastAsia" w:hAnsi="宋体"/>
          <w:color w:val="auto"/>
          <w:highlight w:val="none"/>
        </w:rPr>
      </w:pPr>
      <w:r>
        <w:rPr>
          <w:rFonts w:hint="eastAsia" w:hAnsi="宋体"/>
          <w:color w:val="auto"/>
          <w:highlight w:val="none"/>
        </w:rPr>
        <w:t>本项目中标服务费按国家计委[计价格[2002]1980号]文招标代理服务收费标准计算收取。招标代理服务收费按差额定率累进法计算，以中标通知书中确定的中标金额作为收费的计算依据。中标金额的各部分费率如下表，本项目类型为</w:t>
      </w:r>
      <w:r>
        <w:rPr>
          <w:rFonts w:hint="eastAsia" w:hAnsi="宋体"/>
          <w:b/>
          <w:color w:val="auto"/>
          <w:highlight w:val="none"/>
          <w:u w:val="single"/>
        </w:rPr>
        <w:t>服务招标</w:t>
      </w:r>
      <w:r>
        <w:rPr>
          <w:rFonts w:hint="eastAsia" w:hAnsi="宋体"/>
          <w:color w:val="auto"/>
          <w:highlight w:val="none"/>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34F8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13A87BBE">
            <w:pPr>
              <w:ind w:firstLine="1233" w:firstLineChars="585"/>
              <w:rPr>
                <w:rFonts w:hint="eastAsia" w:ascii="宋体" w:hAnsi="宋体"/>
                <w:b/>
                <w:color w:val="auto"/>
                <w:highlight w:val="none"/>
              </w:rPr>
            </w:pPr>
            <w:r>
              <w:rPr>
                <w:rFonts w:ascii="宋体" w:hAnsi="宋体"/>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374015</wp:posOffset>
                      </wp:positionH>
                      <wp:positionV relativeFrom="paragraph">
                        <wp:posOffset>19050</wp:posOffset>
                      </wp:positionV>
                      <wp:extent cx="1325245" cy="1231900"/>
                      <wp:effectExtent l="0" t="0" r="8255" b="6350"/>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60288;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78542D2E">
            <w:pPr>
              <w:ind w:firstLine="1440" w:firstLineChars="683"/>
              <w:rPr>
                <w:rFonts w:hint="eastAsia" w:ascii="宋体" w:hAnsi="宋体"/>
                <w:b/>
                <w:color w:val="auto"/>
                <w:highlight w:val="none"/>
              </w:rPr>
            </w:pPr>
            <w:r>
              <w:rPr>
                <w:rFonts w:hint="eastAsia" w:ascii="宋体" w:hAnsi="宋体"/>
                <w:b/>
                <w:color w:val="auto"/>
                <w:highlight w:val="none"/>
              </w:rPr>
              <w:t>类型</w:t>
            </w:r>
          </w:p>
          <w:p w14:paraId="30225FC5">
            <w:pPr>
              <w:ind w:firstLine="413" w:firstLineChars="196"/>
              <w:rPr>
                <w:rFonts w:hint="eastAsia" w:ascii="宋体" w:hAnsi="宋体"/>
                <w:b/>
                <w:color w:val="auto"/>
                <w:highlight w:val="none"/>
              </w:rPr>
            </w:pPr>
            <w:r>
              <w:rPr>
                <w:rFonts w:ascii="宋体" w:hAnsi="宋体"/>
                <w:b/>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157480</wp:posOffset>
                      </wp:positionV>
                      <wp:extent cx="1748790" cy="680085"/>
                      <wp:effectExtent l="0" t="0" r="3810" b="5715"/>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59264;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b/>
                <w:color w:val="auto"/>
                <w:highlight w:val="none"/>
              </w:rPr>
              <w:t>费率</w:t>
            </w:r>
          </w:p>
          <w:p w14:paraId="3AB83318">
            <w:pPr>
              <w:rPr>
                <w:rFonts w:hint="eastAsia" w:ascii="宋体" w:hAnsi="宋体"/>
                <w:b/>
                <w:color w:val="auto"/>
                <w:highlight w:val="none"/>
              </w:rPr>
            </w:pPr>
          </w:p>
          <w:p w14:paraId="6E35DA71">
            <w:pPr>
              <w:rPr>
                <w:rFonts w:hint="eastAsia" w:ascii="宋体" w:hAnsi="宋体"/>
                <w:b/>
                <w:color w:val="auto"/>
                <w:highlight w:val="none"/>
              </w:rPr>
            </w:pPr>
          </w:p>
          <w:p w14:paraId="61C10780">
            <w:pPr>
              <w:rPr>
                <w:rFonts w:hint="eastAsia" w:ascii="宋体" w:hAnsi="宋体"/>
                <w:b/>
                <w:color w:val="auto"/>
                <w:highlight w:val="none"/>
              </w:rPr>
            </w:pPr>
            <w:r>
              <w:rPr>
                <w:rFonts w:hint="eastAsia" w:ascii="宋体" w:hAnsi="宋体"/>
                <w:b/>
                <w:color w:val="auto"/>
                <w:highlight w:val="none"/>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1C2831B2">
            <w:pPr>
              <w:jc w:val="center"/>
              <w:rPr>
                <w:rFonts w:hint="eastAsia" w:ascii="宋体" w:hAnsi="宋体"/>
                <w:b/>
                <w:color w:val="auto"/>
                <w:highlight w:val="none"/>
              </w:rPr>
            </w:pPr>
            <w:r>
              <w:rPr>
                <w:rFonts w:hint="eastAsia" w:ascii="宋体" w:hAnsi="宋体"/>
                <w:b/>
                <w:color w:val="auto"/>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24AB4F70">
            <w:pPr>
              <w:jc w:val="center"/>
              <w:rPr>
                <w:rFonts w:hint="eastAsia" w:ascii="宋体" w:hAnsi="宋体"/>
                <w:b/>
                <w:color w:val="auto"/>
                <w:highlight w:val="none"/>
              </w:rPr>
            </w:pPr>
            <w:r>
              <w:rPr>
                <w:rFonts w:hint="eastAsia" w:ascii="宋体" w:hAnsi="宋体"/>
                <w:b/>
                <w:color w:val="auto"/>
                <w:highlight w:val="none"/>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4102CFA1">
            <w:pPr>
              <w:jc w:val="center"/>
              <w:rPr>
                <w:rFonts w:hint="eastAsia" w:ascii="宋体" w:hAnsi="宋体"/>
                <w:b/>
                <w:color w:val="auto"/>
                <w:highlight w:val="none"/>
              </w:rPr>
            </w:pPr>
            <w:r>
              <w:rPr>
                <w:rFonts w:hint="eastAsia" w:ascii="宋体" w:hAnsi="宋体"/>
                <w:b/>
                <w:color w:val="auto"/>
                <w:highlight w:val="none"/>
              </w:rPr>
              <w:t>工程招标</w:t>
            </w:r>
          </w:p>
        </w:tc>
      </w:tr>
      <w:tr w14:paraId="7410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A97ECB7">
            <w:pPr>
              <w:jc w:val="center"/>
              <w:rPr>
                <w:rFonts w:hint="eastAsia" w:ascii="宋体" w:hAnsi="宋体"/>
                <w:color w:val="auto"/>
                <w:highlight w:val="none"/>
              </w:rPr>
            </w:pPr>
            <w:r>
              <w:rPr>
                <w:rFonts w:hint="eastAsia" w:ascii="宋体" w:hAnsi="宋体"/>
                <w:color w:val="auto"/>
                <w:highlight w:val="none"/>
              </w:rPr>
              <w:t>100以下（含）</w:t>
            </w:r>
          </w:p>
        </w:tc>
        <w:tc>
          <w:tcPr>
            <w:tcW w:w="1980" w:type="dxa"/>
            <w:tcBorders>
              <w:top w:val="single" w:color="auto" w:sz="4" w:space="0"/>
              <w:left w:val="single" w:color="auto" w:sz="4" w:space="0"/>
              <w:bottom w:val="single" w:color="auto" w:sz="4" w:space="0"/>
              <w:right w:val="single" w:color="auto" w:sz="4" w:space="0"/>
            </w:tcBorders>
          </w:tcPr>
          <w:p w14:paraId="3006C68E">
            <w:pPr>
              <w:jc w:val="center"/>
              <w:rPr>
                <w:rFonts w:hint="eastAsia" w:ascii="宋体" w:hAnsi="宋体"/>
                <w:color w:val="auto"/>
                <w:highlight w:val="none"/>
              </w:rPr>
            </w:pPr>
            <w:r>
              <w:rPr>
                <w:rFonts w:hint="eastAsia" w:ascii="宋体" w:hAnsi="宋体"/>
                <w:color w:val="auto"/>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4E180303">
            <w:pPr>
              <w:jc w:val="center"/>
              <w:rPr>
                <w:rFonts w:hint="eastAsia" w:ascii="宋体" w:hAnsi="宋体"/>
                <w:color w:val="auto"/>
                <w:highlight w:val="none"/>
              </w:rPr>
            </w:pPr>
            <w:r>
              <w:rPr>
                <w:rFonts w:hint="eastAsia" w:ascii="宋体" w:hAnsi="宋体"/>
                <w:color w:val="auto"/>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37D92317">
            <w:pPr>
              <w:jc w:val="center"/>
              <w:rPr>
                <w:rFonts w:hint="eastAsia" w:ascii="宋体" w:hAnsi="宋体"/>
                <w:color w:val="auto"/>
                <w:highlight w:val="none"/>
              </w:rPr>
            </w:pPr>
            <w:r>
              <w:rPr>
                <w:rFonts w:hint="eastAsia" w:ascii="宋体" w:hAnsi="宋体"/>
                <w:color w:val="auto"/>
                <w:highlight w:val="none"/>
              </w:rPr>
              <w:t>1.0%</w:t>
            </w:r>
          </w:p>
        </w:tc>
      </w:tr>
      <w:tr w14:paraId="4793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BF8BBFE">
            <w:pPr>
              <w:jc w:val="center"/>
              <w:rPr>
                <w:rFonts w:hint="eastAsia" w:ascii="宋体" w:hAnsi="宋体"/>
                <w:color w:val="auto"/>
                <w:highlight w:val="none"/>
              </w:rPr>
            </w:pPr>
            <w:r>
              <w:rPr>
                <w:rFonts w:hint="eastAsia" w:ascii="宋体" w:hAnsi="宋体"/>
                <w:color w:val="auto"/>
                <w:highlight w:val="none"/>
              </w:rPr>
              <w:t>100-500（含）</w:t>
            </w:r>
          </w:p>
        </w:tc>
        <w:tc>
          <w:tcPr>
            <w:tcW w:w="1980" w:type="dxa"/>
            <w:tcBorders>
              <w:top w:val="single" w:color="auto" w:sz="4" w:space="0"/>
              <w:left w:val="single" w:color="auto" w:sz="4" w:space="0"/>
              <w:bottom w:val="single" w:color="auto" w:sz="4" w:space="0"/>
              <w:right w:val="single" w:color="auto" w:sz="4" w:space="0"/>
            </w:tcBorders>
          </w:tcPr>
          <w:p w14:paraId="3934C203">
            <w:pPr>
              <w:jc w:val="center"/>
              <w:rPr>
                <w:rFonts w:hint="eastAsia" w:ascii="宋体" w:hAnsi="宋体"/>
                <w:color w:val="auto"/>
                <w:highlight w:val="none"/>
              </w:rPr>
            </w:pPr>
            <w:r>
              <w:rPr>
                <w:rFonts w:hint="eastAsia" w:ascii="宋体" w:hAnsi="宋体"/>
                <w:color w:val="auto"/>
                <w:highlight w:val="none"/>
              </w:rPr>
              <w:t>1.1%</w:t>
            </w:r>
          </w:p>
        </w:tc>
        <w:tc>
          <w:tcPr>
            <w:tcW w:w="1980" w:type="dxa"/>
            <w:tcBorders>
              <w:top w:val="single" w:color="auto" w:sz="4" w:space="0"/>
              <w:left w:val="single" w:color="auto" w:sz="4" w:space="0"/>
              <w:bottom w:val="single" w:color="auto" w:sz="4" w:space="0"/>
              <w:right w:val="single" w:color="auto" w:sz="4" w:space="0"/>
            </w:tcBorders>
          </w:tcPr>
          <w:p w14:paraId="65DB4330">
            <w:pPr>
              <w:jc w:val="center"/>
              <w:rPr>
                <w:rFonts w:hint="eastAsia" w:ascii="宋体" w:hAnsi="宋体"/>
                <w:color w:val="auto"/>
                <w:highlight w:val="none"/>
              </w:rPr>
            </w:pPr>
            <w:r>
              <w:rPr>
                <w:rFonts w:hint="eastAsia" w:ascii="宋体" w:hAnsi="宋体"/>
                <w:color w:val="auto"/>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241FB4E7">
            <w:pPr>
              <w:jc w:val="center"/>
              <w:rPr>
                <w:rFonts w:hint="eastAsia" w:ascii="宋体" w:hAnsi="宋体"/>
                <w:color w:val="auto"/>
                <w:highlight w:val="none"/>
              </w:rPr>
            </w:pPr>
            <w:r>
              <w:rPr>
                <w:rFonts w:hint="eastAsia" w:ascii="宋体" w:hAnsi="宋体"/>
                <w:color w:val="auto"/>
                <w:highlight w:val="none"/>
              </w:rPr>
              <w:t>0.7%</w:t>
            </w:r>
          </w:p>
        </w:tc>
      </w:tr>
      <w:tr w14:paraId="6129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224571E">
            <w:pPr>
              <w:jc w:val="center"/>
              <w:rPr>
                <w:rFonts w:hint="eastAsia" w:ascii="宋体" w:hAnsi="宋体"/>
                <w:color w:val="auto"/>
                <w:highlight w:val="none"/>
              </w:rPr>
            </w:pPr>
            <w:r>
              <w:rPr>
                <w:rFonts w:hint="eastAsia" w:ascii="宋体" w:hAnsi="宋体"/>
                <w:color w:val="auto"/>
                <w:highlight w:val="none"/>
              </w:rPr>
              <w:t>500-1000（含）</w:t>
            </w:r>
          </w:p>
        </w:tc>
        <w:tc>
          <w:tcPr>
            <w:tcW w:w="1980" w:type="dxa"/>
            <w:tcBorders>
              <w:top w:val="single" w:color="auto" w:sz="4" w:space="0"/>
              <w:left w:val="single" w:color="auto" w:sz="4" w:space="0"/>
              <w:bottom w:val="single" w:color="auto" w:sz="4" w:space="0"/>
              <w:right w:val="single" w:color="auto" w:sz="4" w:space="0"/>
            </w:tcBorders>
          </w:tcPr>
          <w:p w14:paraId="2B32B21D">
            <w:pPr>
              <w:jc w:val="center"/>
              <w:rPr>
                <w:rFonts w:hint="eastAsia" w:ascii="宋体" w:hAnsi="宋体"/>
                <w:color w:val="auto"/>
                <w:highlight w:val="none"/>
              </w:rPr>
            </w:pPr>
            <w:r>
              <w:rPr>
                <w:rFonts w:hint="eastAsia" w:ascii="宋体" w:hAnsi="宋体"/>
                <w:color w:val="auto"/>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03BD5B0A">
            <w:pPr>
              <w:jc w:val="center"/>
              <w:rPr>
                <w:rFonts w:hint="eastAsia" w:ascii="宋体" w:hAnsi="宋体"/>
                <w:color w:val="auto"/>
                <w:highlight w:val="none"/>
              </w:rPr>
            </w:pPr>
            <w:r>
              <w:rPr>
                <w:rFonts w:hint="eastAsia" w:ascii="宋体" w:hAnsi="宋体"/>
                <w:color w:val="auto"/>
                <w:highlight w:val="none"/>
              </w:rPr>
              <w:t>0.45%</w:t>
            </w:r>
          </w:p>
        </w:tc>
        <w:tc>
          <w:tcPr>
            <w:tcW w:w="1980" w:type="dxa"/>
            <w:tcBorders>
              <w:top w:val="single" w:color="auto" w:sz="4" w:space="0"/>
              <w:left w:val="single" w:color="auto" w:sz="4" w:space="0"/>
              <w:bottom w:val="single" w:color="auto" w:sz="4" w:space="0"/>
              <w:right w:val="single" w:color="auto" w:sz="4" w:space="0"/>
            </w:tcBorders>
          </w:tcPr>
          <w:p w14:paraId="46201602">
            <w:pPr>
              <w:jc w:val="center"/>
              <w:rPr>
                <w:rFonts w:hint="eastAsia" w:ascii="宋体" w:hAnsi="宋体"/>
                <w:color w:val="auto"/>
                <w:highlight w:val="none"/>
              </w:rPr>
            </w:pPr>
            <w:r>
              <w:rPr>
                <w:rFonts w:hint="eastAsia" w:ascii="宋体" w:hAnsi="宋体"/>
                <w:color w:val="auto"/>
                <w:highlight w:val="none"/>
              </w:rPr>
              <w:t>0.55%</w:t>
            </w:r>
          </w:p>
        </w:tc>
      </w:tr>
      <w:tr w14:paraId="71E5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02F9AFD">
            <w:pPr>
              <w:jc w:val="center"/>
              <w:rPr>
                <w:rFonts w:hint="eastAsia" w:ascii="宋体" w:hAnsi="宋体"/>
                <w:color w:val="auto"/>
                <w:highlight w:val="none"/>
              </w:rPr>
            </w:pPr>
            <w:r>
              <w:rPr>
                <w:rFonts w:hint="eastAsia" w:ascii="宋体" w:hAnsi="宋体"/>
                <w:color w:val="auto"/>
                <w:highlight w:val="none"/>
              </w:rPr>
              <w:t>1000-5000（含）</w:t>
            </w:r>
          </w:p>
        </w:tc>
        <w:tc>
          <w:tcPr>
            <w:tcW w:w="1980" w:type="dxa"/>
            <w:tcBorders>
              <w:top w:val="single" w:color="auto" w:sz="4" w:space="0"/>
              <w:left w:val="single" w:color="auto" w:sz="4" w:space="0"/>
              <w:bottom w:val="single" w:color="auto" w:sz="4" w:space="0"/>
              <w:right w:val="single" w:color="auto" w:sz="4" w:space="0"/>
            </w:tcBorders>
          </w:tcPr>
          <w:p w14:paraId="3E810EA3">
            <w:pPr>
              <w:jc w:val="center"/>
              <w:rPr>
                <w:rFonts w:hint="eastAsia" w:ascii="宋体" w:hAnsi="宋体"/>
                <w:color w:val="auto"/>
                <w:highlight w:val="none"/>
              </w:rPr>
            </w:pPr>
            <w:r>
              <w:rPr>
                <w:rFonts w:hint="eastAsia" w:ascii="宋体" w:hAnsi="宋体"/>
                <w:color w:val="auto"/>
                <w:highlight w:val="none"/>
              </w:rPr>
              <w:t>0.5%</w:t>
            </w:r>
          </w:p>
        </w:tc>
        <w:tc>
          <w:tcPr>
            <w:tcW w:w="1980" w:type="dxa"/>
            <w:tcBorders>
              <w:top w:val="single" w:color="auto" w:sz="4" w:space="0"/>
              <w:left w:val="single" w:color="auto" w:sz="4" w:space="0"/>
              <w:bottom w:val="single" w:color="auto" w:sz="4" w:space="0"/>
              <w:right w:val="single" w:color="auto" w:sz="4" w:space="0"/>
            </w:tcBorders>
          </w:tcPr>
          <w:p w14:paraId="07160706">
            <w:pPr>
              <w:jc w:val="center"/>
              <w:rPr>
                <w:rFonts w:hint="eastAsia" w:ascii="宋体" w:hAnsi="宋体"/>
                <w:color w:val="auto"/>
                <w:highlight w:val="none"/>
              </w:rPr>
            </w:pPr>
            <w:r>
              <w:rPr>
                <w:rFonts w:hint="eastAsia" w:ascii="宋体" w:hAnsi="宋体"/>
                <w:color w:val="auto"/>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410BBC35">
            <w:pPr>
              <w:jc w:val="center"/>
              <w:rPr>
                <w:rFonts w:hint="eastAsia" w:ascii="宋体" w:hAnsi="宋体"/>
                <w:color w:val="auto"/>
                <w:highlight w:val="none"/>
              </w:rPr>
            </w:pPr>
            <w:r>
              <w:rPr>
                <w:rFonts w:hint="eastAsia" w:ascii="宋体" w:hAnsi="宋体"/>
                <w:color w:val="auto"/>
                <w:highlight w:val="none"/>
              </w:rPr>
              <w:t>0.35%</w:t>
            </w:r>
          </w:p>
        </w:tc>
      </w:tr>
      <w:tr w14:paraId="5270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C7DDF41">
            <w:pPr>
              <w:jc w:val="center"/>
              <w:rPr>
                <w:rFonts w:hint="eastAsia" w:ascii="宋体" w:hAnsi="宋体"/>
                <w:color w:val="auto"/>
                <w:highlight w:val="none"/>
              </w:rPr>
            </w:pPr>
            <w:r>
              <w:rPr>
                <w:rFonts w:hint="eastAsia" w:ascii="宋体" w:hAnsi="宋体"/>
                <w:color w:val="auto"/>
                <w:highlight w:val="none"/>
              </w:rPr>
              <w:t>5000-10000（含）</w:t>
            </w:r>
          </w:p>
        </w:tc>
        <w:tc>
          <w:tcPr>
            <w:tcW w:w="1980" w:type="dxa"/>
            <w:tcBorders>
              <w:top w:val="single" w:color="auto" w:sz="4" w:space="0"/>
              <w:left w:val="single" w:color="auto" w:sz="4" w:space="0"/>
              <w:bottom w:val="single" w:color="auto" w:sz="4" w:space="0"/>
              <w:right w:val="single" w:color="auto" w:sz="4" w:space="0"/>
            </w:tcBorders>
          </w:tcPr>
          <w:p w14:paraId="7603E0FF">
            <w:pPr>
              <w:jc w:val="center"/>
              <w:rPr>
                <w:rFonts w:hint="eastAsia" w:ascii="宋体" w:hAnsi="宋体"/>
                <w:color w:val="auto"/>
                <w:highlight w:val="none"/>
              </w:rPr>
            </w:pPr>
            <w:r>
              <w:rPr>
                <w:rFonts w:hint="eastAsia" w:ascii="宋体" w:hAnsi="宋体"/>
                <w:color w:val="auto"/>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05FE51C4">
            <w:pPr>
              <w:jc w:val="center"/>
              <w:rPr>
                <w:rFonts w:hint="eastAsia" w:ascii="宋体" w:hAnsi="宋体"/>
                <w:color w:val="auto"/>
                <w:highlight w:val="none"/>
              </w:rPr>
            </w:pPr>
            <w:r>
              <w:rPr>
                <w:rFonts w:hint="eastAsia" w:ascii="宋体" w:hAnsi="宋体"/>
                <w:color w:val="auto"/>
                <w:highlight w:val="none"/>
              </w:rPr>
              <w:t>0.1%</w:t>
            </w:r>
          </w:p>
        </w:tc>
        <w:tc>
          <w:tcPr>
            <w:tcW w:w="1980" w:type="dxa"/>
            <w:tcBorders>
              <w:top w:val="single" w:color="auto" w:sz="4" w:space="0"/>
              <w:left w:val="single" w:color="auto" w:sz="4" w:space="0"/>
              <w:bottom w:val="single" w:color="auto" w:sz="4" w:space="0"/>
              <w:right w:val="single" w:color="auto" w:sz="4" w:space="0"/>
            </w:tcBorders>
          </w:tcPr>
          <w:p w14:paraId="5BE8FD3D">
            <w:pPr>
              <w:jc w:val="center"/>
              <w:rPr>
                <w:rFonts w:hint="eastAsia" w:ascii="宋体" w:hAnsi="宋体"/>
                <w:color w:val="auto"/>
                <w:highlight w:val="none"/>
              </w:rPr>
            </w:pPr>
            <w:r>
              <w:rPr>
                <w:rFonts w:hint="eastAsia" w:ascii="宋体" w:hAnsi="宋体"/>
                <w:color w:val="auto"/>
                <w:highlight w:val="none"/>
              </w:rPr>
              <w:t>0.2%</w:t>
            </w:r>
          </w:p>
        </w:tc>
      </w:tr>
      <w:tr w14:paraId="013D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94D832F">
            <w:pPr>
              <w:jc w:val="center"/>
              <w:rPr>
                <w:rFonts w:hint="eastAsia" w:ascii="宋体" w:hAnsi="宋体"/>
                <w:color w:val="auto"/>
                <w:highlight w:val="none"/>
              </w:rPr>
            </w:pPr>
            <w:r>
              <w:rPr>
                <w:rFonts w:hint="eastAsia" w:ascii="宋体" w:hAnsi="宋体"/>
                <w:color w:val="auto"/>
                <w:highlight w:val="none"/>
              </w:rPr>
              <w:t>10000-50000（含）</w:t>
            </w:r>
          </w:p>
        </w:tc>
        <w:tc>
          <w:tcPr>
            <w:tcW w:w="1980" w:type="dxa"/>
            <w:tcBorders>
              <w:top w:val="single" w:color="auto" w:sz="4" w:space="0"/>
              <w:left w:val="single" w:color="auto" w:sz="4" w:space="0"/>
              <w:bottom w:val="single" w:color="auto" w:sz="4" w:space="0"/>
              <w:right w:val="single" w:color="auto" w:sz="4" w:space="0"/>
            </w:tcBorders>
          </w:tcPr>
          <w:p w14:paraId="014C1E0E">
            <w:pPr>
              <w:jc w:val="center"/>
              <w:rPr>
                <w:rFonts w:hint="eastAsia" w:ascii="宋体" w:hAnsi="宋体"/>
                <w:color w:val="auto"/>
                <w:highlight w:val="none"/>
              </w:rPr>
            </w:pPr>
            <w:r>
              <w:rPr>
                <w:rFonts w:hint="eastAsia" w:ascii="宋体" w:hAnsi="宋体"/>
                <w:color w:val="auto"/>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138D54C3">
            <w:pPr>
              <w:jc w:val="center"/>
              <w:rPr>
                <w:rFonts w:hint="eastAsia" w:ascii="宋体" w:hAnsi="宋体"/>
                <w:color w:val="auto"/>
                <w:highlight w:val="none"/>
              </w:rPr>
            </w:pPr>
            <w:r>
              <w:rPr>
                <w:rFonts w:hint="eastAsia" w:ascii="宋体" w:hAnsi="宋体"/>
                <w:color w:val="auto"/>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34F471B8">
            <w:pPr>
              <w:jc w:val="center"/>
              <w:rPr>
                <w:rFonts w:hint="eastAsia" w:ascii="宋体" w:hAnsi="宋体"/>
                <w:color w:val="auto"/>
                <w:highlight w:val="none"/>
              </w:rPr>
            </w:pPr>
            <w:r>
              <w:rPr>
                <w:rFonts w:hint="eastAsia" w:ascii="宋体" w:hAnsi="宋体"/>
                <w:color w:val="auto"/>
                <w:highlight w:val="none"/>
              </w:rPr>
              <w:t>0.05%</w:t>
            </w:r>
          </w:p>
        </w:tc>
      </w:tr>
      <w:tr w14:paraId="0B4A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0E7C06A">
            <w:pPr>
              <w:jc w:val="center"/>
              <w:rPr>
                <w:rFonts w:hint="eastAsia" w:ascii="宋体" w:hAnsi="宋体"/>
                <w:color w:val="auto"/>
                <w:highlight w:val="none"/>
              </w:rPr>
            </w:pPr>
            <w:r>
              <w:rPr>
                <w:rFonts w:hint="eastAsia" w:ascii="宋体" w:hAnsi="宋体"/>
                <w:color w:val="auto"/>
                <w:highlight w:val="none"/>
              </w:rPr>
              <w:t>50000-100000（含）</w:t>
            </w:r>
          </w:p>
        </w:tc>
        <w:tc>
          <w:tcPr>
            <w:tcW w:w="1980" w:type="dxa"/>
            <w:tcBorders>
              <w:top w:val="single" w:color="auto" w:sz="4" w:space="0"/>
              <w:left w:val="single" w:color="auto" w:sz="4" w:space="0"/>
              <w:bottom w:val="single" w:color="auto" w:sz="4" w:space="0"/>
              <w:right w:val="single" w:color="auto" w:sz="4" w:space="0"/>
            </w:tcBorders>
          </w:tcPr>
          <w:p w14:paraId="0EB99588">
            <w:pPr>
              <w:jc w:val="center"/>
              <w:rPr>
                <w:rFonts w:hint="eastAsia" w:ascii="宋体" w:hAnsi="宋体"/>
                <w:color w:val="auto"/>
                <w:highlight w:val="none"/>
              </w:rPr>
            </w:pPr>
            <w:r>
              <w:rPr>
                <w:rFonts w:hint="eastAsia" w:ascii="宋体" w:hAnsi="宋体"/>
                <w:color w:val="auto"/>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0FE49B45">
            <w:pPr>
              <w:jc w:val="center"/>
              <w:rPr>
                <w:rFonts w:hint="eastAsia" w:ascii="宋体" w:hAnsi="宋体"/>
                <w:color w:val="auto"/>
                <w:highlight w:val="none"/>
              </w:rPr>
            </w:pPr>
            <w:r>
              <w:rPr>
                <w:rFonts w:hint="eastAsia" w:ascii="宋体" w:hAnsi="宋体"/>
                <w:color w:val="auto"/>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4C534658">
            <w:pPr>
              <w:jc w:val="center"/>
              <w:rPr>
                <w:rFonts w:hint="eastAsia" w:ascii="宋体" w:hAnsi="宋体"/>
                <w:color w:val="auto"/>
                <w:highlight w:val="none"/>
              </w:rPr>
            </w:pPr>
            <w:r>
              <w:rPr>
                <w:rFonts w:hint="eastAsia" w:ascii="宋体" w:hAnsi="宋体"/>
                <w:color w:val="auto"/>
                <w:highlight w:val="none"/>
              </w:rPr>
              <w:t>0.035%</w:t>
            </w:r>
          </w:p>
        </w:tc>
      </w:tr>
      <w:tr w14:paraId="27C7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B36E799">
            <w:pPr>
              <w:jc w:val="center"/>
              <w:rPr>
                <w:rFonts w:hint="eastAsia" w:ascii="宋体" w:hAnsi="宋体"/>
                <w:color w:val="auto"/>
                <w:highlight w:val="none"/>
              </w:rPr>
            </w:pPr>
            <w:r>
              <w:rPr>
                <w:rFonts w:hint="eastAsia" w:ascii="宋体" w:hAnsi="宋体"/>
                <w:color w:val="auto"/>
                <w:highlight w:val="none"/>
              </w:rPr>
              <w:t>100000-500000（含）</w:t>
            </w:r>
          </w:p>
        </w:tc>
        <w:tc>
          <w:tcPr>
            <w:tcW w:w="1980" w:type="dxa"/>
            <w:tcBorders>
              <w:top w:val="single" w:color="auto" w:sz="4" w:space="0"/>
              <w:left w:val="single" w:color="auto" w:sz="4" w:space="0"/>
              <w:bottom w:val="single" w:color="auto" w:sz="4" w:space="0"/>
              <w:right w:val="single" w:color="auto" w:sz="4" w:space="0"/>
            </w:tcBorders>
          </w:tcPr>
          <w:p w14:paraId="70D58760">
            <w:pPr>
              <w:jc w:val="center"/>
              <w:rPr>
                <w:rFonts w:hint="eastAsia" w:ascii="宋体" w:hAnsi="宋体"/>
                <w:color w:val="auto"/>
                <w:highlight w:val="none"/>
              </w:rPr>
            </w:pPr>
            <w:r>
              <w:rPr>
                <w:rFonts w:hint="eastAsia" w:ascii="宋体" w:hAnsi="宋体"/>
                <w:color w:val="auto"/>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0CE6D73F">
            <w:pPr>
              <w:jc w:val="center"/>
              <w:rPr>
                <w:rFonts w:hint="eastAsia" w:ascii="宋体" w:hAnsi="宋体"/>
                <w:color w:val="auto"/>
                <w:highlight w:val="none"/>
              </w:rPr>
            </w:pPr>
            <w:r>
              <w:rPr>
                <w:rFonts w:hint="eastAsia" w:ascii="宋体" w:hAnsi="宋体"/>
                <w:color w:val="auto"/>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1A7E7A8D">
            <w:pPr>
              <w:jc w:val="center"/>
              <w:rPr>
                <w:rFonts w:hint="eastAsia" w:ascii="宋体" w:hAnsi="宋体"/>
                <w:color w:val="auto"/>
                <w:highlight w:val="none"/>
              </w:rPr>
            </w:pPr>
            <w:r>
              <w:rPr>
                <w:rFonts w:hint="eastAsia" w:ascii="宋体" w:hAnsi="宋体"/>
                <w:color w:val="auto"/>
                <w:highlight w:val="none"/>
              </w:rPr>
              <w:t>0.008%</w:t>
            </w:r>
          </w:p>
        </w:tc>
      </w:tr>
      <w:tr w14:paraId="21A5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884855F">
            <w:pPr>
              <w:jc w:val="center"/>
              <w:rPr>
                <w:rFonts w:hint="eastAsia" w:ascii="宋体" w:hAnsi="宋体"/>
                <w:color w:val="auto"/>
                <w:highlight w:val="none"/>
              </w:rPr>
            </w:pPr>
            <w:r>
              <w:rPr>
                <w:rFonts w:hint="eastAsia" w:ascii="宋体" w:hAnsi="宋体"/>
                <w:color w:val="auto"/>
                <w:highlight w:val="none"/>
              </w:rPr>
              <w:t>500000-1000000（含）</w:t>
            </w:r>
          </w:p>
        </w:tc>
        <w:tc>
          <w:tcPr>
            <w:tcW w:w="1980" w:type="dxa"/>
            <w:tcBorders>
              <w:top w:val="single" w:color="auto" w:sz="4" w:space="0"/>
              <w:left w:val="single" w:color="auto" w:sz="4" w:space="0"/>
              <w:bottom w:val="single" w:color="auto" w:sz="4" w:space="0"/>
              <w:right w:val="single" w:color="auto" w:sz="4" w:space="0"/>
            </w:tcBorders>
          </w:tcPr>
          <w:p w14:paraId="52BC62C8">
            <w:pPr>
              <w:jc w:val="center"/>
              <w:rPr>
                <w:rFonts w:hint="eastAsia" w:ascii="宋体" w:hAnsi="宋体"/>
                <w:color w:val="auto"/>
                <w:highlight w:val="none"/>
              </w:rPr>
            </w:pPr>
            <w:r>
              <w:rPr>
                <w:rFonts w:hint="eastAsia" w:ascii="宋体" w:hAnsi="宋体"/>
                <w:color w:val="auto"/>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3F401CA1">
            <w:pPr>
              <w:jc w:val="center"/>
              <w:rPr>
                <w:rFonts w:hint="eastAsia" w:ascii="宋体" w:hAnsi="宋体"/>
                <w:color w:val="auto"/>
                <w:highlight w:val="none"/>
              </w:rPr>
            </w:pPr>
            <w:r>
              <w:rPr>
                <w:rFonts w:hint="eastAsia" w:ascii="宋体" w:hAnsi="宋体"/>
                <w:color w:val="auto"/>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16DE7CA2">
            <w:pPr>
              <w:jc w:val="center"/>
              <w:rPr>
                <w:rFonts w:hint="eastAsia" w:ascii="宋体" w:hAnsi="宋体"/>
                <w:color w:val="auto"/>
                <w:highlight w:val="none"/>
              </w:rPr>
            </w:pPr>
            <w:r>
              <w:rPr>
                <w:rFonts w:hint="eastAsia" w:ascii="宋体" w:hAnsi="宋体"/>
                <w:color w:val="auto"/>
                <w:highlight w:val="none"/>
              </w:rPr>
              <w:t>0.006%</w:t>
            </w:r>
          </w:p>
        </w:tc>
      </w:tr>
      <w:tr w14:paraId="5EFA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59777A5">
            <w:pPr>
              <w:jc w:val="center"/>
              <w:rPr>
                <w:rFonts w:hint="eastAsia" w:ascii="宋体" w:hAnsi="宋体"/>
                <w:color w:val="auto"/>
                <w:highlight w:val="none"/>
              </w:rPr>
            </w:pPr>
            <w:r>
              <w:rPr>
                <w:rFonts w:hint="eastAsia" w:ascii="宋体" w:hAnsi="宋体"/>
                <w:color w:val="auto"/>
                <w:highlight w:val="none"/>
              </w:rPr>
              <w:t>1000000以上</w:t>
            </w:r>
          </w:p>
        </w:tc>
        <w:tc>
          <w:tcPr>
            <w:tcW w:w="1980" w:type="dxa"/>
            <w:tcBorders>
              <w:top w:val="single" w:color="auto" w:sz="4" w:space="0"/>
              <w:left w:val="single" w:color="auto" w:sz="4" w:space="0"/>
              <w:bottom w:val="single" w:color="auto" w:sz="4" w:space="0"/>
              <w:right w:val="single" w:color="auto" w:sz="4" w:space="0"/>
            </w:tcBorders>
          </w:tcPr>
          <w:p w14:paraId="33CE527B">
            <w:pPr>
              <w:jc w:val="center"/>
              <w:rPr>
                <w:rFonts w:hint="eastAsia" w:ascii="宋体" w:hAnsi="宋体"/>
                <w:color w:val="auto"/>
                <w:highlight w:val="none"/>
              </w:rPr>
            </w:pPr>
            <w:r>
              <w:rPr>
                <w:rFonts w:hint="eastAsia" w:ascii="宋体" w:hAnsi="宋体"/>
                <w:color w:val="auto"/>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18A1B641">
            <w:pPr>
              <w:jc w:val="center"/>
              <w:rPr>
                <w:rFonts w:hint="eastAsia" w:ascii="宋体" w:hAnsi="宋体"/>
                <w:color w:val="auto"/>
                <w:highlight w:val="none"/>
              </w:rPr>
            </w:pPr>
            <w:r>
              <w:rPr>
                <w:rFonts w:hint="eastAsia" w:ascii="宋体" w:hAnsi="宋体"/>
                <w:color w:val="auto"/>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33C8318C">
            <w:pPr>
              <w:jc w:val="center"/>
              <w:rPr>
                <w:rFonts w:hint="eastAsia" w:ascii="宋体" w:hAnsi="宋体"/>
                <w:color w:val="auto"/>
                <w:highlight w:val="none"/>
              </w:rPr>
            </w:pPr>
            <w:r>
              <w:rPr>
                <w:rFonts w:hint="eastAsia" w:ascii="宋体" w:hAnsi="宋体"/>
                <w:color w:val="auto"/>
                <w:highlight w:val="none"/>
              </w:rPr>
              <w:t>0.004%</w:t>
            </w:r>
          </w:p>
        </w:tc>
      </w:tr>
      <w:tr w14:paraId="150B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3D71507">
            <w:pPr>
              <w:jc w:val="center"/>
              <w:rPr>
                <w:rFonts w:hint="eastAsia" w:ascii="宋体" w:hAnsi="宋体"/>
                <w:color w:val="auto"/>
                <w:highlight w:val="none"/>
              </w:rPr>
            </w:pPr>
            <w:r>
              <w:rPr>
                <w:rFonts w:hint="eastAsia" w:ascii="宋体" w:hAnsi="宋体"/>
                <w:color w:val="auto"/>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2B7D4D73">
            <w:pPr>
              <w:jc w:val="center"/>
              <w:rPr>
                <w:rFonts w:hint="eastAsia" w:ascii="宋体" w:hAnsi="宋体"/>
                <w:color w:val="auto"/>
                <w:highlight w:val="none"/>
              </w:rPr>
            </w:pPr>
            <w:r>
              <w:rPr>
                <w:rFonts w:hint="eastAsia" w:ascii="宋体" w:hAnsi="宋体"/>
                <w:color w:val="auto"/>
                <w:highlight w:val="none"/>
              </w:rPr>
              <w:t>人民币350万元</w:t>
            </w:r>
          </w:p>
        </w:tc>
        <w:tc>
          <w:tcPr>
            <w:tcW w:w="1980" w:type="dxa"/>
            <w:tcBorders>
              <w:top w:val="single" w:color="auto" w:sz="4" w:space="0"/>
              <w:left w:val="single" w:color="auto" w:sz="4" w:space="0"/>
              <w:bottom w:val="single" w:color="auto" w:sz="4" w:space="0"/>
              <w:right w:val="single" w:color="auto" w:sz="4" w:space="0"/>
            </w:tcBorders>
          </w:tcPr>
          <w:p w14:paraId="23FC5163">
            <w:pPr>
              <w:jc w:val="center"/>
              <w:rPr>
                <w:rFonts w:hint="eastAsia" w:ascii="宋体" w:hAnsi="宋体"/>
                <w:color w:val="auto"/>
                <w:highlight w:val="none"/>
              </w:rPr>
            </w:pPr>
            <w:r>
              <w:rPr>
                <w:rFonts w:hint="eastAsia" w:ascii="宋体" w:hAnsi="宋体"/>
                <w:color w:val="auto"/>
                <w:highlight w:val="none"/>
              </w:rPr>
              <w:t>人民币300万元</w:t>
            </w:r>
          </w:p>
        </w:tc>
        <w:tc>
          <w:tcPr>
            <w:tcW w:w="1980" w:type="dxa"/>
            <w:tcBorders>
              <w:top w:val="single" w:color="auto" w:sz="4" w:space="0"/>
              <w:left w:val="single" w:color="auto" w:sz="4" w:space="0"/>
              <w:bottom w:val="single" w:color="auto" w:sz="4" w:space="0"/>
              <w:right w:val="single" w:color="auto" w:sz="4" w:space="0"/>
            </w:tcBorders>
          </w:tcPr>
          <w:p w14:paraId="118AAFD9">
            <w:pPr>
              <w:jc w:val="center"/>
              <w:rPr>
                <w:rFonts w:hint="eastAsia" w:ascii="宋体" w:hAnsi="宋体"/>
                <w:color w:val="auto"/>
                <w:highlight w:val="none"/>
              </w:rPr>
            </w:pPr>
            <w:r>
              <w:rPr>
                <w:rFonts w:hint="eastAsia" w:ascii="宋体" w:hAnsi="宋体"/>
                <w:color w:val="auto"/>
                <w:highlight w:val="none"/>
              </w:rPr>
              <w:t>人民币450万元</w:t>
            </w:r>
          </w:p>
        </w:tc>
      </w:tr>
    </w:tbl>
    <w:p w14:paraId="3E1AF85A">
      <w:pPr>
        <w:autoSpaceDE w:val="0"/>
        <w:autoSpaceDN w:val="0"/>
        <w:adjustRightInd w:val="0"/>
        <w:snapToGrid w:val="0"/>
        <w:ind w:left="470" w:leftChars="200" w:right="32" w:hanging="50" w:hangingChars="24"/>
        <w:rPr>
          <w:rFonts w:hint="eastAsia" w:ascii="宋体" w:hAnsi="宋体"/>
          <w:color w:val="auto"/>
          <w:szCs w:val="21"/>
          <w:highlight w:val="none"/>
        </w:rPr>
      </w:pPr>
      <w:r>
        <w:rPr>
          <w:rFonts w:hint="eastAsia" w:ascii="宋体" w:hAnsi="宋体"/>
          <w:color w:val="auto"/>
          <w:szCs w:val="21"/>
          <w:highlight w:val="none"/>
        </w:rPr>
        <w:t>例如：某</w:t>
      </w:r>
      <w:r>
        <w:rPr>
          <w:rFonts w:hint="eastAsia" w:ascii="宋体" w:hAnsi="宋体"/>
          <w:color w:val="auto"/>
          <w:szCs w:val="21"/>
          <w:highlight w:val="none"/>
          <w:lang w:val="en-US" w:eastAsia="zh-CN"/>
        </w:rPr>
        <w:t>服务</w:t>
      </w:r>
      <w:r>
        <w:rPr>
          <w:rFonts w:hint="eastAsia" w:ascii="宋体" w:hAnsi="宋体"/>
          <w:color w:val="auto"/>
          <w:szCs w:val="21"/>
          <w:highlight w:val="none"/>
        </w:rPr>
        <w:t xml:space="preserve">招标代理项目中标金额为300万元，计算招标代理服务收费额如下：  </w:t>
      </w:r>
    </w:p>
    <w:p w14:paraId="26B4B35A">
      <w:pPr>
        <w:autoSpaceDE w:val="0"/>
        <w:autoSpaceDN w:val="0"/>
        <w:adjustRightInd w:val="0"/>
        <w:snapToGrid w:val="0"/>
        <w:ind w:left="470" w:leftChars="200" w:right="32" w:hanging="50" w:hangingChars="24"/>
        <w:rPr>
          <w:rFonts w:hint="eastAsia" w:ascii="宋体" w:hAnsi="宋体"/>
          <w:color w:val="auto"/>
          <w:szCs w:val="21"/>
          <w:highlight w:val="none"/>
        </w:rPr>
      </w:pPr>
      <w:r>
        <w:rPr>
          <w:rFonts w:hint="eastAsia" w:ascii="宋体" w:hAnsi="宋体"/>
          <w:color w:val="auto"/>
          <w:szCs w:val="21"/>
          <w:highlight w:val="none"/>
        </w:rPr>
        <w:t>100万元×1.5%=1.5万元</w:t>
      </w:r>
    </w:p>
    <w:p w14:paraId="0D1053C4">
      <w:pPr>
        <w:autoSpaceDE w:val="0"/>
        <w:autoSpaceDN w:val="0"/>
        <w:adjustRightInd w:val="0"/>
        <w:snapToGrid w:val="0"/>
        <w:ind w:left="470" w:leftChars="200" w:right="32" w:hanging="50" w:hangingChars="24"/>
        <w:rPr>
          <w:rFonts w:hint="eastAsia" w:ascii="宋体" w:hAnsi="宋体"/>
          <w:color w:val="auto"/>
          <w:szCs w:val="21"/>
          <w:highlight w:val="none"/>
        </w:rPr>
      </w:pPr>
      <w:r>
        <w:rPr>
          <w:rFonts w:hint="eastAsia" w:ascii="宋体" w:hAnsi="宋体"/>
          <w:color w:val="auto"/>
          <w:szCs w:val="21"/>
          <w:highlight w:val="none"/>
        </w:rPr>
        <w:t>（300-100）万元×</w:t>
      </w:r>
      <w:r>
        <w:rPr>
          <w:rFonts w:ascii="宋体" w:hAnsi="宋体"/>
          <w:color w:val="auto"/>
          <w:szCs w:val="21"/>
          <w:highlight w:val="none"/>
        </w:rPr>
        <w:t>0.8</w:t>
      </w:r>
      <w:r>
        <w:rPr>
          <w:rFonts w:hint="eastAsia" w:ascii="宋体" w:hAnsi="宋体"/>
          <w:color w:val="auto"/>
          <w:szCs w:val="21"/>
          <w:highlight w:val="none"/>
        </w:rPr>
        <w:t>%=</w:t>
      </w:r>
      <w:r>
        <w:rPr>
          <w:rFonts w:ascii="宋体" w:hAnsi="宋体"/>
          <w:color w:val="auto"/>
          <w:szCs w:val="21"/>
          <w:highlight w:val="none"/>
        </w:rPr>
        <w:t>1.6</w:t>
      </w:r>
      <w:r>
        <w:rPr>
          <w:rFonts w:hint="eastAsia" w:ascii="宋体" w:hAnsi="宋体"/>
          <w:color w:val="auto"/>
          <w:szCs w:val="21"/>
          <w:highlight w:val="none"/>
        </w:rPr>
        <w:t>万元</w:t>
      </w:r>
    </w:p>
    <w:p w14:paraId="3639C40F">
      <w:pPr>
        <w:pStyle w:val="17"/>
        <w:adjustRightInd w:val="0"/>
        <w:snapToGrid w:val="0"/>
        <w:ind w:left="470" w:leftChars="200" w:hanging="50" w:hangingChars="24"/>
        <w:rPr>
          <w:rFonts w:hint="eastAsia" w:hAnsi="宋体"/>
          <w:color w:val="auto"/>
          <w:highlight w:val="none"/>
        </w:rPr>
      </w:pPr>
      <w:r>
        <w:rPr>
          <w:rFonts w:hint="eastAsia" w:hAnsi="宋体"/>
          <w:color w:val="auto"/>
          <w:highlight w:val="none"/>
        </w:rPr>
        <w:t>合计收费=1.5+</w:t>
      </w:r>
      <w:r>
        <w:rPr>
          <w:rFonts w:hAnsi="宋体"/>
          <w:color w:val="auto"/>
          <w:highlight w:val="none"/>
        </w:rPr>
        <w:t>1.6</w:t>
      </w:r>
      <w:r>
        <w:rPr>
          <w:rFonts w:hint="eastAsia" w:hAnsi="宋体"/>
          <w:color w:val="auto"/>
          <w:highlight w:val="none"/>
        </w:rPr>
        <w:t>=</w:t>
      </w:r>
      <w:r>
        <w:rPr>
          <w:rFonts w:hint="eastAsia" w:hAnsi="宋体"/>
          <w:color w:val="auto"/>
          <w:highlight w:val="none"/>
          <w:lang w:val="en-US" w:eastAsia="zh-CN"/>
        </w:rPr>
        <w:t>3.1</w:t>
      </w:r>
      <w:r>
        <w:rPr>
          <w:rFonts w:hint="eastAsia" w:hAnsi="宋体"/>
          <w:color w:val="auto"/>
          <w:highlight w:val="none"/>
        </w:rPr>
        <w:t>（万元）</w:t>
      </w:r>
    </w:p>
    <w:p w14:paraId="61769DE7">
      <w:pPr>
        <w:pStyle w:val="17"/>
        <w:adjustRightInd w:val="0"/>
        <w:snapToGrid w:val="0"/>
        <w:ind w:firstLine="359"/>
        <w:rPr>
          <w:rFonts w:hAnsi="宋体"/>
          <w:color w:val="auto"/>
          <w:highlight w:val="none"/>
        </w:rPr>
      </w:pPr>
      <w:r>
        <w:rPr>
          <w:rFonts w:hint="eastAsia" w:hAnsi="宋体"/>
          <w:color w:val="auto"/>
          <w:highlight w:val="none"/>
        </w:rPr>
        <w:t>中标人在收到中标通知书前向招标代理机构缴纳中标服务费，以电汇方式缴纳到以下账号（以下账户用于缴纳中标服务费），交费账户为：</w:t>
      </w:r>
    </w:p>
    <w:p w14:paraId="0EE85E7B">
      <w:pPr>
        <w:pStyle w:val="17"/>
        <w:adjustRightInd w:val="0"/>
        <w:snapToGrid w:val="0"/>
        <w:ind w:firstLine="359"/>
        <w:rPr>
          <w:rFonts w:hAnsi="宋体"/>
          <w:color w:val="auto"/>
          <w:highlight w:val="none"/>
        </w:rPr>
      </w:pPr>
      <w:r>
        <w:rPr>
          <w:rFonts w:hint="eastAsia" w:hAnsi="宋体"/>
          <w:color w:val="auto"/>
          <w:highlight w:val="none"/>
        </w:rPr>
        <w:t>收款人：国义招标股份有限公司珠海分公司</w:t>
      </w:r>
    </w:p>
    <w:p w14:paraId="134CC884">
      <w:pPr>
        <w:pStyle w:val="17"/>
        <w:adjustRightInd w:val="0"/>
        <w:snapToGrid w:val="0"/>
        <w:ind w:firstLine="359"/>
        <w:rPr>
          <w:rFonts w:hAnsi="宋体"/>
          <w:color w:val="auto"/>
          <w:highlight w:val="none"/>
        </w:rPr>
      </w:pPr>
      <w:r>
        <w:rPr>
          <w:rFonts w:hint="eastAsia" w:hAnsi="宋体"/>
          <w:color w:val="auto"/>
          <w:highlight w:val="none"/>
        </w:rPr>
        <w:t>开户银行：招商银行股份有限公司珠海分行</w:t>
      </w:r>
    </w:p>
    <w:p w14:paraId="12ADFEAE">
      <w:pPr>
        <w:pStyle w:val="17"/>
        <w:adjustRightInd w:val="0"/>
        <w:snapToGrid w:val="0"/>
        <w:ind w:left="470" w:leftChars="171" w:hanging="111" w:hangingChars="53"/>
        <w:rPr>
          <w:rFonts w:hAnsi="宋体"/>
          <w:color w:val="auto"/>
          <w:highlight w:val="none"/>
        </w:rPr>
      </w:pPr>
      <w:r>
        <w:rPr>
          <w:rFonts w:hint="eastAsia" w:hAnsi="宋体"/>
          <w:color w:val="auto"/>
          <w:highlight w:val="none"/>
        </w:rPr>
        <w:t>银行账号：656900277410108</w:t>
      </w:r>
    </w:p>
    <w:p w14:paraId="265A1B36">
      <w:pPr>
        <w:pStyle w:val="17"/>
        <w:adjustRightInd w:val="0"/>
        <w:snapToGrid w:val="0"/>
        <w:ind w:left="470" w:leftChars="171" w:hanging="111" w:hangingChars="53"/>
        <w:rPr>
          <w:rFonts w:hAnsi="宋体" w:cs="Times New Roman"/>
          <w:color w:val="auto"/>
          <w:highlight w:val="none"/>
        </w:rPr>
      </w:pPr>
      <w:r>
        <w:rPr>
          <w:rFonts w:hint="eastAsia" w:hAnsi="宋体"/>
          <w:color w:val="auto"/>
          <w:highlight w:val="none"/>
        </w:rPr>
        <w:t>用    途：“ (项目编号) ”中标费</w:t>
      </w:r>
    </w:p>
    <w:p w14:paraId="37CE1232">
      <w:pPr>
        <w:pStyle w:val="17"/>
        <w:adjustRightInd w:val="0"/>
        <w:snapToGrid w:val="0"/>
        <w:ind w:firstLine="359"/>
        <w:rPr>
          <w:rFonts w:hint="eastAsia" w:hAnsi="宋体" w:cs="Times New Roman"/>
          <w:b/>
          <w:color w:val="auto"/>
          <w:highlight w:val="none"/>
        </w:rPr>
      </w:pPr>
      <w:r>
        <w:rPr>
          <w:rFonts w:hint="eastAsia" w:hAnsi="宋体" w:cs="Times New Roman"/>
          <w:b/>
          <w:color w:val="auto"/>
          <w:highlight w:val="none"/>
        </w:rPr>
        <w:t>二、招标文件</w:t>
      </w:r>
    </w:p>
    <w:p w14:paraId="12FB2D46">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5. 招标文件的构成</w:t>
      </w:r>
    </w:p>
    <w:p w14:paraId="33466B3C">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5.1招标文件由下列文件组成：</w:t>
      </w:r>
    </w:p>
    <w:p w14:paraId="265E482D">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 投标邀请函</w:t>
      </w:r>
    </w:p>
    <w:p w14:paraId="04173DE4">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 采购项目内容</w:t>
      </w:r>
    </w:p>
    <w:p w14:paraId="26D58B04">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3) 投标人须知</w:t>
      </w:r>
    </w:p>
    <w:p w14:paraId="2A321385">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4) 合同格式</w:t>
      </w:r>
    </w:p>
    <w:p w14:paraId="0ECCF974">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 xml:space="preserve">5) 投标文件格式 </w:t>
      </w:r>
    </w:p>
    <w:p w14:paraId="65D94A2E">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6) 在招标过程中由招标采购单位发出的修正和补充文件等</w:t>
      </w:r>
    </w:p>
    <w:p w14:paraId="7F4E3A00">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14:paraId="443589DD">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6. 招标文件的澄清</w:t>
      </w:r>
    </w:p>
    <w:p w14:paraId="5D2195F9">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6.1任何要求对招标文件进行澄清的投标人，均应以书面形式在投标截止时间十五日以前通知招标采购单位。招标采购单位对其收到的书面的对招标文件的澄清要求均以书面形式予以答复，同时将书面答复发给每个获取招标文件的投标人（答复中不包括问题的来源）。该答复作为招标文件的一部分，对投标人有约束力。投标人在收到上述澄清答复后，应立即向招标采购单位回函确认。</w:t>
      </w:r>
    </w:p>
    <w:p w14:paraId="6AF6199C">
      <w:pPr>
        <w:pStyle w:val="17"/>
        <w:tabs>
          <w:tab w:val="left" w:pos="540"/>
        </w:tabs>
        <w:adjustRightInd w:val="0"/>
        <w:snapToGrid w:val="0"/>
        <w:ind w:firstLine="359"/>
        <w:rPr>
          <w:rFonts w:hint="eastAsia" w:hAnsi="宋体" w:cs="Times New Roman"/>
          <w:color w:val="auto"/>
          <w:spacing w:val="-6"/>
          <w:highlight w:val="none"/>
        </w:rPr>
      </w:pPr>
      <w:r>
        <w:rPr>
          <w:rFonts w:hint="eastAsia" w:hAnsi="宋体" w:cs="Times New Roman"/>
          <w:color w:val="auto"/>
          <w:highlight w:val="none"/>
        </w:rPr>
        <w:t>6.2</w:t>
      </w:r>
      <w:r>
        <w:rPr>
          <w:rFonts w:hint="eastAsia" w:hAnsi="宋体" w:cs="Times New Roman"/>
          <w:color w:val="auto"/>
          <w:spacing w:val="-6"/>
          <w:highlight w:val="none"/>
        </w:rPr>
        <w:t>投标人在规定的时间内未对招标文件澄清或提出疑问的，</w:t>
      </w:r>
      <w:r>
        <w:rPr>
          <w:rFonts w:hint="eastAsia" w:hAnsi="宋体" w:cs="Times New Roman"/>
          <w:color w:val="auto"/>
          <w:highlight w:val="none"/>
        </w:rPr>
        <w:t>招标采购单位将</w:t>
      </w:r>
      <w:r>
        <w:rPr>
          <w:rFonts w:hint="eastAsia" w:hAnsi="宋体" w:cs="Times New Roman"/>
          <w:color w:val="auto"/>
          <w:spacing w:val="-6"/>
          <w:highlight w:val="none"/>
        </w:rPr>
        <w:t>视其为无异议。对招标文件中描述有歧意或前后不一致的地方，评标委员会有权进行评判，但对同一条款的评判应适用于每个投标人。</w:t>
      </w:r>
    </w:p>
    <w:p w14:paraId="413133CD">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7. 招标文件的修改</w:t>
      </w:r>
    </w:p>
    <w:p w14:paraId="473381DB">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7.l在投标截止时间十五日以前，无论出于何种原因，招标采购单位可主动地或在解答投标人提出的疑问时对招标文件进行修改。招标文件的修改将以书面形式通知所有获取招标文件的投标人。该修改作为招标文件的一部分，对投标人有约束力。投标人在收到上述修改通知后，应立即向招标采购单位回函确认。</w:t>
      </w:r>
    </w:p>
    <w:p w14:paraId="5A42DD29">
      <w:pPr>
        <w:pStyle w:val="17"/>
        <w:adjustRightInd w:val="0"/>
        <w:snapToGrid w:val="0"/>
        <w:ind w:firstLine="359"/>
        <w:rPr>
          <w:rFonts w:hint="eastAsia" w:hAnsi="宋体" w:cs="Times New Roman"/>
          <w:b/>
          <w:color w:val="auto"/>
          <w:highlight w:val="none"/>
        </w:rPr>
      </w:pPr>
      <w:r>
        <w:rPr>
          <w:rFonts w:hint="eastAsia" w:hAnsi="宋体" w:cs="Times New Roman"/>
          <w:b/>
          <w:color w:val="auto"/>
          <w:highlight w:val="none"/>
        </w:rPr>
        <w:t>三、投标文件的编制</w:t>
      </w:r>
    </w:p>
    <w:p w14:paraId="01D7E0BE">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8．投标的语言及计量</w:t>
      </w:r>
    </w:p>
    <w:p w14:paraId="65FE7AA4">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14:paraId="3C18DCB1">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8.2 除非招标文件中另有规定，投标人在投标文件中及其与招标采购单位的所有往来文件中的计量单位均应采用中华人民共和国法定计量单位。</w:t>
      </w:r>
    </w:p>
    <w:p w14:paraId="0FB74299">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9．投标文件的构成应符合法律法规及招标文件的要求。</w:t>
      </w:r>
    </w:p>
    <w:p w14:paraId="2FDFBBF8">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10. 投标文件编制</w:t>
      </w:r>
    </w:p>
    <w:p w14:paraId="15B4119F">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10.1 投标人应当对投标文件进行装订，对未经装订的投标文件可能发生的文件散落或缺损，由此产生的后果由投标人承担。投标人对招标文件中多个包进行投标的，其投标文件的编制应按每个包的要求分别装订和封装。</w:t>
      </w:r>
    </w:p>
    <w:p w14:paraId="5CD3A5FB">
      <w:pPr>
        <w:pStyle w:val="17"/>
        <w:adjustRightInd w:val="0"/>
        <w:snapToGrid w:val="0"/>
        <w:ind w:firstLine="359"/>
        <w:rPr>
          <w:rFonts w:hint="eastAsia" w:hAnsi="宋体" w:cs="Times New Roman"/>
          <w:color w:val="auto"/>
          <w:highlight w:val="none"/>
        </w:rPr>
      </w:pPr>
      <w:r>
        <w:rPr>
          <w:rFonts w:hint="eastAsia" w:hAnsi="宋体"/>
          <w:color w:val="auto"/>
          <w:highlight w:val="none"/>
        </w:rPr>
        <w:t>10.2投标人应完整、真实、准确的填写招标文件中规定的所有内容，</w:t>
      </w:r>
      <w:r>
        <w:rPr>
          <w:rFonts w:hint="eastAsia" w:hAnsi="宋体" w:cs="Times New Roman"/>
          <w:color w:val="auto"/>
          <w:highlight w:val="none"/>
        </w:rPr>
        <w:t>对投标文件所提供的全部资料的真实性承担法律责任，并无条件接受招标采购单位及政府采购监督管理部门等对其中任何资料及招标采购单位或政府采购监督管理部门认为有必要的资料进行核实的要求。</w:t>
      </w:r>
    </w:p>
    <w:p w14:paraId="29F03DA7">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10.</w:t>
      </w:r>
      <w:r>
        <w:rPr>
          <w:rFonts w:hint="eastAsia" w:hAnsi="宋体"/>
          <w:color w:val="auto"/>
          <w:highlight w:val="none"/>
        </w:rPr>
        <w:t>3</w:t>
      </w:r>
      <w:r>
        <w:rPr>
          <w:rFonts w:hint="eastAsia" w:hAnsi="宋体" w:cs="Times New Roman"/>
          <w:color w:val="auto"/>
          <w:highlight w:val="none"/>
        </w:rPr>
        <w:t>如果因为投标人投标文件填报的内容不详，或没有提供招标文件中所要求的全部资料及数据，由此造成的后果，其责任由投标人承担。</w:t>
      </w:r>
    </w:p>
    <w:p w14:paraId="4EA8C3BD">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11. 投标报价</w:t>
      </w:r>
    </w:p>
    <w:p w14:paraId="30EBD60F">
      <w:pPr>
        <w:autoSpaceDE w:val="0"/>
        <w:autoSpaceDN w:val="0"/>
        <w:adjustRightInd w:val="0"/>
        <w:snapToGrid w:val="0"/>
        <w:ind w:right="-148" w:firstLine="359"/>
        <w:rPr>
          <w:rFonts w:hint="eastAsia" w:ascii="宋体" w:hAnsi="宋体"/>
          <w:color w:val="auto"/>
          <w:kern w:val="0"/>
          <w:szCs w:val="21"/>
          <w:highlight w:val="none"/>
        </w:rPr>
      </w:pPr>
      <w:r>
        <w:rPr>
          <w:rFonts w:hint="eastAsia" w:ascii="宋体" w:hAnsi="宋体"/>
          <w:color w:val="auto"/>
          <w:szCs w:val="21"/>
          <w:highlight w:val="none"/>
        </w:rPr>
        <w:t>11.1 如招标文件无特殊规定，投标价格以人民币填报。</w:t>
      </w:r>
    </w:p>
    <w:p w14:paraId="204312BB">
      <w:pPr>
        <w:pStyle w:val="17"/>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11.2</w:t>
      </w:r>
      <w:r>
        <w:rPr>
          <w:rFonts w:hint="eastAsia" w:hAnsi="宋体" w:cs="Times New Roman"/>
          <w:color w:val="auto"/>
          <w:highlight w:val="none"/>
        </w:rPr>
        <w:t>投标人应按照招标文件“第二部分 采购项目内容”中规定的内容、责任范围以及合同条款进行报价，并按《开标一览表》和《投标明细报价表》确定的格式报出分项价格和总价</w:t>
      </w:r>
      <w:r>
        <w:rPr>
          <w:rFonts w:hint="eastAsia" w:hAnsi="宋体" w:cs="Times New Roman"/>
          <w:color w:val="auto"/>
          <w:kern w:val="0"/>
          <w:highlight w:val="none"/>
        </w:rPr>
        <w:t>。投标总价中不得包含招标文件要求以外的内容，否则在评标时不予核减。投标总价中也不得缺漏招标文件所要求的相应内容，否则</w:t>
      </w:r>
      <w:r>
        <w:rPr>
          <w:rFonts w:hint="eastAsia" w:hAnsi="宋体"/>
          <w:color w:val="auto"/>
          <w:highlight w:val="none"/>
          <w:lang w:val="zh-CN"/>
        </w:rPr>
        <w:t>将导致投标无效</w:t>
      </w:r>
      <w:r>
        <w:rPr>
          <w:rFonts w:hint="eastAsia" w:hAnsi="宋体" w:cs="Times New Roman"/>
          <w:color w:val="auto"/>
          <w:kern w:val="0"/>
          <w:highlight w:val="none"/>
        </w:rPr>
        <w:t>。</w:t>
      </w:r>
    </w:p>
    <w:p w14:paraId="1AD110D9">
      <w:pPr>
        <w:pStyle w:val="17"/>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11.3投标人必须保证，采购人在中华人民共和国境内使用投标货物、资料、技术、服务或其任何一部分时，享有不受限制的无偿使用权，如有第三方向采购人提出侵犯其专利权、商标权或其它知识产权的主张，该纠纷应由投标人解决，责任应由投标人承担。</w:t>
      </w:r>
    </w:p>
    <w:p w14:paraId="615289D0">
      <w:pPr>
        <w:pStyle w:val="17"/>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11.4投标报价应包含所有应向所有权人支付的专利权、商标权或其它知识产权的一切相关费用。</w:t>
      </w:r>
    </w:p>
    <w:p w14:paraId="2FA072C5">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11.</w:t>
      </w:r>
      <w:r>
        <w:rPr>
          <w:rFonts w:hAnsi="宋体" w:cs="Times New Roman"/>
          <w:color w:val="auto"/>
          <w:highlight w:val="none"/>
        </w:rPr>
        <w:t>5</w:t>
      </w:r>
      <w:r>
        <w:rPr>
          <w:rFonts w:hint="eastAsia" w:hAnsi="宋体" w:cs="Times New Roman"/>
          <w:color w:val="auto"/>
          <w:highlight w:val="none"/>
        </w:rPr>
        <w:t>《投标明细报价表》填写时应响应下列要求：</w:t>
      </w:r>
    </w:p>
    <w:p w14:paraId="52CA48D8">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w:t>
      </w:r>
      <w:r>
        <w:rPr>
          <w:rFonts w:hint="eastAsia"/>
          <w:color w:val="auto"/>
          <w:highlight w:val="none"/>
        </w:rPr>
        <w:t>投标人应报包含招标服务项目所有内容（包括完成用户需求书全部内容所需的一切含税费用：即包括但不限于各种人工费用、零配件费等物料费用、管理费用、不可预见费、税费、利润等）。投标人应按用户需求书中所列每个单项逐项报价。并按开标一览表及投标明细报价表进行明细报价。</w:t>
      </w:r>
    </w:p>
    <w:p w14:paraId="0992D0E1">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11.</w:t>
      </w:r>
      <w:r>
        <w:rPr>
          <w:rFonts w:hAnsi="宋体" w:cs="Times New Roman"/>
          <w:color w:val="auto"/>
          <w:highlight w:val="none"/>
        </w:rPr>
        <w:t>6</w:t>
      </w:r>
      <w:r>
        <w:rPr>
          <w:rFonts w:hint="eastAsia" w:hAnsi="宋体" w:cs="Times New Roman"/>
          <w:color w:val="auto"/>
          <w:highlight w:val="none"/>
        </w:rPr>
        <w:t>每种规格货物或每项标准服务只允许有一个报价，否则将被视为无效投标。</w:t>
      </w:r>
    </w:p>
    <w:p w14:paraId="06C414CF">
      <w:pPr>
        <w:ind w:firstLine="359"/>
        <w:rPr>
          <w:rFonts w:hint="eastAsia" w:ascii="宋体" w:hAnsi="宋体"/>
          <w:color w:val="auto"/>
          <w:szCs w:val="21"/>
          <w:highlight w:val="none"/>
        </w:rPr>
      </w:pPr>
      <w:r>
        <w:rPr>
          <w:rFonts w:hint="eastAsia" w:ascii="宋体" w:hAnsi="宋体"/>
          <w:color w:val="auto"/>
          <w:szCs w:val="21"/>
          <w:highlight w:val="none"/>
        </w:rPr>
        <w:t>12. 备选方案</w:t>
      </w:r>
    </w:p>
    <w:p w14:paraId="353DADFC">
      <w:pPr>
        <w:pStyle w:val="17"/>
        <w:adjustRightInd w:val="0"/>
        <w:snapToGrid w:val="0"/>
        <w:ind w:firstLine="359"/>
        <w:rPr>
          <w:rFonts w:hint="eastAsia" w:hAnsi="宋体" w:cs="Times New Roman"/>
          <w:color w:val="auto"/>
          <w:kern w:val="0"/>
          <w:highlight w:val="none"/>
        </w:rPr>
      </w:pPr>
      <w:r>
        <w:rPr>
          <w:rFonts w:hint="eastAsia" w:hAnsi="宋体" w:cs="Times New Roman"/>
          <w:color w:val="auto"/>
          <w:highlight w:val="none"/>
        </w:rPr>
        <w:t>12.1</w:t>
      </w:r>
      <w:r>
        <w:rPr>
          <w:rFonts w:hint="eastAsia" w:hAnsi="宋体" w:cs="Times New Roman"/>
          <w:color w:val="auto"/>
          <w:kern w:val="0"/>
          <w:highlight w:val="none"/>
        </w:rPr>
        <w:t>只允许投标人有一个投标方案，否则</w:t>
      </w:r>
      <w:r>
        <w:rPr>
          <w:rFonts w:hint="eastAsia" w:hAnsi="宋体" w:cs="Times New Roman"/>
          <w:color w:val="auto"/>
          <w:highlight w:val="none"/>
        </w:rPr>
        <w:t>将被视为无效投标</w:t>
      </w:r>
      <w:r>
        <w:rPr>
          <w:rFonts w:hint="eastAsia" w:hAnsi="宋体" w:cs="Times New Roman"/>
          <w:color w:val="auto"/>
          <w:kern w:val="0"/>
          <w:highlight w:val="none"/>
        </w:rPr>
        <w:t>。（招标文件允许有备选方案的除外）</w:t>
      </w:r>
    </w:p>
    <w:p w14:paraId="46C55F07">
      <w:pPr>
        <w:pStyle w:val="17"/>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13. 联合体投标</w:t>
      </w:r>
    </w:p>
    <w:p w14:paraId="070B8E88">
      <w:pPr>
        <w:pStyle w:val="17"/>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13.1本项目不接受联合体投标。</w:t>
      </w:r>
    </w:p>
    <w:p w14:paraId="75D4FCFF">
      <w:pPr>
        <w:pStyle w:val="17"/>
        <w:adjustRightInd w:val="0"/>
        <w:snapToGrid w:val="0"/>
        <w:ind w:firstLine="359"/>
        <w:rPr>
          <w:rFonts w:hint="eastAsia" w:hAnsi="宋体" w:cs="Times New Roman"/>
          <w:color w:val="auto"/>
          <w:highlight w:val="none"/>
        </w:rPr>
      </w:pPr>
      <w:r>
        <w:rPr>
          <w:rFonts w:hint="eastAsia" w:hAnsi="宋体" w:cs="Times New Roman"/>
          <w:color w:val="auto"/>
          <w:kern w:val="0"/>
          <w:highlight w:val="none"/>
        </w:rPr>
        <w:t>13.2 如招标项目接受联合体投标的，则组成联合体投标的按政府采购的法律、法规、规章等有关规定执行，并提供《联合体共同投标协议书》（格式见附件）。</w:t>
      </w:r>
    </w:p>
    <w:p w14:paraId="0BC9F2AC">
      <w:pPr>
        <w:ind w:firstLine="359"/>
        <w:rPr>
          <w:rFonts w:hint="eastAsia" w:ascii="宋体" w:hAnsi="宋体"/>
          <w:color w:val="auto"/>
          <w:szCs w:val="21"/>
          <w:highlight w:val="none"/>
        </w:rPr>
      </w:pPr>
      <w:r>
        <w:rPr>
          <w:rFonts w:hint="eastAsia" w:ascii="宋体" w:hAnsi="宋体"/>
          <w:color w:val="auto"/>
          <w:szCs w:val="21"/>
          <w:highlight w:val="none"/>
        </w:rPr>
        <w:t>14. 投标人资格证明文件</w:t>
      </w:r>
    </w:p>
    <w:p w14:paraId="343891AF">
      <w:pPr>
        <w:autoSpaceDE w:val="0"/>
        <w:autoSpaceDN w:val="0"/>
        <w:adjustRightInd w:val="0"/>
        <w:snapToGrid w:val="0"/>
        <w:ind w:right="32" w:firstLine="359"/>
        <w:rPr>
          <w:rFonts w:hint="eastAsia" w:hAnsi="宋体"/>
          <w:color w:val="auto"/>
          <w:highlight w:val="none"/>
        </w:rPr>
      </w:pPr>
      <w:r>
        <w:rPr>
          <w:rFonts w:hint="eastAsia" w:ascii="宋体" w:hAnsi="宋体"/>
          <w:color w:val="auto"/>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hint="eastAsia" w:hAnsi="宋体"/>
          <w:color w:val="auto"/>
          <w:kern w:val="0"/>
          <w:highlight w:val="none"/>
        </w:rPr>
        <w:t>资格文件是投标文件的必要文件，必须真实有效，复印件必须加盖单位印章。</w:t>
      </w:r>
    </w:p>
    <w:p w14:paraId="6301BB6A">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15. 证明投标标的的合格性和符合招标文件规定的文件</w:t>
      </w:r>
      <w:r>
        <w:rPr>
          <w:rFonts w:hint="eastAsia" w:hAnsi="宋体"/>
          <w:color w:val="auto"/>
          <w:kern w:val="0"/>
          <w:highlight w:val="none"/>
        </w:rPr>
        <w:t>。</w:t>
      </w:r>
    </w:p>
    <w:p w14:paraId="60A263D5">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16. 投标保证金、履约保证金、融资担保</w:t>
      </w:r>
    </w:p>
    <w:p w14:paraId="788E8313">
      <w:pPr>
        <w:pStyle w:val="17"/>
        <w:adjustRightInd w:val="0"/>
        <w:snapToGrid w:val="0"/>
        <w:ind w:firstLine="359"/>
        <w:rPr>
          <w:rFonts w:hint="eastAsia" w:hAnsi="宋体" w:cs="Times New Roman"/>
          <w:color w:val="auto"/>
          <w:highlight w:val="none"/>
        </w:rPr>
      </w:pPr>
      <w:r>
        <w:rPr>
          <w:rFonts w:hint="eastAsia" w:hAnsi="宋体"/>
          <w:color w:val="auto"/>
          <w:highlight w:val="none"/>
        </w:rPr>
        <w:t>16.1本项目不收取投标保证金</w:t>
      </w:r>
      <w:r>
        <w:rPr>
          <w:rFonts w:hint="eastAsia" w:hAnsi="宋体" w:cs="Times New Roman"/>
          <w:color w:val="auto"/>
          <w:highlight w:val="none"/>
        </w:rPr>
        <w:t>。</w:t>
      </w:r>
    </w:p>
    <w:p w14:paraId="3B878CEE">
      <w:pPr>
        <w:adjustRightInd w:val="0"/>
        <w:snapToGrid w:val="0"/>
        <w:ind w:right="-147" w:rightChars="-70" w:firstLine="359"/>
        <w:rPr>
          <w:rFonts w:hint="eastAsia" w:ascii="宋体" w:hAnsi="宋体"/>
          <w:color w:val="auto"/>
          <w:szCs w:val="21"/>
          <w:highlight w:val="none"/>
        </w:rPr>
      </w:pPr>
      <w:bookmarkStart w:id="3" w:name="_Toc230597966"/>
      <w:bookmarkStart w:id="4" w:name="_Toc42923352"/>
      <w:bookmarkStart w:id="5" w:name="_Toc222823292"/>
      <w:r>
        <w:rPr>
          <w:rFonts w:hint="eastAsia" w:ascii="宋体" w:hAnsi="宋体"/>
          <w:color w:val="auto"/>
          <w:szCs w:val="21"/>
          <w:highlight w:val="none"/>
        </w:rPr>
        <w:t>16.2履约保证金</w:t>
      </w:r>
    </w:p>
    <w:p w14:paraId="5DF4857C">
      <w:pPr>
        <w:adjustRightInd w:val="0"/>
        <w:snapToGrid w:val="0"/>
        <w:ind w:right="-147" w:rightChars="-70" w:firstLine="359"/>
        <w:rPr>
          <w:rFonts w:hint="eastAsia" w:ascii="宋体" w:hAnsi="宋体"/>
          <w:color w:val="auto"/>
          <w:szCs w:val="21"/>
          <w:highlight w:val="none"/>
        </w:rPr>
      </w:pPr>
      <w:r>
        <w:rPr>
          <w:rFonts w:hint="eastAsia" w:ascii="宋体" w:hAnsi="宋体"/>
          <w:color w:val="auto"/>
          <w:szCs w:val="21"/>
          <w:highlight w:val="none"/>
        </w:rPr>
        <w:t>16.2.1采购人可根据采购合同履行需要，要求中标人提交履约保证金。</w:t>
      </w:r>
    </w:p>
    <w:p w14:paraId="6D6C93BA">
      <w:pPr>
        <w:adjustRightInd w:val="0"/>
        <w:snapToGrid w:val="0"/>
        <w:ind w:right="-147" w:rightChars="-70" w:firstLine="359"/>
        <w:rPr>
          <w:rFonts w:hint="eastAsia" w:ascii="宋体" w:hAnsi="宋体"/>
          <w:color w:val="auto"/>
          <w:szCs w:val="21"/>
          <w:highlight w:val="none"/>
        </w:rPr>
      </w:pPr>
      <w:r>
        <w:rPr>
          <w:rFonts w:hint="eastAsia" w:ascii="宋体" w:hAnsi="宋体"/>
          <w:color w:val="auto"/>
          <w:szCs w:val="21"/>
          <w:highlight w:val="none"/>
        </w:rPr>
        <w:t>16.2.2履约保证金缴纳金额、形式</w:t>
      </w:r>
    </w:p>
    <w:p w14:paraId="21AD34A8">
      <w:pPr>
        <w:adjustRightInd w:val="0"/>
        <w:snapToGrid w:val="0"/>
        <w:ind w:right="-147" w:rightChars="-70" w:firstLine="359"/>
        <w:rPr>
          <w:rFonts w:hint="eastAsia" w:ascii="宋体" w:hAnsi="宋体"/>
          <w:color w:val="auto"/>
          <w:szCs w:val="21"/>
          <w:highlight w:val="none"/>
        </w:rPr>
      </w:pPr>
      <w:r>
        <w:rPr>
          <w:rFonts w:hint="eastAsia" w:ascii="宋体" w:hAnsi="宋体"/>
          <w:color w:val="auto"/>
          <w:szCs w:val="21"/>
          <w:highlight w:val="none"/>
        </w:rPr>
        <w:t>履约保证金数额不超过采购合同金额的10%，采购人可根据履行合同的实际需要，在以上范围内规定履约保证金具体金额。</w:t>
      </w:r>
    </w:p>
    <w:p w14:paraId="590CB53E">
      <w:pPr>
        <w:adjustRightInd w:val="0"/>
        <w:snapToGrid w:val="0"/>
        <w:ind w:right="-147" w:rightChars="-70" w:firstLine="359"/>
        <w:rPr>
          <w:rFonts w:hint="eastAsia" w:ascii="宋体" w:hAnsi="宋体"/>
          <w:color w:val="auto"/>
          <w:szCs w:val="21"/>
          <w:highlight w:val="none"/>
        </w:rPr>
      </w:pPr>
      <w:r>
        <w:rPr>
          <w:rFonts w:hint="eastAsia" w:ascii="宋体" w:hAnsi="宋体"/>
          <w:color w:val="auto"/>
          <w:szCs w:val="21"/>
          <w:highlight w:val="none"/>
        </w:rPr>
        <w:t>履约保证金应当以支票、汇票、本票或者金融机构、担保机构出具的保函等非现金形式提交。履约担保函样本格式参照招标文件第五部分－投标文件格式附表。</w:t>
      </w:r>
    </w:p>
    <w:p w14:paraId="0211463A">
      <w:pPr>
        <w:adjustRightInd w:val="0"/>
        <w:snapToGrid w:val="0"/>
        <w:ind w:right="-147" w:rightChars="-70" w:firstLine="359"/>
        <w:rPr>
          <w:rFonts w:hint="eastAsia" w:ascii="宋体" w:hAnsi="宋体"/>
          <w:color w:val="auto"/>
          <w:szCs w:val="21"/>
          <w:highlight w:val="none"/>
        </w:rPr>
      </w:pPr>
      <w:r>
        <w:rPr>
          <w:rFonts w:hint="eastAsia" w:ascii="宋体" w:hAnsi="宋体"/>
          <w:color w:val="auto"/>
          <w:szCs w:val="21"/>
          <w:highlight w:val="none"/>
        </w:rPr>
        <w:t>16.2.3履约保证金在中标人履行完采购合同主要义务后，采购人按照合同约定原额退还，履约保证金以履约担保函形式提交的，担保责任终止。</w:t>
      </w:r>
    </w:p>
    <w:p w14:paraId="1D4D4BB0">
      <w:pPr>
        <w:adjustRightInd w:val="0"/>
        <w:snapToGrid w:val="0"/>
        <w:ind w:right="-147" w:rightChars="-70" w:firstLine="359"/>
        <w:rPr>
          <w:rFonts w:hint="eastAsia" w:ascii="宋体" w:hAnsi="宋体"/>
          <w:color w:val="auto"/>
          <w:szCs w:val="21"/>
          <w:highlight w:val="none"/>
        </w:rPr>
      </w:pPr>
      <w:r>
        <w:rPr>
          <w:rFonts w:hint="eastAsia" w:ascii="宋体" w:hAnsi="宋体"/>
          <w:color w:val="auto"/>
          <w:szCs w:val="21"/>
          <w:highlight w:val="none"/>
        </w:rPr>
        <w:t>16.38融资担保</w:t>
      </w:r>
    </w:p>
    <w:p w14:paraId="5A7F14C4">
      <w:pPr>
        <w:adjustRightInd w:val="0"/>
        <w:snapToGrid w:val="0"/>
        <w:ind w:right="-147" w:rightChars="-70" w:firstLine="359"/>
        <w:rPr>
          <w:rFonts w:hint="eastAsia" w:ascii="宋体" w:hAnsi="宋体"/>
          <w:color w:val="auto"/>
          <w:szCs w:val="21"/>
          <w:highlight w:val="none"/>
        </w:rPr>
      </w:pPr>
      <w:r>
        <w:rPr>
          <w:rFonts w:hint="eastAsia" w:ascii="宋体" w:hAnsi="宋体"/>
          <w:color w:val="auto"/>
          <w:szCs w:val="21"/>
          <w:highlight w:val="none"/>
        </w:rPr>
        <w:t>16.3.1融资担保，是指专业担保机构为中标人向银行融资提供的保证担保。</w:t>
      </w:r>
    </w:p>
    <w:p w14:paraId="45C3C0EE">
      <w:pPr>
        <w:adjustRightInd w:val="0"/>
        <w:snapToGrid w:val="0"/>
        <w:ind w:right="-147" w:rightChars="-70" w:firstLine="359"/>
        <w:rPr>
          <w:rFonts w:hint="eastAsia" w:ascii="宋体" w:hAnsi="宋体"/>
          <w:color w:val="auto"/>
          <w:szCs w:val="21"/>
          <w:highlight w:val="none"/>
        </w:rPr>
      </w:pPr>
      <w:r>
        <w:rPr>
          <w:rFonts w:hint="eastAsia" w:ascii="宋体" w:hAnsi="宋体"/>
          <w:color w:val="auto"/>
          <w:szCs w:val="21"/>
          <w:highlight w:val="none"/>
        </w:rPr>
        <w:t>16.3.2中标人可以自愿选择是否采取融资担保的形式为本项目采购合同履约进行融资。</w:t>
      </w:r>
    </w:p>
    <w:p w14:paraId="15B63737">
      <w:pPr>
        <w:pStyle w:val="17"/>
        <w:tabs>
          <w:tab w:val="left" w:pos="7740"/>
        </w:tabs>
        <w:adjustRightInd w:val="0"/>
        <w:snapToGrid w:val="0"/>
        <w:ind w:firstLine="310" w:firstLineChars="148"/>
        <w:rPr>
          <w:rFonts w:hint="eastAsia" w:hAnsi="宋体" w:cs="Times New Roman"/>
          <w:color w:val="auto"/>
          <w:highlight w:val="none"/>
        </w:rPr>
      </w:pPr>
      <w:r>
        <w:rPr>
          <w:rFonts w:hint="eastAsia" w:hAnsi="宋体" w:cs="Times New Roman"/>
          <w:color w:val="auto"/>
          <w:highlight w:val="none"/>
        </w:rPr>
        <w:t>17. 投标有效期</w:t>
      </w:r>
      <w:bookmarkEnd w:id="3"/>
      <w:bookmarkEnd w:id="4"/>
      <w:bookmarkEnd w:id="5"/>
    </w:p>
    <w:p w14:paraId="2B3A0992">
      <w:pPr>
        <w:tabs>
          <w:tab w:val="left" w:pos="7740"/>
        </w:tabs>
        <w:adjustRightInd w:val="0"/>
        <w:snapToGrid w:val="0"/>
        <w:ind w:firstLine="310" w:firstLineChars="148"/>
        <w:rPr>
          <w:rFonts w:hint="eastAsia" w:ascii="宋体" w:hAnsi="宋体"/>
          <w:color w:val="auto"/>
          <w:szCs w:val="21"/>
          <w:highlight w:val="none"/>
        </w:rPr>
      </w:pPr>
      <w:r>
        <w:rPr>
          <w:rFonts w:hint="eastAsia" w:ascii="宋体" w:hAnsi="宋体"/>
          <w:color w:val="auto"/>
          <w:szCs w:val="21"/>
          <w:highlight w:val="none"/>
        </w:rPr>
        <w:t>17.1投标文件应在提交投标文件截止之日起90日内保持有效。投标有效期比规定时间短的将被作为非实质性响应招标文件而予以拒绝。</w:t>
      </w:r>
    </w:p>
    <w:p w14:paraId="47CC93F1">
      <w:pPr>
        <w:tabs>
          <w:tab w:val="left" w:pos="7740"/>
        </w:tabs>
        <w:adjustRightInd w:val="0"/>
        <w:snapToGrid w:val="0"/>
        <w:ind w:firstLine="310" w:firstLineChars="148"/>
        <w:rPr>
          <w:rFonts w:hint="eastAsia" w:ascii="宋体" w:hAnsi="宋体"/>
          <w:color w:val="auto"/>
          <w:szCs w:val="21"/>
          <w:highlight w:val="none"/>
        </w:rPr>
      </w:pPr>
      <w:r>
        <w:rPr>
          <w:rFonts w:hint="eastAsia" w:ascii="宋体" w:hAnsi="宋体"/>
          <w:color w:val="auto"/>
          <w:szCs w:val="21"/>
          <w:highlight w:val="none"/>
        </w:rPr>
        <w:t>17.2特殊情况下，招标采购单位可于投标有效期期满之前，要求投标人同意延长投标有效期，要求与答复均应为书面形式。对于同意该要求的投标人，既不要求也不允许其修改报价文件。</w:t>
      </w:r>
    </w:p>
    <w:p w14:paraId="68DB160E">
      <w:pPr>
        <w:autoSpaceDE w:val="0"/>
        <w:autoSpaceDN w:val="0"/>
        <w:adjustRightInd w:val="0"/>
        <w:snapToGrid w:val="0"/>
        <w:ind w:right="32" w:firstLine="359"/>
        <w:rPr>
          <w:rFonts w:hint="eastAsia" w:ascii="宋体" w:hAnsi="宋体"/>
          <w:color w:val="auto"/>
          <w:szCs w:val="21"/>
          <w:highlight w:val="none"/>
        </w:rPr>
      </w:pPr>
      <w:r>
        <w:rPr>
          <w:rFonts w:hint="eastAsia" w:ascii="宋体" w:hAnsi="宋体"/>
          <w:color w:val="auto"/>
          <w:szCs w:val="21"/>
          <w:highlight w:val="none"/>
        </w:rPr>
        <w:t>18. 投标文件的数量和签署</w:t>
      </w:r>
    </w:p>
    <w:p w14:paraId="5EEECC15">
      <w:pPr>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kern w:val="0"/>
          <w:szCs w:val="21"/>
          <w:highlight w:val="none"/>
        </w:rPr>
        <w:t>18.1 投标人应编制投标文件一式</w:t>
      </w:r>
      <w:r>
        <w:rPr>
          <w:rFonts w:hint="eastAsia" w:ascii="宋体" w:hAnsi="宋体"/>
          <w:color w:val="auto"/>
          <w:kern w:val="0"/>
          <w:szCs w:val="21"/>
          <w:highlight w:val="none"/>
          <w:u w:val="single"/>
          <w:lang w:val="en-US" w:eastAsia="zh-CN"/>
        </w:rPr>
        <w:t>七</w:t>
      </w:r>
      <w:r>
        <w:rPr>
          <w:rFonts w:hint="eastAsia" w:ascii="宋体" w:hAnsi="宋体"/>
          <w:color w:val="auto"/>
          <w:kern w:val="0"/>
          <w:szCs w:val="21"/>
          <w:highlight w:val="none"/>
        </w:rPr>
        <w:t>份，其中正本一份和副本</w:t>
      </w:r>
      <w:r>
        <w:rPr>
          <w:rFonts w:hint="eastAsia" w:ascii="宋体" w:hAnsi="宋体"/>
          <w:color w:val="auto"/>
          <w:kern w:val="0"/>
          <w:szCs w:val="21"/>
          <w:highlight w:val="none"/>
          <w:u w:val="single"/>
          <w:lang w:val="en-US" w:eastAsia="zh-CN"/>
        </w:rPr>
        <w:t>六</w:t>
      </w:r>
      <w:r>
        <w:rPr>
          <w:rFonts w:hint="eastAsia" w:ascii="宋体" w:hAnsi="宋体"/>
          <w:color w:val="auto"/>
          <w:kern w:val="0"/>
          <w:szCs w:val="21"/>
          <w:highlight w:val="none"/>
        </w:rPr>
        <w:t>份，投标文件的副本可采用正本的复印件。每套投标文件须清楚地标明“正本”、“副本”。若副本与正本不符，以正本为准。</w:t>
      </w:r>
    </w:p>
    <w:p w14:paraId="783C8344">
      <w:pPr>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kern w:val="0"/>
          <w:szCs w:val="21"/>
          <w:highlight w:val="none"/>
        </w:rPr>
        <w:t>18.2 投标文件的正本需打印或用不褪色墨水书写，并由法定代表人或经其正式授权的代表签字。授权代表须出具书面授权证明，法人证明及法人授权证明均应在投标文件中提供（格式参考第五部分附件）。</w:t>
      </w:r>
    </w:p>
    <w:p w14:paraId="068D6119">
      <w:pPr>
        <w:pStyle w:val="17"/>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18.3 投标文件中的任何重要的插字、涂改和增删，必须由法定代表人或经其正式授权的代表在旁边加盖公章或签字才有效。</w:t>
      </w:r>
    </w:p>
    <w:p w14:paraId="1F52CE1D">
      <w:pPr>
        <w:pStyle w:val="17"/>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18.4电子文件，投标人必须随投标文件同时提交一套全部投标文件内容的电子文件（U盘或光盘，无病毒），电子文件必须装于独立的信封，信封上注明“电子文件”。其中所有文件不做压缩处理、不留密码，</w:t>
      </w:r>
      <w:bookmarkStart w:id="6" w:name="_Hlk113261993"/>
      <w:r>
        <w:rPr>
          <w:rFonts w:hint="eastAsia" w:hAnsi="宋体"/>
          <w:color w:val="auto"/>
          <w:kern w:val="0"/>
          <w:highlight w:val="none"/>
        </w:rPr>
        <w:t>应包含投标文件的</w:t>
      </w:r>
      <w:r>
        <w:rPr>
          <w:rFonts w:hint="eastAsia" w:hAnsi="宋体"/>
          <w:b/>
          <w:bCs/>
          <w:color w:val="auto"/>
          <w:kern w:val="0"/>
          <w:highlight w:val="none"/>
        </w:rPr>
        <w:t>WORD格式及签字盖章版P</w:t>
      </w:r>
      <w:r>
        <w:rPr>
          <w:rFonts w:hAnsi="宋体"/>
          <w:b/>
          <w:bCs/>
          <w:color w:val="auto"/>
          <w:kern w:val="0"/>
          <w:highlight w:val="none"/>
        </w:rPr>
        <w:t>DF</w:t>
      </w:r>
      <w:r>
        <w:rPr>
          <w:rFonts w:hint="eastAsia" w:hAnsi="宋体"/>
          <w:b/>
          <w:bCs/>
          <w:color w:val="auto"/>
          <w:kern w:val="0"/>
          <w:highlight w:val="none"/>
        </w:rPr>
        <w:t>格式</w:t>
      </w:r>
      <w:r>
        <w:rPr>
          <w:rFonts w:hint="eastAsia" w:hAnsi="宋体"/>
          <w:color w:val="auto"/>
          <w:kern w:val="0"/>
          <w:highlight w:val="none"/>
        </w:rPr>
        <w:t>。</w:t>
      </w:r>
      <w:bookmarkEnd w:id="6"/>
    </w:p>
    <w:p w14:paraId="47A1D918">
      <w:pPr>
        <w:autoSpaceDE w:val="0"/>
        <w:autoSpaceDN w:val="0"/>
        <w:adjustRightInd w:val="0"/>
        <w:snapToGrid w:val="0"/>
        <w:ind w:right="32" w:firstLine="359"/>
        <w:rPr>
          <w:rFonts w:hint="eastAsia" w:ascii="宋体" w:hAnsi="宋体"/>
          <w:b/>
          <w:color w:val="auto"/>
          <w:szCs w:val="21"/>
          <w:highlight w:val="none"/>
        </w:rPr>
      </w:pPr>
      <w:r>
        <w:rPr>
          <w:rFonts w:hint="eastAsia" w:ascii="宋体" w:hAnsi="宋体"/>
          <w:b/>
          <w:color w:val="auto"/>
          <w:szCs w:val="21"/>
          <w:highlight w:val="none"/>
        </w:rPr>
        <w:t>四、投标文件的递交</w:t>
      </w:r>
    </w:p>
    <w:p w14:paraId="3AF0E243">
      <w:pPr>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kern w:val="0"/>
          <w:szCs w:val="21"/>
          <w:highlight w:val="none"/>
        </w:rPr>
        <w:t>19. 投标文件的密封、标记和递交</w:t>
      </w:r>
    </w:p>
    <w:p w14:paraId="4065F9E4">
      <w:pPr>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kern w:val="0"/>
          <w:szCs w:val="21"/>
          <w:highlight w:val="none"/>
        </w:rPr>
        <w:t>19.1投标人应将《开标一览表》单独密封提交，并在信封上清晰标明“唱标信封”字样。</w:t>
      </w:r>
    </w:p>
    <w:p w14:paraId="7AB714A3">
      <w:pPr>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kern w:val="0"/>
          <w:szCs w:val="21"/>
          <w:highlight w:val="none"/>
        </w:rPr>
        <w:t>19.2投标人应将投标文件正本与所有的副本分别单独密封包装，并在外包装上清晰标明“正本”、“副本”字样。</w:t>
      </w:r>
    </w:p>
    <w:p w14:paraId="058636A2">
      <w:pPr>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kern w:val="0"/>
          <w:szCs w:val="21"/>
          <w:highlight w:val="none"/>
        </w:rPr>
        <w:t>19.3 所有信封外包装上应当注明采购项目名称、项目编号和“在（招标文件中规定的</w:t>
      </w:r>
      <w:r>
        <w:rPr>
          <w:rFonts w:hint="eastAsia" w:ascii="宋体" w:hAnsi="宋体"/>
          <w:iCs/>
          <w:color w:val="auto"/>
          <w:kern w:val="0"/>
          <w:szCs w:val="21"/>
          <w:highlight w:val="none"/>
        </w:rPr>
        <w:t>开标日期和时间）</w:t>
      </w:r>
      <w:r>
        <w:rPr>
          <w:rFonts w:hint="eastAsia" w:ascii="宋体" w:hAnsi="宋体"/>
          <w:color w:val="auto"/>
          <w:kern w:val="0"/>
          <w:szCs w:val="21"/>
          <w:highlight w:val="none"/>
        </w:rPr>
        <w:t>之前不得启封”的字样，</w:t>
      </w:r>
      <w:r>
        <w:rPr>
          <w:rFonts w:hint="eastAsia" w:ascii="宋体" w:hAnsi="宋体"/>
          <w:color w:val="auto"/>
          <w:szCs w:val="21"/>
          <w:highlight w:val="none"/>
        </w:rPr>
        <w:t>封口处应加盖投标人印章或签字</w:t>
      </w:r>
      <w:r>
        <w:rPr>
          <w:rFonts w:hint="eastAsia" w:ascii="宋体" w:hAnsi="宋体"/>
          <w:color w:val="auto"/>
          <w:kern w:val="0"/>
          <w:szCs w:val="21"/>
          <w:highlight w:val="none"/>
        </w:rPr>
        <w:t>。具体格式如下：</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9"/>
      </w:tblGrid>
      <w:tr w14:paraId="2D50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9" w:type="dxa"/>
          </w:tcPr>
          <w:p w14:paraId="34DE8B56">
            <w:pPr>
              <w:pStyle w:val="17"/>
              <w:tabs>
                <w:tab w:val="left" w:pos="0"/>
              </w:tabs>
              <w:ind w:left="2"/>
              <w:jc w:val="center"/>
              <w:rPr>
                <w:rFonts w:hint="eastAsia" w:hAnsi="宋体" w:cs="Times New Roman"/>
                <w:iCs/>
                <w:color w:val="auto"/>
                <w:kern w:val="0"/>
                <w:highlight w:val="none"/>
              </w:rPr>
            </w:pPr>
            <w:r>
              <w:rPr>
                <w:rFonts w:hint="eastAsia" w:hAnsi="宋体" w:cs="Times New Roman"/>
                <w:iCs/>
                <w:color w:val="auto"/>
                <w:kern w:val="0"/>
                <w:highlight w:val="none"/>
              </w:rPr>
              <w:t>投标文件/唱标信封</w:t>
            </w:r>
          </w:p>
          <w:p w14:paraId="459752D3">
            <w:pPr>
              <w:pStyle w:val="17"/>
              <w:tabs>
                <w:tab w:val="left" w:pos="0"/>
              </w:tabs>
              <w:ind w:left="2"/>
              <w:jc w:val="center"/>
              <w:rPr>
                <w:rFonts w:hint="eastAsia" w:hAnsi="宋体" w:cs="Times New Roman"/>
                <w:iCs/>
                <w:color w:val="auto"/>
                <w:kern w:val="0"/>
                <w:highlight w:val="none"/>
              </w:rPr>
            </w:pPr>
            <w:r>
              <w:rPr>
                <w:rFonts w:hAnsi="宋体" w:cs="Times New Roman"/>
                <w:iCs/>
                <w:color w:val="auto"/>
                <w:kern w:val="0"/>
                <w:highlight w:val="none"/>
              </w:rPr>
              <w:t>正本/副本</w:t>
            </w:r>
          </w:p>
          <w:p w14:paraId="41CD9B9A">
            <w:pPr>
              <w:pStyle w:val="17"/>
              <w:tabs>
                <w:tab w:val="left" w:pos="0"/>
              </w:tabs>
              <w:ind w:left="2"/>
              <w:rPr>
                <w:rFonts w:hint="eastAsia" w:hAnsi="宋体" w:cs="Times New Roman"/>
                <w:iCs/>
                <w:color w:val="auto"/>
                <w:kern w:val="0"/>
                <w:highlight w:val="none"/>
              </w:rPr>
            </w:pPr>
            <w:r>
              <w:rPr>
                <w:rFonts w:hint="eastAsia" w:hAnsi="宋体" w:cs="Times New Roman"/>
                <w:iCs/>
                <w:color w:val="auto"/>
                <w:kern w:val="0"/>
                <w:highlight w:val="none"/>
              </w:rPr>
              <w:t>收件人：国义招标股份有限公司</w:t>
            </w:r>
          </w:p>
          <w:p w14:paraId="55E783E8">
            <w:pPr>
              <w:pStyle w:val="17"/>
              <w:tabs>
                <w:tab w:val="left" w:pos="0"/>
              </w:tabs>
              <w:rPr>
                <w:rFonts w:hint="eastAsia" w:hAnsi="宋体" w:eastAsia="宋体" w:cs="Times New Roman"/>
                <w:iCs/>
                <w:color w:val="auto"/>
                <w:kern w:val="0"/>
                <w:highlight w:val="none"/>
                <w:lang w:eastAsia="zh-CN"/>
              </w:rPr>
            </w:pPr>
            <w:r>
              <w:rPr>
                <w:rFonts w:hint="eastAsia" w:hAnsi="宋体" w:cs="Times New Roman"/>
                <w:iCs/>
                <w:color w:val="auto"/>
                <w:kern w:val="0"/>
                <w:highlight w:val="none"/>
              </w:rPr>
              <w:t>项目编号：</w:t>
            </w:r>
            <w:r>
              <w:rPr>
                <w:rFonts w:hint="eastAsia" w:hAnsi="宋体" w:cs="Times New Roman"/>
                <w:iCs/>
                <w:color w:val="auto"/>
                <w:kern w:val="0"/>
                <w:highlight w:val="none"/>
                <w:lang w:eastAsia="zh-CN"/>
              </w:rPr>
              <w:t>0724-2631ZH410610</w:t>
            </w:r>
          </w:p>
          <w:p w14:paraId="4AB9C1FE">
            <w:pPr>
              <w:pStyle w:val="17"/>
              <w:tabs>
                <w:tab w:val="left" w:pos="0"/>
              </w:tabs>
              <w:rPr>
                <w:rFonts w:hint="eastAsia" w:hAnsi="宋体" w:eastAsia="宋体" w:cs="Times New Roman"/>
                <w:iCs/>
                <w:color w:val="auto"/>
                <w:kern w:val="0"/>
                <w:highlight w:val="none"/>
                <w:lang w:eastAsia="zh-CN"/>
              </w:rPr>
            </w:pPr>
            <w:r>
              <w:rPr>
                <w:rFonts w:hint="eastAsia" w:hAnsi="宋体" w:cs="Times New Roman"/>
                <w:iCs/>
                <w:color w:val="auto"/>
                <w:kern w:val="0"/>
                <w:highlight w:val="none"/>
              </w:rPr>
              <w:t>项目名称：国家税务总局珠海市税务局梅华西办公区2026-2027年物业管理服务采购项目</w:t>
            </w:r>
          </w:p>
          <w:p w14:paraId="716AED14">
            <w:pPr>
              <w:pStyle w:val="17"/>
              <w:tabs>
                <w:tab w:val="left" w:pos="0"/>
              </w:tabs>
              <w:rPr>
                <w:rFonts w:hint="eastAsia" w:hAnsi="宋体" w:cs="Times New Roman"/>
                <w:iCs/>
                <w:color w:val="auto"/>
                <w:kern w:val="0"/>
                <w:highlight w:val="none"/>
              </w:rPr>
            </w:pPr>
            <w:r>
              <w:rPr>
                <w:rFonts w:hint="eastAsia" w:hAnsi="宋体" w:cs="Times New Roman"/>
                <w:iCs/>
                <w:color w:val="auto"/>
                <w:kern w:val="0"/>
                <w:highlight w:val="none"/>
              </w:rPr>
              <w:t>投标人名称(加盖公章)：</w:t>
            </w:r>
          </w:p>
          <w:p w14:paraId="6CC8CC1C">
            <w:pPr>
              <w:autoSpaceDE w:val="0"/>
              <w:autoSpaceDN w:val="0"/>
              <w:adjustRightInd w:val="0"/>
              <w:snapToGrid w:val="0"/>
              <w:ind w:right="32"/>
              <w:rPr>
                <w:rFonts w:hint="eastAsia" w:ascii="宋体" w:hAnsi="宋体"/>
                <w:color w:val="auto"/>
                <w:kern w:val="0"/>
                <w:szCs w:val="21"/>
                <w:highlight w:val="none"/>
              </w:rPr>
            </w:pPr>
            <w:r>
              <w:rPr>
                <w:rFonts w:hint="eastAsia" w:ascii="宋体" w:hAnsi="宋体"/>
                <w:color w:val="auto"/>
                <w:kern w:val="0"/>
                <w:szCs w:val="21"/>
                <w:highlight w:val="none"/>
              </w:rPr>
              <w:t>在（招标文件中规定的</w:t>
            </w:r>
            <w:r>
              <w:rPr>
                <w:rFonts w:hint="eastAsia" w:ascii="宋体" w:hAnsi="宋体"/>
                <w:color w:val="auto"/>
                <w:szCs w:val="21"/>
                <w:highlight w:val="none"/>
              </w:rPr>
              <w:t>投标截止时间</w:t>
            </w:r>
            <w:r>
              <w:rPr>
                <w:rFonts w:hint="eastAsia" w:ascii="宋体" w:hAnsi="宋体"/>
                <w:iCs/>
                <w:color w:val="auto"/>
                <w:kern w:val="0"/>
                <w:szCs w:val="21"/>
                <w:highlight w:val="none"/>
              </w:rPr>
              <w:t>）</w:t>
            </w:r>
            <w:r>
              <w:rPr>
                <w:rFonts w:hint="eastAsia" w:ascii="宋体" w:hAnsi="宋体"/>
                <w:color w:val="auto"/>
                <w:kern w:val="0"/>
                <w:szCs w:val="21"/>
                <w:highlight w:val="none"/>
              </w:rPr>
              <w:t>之前不得启封</w:t>
            </w:r>
          </w:p>
        </w:tc>
      </w:tr>
    </w:tbl>
    <w:p w14:paraId="39CFA39F">
      <w:pPr>
        <w:pStyle w:val="17"/>
        <w:adjustRightInd w:val="0"/>
        <w:snapToGrid w:val="0"/>
        <w:ind w:right="32" w:firstLine="359"/>
        <w:rPr>
          <w:rFonts w:hint="eastAsia" w:hAnsi="宋体" w:cs="Times New Roman"/>
          <w:color w:val="auto"/>
          <w:kern w:val="0"/>
          <w:highlight w:val="none"/>
        </w:rPr>
      </w:pPr>
      <w:r>
        <w:rPr>
          <w:rFonts w:hint="eastAsia" w:hAnsi="宋体" w:cs="Times New Roman"/>
          <w:color w:val="auto"/>
          <w:kern w:val="0"/>
          <w:highlight w:val="none"/>
        </w:rPr>
        <w:t>19.4如果未按要求密封和标记，</w:t>
      </w:r>
      <w:r>
        <w:rPr>
          <w:rFonts w:hint="eastAsia" w:hAnsi="宋体" w:cs="Times New Roman"/>
          <w:color w:val="auto"/>
          <w:highlight w:val="none"/>
        </w:rPr>
        <w:t>招标采购单位</w:t>
      </w:r>
      <w:r>
        <w:rPr>
          <w:rFonts w:hint="eastAsia" w:hAnsi="宋体" w:cs="Times New Roman"/>
          <w:color w:val="auto"/>
          <w:kern w:val="0"/>
          <w:highlight w:val="none"/>
        </w:rPr>
        <w:t>对误投或提前启封概不负责。</w:t>
      </w:r>
    </w:p>
    <w:p w14:paraId="6D86D3AF">
      <w:pPr>
        <w:pStyle w:val="17"/>
        <w:adjustRightInd w:val="0"/>
        <w:snapToGrid w:val="0"/>
        <w:ind w:right="32" w:firstLine="359"/>
        <w:rPr>
          <w:rFonts w:hint="eastAsia" w:hAnsi="宋体" w:cs="Times New Roman"/>
          <w:color w:val="auto"/>
          <w:highlight w:val="none"/>
        </w:rPr>
      </w:pPr>
      <w:r>
        <w:rPr>
          <w:rFonts w:hint="eastAsia" w:hAnsi="宋体"/>
          <w:color w:val="auto"/>
          <w:kern w:val="0"/>
          <w:highlight w:val="none"/>
        </w:rPr>
        <w:t>19.5招标采购单位在《投标邀请函》中规定的地点和投标截止时间之前接收投标文件，超过截止时间后的投标为无效投标</w:t>
      </w:r>
      <w:r>
        <w:rPr>
          <w:rFonts w:hint="eastAsia" w:hAnsi="宋体" w:cs="Times New Roman"/>
          <w:color w:val="auto"/>
          <w:kern w:val="0"/>
          <w:highlight w:val="none"/>
        </w:rPr>
        <w:t>，</w:t>
      </w:r>
      <w:r>
        <w:rPr>
          <w:rFonts w:hint="eastAsia" w:hAnsi="宋体" w:cs="Times New Roman"/>
          <w:color w:val="auto"/>
          <w:highlight w:val="none"/>
        </w:rPr>
        <w:t>招标采购单位</w:t>
      </w:r>
      <w:r>
        <w:rPr>
          <w:rFonts w:hint="eastAsia" w:hAnsi="宋体" w:cs="Times New Roman"/>
          <w:color w:val="auto"/>
          <w:kern w:val="0"/>
          <w:highlight w:val="none"/>
        </w:rPr>
        <w:t>将拒绝接收</w:t>
      </w:r>
      <w:r>
        <w:rPr>
          <w:rFonts w:hint="eastAsia" w:hAnsi="宋体"/>
          <w:color w:val="auto"/>
          <w:kern w:val="0"/>
          <w:highlight w:val="none"/>
        </w:rPr>
        <w:t>。</w:t>
      </w:r>
    </w:p>
    <w:p w14:paraId="0531AD1A">
      <w:pPr>
        <w:pStyle w:val="17"/>
        <w:adjustRightInd w:val="0"/>
        <w:snapToGrid w:val="0"/>
        <w:ind w:right="32" w:firstLine="359"/>
        <w:rPr>
          <w:rFonts w:hint="eastAsia" w:hAnsi="宋体" w:cs="Times New Roman"/>
          <w:color w:val="auto"/>
          <w:highlight w:val="none"/>
        </w:rPr>
      </w:pPr>
      <w:r>
        <w:rPr>
          <w:rFonts w:hint="eastAsia" w:hAnsi="宋体" w:cs="Times New Roman"/>
          <w:color w:val="auto"/>
          <w:highlight w:val="none"/>
        </w:rPr>
        <w:t>20. 投标文件的修改和撤回</w:t>
      </w:r>
    </w:p>
    <w:p w14:paraId="7926D698">
      <w:pPr>
        <w:ind w:firstLine="359"/>
        <w:rPr>
          <w:rFonts w:hint="eastAsia" w:ascii="宋体" w:hAnsi="宋体"/>
          <w:color w:val="auto"/>
          <w:kern w:val="0"/>
          <w:szCs w:val="21"/>
          <w:highlight w:val="none"/>
        </w:rPr>
      </w:pPr>
      <w:r>
        <w:rPr>
          <w:rFonts w:hint="eastAsia" w:ascii="宋体" w:hAnsi="宋体"/>
          <w:color w:val="auto"/>
          <w:kern w:val="0"/>
          <w:szCs w:val="21"/>
          <w:highlight w:val="none"/>
        </w:rPr>
        <w:t>20.1</w:t>
      </w:r>
      <w:r>
        <w:rPr>
          <w:rFonts w:hint="eastAsia" w:ascii="宋体" w:hAnsi="宋体"/>
          <w:color w:val="auto"/>
          <w:szCs w:val="21"/>
          <w:highlight w:val="none"/>
        </w:rPr>
        <w:t>投标人在投标截止时间前，可以对所递交的投标文件进行补充、修改或者撤回，并书面通知招标采购单位。补充、修改的内容应当按招标文件要求签署、盖章，并作为投标文件的组成部分。</w:t>
      </w:r>
      <w:r>
        <w:rPr>
          <w:rFonts w:hint="eastAsia" w:ascii="宋体" w:hAnsi="宋体"/>
          <w:color w:val="auto"/>
          <w:kern w:val="0"/>
          <w:szCs w:val="21"/>
          <w:highlight w:val="none"/>
        </w:rPr>
        <w:t>在</w:t>
      </w:r>
      <w:r>
        <w:rPr>
          <w:rFonts w:hint="eastAsia" w:ascii="宋体" w:hAnsi="宋体"/>
          <w:color w:val="auto"/>
          <w:szCs w:val="21"/>
          <w:highlight w:val="none"/>
        </w:rPr>
        <w:t>投标截止时间</w:t>
      </w:r>
      <w:r>
        <w:rPr>
          <w:rFonts w:hint="eastAsia" w:ascii="宋体" w:hAnsi="宋体"/>
          <w:color w:val="auto"/>
          <w:kern w:val="0"/>
          <w:szCs w:val="21"/>
          <w:highlight w:val="none"/>
        </w:rPr>
        <w:t>之后，投标人不得对其投标文件做任何修改和补充。</w:t>
      </w:r>
    </w:p>
    <w:p w14:paraId="2DFA30C7">
      <w:pPr>
        <w:autoSpaceDE w:val="0"/>
        <w:autoSpaceDN w:val="0"/>
        <w:adjustRightInd w:val="0"/>
        <w:snapToGrid w:val="0"/>
        <w:spacing w:before="3"/>
        <w:ind w:right="32" w:firstLine="359"/>
        <w:rPr>
          <w:rFonts w:hint="eastAsia" w:ascii="宋体" w:hAnsi="宋体"/>
          <w:color w:val="auto"/>
          <w:szCs w:val="21"/>
          <w:highlight w:val="none"/>
        </w:rPr>
      </w:pPr>
      <w:r>
        <w:rPr>
          <w:rFonts w:hint="eastAsia" w:ascii="宋体" w:hAnsi="宋体"/>
          <w:color w:val="auto"/>
          <w:kern w:val="0"/>
          <w:szCs w:val="21"/>
          <w:highlight w:val="none"/>
        </w:rPr>
        <w:t>20.2 投标人在递交投标文件后，可以撤回其投标，但投标人必须在规定的投标截止时间前以书面形式告知</w:t>
      </w:r>
      <w:r>
        <w:rPr>
          <w:rFonts w:hint="eastAsia" w:ascii="宋体" w:hAnsi="宋体"/>
          <w:color w:val="auto"/>
          <w:szCs w:val="21"/>
          <w:highlight w:val="none"/>
        </w:rPr>
        <w:t>招标采购单位</w:t>
      </w:r>
      <w:r>
        <w:rPr>
          <w:rFonts w:hint="eastAsia" w:ascii="宋体" w:hAnsi="宋体"/>
          <w:color w:val="auto"/>
          <w:kern w:val="0"/>
          <w:szCs w:val="21"/>
          <w:highlight w:val="none"/>
        </w:rPr>
        <w:t>。</w:t>
      </w:r>
      <w:r>
        <w:rPr>
          <w:rFonts w:hint="eastAsia" w:ascii="宋体" w:hAnsi="宋体"/>
          <w:color w:val="auto"/>
          <w:szCs w:val="21"/>
          <w:highlight w:val="none"/>
        </w:rPr>
        <w:t>从投标截止时间至投标有效期结束的这段时间内，投标人不得撤销其投标。</w:t>
      </w:r>
    </w:p>
    <w:p w14:paraId="079CA05F">
      <w:pPr>
        <w:pStyle w:val="17"/>
        <w:adjustRightInd w:val="0"/>
        <w:snapToGrid w:val="0"/>
        <w:ind w:right="32" w:firstLine="359"/>
        <w:rPr>
          <w:rFonts w:hint="eastAsia" w:hAnsi="宋体" w:cs="Times New Roman"/>
          <w:color w:val="auto"/>
          <w:highlight w:val="none"/>
        </w:rPr>
      </w:pPr>
      <w:r>
        <w:rPr>
          <w:rFonts w:hint="eastAsia" w:hAnsi="宋体" w:cs="Times New Roman"/>
          <w:color w:val="auto"/>
          <w:highlight w:val="none"/>
        </w:rPr>
        <w:t>20.3 投标人所提交的投标文件在评标结束后，无论中标与否都不退还。</w:t>
      </w:r>
    </w:p>
    <w:p w14:paraId="2CEA8897">
      <w:pPr>
        <w:pStyle w:val="17"/>
        <w:adjustRightInd w:val="0"/>
        <w:snapToGrid w:val="0"/>
        <w:ind w:firstLine="420" w:firstLineChars="200"/>
        <w:rPr>
          <w:rFonts w:hint="eastAsia" w:hAnsi="宋体" w:cs="Times New Roman"/>
          <w:color w:val="auto"/>
          <w:kern w:val="0"/>
          <w:highlight w:val="none"/>
        </w:rPr>
      </w:pPr>
      <w:r>
        <w:rPr>
          <w:rFonts w:hAnsi="宋体" w:cs="Times New Roman"/>
          <w:color w:val="auto"/>
          <w:highlight w:val="none"/>
        </w:rPr>
        <w:t>20.4投标人</w:t>
      </w:r>
      <w:r>
        <w:rPr>
          <w:rFonts w:hAnsi="宋体" w:cs="Times New Roman"/>
          <w:color w:val="auto"/>
          <w:kern w:val="0"/>
          <w:highlight w:val="none"/>
        </w:rPr>
        <w:t>有下列情形之一的，</w:t>
      </w:r>
      <w:r>
        <w:rPr>
          <w:rFonts w:hint="eastAsia" w:hAnsi="宋体" w:cs="Times New Roman"/>
          <w:color w:val="auto"/>
          <w:kern w:val="0"/>
          <w:highlight w:val="none"/>
        </w:rPr>
        <w:t>视</w:t>
      </w:r>
      <w:r>
        <w:rPr>
          <w:rFonts w:hAnsi="宋体" w:cs="Times New Roman"/>
          <w:color w:val="auto"/>
          <w:kern w:val="0"/>
          <w:highlight w:val="none"/>
        </w:rPr>
        <w:t>为投标人串通投标，其投标无效：</w:t>
      </w:r>
    </w:p>
    <w:p w14:paraId="40AA9672">
      <w:pPr>
        <w:pStyle w:val="17"/>
        <w:adjustRightInd w:val="0"/>
        <w:snapToGrid w:val="0"/>
        <w:rPr>
          <w:rFonts w:hint="eastAsia" w:hAnsi="宋体" w:cs="Times New Roman"/>
          <w:color w:val="auto"/>
          <w:kern w:val="0"/>
          <w:highlight w:val="none"/>
        </w:rPr>
      </w:pPr>
      <w:r>
        <w:rPr>
          <w:rFonts w:hAnsi="宋体" w:cs="Times New Roman"/>
          <w:color w:val="auto"/>
          <w:kern w:val="0"/>
          <w:highlight w:val="none"/>
        </w:rPr>
        <w:t>　　（一）不同投标人的投标文件由同一单位或者个人编制；</w:t>
      </w:r>
    </w:p>
    <w:p w14:paraId="5C7CDF6D">
      <w:pPr>
        <w:pStyle w:val="17"/>
        <w:adjustRightInd w:val="0"/>
        <w:snapToGrid w:val="0"/>
        <w:rPr>
          <w:rFonts w:hint="eastAsia" w:hAnsi="宋体" w:cs="Times New Roman"/>
          <w:color w:val="auto"/>
          <w:kern w:val="0"/>
          <w:highlight w:val="none"/>
        </w:rPr>
      </w:pPr>
      <w:r>
        <w:rPr>
          <w:rFonts w:hAnsi="宋体" w:cs="Times New Roman"/>
          <w:color w:val="auto"/>
          <w:kern w:val="0"/>
          <w:highlight w:val="none"/>
        </w:rPr>
        <w:t>　　（二）不同投标人委托同一单位或者个人办理投标事宜；</w:t>
      </w:r>
    </w:p>
    <w:p w14:paraId="252E222E">
      <w:pPr>
        <w:pStyle w:val="17"/>
        <w:adjustRightInd w:val="0"/>
        <w:snapToGrid w:val="0"/>
        <w:rPr>
          <w:rFonts w:hint="eastAsia" w:hAnsi="宋体" w:cs="Times New Roman"/>
          <w:color w:val="auto"/>
          <w:kern w:val="0"/>
          <w:highlight w:val="none"/>
        </w:rPr>
      </w:pPr>
      <w:r>
        <w:rPr>
          <w:rFonts w:hAnsi="宋体" w:cs="Times New Roman"/>
          <w:color w:val="auto"/>
          <w:kern w:val="0"/>
          <w:highlight w:val="none"/>
        </w:rPr>
        <w:t>　　（三）不同投标人的投标文件载明的项目管理成员或者联系人员为同一人；</w:t>
      </w:r>
    </w:p>
    <w:p w14:paraId="169B1740">
      <w:pPr>
        <w:pStyle w:val="17"/>
        <w:adjustRightInd w:val="0"/>
        <w:snapToGrid w:val="0"/>
        <w:rPr>
          <w:rFonts w:hint="eastAsia" w:hAnsi="宋体" w:cs="Times New Roman"/>
          <w:color w:val="auto"/>
          <w:kern w:val="0"/>
          <w:highlight w:val="none"/>
        </w:rPr>
      </w:pPr>
      <w:r>
        <w:rPr>
          <w:rFonts w:hAnsi="宋体" w:cs="Times New Roman"/>
          <w:color w:val="auto"/>
          <w:kern w:val="0"/>
          <w:highlight w:val="none"/>
        </w:rPr>
        <w:t>　　（四）不同投标人的投标文件异常一致或者投标报价呈规律性差异；</w:t>
      </w:r>
    </w:p>
    <w:p w14:paraId="183D7020">
      <w:pPr>
        <w:pStyle w:val="17"/>
        <w:adjustRightInd w:val="0"/>
        <w:snapToGrid w:val="0"/>
        <w:rPr>
          <w:rFonts w:hint="eastAsia" w:hAnsi="宋体" w:cs="Times New Roman"/>
          <w:color w:val="auto"/>
          <w:kern w:val="0"/>
          <w:highlight w:val="none"/>
        </w:rPr>
      </w:pPr>
      <w:r>
        <w:rPr>
          <w:rFonts w:hAnsi="宋体" w:cs="Times New Roman"/>
          <w:color w:val="auto"/>
          <w:kern w:val="0"/>
          <w:highlight w:val="none"/>
        </w:rPr>
        <w:t>　　（五）不同投标人的投标文件相互混装；</w:t>
      </w:r>
    </w:p>
    <w:p w14:paraId="671FCEEB">
      <w:pPr>
        <w:pStyle w:val="17"/>
        <w:adjustRightInd w:val="0"/>
        <w:snapToGrid w:val="0"/>
        <w:rPr>
          <w:rFonts w:hint="eastAsia" w:hAnsi="宋体" w:cs="Times New Roman"/>
          <w:color w:val="auto"/>
          <w:kern w:val="0"/>
          <w:highlight w:val="none"/>
        </w:rPr>
      </w:pPr>
      <w:r>
        <w:rPr>
          <w:rFonts w:hAnsi="宋体" w:cs="Times New Roman"/>
          <w:color w:val="auto"/>
          <w:kern w:val="0"/>
          <w:highlight w:val="none"/>
        </w:rPr>
        <w:t>　　（六）不同投标人的投标保证金从同一单位或者个人的账户转出。</w:t>
      </w:r>
    </w:p>
    <w:p w14:paraId="1D706237">
      <w:pPr>
        <w:pStyle w:val="17"/>
        <w:adjustRightInd w:val="0"/>
        <w:snapToGrid w:val="0"/>
        <w:ind w:right="32" w:firstLine="359"/>
        <w:rPr>
          <w:rFonts w:hint="eastAsia" w:hAnsi="宋体" w:cs="Times New Roman"/>
          <w:color w:val="auto"/>
          <w:highlight w:val="none"/>
        </w:rPr>
      </w:pPr>
    </w:p>
    <w:p w14:paraId="24B25004">
      <w:pPr>
        <w:pStyle w:val="17"/>
        <w:adjustRightInd w:val="0"/>
        <w:snapToGrid w:val="0"/>
        <w:ind w:firstLine="359"/>
        <w:rPr>
          <w:rFonts w:hint="eastAsia" w:hAnsi="宋体" w:cs="Times New Roman"/>
          <w:b/>
          <w:color w:val="auto"/>
          <w:highlight w:val="none"/>
        </w:rPr>
      </w:pPr>
      <w:r>
        <w:rPr>
          <w:rFonts w:hint="eastAsia" w:hAnsi="宋体" w:cs="Times New Roman"/>
          <w:b/>
          <w:color w:val="auto"/>
          <w:highlight w:val="none"/>
        </w:rPr>
        <w:t>五、开标、资格审查、评标与授标</w:t>
      </w:r>
    </w:p>
    <w:p w14:paraId="400C97D3">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21. 开标</w:t>
      </w:r>
    </w:p>
    <w:p w14:paraId="2B6BA222">
      <w:pPr>
        <w:tabs>
          <w:tab w:val="left" w:pos="840"/>
        </w:tabs>
        <w:adjustRightInd w:val="0"/>
        <w:snapToGrid w:val="0"/>
        <w:ind w:firstLine="359"/>
        <w:rPr>
          <w:rFonts w:hint="eastAsia" w:ascii="宋体" w:hAnsi="宋体"/>
          <w:color w:val="auto"/>
          <w:szCs w:val="21"/>
          <w:highlight w:val="none"/>
        </w:rPr>
      </w:pPr>
      <w:r>
        <w:rPr>
          <w:rFonts w:hint="eastAsia" w:ascii="宋体" w:hAnsi="宋体"/>
          <w:color w:val="auto"/>
          <w:szCs w:val="21"/>
          <w:highlight w:val="none"/>
        </w:rPr>
        <w:t>21.1 招标采购单位在《投标邀请函》中规定的日期、时间和地点组织公开开标。开标时原则上应当有采购人代表和投标人代表参加。参加开标的代表应签到以证明其出席。</w:t>
      </w:r>
    </w:p>
    <w:p w14:paraId="1A608EBE">
      <w:pPr>
        <w:tabs>
          <w:tab w:val="left" w:pos="840"/>
        </w:tabs>
        <w:adjustRightInd w:val="0"/>
        <w:snapToGrid w:val="0"/>
        <w:ind w:firstLine="359"/>
        <w:rPr>
          <w:rFonts w:hint="eastAsia" w:ascii="宋体" w:hAnsi="宋体"/>
          <w:color w:val="auto"/>
          <w:szCs w:val="21"/>
          <w:highlight w:val="none"/>
        </w:rPr>
      </w:pPr>
      <w:r>
        <w:rPr>
          <w:rFonts w:hint="eastAsia" w:ascii="宋体" w:hAnsi="宋体"/>
          <w:color w:val="auto"/>
          <w:szCs w:val="21"/>
          <w:highlight w:val="none"/>
        </w:rPr>
        <w:t>投标人不足3家的，不得开标。</w:t>
      </w:r>
    </w:p>
    <w:p w14:paraId="78C15325">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21.2开标时，由投标人或其推选的代表检查投标文件的密封情况，经确认无误后由招标工作人员当众拆封，宣读投标人名称、投标价格、价格折扣、投标文件的其他主要内容和招标文件允许提供的备选投标方案。</w:t>
      </w:r>
    </w:p>
    <w:p w14:paraId="00CE7F18">
      <w:pPr>
        <w:pStyle w:val="17"/>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 xml:space="preserve">21.3 </w:t>
      </w:r>
      <w:r>
        <w:rPr>
          <w:rFonts w:hint="eastAsia" w:hAnsi="宋体" w:cs="Times New Roman"/>
          <w:color w:val="auto"/>
          <w:highlight w:val="none"/>
        </w:rPr>
        <w:t>采购代理机构</w:t>
      </w:r>
      <w:r>
        <w:rPr>
          <w:rFonts w:hint="eastAsia" w:hAnsi="宋体" w:cs="Times New Roman"/>
          <w:color w:val="auto"/>
          <w:kern w:val="0"/>
          <w:highlight w:val="none"/>
        </w:rPr>
        <w:t>做好开标记录，开标记录由</w:t>
      </w:r>
      <w:r>
        <w:rPr>
          <w:rFonts w:hint="eastAsia" w:hAnsi="宋体" w:cs="Times New Roman"/>
          <w:color w:val="auto"/>
          <w:highlight w:val="none"/>
        </w:rPr>
        <w:t>各投标人签字确认</w:t>
      </w:r>
      <w:r>
        <w:rPr>
          <w:rFonts w:hint="eastAsia" w:hAnsi="宋体" w:cs="Times New Roman"/>
          <w:color w:val="auto"/>
          <w:kern w:val="0"/>
          <w:highlight w:val="none"/>
        </w:rPr>
        <w:t>。</w:t>
      </w:r>
    </w:p>
    <w:p w14:paraId="7193E2BC">
      <w:pPr>
        <w:pStyle w:val="17"/>
        <w:adjustRightInd w:val="0"/>
        <w:snapToGrid w:val="0"/>
        <w:ind w:firstLine="359"/>
        <w:rPr>
          <w:rFonts w:hint="eastAsia" w:hAnsi="宋体" w:cs="Times New Roman"/>
          <w:color w:val="auto"/>
          <w:highlight w:val="none"/>
        </w:rPr>
      </w:pPr>
      <w:r>
        <w:rPr>
          <w:rFonts w:hint="eastAsia" w:hAnsi="宋体" w:cs="Times New Roman"/>
          <w:color w:val="auto"/>
          <w:kern w:val="0"/>
          <w:highlight w:val="none"/>
        </w:rPr>
        <w:t>21.4</w:t>
      </w:r>
      <w:r>
        <w:rPr>
          <w:rFonts w:hint="eastAsia" w:hAnsi="宋体" w:cs="Times New Roman"/>
          <w:color w:val="auto"/>
          <w:highlight w:val="none"/>
        </w:rPr>
        <w:t>开标一览表内容与投标文件中投标明细报价表内容不一致的，以开标一览表为准。</w:t>
      </w:r>
    </w:p>
    <w:p w14:paraId="76BBAFBC">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22投标人的资格审查：</w:t>
      </w:r>
    </w:p>
    <w:p w14:paraId="6918E082">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22.1投标人应按照招标文件要求提交资格文件，采购人及采购代理机构将依法对投标人的资格进行审查，资格审查不通过的投标为无效投标。具体审查内容详见《资格</w:t>
      </w:r>
      <w:r>
        <w:rPr>
          <w:rFonts w:hAnsi="宋体" w:cs="Times New Roman"/>
          <w:color w:val="auto"/>
          <w:highlight w:val="none"/>
        </w:rPr>
        <w:t>审</w:t>
      </w:r>
      <w:r>
        <w:rPr>
          <w:rFonts w:hint="eastAsia" w:hAnsi="宋体" w:cs="Times New Roman"/>
          <w:color w:val="auto"/>
          <w:highlight w:val="none"/>
        </w:rPr>
        <w:t>查表》。</w:t>
      </w:r>
    </w:p>
    <w:p w14:paraId="7BFB088F">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23. 评标委员会的组成和评标方法</w:t>
      </w:r>
    </w:p>
    <w:p w14:paraId="59D12301">
      <w:pPr>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szCs w:val="21"/>
          <w:highlight w:val="none"/>
        </w:rPr>
        <w:t xml:space="preserve">23.1 </w:t>
      </w:r>
      <w:r>
        <w:rPr>
          <w:rFonts w:hint="eastAsia" w:ascii="宋体" w:hAnsi="宋体"/>
          <w:color w:val="auto"/>
          <w:kern w:val="0"/>
          <w:szCs w:val="21"/>
          <w:highlight w:val="none"/>
        </w:rPr>
        <w:t>评标由</w:t>
      </w:r>
      <w:r>
        <w:rPr>
          <w:rFonts w:hint="eastAsia" w:ascii="宋体" w:hAnsi="宋体"/>
          <w:color w:val="auto"/>
          <w:szCs w:val="21"/>
          <w:highlight w:val="none"/>
        </w:rPr>
        <w:t>采购代理机构</w:t>
      </w:r>
      <w:r>
        <w:rPr>
          <w:rFonts w:hint="eastAsia" w:ascii="宋体" w:hAnsi="宋体"/>
          <w:color w:val="auto"/>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省级以上财政部门设立的政府采购评审专家库中随机抽取。</w:t>
      </w:r>
    </w:p>
    <w:p w14:paraId="47CBA8EA">
      <w:pPr>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kern w:val="0"/>
          <w:szCs w:val="21"/>
          <w:highlight w:val="none"/>
        </w:rPr>
        <w:t>23.2 评标委员会将按照招标文件确定的评标方法进行评标。</w:t>
      </w:r>
    </w:p>
    <w:p w14:paraId="74FE6617">
      <w:pPr>
        <w:pStyle w:val="17"/>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23.3 本次评标采用综合评分法方法，具体见本部分“十 评标方法、步骤及标准”。</w:t>
      </w:r>
    </w:p>
    <w:p w14:paraId="5C10A704">
      <w:pPr>
        <w:pStyle w:val="17"/>
        <w:adjustRightInd w:val="0"/>
        <w:snapToGrid w:val="0"/>
        <w:ind w:firstLine="359"/>
        <w:rPr>
          <w:rFonts w:hint="eastAsia" w:hAnsi="宋体" w:cs="Times New Roman"/>
          <w:color w:val="auto"/>
          <w:kern w:val="0"/>
          <w:highlight w:val="none"/>
        </w:rPr>
      </w:pPr>
      <w:r>
        <w:rPr>
          <w:rFonts w:hint="eastAsia" w:hAnsi="宋体" w:cs="Times New Roman"/>
          <w:color w:val="auto"/>
          <w:kern w:val="0"/>
          <w:highlight w:val="none"/>
        </w:rPr>
        <w:t>24</w:t>
      </w:r>
      <w:r>
        <w:rPr>
          <w:rFonts w:hint="eastAsia" w:hAnsi="宋体" w:cs="Times New Roman"/>
          <w:color w:val="auto"/>
          <w:highlight w:val="none"/>
        </w:rPr>
        <w:t>投标文件的符合性审</w:t>
      </w:r>
      <w:r>
        <w:rPr>
          <w:rFonts w:hint="eastAsia" w:hAnsi="宋体" w:cs="Times New Roman"/>
          <w:color w:val="auto"/>
          <w:kern w:val="0"/>
          <w:highlight w:val="none"/>
        </w:rPr>
        <w:t>查</w:t>
      </w:r>
      <w:r>
        <w:rPr>
          <w:rFonts w:hint="eastAsia" w:ascii="宋体" w:hAnsi="宋体" w:eastAsia="宋体" w:cs="宋体"/>
          <w:color w:val="auto"/>
          <w:sz w:val="21"/>
          <w:highlight w:val="none"/>
          <w:lang w:eastAsia="zh-CN"/>
        </w:rPr>
        <w:t>和异常低价审查</w:t>
      </w:r>
    </w:p>
    <w:p w14:paraId="395B6D56">
      <w:pPr>
        <w:pStyle w:val="17"/>
        <w:adjustRightInd w:val="0"/>
        <w:snapToGrid w:val="0"/>
        <w:ind w:firstLine="359"/>
        <w:rPr>
          <w:rFonts w:hint="eastAsia" w:hAnsi="宋体"/>
          <w:color w:val="auto"/>
          <w:kern w:val="0"/>
          <w:highlight w:val="none"/>
        </w:rPr>
      </w:pPr>
      <w:r>
        <w:rPr>
          <w:rFonts w:hint="eastAsia" w:hAnsi="宋体" w:cs="Times New Roman"/>
          <w:color w:val="auto"/>
          <w:kern w:val="0"/>
          <w:highlight w:val="none"/>
        </w:rPr>
        <w:t>24.1评标委员会将依法审查符合资格投标人的投标文件是否实质上响应了招标文件要求。具体审查内容详见</w:t>
      </w:r>
      <w:r>
        <w:rPr>
          <w:rFonts w:hint="eastAsia" w:hAnsi="宋体"/>
          <w:color w:val="auto"/>
          <w:highlight w:val="none"/>
        </w:rPr>
        <w:t>《符合性审查表》</w:t>
      </w:r>
      <w:r>
        <w:rPr>
          <w:rFonts w:hint="eastAsia" w:hAnsi="宋体" w:cs="Times New Roman"/>
          <w:color w:val="auto"/>
          <w:kern w:val="0"/>
          <w:highlight w:val="none"/>
        </w:rPr>
        <w:t>。</w:t>
      </w:r>
      <w:r>
        <w:rPr>
          <w:rFonts w:hint="eastAsia" w:hAnsi="宋体"/>
          <w:color w:val="auto"/>
          <w:kern w:val="0"/>
          <w:highlight w:val="none"/>
        </w:rPr>
        <w:t>只有实质性响应的投标文件才能进行后续的比较与评价，否则将作无效投标处理。投标人不得通过修正或撤销不合要求的偏离从而使其投标文件成为实质上响应的投标。</w:t>
      </w:r>
    </w:p>
    <w:p w14:paraId="5A615362">
      <w:pPr>
        <w:pStyle w:val="17"/>
        <w:adjustRightInd w:val="0"/>
        <w:snapToGrid w:val="0"/>
        <w:ind w:firstLine="359"/>
        <w:rPr>
          <w:rFonts w:hint="eastAsia" w:hAnsi="宋体" w:cs="Times New Roman"/>
          <w:color w:val="auto"/>
          <w:kern w:val="0"/>
          <w:highlight w:val="none"/>
        </w:rPr>
      </w:pPr>
      <w:r>
        <w:rPr>
          <w:rFonts w:hint="eastAsia" w:hAnsi="宋体"/>
          <w:color w:val="auto"/>
          <w:kern w:val="0"/>
          <w:highlight w:val="none"/>
        </w:rPr>
        <w:t>24.2 评标委员会决定投标文件的响应程度只依据投标文件本身的真实无误的内容，而不依据外部的证据。但投标文件有不真实、不正确内容的除外。</w:t>
      </w:r>
    </w:p>
    <w:p w14:paraId="06D52E67">
      <w:pPr>
        <w:pStyle w:val="17"/>
        <w:adjustRightInd w:val="0"/>
        <w:snapToGrid w:val="0"/>
        <w:ind w:firstLine="359"/>
        <w:rPr>
          <w:rFonts w:hint="eastAsia" w:hAnsi="宋体" w:cs="Times New Roman"/>
          <w:color w:val="auto"/>
          <w:kern w:val="0"/>
          <w:highlight w:val="none"/>
          <w:u w:val="single"/>
        </w:rPr>
      </w:pPr>
      <w:r>
        <w:rPr>
          <w:rFonts w:hint="eastAsia" w:hAnsi="宋体" w:cs="Times New Roman"/>
          <w:color w:val="auto"/>
          <w:kern w:val="0"/>
          <w:highlight w:val="none"/>
        </w:rPr>
        <w:t>24.3评标委员会对投标文件中的</w:t>
      </w:r>
      <w:r>
        <w:rPr>
          <w:rFonts w:hAnsi="宋体"/>
          <w:color w:val="auto"/>
          <w:kern w:val="0"/>
          <w:highlight w:val="none"/>
        </w:rPr>
        <w:t>报价出现前后不一致的，按照下列规定修正：</w:t>
      </w:r>
    </w:p>
    <w:p w14:paraId="325A34D6">
      <w:pPr>
        <w:pStyle w:val="17"/>
        <w:adjustRightInd w:val="0"/>
        <w:snapToGrid w:val="0"/>
        <w:ind w:firstLine="105" w:firstLineChars="50"/>
        <w:rPr>
          <w:rFonts w:hint="eastAsia" w:hAnsi="宋体"/>
          <w:color w:val="auto"/>
          <w:kern w:val="0"/>
          <w:highlight w:val="none"/>
        </w:rPr>
      </w:pPr>
      <w:r>
        <w:rPr>
          <w:rFonts w:hAnsi="宋体"/>
          <w:color w:val="auto"/>
          <w:kern w:val="0"/>
          <w:highlight w:val="none"/>
        </w:rPr>
        <w:t>（一）投标文件中开标一览表（报价表）内容与投标文件中相应内容不一致的，以开标一览表（报价表）为准；</w:t>
      </w:r>
    </w:p>
    <w:p w14:paraId="5046338D">
      <w:pPr>
        <w:pStyle w:val="17"/>
        <w:adjustRightInd w:val="0"/>
        <w:snapToGrid w:val="0"/>
        <w:ind w:firstLine="105" w:firstLineChars="50"/>
        <w:rPr>
          <w:rFonts w:hint="eastAsia" w:hAnsi="宋体"/>
          <w:color w:val="auto"/>
          <w:kern w:val="0"/>
          <w:highlight w:val="none"/>
        </w:rPr>
      </w:pPr>
      <w:r>
        <w:rPr>
          <w:rFonts w:hAnsi="宋体"/>
          <w:color w:val="auto"/>
          <w:kern w:val="0"/>
          <w:highlight w:val="none"/>
        </w:rPr>
        <w:t>（二）大写金额和小写金额不一致的，以大写金额为准；</w:t>
      </w:r>
    </w:p>
    <w:p w14:paraId="0099192E">
      <w:pPr>
        <w:pStyle w:val="17"/>
        <w:adjustRightInd w:val="0"/>
        <w:snapToGrid w:val="0"/>
        <w:ind w:firstLine="105" w:firstLineChars="50"/>
        <w:rPr>
          <w:rFonts w:hint="eastAsia" w:hAnsi="宋体"/>
          <w:color w:val="auto"/>
          <w:kern w:val="0"/>
          <w:highlight w:val="none"/>
        </w:rPr>
      </w:pPr>
      <w:r>
        <w:rPr>
          <w:rFonts w:hAnsi="宋体"/>
          <w:color w:val="auto"/>
          <w:kern w:val="0"/>
          <w:highlight w:val="none"/>
        </w:rPr>
        <w:t>（三）单价金额小数点或者百分比有明显错位的，以开标一览表的总价为准，并修改单价；</w:t>
      </w:r>
    </w:p>
    <w:p w14:paraId="76C2FCF4">
      <w:pPr>
        <w:pStyle w:val="17"/>
        <w:adjustRightInd w:val="0"/>
        <w:snapToGrid w:val="0"/>
        <w:ind w:firstLine="105" w:firstLineChars="50"/>
        <w:rPr>
          <w:rFonts w:hint="eastAsia" w:hAnsi="宋体"/>
          <w:color w:val="auto"/>
          <w:kern w:val="0"/>
          <w:highlight w:val="none"/>
        </w:rPr>
      </w:pPr>
      <w:r>
        <w:rPr>
          <w:rFonts w:hAnsi="宋体"/>
          <w:color w:val="auto"/>
          <w:kern w:val="0"/>
          <w:highlight w:val="none"/>
        </w:rPr>
        <w:t>（四）总价金额与按单价汇总金额不一致的，以单价金额计算结果为准。</w:t>
      </w:r>
    </w:p>
    <w:p w14:paraId="7A00655A">
      <w:pPr>
        <w:pStyle w:val="17"/>
        <w:adjustRightInd w:val="0"/>
        <w:snapToGrid w:val="0"/>
        <w:ind w:firstLine="359"/>
        <w:rPr>
          <w:rFonts w:hint="eastAsia" w:hAnsi="宋体"/>
          <w:color w:val="auto"/>
          <w:kern w:val="0"/>
          <w:highlight w:val="none"/>
        </w:rPr>
      </w:pPr>
      <w:r>
        <w:rPr>
          <w:rFonts w:hint="eastAsia" w:hAnsi="宋体"/>
          <w:color w:val="auto"/>
          <w:kern w:val="0"/>
          <w:highlight w:val="none"/>
        </w:rPr>
        <w:t>同时出现两种以上不一致的，按照该条款规定的顺序修正。</w:t>
      </w:r>
      <w:r>
        <w:rPr>
          <w:rFonts w:hAnsi="宋体"/>
          <w:color w:val="auto"/>
          <w:kern w:val="0"/>
          <w:highlight w:val="none"/>
        </w:rPr>
        <w:t>修正后的报价经投标人</w:t>
      </w:r>
      <w:r>
        <w:rPr>
          <w:rFonts w:hint="eastAsia" w:hAnsi="宋体"/>
          <w:color w:val="auto"/>
          <w:kern w:val="0"/>
          <w:highlight w:val="none"/>
        </w:rPr>
        <w:t>书面</w:t>
      </w:r>
      <w:r>
        <w:rPr>
          <w:rFonts w:hAnsi="宋体"/>
          <w:color w:val="auto"/>
          <w:kern w:val="0"/>
          <w:highlight w:val="none"/>
        </w:rPr>
        <w:t>确认后产生约束力，投标人不确认的，其投标无效。</w:t>
      </w:r>
    </w:p>
    <w:p w14:paraId="5DF7658A">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lang w:val="en-US" w:eastAsia="zh-CN"/>
        </w:rPr>
        <w:t>24.4</w:t>
      </w:r>
      <w:r>
        <w:rPr>
          <w:rFonts w:hint="eastAsia" w:hAnsi="宋体" w:cs="Times New Roman"/>
          <w:color w:val="auto"/>
          <w:highlight w:val="none"/>
        </w:rPr>
        <w:t>异常低价审查。政府采购评审中出现下列情形之一的，评审委员会应当启动异常低价投标（响应）审查程序（详见后附表三异常低价审查表）：</w:t>
      </w:r>
    </w:p>
    <w:p w14:paraId="63D1E06F">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 xml:space="preserve">（1）投标（响应）报价低于全部通过符合性审查供应商投标（响应）报价平均值50%的，即投标（响应）报价&lt;全部通过符合性审查供应商投标（响应）报价平均值×50%； </w:t>
      </w:r>
    </w:p>
    <w:p w14:paraId="75320B95">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 xml:space="preserve">（2）投标（响应）报价低于通过符合性审查的次低报价供应商投标（响应）报价50%的，即投标（响应）报价&lt;通过符合性审查的次低报价供应商投标（响应）报价×50%； </w:t>
      </w:r>
    </w:p>
    <w:p w14:paraId="78FD1E92">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 xml:space="preserve">（3）投标（响应）报价低于采购项目最高限价45%的，即投标（响应）报价&lt;采购项目最高限价×45%； </w:t>
      </w:r>
    </w:p>
    <w:p w14:paraId="55C4DD8F">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（4）评审委员会基于专业判断，认为供应商报价过低，有可能影响产品质量或者不能诚信履约的其他情形。</w:t>
      </w:r>
    </w:p>
    <w:p w14:paraId="5D317FF2">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如项目（包组）采用下浮率报价的，则所述的投标（响应）报价，则为（1-下浮率报价）。</w:t>
      </w:r>
    </w:p>
    <w:p w14:paraId="2799B0D8">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59AD168E">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被启动异常低价审查的供应商，如果不提供书面说明、证明材料，或者提供的书面说明、证明材料不能证明其报价合理性的，应当将其作为无效投标（响应）处理。</w:t>
      </w:r>
    </w:p>
    <w:p w14:paraId="17FABE32">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通过异常低价审查的不足3家，不得进入详细评审。</w:t>
      </w:r>
    </w:p>
    <w:p w14:paraId="05AEC0C9">
      <w:pPr>
        <w:pStyle w:val="17"/>
        <w:adjustRightInd w:val="0"/>
        <w:snapToGrid w:val="0"/>
        <w:ind w:firstLine="359"/>
        <w:rPr>
          <w:rFonts w:hint="eastAsia" w:hAnsi="宋体"/>
          <w:color w:val="auto"/>
          <w:kern w:val="0"/>
          <w:highlight w:val="none"/>
        </w:rPr>
      </w:pPr>
      <w:r>
        <w:rPr>
          <w:rFonts w:hint="eastAsia" w:hAnsi="宋体" w:cs="Times New Roman"/>
          <w:color w:val="auto"/>
          <w:highlight w:val="none"/>
        </w:rPr>
        <w:t>24.</w:t>
      </w:r>
      <w:r>
        <w:rPr>
          <w:rFonts w:hint="eastAsia" w:hAnsi="宋体" w:cs="Times New Roman"/>
          <w:color w:val="auto"/>
          <w:highlight w:val="none"/>
          <w:lang w:val="en-US" w:eastAsia="zh-CN"/>
        </w:rPr>
        <w:t>5</w:t>
      </w:r>
      <w:r>
        <w:rPr>
          <w:rFonts w:hAnsi="宋体"/>
          <w:color w:val="auto"/>
          <w:kern w:val="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804333E">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25. 投标文件的澄清</w:t>
      </w:r>
    </w:p>
    <w:p w14:paraId="32A44660">
      <w:pPr>
        <w:ind w:firstLine="359"/>
        <w:rPr>
          <w:rFonts w:hint="eastAsia" w:ascii="宋体" w:hAnsi="宋体"/>
          <w:color w:val="auto"/>
          <w:szCs w:val="21"/>
          <w:highlight w:val="none"/>
        </w:rPr>
      </w:pPr>
      <w:r>
        <w:rPr>
          <w:rFonts w:hint="eastAsia" w:ascii="宋体" w:hAnsi="宋体"/>
          <w:color w:val="auto"/>
          <w:szCs w:val="21"/>
          <w:highlight w:val="none"/>
        </w:rPr>
        <w:t>25.1 评标期间，对投标文件中含义不明确、同类问题表述不一致或者有明显文字和计算错误的内容，评标委员会可以书面形式要求投标人做出必要的澄清、说明或者纠正，</w:t>
      </w:r>
      <w:r>
        <w:rPr>
          <w:rFonts w:hint="eastAsia" w:ascii="宋体" w:hAnsi="宋体"/>
          <w:color w:val="auto"/>
          <w:kern w:val="0"/>
          <w:szCs w:val="21"/>
          <w:highlight w:val="none"/>
        </w:rPr>
        <w:t>但不得允许投标人对投标报价等实质性内容做任何更改</w:t>
      </w:r>
      <w:r>
        <w:rPr>
          <w:rFonts w:hint="eastAsia" w:ascii="宋体" w:hAnsi="宋体"/>
          <w:color w:val="auto"/>
          <w:szCs w:val="21"/>
          <w:highlight w:val="none"/>
        </w:rPr>
        <w:t>。投标人的澄清、说明或者补正应当采用书面形式，由其授权的代表签字，并不得超出投标文件的范围或者改变投标文件的实质性内容。</w:t>
      </w:r>
      <w:r>
        <w:rPr>
          <w:rFonts w:hint="eastAsia" w:ascii="宋体" w:hAnsi="宋体"/>
          <w:color w:val="auto"/>
          <w:kern w:val="0"/>
          <w:szCs w:val="21"/>
          <w:highlight w:val="none"/>
        </w:rPr>
        <w:t>有关澄清的答复均应由投标人的法定代表人或授权代表签字（或加盖投标人的印章）的书面形式做出。</w:t>
      </w:r>
    </w:p>
    <w:p w14:paraId="13D4D4C2">
      <w:pPr>
        <w:pStyle w:val="17"/>
        <w:adjustRightInd w:val="0"/>
        <w:snapToGrid w:val="0"/>
        <w:ind w:firstLine="359"/>
        <w:rPr>
          <w:rFonts w:hint="eastAsia" w:hAnsi="宋体" w:cs="Times New Roman"/>
          <w:color w:val="auto"/>
          <w:highlight w:val="none"/>
        </w:rPr>
      </w:pPr>
      <w:r>
        <w:rPr>
          <w:rFonts w:hint="eastAsia" w:hAnsi="宋体" w:cs="Times New Roman"/>
          <w:color w:val="auto"/>
          <w:highlight w:val="none"/>
        </w:rPr>
        <w:t>25.2 投标人的澄清文件是其投标文件的组成部分。</w:t>
      </w:r>
    </w:p>
    <w:p w14:paraId="2EF6DBFE">
      <w:pPr>
        <w:tabs>
          <w:tab w:val="left" w:pos="8280"/>
        </w:tabs>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kern w:val="0"/>
          <w:szCs w:val="21"/>
          <w:highlight w:val="none"/>
        </w:rPr>
        <w:t>26. 投标的比较和评价</w:t>
      </w:r>
    </w:p>
    <w:p w14:paraId="70A982D2">
      <w:pPr>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kern w:val="0"/>
          <w:szCs w:val="21"/>
          <w:highlight w:val="none"/>
        </w:rPr>
        <w:t>26.1 评标委员会按招标文件中规定的评标方法和标准，对资格审查、符合性审查合格的投标文件进行商务和服务评估，综合比较与评价。</w:t>
      </w:r>
    </w:p>
    <w:p w14:paraId="655DF05E">
      <w:pPr>
        <w:tabs>
          <w:tab w:val="left" w:pos="840"/>
        </w:tabs>
        <w:adjustRightInd w:val="0"/>
        <w:snapToGrid w:val="0"/>
        <w:ind w:firstLine="359"/>
        <w:rPr>
          <w:rFonts w:hint="eastAsia" w:ascii="宋体" w:hAnsi="宋体"/>
          <w:color w:val="auto"/>
          <w:szCs w:val="21"/>
          <w:highlight w:val="none"/>
        </w:rPr>
      </w:pPr>
      <w:r>
        <w:rPr>
          <w:rFonts w:hint="eastAsia" w:ascii="宋体" w:hAnsi="宋体"/>
          <w:color w:val="auto"/>
          <w:szCs w:val="21"/>
          <w:highlight w:val="none"/>
        </w:rPr>
        <w:t>27. 中标候选人的确定</w:t>
      </w:r>
    </w:p>
    <w:p w14:paraId="1D2A3959">
      <w:pPr>
        <w:tabs>
          <w:tab w:val="left" w:pos="0"/>
        </w:tabs>
        <w:adjustRightInd w:val="0"/>
        <w:snapToGrid w:val="0"/>
        <w:ind w:firstLine="359"/>
        <w:rPr>
          <w:rFonts w:hint="eastAsia" w:ascii="宋体" w:hAnsi="宋体"/>
          <w:color w:val="auto"/>
          <w:szCs w:val="21"/>
          <w:highlight w:val="none"/>
        </w:rPr>
      </w:pPr>
      <w:r>
        <w:rPr>
          <w:rFonts w:hint="eastAsia" w:ascii="宋体" w:hAnsi="宋体"/>
          <w:color w:val="auto"/>
          <w:szCs w:val="21"/>
          <w:highlight w:val="none"/>
        </w:rPr>
        <w:t>27.1评标委员会按照招标文件确定的评标方法、步骤、标准，对投标文件进行评审，依据综合得分情况由高到低排序，推荐中标候选人名单，综合得分相同的，按投标报价由低到高顺序排列确定第一中标候选人。综合得分且投标报价相同的并列。并提出书面评标报告。</w:t>
      </w:r>
    </w:p>
    <w:p w14:paraId="5739345A">
      <w:pPr>
        <w:tabs>
          <w:tab w:val="left" w:pos="0"/>
        </w:tabs>
        <w:adjustRightInd w:val="0"/>
        <w:snapToGrid w:val="0"/>
        <w:ind w:firstLine="359"/>
        <w:rPr>
          <w:rFonts w:hint="eastAsia" w:ascii="宋体" w:hAnsi="宋体"/>
          <w:color w:val="auto"/>
          <w:szCs w:val="21"/>
          <w:highlight w:val="none"/>
        </w:rPr>
      </w:pPr>
      <w:r>
        <w:rPr>
          <w:rFonts w:hint="eastAsia" w:ascii="宋体" w:hAnsi="宋体"/>
          <w:color w:val="auto"/>
          <w:szCs w:val="21"/>
          <w:highlight w:val="none"/>
        </w:rPr>
        <w:t>27.2中标候选人并列的，采购人可委托评标委员会按下列顺序比较确定中标人：（1）投标报价（由低到高）；（2）服务评分（由高到低）；（3）节能产品；（4）环保产品。如以上都相同的，名次由采购人采取随机抽取方式确定。</w:t>
      </w:r>
    </w:p>
    <w:p w14:paraId="6E5FFFC1">
      <w:pPr>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szCs w:val="21"/>
          <w:highlight w:val="none"/>
        </w:rPr>
        <w:t>28. 采购人在收到评标报告后的法定时间内，按照评标报告中推荐的中标候选人顺序确定中标人。中标人确定后，招标采购单位将在政府采购监督管理部门指定的媒体上发布中标公告，并</w:t>
      </w:r>
      <w:r>
        <w:rPr>
          <w:rFonts w:hint="eastAsia" w:ascii="宋体" w:hAnsi="宋体"/>
          <w:color w:val="auto"/>
          <w:kern w:val="0"/>
          <w:szCs w:val="21"/>
          <w:highlight w:val="none"/>
        </w:rPr>
        <w:t>向中标人发出《中标通知书》，《中标通知书》</w:t>
      </w:r>
      <w:r>
        <w:rPr>
          <w:rFonts w:hint="eastAsia" w:ascii="宋体" w:hAnsi="宋体"/>
          <w:color w:val="auto"/>
          <w:szCs w:val="21"/>
          <w:highlight w:val="none"/>
        </w:rPr>
        <w:t>对中标人和采购人具有同等法律效力</w:t>
      </w:r>
      <w:r>
        <w:rPr>
          <w:rFonts w:hint="eastAsia" w:ascii="宋体" w:hAnsi="宋体"/>
          <w:color w:val="auto"/>
          <w:kern w:val="0"/>
          <w:szCs w:val="21"/>
          <w:highlight w:val="none"/>
        </w:rPr>
        <w:t>。</w:t>
      </w:r>
    </w:p>
    <w:p w14:paraId="2EA0F28D">
      <w:pPr>
        <w:autoSpaceDE w:val="0"/>
        <w:autoSpaceDN w:val="0"/>
        <w:adjustRightInd w:val="0"/>
        <w:snapToGrid w:val="0"/>
        <w:ind w:right="32" w:firstLine="359"/>
        <w:rPr>
          <w:rFonts w:hint="eastAsia" w:ascii="宋体" w:hAnsi="宋体"/>
          <w:b/>
          <w:color w:val="auto"/>
          <w:kern w:val="0"/>
          <w:szCs w:val="21"/>
          <w:highlight w:val="none"/>
        </w:rPr>
      </w:pPr>
      <w:r>
        <w:rPr>
          <w:rFonts w:hint="eastAsia" w:ascii="宋体" w:hAnsi="宋体"/>
          <w:b/>
          <w:color w:val="auto"/>
          <w:kern w:val="0"/>
          <w:szCs w:val="21"/>
          <w:highlight w:val="none"/>
        </w:rPr>
        <w:t>六、质疑及投诉</w:t>
      </w:r>
    </w:p>
    <w:p w14:paraId="64890641">
      <w:pPr>
        <w:tabs>
          <w:tab w:val="left" w:pos="851"/>
        </w:tabs>
        <w:autoSpaceDE w:val="0"/>
        <w:autoSpaceDN w:val="0"/>
        <w:adjustRightInd w:val="0"/>
        <w:snapToGrid w:val="0"/>
        <w:ind w:right="32" w:firstLine="315" w:firstLineChars="150"/>
        <w:rPr>
          <w:rFonts w:hint="eastAsia" w:ascii="宋体" w:hAnsi="宋体"/>
          <w:color w:val="auto"/>
          <w:szCs w:val="21"/>
          <w:highlight w:val="none"/>
        </w:rPr>
      </w:pPr>
      <w:r>
        <w:rPr>
          <w:rFonts w:hint="eastAsia" w:ascii="宋体" w:hAnsi="宋体"/>
          <w:color w:val="auto"/>
          <w:szCs w:val="21"/>
          <w:highlight w:val="none"/>
        </w:rPr>
        <w:t>29.</w:t>
      </w:r>
      <w:r>
        <w:rPr>
          <w:rFonts w:hint="eastAsia" w:ascii="宋体" w:hAnsi="宋体"/>
          <w:b/>
          <w:color w:val="auto"/>
          <w:szCs w:val="21"/>
          <w:highlight w:val="none"/>
        </w:rPr>
        <w:t>质疑</w:t>
      </w:r>
    </w:p>
    <w:p w14:paraId="1DAA3275">
      <w:pPr>
        <w:autoSpaceDE w:val="0"/>
        <w:autoSpaceDN w:val="0"/>
        <w:adjustRightInd w:val="0"/>
        <w:snapToGrid w:val="0"/>
        <w:ind w:right="32" w:firstLine="359"/>
        <w:rPr>
          <w:rFonts w:hint="eastAsia" w:ascii="宋体" w:hAnsi="宋体"/>
          <w:color w:val="auto"/>
          <w:szCs w:val="21"/>
          <w:highlight w:val="none"/>
        </w:rPr>
      </w:pPr>
      <w:r>
        <w:rPr>
          <w:rFonts w:hint="eastAsia" w:ascii="宋体" w:hAnsi="宋体"/>
          <w:color w:val="auto"/>
          <w:szCs w:val="21"/>
          <w:highlight w:val="none"/>
        </w:rPr>
        <w:t xml:space="preserve">29.1 </w:t>
      </w:r>
      <w:r>
        <w:rPr>
          <w:rFonts w:ascii="宋体" w:hAnsi="宋体"/>
          <w:color w:val="auto"/>
          <w:szCs w:val="21"/>
          <w:highlight w:val="none"/>
        </w:rPr>
        <w:t>供应商认为采购文件、采购过程和中标、成交结果使自己的权益受到损害的，可以在知道或者应知其权益受到损害之日起七个工作日内，以书面形式向采购人</w:t>
      </w:r>
      <w:r>
        <w:rPr>
          <w:rFonts w:hint="eastAsia" w:ascii="宋体" w:hAnsi="宋体"/>
          <w:color w:val="auto"/>
          <w:szCs w:val="21"/>
          <w:highlight w:val="none"/>
        </w:rPr>
        <w:t>、</w:t>
      </w:r>
      <w:r>
        <w:rPr>
          <w:rFonts w:ascii="宋体" w:hAnsi="宋体"/>
          <w:color w:val="auto"/>
          <w:szCs w:val="21"/>
          <w:highlight w:val="none"/>
        </w:rPr>
        <w:t>采购代理机构提出质疑。</w:t>
      </w:r>
    </w:p>
    <w:p w14:paraId="2B0906CC">
      <w:pPr>
        <w:autoSpaceDE w:val="0"/>
        <w:autoSpaceDN w:val="0"/>
        <w:adjustRightInd w:val="0"/>
        <w:snapToGrid w:val="0"/>
        <w:ind w:right="32" w:firstLine="359"/>
        <w:rPr>
          <w:rFonts w:hint="eastAsia" w:ascii="宋体" w:hAnsi="宋体"/>
          <w:color w:val="auto"/>
          <w:szCs w:val="21"/>
          <w:highlight w:val="none"/>
        </w:rPr>
      </w:pPr>
      <w:r>
        <w:rPr>
          <w:rFonts w:hint="eastAsia" w:ascii="宋体" w:hAnsi="宋体"/>
          <w:color w:val="auto"/>
          <w:szCs w:val="21"/>
          <w:highlight w:val="none"/>
        </w:rPr>
        <w:t xml:space="preserve">29.2 </w:t>
      </w:r>
      <w:r>
        <w:rPr>
          <w:rFonts w:ascii="宋体" w:hAnsi="宋体"/>
          <w:color w:val="auto"/>
          <w:szCs w:val="21"/>
          <w:highlight w:val="none"/>
        </w:rPr>
        <w:t>供应商</w:t>
      </w:r>
      <w:r>
        <w:rPr>
          <w:rFonts w:hint="eastAsia" w:ascii="宋体" w:hAnsi="宋体"/>
          <w:color w:val="auto"/>
          <w:szCs w:val="21"/>
          <w:highlight w:val="none"/>
        </w:rPr>
        <w:t>应在法定质疑期内一次性提出针对同一采购程序环节的质疑。若对项目的某一分包进行质疑，质疑函中应列明具体分包号。</w:t>
      </w:r>
    </w:p>
    <w:p w14:paraId="766DC552">
      <w:pPr>
        <w:autoSpaceDE w:val="0"/>
        <w:autoSpaceDN w:val="0"/>
        <w:adjustRightInd w:val="0"/>
        <w:snapToGrid w:val="0"/>
        <w:ind w:right="32" w:firstLine="359"/>
        <w:rPr>
          <w:rFonts w:hint="eastAsia" w:ascii="宋体" w:hAnsi="宋体"/>
          <w:color w:val="auto"/>
          <w:szCs w:val="21"/>
          <w:highlight w:val="none"/>
        </w:rPr>
      </w:pPr>
      <w:r>
        <w:rPr>
          <w:rFonts w:hint="eastAsia" w:ascii="宋体" w:hAnsi="宋体"/>
          <w:color w:val="auto"/>
          <w:szCs w:val="21"/>
          <w:highlight w:val="none"/>
        </w:rPr>
        <w:t>29.3提出质疑的供应商（以下简称质疑供应商）应当是参与所质疑项目采购活动的供应商。各环节质疑时效的规定如下：</w:t>
      </w:r>
    </w:p>
    <w:p w14:paraId="35A17F1B">
      <w:pPr>
        <w:widowControl/>
        <w:ind w:left="284"/>
        <w:jc w:val="left"/>
        <w:rPr>
          <w:color w:val="auto"/>
          <w:highlight w:val="none"/>
        </w:rPr>
      </w:pPr>
      <w:r>
        <w:rPr>
          <w:rFonts w:hint="eastAsia" w:ascii="宋体" w:hAnsi="宋体"/>
          <w:color w:val="auto"/>
          <w:szCs w:val="21"/>
          <w:highlight w:val="none"/>
        </w:rPr>
        <w:t>（1）</w:t>
      </w:r>
      <w:r>
        <w:rPr>
          <w:color w:val="auto"/>
          <w:highlight w:val="none"/>
        </w:rPr>
        <w:t>对采购文件提出质疑的，</w:t>
      </w:r>
      <w:r>
        <w:rPr>
          <w:rFonts w:hint="eastAsia"/>
          <w:color w:val="auto"/>
          <w:highlight w:val="none"/>
        </w:rPr>
        <w:t>应当在获取采购文件或者采购文件公告期限届满之日起7个工作日内提出</w:t>
      </w:r>
      <w:r>
        <w:rPr>
          <w:color w:val="auto"/>
          <w:highlight w:val="none"/>
        </w:rPr>
        <w:t>；</w:t>
      </w:r>
    </w:p>
    <w:p w14:paraId="29CFDB4E">
      <w:pPr>
        <w:widowControl/>
        <w:ind w:left="284"/>
        <w:jc w:val="left"/>
        <w:rPr>
          <w:color w:val="auto"/>
          <w:highlight w:val="none"/>
        </w:rPr>
      </w:pPr>
      <w:r>
        <w:rPr>
          <w:rFonts w:hint="eastAsia" w:ascii="宋体" w:hAnsi="宋体"/>
          <w:color w:val="auto"/>
          <w:szCs w:val="21"/>
          <w:highlight w:val="none"/>
        </w:rPr>
        <w:t>（2）</w:t>
      </w:r>
      <w:r>
        <w:rPr>
          <w:color w:val="auto"/>
          <w:highlight w:val="none"/>
        </w:rPr>
        <w:t>对采购过程提出质疑的，</w:t>
      </w:r>
      <w:r>
        <w:rPr>
          <w:rFonts w:hint="eastAsia"/>
          <w:color w:val="auto"/>
          <w:highlight w:val="none"/>
        </w:rPr>
        <w:t>应当在</w:t>
      </w:r>
      <w:r>
        <w:rPr>
          <w:color w:val="auto"/>
          <w:highlight w:val="none"/>
        </w:rPr>
        <w:t>各采购程序环节结束之日</w:t>
      </w:r>
      <w:r>
        <w:rPr>
          <w:rFonts w:hint="eastAsia"/>
          <w:color w:val="auto"/>
          <w:highlight w:val="none"/>
        </w:rPr>
        <w:t>起</w:t>
      </w:r>
      <w:r>
        <w:rPr>
          <w:rFonts w:hint="eastAsia" w:ascii="宋体" w:hAnsi="宋体"/>
          <w:snapToGrid w:val="0"/>
          <w:color w:val="auto"/>
          <w:kern w:val="0"/>
          <w:highlight w:val="none"/>
        </w:rPr>
        <w:t>7个工</w:t>
      </w:r>
      <w:r>
        <w:rPr>
          <w:rFonts w:hint="eastAsia" w:hAnsi="宋体"/>
          <w:snapToGrid w:val="0"/>
          <w:color w:val="auto"/>
          <w:kern w:val="0"/>
          <w:highlight w:val="none"/>
        </w:rPr>
        <w:t>作日内提出</w:t>
      </w:r>
      <w:r>
        <w:rPr>
          <w:color w:val="auto"/>
          <w:highlight w:val="none"/>
        </w:rPr>
        <w:t>；</w:t>
      </w:r>
    </w:p>
    <w:p w14:paraId="0C79E76A">
      <w:pPr>
        <w:ind w:firstLine="315" w:firstLineChars="150"/>
        <w:rPr>
          <w:color w:val="auto"/>
          <w:highlight w:val="none"/>
        </w:rPr>
      </w:pPr>
      <w:r>
        <w:rPr>
          <w:rFonts w:hint="eastAsia" w:ascii="宋体" w:hAnsi="宋体"/>
          <w:color w:val="auto"/>
          <w:szCs w:val="21"/>
          <w:highlight w:val="none"/>
        </w:rPr>
        <w:t>（3）</w:t>
      </w:r>
      <w:r>
        <w:rPr>
          <w:color w:val="auto"/>
          <w:highlight w:val="none"/>
        </w:rPr>
        <w:t>对中标或者成交结果提出质疑的，</w:t>
      </w:r>
      <w:r>
        <w:rPr>
          <w:rFonts w:hint="eastAsia"/>
          <w:color w:val="auto"/>
          <w:highlight w:val="none"/>
        </w:rPr>
        <w:t>应当在</w:t>
      </w:r>
      <w:r>
        <w:rPr>
          <w:color w:val="auto"/>
          <w:highlight w:val="none"/>
        </w:rPr>
        <w:t>中标或者成交结果公告期限届满之日</w:t>
      </w:r>
      <w:r>
        <w:rPr>
          <w:rFonts w:hint="eastAsia"/>
          <w:color w:val="auto"/>
          <w:highlight w:val="none"/>
        </w:rPr>
        <w:t>起</w:t>
      </w:r>
      <w:r>
        <w:rPr>
          <w:rFonts w:hint="eastAsia" w:ascii="宋体" w:hAnsi="宋体"/>
          <w:snapToGrid w:val="0"/>
          <w:color w:val="auto"/>
          <w:kern w:val="0"/>
          <w:highlight w:val="none"/>
        </w:rPr>
        <w:t>7个工</w:t>
      </w:r>
      <w:r>
        <w:rPr>
          <w:rFonts w:hint="eastAsia" w:hAnsi="宋体"/>
          <w:snapToGrid w:val="0"/>
          <w:color w:val="auto"/>
          <w:kern w:val="0"/>
          <w:highlight w:val="none"/>
        </w:rPr>
        <w:t>作日内提出</w:t>
      </w:r>
      <w:r>
        <w:rPr>
          <w:color w:val="auto"/>
          <w:highlight w:val="none"/>
        </w:rPr>
        <w:t>。</w:t>
      </w:r>
    </w:p>
    <w:p w14:paraId="14F01F6C">
      <w:pPr>
        <w:ind w:firstLine="315" w:firstLineChars="150"/>
        <w:rPr>
          <w:color w:val="auto"/>
          <w:highlight w:val="none"/>
        </w:rPr>
      </w:pPr>
      <w:r>
        <w:rPr>
          <w:rFonts w:hint="eastAsia" w:ascii="宋体" w:hAnsi="宋体"/>
          <w:color w:val="auto"/>
          <w:szCs w:val="21"/>
          <w:highlight w:val="none"/>
        </w:rPr>
        <w:t>超出法定质疑期限的质疑函，采购人或采购代理机构将依法不予接收。</w:t>
      </w:r>
    </w:p>
    <w:p w14:paraId="19F18C3E">
      <w:pPr>
        <w:ind w:firstLine="315" w:firstLineChars="150"/>
        <w:rPr>
          <w:color w:val="auto"/>
          <w:highlight w:val="none"/>
        </w:rPr>
      </w:pPr>
      <w:r>
        <w:rPr>
          <w:rFonts w:hint="eastAsia" w:ascii="宋体" w:hAnsi="宋体"/>
          <w:color w:val="auto"/>
          <w:szCs w:val="21"/>
          <w:highlight w:val="none"/>
        </w:rPr>
        <w:t>29.4供</w:t>
      </w:r>
      <w:r>
        <w:rPr>
          <w:rFonts w:hint="eastAsia"/>
          <w:color w:val="auto"/>
          <w:highlight w:val="none"/>
        </w:rPr>
        <w:t>应商提出质疑应当提交质疑函和必要的证明材料(包括证明材料清单、证明文件及获取途径说明)。质疑函应当包括下列内容：</w:t>
      </w:r>
    </w:p>
    <w:p w14:paraId="252545D7">
      <w:pPr>
        <w:ind w:firstLine="315" w:firstLineChars="150"/>
        <w:rPr>
          <w:rFonts w:hint="eastAsia" w:ascii="宋体" w:hAnsi="宋体"/>
          <w:color w:val="auto"/>
          <w:highlight w:val="none"/>
        </w:rPr>
      </w:pPr>
      <w:r>
        <w:rPr>
          <w:rFonts w:hint="eastAsia" w:ascii="宋体" w:hAnsi="宋体"/>
          <w:color w:val="auto"/>
          <w:highlight w:val="none"/>
        </w:rPr>
        <w:t>（1）供应商的姓名或者名称、地址、邮编、联系人及联系电话；</w:t>
      </w:r>
    </w:p>
    <w:p w14:paraId="084AB427">
      <w:pPr>
        <w:ind w:firstLine="315" w:firstLineChars="150"/>
        <w:rPr>
          <w:rFonts w:hint="eastAsia" w:ascii="宋体" w:hAnsi="宋体"/>
          <w:color w:val="auto"/>
          <w:highlight w:val="none"/>
        </w:rPr>
      </w:pPr>
      <w:r>
        <w:rPr>
          <w:rFonts w:hint="eastAsia" w:ascii="宋体" w:hAnsi="宋体"/>
          <w:color w:val="auto"/>
          <w:highlight w:val="none"/>
        </w:rPr>
        <w:t>（2）质疑项目的名称、编号；</w:t>
      </w:r>
    </w:p>
    <w:p w14:paraId="3B87C024">
      <w:pPr>
        <w:ind w:firstLine="315" w:firstLineChars="150"/>
        <w:rPr>
          <w:rFonts w:hint="eastAsia" w:ascii="宋体" w:hAnsi="宋体"/>
          <w:color w:val="auto"/>
          <w:highlight w:val="none"/>
        </w:rPr>
      </w:pPr>
      <w:r>
        <w:rPr>
          <w:rFonts w:hint="eastAsia" w:ascii="宋体" w:hAnsi="宋体"/>
          <w:color w:val="auto"/>
          <w:highlight w:val="none"/>
        </w:rPr>
        <w:t>（3）具体、明确的质疑事项和与质疑事项相关的请求；</w:t>
      </w:r>
    </w:p>
    <w:p w14:paraId="0C362B9A">
      <w:pPr>
        <w:ind w:firstLine="315" w:firstLineChars="150"/>
        <w:rPr>
          <w:rFonts w:hint="eastAsia" w:ascii="宋体" w:hAnsi="宋体"/>
          <w:color w:val="auto"/>
          <w:highlight w:val="none"/>
        </w:rPr>
      </w:pPr>
      <w:r>
        <w:rPr>
          <w:rFonts w:hint="eastAsia" w:ascii="宋体" w:hAnsi="宋体"/>
          <w:color w:val="auto"/>
          <w:highlight w:val="none"/>
        </w:rPr>
        <w:t>（4）事实依据；</w:t>
      </w:r>
    </w:p>
    <w:p w14:paraId="47EA4198">
      <w:pPr>
        <w:ind w:firstLine="315" w:firstLineChars="150"/>
        <w:rPr>
          <w:rFonts w:hint="eastAsia" w:ascii="宋体" w:hAnsi="宋体"/>
          <w:color w:val="auto"/>
          <w:highlight w:val="none"/>
        </w:rPr>
      </w:pPr>
      <w:r>
        <w:rPr>
          <w:rFonts w:hint="eastAsia" w:ascii="宋体" w:hAnsi="宋体"/>
          <w:color w:val="auto"/>
          <w:highlight w:val="none"/>
        </w:rPr>
        <w:t>（5）必要的法律依据；</w:t>
      </w:r>
    </w:p>
    <w:p w14:paraId="34718FA6">
      <w:pPr>
        <w:ind w:firstLine="315" w:firstLineChars="150"/>
        <w:rPr>
          <w:rFonts w:hint="eastAsia" w:ascii="宋体" w:hAnsi="宋体"/>
          <w:color w:val="auto"/>
          <w:highlight w:val="none"/>
        </w:rPr>
      </w:pPr>
      <w:r>
        <w:rPr>
          <w:rFonts w:hint="eastAsia" w:ascii="宋体" w:hAnsi="宋体"/>
          <w:color w:val="auto"/>
          <w:highlight w:val="none"/>
        </w:rPr>
        <w:t>（6）提出质疑的日期。</w:t>
      </w:r>
    </w:p>
    <w:p w14:paraId="2187B99E">
      <w:pPr>
        <w:ind w:firstLine="315" w:firstLineChars="150"/>
        <w:rPr>
          <w:color w:val="auto"/>
          <w:highlight w:val="none"/>
        </w:rPr>
      </w:pPr>
      <w:r>
        <w:rPr>
          <w:color w:val="auto"/>
          <w:highlight w:val="none"/>
        </w:rPr>
        <w:t>供应商为自然人的，应当由本人签字；供应商为法人或者其他组织的，应当由法定代表人、主要负责人，或者其授权代表签字或者盖章，并加盖公章。</w:t>
      </w:r>
    </w:p>
    <w:p w14:paraId="6164FC25">
      <w:pPr>
        <w:ind w:firstLine="315" w:firstLineChars="150"/>
        <w:rPr>
          <w:color w:val="auto"/>
          <w:highlight w:val="none"/>
        </w:rPr>
      </w:pPr>
      <w:r>
        <w:rPr>
          <w:rFonts w:hint="eastAsia" w:ascii="宋体" w:hAnsi="宋体"/>
          <w:color w:val="auto"/>
          <w:szCs w:val="21"/>
          <w:highlight w:val="none"/>
        </w:rPr>
        <w:t>29.5</w:t>
      </w:r>
      <w:r>
        <w:rPr>
          <w:rFonts w:hint="eastAsia"/>
          <w:color w:val="auto"/>
          <w:highlight w:val="none"/>
        </w:rPr>
        <w:t>接收质疑的联系方式：</w:t>
      </w:r>
    </w:p>
    <w:p w14:paraId="0F8BAF34">
      <w:pPr>
        <w:ind w:firstLine="315" w:firstLineChars="150"/>
        <w:rPr>
          <w:color w:val="auto"/>
          <w:highlight w:val="none"/>
        </w:rPr>
      </w:pPr>
      <w:r>
        <w:rPr>
          <w:rFonts w:hint="eastAsia"/>
          <w:color w:val="auto"/>
          <w:highlight w:val="none"/>
        </w:rPr>
        <w:t>质疑接收机构名称：国义招标股份有限公司</w:t>
      </w:r>
    </w:p>
    <w:p w14:paraId="402D1EE2">
      <w:pPr>
        <w:ind w:firstLine="315" w:firstLineChars="150"/>
        <w:rPr>
          <w:color w:val="auto"/>
          <w:highlight w:val="none"/>
        </w:rPr>
      </w:pPr>
      <w:r>
        <w:rPr>
          <w:rFonts w:hint="eastAsia"/>
          <w:color w:val="auto"/>
          <w:highlight w:val="none"/>
        </w:rPr>
        <w:t>质疑接收机构地址：广州市东风东路726号9楼903室</w:t>
      </w:r>
    </w:p>
    <w:p w14:paraId="16BAAF81">
      <w:pPr>
        <w:ind w:firstLine="315" w:firstLineChars="150"/>
        <w:rPr>
          <w:color w:val="auto"/>
          <w:highlight w:val="none"/>
        </w:rPr>
      </w:pPr>
      <w:r>
        <w:rPr>
          <w:rFonts w:hint="eastAsia"/>
          <w:color w:val="auto"/>
          <w:highlight w:val="none"/>
        </w:rPr>
        <w:t>质疑接收部门联系人：郭小姐、李小姐</w:t>
      </w:r>
    </w:p>
    <w:p w14:paraId="2BFAE63A">
      <w:pPr>
        <w:ind w:firstLine="315" w:firstLineChars="150"/>
        <w:jc w:val="left"/>
        <w:rPr>
          <w:rFonts w:hint="eastAsia"/>
          <w:color w:val="auto"/>
          <w:highlight w:val="none"/>
        </w:rPr>
      </w:pPr>
      <w:r>
        <w:rPr>
          <w:rFonts w:hint="eastAsia"/>
          <w:color w:val="auto"/>
          <w:highlight w:val="none"/>
        </w:rPr>
        <w:t>质疑接收机构电话：020-37860713/715（工作/接收时间：8：30-17：00）,</w:t>
      </w:r>
    </w:p>
    <w:p w14:paraId="242B8D14">
      <w:pPr>
        <w:ind w:firstLine="315" w:firstLineChars="150"/>
        <w:jc w:val="left"/>
        <w:rPr>
          <w:color w:val="auto"/>
          <w:highlight w:val="none"/>
        </w:rPr>
      </w:pPr>
      <w:r>
        <w:rPr>
          <w:rFonts w:hint="eastAsia"/>
          <w:color w:val="auto"/>
          <w:highlight w:val="none"/>
        </w:rPr>
        <w:t>邮箱：guochunxi@ebidding.com</w:t>
      </w:r>
    </w:p>
    <w:p w14:paraId="6986D0D7">
      <w:pPr>
        <w:autoSpaceDE w:val="0"/>
        <w:autoSpaceDN w:val="0"/>
        <w:adjustRightInd w:val="0"/>
        <w:snapToGrid w:val="0"/>
        <w:ind w:right="32" w:firstLine="359"/>
        <w:rPr>
          <w:rFonts w:hint="eastAsia" w:ascii="宋体" w:hAnsi="宋体"/>
          <w:color w:val="auto"/>
          <w:szCs w:val="21"/>
          <w:highlight w:val="none"/>
        </w:rPr>
      </w:pPr>
      <w:r>
        <w:rPr>
          <w:rFonts w:hint="eastAsia" w:ascii="宋体" w:hAnsi="宋体"/>
          <w:color w:val="auto"/>
          <w:szCs w:val="21"/>
          <w:highlight w:val="none"/>
        </w:rPr>
        <w:t>30.投诉</w:t>
      </w:r>
    </w:p>
    <w:p w14:paraId="729AE284">
      <w:pPr>
        <w:autoSpaceDE w:val="0"/>
        <w:autoSpaceDN w:val="0"/>
        <w:adjustRightInd w:val="0"/>
        <w:snapToGrid w:val="0"/>
        <w:ind w:right="32" w:firstLine="210" w:firstLineChars="100"/>
        <w:rPr>
          <w:rFonts w:hint="eastAsia" w:ascii="宋体" w:hAnsi="宋体"/>
          <w:color w:val="auto"/>
          <w:szCs w:val="21"/>
          <w:highlight w:val="none"/>
        </w:rPr>
      </w:pPr>
      <w:r>
        <w:rPr>
          <w:rFonts w:ascii="宋体" w:hAnsi="宋体"/>
          <w:color w:val="auto"/>
          <w:szCs w:val="21"/>
          <w:highlight w:val="none"/>
        </w:rPr>
        <w:t>质疑供应商对采购人、采购代理机构的答复不满意或者采购人、采购代理机构未在规定的时间内作出答复的，可以在答复期满后十五个工作日内向</w:t>
      </w:r>
      <w:r>
        <w:rPr>
          <w:rFonts w:hint="eastAsia" w:ascii="宋体" w:hAnsi="宋体"/>
          <w:color w:val="auto"/>
          <w:szCs w:val="21"/>
          <w:highlight w:val="none"/>
        </w:rPr>
        <w:t>财政部</w:t>
      </w:r>
      <w:r>
        <w:rPr>
          <w:rFonts w:ascii="宋体" w:hAnsi="宋体"/>
          <w:color w:val="auto"/>
          <w:szCs w:val="21"/>
          <w:highlight w:val="none"/>
        </w:rPr>
        <w:t>投诉。</w:t>
      </w:r>
    </w:p>
    <w:p w14:paraId="7A812D12">
      <w:pPr>
        <w:autoSpaceDE w:val="0"/>
        <w:autoSpaceDN w:val="0"/>
        <w:adjustRightInd w:val="0"/>
        <w:snapToGrid w:val="0"/>
        <w:ind w:right="32" w:firstLine="210" w:firstLineChars="100"/>
        <w:rPr>
          <w:rFonts w:hint="eastAsia" w:ascii="宋体" w:hAnsi="宋体"/>
          <w:color w:val="auto"/>
          <w:szCs w:val="21"/>
          <w:highlight w:val="none"/>
        </w:rPr>
      </w:pPr>
      <w:r>
        <w:rPr>
          <w:rFonts w:hint="eastAsia" w:ascii="宋体" w:hAnsi="宋体"/>
          <w:color w:val="auto"/>
          <w:szCs w:val="21"/>
          <w:highlight w:val="none"/>
        </w:rPr>
        <w:t>联系人：财政部政府采购投诉受理窗口</w:t>
      </w:r>
    </w:p>
    <w:p w14:paraId="3C4B3C3F">
      <w:pPr>
        <w:autoSpaceDE w:val="0"/>
        <w:autoSpaceDN w:val="0"/>
        <w:adjustRightInd w:val="0"/>
        <w:snapToGrid w:val="0"/>
        <w:ind w:right="32" w:firstLine="210" w:firstLineChars="100"/>
        <w:rPr>
          <w:rFonts w:hint="eastAsia" w:ascii="宋体" w:hAnsi="宋体"/>
          <w:color w:val="auto"/>
          <w:szCs w:val="21"/>
          <w:highlight w:val="none"/>
        </w:rPr>
      </w:pPr>
      <w:r>
        <w:rPr>
          <w:rFonts w:hint="eastAsia" w:ascii="宋体" w:hAnsi="宋体"/>
          <w:color w:val="auto"/>
          <w:szCs w:val="21"/>
          <w:highlight w:val="none"/>
        </w:rPr>
        <w:t>联系电话：010-68513070、010-68519967</w:t>
      </w:r>
    </w:p>
    <w:p w14:paraId="0755E27C">
      <w:pPr>
        <w:autoSpaceDE w:val="0"/>
        <w:autoSpaceDN w:val="0"/>
        <w:adjustRightInd w:val="0"/>
        <w:snapToGrid w:val="0"/>
        <w:ind w:right="32" w:firstLine="210" w:firstLineChars="100"/>
        <w:rPr>
          <w:rFonts w:hint="eastAsia" w:ascii="宋体" w:hAnsi="宋体"/>
          <w:color w:val="auto"/>
          <w:szCs w:val="21"/>
          <w:highlight w:val="none"/>
        </w:rPr>
      </w:pPr>
      <w:r>
        <w:rPr>
          <w:rFonts w:hint="eastAsia" w:ascii="宋体" w:hAnsi="宋体"/>
          <w:color w:val="auto"/>
          <w:szCs w:val="21"/>
          <w:highlight w:val="none"/>
        </w:rPr>
        <w:t>地址：北京市西城区月坛北小街13号中船宾馆北楼四层8401室、8403室</w:t>
      </w:r>
    </w:p>
    <w:p w14:paraId="245AB0CD">
      <w:pPr>
        <w:pStyle w:val="17"/>
        <w:adjustRightInd w:val="0"/>
        <w:snapToGrid w:val="0"/>
        <w:ind w:firstLine="359"/>
        <w:rPr>
          <w:rFonts w:hint="eastAsia" w:hAnsi="宋体" w:cs="Times New Roman"/>
          <w:b/>
          <w:color w:val="auto"/>
          <w:highlight w:val="none"/>
        </w:rPr>
      </w:pPr>
      <w:r>
        <w:rPr>
          <w:rFonts w:hint="eastAsia" w:hAnsi="宋体" w:cs="Times New Roman"/>
          <w:b/>
          <w:color w:val="auto"/>
          <w:highlight w:val="none"/>
        </w:rPr>
        <w:t>七、 合同的订立和履行</w:t>
      </w:r>
    </w:p>
    <w:p w14:paraId="32BCCB5A">
      <w:pPr>
        <w:autoSpaceDE w:val="0"/>
        <w:autoSpaceDN w:val="0"/>
        <w:adjustRightInd w:val="0"/>
        <w:snapToGrid w:val="0"/>
        <w:ind w:right="32" w:firstLine="359"/>
        <w:rPr>
          <w:rFonts w:hint="eastAsia" w:ascii="宋体" w:hAnsi="宋体"/>
          <w:color w:val="auto"/>
          <w:kern w:val="0"/>
          <w:szCs w:val="21"/>
          <w:highlight w:val="none"/>
        </w:rPr>
      </w:pPr>
      <w:r>
        <w:rPr>
          <w:rFonts w:hint="eastAsia" w:ascii="宋体" w:hAnsi="宋体"/>
          <w:color w:val="auto"/>
          <w:kern w:val="0"/>
          <w:szCs w:val="21"/>
          <w:highlight w:val="none"/>
        </w:rPr>
        <w:t>31. 合同的订立</w:t>
      </w:r>
    </w:p>
    <w:p w14:paraId="4C6CBD93">
      <w:pPr>
        <w:autoSpaceDE w:val="0"/>
        <w:autoSpaceDN w:val="0"/>
        <w:adjustRightInd w:val="0"/>
        <w:snapToGrid w:val="0"/>
        <w:ind w:right="32" w:firstLine="359"/>
        <w:rPr>
          <w:rFonts w:hint="eastAsia" w:ascii="宋体" w:hAnsi="宋体"/>
          <w:color w:val="auto"/>
          <w:szCs w:val="21"/>
          <w:highlight w:val="none"/>
        </w:rPr>
      </w:pPr>
      <w:r>
        <w:rPr>
          <w:rFonts w:hint="eastAsia" w:ascii="宋体" w:hAnsi="宋体"/>
          <w:color w:val="auto"/>
          <w:kern w:val="0"/>
          <w:szCs w:val="21"/>
          <w:highlight w:val="none"/>
        </w:rPr>
        <w:t>31.1采购人与中标人自中标通知书发出之日起三十日内，按招标文件要求和、中标人投标文件承诺及评标过程中的有关澄清、说明或者补正文件签订政府采购合同，但不得超出招标文件和中标人投标文件的范围、也不得再行订立背离合同实质性内容的其他协议。如果第一中标候选人放弃中标或者没有按照规定签订合同，采购人将取消其中标资格。在此情况下，采购人可按照中标候选人名单排序，选择确定下一候选人为中标供应商，或重新采购。</w:t>
      </w:r>
    </w:p>
    <w:p w14:paraId="4BEA18B5">
      <w:pPr>
        <w:adjustRightInd w:val="0"/>
        <w:snapToGrid w:val="0"/>
        <w:ind w:firstLine="359"/>
        <w:rPr>
          <w:rFonts w:hint="eastAsia" w:ascii="宋体" w:hAnsi="宋体"/>
          <w:color w:val="auto"/>
          <w:kern w:val="0"/>
          <w:szCs w:val="21"/>
          <w:highlight w:val="none"/>
        </w:rPr>
      </w:pPr>
      <w:r>
        <w:rPr>
          <w:rFonts w:hint="eastAsia" w:ascii="宋体" w:hAnsi="宋体"/>
          <w:color w:val="auto"/>
          <w:kern w:val="0"/>
          <w:szCs w:val="21"/>
          <w:highlight w:val="none"/>
        </w:rPr>
        <w:t>32. 合同的履行</w:t>
      </w:r>
    </w:p>
    <w:p w14:paraId="3CAF3DB6">
      <w:pPr>
        <w:ind w:firstLine="359"/>
        <w:rPr>
          <w:rFonts w:hint="eastAsia" w:ascii="宋体" w:hAnsi="宋体"/>
          <w:color w:val="auto"/>
          <w:szCs w:val="21"/>
          <w:highlight w:val="none"/>
        </w:rPr>
      </w:pPr>
      <w:r>
        <w:rPr>
          <w:rFonts w:hint="eastAsia" w:ascii="宋体" w:hAnsi="宋体"/>
          <w:color w:val="auto"/>
          <w:szCs w:val="21"/>
          <w:highlight w:val="none"/>
        </w:rPr>
        <w:t>32.1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AD2CBC9">
      <w:pPr>
        <w:ind w:firstLine="359"/>
        <w:rPr>
          <w:rFonts w:hint="eastAsia" w:ascii="宋体" w:hAnsi="宋体"/>
          <w:color w:val="auto"/>
          <w:szCs w:val="21"/>
          <w:highlight w:val="none"/>
        </w:rPr>
      </w:pPr>
      <w:r>
        <w:rPr>
          <w:rFonts w:hint="eastAsia" w:ascii="宋体" w:hAnsi="宋体"/>
          <w:color w:val="auto"/>
          <w:szCs w:val="21"/>
          <w:highlight w:val="none"/>
        </w:rPr>
        <w:t>32.2 政府采购合同履行中，采购人需追加与合同标的相同的货物、工程或者服务的，在不改变合同其他条款的前提下，可以与中标人签订补充合同，但所补充合同的采购金额不得超过原采购金额的百分之十。签订补充合同的必须按照规定备案。</w:t>
      </w:r>
    </w:p>
    <w:p w14:paraId="1D7D7499">
      <w:pPr>
        <w:ind w:firstLine="359"/>
        <w:rPr>
          <w:rFonts w:hint="eastAsia" w:ascii="宋体" w:hAnsi="宋体"/>
          <w:color w:val="auto"/>
          <w:szCs w:val="21"/>
          <w:highlight w:val="none"/>
        </w:rPr>
      </w:pPr>
      <w:r>
        <w:rPr>
          <w:rFonts w:hint="eastAsia" w:ascii="宋体" w:hAnsi="宋体"/>
          <w:color w:val="auto"/>
          <w:szCs w:val="21"/>
          <w:highlight w:val="none"/>
        </w:rPr>
        <w:t>33.政府采购合同融资</w:t>
      </w:r>
    </w:p>
    <w:p w14:paraId="38CD96BB">
      <w:pPr>
        <w:ind w:firstLine="359"/>
        <w:rPr>
          <w:rFonts w:hint="eastAsia" w:ascii="宋体" w:hAnsi="宋体"/>
          <w:color w:val="auto"/>
          <w:szCs w:val="21"/>
          <w:highlight w:val="none"/>
        </w:rPr>
      </w:pPr>
      <w:r>
        <w:rPr>
          <w:rFonts w:hint="eastAsia" w:ascii="宋体" w:hAnsi="宋体"/>
          <w:color w:val="auto"/>
          <w:szCs w:val="21"/>
          <w:highlight w:val="none"/>
        </w:rPr>
        <w:t>33.1定义：</w:t>
      </w:r>
      <w:r>
        <w:rPr>
          <w:rFonts w:ascii="宋体" w:hAnsi="宋体"/>
          <w:color w:val="auto"/>
          <w:szCs w:val="21"/>
          <w:highlight w:val="none"/>
        </w:rPr>
        <w:t>政府采购合同融资，是指参与政府采购的中小微企业供应商（以下简称供应商），凭借中标（成交）通知书或政府采购合同向金融机构申请融资，金融机构以供应商信用审查和政府采购信誉为基础，按便捷贷款程序和优惠利率，为其发放无财产抵押贷款的一种融资模式。</w:t>
      </w:r>
    </w:p>
    <w:p w14:paraId="4B1A3970">
      <w:pPr>
        <w:ind w:firstLine="359"/>
        <w:rPr>
          <w:rFonts w:hint="eastAsia" w:ascii="宋体" w:hAnsi="宋体"/>
          <w:color w:val="auto"/>
          <w:szCs w:val="21"/>
          <w:highlight w:val="none"/>
        </w:rPr>
      </w:pPr>
      <w:r>
        <w:rPr>
          <w:rFonts w:hint="eastAsia" w:ascii="宋体" w:hAnsi="宋体"/>
          <w:color w:val="auto"/>
          <w:szCs w:val="21"/>
          <w:highlight w:val="none"/>
        </w:rPr>
        <w:t>33.2供应商向金融机构申请政府采购合同融资，应当满足下列基本条件：</w:t>
      </w:r>
    </w:p>
    <w:p w14:paraId="1BDC193D">
      <w:pPr>
        <w:ind w:firstLine="359"/>
        <w:rPr>
          <w:rFonts w:hint="eastAsia" w:ascii="宋体" w:hAnsi="宋体"/>
          <w:color w:val="auto"/>
          <w:szCs w:val="21"/>
          <w:highlight w:val="none"/>
        </w:rPr>
      </w:pPr>
      <w:r>
        <w:rPr>
          <w:rFonts w:hint="eastAsia" w:ascii="宋体" w:hAnsi="宋体"/>
          <w:color w:val="auto"/>
          <w:szCs w:val="21"/>
          <w:highlight w:val="none"/>
        </w:rPr>
        <w:t>（1）已获得省级政府采购项目的中标（成交）通知书或政府采购合同；</w:t>
      </w:r>
    </w:p>
    <w:p w14:paraId="7EB198C8">
      <w:pPr>
        <w:ind w:firstLine="359"/>
        <w:rPr>
          <w:rFonts w:hint="eastAsia" w:ascii="宋体" w:hAnsi="宋体"/>
          <w:color w:val="auto"/>
          <w:szCs w:val="21"/>
          <w:highlight w:val="none"/>
        </w:rPr>
      </w:pPr>
      <w:r>
        <w:rPr>
          <w:rFonts w:hint="eastAsia" w:ascii="宋体" w:hAnsi="宋体"/>
          <w:color w:val="auto"/>
          <w:szCs w:val="21"/>
          <w:highlight w:val="none"/>
        </w:rPr>
        <w:t>（2）具备依法履行政府采购合同以及承担民事责任的能力；</w:t>
      </w:r>
    </w:p>
    <w:p w14:paraId="1DE82A0F">
      <w:pPr>
        <w:ind w:firstLine="359"/>
        <w:rPr>
          <w:rFonts w:hint="eastAsia" w:ascii="宋体" w:hAnsi="宋体"/>
          <w:color w:val="auto"/>
          <w:szCs w:val="21"/>
          <w:highlight w:val="none"/>
        </w:rPr>
      </w:pPr>
      <w:r>
        <w:rPr>
          <w:rFonts w:hint="eastAsia" w:ascii="宋体" w:hAnsi="宋体"/>
          <w:color w:val="auto"/>
          <w:szCs w:val="21"/>
          <w:highlight w:val="none"/>
        </w:rPr>
        <w:t>（3）未被列入失信被执行人、重大税收违法失信主体、政府采购严重违法失信行为记录名单等信用记录；</w:t>
      </w:r>
    </w:p>
    <w:p w14:paraId="1A359ADE">
      <w:pPr>
        <w:ind w:firstLine="315" w:firstLineChars="150"/>
        <w:rPr>
          <w:rFonts w:hint="eastAsia" w:ascii="宋体" w:hAnsi="宋体"/>
          <w:color w:val="auto"/>
          <w:szCs w:val="21"/>
          <w:highlight w:val="none"/>
        </w:rPr>
      </w:pPr>
      <w:r>
        <w:rPr>
          <w:rFonts w:hint="eastAsia" w:ascii="宋体" w:hAnsi="宋体"/>
          <w:color w:val="auto"/>
          <w:szCs w:val="21"/>
          <w:highlight w:val="none"/>
        </w:rPr>
        <w:t>（4）金融机构要求的不属于提供财产抵押或第三方担保的其他条件。</w:t>
      </w:r>
    </w:p>
    <w:p w14:paraId="6F588789">
      <w:pPr>
        <w:ind w:firstLine="315" w:firstLineChars="150"/>
        <w:rPr>
          <w:rFonts w:hint="eastAsia" w:ascii="宋体" w:hAnsi="宋体"/>
          <w:color w:val="auto"/>
          <w:szCs w:val="21"/>
          <w:highlight w:val="none"/>
        </w:rPr>
      </w:pPr>
      <w:r>
        <w:rPr>
          <w:rFonts w:hint="eastAsia" w:ascii="宋体" w:hAnsi="宋体"/>
          <w:color w:val="auto"/>
          <w:szCs w:val="21"/>
          <w:highlight w:val="none"/>
        </w:rPr>
        <w:t>33.3 如供应商需要申请政府采购合同融资的，相关要求及具体指引可查阅《广东省财政厅广东省地方金融监督管理局中国人民银行广州分行关于开展省级政府采购合同融资工作的通知》（粤财采购〔2020〕6号）等相关文件。</w:t>
      </w:r>
    </w:p>
    <w:p w14:paraId="04155032">
      <w:pPr>
        <w:adjustRightInd w:val="0"/>
        <w:snapToGrid w:val="0"/>
        <w:ind w:firstLine="359"/>
        <w:rPr>
          <w:rFonts w:hint="eastAsia" w:ascii="宋体" w:hAnsi="宋体"/>
          <w:b/>
          <w:color w:val="auto"/>
          <w:szCs w:val="21"/>
          <w:highlight w:val="none"/>
        </w:rPr>
      </w:pPr>
      <w:r>
        <w:rPr>
          <w:rFonts w:hint="eastAsia" w:ascii="宋体" w:hAnsi="宋体"/>
          <w:b/>
          <w:color w:val="auto"/>
          <w:szCs w:val="21"/>
          <w:highlight w:val="none"/>
        </w:rPr>
        <w:t>八、适用法律</w:t>
      </w:r>
    </w:p>
    <w:p w14:paraId="7EC14F10">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34.招标采购单位及投标人的一切招标投标活动均适用《中华人民共和国政府采购法》及其配套的法规、规章、政策。</w:t>
      </w:r>
    </w:p>
    <w:p w14:paraId="725D9D3F">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34.1 根据《政府采购促进中小企业发展管理办法》（财库〔2020〕46号）的规定：</w:t>
      </w:r>
    </w:p>
    <w:p w14:paraId="045FC805">
      <w:pPr>
        <w:autoSpaceDE w:val="0"/>
        <w:autoSpaceDN w:val="0"/>
        <w:adjustRightInd w:val="0"/>
        <w:snapToGrid w:val="0"/>
        <w:ind w:right="34" w:firstLine="359"/>
        <w:rPr>
          <w:rFonts w:hint="eastAsia" w:ascii="宋体" w:hAnsi="宋体"/>
          <w:color w:val="auto"/>
          <w:szCs w:val="21"/>
          <w:highlight w:val="none"/>
          <w:lang w:val="zh-CN"/>
        </w:rPr>
      </w:pPr>
      <w:r>
        <w:rPr>
          <w:rFonts w:hint="eastAsia" w:ascii="宋体" w:hAnsi="宋体"/>
          <w:color w:val="auto"/>
          <w:szCs w:val="21"/>
          <w:highlight w:val="none"/>
        </w:rPr>
        <w:t xml:space="preserve">34.1.1 </w:t>
      </w:r>
      <w:r>
        <w:rPr>
          <w:rFonts w:hint="eastAsia" w:ascii="宋体" w:hAnsi="宋体"/>
          <w:color w:val="auto"/>
          <w:szCs w:val="21"/>
          <w:highlight w:val="none"/>
          <w:lang w:val="zh-CN"/>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57494A0">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34.1.2 符合享受本办法规定政策的情形：（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2C3C0856">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34.1.3 在货物采购项目中，供应商提供的货物既有中小企业制造货物，也有大型企业制造货物的，不享受本办法规定的政策。</w:t>
      </w:r>
    </w:p>
    <w:p w14:paraId="7E565267">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以联合体形式参加政府采购活动，联合体各方均为中小企业的，联合体视同中小企业。其中，联合体各方均为小微企业的，联合体视同小微企业。</w:t>
      </w:r>
    </w:p>
    <w:p w14:paraId="3E914DD3">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31.1.4 中小企业划分标准按照《关于印发中小企业划型标准规定的通知》（工信部联企业[2011]300号）执行。</w:t>
      </w:r>
    </w:p>
    <w:p w14:paraId="4651BB46">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34.1.5 参加政府采购活动的中小企业投标时需提供《中小企业声明函》（格式见第五部分投标文件格式）。否则不享受本办法规定的政策。</w:t>
      </w:r>
    </w:p>
    <w:p w14:paraId="270BA4D4">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 xml:space="preserve">34.1.6 </w:t>
      </w:r>
      <w:r>
        <w:rPr>
          <w:rFonts w:hint="eastAsia" w:ascii="宋体" w:hAnsi="宋体"/>
          <w:color w:val="auto"/>
          <w:szCs w:val="21"/>
          <w:highlight w:val="none"/>
          <w:lang w:val="zh-CN"/>
        </w:rPr>
        <w:t>供应商提供声明函内容不实的，属于提供虚假材料谋取中标、成交，依照《中华人民共和国政府采购法》等国家有关规定追究相应责任</w:t>
      </w:r>
      <w:r>
        <w:rPr>
          <w:rFonts w:hint="eastAsia" w:ascii="宋体" w:hAnsi="宋体"/>
          <w:color w:val="auto"/>
          <w:szCs w:val="21"/>
          <w:highlight w:val="none"/>
        </w:rPr>
        <w:t>。</w:t>
      </w:r>
    </w:p>
    <w:p w14:paraId="4AFA9816">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34.1.7 本项目采购标的</w:t>
      </w:r>
      <w:r>
        <w:rPr>
          <w:rFonts w:hint="eastAsia" w:ascii="宋体" w:hAnsi="宋体"/>
          <w:color w:val="auto"/>
          <w:szCs w:val="21"/>
          <w:highlight w:val="none"/>
          <w:lang w:val="zh-CN"/>
        </w:rPr>
        <w:t>所属行业为：</w:t>
      </w:r>
      <w:r>
        <w:rPr>
          <w:rFonts w:hint="eastAsia" w:ascii="宋体" w:hAnsi="宋体"/>
          <w:color w:val="auto"/>
          <w:szCs w:val="21"/>
          <w:highlight w:val="none"/>
          <w:u w:val="single"/>
        </w:rPr>
        <w:t>物业管理</w:t>
      </w:r>
      <w:r>
        <w:rPr>
          <w:rFonts w:hint="eastAsia" w:ascii="宋体" w:hAnsi="宋体"/>
          <w:color w:val="auto"/>
          <w:szCs w:val="21"/>
          <w:highlight w:val="none"/>
        </w:rPr>
        <w:t>。</w:t>
      </w:r>
    </w:p>
    <w:p w14:paraId="14D2C3F5">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34.2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14:paraId="4E168A0D">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34.3 在招标采购中，出现下列情形之一的，应予废标：</w:t>
      </w:r>
    </w:p>
    <w:p w14:paraId="40D4F5B5">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27D24527">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3CF8D9E2">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35A0C1FA">
      <w:pPr>
        <w:autoSpaceDE w:val="0"/>
        <w:autoSpaceDN w:val="0"/>
        <w:adjustRightInd w:val="0"/>
        <w:snapToGrid w:val="0"/>
        <w:ind w:right="34" w:firstLine="359"/>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4ECBA0A9">
      <w:pPr>
        <w:pStyle w:val="8"/>
        <w:ind w:firstLine="359"/>
        <w:rPr>
          <w:rFonts w:hint="eastAsia" w:ascii="宋体" w:hAnsi="宋体"/>
          <w:b/>
          <w:color w:val="auto"/>
          <w:szCs w:val="21"/>
          <w:highlight w:val="none"/>
        </w:rPr>
      </w:pPr>
      <w:r>
        <w:rPr>
          <w:rFonts w:hint="eastAsia" w:ascii="宋体" w:hAnsi="宋体"/>
          <w:b/>
          <w:color w:val="auto"/>
          <w:szCs w:val="21"/>
          <w:highlight w:val="none"/>
        </w:rPr>
        <w:t>九、资格审查</w:t>
      </w:r>
    </w:p>
    <w:p w14:paraId="2A566E88">
      <w:pPr>
        <w:pStyle w:val="8"/>
        <w:ind w:firstLine="359"/>
        <w:jc w:val="center"/>
        <w:rPr>
          <w:rFonts w:hint="eastAsia" w:ascii="宋体" w:hAnsi="宋体"/>
          <w:color w:val="auto"/>
          <w:szCs w:val="21"/>
          <w:highlight w:val="none"/>
        </w:rPr>
      </w:pPr>
      <w:r>
        <w:rPr>
          <w:rFonts w:hint="eastAsia" w:ascii="宋体" w:hAnsi="宋体"/>
          <w:b/>
          <w:color w:val="auto"/>
          <w:szCs w:val="21"/>
          <w:highlight w:val="none"/>
        </w:rPr>
        <w:t>《资格审查表》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58"/>
      </w:tblGrid>
      <w:tr w14:paraId="3949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4BECAB6A">
            <w:pPr>
              <w:autoSpaceDE w:val="0"/>
              <w:autoSpaceDN w:val="0"/>
              <w:adjustRightInd w:val="0"/>
              <w:snapToGrid w:val="0"/>
              <w:ind w:right="32"/>
              <w:rPr>
                <w:rFonts w:hint="eastAsia" w:ascii="宋体" w:hAnsi="宋体"/>
                <w:color w:val="auto"/>
                <w:szCs w:val="21"/>
                <w:highlight w:val="none"/>
              </w:rPr>
            </w:pPr>
            <w:r>
              <w:rPr>
                <w:rFonts w:hint="eastAsia" w:ascii="宋体" w:hAnsi="宋体"/>
                <w:color w:val="auto"/>
                <w:szCs w:val="21"/>
                <w:highlight w:val="none"/>
              </w:rPr>
              <w:t>序号</w:t>
            </w:r>
          </w:p>
        </w:tc>
        <w:tc>
          <w:tcPr>
            <w:tcW w:w="8458" w:type="dxa"/>
          </w:tcPr>
          <w:p w14:paraId="10508B14">
            <w:pPr>
              <w:autoSpaceDE w:val="0"/>
              <w:autoSpaceDN w:val="0"/>
              <w:adjustRightInd w:val="0"/>
              <w:snapToGrid w:val="0"/>
              <w:ind w:right="32"/>
              <w:jc w:val="center"/>
              <w:rPr>
                <w:rFonts w:hint="eastAsia" w:ascii="宋体" w:hAnsi="宋体"/>
                <w:color w:val="auto"/>
                <w:szCs w:val="21"/>
                <w:highlight w:val="none"/>
              </w:rPr>
            </w:pPr>
            <w:r>
              <w:rPr>
                <w:rFonts w:hint="eastAsia" w:ascii="宋体" w:hAnsi="宋体"/>
                <w:color w:val="auto"/>
                <w:szCs w:val="21"/>
                <w:highlight w:val="none"/>
              </w:rPr>
              <w:t>内容</w:t>
            </w:r>
          </w:p>
        </w:tc>
      </w:tr>
      <w:tr w14:paraId="6E0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2107509F">
            <w:pPr>
              <w:autoSpaceDE w:val="0"/>
              <w:autoSpaceDN w:val="0"/>
              <w:adjustRightInd w:val="0"/>
              <w:snapToGrid w:val="0"/>
              <w:ind w:right="32"/>
              <w:jc w:val="center"/>
              <w:rPr>
                <w:rFonts w:hint="eastAsia" w:ascii="宋体" w:hAnsi="宋体"/>
                <w:color w:val="auto"/>
                <w:szCs w:val="21"/>
                <w:highlight w:val="none"/>
              </w:rPr>
            </w:pPr>
            <w:r>
              <w:rPr>
                <w:rFonts w:hint="eastAsia" w:ascii="宋体" w:hAnsi="宋体"/>
                <w:color w:val="auto"/>
                <w:szCs w:val="21"/>
                <w:highlight w:val="none"/>
              </w:rPr>
              <w:t>1</w:t>
            </w:r>
          </w:p>
        </w:tc>
        <w:tc>
          <w:tcPr>
            <w:tcW w:w="8458" w:type="dxa"/>
          </w:tcPr>
          <w:p w14:paraId="4E4676A7">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1.投标人应具备《政府采购法》第二十二条规定的条件，提供下列材料：</w:t>
            </w:r>
          </w:p>
          <w:p w14:paraId="261C56B5">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1.1具有独立承担民事责任的能力：</w:t>
            </w:r>
            <w:r>
              <w:rPr>
                <w:rFonts w:hint="eastAsia" w:ascii="宋体" w:hAnsi="宋体"/>
                <w:color w:val="auto"/>
                <w:kern w:val="0"/>
                <w:szCs w:val="21"/>
                <w:highlight w:val="none"/>
                <w:lang w:eastAsia="zh-CN"/>
              </w:rPr>
              <w:t>供应商必须是具有独立承担民事责任能力的在中华人民共和国境内注册的法人或其他组织，投标时提交有效的营业执照副本复印件。分支机构投标的，须提供总公司和分公司营业执照副本复印件，总公司出具给分支机构的授权书</w:t>
            </w:r>
            <w:r>
              <w:rPr>
                <w:rFonts w:hint="eastAsia" w:ascii="宋体" w:hAnsi="宋体"/>
                <w:color w:val="auto"/>
                <w:kern w:val="0"/>
                <w:szCs w:val="21"/>
                <w:highlight w:val="none"/>
              </w:rPr>
              <w:t>；</w:t>
            </w:r>
          </w:p>
          <w:p w14:paraId="0493B397">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1.2有依法缴纳税收和社会保障资金的良好记录：提供所属期为投标截止时间前6个月内任意1个月的缴纳税收凭证（复印件）和提供投标截止时间前6个月内任意1个月的社会保障资金缴纳凭证（复印件）。如依法免税或不需要缴纳社会保障资金的，应提供相应文件证明（复印件）；</w:t>
            </w:r>
          </w:p>
          <w:p w14:paraId="2CE62B84">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1.3具有良好的商业信誉和健全的财务会计制度：</w:t>
            </w:r>
            <w:r>
              <w:rPr>
                <w:rFonts w:hint="eastAsia" w:ascii="宋体" w:hAnsi="宋体"/>
                <w:color w:val="auto"/>
                <w:szCs w:val="21"/>
                <w:highlight w:val="none"/>
              </w:rPr>
              <w:t>提供以下2种证明材料之一：①</w:t>
            </w:r>
            <w:r>
              <w:rPr>
                <w:rFonts w:hint="eastAsia" w:ascii="宋体" w:hAnsi="宋体"/>
                <w:color w:val="auto"/>
                <w:szCs w:val="21"/>
                <w:highlight w:val="none"/>
                <w:lang w:eastAsia="zh-CN"/>
              </w:rPr>
              <w:t>2024年度经会计师事</w:t>
            </w:r>
            <w:r>
              <w:rPr>
                <w:rFonts w:hint="eastAsia" w:ascii="宋体" w:hAnsi="宋体"/>
                <w:color w:val="auto"/>
                <w:szCs w:val="21"/>
                <w:highlight w:val="none"/>
              </w:rPr>
              <w:t>务所审计的财务状况报告；②基本开户行出具的资信证明和《基本存款账号信息》</w:t>
            </w:r>
            <w:r>
              <w:rPr>
                <w:rFonts w:hint="eastAsia" w:ascii="宋体" w:hAnsi="宋体"/>
                <w:color w:val="auto"/>
                <w:kern w:val="0"/>
                <w:szCs w:val="21"/>
                <w:highlight w:val="none"/>
              </w:rPr>
              <w:t>；</w:t>
            </w:r>
          </w:p>
          <w:p w14:paraId="75F3A791">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1.4履行合同所必需的设备和专业技术能力：具备履行合同所必需的设备和专业技术能力的书面承诺函原件（格式自拟）；</w:t>
            </w:r>
          </w:p>
          <w:p w14:paraId="721801D0">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1.5参加采购活动前3年内，在经营活动中没有重大违法记录：参加政府采购活动前3年内在经营活动中没有重大违法记录的书面声明原件（格式自拟）。【重大违法记录，是指投标人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tc>
      </w:tr>
      <w:tr w14:paraId="033C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center"/>
          </w:tcPr>
          <w:p w14:paraId="176D4F86">
            <w:pPr>
              <w:autoSpaceDE w:val="0"/>
              <w:autoSpaceDN w:val="0"/>
              <w:adjustRightInd w:val="0"/>
              <w:snapToGrid w:val="0"/>
              <w:ind w:right="32"/>
              <w:jc w:val="center"/>
              <w:rPr>
                <w:rFonts w:hint="eastAsia" w:ascii="宋体" w:hAnsi="宋体"/>
                <w:color w:val="auto"/>
                <w:szCs w:val="21"/>
                <w:highlight w:val="none"/>
              </w:rPr>
            </w:pPr>
            <w:r>
              <w:rPr>
                <w:rFonts w:hint="eastAsia" w:ascii="宋体" w:hAnsi="宋体"/>
                <w:color w:val="auto"/>
                <w:szCs w:val="21"/>
                <w:highlight w:val="none"/>
              </w:rPr>
              <w:t>2</w:t>
            </w:r>
          </w:p>
        </w:tc>
        <w:tc>
          <w:tcPr>
            <w:tcW w:w="8458" w:type="dxa"/>
          </w:tcPr>
          <w:p w14:paraId="2739C514">
            <w:pPr>
              <w:numPr>
                <w:ilvl w:val="255"/>
                <w:numId w:val="0"/>
              </w:numPr>
              <w:autoSpaceDE/>
              <w:autoSpaceDN/>
              <w:adjustRightInd/>
              <w:snapToGrid/>
              <w:ind w:firstLine="0" w:firstLineChars="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r>
              <w:rPr>
                <w:rFonts w:hint="eastAsia" w:ascii="宋体" w:hAnsi="宋体"/>
                <w:color w:val="auto"/>
                <w:szCs w:val="21"/>
                <w:highlight w:val="none"/>
                <w:lang w:val="zh-CN"/>
              </w:rPr>
              <w:t>本项目属于专门面向中小企业采购的项目，承接本项目服务的供应商须为符合本项目采购标的对应行业（</w:t>
            </w:r>
            <w:r>
              <w:rPr>
                <w:rFonts w:hint="eastAsia" w:ascii="宋体" w:hAnsi="宋体"/>
                <w:color w:val="auto"/>
                <w:szCs w:val="21"/>
                <w:highlight w:val="none"/>
              </w:rPr>
              <w:t>行业：物业管理</w:t>
            </w:r>
            <w:r>
              <w:rPr>
                <w:rFonts w:hint="eastAsia" w:ascii="宋体" w:hAnsi="宋体"/>
                <w:color w:val="auto"/>
                <w:szCs w:val="21"/>
                <w:highlight w:val="none"/>
                <w:lang w:val="zh-CN"/>
              </w:rPr>
              <w:t>）划分标准的中小企业（监狱企业、残疾人福利单位视同小型、微型企业），须全部由中小微企业、或监狱企业、或残疾人福利性单位承接（即提供服务的人员为中小企业依照《中华人民共和国劳动合同法》订立劳动合同的从业人员）。（投标人需提供《中小企业声明函》；或提供由监狱管理局、戒毒管理局（含新疆生产建设兵团）出具的投标人属于监狱企业的证明文件；或提供声明投标人为残疾人福利单位的《残疾人福利性单位声明函》。）</w:t>
            </w:r>
          </w:p>
        </w:tc>
      </w:tr>
      <w:tr w14:paraId="7A48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2BCEC2BF">
            <w:pPr>
              <w:autoSpaceDE w:val="0"/>
              <w:autoSpaceDN w:val="0"/>
              <w:adjustRightInd w:val="0"/>
              <w:snapToGrid w:val="0"/>
              <w:ind w:right="32"/>
              <w:jc w:val="center"/>
              <w:rPr>
                <w:rFonts w:hint="eastAsia" w:ascii="宋体" w:hAnsi="宋体"/>
                <w:color w:val="auto"/>
                <w:szCs w:val="21"/>
                <w:highlight w:val="none"/>
              </w:rPr>
            </w:pPr>
            <w:r>
              <w:rPr>
                <w:rFonts w:hint="eastAsia" w:ascii="宋体" w:hAnsi="宋体"/>
                <w:color w:val="auto"/>
                <w:szCs w:val="21"/>
                <w:highlight w:val="none"/>
              </w:rPr>
              <w:t>3</w:t>
            </w:r>
          </w:p>
        </w:tc>
        <w:tc>
          <w:tcPr>
            <w:tcW w:w="8458" w:type="dxa"/>
          </w:tcPr>
          <w:p w14:paraId="0FB2F4BD">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3.本项目的特定资格要求：</w:t>
            </w:r>
          </w:p>
          <w:p w14:paraId="5970A5FE">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 xml:space="preserve">3.1信用记录：投标人未被列入“信用中国”网站（www.creditchina.gov.cn）以下任意记录名单之一：①失信被执行人；②重大税收违法失信主体；③政府采购严重违法失信行为。且不处于中国政府采购网（www.ccgp.gov.cn）“政府采购严重违法失信行为信息记录”中的禁止参加政府采购活动期间。（以采购代理机构于投标截止日当天在“信用中国”网站（www.creditchina.gov.cn）及中国政府采购网(www.ccgp.gov.cn)查询结果为准，同时将两个网站的信用记录查询结果打印页面或全部内容的网页截图作为证据留存）； </w:t>
            </w:r>
          </w:p>
          <w:p w14:paraId="76CA4FB1">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3.2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原件）；</w:t>
            </w:r>
          </w:p>
          <w:p w14:paraId="5B0656B8">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3.3已获取本次采购文件(具体方式详见本项目公告)；</w:t>
            </w:r>
          </w:p>
          <w:p w14:paraId="331F2892">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3.4本项目不接受联合体投标。</w:t>
            </w:r>
          </w:p>
        </w:tc>
      </w:tr>
    </w:tbl>
    <w:p w14:paraId="7AE7A4C3">
      <w:pPr>
        <w:pStyle w:val="8"/>
        <w:ind w:firstLine="359"/>
        <w:rPr>
          <w:rFonts w:hint="eastAsia" w:ascii="宋体" w:hAnsi="宋体"/>
          <w:b/>
          <w:color w:val="auto"/>
          <w:szCs w:val="21"/>
          <w:highlight w:val="none"/>
        </w:rPr>
      </w:pPr>
      <w:r>
        <w:rPr>
          <w:rFonts w:hint="eastAsia" w:ascii="宋体" w:hAnsi="宋体"/>
          <w:b/>
          <w:color w:val="auto"/>
          <w:szCs w:val="21"/>
          <w:highlight w:val="none"/>
        </w:rPr>
        <w:t>十、评标方法、步骤及标准</w:t>
      </w:r>
    </w:p>
    <w:p w14:paraId="3623FDED">
      <w:pPr>
        <w:pStyle w:val="8"/>
        <w:ind w:firstLine="359"/>
        <w:rPr>
          <w:rFonts w:hint="eastAsia" w:ascii="宋体" w:hAnsi="宋体"/>
          <w:color w:val="auto"/>
          <w:szCs w:val="21"/>
          <w:highlight w:val="none"/>
        </w:rPr>
      </w:pPr>
      <w:r>
        <w:rPr>
          <w:rFonts w:hint="eastAsia" w:ascii="宋体" w:hAnsi="宋体"/>
          <w:color w:val="auto"/>
          <w:szCs w:val="21"/>
          <w:highlight w:val="none"/>
        </w:rPr>
        <w:t>根据政府采购的相关规定确定以下评标方法、步骤及标准：</w:t>
      </w:r>
    </w:p>
    <w:p w14:paraId="65E3C3AD">
      <w:pPr>
        <w:pStyle w:val="8"/>
        <w:ind w:firstLine="359"/>
        <w:rPr>
          <w:rFonts w:hint="eastAsia" w:ascii="宋体" w:hAnsi="宋体"/>
          <w:b/>
          <w:color w:val="auto"/>
          <w:szCs w:val="21"/>
          <w:highlight w:val="none"/>
        </w:rPr>
      </w:pPr>
      <w:r>
        <w:rPr>
          <w:rFonts w:ascii="宋体" w:hAnsi="宋体"/>
          <w:b/>
          <w:color w:val="auto"/>
          <w:szCs w:val="21"/>
          <w:highlight w:val="none"/>
        </w:rPr>
        <w:t>35</w:t>
      </w:r>
      <w:r>
        <w:rPr>
          <w:rFonts w:hint="eastAsia" w:ascii="宋体" w:hAnsi="宋体"/>
          <w:b/>
          <w:color w:val="auto"/>
          <w:szCs w:val="21"/>
          <w:highlight w:val="none"/>
        </w:rPr>
        <w:t>.评标方法</w:t>
      </w:r>
    </w:p>
    <w:p w14:paraId="3A59A20B">
      <w:pPr>
        <w:pStyle w:val="8"/>
        <w:ind w:firstLine="359"/>
        <w:rPr>
          <w:rFonts w:hint="eastAsia" w:ascii="宋体" w:hAnsi="宋体"/>
          <w:color w:val="auto"/>
          <w:kern w:val="0"/>
          <w:szCs w:val="21"/>
          <w:highlight w:val="none"/>
        </w:rPr>
      </w:pPr>
      <w:r>
        <w:rPr>
          <w:rFonts w:hint="eastAsia" w:ascii="宋体" w:hAnsi="宋体"/>
          <w:color w:val="auto"/>
          <w:kern w:val="0"/>
          <w:szCs w:val="21"/>
          <w:highlight w:val="none"/>
        </w:rPr>
        <w:t>本次评标采用综合评分法，即在最大限度地满足招标文件实质性要求前提下，按服务、商务和价格三部分分别打分的方式进行评分。三项总分为100分，其中服务得分占</w:t>
      </w:r>
      <w:r>
        <w:rPr>
          <w:rFonts w:hint="eastAsia" w:ascii="宋体" w:hAnsi="宋体"/>
          <w:color w:val="auto"/>
          <w:kern w:val="0"/>
          <w:szCs w:val="21"/>
          <w:highlight w:val="none"/>
          <w:lang w:val="en-US" w:eastAsia="zh-CN"/>
        </w:rPr>
        <w:t>68</w:t>
      </w:r>
      <w:r>
        <w:rPr>
          <w:rFonts w:hint="eastAsia" w:ascii="宋体" w:hAnsi="宋体"/>
          <w:color w:val="auto"/>
          <w:kern w:val="0"/>
          <w:szCs w:val="21"/>
          <w:highlight w:val="none"/>
        </w:rPr>
        <w:t>分，商务得分占</w:t>
      </w:r>
      <w:r>
        <w:rPr>
          <w:rFonts w:hint="eastAsia" w:ascii="宋体" w:hAnsi="宋体"/>
          <w:color w:val="auto"/>
          <w:kern w:val="0"/>
          <w:szCs w:val="21"/>
          <w:highlight w:val="none"/>
          <w:lang w:val="en-US" w:eastAsia="zh-CN"/>
        </w:rPr>
        <w:t>17</w:t>
      </w:r>
      <w:r>
        <w:rPr>
          <w:rFonts w:hint="eastAsia" w:ascii="宋体" w:hAnsi="宋体"/>
          <w:color w:val="auto"/>
          <w:kern w:val="0"/>
          <w:szCs w:val="21"/>
          <w:highlight w:val="none"/>
        </w:rPr>
        <w:t>分，价格得分占</w:t>
      </w:r>
      <w:r>
        <w:rPr>
          <w:rFonts w:hint="eastAsia" w:ascii="宋体" w:hAnsi="宋体"/>
          <w:color w:val="auto"/>
          <w:kern w:val="0"/>
          <w:szCs w:val="21"/>
          <w:highlight w:val="none"/>
          <w:lang w:val="en-US" w:eastAsia="zh-CN"/>
        </w:rPr>
        <w:t>15</w:t>
      </w:r>
      <w:r>
        <w:rPr>
          <w:rFonts w:hint="eastAsia" w:ascii="宋体" w:hAnsi="宋体"/>
          <w:color w:val="auto"/>
          <w:kern w:val="0"/>
          <w:szCs w:val="21"/>
          <w:highlight w:val="none"/>
        </w:rPr>
        <w:t>分，以评标总得分最高的投标人作为第一中标候选人，评标总得分第二高的投标人作为第二中标候选人。</w:t>
      </w:r>
    </w:p>
    <w:p w14:paraId="689FD7E2">
      <w:pPr>
        <w:pStyle w:val="8"/>
        <w:ind w:firstLine="359"/>
        <w:rPr>
          <w:rFonts w:hint="eastAsia" w:ascii="宋体" w:hAnsi="宋体"/>
          <w:b/>
          <w:color w:val="auto"/>
          <w:szCs w:val="21"/>
          <w:highlight w:val="none"/>
        </w:rPr>
      </w:pPr>
      <w:r>
        <w:rPr>
          <w:rFonts w:ascii="宋体" w:hAnsi="宋体"/>
          <w:b/>
          <w:color w:val="auto"/>
          <w:szCs w:val="21"/>
          <w:highlight w:val="none"/>
        </w:rPr>
        <w:t>36</w:t>
      </w:r>
      <w:r>
        <w:rPr>
          <w:rFonts w:hint="eastAsia" w:ascii="宋体" w:hAnsi="宋体"/>
          <w:b/>
          <w:color w:val="auto"/>
          <w:szCs w:val="21"/>
          <w:highlight w:val="none"/>
        </w:rPr>
        <w:t>.评标步骤</w:t>
      </w:r>
    </w:p>
    <w:p w14:paraId="2DD38972">
      <w:pPr>
        <w:pStyle w:val="8"/>
        <w:ind w:firstLine="359"/>
        <w:rPr>
          <w:rFonts w:hint="eastAsia" w:ascii="宋体" w:hAnsi="宋体"/>
          <w:color w:val="auto"/>
          <w:szCs w:val="21"/>
          <w:highlight w:val="none"/>
        </w:rPr>
      </w:pPr>
      <w:r>
        <w:rPr>
          <w:rFonts w:hint="eastAsia" w:ascii="宋体" w:hAnsi="宋体"/>
          <w:color w:val="auto"/>
          <w:szCs w:val="21"/>
          <w:highlight w:val="none"/>
        </w:rPr>
        <w:t xml:space="preserve">一、评标委员会对投标文件的符合性审查、服务商务比较与评价： </w:t>
      </w:r>
    </w:p>
    <w:p w14:paraId="5554FF52">
      <w:pPr>
        <w:pStyle w:val="8"/>
        <w:ind w:firstLine="359"/>
        <w:rPr>
          <w:rFonts w:hint="eastAsia" w:ascii="宋体" w:hAnsi="宋体"/>
          <w:b/>
          <w:color w:val="auto"/>
          <w:szCs w:val="21"/>
          <w:highlight w:val="none"/>
        </w:rPr>
      </w:pPr>
      <w:r>
        <w:rPr>
          <w:rFonts w:hint="eastAsia" w:ascii="宋体" w:hAnsi="宋体"/>
          <w:b/>
          <w:color w:val="auto"/>
          <w:szCs w:val="21"/>
          <w:highlight w:val="none"/>
        </w:rPr>
        <w:t>（一）符合性审查</w:t>
      </w:r>
    </w:p>
    <w:p w14:paraId="2784EF7A">
      <w:pPr>
        <w:pStyle w:val="8"/>
        <w:ind w:firstLine="359"/>
        <w:jc w:val="center"/>
        <w:rPr>
          <w:rFonts w:hint="eastAsia" w:ascii="宋体" w:hAnsi="宋体"/>
          <w:b/>
          <w:color w:val="auto"/>
          <w:szCs w:val="21"/>
          <w:highlight w:val="none"/>
        </w:rPr>
      </w:pPr>
      <w:r>
        <w:rPr>
          <w:rFonts w:hint="eastAsia" w:ascii="宋体" w:hAnsi="宋体"/>
          <w:b/>
          <w:color w:val="auto"/>
          <w:szCs w:val="21"/>
          <w:highlight w:val="none"/>
        </w:rPr>
        <w:t>《符合性审查表》</w:t>
      </w:r>
    </w:p>
    <w:tbl>
      <w:tblPr>
        <w:tblStyle w:val="3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05"/>
      </w:tblGrid>
      <w:tr w14:paraId="591D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0AEC63C3">
            <w:pPr>
              <w:autoSpaceDE w:val="0"/>
              <w:autoSpaceDN w:val="0"/>
              <w:adjustRightInd w:val="0"/>
              <w:snapToGrid w:val="0"/>
              <w:ind w:right="32"/>
              <w:jc w:val="center"/>
              <w:rPr>
                <w:rFonts w:hint="eastAsia" w:ascii="宋体" w:hAnsi="宋体"/>
                <w:color w:val="auto"/>
                <w:szCs w:val="21"/>
                <w:highlight w:val="none"/>
              </w:rPr>
            </w:pPr>
            <w:r>
              <w:rPr>
                <w:rFonts w:hint="eastAsia" w:ascii="宋体" w:hAnsi="宋体"/>
                <w:color w:val="auto"/>
                <w:szCs w:val="21"/>
                <w:highlight w:val="none"/>
              </w:rPr>
              <w:t>序号</w:t>
            </w:r>
          </w:p>
        </w:tc>
        <w:tc>
          <w:tcPr>
            <w:tcW w:w="8505" w:type="dxa"/>
            <w:tcBorders>
              <w:top w:val="single" w:color="auto" w:sz="4" w:space="0"/>
              <w:left w:val="single" w:color="auto" w:sz="4" w:space="0"/>
              <w:bottom w:val="single" w:color="auto" w:sz="4" w:space="0"/>
              <w:right w:val="single" w:color="auto" w:sz="4" w:space="0"/>
            </w:tcBorders>
          </w:tcPr>
          <w:p w14:paraId="526757D6">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内容</w:t>
            </w:r>
          </w:p>
        </w:tc>
      </w:tr>
      <w:tr w14:paraId="49E3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C78C582">
            <w:pPr>
              <w:autoSpaceDE w:val="0"/>
              <w:autoSpaceDN w:val="0"/>
              <w:adjustRightInd w:val="0"/>
              <w:snapToGrid w:val="0"/>
              <w:ind w:right="32"/>
              <w:jc w:val="center"/>
              <w:rPr>
                <w:rFonts w:hint="eastAsia" w:ascii="宋体" w:hAnsi="宋体"/>
                <w:color w:val="auto"/>
                <w:szCs w:val="21"/>
                <w:highlight w:val="none"/>
              </w:rPr>
            </w:pPr>
            <w:r>
              <w:rPr>
                <w:rFonts w:hint="eastAsia" w:ascii="宋体" w:hAnsi="宋体"/>
                <w:color w:val="auto"/>
                <w:szCs w:val="21"/>
                <w:highlight w:val="none"/>
              </w:rPr>
              <w:t>1</w:t>
            </w:r>
          </w:p>
        </w:tc>
        <w:tc>
          <w:tcPr>
            <w:tcW w:w="8505" w:type="dxa"/>
            <w:tcBorders>
              <w:top w:val="single" w:color="auto" w:sz="4" w:space="0"/>
              <w:left w:val="single" w:color="auto" w:sz="4" w:space="0"/>
              <w:bottom w:val="single" w:color="auto" w:sz="4" w:space="0"/>
              <w:right w:val="single" w:color="auto" w:sz="4" w:space="0"/>
            </w:tcBorders>
          </w:tcPr>
          <w:p w14:paraId="2B5DD3BD">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投标报价：</w:t>
            </w:r>
          </w:p>
          <w:p w14:paraId="5D9887A8">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1）投标报价未超过本项目最高限价</w:t>
            </w:r>
          </w:p>
          <w:p w14:paraId="24B5FCA6">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2）对本项目内全部招标内容进行投标报价</w:t>
            </w:r>
          </w:p>
          <w:p w14:paraId="7302EFFC">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3）投标报价是唯一确定的</w:t>
            </w:r>
          </w:p>
        </w:tc>
      </w:tr>
      <w:tr w14:paraId="03CB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A6E4B48">
            <w:pPr>
              <w:autoSpaceDE w:val="0"/>
              <w:autoSpaceDN w:val="0"/>
              <w:adjustRightInd w:val="0"/>
              <w:snapToGrid w:val="0"/>
              <w:ind w:right="32"/>
              <w:jc w:val="center"/>
              <w:rPr>
                <w:rFonts w:hint="eastAsia" w:ascii="宋体" w:hAnsi="宋体"/>
                <w:color w:val="auto"/>
                <w:szCs w:val="21"/>
                <w:highlight w:val="none"/>
              </w:rPr>
            </w:pPr>
            <w:r>
              <w:rPr>
                <w:rFonts w:hint="eastAsia" w:ascii="宋体" w:hAnsi="宋体"/>
                <w:color w:val="auto"/>
                <w:szCs w:val="21"/>
                <w:highlight w:val="none"/>
              </w:rPr>
              <w:t>2</w:t>
            </w:r>
          </w:p>
        </w:tc>
        <w:tc>
          <w:tcPr>
            <w:tcW w:w="8505" w:type="dxa"/>
            <w:tcBorders>
              <w:top w:val="single" w:color="auto" w:sz="4" w:space="0"/>
              <w:left w:val="single" w:color="auto" w:sz="4" w:space="0"/>
              <w:bottom w:val="single" w:color="auto" w:sz="4" w:space="0"/>
              <w:right w:val="single" w:color="auto" w:sz="4" w:space="0"/>
            </w:tcBorders>
          </w:tcPr>
          <w:p w14:paraId="1E8058BD">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提供《投标函》，投标有限期为提交投标文件截止之日起90日</w:t>
            </w:r>
          </w:p>
        </w:tc>
      </w:tr>
      <w:tr w14:paraId="7537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84DE2CA">
            <w:pPr>
              <w:autoSpaceDE w:val="0"/>
              <w:autoSpaceDN w:val="0"/>
              <w:adjustRightInd w:val="0"/>
              <w:snapToGrid w:val="0"/>
              <w:ind w:right="32"/>
              <w:jc w:val="center"/>
              <w:rPr>
                <w:rFonts w:hint="eastAsia" w:ascii="宋体" w:hAnsi="宋体"/>
                <w:color w:val="auto"/>
                <w:szCs w:val="21"/>
                <w:highlight w:val="none"/>
              </w:rPr>
            </w:pPr>
            <w:r>
              <w:rPr>
                <w:rFonts w:hint="eastAsia" w:ascii="宋体" w:hAnsi="宋体"/>
                <w:color w:val="auto"/>
                <w:szCs w:val="21"/>
                <w:highlight w:val="none"/>
              </w:rPr>
              <w:t>3</w:t>
            </w:r>
          </w:p>
        </w:tc>
        <w:tc>
          <w:tcPr>
            <w:tcW w:w="8505" w:type="dxa"/>
            <w:tcBorders>
              <w:top w:val="single" w:color="auto" w:sz="4" w:space="0"/>
              <w:left w:val="single" w:color="auto" w:sz="4" w:space="0"/>
              <w:bottom w:val="single" w:color="auto" w:sz="4" w:space="0"/>
              <w:right w:val="single" w:color="auto" w:sz="4" w:space="0"/>
            </w:tcBorders>
          </w:tcPr>
          <w:p w14:paraId="0405B873">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法定代表人/负责人证明书及授权委托书：按对应格式文件签署、盖章(原件)</w:t>
            </w:r>
          </w:p>
        </w:tc>
      </w:tr>
      <w:tr w14:paraId="5AEA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02AB723">
            <w:pPr>
              <w:autoSpaceDE w:val="0"/>
              <w:autoSpaceDN w:val="0"/>
              <w:adjustRightInd w:val="0"/>
              <w:snapToGrid w:val="0"/>
              <w:ind w:right="32"/>
              <w:jc w:val="center"/>
              <w:rPr>
                <w:rFonts w:hint="eastAsia" w:ascii="宋体" w:hAnsi="宋体"/>
                <w:color w:val="auto"/>
                <w:szCs w:val="21"/>
                <w:highlight w:val="none"/>
              </w:rPr>
            </w:pPr>
            <w:r>
              <w:rPr>
                <w:rFonts w:hint="eastAsia" w:ascii="宋体" w:hAnsi="宋体"/>
                <w:color w:val="auto"/>
                <w:szCs w:val="21"/>
                <w:highlight w:val="none"/>
              </w:rPr>
              <w:t>4</w:t>
            </w:r>
          </w:p>
        </w:tc>
        <w:tc>
          <w:tcPr>
            <w:tcW w:w="8505" w:type="dxa"/>
            <w:tcBorders>
              <w:top w:val="single" w:color="auto" w:sz="4" w:space="0"/>
              <w:left w:val="single" w:color="auto" w:sz="4" w:space="0"/>
              <w:bottom w:val="single" w:color="auto" w:sz="4" w:space="0"/>
              <w:right w:val="single" w:color="auto" w:sz="4" w:space="0"/>
            </w:tcBorders>
          </w:tcPr>
          <w:p w14:paraId="4FA8ED17">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投标文件按照招标文件规定要求签署、盖章</w:t>
            </w:r>
          </w:p>
        </w:tc>
      </w:tr>
      <w:tr w14:paraId="150D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4C74CF2">
            <w:pPr>
              <w:autoSpaceDE w:val="0"/>
              <w:autoSpaceDN w:val="0"/>
              <w:adjustRightInd w:val="0"/>
              <w:snapToGrid w:val="0"/>
              <w:ind w:right="32"/>
              <w:jc w:val="center"/>
              <w:rPr>
                <w:rFonts w:hint="eastAsia" w:ascii="宋体" w:hAnsi="宋体"/>
                <w:color w:val="auto"/>
                <w:szCs w:val="21"/>
                <w:highlight w:val="none"/>
              </w:rPr>
            </w:pPr>
            <w:r>
              <w:rPr>
                <w:rFonts w:hint="eastAsia" w:ascii="宋体" w:hAnsi="宋体"/>
                <w:color w:val="auto"/>
                <w:szCs w:val="21"/>
                <w:highlight w:val="none"/>
              </w:rPr>
              <w:t>5</w:t>
            </w:r>
          </w:p>
        </w:tc>
        <w:tc>
          <w:tcPr>
            <w:tcW w:w="8505" w:type="dxa"/>
            <w:tcBorders>
              <w:top w:val="single" w:color="auto" w:sz="4" w:space="0"/>
              <w:left w:val="single" w:color="auto" w:sz="4" w:space="0"/>
              <w:bottom w:val="single" w:color="auto" w:sz="4" w:space="0"/>
              <w:right w:val="single" w:color="auto" w:sz="4" w:space="0"/>
            </w:tcBorders>
          </w:tcPr>
          <w:p w14:paraId="1AA124F2">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实质性响应招标文件中“★”号条款的服务、商务要求：投标方案不得对实质性服务与商务的（即标注★号条款）条款产生偏离</w:t>
            </w:r>
          </w:p>
        </w:tc>
      </w:tr>
      <w:tr w14:paraId="6FEC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649D279">
            <w:pPr>
              <w:autoSpaceDE w:val="0"/>
              <w:autoSpaceDN w:val="0"/>
              <w:adjustRightInd w:val="0"/>
              <w:snapToGrid w:val="0"/>
              <w:ind w:right="32"/>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8505" w:type="dxa"/>
            <w:tcBorders>
              <w:top w:val="single" w:color="auto" w:sz="4" w:space="0"/>
              <w:left w:val="single" w:color="auto" w:sz="4" w:space="0"/>
              <w:bottom w:val="single" w:color="auto" w:sz="4" w:space="0"/>
              <w:right w:val="single" w:color="auto" w:sz="4" w:space="0"/>
            </w:tcBorders>
          </w:tcPr>
          <w:p w14:paraId="3F2B828D">
            <w:pPr>
              <w:autoSpaceDE w:val="0"/>
              <w:autoSpaceDN w:val="0"/>
              <w:adjustRightInd w:val="0"/>
              <w:snapToGrid w:val="0"/>
              <w:rPr>
                <w:rFonts w:hint="eastAsia" w:ascii="宋体" w:hAnsi="宋体"/>
                <w:color w:val="auto"/>
                <w:szCs w:val="21"/>
                <w:highlight w:val="none"/>
              </w:rPr>
            </w:pPr>
            <w:r>
              <w:rPr>
                <w:rFonts w:hint="eastAsia" w:ascii="宋体" w:hAnsi="宋体" w:eastAsia="宋体" w:cs="宋体"/>
                <w:color w:val="auto"/>
                <w:sz w:val="21"/>
                <w:highlight w:val="none"/>
                <w:lang w:eastAsia="zh-CN"/>
              </w:rPr>
              <w:t>异常低价审查：投标（响应）报价出现异常低价的，供应商需在评审现场合理时间内提供书面说明及必要的证明材料，对投标（响应）价格作出解释。书面说明、证明材料应包括项目具体成本测算等与报价合理性相关的说明和材料。</w:t>
            </w:r>
          </w:p>
        </w:tc>
      </w:tr>
      <w:tr w14:paraId="36B6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85DA615">
            <w:pPr>
              <w:autoSpaceDE w:val="0"/>
              <w:autoSpaceDN w:val="0"/>
              <w:adjustRightInd w:val="0"/>
              <w:snapToGrid w:val="0"/>
              <w:ind w:right="32"/>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8505" w:type="dxa"/>
            <w:tcBorders>
              <w:top w:val="single" w:color="auto" w:sz="4" w:space="0"/>
              <w:left w:val="single" w:color="auto" w:sz="4" w:space="0"/>
              <w:bottom w:val="single" w:color="auto" w:sz="4" w:space="0"/>
              <w:right w:val="single" w:color="auto" w:sz="4" w:space="0"/>
            </w:tcBorders>
          </w:tcPr>
          <w:p w14:paraId="28C62E93">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实质性响应招标文件中规定的其它情况</w:t>
            </w:r>
          </w:p>
        </w:tc>
      </w:tr>
    </w:tbl>
    <w:p w14:paraId="35612630">
      <w:pPr>
        <w:pStyle w:val="8"/>
        <w:ind w:firstLine="422" w:firstLineChars="200"/>
        <w:rPr>
          <w:rFonts w:hint="eastAsia" w:ascii="宋体" w:hAnsi="宋体"/>
          <w:b/>
          <w:color w:val="auto"/>
          <w:szCs w:val="21"/>
          <w:highlight w:val="none"/>
        </w:rPr>
      </w:pPr>
      <w:r>
        <w:rPr>
          <w:rFonts w:hint="eastAsia" w:ascii="宋体" w:hAnsi="宋体"/>
          <w:b/>
          <w:color w:val="auto"/>
          <w:szCs w:val="21"/>
          <w:highlight w:val="none"/>
        </w:rPr>
        <w:t>（二）比较与评价</w:t>
      </w:r>
    </w:p>
    <w:p w14:paraId="30FC843A">
      <w:pPr>
        <w:pStyle w:val="8"/>
        <w:ind w:firstLineChars="200"/>
        <w:rPr>
          <w:rFonts w:hint="eastAsia" w:ascii="宋体" w:hAnsi="宋体"/>
          <w:color w:val="auto"/>
          <w:szCs w:val="21"/>
          <w:highlight w:val="none"/>
        </w:rPr>
      </w:pPr>
      <w:r>
        <w:rPr>
          <w:rFonts w:hint="eastAsia" w:ascii="宋体" w:hAnsi="宋体"/>
          <w:color w:val="auto"/>
          <w:szCs w:val="21"/>
          <w:highlight w:val="none"/>
        </w:rPr>
        <w:t>1.服务评价：</w:t>
      </w:r>
    </w:p>
    <w:tbl>
      <w:tblPr>
        <w:tblStyle w:val="38"/>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176"/>
        <w:gridCol w:w="6599"/>
      </w:tblGrid>
      <w:tr w14:paraId="5E8A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7" w:type="dxa"/>
            <w:vAlign w:val="center"/>
          </w:tcPr>
          <w:p w14:paraId="68360A70">
            <w:pPr>
              <w:pStyle w:val="46"/>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8775" w:type="dxa"/>
            <w:gridSpan w:val="2"/>
            <w:vAlign w:val="center"/>
          </w:tcPr>
          <w:p w14:paraId="46328769">
            <w:pPr>
              <w:pStyle w:val="46"/>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F97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Merge w:val="restart"/>
            <w:vAlign w:val="center"/>
          </w:tcPr>
          <w:p w14:paraId="64716A39">
            <w:pPr>
              <w:pStyle w:val="46"/>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p>
        </w:tc>
        <w:tc>
          <w:tcPr>
            <w:tcW w:w="2176" w:type="dxa"/>
            <w:shd w:val="clear" w:color="auto" w:fill="auto"/>
            <w:vAlign w:val="center"/>
          </w:tcPr>
          <w:p w14:paraId="057ACB80">
            <w:pPr>
              <w:pStyle w:val="46"/>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安全防范管理服务</w:t>
            </w:r>
            <w:r>
              <w:rPr>
                <w:rFonts w:hint="eastAsia" w:hAnsi="宋体" w:cs="宋体"/>
                <w:b w:val="0"/>
                <w:bCs w:val="0"/>
                <w:color w:val="auto"/>
                <w:sz w:val="21"/>
                <w:szCs w:val="21"/>
                <w:highlight w:val="none"/>
                <w:lang w:val="en-US" w:eastAsia="zh-CN"/>
              </w:rPr>
              <w:t>方案（7分）</w:t>
            </w:r>
          </w:p>
        </w:tc>
        <w:tc>
          <w:tcPr>
            <w:tcW w:w="6599" w:type="dxa"/>
            <w:shd w:val="clear" w:color="auto" w:fill="auto"/>
            <w:vAlign w:val="center"/>
          </w:tcPr>
          <w:p w14:paraId="1C27127B">
            <w:pPr>
              <w:widowControl/>
              <w:jc w:val="left"/>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0"/>
                <w:sz w:val="21"/>
                <w:szCs w:val="21"/>
                <w:highlight w:val="none"/>
                <w:lang w:val="en-US" w:eastAsia="zh-CN" w:bidi="ar"/>
              </w:rPr>
              <w:t>针对</w:t>
            </w:r>
            <w:r>
              <w:rPr>
                <w:rFonts w:hint="eastAsia" w:ascii="宋体" w:hAnsi="宋体" w:eastAsia="宋体" w:cs="宋体"/>
                <w:b w:val="0"/>
                <w:bCs w:val="0"/>
                <w:color w:val="auto"/>
                <w:kern w:val="0"/>
                <w:sz w:val="21"/>
                <w:szCs w:val="21"/>
                <w:highlight w:val="none"/>
                <w:lang w:bidi="ar"/>
              </w:rPr>
              <w:t>用户需求书“</w:t>
            </w:r>
            <w:r>
              <w:rPr>
                <w:rFonts w:hint="eastAsia" w:ascii="宋体" w:hAnsi="宋体" w:eastAsia="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sz w:val="21"/>
                <w:szCs w:val="21"/>
                <w:highlight w:val="none"/>
              </w:rPr>
              <w:t>项目概况</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2"/>
                <w:sz w:val="21"/>
                <w:szCs w:val="21"/>
                <w:highlight w:val="none"/>
                <w:lang w:val="zh-CN" w:eastAsia="zh-CN" w:bidi="ar-SA"/>
              </w:rPr>
              <w:t>（二）</w:t>
            </w:r>
            <w:r>
              <w:rPr>
                <w:rFonts w:hint="eastAsia" w:ascii="宋体" w:hAnsi="宋体" w:eastAsia="宋体" w:cs="宋体"/>
                <w:b w:val="0"/>
                <w:bCs w:val="0"/>
                <w:color w:val="auto"/>
                <w:kern w:val="2"/>
                <w:sz w:val="21"/>
                <w:szCs w:val="21"/>
                <w:highlight w:val="none"/>
                <w:lang w:val="zh-CN"/>
              </w:rPr>
              <w:t>采购项目服务内容及具体标准要求</w:t>
            </w:r>
            <w:r>
              <w:rPr>
                <w:rFonts w:hint="eastAsia" w:ascii="宋体" w:hAnsi="宋体" w:eastAsia="宋体" w:cs="宋体"/>
                <w:b w:val="0"/>
                <w:bCs w:val="0"/>
                <w:color w:val="auto"/>
                <w:kern w:val="0"/>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rPr>
              <w:t>安全防范管理服务需求</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kern w:val="0"/>
                <w:sz w:val="21"/>
                <w:szCs w:val="21"/>
                <w:highlight w:val="none"/>
                <w:lang w:val="en-US" w:eastAsia="zh-CN" w:bidi="ar"/>
              </w:rPr>
              <w:t>进行响应，并制定相关服务实施方案</w:t>
            </w:r>
            <w:r>
              <w:rPr>
                <w:rFonts w:hint="eastAsia" w:ascii="宋体" w:hAnsi="宋体" w:eastAsia="宋体" w:cs="宋体"/>
                <w:b w:val="0"/>
                <w:bCs w:val="0"/>
                <w:color w:val="auto"/>
                <w:kern w:val="0"/>
                <w:sz w:val="21"/>
                <w:szCs w:val="21"/>
                <w:highlight w:val="none"/>
                <w:lang w:bidi="ar"/>
              </w:rPr>
              <w:t xml:space="preserve">： </w:t>
            </w:r>
          </w:p>
          <w:p w14:paraId="221D040D">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1.方案完全满足且优于本项目用户需求的，得</w:t>
            </w: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bidi="ar"/>
              </w:rPr>
              <w:t xml:space="preserve">分； </w:t>
            </w:r>
          </w:p>
          <w:p w14:paraId="2B731516">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2.方案完全满足本项目需求的，得</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bidi="ar"/>
              </w:rPr>
              <w:t xml:space="preserve">分； </w:t>
            </w:r>
          </w:p>
          <w:p w14:paraId="49D2B860">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3.方案不能完全满足本项目用户需求的，得 </w:t>
            </w: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 xml:space="preserve"> 分； </w:t>
            </w:r>
          </w:p>
          <w:p w14:paraId="7F4EF16D">
            <w:pPr>
              <w:widowControl/>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4.方案不能满足用户需求或没有提供服务方案，得 0 分。</w:t>
            </w:r>
          </w:p>
        </w:tc>
      </w:tr>
      <w:tr w14:paraId="02A2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Merge w:val="continue"/>
            <w:vAlign w:val="center"/>
          </w:tcPr>
          <w:p w14:paraId="79E3C49D">
            <w:pPr>
              <w:pStyle w:val="46"/>
              <w:widowControl w:val="0"/>
              <w:jc w:val="center"/>
              <w:rPr>
                <w:rFonts w:hint="eastAsia" w:ascii="宋体" w:hAnsi="宋体" w:eastAsia="宋体" w:cs="宋体"/>
                <w:color w:val="auto"/>
                <w:sz w:val="21"/>
                <w:szCs w:val="21"/>
                <w:highlight w:val="none"/>
              </w:rPr>
            </w:pPr>
          </w:p>
        </w:tc>
        <w:tc>
          <w:tcPr>
            <w:tcW w:w="2176" w:type="dxa"/>
            <w:vAlign w:val="center"/>
          </w:tcPr>
          <w:p w14:paraId="2D5E10D0">
            <w:pPr>
              <w:pStyle w:val="46"/>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物业保洁、会务服务</w:t>
            </w:r>
            <w:r>
              <w:rPr>
                <w:rFonts w:hint="eastAsia" w:hAnsi="宋体" w:cs="宋体"/>
                <w:b w:val="0"/>
                <w:bCs w:val="0"/>
                <w:color w:val="auto"/>
                <w:sz w:val="21"/>
                <w:szCs w:val="21"/>
                <w:highlight w:val="none"/>
                <w:lang w:val="en-US" w:eastAsia="zh-CN"/>
              </w:rPr>
              <w:t>方案（7分）</w:t>
            </w:r>
          </w:p>
        </w:tc>
        <w:tc>
          <w:tcPr>
            <w:tcW w:w="6599" w:type="dxa"/>
            <w:vAlign w:val="center"/>
          </w:tcPr>
          <w:p w14:paraId="194BAB04">
            <w:pPr>
              <w:widowControl/>
              <w:jc w:val="left"/>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0"/>
                <w:sz w:val="21"/>
                <w:szCs w:val="21"/>
                <w:highlight w:val="none"/>
                <w:lang w:val="en-US" w:eastAsia="zh-CN" w:bidi="ar"/>
              </w:rPr>
              <w:t>针对</w:t>
            </w:r>
            <w:r>
              <w:rPr>
                <w:rFonts w:hint="eastAsia" w:ascii="宋体" w:hAnsi="宋体" w:eastAsia="宋体" w:cs="宋体"/>
                <w:b w:val="0"/>
                <w:bCs w:val="0"/>
                <w:color w:val="auto"/>
                <w:kern w:val="0"/>
                <w:sz w:val="21"/>
                <w:szCs w:val="21"/>
                <w:highlight w:val="none"/>
                <w:lang w:bidi="ar"/>
              </w:rPr>
              <w:t>用户需求书“</w:t>
            </w:r>
            <w:r>
              <w:rPr>
                <w:rFonts w:hint="eastAsia" w:ascii="宋体" w:hAnsi="宋体" w:eastAsia="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sz w:val="21"/>
                <w:szCs w:val="21"/>
                <w:highlight w:val="none"/>
              </w:rPr>
              <w:t>项目概况</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2"/>
                <w:sz w:val="21"/>
                <w:szCs w:val="21"/>
                <w:highlight w:val="none"/>
                <w:lang w:val="zh-CN" w:eastAsia="zh-CN" w:bidi="ar-SA"/>
              </w:rPr>
              <w:t>（二）</w:t>
            </w:r>
            <w:r>
              <w:rPr>
                <w:rFonts w:hint="eastAsia" w:ascii="宋体" w:hAnsi="宋体" w:eastAsia="宋体" w:cs="宋体"/>
                <w:b w:val="0"/>
                <w:bCs w:val="0"/>
                <w:color w:val="auto"/>
                <w:kern w:val="2"/>
                <w:sz w:val="21"/>
                <w:szCs w:val="21"/>
                <w:highlight w:val="none"/>
                <w:lang w:val="zh-CN"/>
              </w:rPr>
              <w:t>采购项目服务内容及具体标准要求</w:t>
            </w:r>
            <w:r>
              <w:rPr>
                <w:rFonts w:hint="eastAsia" w:ascii="宋体" w:hAnsi="宋体" w:eastAsia="宋体" w:cs="宋体"/>
                <w:b w:val="0"/>
                <w:bCs w:val="0"/>
                <w:color w:val="auto"/>
                <w:kern w:val="0"/>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rPr>
              <w:t>物业保洁、会务服务需求</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kern w:val="0"/>
                <w:sz w:val="21"/>
                <w:szCs w:val="21"/>
                <w:highlight w:val="none"/>
                <w:lang w:val="en-US" w:eastAsia="zh-CN" w:bidi="ar"/>
              </w:rPr>
              <w:t>进行响应，并制定相关服务实施方案</w:t>
            </w:r>
            <w:r>
              <w:rPr>
                <w:rFonts w:hint="eastAsia" w:ascii="宋体" w:hAnsi="宋体" w:eastAsia="宋体" w:cs="宋体"/>
                <w:b w:val="0"/>
                <w:bCs w:val="0"/>
                <w:color w:val="auto"/>
                <w:kern w:val="0"/>
                <w:sz w:val="21"/>
                <w:szCs w:val="21"/>
                <w:highlight w:val="none"/>
                <w:lang w:bidi="ar"/>
              </w:rPr>
              <w:t xml:space="preserve">： </w:t>
            </w:r>
          </w:p>
          <w:p w14:paraId="21120EBB">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1.方案完全满足且优于本项目用户需求的，得</w:t>
            </w: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bidi="ar"/>
              </w:rPr>
              <w:t xml:space="preserve">分； </w:t>
            </w:r>
          </w:p>
          <w:p w14:paraId="2E6E2A1B">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2.方案完全满足本项目需求的，得</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bidi="ar"/>
              </w:rPr>
              <w:t xml:space="preserve">分； </w:t>
            </w:r>
          </w:p>
          <w:p w14:paraId="2519CBC0">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3.方案不能完全满足本项目用户需求的，得 </w:t>
            </w: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 xml:space="preserve"> 分； </w:t>
            </w:r>
          </w:p>
          <w:p w14:paraId="0E6C3DBE">
            <w:pPr>
              <w:widowControl/>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4.方案不能满足用户需求或没有提供服务方案，得 0 分。</w:t>
            </w:r>
          </w:p>
        </w:tc>
      </w:tr>
      <w:tr w14:paraId="394B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Merge w:val="continue"/>
            <w:vAlign w:val="center"/>
          </w:tcPr>
          <w:p w14:paraId="283D38C3">
            <w:pPr>
              <w:pStyle w:val="46"/>
              <w:widowControl w:val="0"/>
              <w:jc w:val="center"/>
              <w:rPr>
                <w:rFonts w:hint="eastAsia" w:ascii="宋体" w:hAnsi="宋体" w:eastAsia="宋体" w:cs="宋体"/>
                <w:color w:val="auto"/>
                <w:sz w:val="21"/>
                <w:szCs w:val="21"/>
                <w:highlight w:val="none"/>
              </w:rPr>
            </w:pPr>
          </w:p>
        </w:tc>
        <w:tc>
          <w:tcPr>
            <w:tcW w:w="2176" w:type="dxa"/>
            <w:vAlign w:val="center"/>
          </w:tcPr>
          <w:p w14:paraId="35D71185">
            <w:pPr>
              <w:pStyle w:val="46"/>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绿化养护服务</w:t>
            </w:r>
            <w:r>
              <w:rPr>
                <w:rFonts w:hint="eastAsia" w:hAnsi="宋体" w:cs="宋体"/>
                <w:b w:val="0"/>
                <w:bCs w:val="0"/>
                <w:color w:val="auto"/>
                <w:sz w:val="21"/>
                <w:szCs w:val="21"/>
                <w:highlight w:val="none"/>
                <w:lang w:val="en-US" w:eastAsia="zh-CN"/>
              </w:rPr>
              <w:t>方案（7分）</w:t>
            </w:r>
          </w:p>
        </w:tc>
        <w:tc>
          <w:tcPr>
            <w:tcW w:w="6599" w:type="dxa"/>
            <w:vAlign w:val="center"/>
          </w:tcPr>
          <w:p w14:paraId="11C5FD2B">
            <w:pPr>
              <w:widowControl/>
              <w:jc w:val="left"/>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0"/>
                <w:sz w:val="21"/>
                <w:szCs w:val="21"/>
                <w:highlight w:val="none"/>
                <w:lang w:val="en-US" w:eastAsia="zh-CN" w:bidi="ar"/>
              </w:rPr>
              <w:t>针对</w:t>
            </w:r>
            <w:r>
              <w:rPr>
                <w:rFonts w:hint="eastAsia" w:ascii="宋体" w:hAnsi="宋体" w:eastAsia="宋体" w:cs="宋体"/>
                <w:b w:val="0"/>
                <w:bCs w:val="0"/>
                <w:color w:val="auto"/>
                <w:kern w:val="0"/>
                <w:sz w:val="21"/>
                <w:szCs w:val="21"/>
                <w:highlight w:val="none"/>
                <w:lang w:bidi="ar"/>
              </w:rPr>
              <w:t>用户需求书“</w:t>
            </w:r>
            <w:r>
              <w:rPr>
                <w:rFonts w:hint="eastAsia" w:ascii="宋体" w:hAnsi="宋体" w:eastAsia="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sz w:val="21"/>
                <w:szCs w:val="21"/>
                <w:highlight w:val="none"/>
              </w:rPr>
              <w:t>项目概况</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2"/>
                <w:sz w:val="21"/>
                <w:szCs w:val="21"/>
                <w:highlight w:val="none"/>
                <w:lang w:val="zh-CN" w:eastAsia="zh-CN" w:bidi="ar-SA"/>
              </w:rPr>
              <w:t>（二）</w:t>
            </w:r>
            <w:r>
              <w:rPr>
                <w:rFonts w:hint="eastAsia" w:ascii="宋体" w:hAnsi="宋体" w:eastAsia="宋体" w:cs="宋体"/>
                <w:b w:val="0"/>
                <w:bCs w:val="0"/>
                <w:color w:val="auto"/>
                <w:kern w:val="2"/>
                <w:sz w:val="21"/>
                <w:szCs w:val="21"/>
                <w:highlight w:val="none"/>
                <w:lang w:val="zh-CN"/>
              </w:rPr>
              <w:t>采购项目服务内容及具体标准要求</w:t>
            </w:r>
            <w:r>
              <w:rPr>
                <w:rFonts w:hint="eastAsia" w:ascii="宋体" w:hAnsi="宋体" w:eastAsia="宋体" w:cs="宋体"/>
                <w:b w:val="0"/>
                <w:bCs w:val="0"/>
                <w:color w:val="auto"/>
                <w:kern w:val="0"/>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sz w:val="21"/>
                <w:szCs w:val="21"/>
                <w:highlight w:val="none"/>
              </w:rPr>
              <w:t>绿化养护服务需求</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kern w:val="0"/>
                <w:sz w:val="21"/>
                <w:szCs w:val="21"/>
                <w:highlight w:val="none"/>
                <w:lang w:val="en-US" w:eastAsia="zh-CN" w:bidi="ar"/>
              </w:rPr>
              <w:t>进行响应，并制定相关服务实施方案</w:t>
            </w:r>
            <w:r>
              <w:rPr>
                <w:rFonts w:hint="eastAsia" w:ascii="宋体" w:hAnsi="宋体" w:eastAsia="宋体" w:cs="宋体"/>
                <w:b w:val="0"/>
                <w:bCs w:val="0"/>
                <w:color w:val="auto"/>
                <w:kern w:val="0"/>
                <w:sz w:val="21"/>
                <w:szCs w:val="21"/>
                <w:highlight w:val="none"/>
                <w:lang w:bidi="ar"/>
              </w:rPr>
              <w:t xml:space="preserve">： </w:t>
            </w:r>
          </w:p>
          <w:p w14:paraId="3E6A3499">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1.方案完全满足且优于本项目用户需求的，得</w:t>
            </w: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bidi="ar"/>
              </w:rPr>
              <w:t xml:space="preserve">分； </w:t>
            </w:r>
          </w:p>
          <w:p w14:paraId="102A3E8E">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2.方案完全满足本项目需求的，得</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bidi="ar"/>
              </w:rPr>
              <w:t xml:space="preserve">分； </w:t>
            </w:r>
          </w:p>
          <w:p w14:paraId="7C54C5EF">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3.方案不能完全满足本项目用户需求的，得 </w:t>
            </w: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 xml:space="preserve"> 分； </w:t>
            </w:r>
          </w:p>
          <w:p w14:paraId="4DD8C042">
            <w:pPr>
              <w:widowControl/>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4.方案不能满足用户需求或没有提供服务方案，得 0 分。</w:t>
            </w:r>
          </w:p>
        </w:tc>
      </w:tr>
      <w:tr w14:paraId="720F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Merge w:val="continue"/>
            <w:vAlign w:val="center"/>
          </w:tcPr>
          <w:p w14:paraId="6B6F6887">
            <w:pPr>
              <w:pStyle w:val="46"/>
              <w:widowControl w:val="0"/>
              <w:jc w:val="center"/>
              <w:rPr>
                <w:rFonts w:hint="eastAsia" w:ascii="宋体" w:hAnsi="宋体" w:eastAsia="宋体" w:cs="宋体"/>
                <w:color w:val="auto"/>
                <w:sz w:val="21"/>
                <w:szCs w:val="21"/>
                <w:highlight w:val="none"/>
              </w:rPr>
            </w:pPr>
          </w:p>
        </w:tc>
        <w:tc>
          <w:tcPr>
            <w:tcW w:w="2176" w:type="dxa"/>
            <w:vAlign w:val="center"/>
          </w:tcPr>
          <w:p w14:paraId="58F662B1">
            <w:pPr>
              <w:pStyle w:val="46"/>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其他服务</w:t>
            </w:r>
            <w:r>
              <w:rPr>
                <w:rFonts w:hint="eastAsia" w:hAnsi="宋体" w:cs="宋体"/>
                <w:b w:val="0"/>
                <w:bCs w:val="0"/>
                <w:color w:val="auto"/>
                <w:sz w:val="21"/>
                <w:szCs w:val="21"/>
                <w:highlight w:val="none"/>
                <w:lang w:val="en-US" w:eastAsia="zh-CN"/>
              </w:rPr>
              <w:t>方案（7分）</w:t>
            </w:r>
          </w:p>
        </w:tc>
        <w:tc>
          <w:tcPr>
            <w:tcW w:w="6599" w:type="dxa"/>
            <w:vAlign w:val="center"/>
          </w:tcPr>
          <w:p w14:paraId="54BAACB9">
            <w:pPr>
              <w:widowControl/>
              <w:jc w:val="left"/>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0"/>
                <w:sz w:val="21"/>
                <w:szCs w:val="21"/>
                <w:highlight w:val="none"/>
                <w:lang w:val="en-US" w:eastAsia="zh-CN" w:bidi="ar"/>
              </w:rPr>
              <w:t>针对</w:t>
            </w:r>
            <w:r>
              <w:rPr>
                <w:rFonts w:hint="eastAsia" w:ascii="宋体" w:hAnsi="宋体" w:eastAsia="宋体" w:cs="宋体"/>
                <w:b w:val="0"/>
                <w:bCs w:val="0"/>
                <w:color w:val="auto"/>
                <w:kern w:val="0"/>
                <w:sz w:val="21"/>
                <w:szCs w:val="21"/>
                <w:highlight w:val="none"/>
                <w:lang w:bidi="ar"/>
              </w:rPr>
              <w:t>用户需求书“</w:t>
            </w:r>
            <w:r>
              <w:rPr>
                <w:rFonts w:hint="eastAsia" w:ascii="宋体" w:hAnsi="宋体" w:eastAsia="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sz w:val="21"/>
                <w:szCs w:val="21"/>
                <w:highlight w:val="none"/>
              </w:rPr>
              <w:t>项目概况</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2"/>
                <w:sz w:val="21"/>
                <w:szCs w:val="21"/>
                <w:highlight w:val="none"/>
                <w:lang w:val="zh-CN" w:eastAsia="zh-CN" w:bidi="ar-SA"/>
              </w:rPr>
              <w:t>（二）</w:t>
            </w:r>
            <w:r>
              <w:rPr>
                <w:rFonts w:hint="eastAsia" w:ascii="宋体" w:hAnsi="宋体" w:eastAsia="宋体" w:cs="宋体"/>
                <w:b w:val="0"/>
                <w:bCs w:val="0"/>
                <w:color w:val="auto"/>
                <w:kern w:val="2"/>
                <w:sz w:val="21"/>
                <w:szCs w:val="21"/>
                <w:highlight w:val="none"/>
                <w:lang w:val="zh-CN"/>
              </w:rPr>
              <w:t>采购项目服务内容及具体标准要求</w:t>
            </w:r>
            <w:r>
              <w:rPr>
                <w:rFonts w:hint="eastAsia" w:ascii="宋体" w:hAnsi="宋体" w:eastAsia="宋体" w:cs="宋体"/>
                <w:b w:val="0"/>
                <w:bCs w:val="0"/>
                <w:color w:val="auto"/>
                <w:kern w:val="0"/>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sz w:val="21"/>
                <w:szCs w:val="21"/>
                <w:highlight w:val="none"/>
              </w:rPr>
              <w:t>其他服务需求</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kern w:val="0"/>
                <w:sz w:val="21"/>
                <w:szCs w:val="21"/>
                <w:highlight w:val="none"/>
                <w:lang w:val="en-US" w:eastAsia="zh-CN" w:bidi="ar"/>
              </w:rPr>
              <w:t>进行响应，并制定相关服务实施方案</w:t>
            </w:r>
            <w:r>
              <w:rPr>
                <w:rFonts w:hint="eastAsia" w:ascii="宋体" w:hAnsi="宋体" w:eastAsia="宋体" w:cs="宋体"/>
                <w:b w:val="0"/>
                <w:bCs w:val="0"/>
                <w:color w:val="auto"/>
                <w:kern w:val="0"/>
                <w:sz w:val="21"/>
                <w:szCs w:val="21"/>
                <w:highlight w:val="none"/>
                <w:lang w:bidi="ar"/>
              </w:rPr>
              <w:t xml:space="preserve">： </w:t>
            </w:r>
          </w:p>
          <w:p w14:paraId="1555DFB0">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1.方案完全满足且优于本项目用户需求的，得</w:t>
            </w: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bidi="ar"/>
              </w:rPr>
              <w:t xml:space="preserve">分； </w:t>
            </w:r>
          </w:p>
          <w:p w14:paraId="14A3A801">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2.方案完全满足本项目需求的，得</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bidi="ar"/>
              </w:rPr>
              <w:t xml:space="preserve">分； </w:t>
            </w:r>
          </w:p>
          <w:p w14:paraId="5FFCFBD9">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3.方案不能完全满足本项目用户需求的，得 </w:t>
            </w: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 xml:space="preserve"> 分； </w:t>
            </w:r>
          </w:p>
          <w:p w14:paraId="46BADC3F">
            <w:pPr>
              <w:widowControl/>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4.方案不能满足用户需求或没有提供服务方案，得 0 分。</w:t>
            </w:r>
          </w:p>
        </w:tc>
      </w:tr>
      <w:tr w14:paraId="114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87" w:type="dxa"/>
            <w:vMerge w:val="continue"/>
            <w:vAlign w:val="center"/>
          </w:tcPr>
          <w:p w14:paraId="43BB81D7">
            <w:pPr>
              <w:pStyle w:val="46"/>
              <w:widowControl w:val="0"/>
              <w:jc w:val="center"/>
              <w:rPr>
                <w:rFonts w:hint="eastAsia" w:ascii="宋体" w:hAnsi="宋体" w:eastAsia="宋体" w:cs="宋体"/>
                <w:color w:val="auto"/>
                <w:sz w:val="21"/>
                <w:szCs w:val="21"/>
                <w:highlight w:val="none"/>
              </w:rPr>
            </w:pPr>
          </w:p>
        </w:tc>
        <w:tc>
          <w:tcPr>
            <w:tcW w:w="2176" w:type="dxa"/>
            <w:vAlign w:val="center"/>
          </w:tcPr>
          <w:p w14:paraId="5DDB102A">
            <w:pPr>
              <w:pStyle w:val="46"/>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工作人员培训方案（</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6599" w:type="dxa"/>
            <w:vAlign w:val="top"/>
          </w:tcPr>
          <w:p w14:paraId="135B0D0E">
            <w:pPr>
              <w:pStyle w:val="46"/>
              <w:widowControl w:val="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根据各投标人对本项目要求的各岗位职责提供培训方案（包括但不限于采购需求“</w:t>
            </w:r>
            <w:r>
              <w:rPr>
                <w:rFonts w:hint="eastAsia" w:ascii="宋体" w:hAnsi="宋体" w:eastAsia="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sz w:val="21"/>
                <w:szCs w:val="21"/>
                <w:highlight w:val="none"/>
              </w:rPr>
              <w:t>项目概况</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2"/>
                <w:sz w:val="21"/>
                <w:szCs w:val="21"/>
                <w:highlight w:val="none"/>
                <w:lang w:val="zh-CN" w:eastAsia="zh-CN" w:bidi="ar-SA"/>
              </w:rPr>
              <w:t>（二）</w:t>
            </w:r>
            <w:r>
              <w:rPr>
                <w:rFonts w:hint="eastAsia" w:ascii="宋体" w:hAnsi="宋体" w:eastAsia="宋体" w:cs="宋体"/>
                <w:b w:val="0"/>
                <w:bCs w:val="0"/>
                <w:color w:val="auto"/>
                <w:kern w:val="2"/>
                <w:sz w:val="21"/>
                <w:szCs w:val="21"/>
                <w:highlight w:val="none"/>
                <w:lang w:val="zh-CN"/>
              </w:rPr>
              <w:t>采购项目服务内容及具体标准要求</w:t>
            </w:r>
            <w:r>
              <w:rPr>
                <w:rFonts w:hint="eastAsia" w:ascii="宋体" w:hAnsi="宋体" w:eastAsia="宋体" w:cs="宋体"/>
                <w:b w:val="0"/>
                <w:bCs w:val="0"/>
                <w:color w:val="auto"/>
                <w:kern w:val="0"/>
                <w:sz w:val="21"/>
                <w:szCs w:val="21"/>
                <w:highlight w:val="none"/>
                <w:lang w:val="en-US" w:eastAsia="zh-CN" w:bidi="ar"/>
              </w:rPr>
              <w:t>的</w:t>
            </w: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sz w:val="21"/>
                <w:szCs w:val="21"/>
                <w:highlight w:val="none"/>
              </w:rPr>
              <w:t>专业岗位人员培训”相关内容）进行评审：</w:t>
            </w:r>
          </w:p>
          <w:p w14:paraId="7198C88C">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1.方案完全满足且优于本项目用户需求的，得 </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bidi="ar"/>
              </w:rPr>
              <w:t xml:space="preserve">分； </w:t>
            </w:r>
          </w:p>
          <w:p w14:paraId="3F516A54">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2.方案完全满足本项目需求的，得</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bidi="ar"/>
              </w:rPr>
              <w:t xml:space="preserve">分； </w:t>
            </w:r>
          </w:p>
          <w:p w14:paraId="352E7F1D">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3.方案不能完全满足本项目用户需求的，得</w:t>
            </w: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 xml:space="preserve">分； </w:t>
            </w:r>
          </w:p>
          <w:p w14:paraId="7E0A04B3">
            <w:pPr>
              <w:pStyle w:val="46"/>
              <w:widowControl w:val="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 xml:space="preserve">4.方案不能满足用户需求或没有提供服务方案，得 0 分。 </w:t>
            </w:r>
          </w:p>
        </w:tc>
      </w:tr>
      <w:tr w14:paraId="64B9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Merge w:val="continue"/>
            <w:vAlign w:val="center"/>
          </w:tcPr>
          <w:p w14:paraId="40551E77">
            <w:pPr>
              <w:pStyle w:val="46"/>
              <w:widowControl w:val="0"/>
              <w:jc w:val="center"/>
              <w:rPr>
                <w:rFonts w:hint="eastAsia" w:ascii="宋体" w:hAnsi="宋体" w:eastAsia="宋体" w:cs="宋体"/>
                <w:color w:val="auto"/>
                <w:sz w:val="21"/>
                <w:szCs w:val="21"/>
                <w:highlight w:val="none"/>
              </w:rPr>
            </w:pPr>
          </w:p>
        </w:tc>
        <w:tc>
          <w:tcPr>
            <w:tcW w:w="2176" w:type="dxa"/>
            <w:vAlign w:val="center"/>
          </w:tcPr>
          <w:p w14:paraId="3013AC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应急突发事件预案（</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p w14:paraId="7E4290BF">
            <w:pPr>
              <w:jc w:val="center"/>
              <w:rPr>
                <w:rFonts w:hint="eastAsia" w:ascii="宋体" w:hAnsi="宋体" w:eastAsia="宋体" w:cs="宋体"/>
                <w:color w:val="auto"/>
                <w:sz w:val="21"/>
                <w:szCs w:val="21"/>
                <w:highlight w:val="none"/>
              </w:rPr>
            </w:pPr>
          </w:p>
        </w:tc>
        <w:tc>
          <w:tcPr>
            <w:tcW w:w="6599" w:type="dxa"/>
            <w:vAlign w:val="center"/>
          </w:tcPr>
          <w:p w14:paraId="3BF5D1F0">
            <w:pPr>
              <w:pStyle w:val="124"/>
              <w:keepNext w:val="0"/>
              <w:keepLines w:val="0"/>
              <w:pageBreakBefore w:val="0"/>
              <w:numPr>
                <w:ilvl w:val="0"/>
                <w:numId w:val="0"/>
              </w:numPr>
              <w:wordWrap/>
              <w:topLinePunct w:val="0"/>
              <w:bidi w:val="0"/>
              <w:adjustRightInd/>
              <w:snapToGrid w:val="0"/>
              <w:spacing w:beforeAutospacing="0" w:afterAutospacing="0" w:line="240" w:lineRule="auto"/>
              <w:ind w:right="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根据投标人针对本项目特点制定的应急突发事件预案（包括但不限于采购需求“</w:t>
            </w:r>
            <w:r>
              <w:rPr>
                <w:rFonts w:hint="eastAsia" w:ascii="宋体" w:hAnsi="宋体" w:eastAsia="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sz w:val="21"/>
                <w:szCs w:val="21"/>
                <w:highlight w:val="none"/>
              </w:rPr>
              <w:t>项目概况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2"/>
                <w:sz w:val="21"/>
                <w:szCs w:val="21"/>
                <w:highlight w:val="none"/>
                <w:lang w:val="zh-CN" w:eastAsia="zh-CN" w:bidi="ar-SA"/>
              </w:rPr>
              <w:t>（二）</w:t>
            </w:r>
            <w:r>
              <w:rPr>
                <w:rFonts w:hint="eastAsia" w:ascii="宋体" w:hAnsi="宋体" w:eastAsia="宋体" w:cs="宋体"/>
                <w:b w:val="0"/>
                <w:bCs w:val="0"/>
                <w:color w:val="auto"/>
                <w:kern w:val="2"/>
                <w:sz w:val="21"/>
                <w:szCs w:val="21"/>
                <w:highlight w:val="none"/>
                <w:lang w:val="zh-CN"/>
              </w:rPr>
              <w:t>采购项目服务内容及具体标准要求</w:t>
            </w:r>
            <w:r>
              <w:rPr>
                <w:rFonts w:hint="eastAsia" w:ascii="宋体" w:hAnsi="宋体" w:eastAsia="宋体" w:cs="宋体"/>
                <w:b w:val="0"/>
                <w:bCs w:val="0"/>
                <w:color w:val="auto"/>
                <w:kern w:val="0"/>
                <w:sz w:val="21"/>
                <w:szCs w:val="21"/>
                <w:highlight w:val="none"/>
                <w:lang w:val="en-US" w:eastAsia="zh-CN" w:bidi="ar"/>
              </w:rPr>
              <w:t>中的</w:t>
            </w:r>
            <w:r>
              <w:rPr>
                <w:rFonts w:hint="eastAsia" w:ascii="宋体" w:hAnsi="宋体" w:eastAsia="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sz w:val="21"/>
                <w:szCs w:val="21"/>
                <w:highlight w:val="none"/>
              </w:rPr>
              <w:t>应急管理要求”相关内容）及保障措施方案进行评审：</w:t>
            </w:r>
          </w:p>
          <w:p w14:paraId="35226784">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1.方案完全满足且优于本项目用户需求的，得</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bidi="ar"/>
              </w:rPr>
              <w:t xml:space="preserve">分； </w:t>
            </w:r>
          </w:p>
          <w:p w14:paraId="122DD9A2">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2.方案完全满足本项目需求的，得</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bidi="ar"/>
              </w:rPr>
              <w:t xml:space="preserve">分； </w:t>
            </w:r>
          </w:p>
          <w:p w14:paraId="4470EBAF">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3.方案不能完全满足本项目用户需求的，得</w:t>
            </w: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 xml:space="preserve">分； </w:t>
            </w:r>
          </w:p>
          <w:p w14:paraId="612247DE">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4.方案不能满足用户需求或没有提供服务方案，得 0 分。</w:t>
            </w:r>
          </w:p>
        </w:tc>
      </w:tr>
      <w:tr w14:paraId="6C43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Merge w:val="continue"/>
            <w:vAlign w:val="center"/>
          </w:tcPr>
          <w:p w14:paraId="2EB0418F">
            <w:pPr>
              <w:pStyle w:val="46"/>
              <w:widowControl w:val="0"/>
              <w:jc w:val="center"/>
              <w:rPr>
                <w:rFonts w:hint="eastAsia" w:ascii="宋体" w:hAnsi="宋体" w:eastAsia="宋体" w:cs="宋体"/>
                <w:color w:val="auto"/>
                <w:sz w:val="21"/>
                <w:szCs w:val="21"/>
                <w:highlight w:val="none"/>
              </w:rPr>
            </w:pPr>
          </w:p>
        </w:tc>
        <w:tc>
          <w:tcPr>
            <w:tcW w:w="2176" w:type="dxa"/>
            <w:vAlign w:val="center"/>
          </w:tcPr>
          <w:p w14:paraId="682EB483">
            <w:pPr>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紧急现场支援能力</w:t>
            </w:r>
          </w:p>
          <w:p w14:paraId="23D6D319">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c>
          <w:tcPr>
            <w:tcW w:w="6599" w:type="dxa"/>
            <w:vAlign w:val="center"/>
          </w:tcPr>
          <w:p w14:paraId="32A84191">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投标人承诺：履约过程中，遇到紧急情况，可在30分钟内（含）</w:t>
            </w:r>
            <w:r>
              <w:rPr>
                <w:rFonts w:hint="eastAsia" w:ascii="宋体" w:hAnsi="宋体" w:eastAsia="宋体" w:cs="宋体"/>
                <w:color w:val="auto"/>
                <w:sz w:val="21"/>
                <w:szCs w:val="21"/>
                <w:highlight w:val="none"/>
              </w:rPr>
              <w:t>能调配周边资源至少</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人的服务团队到达项目主要实施地的支援能力</w:t>
            </w:r>
            <w:r>
              <w:rPr>
                <w:rFonts w:hint="eastAsia" w:ascii="宋体" w:hAnsi="宋体" w:eastAsia="宋体" w:cs="宋体"/>
                <w:color w:val="auto"/>
                <w:kern w:val="0"/>
                <w:sz w:val="21"/>
                <w:szCs w:val="21"/>
                <w:highlight w:val="none"/>
                <w:lang w:val="en-US" w:eastAsia="zh-CN" w:bidi="ar"/>
              </w:rPr>
              <w:t xml:space="preserve">，满足的得3分。 </w:t>
            </w:r>
          </w:p>
          <w:p w14:paraId="060A4C28">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提供承诺，可参照“投标文件格式”中《承诺函》格式。</w:t>
            </w:r>
          </w:p>
        </w:tc>
      </w:tr>
      <w:tr w14:paraId="6446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Merge w:val="continue"/>
            <w:vAlign w:val="center"/>
          </w:tcPr>
          <w:p w14:paraId="5582C22E">
            <w:pPr>
              <w:pStyle w:val="46"/>
              <w:widowControl w:val="0"/>
              <w:jc w:val="center"/>
              <w:rPr>
                <w:rFonts w:hint="eastAsia" w:ascii="宋体" w:hAnsi="宋体" w:eastAsia="宋体" w:cs="宋体"/>
                <w:color w:val="auto"/>
                <w:sz w:val="21"/>
                <w:szCs w:val="21"/>
                <w:highlight w:val="none"/>
              </w:rPr>
            </w:pPr>
          </w:p>
        </w:tc>
        <w:tc>
          <w:tcPr>
            <w:tcW w:w="2176" w:type="dxa"/>
            <w:vAlign w:val="center"/>
          </w:tcPr>
          <w:p w14:paraId="6F6C6E1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6599" w:type="dxa"/>
            <w:vAlign w:val="center"/>
          </w:tcPr>
          <w:p w14:paraId="6B5B0B1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拟投入本项目的项目经理（1人）：</w:t>
            </w:r>
          </w:p>
          <w:p w14:paraId="212D2CC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eastAsia="zh-CN" w:bidi="zh-CN"/>
              </w:rPr>
              <w:t>具有物业项目的项目经理任职经验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年或以上得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年（不含</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年）以下的不得分；</w:t>
            </w:r>
          </w:p>
          <w:p w14:paraId="180CD90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注：须提供①</w:t>
            </w:r>
            <w:r>
              <w:rPr>
                <w:rFonts w:hint="eastAsia" w:ascii="宋体" w:hAnsi="宋体" w:eastAsia="宋体" w:cs="宋体"/>
                <w:color w:val="auto"/>
                <w:sz w:val="21"/>
                <w:szCs w:val="21"/>
                <w:highlight w:val="none"/>
                <w:lang w:val="zh-CN" w:eastAsia="zh-CN" w:bidi="zh-CN"/>
              </w:rPr>
              <w:t>物业项目的项目经理任职经验</w:t>
            </w:r>
            <w:r>
              <w:rPr>
                <w:rFonts w:hint="eastAsia" w:ascii="宋体" w:hAnsi="宋体" w:eastAsia="宋体" w:cs="宋体"/>
                <w:color w:val="auto"/>
                <w:sz w:val="21"/>
                <w:szCs w:val="21"/>
                <w:highlight w:val="none"/>
              </w:rPr>
              <w:t>证明：投标人提供该人员工作履历介绍文件；②投标人为其缴纳</w:t>
            </w:r>
            <w:r>
              <w:rPr>
                <w:rFonts w:hint="eastAsia" w:ascii="宋体" w:hAnsi="宋体" w:eastAsia="宋体" w:cs="宋体"/>
                <w:color w:val="auto"/>
                <w:sz w:val="21"/>
                <w:szCs w:val="21"/>
                <w:highlight w:val="none"/>
                <w:lang w:val="en-US" w:eastAsia="zh-CN"/>
              </w:rPr>
              <w:t>2025年</w:t>
            </w:r>
            <w:r>
              <w:rPr>
                <w:rFonts w:hint="eastAsia" w:ascii="宋体" w:hAnsi="宋体" w:cs="宋体"/>
                <w:color w:val="auto"/>
                <w:sz w:val="21"/>
                <w:szCs w:val="21"/>
                <w:highlight w:val="none"/>
                <w:lang w:val="en-US" w:eastAsia="zh-CN"/>
              </w:rPr>
              <w:t>6月至</w:t>
            </w:r>
            <w:r>
              <w:rPr>
                <w:rFonts w:hint="eastAsia" w:ascii="宋体" w:hAnsi="宋体"/>
                <w:color w:val="auto"/>
                <w:szCs w:val="21"/>
                <w:highlight w:val="none"/>
              </w:rPr>
              <w:t>投标截止时间</w:t>
            </w:r>
            <w:r>
              <w:rPr>
                <w:rFonts w:hint="eastAsia" w:ascii="宋体" w:hAnsi="宋体"/>
                <w:color w:val="auto"/>
                <w:szCs w:val="21"/>
                <w:highlight w:val="none"/>
                <w:lang w:val="en-US" w:eastAsia="zh-CN"/>
              </w:rPr>
              <w:t>前</w:t>
            </w:r>
            <w:r>
              <w:rPr>
                <w:rFonts w:hint="eastAsia" w:ascii="宋体" w:hAnsi="宋体" w:eastAsia="宋体" w:cs="宋体"/>
                <w:color w:val="auto"/>
                <w:sz w:val="21"/>
                <w:szCs w:val="21"/>
                <w:highlight w:val="none"/>
              </w:rPr>
              <w:t>任意1个月的社保凭证复印件（须有社保部门盖章证明）。</w:t>
            </w:r>
          </w:p>
        </w:tc>
      </w:tr>
      <w:tr w14:paraId="3980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Merge w:val="continue"/>
            <w:vAlign w:val="center"/>
          </w:tcPr>
          <w:p w14:paraId="218FAA36">
            <w:pPr>
              <w:pStyle w:val="46"/>
              <w:widowControl w:val="0"/>
              <w:jc w:val="center"/>
              <w:rPr>
                <w:rFonts w:hint="eastAsia" w:ascii="宋体" w:hAnsi="宋体" w:eastAsia="宋体" w:cs="宋体"/>
                <w:color w:val="auto"/>
                <w:sz w:val="21"/>
                <w:szCs w:val="21"/>
                <w:highlight w:val="none"/>
              </w:rPr>
            </w:pPr>
          </w:p>
        </w:tc>
        <w:tc>
          <w:tcPr>
            <w:tcW w:w="2176" w:type="dxa"/>
            <w:vAlign w:val="center"/>
          </w:tcPr>
          <w:p w14:paraId="70B65A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投标人服务团队（</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.0分）</w:t>
            </w:r>
          </w:p>
        </w:tc>
        <w:tc>
          <w:tcPr>
            <w:tcW w:w="6599" w:type="dxa"/>
            <w:vAlign w:val="center"/>
          </w:tcPr>
          <w:p w14:paraId="47E0049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投标人服务团队（不含项目经理）：</w:t>
            </w:r>
          </w:p>
          <w:p w14:paraId="17E100B3">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保安</w:t>
            </w:r>
            <w:r>
              <w:rPr>
                <w:rFonts w:hint="eastAsia" w:ascii="宋体" w:hAnsi="宋体" w:eastAsia="宋体" w:cs="宋体"/>
                <w:color w:val="auto"/>
                <w:sz w:val="21"/>
                <w:szCs w:val="21"/>
                <w:highlight w:val="none"/>
              </w:rPr>
              <w:t>领班（1人）</w:t>
            </w:r>
          </w:p>
          <w:p w14:paraId="32F324A1">
            <w:pPr>
              <w:widowControl/>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（1）具备</w:t>
            </w:r>
            <w:r>
              <w:rPr>
                <w:rFonts w:hint="eastAsia" w:ascii="宋体" w:hAnsi="宋体" w:eastAsia="宋体" w:cs="宋体"/>
                <w:color w:val="auto"/>
                <w:sz w:val="21"/>
                <w:szCs w:val="21"/>
                <w:highlight w:val="none"/>
              </w:rPr>
              <w:t>3年或以上保安管理工作经验</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val="en-US" w:eastAsia="zh-CN" w:bidi="ar"/>
              </w:rPr>
              <w:t>不满足</w:t>
            </w:r>
            <w:r>
              <w:rPr>
                <w:rFonts w:hint="eastAsia" w:ascii="宋体" w:hAnsi="宋体" w:eastAsia="宋体" w:cs="宋体"/>
                <w:color w:val="auto"/>
                <w:kern w:val="0"/>
                <w:sz w:val="21"/>
                <w:szCs w:val="21"/>
                <w:highlight w:val="none"/>
                <w:lang w:bidi="ar"/>
              </w:rPr>
              <w:t>不得分，满分</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p>
          <w:p w14:paraId="2AB6F3BF">
            <w:pPr>
              <w:widowControl/>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2、消防控制中心值班员（2人）</w:t>
            </w:r>
          </w:p>
          <w:p w14:paraId="00FB10F1">
            <w:pPr>
              <w:widowControl/>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（1）每1人具备3 年或以上技工经验得2分，不满足不得分，满分4分。</w:t>
            </w:r>
          </w:p>
          <w:p w14:paraId="25A006F3">
            <w:pPr>
              <w:widowControl/>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3、保洁服务</w:t>
            </w:r>
            <w:r>
              <w:rPr>
                <w:rFonts w:hint="eastAsia" w:ascii="宋体" w:hAnsi="宋体" w:eastAsia="宋体" w:cs="宋体"/>
                <w:color w:val="auto"/>
                <w:sz w:val="21"/>
                <w:szCs w:val="21"/>
                <w:highlight w:val="none"/>
                <w:lang w:eastAsia="zh-CN"/>
              </w:rPr>
              <w:t>领班</w:t>
            </w:r>
            <w:r>
              <w:rPr>
                <w:rFonts w:hint="eastAsia" w:ascii="宋体" w:hAnsi="宋体" w:eastAsia="宋体" w:cs="宋体"/>
                <w:color w:val="auto"/>
                <w:kern w:val="0"/>
                <w:sz w:val="21"/>
                <w:szCs w:val="21"/>
                <w:highlight w:val="none"/>
                <w:lang w:bidi="ar"/>
              </w:rPr>
              <w:t>（1人）</w:t>
            </w:r>
          </w:p>
          <w:p w14:paraId="4B42496B">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（1）具备</w:t>
            </w:r>
            <w:r>
              <w:rPr>
                <w:rFonts w:hint="eastAsia" w:ascii="宋体" w:hAnsi="宋体" w:eastAsia="宋体" w:cs="宋体"/>
                <w:color w:val="auto"/>
                <w:sz w:val="21"/>
                <w:szCs w:val="21"/>
                <w:highlight w:val="none"/>
              </w:rPr>
              <w:t>3年或以上保洁工作经验</w:t>
            </w:r>
            <w:r>
              <w:rPr>
                <w:rFonts w:hint="eastAsia" w:ascii="宋体" w:hAnsi="宋体" w:eastAsia="宋体" w:cs="宋体"/>
                <w:color w:val="auto"/>
                <w:kern w:val="0"/>
                <w:sz w:val="21"/>
                <w:szCs w:val="21"/>
                <w:highlight w:val="none"/>
                <w:lang w:bidi="ar"/>
              </w:rPr>
              <w:t>得</w:t>
            </w:r>
            <w:r>
              <w:rPr>
                <w:rFonts w:hint="default"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val="en-US" w:eastAsia="zh-CN" w:bidi="ar"/>
              </w:rPr>
              <w:t>不满足</w:t>
            </w:r>
            <w:r>
              <w:rPr>
                <w:rFonts w:hint="eastAsia" w:ascii="宋体" w:hAnsi="宋体" w:eastAsia="宋体" w:cs="宋体"/>
                <w:color w:val="auto"/>
                <w:kern w:val="0"/>
                <w:sz w:val="21"/>
                <w:szCs w:val="21"/>
                <w:highlight w:val="none"/>
                <w:lang w:bidi="ar"/>
              </w:rPr>
              <w:t>不得分，满分</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p>
          <w:p w14:paraId="66019BD1">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2"/>
                <w:sz w:val="21"/>
                <w:szCs w:val="21"/>
                <w:highlight w:val="none"/>
              </w:rPr>
              <w:t>绿化工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w:t>
            </w:r>
          </w:p>
          <w:p w14:paraId="7ECC15B5">
            <w:pPr>
              <w:widowControl/>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每1人</w:t>
            </w:r>
            <w:r>
              <w:rPr>
                <w:rFonts w:hint="eastAsia" w:ascii="宋体" w:hAnsi="宋体" w:eastAsia="宋体" w:cs="宋体"/>
                <w:color w:val="auto"/>
                <w:kern w:val="0"/>
                <w:sz w:val="21"/>
                <w:szCs w:val="21"/>
                <w:highlight w:val="none"/>
                <w:lang w:bidi="ar"/>
              </w:rPr>
              <w:t>具备</w:t>
            </w:r>
            <w:r>
              <w:rPr>
                <w:rFonts w:hint="eastAsia" w:ascii="宋体" w:hAnsi="宋体" w:eastAsia="宋体" w:cs="宋体"/>
                <w:color w:val="auto"/>
                <w:sz w:val="21"/>
                <w:szCs w:val="21"/>
                <w:highlight w:val="none"/>
              </w:rPr>
              <w:t>3年或以上绿化养护工作经验</w:t>
            </w:r>
            <w:r>
              <w:rPr>
                <w:rFonts w:hint="eastAsia" w:ascii="宋体" w:hAnsi="宋体" w:eastAsia="宋体" w:cs="宋体"/>
                <w:color w:val="auto"/>
                <w:kern w:val="0"/>
                <w:sz w:val="21"/>
                <w:szCs w:val="21"/>
                <w:highlight w:val="none"/>
                <w:lang w:bidi="ar"/>
              </w:rPr>
              <w:t>得</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满分</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分</w:t>
            </w:r>
            <w:r>
              <w:rPr>
                <w:rFonts w:hint="eastAsia" w:ascii="宋体" w:hAnsi="宋体" w:eastAsia="宋体" w:cs="宋体"/>
                <w:color w:val="auto"/>
                <w:kern w:val="0"/>
                <w:sz w:val="21"/>
                <w:szCs w:val="21"/>
                <w:highlight w:val="none"/>
                <w:lang w:bidi="ar"/>
              </w:rPr>
              <w:t>。</w:t>
            </w:r>
          </w:p>
          <w:p w14:paraId="27537BB7">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5、保安员的经验</w:t>
            </w:r>
            <w:r>
              <w:rPr>
                <w:rFonts w:hint="eastAsia" w:ascii="宋体" w:hAnsi="宋体" w:cs="宋体"/>
                <w:color w:val="auto"/>
                <w:kern w:val="0"/>
                <w:sz w:val="21"/>
                <w:szCs w:val="21"/>
                <w:highlight w:val="none"/>
                <w:lang w:val="en-US" w:eastAsia="zh-CN" w:bidi="ar"/>
              </w:rPr>
              <w:t>（12人）</w:t>
            </w:r>
          </w:p>
          <w:p w14:paraId="427307E0">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highlight w:val="none"/>
                <w:lang w:val="en-US" w:eastAsia="zh-CN"/>
              </w:rPr>
              <w:t>（1）</w:t>
            </w:r>
            <w:r>
              <w:rPr>
                <w:rFonts w:hint="eastAsia" w:ascii="宋体" w:hAnsi="宋体" w:eastAsia="宋体" w:cs="宋体"/>
                <w:color w:val="auto"/>
                <w:kern w:val="0"/>
                <w:sz w:val="21"/>
                <w:szCs w:val="21"/>
                <w:highlight w:val="none"/>
                <w:lang w:val="en-US" w:eastAsia="zh-CN" w:bidi="ar"/>
              </w:rPr>
              <w:t>拟派保安员具有3年或以上保安工作经验的，每人得0.5，满分</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分。</w:t>
            </w:r>
          </w:p>
          <w:p w14:paraId="651A4CB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注：须提供①服务团队人员名单，并显示人员分工情况③管理经验证明：投标人提供该人员管理工作履历介绍文件③投标人为其缴纳</w:t>
            </w:r>
            <w:r>
              <w:rPr>
                <w:rFonts w:hint="eastAsia" w:ascii="宋体" w:hAnsi="宋体" w:eastAsia="宋体" w:cs="宋体"/>
                <w:color w:val="auto"/>
                <w:sz w:val="21"/>
                <w:szCs w:val="21"/>
                <w:highlight w:val="none"/>
                <w:lang w:val="en-US" w:eastAsia="zh-CN"/>
              </w:rPr>
              <w:t>2025年</w:t>
            </w:r>
            <w:r>
              <w:rPr>
                <w:rFonts w:hint="eastAsia" w:ascii="宋体" w:hAnsi="宋体" w:cs="宋体"/>
                <w:color w:val="auto"/>
                <w:sz w:val="21"/>
                <w:szCs w:val="21"/>
                <w:highlight w:val="none"/>
                <w:lang w:val="en-US" w:eastAsia="zh-CN"/>
              </w:rPr>
              <w:t>6月至</w:t>
            </w:r>
            <w:r>
              <w:rPr>
                <w:rFonts w:hint="eastAsia" w:ascii="宋体" w:hAnsi="宋体"/>
                <w:color w:val="auto"/>
                <w:szCs w:val="21"/>
                <w:highlight w:val="none"/>
              </w:rPr>
              <w:t>投标截止时间</w:t>
            </w:r>
            <w:r>
              <w:rPr>
                <w:rFonts w:hint="eastAsia" w:ascii="宋体" w:hAnsi="宋体"/>
                <w:color w:val="auto"/>
                <w:szCs w:val="21"/>
                <w:highlight w:val="none"/>
                <w:lang w:val="en-US" w:eastAsia="zh-CN"/>
              </w:rPr>
              <w:t>前</w:t>
            </w:r>
            <w:r>
              <w:rPr>
                <w:rFonts w:hint="eastAsia" w:ascii="宋体" w:hAnsi="宋体" w:eastAsia="宋体" w:cs="宋体"/>
                <w:color w:val="auto"/>
                <w:sz w:val="21"/>
                <w:szCs w:val="21"/>
                <w:highlight w:val="none"/>
              </w:rPr>
              <w:t>任意1个月的社保凭证复印件（须有社保部门盖章证明）。</w:t>
            </w:r>
          </w:p>
        </w:tc>
      </w:tr>
    </w:tbl>
    <w:p w14:paraId="6F4E2610">
      <w:pPr>
        <w:pStyle w:val="8"/>
        <w:ind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2.商务评价： </w:t>
      </w:r>
    </w:p>
    <w:tbl>
      <w:tblPr>
        <w:tblStyle w:val="38"/>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15"/>
        <w:gridCol w:w="6931"/>
      </w:tblGrid>
      <w:tr w14:paraId="0F4E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DBE2C65">
            <w:pPr>
              <w:pStyle w:val="46"/>
              <w:widowControl w:val="0"/>
              <w:jc w:val="center"/>
              <w:rPr>
                <w:rFonts w:hint="eastAsia" w:hAnsi="宋体"/>
                <w:color w:val="auto"/>
                <w:sz w:val="21"/>
                <w:szCs w:val="21"/>
                <w:highlight w:val="none"/>
              </w:rPr>
            </w:pPr>
            <w:r>
              <w:rPr>
                <w:rFonts w:hint="eastAsia" w:hAnsi="宋体"/>
                <w:color w:val="auto"/>
                <w:sz w:val="21"/>
                <w:szCs w:val="21"/>
                <w:highlight w:val="none"/>
              </w:rPr>
              <w:t>评审因素</w:t>
            </w:r>
          </w:p>
        </w:tc>
        <w:tc>
          <w:tcPr>
            <w:tcW w:w="8746" w:type="dxa"/>
            <w:gridSpan w:val="2"/>
            <w:tcBorders>
              <w:top w:val="single" w:color="auto" w:sz="4" w:space="0"/>
              <w:left w:val="single" w:color="auto" w:sz="4" w:space="0"/>
              <w:bottom w:val="single" w:color="auto" w:sz="4" w:space="0"/>
              <w:right w:val="single" w:color="auto" w:sz="4" w:space="0"/>
            </w:tcBorders>
            <w:vAlign w:val="center"/>
          </w:tcPr>
          <w:p w14:paraId="24317BC8">
            <w:pPr>
              <w:pStyle w:val="46"/>
              <w:widowControl w:val="0"/>
              <w:jc w:val="center"/>
              <w:rPr>
                <w:rFonts w:hint="eastAsia" w:hAnsi="宋体"/>
                <w:color w:val="auto"/>
                <w:sz w:val="21"/>
                <w:szCs w:val="21"/>
                <w:highlight w:val="none"/>
              </w:rPr>
            </w:pPr>
            <w:r>
              <w:rPr>
                <w:rFonts w:hint="eastAsia" w:hAnsi="宋体"/>
                <w:color w:val="auto"/>
                <w:sz w:val="21"/>
                <w:szCs w:val="21"/>
                <w:highlight w:val="none"/>
              </w:rPr>
              <w:t>评审标准</w:t>
            </w:r>
          </w:p>
        </w:tc>
      </w:tr>
      <w:tr w14:paraId="5438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vMerge w:val="restart"/>
            <w:tcBorders>
              <w:top w:val="single" w:color="auto" w:sz="4" w:space="0"/>
              <w:left w:val="single" w:color="auto" w:sz="4" w:space="0"/>
              <w:right w:val="single" w:color="auto" w:sz="4" w:space="0"/>
            </w:tcBorders>
            <w:vAlign w:val="center"/>
          </w:tcPr>
          <w:p w14:paraId="78C912E6">
            <w:pPr>
              <w:pStyle w:val="46"/>
              <w:widowControl w:val="0"/>
              <w:jc w:val="center"/>
              <w:rPr>
                <w:rFonts w:hint="eastAsia" w:hAnsi="宋体"/>
                <w:color w:val="auto"/>
                <w:sz w:val="21"/>
                <w:szCs w:val="21"/>
                <w:highlight w:val="none"/>
              </w:rPr>
            </w:pPr>
            <w:r>
              <w:rPr>
                <w:rFonts w:hint="eastAsia" w:hAnsi="宋体"/>
                <w:color w:val="auto"/>
                <w:sz w:val="21"/>
                <w:szCs w:val="21"/>
                <w:highlight w:val="none"/>
              </w:rPr>
              <w:t>商务部分</w:t>
            </w:r>
          </w:p>
        </w:tc>
        <w:tc>
          <w:tcPr>
            <w:tcW w:w="1815" w:type="dxa"/>
            <w:tcBorders>
              <w:top w:val="single" w:color="auto" w:sz="4" w:space="0"/>
              <w:left w:val="single" w:color="auto" w:sz="4" w:space="0"/>
              <w:bottom w:val="single" w:color="auto" w:sz="4" w:space="0"/>
              <w:right w:val="single" w:color="auto" w:sz="4" w:space="0"/>
            </w:tcBorders>
            <w:vAlign w:val="center"/>
          </w:tcPr>
          <w:p w14:paraId="7F42B06D">
            <w:pPr>
              <w:jc w:val="center"/>
              <w:rPr>
                <w:rFonts w:hint="eastAsia" w:ascii="宋体" w:hAnsi="宋体" w:cs="宋体"/>
                <w:color w:val="auto"/>
                <w:szCs w:val="21"/>
                <w:highlight w:val="none"/>
              </w:rPr>
            </w:pPr>
            <w:r>
              <w:rPr>
                <w:rFonts w:hint="eastAsia" w:ascii="宋体" w:hAnsi="宋体" w:cs="宋体"/>
                <w:color w:val="auto"/>
                <w:szCs w:val="21"/>
                <w:highlight w:val="none"/>
              </w:rPr>
              <w:t>同类项目业绩（5.0分）</w:t>
            </w:r>
          </w:p>
        </w:tc>
        <w:tc>
          <w:tcPr>
            <w:tcW w:w="6931" w:type="dxa"/>
            <w:tcBorders>
              <w:top w:val="single" w:color="auto" w:sz="4" w:space="0"/>
              <w:left w:val="single" w:color="auto" w:sz="4" w:space="0"/>
              <w:bottom w:val="single" w:color="auto" w:sz="4" w:space="0"/>
              <w:right w:val="single" w:color="auto" w:sz="4" w:space="0"/>
            </w:tcBorders>
            <w:vAlign w:val="center"/>
          </w:tcPr>
          <w:p w14:paraId="4257F146">
            <w:pPr>
              <w:keepNext w:val="0"/>
              <w:keepLines w:val="0"/>
              <w:widowControl/>
              <w:suppressLineNumbers w:val="0"/>
              <w:jc w:val="left"/>
              <w:rPr>
                <w:rFonts w:hint="eastAsia" w:ascii="宋体" w:hAnsi="宋体" w:cs="宋体"/>
                <w:color w:val="auto"/>
                <w:szCs w:val="21"/>
                <w:highlight w:val="none"/>
              </w:rPr>
            </w:pPr>
            <w:r>
              <w:rPr>
                <w:rFonts w:hint="eastAsia" w:ascii="宋体" w:hAnsi="宋体" w:cs="宋体"/>
                <w:color w:val="auto"/>
                <w:szCs w:val="21"/>
                <w:highlight w:val="none"/>
              </w:rPr>
              <w:t>投标人自202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年1月1日（以合同签订日期为准）以来具有</w:t>
            </w:r>
            <w:r>
              <w:rPr>
                <w:rFonts w:hint="eastAsia" w:ascii="宋体" w:hAnsi="宋体" w:eastAsia="宋体" w:cs="宋体"/>
                <w:color w:val="auto"/>
                <w:kern w:val="0"/>
                <w:sz w:val="21"/>
                <w:szCs w:val="21"/>
                <w:highlight w:val="none"/>
                <w:lang w:val="en-US" w:eastAsia="zh-CN" w:bidi="ar"/>
              </w:rPr>
              <w:t>保安服务或物业服务项目业绩的</w:t>
            </w:r>
            <w:r>
              <w:rPr>
                <w:rFonts w:hint="eastAsia" w:ascii="宋体" w:hAnsi="宋体" w:cs="宋体"/>
                <w:color w:val="auto"/>
                <w:szCs w:val="21"/>
                <w:highlight w:val="none"/>
              </w:rPr>
              <w:t>，每提供一份得1分，本项最高得5分。</w:t>
            </w:r>
          </w:p>
          <w:p w14:paraId="5607BE4B">
            <w:pPr>
              <w:widowControl/>
              <w:jc w:val="left"/>
              <w:rPr>
                <w:rFonts w:hint="eastAsia"/>
                <w:color w:val="auto"/>
                <w:highlight w:val="none"/>
              </w:rPr>
            </w:pPr>
            <w:r>
              <w:rPr>
                <w:rFonts w:hint="eastAsia" w:ascii="宋体" w:hAnsi="宋体" w:cs="宋体"/>
                <w:color w:val="auto"/>
                <w:szCs w:val="21"/>
                <w:highlight w:val="none"/>
              </w:rPr>
              <w:t>注：须提供合同复印件作为评审依据，无提供不得分。</w:t>
            </w:r>
          </w:p>
        </w:tc>
      </w:tr>
      <w:tr w14:paraId="6BD4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vMerge w:val="continue"/>
            <w:tcBorders>
              <w:left w:val="single" w:color="auto" w:sz="4" w:space="0"/>
              <w:right w:val="single" w:color="auto" w:sz="4" w:space="0"/>
            </w:tcBorders>
            <w:vAlign w:val="center"/>
          </w:tcPr>
          <w:p w14:paraId="414144A8">
            <w:pPr>
              <w:pStyle w:val="46"/>
              <w:widowControl w:val="0"/>
              <w:jc w:val="center"/>
              <w:rPr>
                <w:rFonts w:hint="eastAsia" w:hAnsi="宋体"/>
                <w:color w:val="auto"/>
                <w:sz w:val="21"/>
                <w:szCs w:val="21"/>
                <w:highlight w:val="none"/>
              </w:rPr>
            </w:pPr>
            <w:bookmarkStart w:id="7" w:name="_Hlk183557942"/>
          </w:p>
        </w:tc>
        <w:tc>
          <w:tcPr>
            <w:tcW w:w="1815" w:type="dxa"/>
            <w:tcBorders>
              <w:top w:val="single" w:color="auto" w:sz="4" w:space="0"/>
              <w:left w:val="single" w:color="auto" w:sz="4" w:space="0"/>
              <w:bottom w:val="single" w:color="auto" w:sz="4" w:space="0"/>
              <w:right w:val="single" w:color="auto" w:sz="4" w:space="0"/>
            </w:tcBorders>
            <w:vAlign w:val="center"/>
          </w:tcPr>
          <w:p w14:paraId="2B83FBF1">
            <w:pPr>
              <w:jc w:val="center"/>
              <w:rPr>
                <w:rFonts w:hint="eastAsia" w:ascii="宋体" w:hAnsi="宋体" w:cs="宋体"/>
                <w:color w:val="auto"/>
                <w:szCs w:val="21"/>
                <w:highlight w:val="none"/>
              </w:rPr>
            </w:pPr>
            <w:r>
              <w:rPr>
                <w:rFonts w:hint="eastAsia" w:ascii="宋体" w:hAnsi="宋体" w:cs="宋体"/>
                <w:color w:val="auto"/>
                <w:szCs w:val="21"/>
                <w:highlight w:val="none"/>
              </w:rPr>
              <w:t>投标人认证体系情况（12.0分）</w:t>
            </w:r>
          </w:p>
        </w:tc>
        <w:tc>
          <w:tcPr>
            <w:tcW w:w="6931" w:type="dxa"/>
            <w:tcBorders>
              <w:top w:val="single" w:color="auto" w:sz="4" w:space="0"/>
              <w:left w:val="single" w:color="auto" w:sz="4" w:space="0"/>
              <w:bottom w:val="single" w:color="auto" w:sz="4" w:space="0"/>
              <w:right w:val="single" w:color="auto" w:sz="4" w:space="0"/>
            </w:tcBorders>
            <w:vAlign w:val="center"/>
          </w:tcPr>
          <w:p w14:paraId="2B1FAFCB">
            <w:pPr>
              <w:widowControl/>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bCs w:val="0"/>
                <w:color w:val="auto"/>
                <w:sz w:val="21"/>
                <w:szCs w:val="21"/>
                <w:highlight w:val="none"/>
                <w:lang w:eastAsia="zh-CN"/>
              </w:rPr>
              <w:t>具有有效期内的质量管理体系认证证书（认证范围与物业管理相关）</w:t>
            </w:r>
            <w:r>
              <w:rPr>
                <w:rFonts w:hint="eastAsia" w:ascii="宋体" w:hAnsi="宋体" w:cs="宋体"/>
                <w:color w:val="auto"/>
                <w:szCs w:val="21"/>
                <w:highlight w:val="none"/>
              </w:rPr>
              <w:t>，得6分；</w:t>
            </w:r>
          </w:p>
          <w:p w14:paraId="71A3AC10">
            <w:pPr>
              <w:widowControl/>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bCs w:val="0"/>
                <w:color w:val="auto"/>
                <w:sz w:val="21"/>
                <w:szCs w:val="21"/>
                <w:highlight w:val="none"/>
                <w:lang w:eastAsia="zh-CN"/>
              </w:rPr>
              <w:t>具有有效期内的物业服务认证证书/物业管理服务认证证书</w:t>
            </w:r>
            <w:r>
              <w:rPr>
                <w:rFonts w:hint="eastAsia" w:ascii="宋体" w:hAnsi="宋体" w:cs="宋体"/>
                <w:color w:val="auto"/>
                <w:szCs w:val="21"/>
                <w:highlight w:val="none"/>
              </w:rPr>
              <w:t>，得6分。</w:t>
            </w:r>
          </w:p>
          <w:p w14:paraId="41DDE16E">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①以上证书须提供证书复印件及及全国认证认可信息公共服务平台（http://cx.cnca.cn/CertECloud/index/index/page）查询结果截图作为评审依据，无提供不得分。②如投标人因成立时间不足三个月原因，导致无法获得上述认证的，需提供书面说明，可对应得分。</w:t>
            </w:r>
          </w:p>
        </w:tc>
      </w:tr>
      <w:bookmarkEnd w:id="7"/>
    </w:tbl>
    <w:p w14:paraId="644AC9EC">
      <w:pPr>
        <w:pStyle w:val="8"/>
        <w:ind w:firstLineChars="200"/>
        <w:rPr>
          <w:rFonts w:hint="eastAsia" w:ascii="宋体" w:hAnsi="宋体"/>
          <w:color w:val="auto"/>
          <w:szCs w:val="21"/>
          <w:highlight w:val="none"/>
        </w:rPr>
      </w:pPr>
      <w:r>
        <w:rPr>
          <w:rFonts w:hint="eastAsia" w:ascii="宋体" w:hAnsi="宋体"/>
          <w:color w:val="auto"/>
          <w:szCs w:val="21"/>
          <w:highlight w:val="none"/>
        </w:rPr>
        <w:t>3.价格评价（</w:t>
      </w:r>
      <w:r>
        <w:rPr>
          <w:rFonts w:hint="eastAsia" w:ascii="宋体" w:hAnsi="宋体"/>
          <w:color w:val="auto"/>
          <w:szCs w:val="21"/>
          <w:highlight w:val="none"/>
          <w:lang w:val="en-US" w:eastAsia="zh-CN"/>
        </w:rPr>
        <w:t>15</w:t>
      </w:r>
      <w:r>
        <w:rPr>
          <w:rFonts w:hint="eastAsia" w:ascii="宋体" w:hAnsi="宋体"/>
          <w:color w:val="auto"/>
          <w:szCs w:val="21"/>
          <w:highlight w:val="none"/>
        </w:rPr>
        <w:t>分）：</w:t>
      </w:r>
    </w:p>
    <w:p w14:paraId="2EFD8F70">
      <w:pPr>
        <w:pStyle w:val="8"/>
        <w:ind w:firstLineChars="200"/>
        <w:rPr>
          <w:rFonts w:hint="eastAsia" w:ascii="宋体" w:hAnsi="宋体"/>
          <w:color w:val="auto"/>
          <w:szCs w:val="21"/>
          <w:highlight w:val="none"/>
        </w:rPr>
      </w:pPr>
      <w:r>
        <w:rPr>
          <w:rFonts w:hint="eastAsia" w:ascii="宋体" w:hAnsi="宋体"/>
          <w:color w:val="auto"/>
          <w:szCs w:val="21"/>
          <w:highlight w:val="none"/>
        </w:rPr>
        <w:t>（1）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14:paraId="706EA45B">
      <w:pPr>
        <w:pStyle w:val="8"/>
        <w:ind w:firstLineChars="200"/>
        <w:rPr>
          <w:rFonts w:hint="eastAsia" w:ascii="宋体" w:hAnsi="宋体"/>
          <w:color w:val="auto"/>
          <w:szCs w:val="21"/>
          <w:highlight w:val="none"/>
        </w:rPr>
      </w:pPr>
      <w:r>
        <w:rPr>
          <w:rFonts w:hint="eastAsia" w:ascii="宋体" w:hAnsi="宋体"/>
          <w:color w:val="auto"/>
          <w:szCs w:val="21"/>
          <w:highlight w:val="none"/>
        </w:rPr>
        <w:t>（2）评标价的确定：经投标文件符合性审查进行必要的价格更正及按上述条款的原则校核修正后的价格为评标价。</w:t>
      </w:r>
    </w:p>
    <w:p w14:paraId="211A53FE">
      <w:pPr>
        <w:pStyle w:val="8"/>
        <w:ind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（3）计算价格评分：各有效投标供应商的评标价中，取最低者作为基准价，各有效投标供应商的价格评分统一按照下列公式计算： 价格评分＝（基准价÷评标价）×</w:t>
      </w:r>
      <w:r>
        <w:rPr>
          <w:rFonts w:hint="eastAsia" w:ascii="宋体" w:hAnsi="宋体"/>
          <w:color w:val="auto"/>
          <w:szCs w:val="21"/>
          <w:highlight w:val="none"/>
          <w:lang w:val="en-US" w:eastAsia="zh-CN"/>
        </w:rPr>
        <w:t>15</w:t>
      </w:r>
    </w:p>
    <w:p w14:paraId="7CCF1C0F">
      <w:pPr>
        <w:pStyle w:val="8"/>
        <w:ind w:firstLineChars="200"/>
        <w:rPr>
          <w:rFonts w:hint="eastAsia" w:ascii="宋体" w:hAnsi="宋体"/>
          <w:color w:val="auto"/>
          <w:szCs w:val="21"/>
          <w:highlight w:val="none"/>
        </w:rPr>
      </w:pPr>
    </w:p>
    <w:p w14:paraId="702A10F2">
      <w:pPr>
        <w:pStyle w:val="8"/>
        <w:ind w:firstLineChars="200"/>
        <w:rPr>
          <w:rFonts w:hint="eastAsia" w:ascii="宋体" w:hAnsi="宋体"/>
          <w:color w:val="auto"/>
          <w:szCs w:val="21"/>
          <w:highlight w:val="none"/>
        </w:rPr>
      </w:pPr>
      <w:r>
        <w:rPr>
          <w:rFonts w:hint="eastAsia" w:ascii="宋体" w:hAnsi="宋体"/>
          <w:color w:val="auto"/>
          <w:szCs w:val="21"/>
          <w:highlight w:val="none"/>
        </w:rPr>
        <w:t>4.综合比较与评价：</w:t>
      </w:r>
    </w:p>
    <w:p w14:paraId="38C7A645">
      <w:pPr>
        <w:pStyle w:val="8"/>
        <w:ind w:firstLineChars="200"/>
        <w:rPr>
          <w:rFonts w:hint="eastAsia" w:ascii="宋体" w:hAnsi="宋体"/>
          <w:color w:val="auto"/>
          <w:szCs w:val="21"/>
          <w:highlight w:val="none"/>
        </w:rPr>
      </w:pPr>
      <w:r>
        <w:rPr>
          <w:rFonts w:hint="eastAsia" w:ascii="宋体" w:hAnsi="宋体"/>
          <w:color w:val="auto"/>
          <w:szCs w:val="21"/>
          <w:highlight w:val="none"/>
        </w:rPr>
        <w:t xml:space="preserve">根据每个投标人在上述各评审阶段中的得分，采用下面公式算出每个投标人的综合得分： </w:t>
      </w:r>
    </w:p>
    <w:p w14:paraId="40D7CD75">
      <w:pPr>
        <w:pStyle w:val="8"/>
        <w:ind w:firstLineChars="200"/>
        <w:rPr>
          <w:rFonts w:hint="eastAsia" w:ascii="宋体" w:hAnsi="宋体"/>
          <w:color w:val="auto"/>
          <w:szCs w:val="21"/>
          <w:highlight w:val="none"/>
          <w:lang w:val="fr-CH"/>
        </w:rPr>
      </w:pPr>
      <w:r>
        <w:rPr>
          <w:rFonts w:hint="eastAsia" w:ascii="宋体" w:hAnsi="宋体"/>
          <w:color w:val="auto"/>
          <w:szCs w:val="21"/>
          <w:highlight w:val="none"/>
          <w:lang w:val="fr-CH"/>
        </w:rPr>
        <w:t>W＝[Cmin/C]×</w:t>
      </w:r>
      <w:r>
        <w:rPr>
          <w:rFonts w:hint="eastAsia" w:ascii="宋体" w:hAnsi="宋体"/>
          <w:color w:val="auto"/>
          <w:szCs w:val="21"/>
          <w:highlight w:val="none"/>
          <w:lang w:val="en-US" w:eastAsia="zh-CN"/>
        </w:rPr>
        <w:t>15</w:t>
      </w:r>
      <w:r>
        <w:rPr>
          <w:rFonts w:hint="eastAsia" w:ascii="宋体" w:hAnsi="宋体"/>
          <w:color w:val="auto"/>
          <w:szCs w:val="21"/>
          <w:highlight w:val="none"/>
          <w:lang w:val="fr-CH"/>
        </w:rPr>
        <w:t xml:space="preserve"> ＋ T ＋ M </w:t>
      </w:r>
    </w:p>
    <w:p w14:paraId="7468D2BA">
      <w:pPr>
        <w:pStyle w:val="8"/>
        <w:ind w:firstLineChars="200"/>
        <w:rPr>
          <w:rFonts w:hint="eastAsia" w:ascii="宋体" w:hAnsi="宋体"/>
          <w:color w:val="auto"/>
          <w:szCs w:val="21"/>
          <w:highlight w:val="none"/>
        </w:rPr>
      </w:pPr>
      <w:r>
        <w:rPr>
          <w:rFonts w:hint="eastAsia" w:ascii="宋体" w:hAnsi="宋体"/>
          <w:color w:val="auto"/>
          <w:szCs w:val="21"/>
          <w:highlight w:val="none"/>
        </w:rPr>
        <w:t>其中：</w:t>
      </w:r>
    </w:p>
    <w:p w14:paraId="714727C7">
      <w:pPr>
        <w:pStyle w:val="8"/>
        <w:ind w:firstLineChars="200"/>
        <w:rPr>
          <w:rFonts w:hint="eastAsia" w:ascii="宋体" w:hAnsi="宋体"/>
          <w:color w:val="auto"/>
          <w:szCs w:val="21"/>
          <w:highlight w:val="none"/>
        </w:rPr>
      </w:pPr>
      <w:r>
        <w:rPr>
          <w:rFonts w:hint="eastAsia" w:ascii="宋体" w:hAnsi="宋体"/>
          <w:color w:val="auto"/>
          <w:szCs w:val="21"/>
          <w:highlight w:val="none"/>
        </w:rPr>
        <w:t>W      某个投标人的综合得分；</w:t>
      </w:r>
    </w:p>
    <w:p w14:paraId="3AFB5439">
      <w:pPr>
        <w:pStyle w:val="8"/>
        <w:ind w:firstLineChars="200"/>
        <w:rPr>
          <w:rFonts w:hint="eastAsia" w:ascii="宋体" w:hAnsi="宋体"/>
          <w:color w:val="auto"/>
          <w:szCs w:val="21"/>
          <w:highlight w:val="none"/>
        </w:rPr>
      </w:pPr>
      <w:r>
        <w:rPr>
          <w:rFonts w:hint="eastAsia" w:ascii="宋体" w:hAnsi="宋体"/>
          <w:color w:val="auto"/>
          <w:szCs w:val="21"/>
          <w:highlight w:val="none"/>
        </w:rPr>
        <w:t xml:space="preserve">C      某个投标人的评标价； </w:t>
      </w:r>
    </w:p>
    <w:p w14:paraId="237860AD">
      <w:pPr>
        <w:pStyle w:val="8"/>
        <w:ind w:firstLineChars="200"/>
        <w:rPr>
          <w:rFonts w:hint="eastAsia" w:ascii="宋体" w:hAnsi="宋体"/>
          <w:color w:val="auto"/>
          <w:szCs w:val="21"/>
          <w:highlight w:val="none"/>
        </w:rPr>
      </w:pPr>
      <w:r>
        <w:rPr>
          <w:rFonts w:hint="eastAsia" w:ascii="宋体" w:hAnsi="宋体"/>
          <w:color w:val="auto"/>
          <w:szCs w:val="21"/>
          <w:highlight w:val="none"/>
        </w:rPr>
        <w:t>Cmin   满足招标文件要求的最低评标价；</w:t>
      </w:r>
    </w:p>
    <w:p w14:paraId="0128CC8F">
      <w:pPr>
        <w:pStyle w:val="8"/>
        <w:ind w:firstLineChars="200"/>
        <w:rPr>
          <w:rFonts w:hint="eastAsia" w:ascii="宋体" w:hAnsi="宋体"/>
          <w:color w:val="auto"/>
          <w:szCs w:val="21"/>
          <w:highlight w:val="none"/>
        </w:rPr>
      </w:pPr>
      <w:r>
        <w:rPr>
          <w:rFonts w:hint="eastAsia" w:ascii="宋体" w:hAnsi="宋体"/>
          <w:color w:val="auto"/>
          <w:szCs w:val="21"/>
          <w:highlight w:val="none"/>
        </w:rPr>
        <w:t>T       某个投标人的服务评审得分；</w:t>
      </w:r>
    </w:p>
    <w:p w14:paraId="46A6F2F0">
      <w:pPr>
        <w:pStyle w:val="8"/>
        <w:ind w:firstLineChars="200"/>
        <w:rPr>
          <w:rFonts w:hint="eastAsia" w:ascii="宋体" w:hAnsi="宋体"/>
          <w:color w:val="auto"/>
          <w:szCs w:val="21"/>
          <w:highlight w:val="none"/>
        </w:rPr>
      </w:pPr>
      <w:r>
        <w:rPr>
          <w:rFonts w:hint="eastAsia" w:ascii="宋体" w:hAnsi="宋体"/>
          <w:color w:val="auto"/>
          <w:szCs w:val="21"/>
          <w:highlight w:val="none"/>
        </w:rPr>
        <w:t>M       某个投标人的商务评审得分；</w:t>
      </w:r>
    </w:p>
    <w:p w14:paraId="376F4ED0">
      <w:pPr>
        <w:pStyle w:val="8"/>
        <w:ind w:firstLineChars="200"/>
        <w:rPr>
          <w:rFonts w:hint="eastAsia" w:ascii="宋体" w:hAnsi="宋体"/>
          <w:color w:val="auto"/>
          <w:szCs w:val="21"/>
          <w:highlight w:val="none"/>
        </w:rPr>
      </w:pPr>
      <w:r>
        <w:rPr>
          <w:rFonts w:hint="eastAsia" w:ascii="宋体" w:hAnsi="宋体"/>
          <w:color w:val="auto"/>
          <w:szCs w:val="21"/>
          <w:highlight w:val="none"/>
        </w:rPr>
        <w:t>注： T、M均为所有评委评分的算术平均值。</w:t>
      </w:r>
    </w:p>
    <w:p w14:paraId="1E3C83B1">
      <w:pPr>
        <w:pStyle w:val="8"/>
        <w:ind w:firstLine="480"/>
        <w:rPr>
          <w:rFonts w:hint="eastAsia" w:ascii="宋体" w:hAnsi="宋体"/>
          <w:color w:val="auto"/>
          <w:szCs w:val="21"/>
          <w:highlight w:val="none"/>
        </w:rPr>
      </w:pPr>
    </w:p>
    <w:p w14:paraId="77713990">
      <w:pPr>
        <w:pStyle w:val="8"/>
        <w:ind w:firstLine="480"/>
        <w:rPr>
          <w:rFonts w:hint="eastAsia" w:ascii="宋体" w:hAnsi="宋体"/>
          <w:b/>
          <w:color w:val="auto"/>
          <w:szCs w:val="21"/>
          <w:highlight w:val="none"/>
        </w:rPr>
      </w:pPr>
      <w:r>
        <w:rPr>
          <w:rFonts w:hint="eastAsia" w:ascii="宋体" w:hAnsi="宋体"/>
          <w:b/>
          <w:color w:val="auto"/>
          <w:szCs w:val="21"/>
          <w:highlight w:val="none"/>
        </w:rPr>
        <w:t>（三）推荐中标候选人名单</w:t>
      </w:r>
    </w:p>
    <w:p w14:paraId="676A0554">
      <w:pPr>
        <w:pStyle w:val="8"/>
        <w:ind w:firstLine="480"/>
        <w:rPr>
          <w:rFonts w:hint="eastAsia" w:ascii="宋体" w:hAnsi="宋体"/>
          <w:color w:val="auto"/>
          <w:szCs w:val="21"/>
          <w:highlight w:val="none"/>
        </w:rPr>
      </w:pPr>
      <w:r>
        <w:rPr>
          <w:rFonts w:hint="eastAsia" w:ascii="宋体" w:hAnsi="宋体"/>
          <w:color w:val="auto"/>
          <w:szCs w:val="21"/>
          <w:highlight w:val="none"/>
        </w:rPr>
        <w:t>评标委员会根据最终评审的结果，推荐综合得分最高的投标人为第一中标候选人，</w:t>
      </w:r>
      <w:r>
        <w:rPr>
          <w:rFonts w:hint="eastAsia" w:ascii="宋体" w:hAnsi="宋体"/>
          <w:color w:val="auto"/>
          <w:kern w:val="0"/>
          <w:szCs w:val="21"/>
          <w:highlight w:val="none"/>
        </w:rPr>
        <w:t>综合得分第二高的投标人为第二中标候选人</w:t>
      </w:r>
      <w:r>
        <w:rPr>
          <w:rFonts w:hint="eastAsia" w:ascii="宋体" w:hAnsi="宋体"/>
          <w:color w:val="auto"/>
          <w:szCs w:val="21"/>
          <w:highlight w:val="none"/>
        </w:rPr>
        <w:t>。综合得分相同的，按下列顺序比较确定：（1）投标报价（由低到高）；（2）服务评分（由高到低）。如以上都相同的，名次由评标委员会抽签确定。</w:t>
      </w:r>
    </w:p>
    <w:p w14:paraId="5B0146A0">
      <w:pPr>
        <w:jc w:val="center"/>
        <w:rPr>
          <w:b/>
          <w:color w:val="auto"/>
          <w:highlight w:val="none"/>
        </w:rPr>
      </w:pPr>
      <w:r>
        <w:rPr>
          <w:rFonts w:ascii="宋体" w:hAnsi="宋体"/>
          <w:b/>
          <w:color w:val="auto"/>
          <w:sz w:val="28"/>
          <w:szCs w:val="28"/>
          <w:highlight w:val="none"/>
          <w:lang w:val="en-GB"/>
        </w:rPr>
        <w:br w:type="page"/>
      </w:r>
      <w:bookmarkStart w:id="8" w:name="_Toc251742852"/>
    </w:p>
    <w:p w14:paraId="7DD464B1">
      <w:pPr>
        <w:jc w:val="center"/>
        <w:rPr>
          <w:b/>
          <w:color w:val="auto"/>
          <w:highlight w:val="none"/>
        </w:rPr>
      </w:pPr>
    </w:p>
    <w:p w14:paraId="0C7CF00D">
      <w:pPr>
        <w:adjustRightInd w:val="0"/>
        <w:snapToGrid w:val="0"/>
        <w:spacing w:line="360" w:lineRule="auto"/>
        <w:jc w:val="center"/>
        <w:rPr>
          <w:rFonts w:hint="eastAsia" w:ascii="宋体" w:hAnsi="宋体"/>
          <w:b/>
          <w:color w:val="auto"/>
          <w:kern w:val="0"/>
          <w:sz w:val="28"/>
          <w:szCs w:val="28"/>
          <w:highlight w:val="none"/>
        </w:rPr>
      </w:pPr>
      <w:r>
        <w:rPr>
          <w:rFonts w:hint="eastAsia" w:ascii="宋体" w:hAnsi="宋体"/>
          <w:b/>
          <w:color w:val="auto"/>
          <w:kern w:val="0"/>
          <w:sz w:val="28"/>
          <w:szCs w:val="28"/>
          <w:highlight w:val="none"/>
        </w:rPr>
        <w:t>第四部分　合同格式</w:t>
      </w:r>
    </w:p>
    <w:p w14:paraId="5BC04ACB">
      <w:pPr>
        <w:adjustRightInd w:val="0"/>
        <w:snapToGrid w:val="0"/>
        <w:spacing w:line="360" w:lineRule="auto"/>
        <w:jc w:val="center"/>
        <w:rPr>
          <w:rFonts w:hint="eastAsia" w:ascii="宋体" w:hAnsi="宋体"/>
          <w:b/>
          <w:color w:val="auto"/>
          <w:kern w:val="0"/>
          <w:sz w:val="28"/>
          <w:szCs w:val="28"/>
          <w:highlight w:val="none"/>
        </w:rPr>
      </w:pPr>
    </w:p>
    <w:p w14:paraId="461EE1F4">
      <w:pPr>
        <w:widowControl/>
        <w:spacing w:line="360" w:lineRule="auto"/>
        <w:jc w:val="center"/>
        <w:rPr>
          <w:rFonts w:hint="eastAsia" w:ascii="宋体" w:hAnsi="宋体" w:cs="宋体"/>
          <w:b/>
          <w:bCs/>
          <w:color w:val="auto"/>
          <w:kern w:val="0"/>
          <w:sz w:val="48"/>
          <w:szCs w:val="48"/>
          <w:highlight w:val="none"/>
        </w:rPr>
      </w:pPr>
      <w:r>
        <w:rPr>
          <w:rFonts w:hint="eastAsia" w:ascii="宋体" w:hAnsi="宋体" w:cs="宋体"/>
          <w:b/>
          <w:bCs/>
          <w:color w:val="auto"/>
          <w:kern w:val="0"/>
          <w:sz w:val="48"/>
          <w:szCs w:val="48"/>
          <w:highlight w:val="none"/>
        </w:rPr>
        <w:t xml:space="preserve">国家税务总局珠海市税务局梅华西办公区2026-2027年物业管理服务采购项目 </w:t>
      </w:r>
    </w:p>
    <w:p w14:paraId="521F4FF4">
      <w:pPr>
        <w:widowControl/>
        <w:spacing w:line="360" w:lineRule="auto"/>
        <w:jc w:val="center"/>
        <w:rPr>
          <w:rFonts w:ascii="Calibri" w:hAnsi="Calibri"/>
          <w:color w:val="auto"/>
          <w:kern w:val="0"/>
          <w:sz w:val="32"/>
          <w:szCs w:val="32"/>
          <w:highlight w:val="none"/>
        </w:rPr>
      </w:pPr>
      <w:r>
        <w:rPr>
          <w:rFonts w:hint="eastAsia" w:ascii="宋体" w:hAnsi="宋体" w:cs="宋体"/>
          <w:b/>
          <w:bCs/>
          <w:color w:val="auto"/>
          <w:kern w:val="0"/>
          <w:sz w:val="48"/>
          <w:szCs w:val="48"/>
          <w:highlight w:val="none"/>
        </w:rPr>
        <w:t>合 同 书</w:t>
      </w:r>
    </w:p>
    <w:p w14:paraId="4E5CB66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65845091">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42F047B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2451FED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1759CAA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33A7047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111C4AD3">
      <w:pP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br w:type="page"/>
      </w:r>
    </w:p>
    <w:p w14:paraId="078D36A2">
      <w:pPr>
        <w:spacing w:before="156" w:beforeLines="50" w:after="156" w:afterLines="50" w:line="360" w:lineRule="auto"/>
        <w:jc w:val="center"/>
        <w:outlineLvl w:val="0"/>
        <w:rPr>
          <w:b/>
          <w:bCs/>
          <w:color w:val="auto"/>
          <w:sz w:val="36"/>
          <w:szCs w:val="36"/>
          <w:highlight w:val="none"/>
          <w:shd w:val="clear" w:color="auto" w:fill="FFFFFF"/>
        </w:rPr>
      </w:pPr>
      <w:r>
        <w:rPr>
          <w:rFonts w:hint="eastAsia" w:ascii="阿里巴巴普惠体 Heavy" w:hAnsi="阿里巴巴普惠体 Heavy" w:eastAsia="阿里巴巴普惠体 Heavy" w:cs="阿里巴巴普惠体 Heavy"/>
          <w:b/>
          <w:bCs/>
          <w:color w:val="auto"/>
          <w:sz w:val="32"/>
          <w:szCs w:val="32"/>
          <w:highlight w:val="none"/>
        </w:rPr>
        <w:t>国家税务总局珠海市税务局梅华西办公区</w:t>
      </w:r>
      <w:r>
        <w:rPr>
          <w:rFonts w:hint="eastAsia" w:ascii="阿里巴巴普惠体 Heavy" w:hAnsi="阿里巴巴普惠体 Heavy" w:eastAsia="阿里巴巴普惠体 Heavy" w:cs="阿里巴巴普惠体 Heavy"/>
          <w:b/>
          <w:bCs/>
          <w:color w:val="auto"/>
          <w:sz w:val="32"/>
          <w:szCs w:val="32"/>
          <w:highlight w:val="none"/>
          <w:lang w:eastAsia="zh-CN"/>
        </w:rPr>
        <w:t>2026-2027年</w:t>
      </w:r>
      <w:r>
        <w:rPr>
          <w:rFonts w:hint="eastAsia"/>
          <w:b/>
          <w:bCs/>
          <w:color w:val="auto"/>
          <w:sz w:val="36"/>
          <w:szCs w:val="36"/>
          <w:highlight w:val="none"/>
          <w:shd w:val="clear" w:color="auto" w:fill="FFFFFF"/>
        </w:rPr>
        <w:t>物业管理服务</w:t>
      </w:r>
      <w:r>
        <w:rPr>
          <w:b/>
          <w:bCs/>
          <w:color w:val="auto"/>
          <w:sz w:val="36"/>
          <w:szCs w:val="36"/>
          <w:highlight w:val="none"/>
          <w:shd w:val="clear" w:color="auto" w:fill="FFFFFF"/>
        </w:rPr>
        <w:t>合同</w:t>
      </w:r>
    </w:p>
    <w:p w14:paraId="58D34DB8">
      <w:pPr>
        <w:spacing w:line="360" w:lineRule="auto"/>
        <w:ind w:left="1124" w:hanging="1124" w:hangingChars="400"/>
        <w:jc w:val="left"/>
        <w:rPr>
          <w:b/>
          <w:color w:val="auto"/>
          <w:sz w:val="28"/>
          <w:szCs w:val="28"/>
          <w:highlight w:val="none"/>
        </w:rPr>
      </w:pPr>
    </w:p>
    <w:p w14:paraId="37E6A0B2">
      <w:pPr>
        <w:spacing w:line="360" w:lineRule="auto"/>
        <w:ind w:left="723" w:leftChars="0" w:hanging="723" w:hangingChars="300"/>
        <w:jc w:val="left"/>
        <w:rPr>
          <w:rFonts w:hint="eastAsia" w:ascii="宋体" w:hAnsi="宋体" w:eastAsia="宋体" w:cs="宋体"/>
          <w:b/>
          <w:color w:val="auto"/>
          <w:sz w:val="24"/>
          <w:highlight w:val="none"/>
          <w:u w:val="single"/>
          <w:lang w:eastAsia="zh-CN"/>
        </w:rPr>
      </w:pPr>
      <w:r>
        <w:rPr>
          <w:rFonts w:hint="eastAsia" w:cs="宋体"/>
          <w:b/>
          <w:color w:val="auto"/>
          <w:sz w:val="24"/>
          <w:highlight w:val="none"/>
        </w:rPr>
        <w:t>甲方：</w:t>
      </w:r>
      <w:r>
        <w:rPr>
          <w:rFonts w:hint="eastAsia" w:ascii="宋体" w:hAnsi="宋体"/>
          <w:color w:val="auto"/>
          <w:szCs w:val="21"/>
          <w:highlight w:val="none"/>
          <w:u w:val="single"/>
          <w:lang w:eastAsia="zh-CN"/>
        </w:rPr>
        <w:t>国家税务总局珠海市税务局稽查局、国家税务总局珠海市税务局第一稽查局</w:t>
      </w:r>
    </w:p>
    <w:p w14:paraId="3474B14F">
      <w:pPr>
        <w:spacing w:line="360" w:lineRule="auto"/>
        <w:rPr>
          <w:rFonts w:hint="eastAsia" w:ascii="宋体" w:hAnsi="宋体" w:cs="宋体"/>
          <w:color w:val="auto"/>
          <w:sz w:val="24"/>
          <w:highlight w:val="none"/>
          <w:u w:val="single"/>
        </w:rPr>
      </w:pPr>
      <w:r>
        <w:rPr>
          <w:rFonts w:hint="eastAsia" w:cs="宋体"/>
          <w:color w:val="auto"/>
          <w:sz w:val="24"/>
          <w:highlight w:val="none"/>
        </w:rPr>
        <w:t>电话：</w:t>
      </w:r>
      <w:r>
        <w:rPr>
          <w:rFonts w:hint="eastAsia" w:ascii="宋体" w:hAnsi="宋体" w:cs="宋体"/>
          <w:color w:val="auto"/>
          <w:sz w:val="24"/>
          <w:highlight w:val="none"/>
          <w:u w:val="single"/>
        </w:rPr>
        <w:t xml:space="preserve">   </w:t>
      </w:r>
    </w:p>
    <w:p w14:paraId="352ADB99">
      <w:pPr>
        <w:spacing w:line="360" w:lineRule="auto"/>
        <w:rPr>
          <w:rFonts w:hint="eastAsia" w:ascii="宋体" w:hAnsi="宋体" w:cs="宋体"/>
          <w:color w:val="auto"/>
          <w:sz w:val="24"/>
          <w:highlight w:val="none"/>
          <w:u w:val="single"/>
        </w:rPr>
      </w:pPr>
      <w:r>
        <w:rPr>
          <w:rFonts w:hint="eastAsia" w:cs="宋体"/>
          <w:color w:val="auto"/>
          <w:sz w:val="24"/>
          <w:highlight w:val="none"/>
        </w:rPr>
        <w:t>传真：</w:t>
      </w:r>
      <w:r>
        <w:rPr>
          <w:rFonts w:hint="eastAsia" w:ascii="宋体" w:hAnsi="宋体" w:cs="宋体"/>
          <w:color w:val="auto"/>
          <w:sz w:val="24"/>
          <w:highlight w:val="none"/>
          <w:u w:val="single"/>
        </w:rPr>
        <w:t xml:space="preserve">      </w:t>
      </w:r>
    </w:p>
    <w:p w14:paraId="42D84E6C">
      <w:pPr>
        <w:spacing w:line="360" w:lineRule="auto"/>
        <w:rPr>
          <w:rFonts w:hint="eastAsia" w:ascii="宋体" w:hAnsi="宋体" w:cs="宋体"/>
          <w:color w:val="auto"/>
          <w:sz w:val="24"/>
          <w:highlight w:val="none"/>
          <w:u w:val="single"/>
        </w:rPr>
      </w:pPr>
      <w:r>
        <w:rPr>
          <w:rFonts w:hint="eastAsia" w:cs="宋体"/>
          <w:color w:val="auto"/>
          <w:sz w:val="24"/>
          <w:highlight w:val="none"/>
        </w:rPr>
        <w:t>地址：广东省珠海市香洲区梅华西66号</w:t>
      </w:r>
    </w:p>
    <w:p w14:paraId="3C0920D0">
      <w:pPr>
        <w:spacing w:line="360" w:lineRule="auto"/>
        <w:rPr>
          <w:rFonts w:hint="eastAsia" w:ascii="宋体" w:hAnsi="宋体" w:cs="宋体"/>
          <w:b/>
          <w:color w:val="auto"/>
          <w:sz w:val="24"/>
          <w:highlight w:val="none"/>
        </w:rPr>
      </w:pPr>
    </w:p>
    <w:p w14:paraId="7C0FAA3D">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乙方：</w:t>
      </w:r>
    </w:p>
    <w:p w14:paraId="495E51D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p>
    <w:p w14:paraId="2E675D9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p>
    <w:p w14:paraId="7F45EDA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2A533F7">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根据</w:t>
      </w:r>
      <w:r>
        <w:rPr>
          <w:rFonts w:hint="eastAsia" w:ascii="宋体" w:hAnsi="宋体" w:eastAsia="宋体" w:cs="Times New Roman"/>
          <w:b w:val="0"/>
          <w:bCs w:val="0"/>
          <w:color w:val="auto"/>
          <w:sz w:val="24"/>
          <w:szCs w:val="24"/>
          <w:highlight w:val="none"/>
        </w:rPr>
        <w:t>国家税务总局珠海市税务局梅华西办公区</w:t>
      </w:r>
      <w:r>
        <w:rPr>
          <w:rFonts w:hint="eastAsia" w:ascii="宋体" w:hAnsi="宋体" w:eastAsia="宋体" w:cs="Times New Roman"/>
          <w:b w:val="0"/>
          <w:bCs w:val="0"/>
          <w:color w:val="auto"/>
          <w:sz w:val="24"/>
          <w:szCs w:val="24"/>
          <w:highlight w:val="none"/>
          <w:lang w:eastAsia="zh-CN"/>
        </w:rPr>
        <w:t>2026-2027年物业管理服务采购项目</w:t>
      </w:r>
      <w:r>
        <w:rPr>
          <w:rFonts w:hint="eastAsia"/>
          <w:color w:val="auto"/>
          <w:highlight w:val="none"/>
        </w:rPr>
        <w:t>的采购结果，按照《中华人民共和国政府采购法》，《中华人民共和国民法典》的规定，经双方协商，本着平等互利和诚实信用的原则，一致同意遵守本合同如下。</w:t>
      </w:r>
    </w:p>
    <w:p w14:paraId="335FB42B">
      <w:pPr>
        <w:pStyle w:val="33"/>
        <w:widowControl w:val="0"/>
        <w:spacing w:before="0" w:beforeAutospacing="0" w:after="0" w:afterAutospacing="0" w:line="360" w:lineRule="auto"/>
        <w:jc w:val="both"/>
        <w:rPr>
          <w:rFonts w:hint="eastAsia"/>
          <w:b/>
          <w:bCs/>
          <w:color w:val="auto"/>
          <w:highlight w:val="none"/>
        </w:rPr>
      </w:pPr>
      <w:r>
        <w:rPr>
          <w:rFonts w:hint="eastAsia"/>
          <w:b/>
          <w:bCs/>
          <w:color w:val="auto"/>
          <w:highlight w:val="none"/>
        </w:rPr>
        <w:t>一、合同金额</w:t>
      </w:r>
    </w:p>
    <w:p w14:paraId="7D075485">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合同金额为（大写）：</w:t>
      </w:r>
      <w:r>
        <w:rPr>
          <w:rFonts w:hint="eastAsia"/>
          <w:color w:val="auto"/>
          <w:highlight w:val="none"/>
          <w:u w:val="single"/>
        </w:rPr>
        <w:t xml:space="preserve">      </w:t>
      </w:r>
      <w:r>
        <w:rPr>
          <w:rFonts w:hint="eastAsia"/>
          <w:color w:val="auto"/>
          <w:highlight w:val="none"/>
        </w:rPr>
        <w:t>元整  （¥）</w:t>
      </w:r>
      <w:r>
        <w:rPr>
          <w:rFonts w:hint="eastAsia"/>
          <w:color w:val="auto"/>
          <w:highlight w:val="none"/>
          <w:u w:val="single"/>
        </w:rPr>
        <w:t xml:space="preserve">        </w:t>
      </w:r>
      <w:r>
        <w:rPr>
          <w:rFonts w:hint="eastAsia"/>
          <w:color w:val="auto"/>
          <w:highlight w:val="none"/>
        </w:rPr>
        <w:t>人民币。</w:t>
      </w:r>
    </w:p>
    <w:p w14:paraId="3AE7A80B">
      <w:pPr>
        <w:pStyle w:val="33"/>
        <w:widowControl w:val="0"/>
        <w:spacing w:before="0" w:beforeAutospacing="0" w:after="0" w:afterAutospacing="0" w:line="360" w:lineRule="auto"/>
        <w:jc w:val="both"/>
        <w:rPr>
          <w:rFonts w:hint="eastAsia"/>
          <w:b/>
          <w:bCs/>
          <w:color w:val="auto"/>
          <w:highlight w:val="none"/>
        </w:rPr>
      </w:pPr>
      <w:r>
        <w:rPr>
          <w:rFonts w:hint="eastAsia"/>
          <w:b/>
          <w:bCs/>
          <w:color w:val="auto"/>
          <w:highlight w:val="none"/>
        </w:rPr>
        <w:t>二、服务范围</w:t>
      </w:r>
    </w:p>
    <w:p w14:paraId="6B2DB973">
      <w:pPr>
        <w:pStyle w:val="33"/>
        <w:widowControl w:val="0"/>
        <w:tabs>
          <w:tab w:val="left" w:pos="567"/>
        </w:tabs>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甲方聘请乙方提供以下服务：物业档案建立和管理；物业配套设施设备的系统日常管理、保障、运行维护；物业公共安全、秩序管理、维护及服务；室内外绿化养护；环境美化、清洁卫生服务、停车场管理、消防管理；大型活动或会议专项服务及</w:t>
      </w:r>
      <w:r>
        <w:rPr>
          <w:rFonts w:hint="eastAsia" w:cs="宋体"/>
          <w:bCs/>
          <w:color w:val="auto"/>
          <w:kern w:val="2"/>
          <w:sz w:val="24"/>
          <w:szCs w:val="24"/>
          <w:highlight w:val="none"/>
          <w:lang w:val="en-US" w:eastAsia="zh-CN" w:bidi="ar-SA"/>
        </w:rPr>
        <w:t>甲方</w:t>
      </w:r>
      <w:r>
        <w:rPr>
          <w:rFonts w:hint="eastAsia" w:ascii="宋体" w:hAnsi="宋体" w:eastAsia="宋体" w:cs="宋体"/>
          <w:bCs/>
          <w:color w:val="auto"/>
          <w:kern w:val="2"/>
          <w:sz w:val="24"/>
          <w:szCs w:val="24"/>
          <w:highlight w:val="none"/>
          <w:lang w:val="en-US" w:eastAsia="zh-CN" w:bidi="ar-SA"/>
        </w:rPr>
        <w:t>特定需要的其它特约服务等</w:t>
      </w:r>
      <w:r>
        <w:rPr>
          <w:rFonts w:hint="eastAsia" w:ascii="宋体" w:hAnsi="宋体" w:eastAsia="宋体" w:cs="宋体"/>
          <w:bCs/>
          <w:color w:val="auto"/>
          <w:kern w:val="2"/>
          <w:sz w:val="24"/>
          <w:szCs w:val="24"/>
          <w:highlight w:val="none"/>
          <w:lang w:val="zh-CN" w:eastAsia="zh-CN" w:bidi="ar-SA"/>
        </w:rPr>
        <w:t>。</w:t>
      </w:r>
      <w:r>
        <w:rPr>
          <w:rFonts w:hint="eastAsia" w:ascii="宋体" w:hAnsi="宋体" w:eastAsia="宋体" w:cs="宋体"/>
          <w:bCs/>
          <w:color w:val="auto"/>
          <w:kern w:val="2"/>
          <w:sz w:val="24"/>
          <w:szCs w:val="24"/>
          <w:highlight w:val="none"/>
          <w:lang w:val="en-US" w:eastAsia="zh-CN" w:bidi="ar-SA"/>
        </w:rPr>
        <w:t>负责</w:t>
      </w:r>
      <w:r>
        <w:rPr>
          <w:rFonts w:hint="eastAsia"/>
          <w:color w:val="auto"/>
          <w:highlight w:val="none"/>
          <w:lang w:eastAsia="zh-CN"/>
        </w:rPr>
        <w:t>国家税务总局珠海市税务局梅华西办公区</w:t>
      </w:r>
      <w:r>
        <w:rPr>
          <w:rFonts w:hint="eastAsia" w:ascii="宋体" w:hAnsi="宋体" w:eastAsia="宋体" w:cs="宋体"/>
          <w:bCs/>
          <w:color w:val="auto"/>
          <w:kern w:val="2"/>
          <w:sz w:val="24"/>
          <w:szCs w:val="24"/>
          <w:highlight w:val="none"/>
          <w:lang w:val="en-US" w:eastAsia="zh-CN" w:bidi="ar-SA"/>
        </w:rPr>
        <w:t>整体物业服务、保障、管理。具体如下：</w:t>
      </w:r>
    </w:p>
    <w:tbl>
      <w:tblPr>
        <w:tblStyle w:val="38"/>
        <w:tblW w:w="4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847"/>
        <w:gridCol w:w="2798"/>
      </w:tblGrid>
      <w:tr w14:paraId="3A5E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6" w:type="dxa"/>
            <w:noWrap w:val="0"/>
            <w:vAlign w:val="center"/>
          </w:tcPr>
          <w:p w14:paraId="6E8FA200">
            <w:pPr>
              <w:keepLines w:val="0"/>
              <w:pageBreakBefore w:val="0"/>
              <w:kinsoku/>
              <w:wordWrap/>
              <w:overflowPunct/>
              <w:topLinePunct w:val="0"/>
              <w:bidi w:val="0"/>
              <w:snapToGrid/>
              <w:spacing w:line="360" w:lineRule="auto"/>
              <w:jc w:val="center"/>
              <w:rPr>
                <w:rFonts w:hint="default"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物业名称</w:t>
            </w:r>
          </w:p>
        </w:tc>
        <w:tc>
          <w:tcPr>
            <w:tcW w:w="1847" w:type="dxa"/>
            <w:noWrap w:val="0"/>
            <w:vAlign w:val="center"/>
          </w:tcPr>
          <w:p w14:paraId="3A7624B5">
            <w:pPr>
              <w:keepLines w:val="0"/>
              <w:pageBreakBefore w:val="0"/>
              <w:kinsoku/>
              <w:wordWrap/>
              <w:overflowPunct/>
              <w:topLinePunct w:val="0"/>
              <w:bidi w:val="0"/>
              <w:snapToGrid/>
              <w:spacing w:line="360" w:lineRule="auto"/>
              <w:jc w:val="center"/>
              <w:rPr>
                <w:rFonts w:hint="default"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物业地址</w:t>
            </w:r>
          </w:p>
        </w:tc>
        <w:tc>
          <w:tcPr>
            <w:tcW w:w="2798" w:type="dxa"/>
            <w:noWrap w:val="0"/>
            <w:vAlign w:val="center"/>
          </w:tcPr>
          <w:p w14:paraId="3A8B36A4">
            <w:pPr>
              <w:keepLines w:val="0"/>
              <w:pageBreakBefore w:val="0"/>
              <w:kinsoku/>
              <w:wordWrap/>
              <w:overflowPunct/>
              <w:topLinePunct w:val="0"/>
              <w:bidi w:val="0"/>
              <w:snapToGrid/>
              <w:spacing w:line="360" w:lineRule="auto"/>
              <w:jc w:val="center"/>
              <w:rPr>
                <w:rFonts w:hint="default" w:ascii="宋体" w:hAnsi="宋体" w:eastAsia="宋体" w:cs="宋体"/>
                <w:b/>
                <w:bCs/>
                <w:color w:val="auto"/>
                <w:sz w:val="21"/>
                <w:szCs w:val="21"/>
                <w:highlight w:val="none"/>
              </w:rPr>
            </w:pPr>
            <w:r>
              <w:rPr>
                <w:rFonts w:hint="eastAsia" w:ascii="宋体" w:hAnsi="宋体" w:cs="宋体"/>
                <w:b/>
                <w:bCs/>
                <w:color w:val="auto"/>
                <w:szCs w:val="21"/>
                <w:highlight w:val="none"/>
              </w:rPr>
              <w:t>需要服务</w:t>
            </w:r>
          </w:p>
        </w:tc>
      </w:tr>
      <w:tr w14:paraId="2060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6" w:type="dxa"/>
            <w:noWrap w:val="0"/>
            <w:vAlign w:val="center"/>
          </w:tcPr>
          <w:p w14:paraId="4FB6FF0F">
            <w:pPr>
              <w:pStyle w:val="1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国家税务总局珠海市税务局梅华西办公区</w:t>
            </w:r>
          </w:p>
        </w:tc>
        <w:tc>
          <w:tcPr>
            <w:tcW w:w="1847" w:type="dxa"/>
            <w:noWrap w:val="0"/>
            <w:vAlign w:val="center"/>
          </w:tcPr>
          <w:p w14:paraId="0317C13B">
            <w:pPr>
              <w:pStyle w:val="1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广东省珠海市香洲区梅华西66号</w:t>
            </w:r>
          </w:p>
        </w:tc>
        <w:tc>
          <w:tcPr>
            <w:tcW w:w="2798" w:type="dxa"/>
            <w:noWrap w:val="0"/>
            <w:vAlign w:val="center"/>
          </w:tcPr>
          <w:p w14:paraId="666D7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eastAsia="宋体" w:cs="宋体"/>
                <w:b w:val="0"/>
                <w:bCs w:val="0"/>
                <w:color w:val="auto"/>
                <w:sz w:val="21"/>
                <w:szCs w:val="21"/>
                <w:highlight w:val="none"/>
                <w:lang w:val="en-US" w:eastAsia="zh-CN"/>
              </w:rPr>
            </w:pPr>
            <w:r>
              <w:rPr>
                <w:rFonts w:hint="eastAsia" w:ascii="宋体" w:hAnsi="宋体" w:eastAsia="宋体" w:cs="宋体"/>
                <w:color w:val="auto"/>
                <w:szCs w:val="21"/>
                <w:highlight w:val="none"/>
                <w:lang w:val="en-US" w:eastAsia="zh-CN"/>
              </w:rPr>
              <w:t>基本服务、</w:t>
            </w:r>
            <w:r>
              <w:rPr>
                <w:rFonts w:hint="eastAsia" w:ascii="宋体" w:hAnsi="宋体" w:eastAsia="宋体" w:cs="宋体"/>
                <w:color w:val="auto"/>
                <w:szCs w:val="21"/>
                <w:highlight w:val="none"/>
              </w:rPr>
              <w:t>公用设施设备维护服务、保洁服务、绿化服务、保安服务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会议服务</w:t>
            </w:r>
          </w:p>
        </w:tc>
      </w:tr>
    </w:tbl>
    <w:p w14:paraId="30AF4A89">
      <w:pPr>
        <w:pStyle w:val="33"/>
        <w:widowControl w:val="0"/>
        <w:spacing w:before="0" w:beforeAutospacing="0" w:after="0" w:afterAutospacing="0" w:line="360" w:lineRule="auto"/>
        <w:jc w:val="both"/>
        <w:rPr>
          <w:rFonts w:hint="eastAsia"/>
          <w:b/>
          <w:bCs/>
          <w:color w:val="auto"/>
          <w:highlight w:val="none"/>
        </w:rPr>
      </w:pPr>
      <w:r>
        <w:rPr>
          <w:rFonts w:hint="eastAsia"/>
          <w:b/>
          <w:bCs/>
          <w:color w:val="auto"/>
          <w:highlight w:val="none"/>
        </w:rPr>
        <w:t>三、甲方乙方的权利和义务</w:t>
      </w:r>
    </w:p>
    <w:p w14:paraId="23E47512">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1.甲方的权利和义务</w:t>
      </w:r>
    </w:p>
    <w:p w14:paraId="21664740">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甲方必须按时向乙方支付服务费用，并有责任协助、监督乙方的日常管理工作、绩效考核和劳动纪律等，并定期将保安员的考核情况提交给乙方。甲方有权对工作表现好或差的服务人员的奖惩提出意见和建议。</w:t>
      </w:r>
    </w:p>
    <w:p w14:paraId="5FE5DA5F">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2）本合同履行期间，甲方不得安排包括但不限于当班、休假的服务人员从事职责以外工作。因甲方强行指挥或者安排不当，致使岗位空缺，造成的不良后果由甲方承担。</w:t>
      </w:r>
    </w:p>
    <w:p w14:paraId="0C2CB36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3）甲方需要变更乙方服务人员配置与工作任务时，应与乙方共同协商，经同意后方能实施新的工作任务。</w:t>
      </w:r>
    </w:p>
    <w:p w14:paraId="334A5CBC">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5）甲方有义务向乙方如实提供必要的相关信息，协助乙方解决工作中发生的各类问题。</w:t>
      </w:r>
    </w:p>
    <w:p w14:paraId="3A006FC0">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6）当乙方发现甲方存有安全隐患并提出整改意见时，甲方应在核实后积极配合整改，及时消除隐患，确保安全。因甲方拒绝或不及时整改而造成的损失由甲方负责。</w:t>
      </w:r>
    </w:p>
    <w:p w14:paraId="2ACEB6CA">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7）乙方在更换管理人员时，必须提前向甲方提出书面通知，与甲方协商后更换。</w:t>
      </w:r>
    </w:p>
    <w:p w14:paraId="0B065B50">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8）甲方在对服务人员的日常监督、检查中，发现派驻服务人员不适宜继续工作的，有权向乙方提出更换人员。向乙方提出书面的更换的要求时乙方在接到书面的通知后两天内更换。</w:t>
      </w:r>
    </w:p>
    <w:p w14:paraId="36C767ED">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2.乙方的权利和义务</w:t>
      </w:r>
    </w:p>
    <w:p w14:paraId="0FB72902">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2.1</w:t>
      </w:r>
      <w:r>
        <w:rPr>
          <w:rFonts w:hint="eastAsia" w:ascii="宋体" w:hAnsi="宋体" w:eastAsia="宋体" w:cs="宋体"/>
          <w:bCs/>
          <w:color w:val="auto"/>
          <w:sz w:val="24"/>
          <w:highlight w:val="none"/>
          <w:lang w:val="en-US" w:eastAsia="zh-CN"/>
        </w:rPr>
        <w:t>安全防范管理</w:t>
      </w:r>
      <w:r>
        <w:rPr>
          <w:rFonts w:hint="eastAsia" w:ascii="宋体" w:hAnsi="宋体" w:eastAsia="宋体" w:cs="宋体"/>
          <w:bCs/>
          <w:color w:val="auto"/>
          <w:sz w:val="24"/>
          <w:highlight w:val="none"/>
        </w:rPr>
        <w:t>服务</w:t>
      </w:r>
    </w:p>
    <w:p w14:paraId="7BB4791F">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（1）加强对出入口和周边环境的监控，严防外来人员从车库及外围直接进入办公楼，密切监视可疑人员出入动态。</w:t>
      </w:r>
    </w:p>
    <w:p w14:paraId="6BA17C02">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（2）熟练并灵活运用监视控制系统，充分发挥本办公楼的技防优势，实行24小时全天候对重点部位、监控点进行监视及录像工作。</w:t>
      </w:r>
    </w:p>
    <w:p w14:paraId="6980E37F">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（3）做好与周边区域消防、公安、街道、卫生、城管、通讯、信息等单位的沟通、协调、联动。</w:t>
      </w:r>
    </w:p>
    <w:p w14:paraId="4D87D0BF">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值班室、监控室、车场管理等岗位保安员上岗时，须坚守岗位，坚持原则，认真负责，保持威严可敬的仪表仪容，严格执行队列行走标准，文明执勤，礼貌执勤；不做与工作无关的其它事情，树立良好形象和道德风范；保安人员不得裸露纹身、一律不准留长发、长胡子、大包头，蓄发不得露于帽檐外。</w:t>
      </w:r>
    </w:p>
    <w:p w14:paraId="6E459C3B">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保安员穿着整齐,整洁,无褶皱现象。领带佩戴整齐,衬衣的第一颗纽扣扣好。袖口扣好。帽子正确佩戴,帽檐朝前。下班时间可着工作服,不得敞怀赤膊。在岗期间不得勾肩搭背，东倒西歪，不背手、袖手或将手插入衣袋，严禁睡岗以及看书、看报、玩手机等一切与工作无关的事情，禁止讨论涉及业主单位内部工作事宜。</w:t>
      </w:r>
    </w:p>
    <w:p w14:paraId="2860D8E1">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（6）安全秩序管理</w:t>
      </w:r>
    </w:p>
    <w:p w14:paraId="122DD191">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要求：提供安全防范管理服务，并协助</w:t>
      </w:r>
      <w:r>
        <w:rPr>
          <w:rFonts w:hint="eastAsia" w:ascii="宋体" w:hAnsi="宋体" w:cs="宋体"/>
          <w:bCs/>
          <w:color w:val="auto"/>
          <w:sz w:val="24"/>
          <w:highlight w:val="none"/>
          <w:lang w:val="en-US" w:eastAsia="zh-CN"/>
        </w:rPr>
        <w:t>甲方</w:t>
      </w:r>
      <w:r>
        <w:rPr>
          <w:rFonts w:hint="eastAsia" w:ascii="宋体" w:hAnsi="宋体" w:eastAsia="宋体" w:cs="宋体"/>
          <w:bCs/>
          <w:color w:val="auto"/>
          <w:sz w:val="24"/>
          <w:highlight w:val="none"/>
          <w:lang w:val="en-US" w:eastAsia="zh-CN"/>
        </w:rPr>
        <w:t>和公安行政管理机关维护各物业区域内的公共秩序，包括秩序维护、安全监控、物业巡视、门岗执勤。</w:t>
      </w:r>
    </w:p>
    <w:p w14:paraId="31BE8935">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标准：</w:t>
      </w:r>
    </w:p>
    <w:p w14:paraId="4F0DE207">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a.物业区域内实行 24 小时保安值班巡逻制。</w:t>
      </w:r>
    </w:p>
    <w:p w14:paraId="00D987F8">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b.为保障各场馆物业的安全，根据物业周边的环境情况，实施定编足额的配置编排。</w:t>
      </w:r>
    </w:p>
    <w:p w14:paraId="52BE3B6E">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c.发现</w:t>
      </w:r>
      <w:r>
        <w:rPr>
          <w:rFonts w:hint="eastAsia" w:ascii="宋体" w:hAnsi="宋体" w:cs="宋体"/>
          <w:bCs/>
          <w:color w:val="auto"/>
          <w:sz w:val="24"/>
          <w:highlight w:val="none"/>
          <w:lang w:val="en-US" w:eastAsia="zh-CN"/>
        </w:rPr>
        <w:t>甲方</w:t>
      </w:r>
      <w:r>
        <w:rPr>
          <w:rFonts w:hint="eastAsia" w:ascii="宋体" w:hAnsi="宋体" w:eastAsia="宋体" w:cs="宋体"/>
          <w:bCs/>
          <w:color w:val="auto"/>
          <w:sz w:val="24"/>
          <w:highlight w:val="none"/>
          <w:lang w:val="en-US" w:eastAsia="zh-CN"/>
        </w:rPr>
        <w:t>配置的安全智能系统，在运行过程中出现故障时，及时告知，由</w:t>
      </w:r>
      <w:r>
        <w:rPr>
          <w:rFonts w:hint="eastAsia" w:ascii="宋体" w:hAnsi="宋体" w:cs="宋体"/>
          <w:bCs/>
          <w:color w:val="auto"/>
          <w:sz w:val="24"/>
          <w:highlight w:val="none"/>
          <w:lang w:val="en-US" w:eastAsia="zh-CN"/>
        </w:rPr>
        <w:t>甲方</w:t>
      </w:r>
      <w:r>
        <w:rPr>
          <w:rFonts w:hint="eastAsia" w:ascii="宋体" w:hAnsi="宋体" w:eastAsia="宋体" w:cs="宋体"/>
          <w:bCs/>
          <w:color w:val="auto"/>
          <w:sz w:val="24"/>
          <w:highlight w:val="none"/>
          <w:lang w:val="en-US" w:eastAsia="zh-CN"/>
        </w:rPr>
        <w:t>进行维修。</w:t>
      </w:r>
    </w:p>
    <w:p w14:paraId="6DA6F8B8">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d.如物业区域内发生治安安全事件，应及时报告</w:t>
      </w:r>
      <w:r>
        <w:rPr>
          <w:rFonts w:hint="eastAsia" w:ascii="宋体" w:hAnsi="宋体" w:cs="宋体"/>
          <w:bCs/>
          <w:color w:val="auto"/>
          <w:sz w:val="24"/>
          <w:highlight w:val="none"/>
          <w:lang w:val="en-US" w:eastAsia="zh-CN"/>
        </w:rPr>
        <w:t>甲方</w:t>
      </w:r>
      <w:r>
        <w:rPr>
          <w:rFonts w:hint="eastAsia" w:ascii="宋体" w:hAnsi="宋体" w:eastAsia="宋体" w:cs="宋体"/>
          <w:bCs/>
          <w:color w:val="auto"/>
          <w:sz w:val="24"/>
          <w:highlight w:val="none"/>
          <w:lang w:val="en-US" w:eastAsia="zh-CN"/>
        </w:rPr>
        <w:t>，并配合</w:t>
      </w:r>
      <w:r>
        <w:rPr>
          <w:rFonts w:hint="eastAsia" w:ascii="宋体" w:hAnsi="宋体" w:cs="宋体"/>
          <w:bCs/>
          <w:color w:val="auto"/>
          <w:sz w:val="24"/>
          <w:highlight w:val="none"/>
          <w:lang w:val="en-US" w:eastAsia="zh-CN"/>
        </w:rPr>
        <w:t>甲方</w:t>
      </w:r>
      <w:r>
        <w:rPr>
          <w:rFonts w:hint="eastAsia" w:ascii="宋体" w:hAnsi="宋体" w:eastAsia="宋体" w:cs="宋体"/>
          <w:bCs/>
          <w:color w:val="auto"/>
          <w:sz w:val="24"/>
          <w:highlight w:val="none"/>
          <w:lang w:val="en-US" w:eastAsia="zh-CN"/>
        </w:rPr>
        <w:t>及时处置；</w:t>
      </w:r>
    </w:p>
    <w:p w14:paraId="413FDF13">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e.协助做好</w:t>
      </w:r>
      <w:r>
        <w:rPr>
          <w:rFonts w:hint="eastAsia" w:ascii="宋体" w:hAnsi="宋体" w:cs="宋体"/>
          <w:bCs/>
          <w:color w:val="auto"/>
          <w:sz w:val="24"/>
          <w:highlight w:val="none"/>
          <w:lang w:val="en-US" w:eastAsia="zh-CN"/>
        </w:rPr>
        <w:t>甲方</w:t>
      </w:r>
      <w:r>
        <w:rPr>
          <w:rFonts w:hint="eastAsia" w:ascii="宋体" w:hAnsi="宋体" w:eastAsia="宋体" w:cs="宋体"/>
          <w:bCs/>
          <w:color w:val="auto"/>
          <w:sz w:val="24"/>
          <w:highlight w:val="none"/>
          <w:lang w:val="en-US" w:eastAsia="zh-CN"/>
        </w:rPr>
        <w:t>的重大活动、会议的相关执勤工作，其他领导交代的临时任务等。</w:t>
      </w:r>
    </w:p>
    <w:p w14:paraId="3B7007F3">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（7）消防管理</w:t>
      </w:r>
    </w:p>
    <w:p w14:paraId="45B2DB68">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乙方保障物业区域内无消防安全责任事故。</w:t>
      </w:r>
    </w:p>
    <w:p w14:paraId="6FB5740A">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2.2物业保洁、会务服务</w:t>
      </w:r>
    </w:p>
    <w:p w14:paraId="48978F5F">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负责物业范围内广场、道路；地面；地板；室内办公场所；大堂；会议室；公共部位（卫生间及厕具、楼梯、电梯、走廊、走火通道等；）水池消毒清洗；停车场；各种设备、设施等的日常卫生清洁，以及甲方临时要求的突击清洁任务，如清洁会场、大扫除等，随时保洁。</w:t>
      </w:r>
    </w:p>
    <w:p w14:paraId="41BA721B">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（2）关键办公区域、指定办公室的清洁卫生，乙方须安排专人跟进和监督质量。</w:t>
      </w:r>
    </w:p>
    <w:p w14:paraId="06F30A48">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（3）乙方清洁时间应尽量避免打扰甲方的正常工作时间，对大堂、公共区域等每天采取循环保洁方式。</w:t>
      </w:r>
    </w:p>
    <w:p w14:paraId="04AE25B3">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（4）负责物业范围的垃圾分类收集工作，做到日产日清，门前三包和清运工作。</w:t>
      </w:r>
    </w:p>
    <w:p w14:paraId="6B9A45A4">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（5）垃圾收纳：17:00-18:30收纳清除（运）垃圾保洁，收纳清运垃圾务必袋装封闭，预防污水流出、臭气冲天，同时，巡回保洁，有脏即除，保持干净。</w:t>
      </w:r>
    </w:p>
    <w:p w14:paraId="3FB8B336">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（6）垃圾桶：所有垃圾桶套垃圾袋使用，每天每班次每2小时各巡查保洁一次，有脏必除，垃圾装满必清，同时，巡回保洁，有脏即除，保持干净。</w:t>
      </w:r>
    </w:p>
    <w:p w14:paraId="46373EFB">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（7）乙方应具备物业建筑物管理经验，需要有建筑物清洁养护相关资质和专业熟练的技术人员。</w:t>
      </w:r>
    </w:p>
    <w:p w14:paraId="6ED1F16C">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（8）乙方自备日常清洁工作及清洁过程中消耗的物料（包括但不限于扫帚、地拖、抹布、水桶、水管、简易钢塑梯、手拉车等）。</w:t>
      </w:r>
    </w:p>
    <w:p w14:paraId="4CE5C4BE">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（9）会务服务</w:t>
      </w:r>
    </w:p>
    <w:p w14:paraId="4F583E14">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a.会前做好会议室的通风、室内温度调节、桌椅摆放、台牌摆放、茶水准备等。</w:t>
      </w:r>
    </w:p>
    <w:p w14:paraId="60F42E32">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b.会中巡视会场，维护秩序和处置突发应急事件的工作，适当添加茶水。</w:t>
      </w:r>
    </w:p>
    <w:p w14:paraId="5E5444AB">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c.会后做好清洁，桌椅归回原位，摆放整齐。</w:t>
      </w:r>
    </w:p>
    <w:p w14:paraId="0B4373F6">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d.做好日常接待工作。</w:t>
      </w:r>
    </w:p>
    <w:p w14:paraId="5325B36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2.3绿化养护服务</w:t>
      </w:r>
    </w:p>
    <w:p w14:paraId="5B0F541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户外绿化养护要求：根据植物生态习性，合理修剪，留枝均匀，疏密合理，剪口平滑，保持树形整齐美观，枝繁叶茂；绿篱生长旺盛、修剪整齐、合理、无死株、缺档；花坛（台）、草坪等绿地内保持无杂草生长，无杂藤攀援树木，无污物、垃圾等；定期做好植物虫害的预防和消杀工作。</w:t>
      </w:r>
    </w:p>
    <w:p w14:paraId="7AA7E85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（2）加强对现有的公共花基的绿化养护，定期对花草、树木进行修剪、施肥、杀虫。晴天每隔三天进行一次全面喷水。根据花草树木的生长情况，保持每月一次杀虫。</w:t>
      </w:r>
    </w:p>
    <w:p w14:paraId="78A5B69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（3）每年3月、6月、9月、12月对花草树木进行一次定期的修剪和施肥。</w:t>
      </w:r>
    </w:p>
    <w:p w14:paraId="75C71A3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（4）随时清理花草树木底下的落叶，保持绿化地清洁卫生。</w:t>
      </w:r>
    </w:p>
    <w:p w14:paraId="67C1DA9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（5）对枯死的花草树木及时更换、补种，保持无杂草、生长良好。</w:t>
      </w:r>
    </w:p>
    <w:p w14:paraId="377367D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）清除花坛和花景的花蒂、黄叶、杂草、垃圾，做好病虫害防治。</w:t>
      </w:r>
    </w:p>
    <w:p w14:paraId="5536028C">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（7）根据病虫害发生规律实施综合治理，通常在病虫率高时，以药剂杀死病虫，以确保植物良好生长。产生垃圾的主要区域和路段做到日产日清。</w:t>
      </w:r>
    </w:p>
    <w:p w14:paraId="45FB36DA">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（8）雨雪、冰冻等恶劣天气来临前，专人巡查，对绿植做好预防措施，排除安全隐患。台风前要对办公区域内树木进行修剪，消除安全隐患。</w:t>
      </w:r>
    </w:p>
    <w:p w14:paraId="47DD2FB6">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（9）恶劣天气后，及时清除倒树断枝，疏通道路，尽快恢复原状。</w:t>
      </w:r>
    </w:p>
    <w:p w14:paraId="0FE6DB8C">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2.4其他服务</w:t>
      </w:r>
    </w:p>
    <w:p w14:paraId="4235CFF5">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（1）协助</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各部门搬运家具、小件物品，清理废旧物品。</w:t>
      </w:r>
    </w:p>
    <w:p w14:paraId="6C2BD8B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（2）协助辖区内的装修、改造工程施工管理。</w:t>
      </w:r>
    </w:p>
    <w:p w14:paraId="74999D73">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（3）负责节日及协助大型活动布置工作。</w:t>
      </w:r>
    </w:p>
    <w:p w14:paraId="5135FA7C">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（4）负责物业管理服务项目其它相关工作及甲方提出的辖区内其它管理工作、任务和要求。</w:t>
      </w:r>
    </w:p>
    <w:p w14:paraId="27F31760">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不提供</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rPr>
        <w:t>物业管理人员的住宿用房。</w:t>
      </w:r>
    </w:p>
    <w:p w14:paraId="5538D9CD">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2.5专业岗位人员培训</w:t>
      </w:r>
    </w:p>
    <w:p w14:paraId="3B8B1ADD">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rPr>
        <w:t>配置的各类工作人员需按岗位要求参加岗前培训，在掌握本岗位的专业知识、专业技能、工作内容、工作流程、工作标准以及明确工作职能和责任，而且具备了适合本岗位的心理素质、身体素质后方可上岗。在服务期间，</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rPr>
        <w:t>要组织在本物业服务场所的服务人员在专业培训机构进行每年不少于1次的专业岗位培训，以不断提高服务人员业务素质和业务能力。</w:t>
      </w:r>
    </w:p>
    <w:p w14:paraId="2193FE1F">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rPr>
        <w:t>负责属下员工的职业道德教育、业务知识培训工作；定期接受</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服务工作满意度的测评。若测评不满意，</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保留提出更换服务单位的权力。如果</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rPr>
        <w:t>的派驻人员受到</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3次以上投诉，经查证属实，确实违反了合同约定和相关管理规定的，</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有权要求</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rPr>
        <w:t>更换该派驻人员，</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rPr>
        <w:t>应当在3日内予以更换。</w:t>
      </w:r>
    </w:p>
    <w:p w14:paraId="302BF495">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（3）绿化养护人员需经过有害生物防治培训，具有对应服务的措施。</w:t>
      </w:r>
    </w:p>
    <w:p w14:paraId="415568AF">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2.6应急管理</w:t>
      </w:r>
    </w:p>
    <w:p w14:paraId="512A66B2">
      <w:pPr>
        <w:pStyle w:val="12"/>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303EB380">
      <w:pPr>
        <w:pStyle w:val="12"/>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由于</w:t>
      </w:r>
      <w:r>
        <w:rPr>
          <w:rFonts w:hint="eastAsia" w:ascii="宋体" w:hAnsi="宋体" w:cs="宋体"/>
          <w:bCs/>
          <w:color w:val="auto"/>
          <w:sz w:val="24"/>
          <w:szCs w:val="24"/>
          <w:highlight w:val="none"/>
          <w:lang w:val="en-US" w:eastAsia="zh-CN"/>
        </w:rPr>
        <w:t>甲方</w:t>
      </w:r>
      <w:r>
        <w:rPr>
          <w:rFonts w:hint="eastAsia" w:ascii="宋体" w:hAnsi="宋体" w:cs="宋体"/>
          <w:bCs/>
          <w:color w:val="auto"/>
          <w:sz w:val="24"/>
          <w:szCs w:val="24"/>
          <w:highlight w:val="none"/>
        </w:rPr>
        <w:t>单位性质特殊，有部分属于接待窗口单位。要求乙方具有一定的应急保障能力，具备应对一切有可能遇到的特殊、临时、紧急情况的能力。 面对人民群众。现今社会事件增多，乙方应储备一定的临时抽调支援人员能力，如遇特殊情况可协助</w:t>
      </w:r>
      <w:r>
        <w:rPr>
          <w:rFonts w:hint="eastAsia" w:ascii="宋体" w:hAnsi="宋体" w:cs="宋体"/>
          <w:bCs/>
          <w:color w:val="auto"/>
          <w:sz w:val="24"/>
          <w:szCs w:val="24"/>
          <w:highlight w:val="none"/>
          <w:lang w:val="en-US" w:eastAsia="zh-CN"/>
        </w:rPr>
        <w:t>甲方</w:t>
      </w:r>
      <w:r>
        <w:rPr>
          <w:rFonts w:hint="eastAsia" w:ascii="宋体" w:hAnsi="宋体" w:cs="宋体"/>
          <w:bCs/>
          <w:color w:val="auto"/>
          <w:sz w:val="24"/>
          <w:szCs w:val="24"/>
          <w:highlight w:val="none"/>
        </w:rPr>
        <w:t>现场主持工作。避免出现群体事件。</w:t>
      </w:r>
    </w:p>
    <w:p w14:paraId="7C2F6130">
      <w:pPr>
        <w:pStyle w:val="12"/>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乙方应做好应急保障工作方案，积极协助</w:t>
      </w:r>
      <w:r>
        <w:rPr>
          <w:rFonts w:hint="eastAsia" w:ascii="宋体" w:hAnsi="宋体" w:cs="宋体"/>
          <w:bCs/>
          <w:color w:val="auto"/>
          <w:sz w:val="24"/>
          <w:szCs w:val="24"/>
          <w:highlight w:val="none"/>
          <w:lang w:val="en-US" w:eastAsia="zh-CN"/>
        </w:rPr>
        <w:t>甲方</w:t>
      </w:r>
      <w:r>
        <w:rPr>
          <w:rFonts w:hint="eastAsia" w:ascii="宋体" w:hAnsi="宋体" w:cs="宋体"/>
          <w:bCs/>
          <w:color w:val="auto"/>
          <w:sz w:val="24"/>
          <w:szCs w:val="24"/>
          <w:highlight w:val="none"/>
        </w:rPr>
        <w:t>处置一切有可能遇到的特殊、临时、紧急情况。 根据办公楼隐患排查的结果和实际情况，制定专项预案，包括但不限于：火情火警紧急处理应急预案、紧急疏散应急预案、停水停电应急预案、有限空间救援应急预案、高空作业救援应急预案、恶劣天气应对应急预案等。</w:t>
      </w:r>
    </w:p>
    <w:p w14:paraId="2D20B4E4">
      <w:pPr>
        <w:pStyle w:val="12"/>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 xml:space="preserve">要求乙方至少对本项目投入具有相关急救知识、能力并实操经验在2年或以上的保安员，确保物业区域内无安全责任事故发生，遇到危急突发事故时，能沉稳应对，有一定的抢救知识。 </w:t>
      </w:r>
    </w:p>
    <w:p w14:paraId="6EF0FD57">
      <w:pPr>
        <w:pStyle w:val="12"/>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乙方须针对</w:t>
      </w:r>
      <w:r>
        <w:rPr>
          <w:rFonts w:hint="eastAsia" w:ascii="宋体" w:hAnsi="宋体" w:cs="宋体"/>
          <w:bCs/>
          <w:color w:val="auto"/>
          <w:sz w:val="24"/>
          <w:szCs w:val="24"/>
          <w:highlight w:val="none"/>
          <w:lang w:val="en-US" w:eastAsia="zh-CN"/>
        </w:rPr>
        <w:t>甲方</w:t>
      </w:r>
      <w:r>
        <w:rPr>
          <w:rFonts w:hint="eastAsia" w:ascii="宋体" w:hAnsi="宋体" w:cs="宋体"/>
          <w:bCs/>
          <w:color w:val="auto"/>
          <w:sz w:val="24"/>
          <w:szCs w:val="24"/>
          <w:highlight w:val="none"/>
        </w:rPr>
        <w:t>物业具体情况制定防灾减灾应急预案，包括且不限于台风、暴雨、强对流天气等极端气候影响突发自然灾害，突发公共卫生事件，突发群体性公共安全事件等的应急处置办法。应急响应生效时，乙方需服从</w:t>
      </w:r>
      <w:r>
        <w:rPr>
          <w:rFonts w:hint="eastAsia" w:ascii="宋体" w:hAnsi="宋体" w:cs="宋体"/>
          <w:bCs/>
          <w:color w:val="auto"/>
          <w:sz w:val="24"/>
          <w:szCs w:val="24"/>
          <w:highlight w:val="none"/>
          <w:lang w:val="en-US" w:eastAsia="zh-CN"/>
        </w:rPr>
        <w:t>甲方</w:t>
      </w:r>
      <w:r>
        <w:rPr>
          <w:rFonts w:hint="eastAsia" w:ascii="宋体" w:hAnsi="宋体" w:cs="宋体"/>
          <w:bCs/>
          <w:color w:val="auto"/>
          <w:sz w:val="24"/>
          <w:szCs w:val="24"/>
          <w:highlight w:val="none"/>
        </w:rPr>
        <w:t>总体指挥和要求，根据应急预案迅速响应。</w:t>
      </w:r>
    </w:p>
    <w:p w14:paraId="0DF9B9E6">
      <w:pPr>
        <w:pStyle w:val="12"/>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乙方负责做好辖区内防范各类传染病的各项防疫及应急工作，根据</w:t>
      </w:r>
      <w:r>
        <w:rPr>
          <w:rFonts w:hint="eastAsia" w:ascii="宋体" w:hAnsi="宋体" w:cs="宋体"/>
          <w:bCs/>
          <w:color w:val="auto"/>
          <w:sz w:val="24"/>
          <w:szCs w:val="24"/>
          <w:highlight w:val="none"/>
          <w:lang w:val="en-US" w:eastAsia="zh-CN"/>
        </w:rPr>
        <w:t>甲方</w:t>
      </w:r>
      <w:r>
        <w:rPr>
          <w:rFonts w:hint="eastAsia" w:ascii="宋体" w:hAnsi="宋体" w:cs="宋体"/>
          <w:bCs/>
          <w:color w:val="auto"/>
          <w:sz w:val="24"/>
          <w:szCs w:val="24"/>
          <w:highlight w:val="none"/>
        </w:rPr>
        <w:t xml:space="preserve">对于传染病等防控工作需要，配合做好消杀工作。 </w:t>
      </w:r>
    </w:p>
    <w:p w14:paraId="36835F0D">
      <w:pPr>
        <w:pStyle w:val="12"/>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乙方制定完善的消防应急预案，如若中标，履约期间需按照预案实施，防患于未然，所投入的全体保安员均为义务消防员，建立义务消防队，定期组织保安员消防安全学习教育、训练、演练。</w:t>
      </w:r>
    </w:p>
    <w:p w14:paraId="05493B97">
      <w:pPr>
        <w:pStyle w:val="12"/>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）乙方应做好应急保障工作，积极协助</w:t>
      </w:r>
      <w:r>
        <w:rPr>
          <w:rFonts w:hint="eastAsia" w:ascii="宋体" w:hAnsi="宋体" w:cs="宋体"/>
          <w:bCs/>
          <w:color w:val="auto"/>
          <w:sz w:val="24"/>
          <w:szCs w:val="24"/>
          <w:highlight w:val="none"/>
          <w:lang w:val="en-US" w:eastAsia="zh-CN"/>
        </w:rPr>
        <w:t>甲方</w:t>
      </w:r>
      <w:r>
        <w:rPr>
          <w:rFonts w:hint="eastAsia" w:ascii="宋体" w:hAnsi="宋体" w:cs="宋体"/>
          <w:bCs/>
          <w:color w:val="auto"/>
          <w:sz w:val="24"/>
          <w:szCs w:val="24"/>
          <w:highlight w:val="none"/>
        </w:rPr>
        <w:t>面对一切有可能遇到的特殊、临时、紧急情况，对于临时紧急情况，要求乙方应具备在30分钟内（含）能调配周边资源至少</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人的服务团队到达项目主要实施地的支援能力。</w:t>
      </w:r>
    </w:p>
    <w:p w14:paraId="4689ED48">
      <w:pPr>
        <w:pStyle w:val="12"/>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rPr>
        <w:t>）乙方应加强与周边区域消防、公安、街道等单位的沟通、协调、联动。做好办公楼内重大突发情况和事（案）件的报警和救助工作。对办公楼内及大楼外红线范围内发生的侵犯</w:t>
      </w:r>
      <w:r>
        <w:rPr>
          <w:rFonts w:hint="eastAsia" w:ascii="宋体" w:hAnsi="宋体" w:cs="宋体"/>
          <w:bCs/>
          <w:color w:val="auto"/>
          <w:sz w:val="24"/>
          <w:szCs w:val="24"/>
          <w:highlight w:val="none"/>
          <w:lang w:val="en-US" w:eastAsia="zh-CN"/>
        </w:rPr>
        <w:t>甲方</w:t>
      </w:r>
      <w:r>
        <w:rPr>
          <w:rFonts w:hint="eastAsia" w:ascii="宋体" w:hAnsi="宋体" w:cs="宋体"/>
          <w:bCs/>
          <w:color w:val="auto"/>
          <w:sz w:val="24"/>
          <w:szCs w:val="24"/>
          <w:highlight w:val="none"/>
        </w:rPr>
        <w:t>工作人员事件或者出现扰乱</w:t>
      </w:r>
      <w:r>
        <w:rPr>
          <w:rFonts w:hint="eastAsia" w:ascii="宋体" w:hAnsi="宋体" w:cs="宋体"/>
          <w:bCs/>
          <w:color w:val="auto"/>
          <w:sz w:val="24"/>
          <w:szCs w:val="24"/>
          <w:highlight w:val="none"/>
          <w:lang w:val="en-US" w:eastAsia="zh-CN"/>
        </w:rPr>
        <w:t>甲方</w:t>
      </w:r>
      <w:r>
        <w:rPr>
          <w:rFonts w:hint="eastAsia" w:ascii="宋体" w:hAnsi="宋体" w:cs="宋体"/>
          <w:bCs/>
          <w:color w:val="auto"/>
          <w:sz w:val="24"/>
          <w:szCs w:val="24"/>
          <w:highlight w:val="none"/>
        </w:rPr>
        <w:t>正常工作秩序情况，保安人员应当予以制止，并采取救助行动。</w:t>
      </w:r>
    </w:p>
    <w:p w14:paraId="1375B21B">
      <w:pPr>
        <w:pStyle w:val="12"/>
        <w:rPr>
          <w:color w:val="auto"/>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10</w:t>
      </w:r>
      <w:r>
        <w:rPr>
          <w:rFonts w:hint="eastAsia" w:ascii="宋体" w:hAnsi="宋体" w:cs="宋体"/>
          <w:bCs/>
          <w:color w:val="auto"/>
          <w:sz w:val="24"/>
          <w:szCs w:val="24"/>
          <w:highlight w:val="none"/>
        </w:rPr>
        <w:t>）乙方负责做好安全防范，保障工作管理，加强服务区域内气味、噪音、饮水的安全控制和管理，有效预防违法犯罪、治安、灾害、泄密、污染、噪音、投毒等突发事件的发生，维护机关良好的工作秩序、生活秩序，保证</w:t>
      </w:r>
      <w:r>
        <w:rPr>
          <w:rFonts w:hint="eastAsia" w:ascii="宋体" w:hAnsi="宋体" w:cs="宋体"/>
          <w:bCs/>
          <w:color w:val="auto"/>
          <w:sz w:val="24"/>
          <w:szCs w:val="24"/>
          <w:highlight w:val="none"/>
          <w:lang w:val="en-US" w:eastAsia="zh-CN"/>
        </w:rPr>
        <w:t>甲方</w:t>
      </w:r>
      <w:r>
        <w:rPr>
          <w:rFonts w:hint="eastAsia" w:ascii="宋体" w:hAnsi="宋体" w:cs="宋体"/>
          <w:bCs/>
          <w:color w:val="auto"/>
          <w:sz w:val="24"/>
          <w:szCs w:val="24"/>
          <w:highlight w:val="none"/>
        </w:rPr>
        <w:t>正常工作的开展。</w:t>
      </w:r>
    </w:p>
    <w:p w14:paraId="7D43ED99">
      <w:pPr>
        <w:pStyle w:val="12"/>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2.7乙方</w:t>
      </w:r>
      <w:r>
        <w:rPr>
          <w:rFonts w:hint="eastAsia" w:ascii="宋体" w:hAnsi="宋体" w:cs="宋体"/>
          <w:bCs/>
          <w:color w:val="auto"/>
          <w:sz w:val="24"/>
          <w:szCs w:val="24"/>
          <w:highlight w:val="none"/>
        </w:rPr>
        <w:t>不得以任何不正当行为谋取不当利益，包含但不限于</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围猎</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甲方</w:t>
      </w:r>
      <w:r>
        <w:rPr>
          <w:rFonts w:hint="eastAsia" w:ascii="宋体" w:hAnsi="宋体" w:cs="宋体"/>
          <w:bCs/>
          <w:color w:val="auto"/>
          <w:sz w:val="24"/>
          <w:szCs w:val="24"/>
          <w:highlight w:val="none"/>
        </w:rPr>
        <w:t>税务人员行为（以获取不正当利益为目的，采取馈赠礼品礼金、邀请娱乐旅游消费、提供便利条件等非正常交往手段“围猎”相关税务人员及其亲属），否则将承担相应的法律责任</w:t>
      </w:r>
      <w:r>
        <w:rPr>
          <w:rFonts w:hint="eastAsia" w:ascii="宋体" w:hAnsi="宋体" w:cs="宋体"/>
          <w:bCs/>
          <w:color w:val="auto"/>
          <w:sz w:val="24"/>
          <w:szCs w:val="24"/>
          <w:highlight w:val="none"/>
          <w:lang w:eastAsia="zh-CN"/>
        </w:rPr>
        <w:t>。</w:t>
      </w:r>
    </w:p>
    <w:p w14:paraId="0329008B">
      <w:pPr>
        <w:pStyle w:val="33"/>
        <w:numPr>
          <w:ilvl w:val="0"/>
          <w:numId w:val="0"/>
        </w:numPr>
        <w:rPr>
          <w:rFonts w:hint="eastAsia"/>
          <w:b/>
          <w:bCs/>
          <w:color w:val="auto"/>
          <w:highlight w:val="none"/>
        </w:rPr>
      </w:pPr>
      <w:r>
        <w:rPr>
          <w:rFonts w:hint="eastAsia"/>
          <w:b/>
          <w:bCs/>
          <w:color w:val="auto"/>
          <w:highlight w:val="none"/>
        </w:rPr>
        <w:t>四、服务期间（项目完成期限）</w:t>
      </w:r>
    </w:p>
    <w:p w14:paraId="75092A2D">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自2026年4月1日至2028年3月31日止。</w:t>
      </w:r>
    </w:p>
    <w:p w14:paraId="5B32ACF7">
      <w:pPr>
        <w:pStyle w:val="33"/>
        <w:widowControl w:val="0"/>
        <w:numPr>
          <w:ilvl w:val="0"/>
          <w:numId w:val="0"/>
        </w:numPr>
        <w:spacing w:before="0" w:beforeAutospacing="0" w:after="0" w:afterAutospacing="0" w:line="360" w:lineRule="auto"/>
        <w:ind w:left="0" w:leftChars="0" w:firstLine="0" w:firstLineChars="0"/>
        <w:jc w:val="both"/>
        <w:rPr>
          <w:rFonts w:hint="eastAsia"/>
          <w:b/>
          <w:bCs/>
          <w:color w:val="auto"/>
          <w:highlight w:val="none"/>
        </w:rPr>
      </w:pPr>
      <w:r>
        <w:rPr>
          <w:rFonts w:hint="eastAsia" w:ascii="宋体" w:hAnsi="宋体" w:eastAsia="宋体" w:cs="Times New Roman"/>
          <w:b/>
          <w:bCs/>
          <w:color w:val="auto"/>
          <w:kern w:val="0"/>
          <w:sz w:val="24"/>
          <w:szCs w:val="24"/>
          <w:highlight w:val="none"/>
          <w:lang w:val="en-US" w:eastAsia="zh-CN" w:bidi="ar-SA"/>
        </w:rPr>
        <w:t>五、</w:t>
      </w:r>
      <w:r>
        <w:rPr>
          <w:rFonts w:hint="eastAsia"/>
          <w:b/>
          <w:bCs/>
          <w:color w:val="auto"/>
          <w:highlight w:val="none"/>
        </w:rPr>
        <w:t>付款方式</w:t>
      </w:r>
    </w:p>
    <w:p w14:paraId="099111E6">
      <w:pPr>
        <w:keepLines w:val="0"/>
        <w:pageBreakBefore w:val="0"/>
        <w:wordWrap/>
        <w:topLinePunct w:val="0"/>
        <w:autoSpaceDE w:val="0"/>
        <w:autoSpaceDN w:val="0"/>
        <w:bidi w:val="0"/>
        <w:snapToGrid/>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甲方按中标价分</w:t>
      </w:r>
      <w:r>
        <w:rPr>
          <w:rFonts w:hint="eastAsia" w:ascii="宋体" w:hAnsi="宋体" w:cs="Times New Roman"/>
          <w:color w:val="auto"/>
          <w:kern w:val="0"/>
          <w:sz w:val="24"/>
          <w:szCs w:val="24"/>
          <w:highlight w:val="none"/>
          <w:lang w:val="en-US" w:eastAsia="zh-CN" w:bidi="ar-SA"/>
        </w:rPr>
        <w:t>24</w:t>
      </w:r>
      <w:r>
        <w:rPr>
          <w:rFonts w:hint="eastAsia" w:ascii="宋体" w:hAnsi="宋体" w:eastAsia="宋体" w:cs="Times New Roman"/>
          <w:color w:val="auto"/>
          <w:kern w:val="0"/>
          <w:sz w:val="24"/>
          <w:szCs w:val="24"/>
          <w:highlight w:val="none"/>
          <w:lang w:val="en-US" w:eastAsia="zh-CN" w:bidi="ar-SA"/>
        </w:rPr>
        <w:t>个月平均计算，每期支付合同款项时，乙方提前向甲方提供与当期支付款项金额等值的中华人民共和国大陆地区合法有效发票，乙方迟延提供的，甲方有权相应顺延付款时间且不视为违约。乙方每期开具的物业管理服务费发票金额应扣除前期的考核扣、罚的相关金额。如乙方提供服务不足一个月的，以每月服务费除以该月天数后按日计算物业管理服务费。甲方收到乙方开具的发票后，10个工作日内支付服务费,支付方式：银行转账。</w:t>
      </w:r>
    </w:p>
    <w:p w14:paraId="7510FBFF">
      <w:pPr>
        <w:pStyle w:val="33"/>
        <w:widowControl w:val="0"/>
        <w:numPr>
          <w:ilvl w:val="0"/>
          <w:numId w:val="0"/>
        </w:numPr>
        <w:spacing w:before="0" w:beforeAutospacing="0" w:after="0" w:afterAutospacing="0" w:line="360" w:lineRule="auto"/>
        <w:ind w:left="0" w:leftChars="0" w:firstLine="0" w:firstLineChars="0"/>
        <w:jc w:val="both"/>
        <w:rPr>
          <w:rFonts w:hint="eastAsia"/>
          <w:b/>
          <w:bCs/>
          <w:color w:val="auto"/>
          <w:highlight w:val="none"/>
        </w:rPr>
      </w:pPr>
      <w:r>
        <w:rPr>
          <w:rFonts w:hint="eastAsia"/>
          <w:b/>
          <w:bCs/>
          <w:color w:val="auto"/>
          <w:highlight w:val="none"/>
          <w:lang w:val="en-US" w:eastAsia="zh-CN"/>
        </w:rPr>
        <w:t>六、</w:t>
      </w:r>
      <w:r>
        <w:rPr>
          <w:rFonts w:hint="eastAsia"/>
          <w:b/>
          <w:bCs/>
          <w:color w:val="auto"/>
          <w:highlight w:val="none"/>
        </w:rPr>
        <w:t>验收标准与要求</w:t>
      </w:r>
    </w:p>
    <w:p w14:paraId="5416EF7D">
      <w:pPr>
        <w:autoSpaceDE w:val="0"/>
        <w:autoSpaceDN w:val="0"/>
        <w:spacing w:line="360" w:lineRule="auto"/>
        <w:ind w:firstLine="452" w:firstLineChars="200"/>
        <w:rPr>
          <w:rFonts w:hint="eastAsia" w:ascii="宋体" w:hAnsi="宋体" w:cs="微软雅黑"/>
          <w:color w:val="auto"/>
          <w:spacing w:val="8"/>
          <w:kern w:val="0"/>
          <w:szCs w:val="21"/>
          <w:highlight w:val="none"/>
          <w:shd w:val="clear" w:color="auto" w:fill="FFFFFF"/>
        </w:rPr>
      </w:pPr>
      <w:r>
        <w:rPr>
          <w:rFonts w:hint="eastAsia" w:ascii="宋体" w:hAnsi="宋体" w:cs="微软雅黑"/>
          <w:color w:val="auto"/>
          <w:spacing w:val="8"/>
          <w:kern w:val="0"/>
          <w:szCs w:val="21"/>
          <w:highlight w:val="none"/>
          <w:shd w:val="clear" w:color="auto" w:fill="FFFFFF"/>
        </w:rPr>
        <w:t xml:space="preserve">（1）服务应达到《全国物业管理示范大厦标准》和《广东省物业管理示范小区标准》的有关规定执行，服务需达到如下目标： </w:t>
      </w:r>
    </w:p>
    <w:tbl>
      <w:tblPr>
        <w:tblStyle w:val="37"/>
        <w:tblW w:w="8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5299"/>
        <w:gridCol w:w="2365"/>
      </w:tblGrid>
      <w:tr w14:paraId="3A5D8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58E2C9E5">
            <w:pPr>
              <w:pStyle w:val="112"/>
              <w:kinsoku w:val="0"/>
              <w:overflowPunct w:val="0"/>
              <w:adjustRightInd w:val="0"/>
              <w:snapToGrid w:val="0"/>
              <w:spacing w:line="240" w:lineRule="auto"/>
              <w:jc w:val="center"/>
              <w:rPr>
                <w:rFonts w:ascii="宋体" w:hAnsi="宋体"/>
                <w:b/>
                <w:bCs/>
                <w:color w:val="auto"/>
                <w:kern w:val="2"/>
                <w:sz w:val="21"/>
                <w:szCs w:val="21"/>
                <w:highlight w:val="none"/>
                <w:lang w:eastAsia="zh-CN"/>
              </w:rPr>
            </w:pPr>
            <w:r>
              <w:rPr>
                <w:rFonts w:hint="eastAsia" w:ascii="宋体" w:hAnsi="宋体"/>
                <w:b/>
                <w:bCs/>
                <w:color w:val="auto"/>
                <w:kern w:val="2"/>
                <w:sz w:val="21"/>
                <w:szCs w:val="21"/>
                <w:highlight w:val="none"/>
                <w:lang w:eastAsia="zh-CN"/>
              </w:rPr>
              <w:t>序号</w:t>
            </w:r>
          </w:p>
        </w:tc>
        <w:tc>
          <w:tcPr>
            <w:tcW w:w="5299" w:type="dxa"/>
            <w:noWrap w:val="0"/>
            <w:vAlign w:val="center"/>
          </w:tcPr>
          <w:p w14:paraId="0469B18F">
            <w:pPr>
              <w:pStyle w:val="112"/>
              <w:tabs>
                <w:tab w:val="left" w:pos="639"/>
              </w:tabs>
              <w:kinsoku w:val="0"/>
              <w:overflowPunct w:val="0"/>
              <w:adjustRightInd w:val="0"/>
              <w:snapToGrid w:val="0"/>
              <w:spacing w:line="240" w:lineRule="auto"/>
              <w:jc w:val="center"/>
              <w:rPr>
                <w:rFonts w:ascii="宋体" w:hAnsi="宋体"/>
                <w:b/>
                <w:bCs/>
                <w:color w:val="auto"/>
                <w:kern w:val="2"/>
                <w:sz w:val="21"/>
                <w:szCs w:val="21"/>
                <w:highlight w:val="none"/>
                <w:lang w:eastAsia="zh-CN"/>
              </w:rPr>
            </w:pPr>
            <w:r>
              <w:rPr>
                <w:rFonts w:hint="eastAsia" w:ascii="宋体" w:hAnsi="宋体"/>
                <w:b/>
                <w:bCs/>
                <w:color w:val="auto"/>
                <w:kern w:val="2"/>
                <w:sz w:val="21"/>
                <w:szCs w:val="21"/>
                <w:highlight w:val="none"/>
                <w:lang w:eastAsia="zh-CN"/>
              </w:rPr>
              <w:t>项</w:t>
            </w:r>
            <w:r>
              <w:rPr>
                <w:rFonts w:hint="eastAsia" w:ascii="宋体" w:hAnsi="宋体"/>
                <w:b/>
                <w:bCs/>
                <w:color w:val="auto"/>
                <w:kern w:val="2"/>
                <w:sz w:val="21"/>
                <w:szCs w:val="21"/>
                <w:highlight w:val="none"/>
                <w:lang w:eastAsia="zh-CN"/>
              </w:rPr>
              <w:tab/>
            </w:r>
            <w:r>
              <w:rPr>
                <w:rFonts w:hint="eastAsia" w:ascii="宋体" w:hAnsi="宋体"/>
                <w:b/>
                <w:bCs/>
                <w:color w:val="auto"/>
                <w:kern w:val="2"/>
                <w:sz w:val="21"/>
                <w:szCs w:val="21"/>
                <w:highlight w:val="none"/>
                <w:lang w:eastAsia="zh-CN"/>
              </w:rPr>
              <w:t>目</w:t>
            </w:r>
          </w:p>
        </w:tc>
        <w:tc>
          <w:tcPr>
            <w:tcW w:w="2365" w:type="dxa"/>
            <w:noWrap w:val="0"/>
            <w:vAlign w:val="center"/>
          </w:tcPr>
          <w:p w14:paraId="5DCD34FA">
            <w:pPr>
              <w:pStyle w:val="112"/>
              <w:kinsoku w:val="0"/>
              <w:overflowPunct w:val="0"/>
              <w:adjustRightInd w:val="0"/>
              <w:snapToGrid w:val="0"/>
              <w:spacing w:line="240" w:lineRule="auto"/>
              <w:jc w:val="center"/>
              <w:rPr>
                <w:rFonts w:ascii="宋体" w:hAnsi="宋体"/>
                <w:b/>
                <w:bCs/>
                <w:color w:val="auto"/>
                <w:kern w:val="2"/>
                <w:sz w:val="21"/>
                <w:szCs w:val="21"/>
                <w:highlight w:val="none"/>
                <w:lang w:eastAsia="zh-CN"/>
              </w:rPr>
            </w:pPr>
            <w:r>
              <w:rPr>
                <w:rFonts w:hint="eastAsia" w:ascii="宋体" w:hAnsi="宋体"/>
                <w:b/>
                <w:bCs/>
                <w:color w:val="auto"/>
                <w:kern w:val="2"/>
                <w:sz w:val="21"/>
                <w:szCs w:val="21"/>
                <w:highlight w:val="none"/>
                <w:lang w:eastAsia="zh-CN"/>
              </w:rPr>
              <w:t>目   标</w:t>
            </w:r>
          </w:p>
        </w:tc>
      </w:tr>
      <w:tr w14:paraId="79E2E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000F21E2">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w:t>
            </w:r>
          </w:p>
        </w:tc>
        <w:tc>
          <w:tcPr>
            <w:tcW w:w="5299" w:type="dxa"/>
            <w:noWrap w:val="0"/>
            <w:vAlign w:val="center"/>
          </w:tcPr>
          <w:p w14:paraId="004DE2BC">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清洁、保洁满意率</w:t>
            </w:r>
          </w:p>
        </w:tc>
        <w:tc>
          <w:tcPr>
            <w:tcW w:w="2365" w:type="dxa"/>
            <w:noWrap w:val="0"/>
            <w:vAlign w:val="center"/>
          </w:tcPr>
          <w:p w14:paraId="4E87852D">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99%</w:t>
            </w:r>
          </w:p>
        </w:tc>
      </w:tr>
      <w:tr w14:paraId="3AFA5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79CBC3C8">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2</w:t>
            </w:r>
          </w:p>
        </w:tc>
        <w:tc>
          <w:tcPr>
            <w:tcW w:w="5299" w:type="dxa"/>
            <w:noWrap w:val="0"/>
            <w:vAlign w:val="center"/>
          </w:tcPr>
          <w:p w14:paraId="0C1BD9D9">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化粪池、化油池、雨水井、污水井完好率</w:t>
            </w:r>
          </w:p>
        </w:tc>
        <w:tc>
          <w:tcPr>
            <w:tcW w:w="2365" w:type="dxa"/>
            <w:noWrap w:val="0"/>
            <w:vAlign w:val="center"/>
          </w:tcPr>
          <w:p w14:paraId="5331D90F">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100%</w:t>
            </w:r>
          </w:p>
        </w:tc>
      </w:tr>
      <w:tr w14:paraId="140DF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5C4AC78E">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3</w:t>
            </w:r>
          </w:p>
        </w:tc>
        <w:tc>
          <w:tcPr>
            <w:tcW w:w="5299" w:type="dxa"/>
            <w:noWrap w:val="0"/>
            <w:vAlign w:val="center"/>
          </w:tcPr>
          <w:p w14:paraId="5000C146">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排水管、明暗沟保洁完好率</w:t>
            </w:r>
          </w:p>
        </w:tc>
        <w:tc>
          <w:tcPr>
            <w:tcW w:w="2365" w:type="dxa"/>
            <w:noWrap w:val="0"/>
            <w:vAlign w:val="center"/>
          </w:tcPr>
          <w:p w14:paraId="7D0EDABD">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100%</w:t>
            </w:r>
          </w:p>
        </w:tc>
      </w:tr>
      <w:tr w14:paraId="1206A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2919E68B">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4</w:t>
            </w:r>
          </w:p>
        </w:tc>
        <w:tc>
          <w:tcPr>
            <w:tcW w:w="5299" w:type="dxa"/>
            <w:noWrap w:val="0"/>
            <w:vAlign w:val="center"/>
          </w:tcPr>
          <w:p w14:paraId="0D6A747A">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安保合格率</w:t>
            </w:r>
          </w:p>
        </w:tc>
        <w:tc>
          <w:tcPr>
            <w:tcW w:w="2365" w:type="dxa"/>
            <w:noWrap w:val="0"/>
            <w:vAlign w:val="center"/>
          </w:tcPr>
          <w:p w14:paraId="6B0BAC76">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95%</w:t>
            </w:r>
          </w:p>
        </w:tc>
      </w:tr>
      <w:tr w14:paraId="2EC56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02A28350">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5</w:t>
            </w:r>
          </w:p>
        </w:tc>
        <w:tc>
          <w:tcPr>
            <w:tcW w:w="5299" w:type="dxa"/>
            <w:noWrap w:val="0"/>
            <w:vAlign w:val="center"/>
          </w:tcPr>
          <w:p w14:paraId="34D36AA1">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巡查公共设施完好率</w:t>
            </w:r>
          </w:p>
        </w:tc>
        <w:tc>
          <w:tcPr>
            <w:tcW w:w="2365" w:type="dxa"/>
            <w:noWrap w:val="0"/>
            <w:vAlign w:val="center"/>
          </w:tcPr>
          <w:p w14:paraId="2F2EF97D">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98%</w:t>
            </w:r>
          </w:p>
        </w:tc>
      </w:tr>
      <w:tr w14:paraId="45CE6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71999C0E">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6</w:t>
            </w:r>
          </w:p>
        </w:tc>
        <w:tc>
          <w:tcPr>
            <w:tcW w:w="5299" w:type="dxa"/>
            <w:noWrap w:val="0"/>
            <w:vAlign w:val="center"/>
          </w:tcPr>
          <w:p w14:paraId="0352326C">
            <w:pPr>
              <w:pStyle w:val="112"/>
              <w:kinsoku w:val="0"/>
              <w:overflowPunct w:val="0"/>
              <w:adjustRightInd w:val="0"/>
              <w:snapToGrid w:val="0"/>
              <w:spacing w:line="240" w:lineRule="auto"/>
              <w:ind w:firstLine="210" w:firstLineChars="100"/>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确保日常应急通道畅通，巡查应急照明率</w:t>
            </w:r>
          </w:p>
        </w:tc>
        <w:tc>
          <w:tcPr>
            <w:tcW w:w="2365" w:type="dxa"/>
            <w:noWrap w:val="0"/>
            <w:vAlign w:val="center"/>
          </w:tcPr>
          <w:p w14:paraId="48D596D3">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100%</w:t>
            </w:r>
          </w:p>
        </w:tc>
      </w:tr>
      <w:tr w14:paraId="79CE7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78E33110">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7</w:t>
            </w:r>
          </w:p>
        </w:tc>
        <w:tc>
          <w:tcPr>
            <w:tcW w:w="5299" w:type="dxa"/>
            <w:noWrap w:val="0"/>
            <w:vAlign w:val="center"/>
          </w:tcPr>
          <w:p w14:paraId="7547423E">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大楼治安案件的发生率</w:t>
            </w:r>
          </w:p>
        </w:tc>
        <w:tc>
          <w:tcPr>
            <w:tcW w:w="2365" w:type="dxa"/>
            <w:noWrap w:val="0"/>
            <w:vAlign w:val="center"/>
          </w:tcPr>
          <w:p w14:paraId="6301E102">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0</w:t>
            </w:r>
          </w:p>
        </w:tc>
      </w:tr>
      <w:tr w14:paraId="0333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7CF83C03">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8</w:t>
            </w:r>
          </w:p>
        </w:tc>
        <w:tc>
          <w:tcPr>
            <w:tcW w:w="5299" w:type="dxa"/>
            <w:noWrap w:val="0"/>
            <w:vAlign w:val="center"/>
          </w:tcPr>
          <w:p w14:paraId="07A983A7">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刑事责任</w:t>
            </w:r>
          </w:p>
        </w:tc>
        <w:tc>
          <w:tcPr>
            <w:tcW w:w="2365" w:type="dxa"/>
            <w:noWrap w:val="0"/>
            <w:vAlign w:val="center"/>
          </w:tcPr>
          <w:p w14:paraId="7A2F7462">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0</w:t>
            </w:r>
          </w:p>
        </w:tc>
      </w:tr>
      <w:tr w14:paraId="1762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73E91F30">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9</w:t>
            </w:r>
          </w:p>
        </w:tc>
        <w:tc>
          <w:tcPr>
            <w:tcW w:w="5299" w:type="dxa"/>
            <w:noWrap w:val="0"/>
            <w:vAlign w:val="center"/>
          </w:tcPr>
          <w:p w14:paraId="098B430D">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杜绝火灾事故责任</w:t>
            </w:r>
          </w:p>
        </w:tc>
        <w:tc>
          <w:tcPr>
            <w:tcW w:w="2365" w:type="dxa"/>
            <w:noWrap w:val="0"/>
            <w:vAlign w:val="center"/>
          </w:tcPr>
          <w:p w14:paraId="4DA92754">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0</w:t>
            </w:r>
          </w:p>
        </w:tc>
      </w:tr>
      <w:tr w14:paraId="731A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66FE57B5">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10</w:t>
            </w:r>
          </w:p>
        </w:tc>
        <w:tc>
          <w:tcPr>
            <w:tcW w:w="5299" w:type="dxa"/>
            <w:noWrap w:val="0"/>
            <w:vAlign w:val="center"/>
          </w:tcPr>
          <w:p w14:paraId="2C0F608D">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投诉处理率</w:t>
            </w:r>
          </w:p>
        </w:tc>
        <w:tc>
          <w:tcPr>
            <w:tcW w:w="2365" w:type="dxa"/>
            <w:noWrap w:val="0"/>
            <w:vAlign w:val="center"/>
          </w:tcPr>
          <w:p w14:paraId="7192D598">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100%</w:t>
            </w:r>
          </w:p>
        </w:tc>
      </w:tr>
      <w:tr w14:paraId="2EDF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3EB3AFF2">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11</w:t>
            </w:r>
          </w:p>
        </w:tc>
        <w:tc>
          <w:tcPr>
            <w:tcW w:w="5299" w:type="dxa"/>
            <w:noWrap w:val="0"/>
            <w:vAlign w:val="center"/>
          </w:tcPr>
          <w:p w14:paraId="0C431E2D">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人员专业培训合格率</w:t>
            </w:r>
          </w:p>
        </w:tc>
        <w:tc>
          <w:tcPr>
            <w:tcW w:w="2365" w:type="dxa"/>
            <w:noWrap w:val="0"/>
            <w:vAlign w:val="center"/>
          </w:tcPr>
          <w:p w14:paraId="33EC227B">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100%</w:t>
            </w:r>
          </w:p>
        </w:tc>
      </w:tr>
      <w:tr w14:paraId="24397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70C1ABC7">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12</w:t>
            </w:r>
          </w:p>
        </w:tc>
        <w:tc>
          <w:tcPr>
            <w:tcW w:w="5299" w:type="dxa"/>
            <w:noWrap w:val="0"/>
            <w:vAlign w:val="center"/>
          </w:tcPr>
          <w:p w14:paraId="3E0DB2B3">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服务及时率</w:t>
            </w:r>
          </w:p>
        </w:tc>
        <w:tc>
          <w:tcPr>
            <w:tcW w:w="2365" w:type="dxa"/>
            <w:noWrap w:val="0"/>
            <w:vAlign w:val="center"/>
          </w:tcPr>
          <w:p w14:paraId="7ED39E6E">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99%</w:t>
            </w:r>
          </w:p>
        </w:tc>
      </w:tr>
      <w:tr w14:paraId="1D2B1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75" w:type="dxa"/>
            <w:noWrap w:val="0"/>
            <w:vAlign w:val="center"/>
          </w:tcPr>
          <w:p w14:paraId="476AE4CA">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13</w:t>
            </w:r>
          </w:p>
        </w:tc>
        <w:tc>
          <w:tcPr>
            <w:tcW w:w="5299" w:type="dxa"/>
            <w:noWrap w:val="0"/>
            <w:vAlign w:val="center"/>
          </w:tcPr>
          <w:p w14:paraId="63C4B0CA">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绿化完好率</w:t>
            </w:r>
          </w:p>
        </w:tc>
        <w:tc>
          <w:tcPr>
            <w:tcW w:w="2365" w:type="dxa"/>
            <w:noWrap w:val="0"/>
            <w:vAlign w:val="center"/>
          </w:tcPr>
          <w:p w14:paraId="53C62ACF">
            <w:pPr>
              <w:pStyle w:val="112"/>
              <w:kinsoku w:val="0"/>
              <w:overflowPunct w:val="0"/>
              <w:adjustRightInd w:val="0"/>
              <w:snapToGrid w:val="0"/>
              <w:spacing w:line="240" w:lineRule="auto"/>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100%</w:t>
            </w:r>
          </w:p>
        </w:tc>
      </w:tr>
    </w:tbl>
    <w:p w14:paraId="1530173B">
      <w:pPr>
        <w:autoSpaceDE w:val="0"/>
        <w:autoSpaceDN w:val="0"/>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eastAsia="zh-CN"/>
        </w:rPr>
        <w:t>（二）</w:t>
      </w:r>
      <w:r>
        <w:rPr>
          <w:rFonts w:hint="eastAsia" w:ascii="宋体" w:hAnsi="宋体" w:cs="宋体"/>
          <w:b/>
          <w:color w:val="auto"/>
          <w:szCs w:val="21"/>
          <w:highlight w:val="none"/>
        </w:rPr>
        <w:t xml:space="preserve"> 履约验收考核及奖罚</w:t>
      </w:r>
    </w:p>
    <w:p w14:paraId="1CA7A32A">
      <w:pPr>
        <w:autoSpaceDE w:val="0"/>
        <w:autoSpaceDN w:val="0"/>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6.4.2.1</w:t>
      </w:r>
      <w:r>
        <w:rPr>
          <w:rFonts w:hint="eastAsia" w:ascii="宋体" w:hAnsi="宋体" w:cs="宋体"/>
          <w:b/>
          <w:color w:val="auto"/>
          <w:szCs w:val="21"/>
          <w:highlight w:val="none"/>
        </w:rPr>
        <w:t>考核</w:t>
      </w:r>
    </w:p>
    <w:p w14:paraId="0303778F">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highlight w:val="none"/>
        </w:rPr>
      </w:pPr>
      <w:r>
        <w:rPr>
          <w:rFonts w:hint="eastAsia" w:ascii="宋体" w:hAnsi="宋体" w:cs="宋体"/>
          <w:color w:val="auto"/>
          <w:highlight w:val="none"/>
        </w:rPr>
        <w:t>（1）根据甲方提出的考核标准实施考核。本部分详见表一、二。</w:t>
      </w:r>
    </w:p>
    <w:p w14:paraId="523A03B0">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highlight w:val="none"/>
        </w:rPr>
      </w:pPr>
      <w:r>
        <w:rPr>
          <w:rFonts w:hint="eastAsia" w:ascii="宋体" w:hAnsi="宋体" w:cs="宋体"/>
          <w:color w:val="auto"/>
          <w:highlight w:val="none"/>
        </w:rPr>
        <w:t>（2）乙方如有违反或未达到招标文件内★号项要求，视为0分考评，甲方将根据合同约定解除合同，重新组织招标。有分歧异议的，以甲方的意见为准。</w:t>
      </w:r>
    </w:p>
    <w:p w14:paraId="6D408735">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highlight w:val="none"/>
        </w:rPr>
      </w:pPr>
      <w:r>
        <w:rPr>
          <w:rFonts w:hint="eastAsia" w:ascii="宋体" w:hAnsi="宋体" w:cs="宋体"/>
          <w:color w:val="auto"/>
          <w:highlight w:val="none"/>
        </w:rPr>
        <w:t>（3）甲方对乙方试用和管理服务期间每月综合考评一次，乙方应根据考评结果针对问题及时整改。甲方针对</w:t>
      </w:r>
      <w:r>
        <w:rPr>
          <w:rFonts w:hint="eastAsia" w:ascii="宋体" w:hAnsi="宋体" w:cs="宋体"/>
          <w:color w:val="auto"/>
          <w:highlight w:val="none"/>
          <w:lang w:eastAsia="zh-CN"/>
        </w:rPr>
        <w:t>整体物业服务</w:t>
      </w:r>
      <w:r>
        <w:rPr>
          <w:rFonts w:hint="eastAsia" w:ascii="宋体" w:hAnsi="宋体" w:cs="宋体"/>
          <w:color w:val="auto"/>
          <w:highlight w:val="none"/>
        </w:rPr>
        <w:t>进行考核，考核得分低于</w:t>
      </w:r>
      <w:r>
        <w:rPr>
          <w:rFonts w:hint="eastAsia" w:ascii="宋体" w:hAnsi="宋体" w:cs="宋体"/>
          <w:color w:val="auto"/>
          <w:highlight w:val="none"/>
          <w:lang w:val="en-US" w:eastAsia="zh-CN"/>
        </w:rPr>
        <w:t>85</w:t>
      </w:r>
      <w:r>
        <w:rPr>
          <w:rFonts w:hint="eastAsia" w:ascii="宋体" w:hAnsi="宋体" w:cs="宋体"/>
          <w:color w:val="auto"/>
          <w:highlight w:val="none"/>
        </w:rPr>
        <w:t>分，均视为项目考核不合格。若一个考核年度累计有两个月项目考核不及格，甲方有权将根据合同约定解除合同。</w:t>
      </w:r>
    </w:p>
    <w:p w14:paraId="360AF755">
      <w:pPr>
        <w:spacing w:line="219" w:lineRule="auto"/>
        <w:jc w:val="center"/>
        <w:outlineLvl w:val="0"/>
        <w:rPr>
          <w:rFonts w:ascii="宋体" w:hAnsi="宋体" w:cs="宋体"/>
          <w:color w:val="auto"/>
          <w:sz w:val="24"/>
          <w:szCs w:val="24"/>
          <w:highlight w:val="none"/>
        </w:rPr>
      </w:pPr>
      <w:r>
        <w:rPr>
          <w:rFonts w:hint="eastAsia" w:ascii="宋体" w:hAnsi="宋体" w:cs="宋体"/>
          <w:color w:val="auto"/>
          <w:spacing w:val="-4"/>
          <w:sz w:val="24"/>
          <w:szCs w:val="24"/>
          <w:highlight w:val="none"/>
          <w:lang w:eastAsia="zh-CN"/>
        </w:rPr>
        <w:t>表</w:t>
      </w:r>
      <w:r>
        <w:rPr>
          <w:rFonts w:ascii="宋体" w:hAnsi="宋体" w:cs="宋体"/>
          <w:color w:val="auto"/>
          <w:spacing w:val="-4"/>
          <w:sz w:val="24"/>
          <w:szCs w:val="24"/>
          <w:highlight w:val="none"/>
        </w:rPr>
        <w:t>一、考核扣分情况汇总表（</w:t>
      </w:r>
      <w:r>
        <w:rPr>
          <w:rFonts w:ascii="宋体" w:hAnsi="宋体" w:cs="宋体"/>
          <w:color w:val="auto"/>
          <w:spacing w:val="20"/>
          <w:sz w:val="24"/>
          <w:szCs w:val="24"/>
          <w:highlight w:val="none"/>
        </w:rPr>
        <w:t xml:space="preserve">   </w:t>
      </w:r>
      <w:r>
        <w:rPr>
          <w:rFonts w:ascii="宋体" w:hAnsi="宋体" w:cs="宋体"/>
          <w:color w:val="auto"/>
          <w:spacing w:val="-4"/>
          <w:sz w:val="24"/>
          <w:szCs w:val="24"/>
          <w:highlight w:val="none"/>
        </w:rPr>
        <w:t>月份）</w:t>
      </w:r>
    </w:p>
    <w:tbl>
      <w:tblPr>
        <w:tblStyle w:val="37"/>
        <w:tblpPr w:leftFromText="180" w:rightFromText="180" w:vertAnchor="text" w:horzAnchor="page" w:tblpX="2021" w:tblpY="49"/>
        <w:tblOverlap w:val="never"/>
        <w:tblW w:w="87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548"/>
        <w:gridCol w:w="1167"/>
        <w:gridCol w:w="1338"/>
        <w:gridCol w:w="3036"/>
        <w:gridCol w:w="1070"/>
      </w:tblGrid>
      <w:tr w14:paraId="46CD2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570" w:type="dxa"/>
            <w:noWrap w:val="0"/>
            <w:vAlign w:val="top"/>
          </w:tcPr>
          <w:p w14:paraId="2A827E7D">
            <w:pPr>
              <w:pStyle w:val="127"/>
              <w:spacing w:before="120" w:line="222" w:lineRule="auto"/>
              <w:ind w:left="122"/>
              <w:rPr>
                <w:color w:val="auto"/>
                <w:highlight w:val="none"/>
              </w:rPr>
            </w:pPr>
            <w:r>
              <w:rPr>
                <w:color w:val="auto"/>
                <w:spacing w:val="-2"/>
                <w:highlight w:val="none"/>
              </w:rPr>
              <w:t>序号</w:t>
            </w:r>
          </w:p>
        </w:tc>
        <w:tc>
          <w:tcPr>
            <w:tcW w:w="1548" w:type="dxa"/>
            <w:noWrap w:val="0"/>
            <w:vAlign w:val="top"/>
          </w:tcPr>
          <w:p w14:paraId="018B5C99">
            <w:pPr>
              <w:pStyle w:val="127"/>
              <w:spacing w:before="121" w:line="221" w:lineRule="auto"/>
              <w:jc w:val="center"/>
              <w:rPr>
                <w:color w:val="auto"/>
                <w:highlight w:val="none"/>
              </w:rPr>
            </w:pPr>
            <w:r>
              <w:rPr>
                <w:color w:val="auto"/>
                <w:spacing w:val="-2"/>
                <w:highlight w:val="none"/>
              </w:rPr>
              <w:t>扣分项目</w:t>
            </w:r>
          </w:p>
        </w:tc>
        <w:tc>
          <w:tcPr>
            <w:tcW w:w="1167" w:type="dxa"/>
            <w:noWrap w:val="0"/>
            <w:vAlign w:val="top"/>
          </w:tcPr>
          <w:p w14:paraId="3EE8FCA8">
            <w:pPr>
              <w:pStyle w:val="127"/>
              <w:spacing w:before="120" w:line="221" w:lineRule="auto"/>
              <w:ind w:left="132"/>
              <w:rPr>
                <w:color w:val="auto"/>
                <w:highlight w:val="none"/>
              </w:rPr>
            </w:pPr>
            <w:r>
              <w:rPr>
                <w:color w:val="auto"/>
                <w:spacing w:val="-2"/>
                <w:highlight w:val="none"/>
              </w:rPr>
              <w:t>项目分值</w:t>
            </w:r>
          </w:p>
        </w:tc>
        <w:tc>
          <w:tcPr>
            <w:tcW w:w="1338" w:type="dxa"/>
            <w:noWrap w:val="0"/>
            <w:vAlign w:val="top"/>
          </w:tcPr>
          <w:p w14:paraId="2754F4A4">
            <w:pPr>
              <w:pStyle w:val="127"/>
              <w:spacing w:before="120" w:line="221" w:lineRule="auto"/>
              <w:ind w:left="115"/>
              <w:rPr>
                <w:color w:val="auto"/>
                <w:highlight w:val="none"/>
              </w:rPr>
            </w:pPr>
            <w:r>
              <w:rPr>
                <w:color w:val="auto"/>
                <w:spacing w:val="-1"/>
                <w:highlight w:val="none"/>
              </w:rPr>
              <w:t>考评分值</w:t>
            </w:r>
          </w:p>
        </w:tc>
        <w:tc>
          <w:tcPr>
            <w:tcW w:w="3036" w:type="dxa"/>
            <w:noWrap w:val="0"/>
            <w:vAlign w:val="center"/>
          </w:tcPr>
          <w:p w14:paraId="37EE5464">
            <w:pPr>
              <w:pStyle w:val="127"/>
              <w:jc w:val="center"/>
              <w:rPr>
                <w:color w:val="auto"/>
                <w:highlight w:val="none"/>
              </w:rPr>
            </w:pPr>
            <w:r>
              <w:rPr>
                <w:color w:val="auto"/>
                <w:spacing w:val="-2"/>
                <w:highlight w:val="none"/>
              </w:rPr>
              <w:t>扣分理由</w:t>
            </w:r>
          </w:p>
        </w:tc>
        <w:tc>
          <w:tcPr>
            <w:tcW w:w="1070" w:type="dxa"/>
            <w:noWrap w:val="0"/>
            <w:vAlign w:val="top"/>
          </w:tcPr>
          <w:p w14:paraId="3E6DF722">
            <w:pPr>
              <w:pStyle w:val="127"/>
              <w:spacing w:before="120" w:line="222" w:lineRule="auto"/>
              <w:ind w:left="481"/>
              <w:rPr>
                <w:color w:val="auto"/>
                <w:highlight w:val="none"/>
              </w:rPr>
            </w:pPr>
            <w:r>
              <w:rPr>
                <w:color w:val="auto"/>
                <w:spacing w:val="-3"/>
                <w:highlight w:val="none"/>
              </w:rPr>
              <w:t>备注</w:t>
            </w:r>
          </w:p>
        </w:tc>
      </w:tr>
      <w:tr w14:paraId="3AB3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729" w:type="dxa"/>
            <w:gridSpan w:val="6"/>
            <w:noWrap w:val="0"/>
            <w:vAlign w:val="center"/>
          </w:tcPr>
          <w:p w14:paraId="432A4076">
            <w:pPr>
              <w:pStyle w:val="127"/>
              <w:jc w:val="center"/>
              <w:rPr>
                <w:rFonts w:hint="eastAsia" w:eastAsia="宋体"/>
                <w:color w:val="auto"/>
                <w:highlight w:val="none"/>
                <w:lang w:eastAsia="zh-CN"/>
              </w:rPr>
            </w:pPr>
            <w:r>
              <w:rPr>
                <w:color w:val="auto"/>
                <w:spacing w:val="-2"/>
                <w:highlight w:val="none"/>
              </w:rPr>
              <w:t>办公场所</w:t>
            </w:r>
            <w:r>
              <w:rPr>
                <w:rFonts w:hint="eastAsia"/>
                <w:color w:val="auto"/>
                <w:spacing w:val="-2"/>
                <w:highlight w:val="none"/>
                <w:lang w:eastAsia="zh-CN"/>
              </w:rPr>
              <w:t>及所属公有住房物业服务</w:t>
            </w:r>
          </w:p>
        </w:tc>
      </w:tr>
      <w:tr w14:paraId="27056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729" w:type="dxa"/>
            <w:gridSpan w:val="6"/>
            <w:noWrap w:val="0"/>
            <w:vAlign w:val="top"/>
          </w:tcPr>
          <w:p w14:paraId="15F8F3BE">
            <w:pPr>
              <w:pStyle w:val="127"/>
              <w:spacing w:before="83" w:line="220" w:lineRule="auto"/>
              <w:ind w:left="116"/>
              <w:rPr>
                <w:color w:val="auto"/>
                <w:highlight w:val="none"/>
                <w:lang w:eastAsia="zh-CN"/>
              </w:rPr>
            </w:pPr>
            <w:r>
              <w:rPr>
                <w:color w:val="auto"/>
                <w:spacing w:val="-9"/>
                <w:highlight w:val="none"/>
                <w:lang w:eastAsia="zh-CN"/>
              </w:rPr>
              <w:t>服务点：</w:t>
            </w:r>
            <w:r>
              <w:rPr>
                <w:rFonts w:hint="eastAsia"/>
                <w:color w:val="auto"/>
                <w:spacing w:val="-9"/>
                <w:highlight w:val="none"/>
                <w:lang w:eastAsia="zh-CN"/>
              </w:rPr>
              <w:t xml:space="preserve">        </w:t>
            </w:r>
            <w:r>
              <w:rPr>
                <w:color w:val="auto"/>
                <w:spacing w:val="-9"/>
                <w:highlight w:val="none"/>
                <w:lang w:eastAsia="zh-CN"/>
              </w:rPr>
              <w:t>（考核得分</w:t>
            </w:r>
            <w:r>
              <w:rPr>
                <w:color w:val="auto"/>
                <w:spacing w:val="5"/>
                <w:highlight w:val="none"/>
                <w:lang w:eastAsia="zh-CN"/>
              </w:rPr>
              <w:t>：   ）</w:t>
            </w:r>
          </w:p>
        </w:tc>
      </w:tr>
      <w:tr w14:paraId="0FF46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570" w:type="dxa"/>
            <w:noWrap w:val="0"/>
            <w:vAlign w:val="top"/>
          </w:tcPr>
          <w:p w14:paraId="14DB8CA9">
            <w:pPr>
              <w:rPr>
                <w:color w:val="auto"/>
                <w:highlight w:val="none"/>
              </w:rPr>
            </w:pPr>
          </w:p>
        </w:tc>
        <w:tc>
          <w:tcPr>
            <w:tcW w:w="1548" w:type="dxa"/>
            <w:noWrap w:val="0"/>
            <w:vAlign w:val="top"/>
          </w:tcPr>
          <w:p w14:paraId="4998863D">
            <w:pPr>
              <w:rPr>
                <w:color w:val="auto"/>
                <w:highlight w:val="none"/>
              </w:rPr>
            </w:pPr>
          </w:p>
        </w:tc>
        <w:tc>
          <w:tcPr>
            <w:tcW w:w="1167" w:type="dxa"/>
            <w:noWrap w:val="0"/>
            <w:vAlign w:val="top"/>
          </w:tcPr>
          <w:p w14:paraId="64BE6022">
            <w:pPr>
              <w:rPr>
                <w:color w:val="auto"/>
                <w:highlight w:val="none"/>
              </w:rPr>
            </w:pPr>
          </w:p>
        </w:tc>
        <w:tc>
          <w:tcPr>
            <w:tcW w:w="1338" w:type="dxa"/>
            <w:noWrap w:val="0"/>
            <w:vAlign w:val="top"/>
          </w:tcPr>
          <w:p w14:paraId="24301FA1">
            <w:pPr>
              <w:rPr>
                <w:color w:val="auto"/>
                <w:highlight w:val="none"/>
              </w:rPr>
            </w:pPr>
          </w:p>
        </w:tc>
        <w:tc>
          <w:tcPr>
            <w:tcW w:w="3036" w:type="dxa"/>
            <w:noWrap w:val="0"/>
            <w:vAlign w:val="top"/>
          </w:tcPr>
          <w:p w14:paraId="5EF1033D">
            <w:pPr>
              <w:rPr>
                <w:color w:val="auto"/>
                <w:highlight w:val="none"/>
              </w:rPr>
            </w:pPr>
          </w:p>
        </w:tc>
        <w:tc>
          <w:tcPr>
            <w:tcW w:w="1070" w:type="dxa"/>
            <w:noWrap w:val="0"/>
            <w:vAlign w:val="top"/>
          </w:tcPr>
          <w:p w14:paraId="528D8308">
            <w:pPr>
              <w:rPr>
                <w:color w:val="auto"/>
                <w:highlight w:val="none"/>
              </w:rPr>
            </w:pPr>
          </w:p>
        </w:tc>
      </w:tr>
      <w:tr w14:paraId="68391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0" w:type="dxa"/>
            <w:noWrap w:val="0"/>
            <w:vAlign w:val="top"/>
          </w:tcPr>
          <w:p w14:paraId="0E894B9C">
            <w:pPr>
              <w:rPr>
                <w:color w:val="auto"/>
                <w:highlight w:val="none"/>
              </w:rPr>
            </w:pPr>
          </w:p>
        </w:tc>
        <w:tc>
          <w:tcPr>
            <w:tcW w:w="1548" w:type="dxa"/>
            <w:noWrap w:val="0"/>
            <w:vAlign w:val="top"/>
          </w:tcPr>
          <w:p w14:paraId="661451D0">
            <w:pPr>
              <w:rPr>
                <w:color w:val="auto"/>
                <w:highlight w:val="none"/>
              </w:rPr>
            </w:pPr>
          </w:p>
        </w:tc>
        <w:tc>
          <w:tcPr>
            <w:tcW w:w="1167" w:type="dxa"/>
            <w:noWrap w:val="0"/>
            <w:vAlign w:val="top"/>
          </w:tcPr>
          <w:p w14:paraId="79B06E9D">
            <w:pPr>
              <w:rPr>
                <w:color w:val="auto"/>
                <w:highlight w:val="none"/>
              </w:rPr>
            </w:pPr>
          </w:p>
        </w:tc>
        <w:tc>
          <w:tcPr>
            <w:tcW w:w="1338" w:type="dxa"/>
            <w:noWrap w:val="0"/>
            <w:vAlign w:val="top"/>
          </w:tcPr>
          <w:p w14:paraId="74ECD363">
            <w:pPr>
              <w:rPr>
                <w:color w:val="auto"/>
                <w:highlight w:val="none"/>
              </w:rPr>
            </w:pPr>
          </w:p>
        </w:tc>
        <w:tc>
          <w:tcPr>
            <w:tcW w:w="3036" w:type="dxa"/>
            <w:noWrap w:val="0"/>
            <w:vAlign w:val="top"/>
          </w:tcPr>
          <w:p w14:paraId="21F5DB42">
            <w:pPr>
              <w:rPr>
                <w:color w:val="auto"/>
                <w:highlight w:val="none"/>
              </w:rPr>
            </w:pPr>
          </w:p>
        </w:tc>
        <w:tc>
          <w:tcPr>
            <w:tcW w:w="1070" w:type="dxa"/>
            <w:noWrap w:val="0"/>
            <w:vAlign w:val="top"/>
          </w:tcPr>
          <w:p w14:paraId="21DEA4C8">
            <w:pPr>
              <w:rPr>
                <w:color w:val="auto"/>
                <w:highlight w:val="none"/>
              </w:rPr>
            </w:pPr>
          </w:p>
        </w:tc>
      </w:tr>
      <w:tr w14:paraId="77837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570" w:type="dxa"/>
            <w:noWrap w:val="0"/>
            <w:vAlign w:val="top"/>
          </w:tcPr>
          <w:p w14:paraId="518FFA40">
            <w:pPr>
              <w:rPr>
                <w:color w:val="auto"/>
                <w:highlight w:val="none"/>
              </w:rPr>
            </w:pPr>
          </w:p>
        </w:tc>
        <w:tc>
          <w:tcPr>
            <w:tcW w:w="1548" w:type="dxa"/>
            <w:noWrap w:val="0"/>
            <w:vAlign w:val="top"/>
          </w:tcPr>
          <w:p w14:paraId="31EC001B">
            <w:pPr>
              <w:rPr>
                <w:color w:val="auto"/>
                <w:highlight w:val="none"/>
              </w:rPr>
            </w:pPr>
          </w:p>
        </w:tc>
        <w:tc>
          <w:tcPr>
            <w:tcW w:w="1167" w:type="dxa"/>
            <w:noWrap w:val="0"/>
            <w:vAlign w:val="top"/>
          </w:tcPr>
          <w:p w14:paraId="475DF6AC">
            <w:pPr>
              <w:rPr>
                <w:color w:val="auto"/>
                <w:highlight w:val="none"/>
              </w:rPr>
            </w:pPr>
          </w:p>
        </w:tc>
        <w:tc>
          <w:tcPr>
            <w:tcW w:w="1338" w:type="dxa"/>
            <w:noWrap w:val="0"/>
            <w:vAlign w:val="top"/>
          </w:tcPr>
          <w:p w14:paraId="45C40640">
            <w:pPr>
              <w:rPr>
                <w:color w:val="auto"/>
                <w:highlight w:val="none"/>
              </w:rPr>
            </w:pPr>
          </w:p>
        </w:tc>
        <w:tc>
          <w:tcPr>
            <w:tcW w:w="3036" w:type="dxa"/>
            <w:noWrap w:val="0"/>
            <w:vAlign w:val="top"/>
          </w:tcPr>
          <w:p w14:paraId="706C9C2B">
            <w:pPr>
              <w:rPr>
                <w:color w:val="auto"/>
                <w:highlight w:val="none"/>
              </w:rPr>
            </w:pPr>
          </w:p>
        </w:tc>
        <w:tc>
          <w:tcPr>
            <w:tcW w:w="1070" w:type="dxa"/>
            <w:noWrap w:val="0"/>
            <w:vAlign w:val="top"/>
          </w:tcPr>
          <w:p w14:paraId="2BDF11EE">
            <w:pPr>
              <w:rPr>
                <w:color w:val="auto"/>
                <w:highlight w:val="none"/>
              </w:rPr>
            </w:pPr>
          </w:p>
        </w:tc>
      </w:tr>
      <w:tr w14:paraId="66721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570" w:type="dxa"/>
            <w:noWrap w:val="0"/>
            <w:vAlign w:val="top"/>
          </w:tcPr>
          <w:p w14:paraId="212B47FB">
            <w:pPr>
              <w:rPr>
                <w:color w:val="auto"/>
                <w:highlight w:val="none"/>
              </w:rPr>
            </w:pPr>
          </w:p>
        </w:tc>
        <w:tc>
          <w:tcPr>
            <w:tcW w:w="1548" w:type="dxa"/>
            <w:noWrap w:val="0"/>
            <w:vAlign w:val="top"/>
          </w:tcPr>
          <w:p w14:paraId="1C918114">
            <w:pPr>
              <w:rPr>
                <w:color w:val="auto"/>
                <w:highlight w:val="none"/>
              </w:rPr>
            </w:pPr>
          </w:p>
        </w:tc>
        <w:tc>
          <w:tcPr>
            <w:tcW w:w="1167" w:type="dxa"/>
            <w:noWrap w:val="0"/>
            <w:vAlign w:val="top"/>
          </w:tcPr>
          <w:p w14:paraId="097E922F">
            <w:pPr>
              <w:rPr>
                <w:color w:val="auto"/>
                <w:highlight w:val="none"/>
              </w:rPr>
            </w:pPr>
          </w:p>
        </w:tc>
        <w:tc>
          <w:tcPr>
            <w:tcW w:w="1338" w:type="dxa"/>
            <w:noWrap w:val="0"/>
            <w:vAlign w:val="top"/>
          </w:tcPr>
          <w:p w14:paraId="2A360C24">
            <w:pPr>
              <w:rPr>
                <w:color w:val="auto"/>
                <w:highlight w:val="none"/>
              </w:rPr>
            </w:pPr>
          </w:p>
        </w:tc>
        <w:tc>
          <w:tcPr>
            <w:tcW w:w="3036" w:type="dxa"/>
            <w:noWrap w:val="0"/>
            <w:vAlign w:val="top"/>
          </w:tcPr>
          <w:p w14:paraId="6BEAEDEF">
            <w:pPr>
              <w:rPr>
                <w:color w:val="auto"/>
                <w:highlight w:val="none"/>
              </w:rPr>
            </w:pPr>
          </w:p>
        </w:tc>
        <w:tc>
          <w:tcPr>
            <w:tcW w:w="1070" w:type="dxa"/>
            <w:noWrap w:val="0"/>
            <w:vAlign w:val="top"/>
          </w:tcPr>
          <w:p w14:paraId="165E0A8A">
            <w:pPr>
              <w:rPr>
                <w:color w:val="auto"/>
                <w:highlight w:val="none"/>
              </w:rPr>
            </w:pPr>
          </w:p>
        </w:tc>
      </w:tr>
      <w:tr w14:paraId="4C0EA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0" w:type="dxa"/>
            <w:noWrap w:val="0"/>
            <w:vAlign w:val="top"/>
          </w:tcPr>
          <w:p w14:paraId="1DBE30DF">
            <w:pPr>
              <w:rPr>
                <w:color w:val="auto"/>
                <w:highlight w:val="none"/>
              </w:rPr>
            </w:pPr>
          </w:p>
        </w:tc>
        <w:tc>
          <w:tcPr>
            <w:tcW w:w="1548" w:type="dxa"/>
            <w:noWrap w:val="0"/>
            <w:vAlign w:val="top"/>
          </w:tcPr>
          <w:p w14:paraId="44F6E029">
            <w:pPr>
              <w:rPr>
                <w:color w:val="auto"/>
                <w:highlight w:val="none"/>
              </w:rPr>
            </w:pPr>
          </w:p>
        </w:tc>
        <w:tc>
          <w:tcPr>
            <w:tcW w:w="1167" w:type="dxa"/>
            <w:noWrap w:val="0"/>
            <w:vAlign w:val="top"/>
          </w:tcPr>
          <w:p w14:paraId="28160637">
            <w:pPr>
              <w:rPr>
                <w:color w:val="auto"/>
                <w:highlight w:val="none"/>
              </w:rPr>
            </w:pPr>
          </w:p>
        </w:tc>
        <w:tc>
          <w:tcPr>
            <w:tcW w:w="1338" w:type="dxa"/>
            <w:noWrap w:val="0"/>
            <w:vAlign w:val="top"/>
          </w:tcPr>
          <w:p w14:paraId="75C1511D">
            <w:pPr>
              <w:rPr>
                <w:color w:val="auto"/>
                <w:highlight w:val="none"/>
              </w:rPr>
            </w:pPr>
          </w:p>
        </w:tc>
        <w:tc>
          <w:tcPr>
            <w:tcW w:w="3036" w:type="dxa"/>
            <w:noWrap w:val="0"/>
            <w:vAlign w:val="top"/>
          </w:tcPr>
          <w:p w14:paraId="544A7B05">
            <w:pPr>
              <w:rPr>
                <w:color w:val="auto"/>
                <w:highlight w:val="none"/>
              </w:rPr>
            </w:pPr>
          </w:p>
        </w:tc>
        <w:tc>
          <w:tcPr>
            <w:tcW w:w="1070" w:type="dxa"/>
            <w:noWrap w:val="0"/>
            <w:vAlign w:val="top"/>
          </w:tcPr>
          <w:p w14:paraId="0729EDAF">
            <w:pPr>
              <w:rPr>
                <w:color w:val="auto"/>
                <w:highlight w:val="none"/>
              </w:rPr>
            </w:pPr>
          </w:p>
        </w:tc>
      </w:tr>
      <w:tr w14:paraId="39E17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70" w:type="dxa"/>
            <w:noWrap w:val="0"/>
            <w:vAlign w:val="top"/>
          </w:tcPr>
          <w:p w14:paraId="19E0E2C1">
            <w:pPr>
              <w:rPr>
                <w:color w:val="auto"/>
                <w:highlight w:val="none"/>
              </w:rPr>
            </w:pPr>
          </w:p>
        </w:tc>
        <w:tc>
          <w:tcPr>
            <w:tcW w:w="1548" w:type="dxa"/>
            <w:noWrap w:val="0"/>
            <w:vAlign w:val="top"/>
          </w:tcPr>
          <w:p w14:paraId="6BC09BE4">
            <w:pPr>
              <w:rPr>
                <w:color w:val="auto"/>
                <w:highlight w:val="none"/>
              </w:rPr>
            </w:pPr>
          </w:p>
        </w:tc>
        <w:tc>
          <w:tcPr>
            <w:tcW w:w="1167" w:type="dxa"/>
            <w:noWrap w:val="0"/>
            <w:vAlign w:val="top"/>
          </w:tcPr>
          <w:p w14:paraId="403A4BC9">
            <w:pPr>
              <w:rPr>
                <w:color w:val="auto"/>
                <w:highlight w:val="none"/>
              </w:rPr>
            </w:pPr>
          </w:p>
        </w:tc>
        <w:tc>
          <w:tcPr>
            <w:tcW w:w="1338" w:type="dxa"/>
            <w:noWrap w:val="0"/>
            <w:vAlign w:val="top"/>
          </w:tcPr>
          <w:p w14:paraId="3C5A09FC">
            <w:pPr>
              <w:rPr>
                <w:color w:val="auto"/>
                <w:highlight w:val="none"/>
              </w:rPr>
            </w:pPr>
          </w:p>
        </w:tc>
        <w:tc>
          <w:tcPr>
            <w:tcW w:w="3036" w:type="dxa"/>
            <w:noWrap w:val="0"/>
            <w:vAlign w:val="top"/>
          </w:tcPr>
          <w:p w14:paraId="122D1056">
            <w:pPr>
              <w:rPr>
                <w:color w:val="auto"/>
                <w:highlight w:val="none"/>
              </w:rPr>
            </w:pPr>
          </w:p>
        </w:tc>
        <w:tc>
          <w:tcPr>
            <w:tcW w:w="1070" w:type="dxa"/>
            <w:noWrap w:val="0"/>
            <w:vAlign w:val="top"/>
          </w:tcPr>
          <w:p w14:paraId="170097E4">
            <w:pPr>
              <w:rPr>
                <w:color w:val="auto"/>
                <w:highlight w:val="none"/>
              </w:rPr>
            </w:pPr>
          </w:p>
        </w:tc>
      </w:tr>
    </w:tbl>
    <w:p w14:paraId="04905A47">
      <w:pPr>
        <w:spacing w:line="69" w:lineRule="exact"/>
        <w:rPr>
          <w:color w:val="auto"/>
          <w:highlight w:val="none"/>
        </w:rPr>
      </w:pPr>
    </w:p>
    <w:p w14:paraId="0647AEB9">
      <w:pPr>
        <w:spacing w:before="78" w:line="220" w:lineRule="auto"/>
        <w:jc w:val="center"/>
        <w:outlineLvl w:val="0"/>
        <w:rPr>
          <w:rFonts w:ascii="宋体" w:hAnsi="宋体" w:cs="宋体"/>
          <w:color w:val="auto"/>
          <w:sz w:val="24"/>
          <w:szCs w:val="24"/>
          <w:highlight w:val="none"/>
        </w:rPr>
      </w:pPr>
      <w:r>
        <w:rPr>
          <w:rFonts w:hint="eastAsia" w:ascii="宋体" w:hAnsi="宋体" w:cs="宋体"/>
          <w:color w:val="auto"/>
          <w:spacing w:val="-3"/>
          <w:sz w:val="24"/>
          <w:szCs w:val="24"/>
          <w:highlight w:val="none"/>
          <w:lang w:eastAsia="zh-CN"/>
        </w:rPr>
        <w:t>表</w:t>
      </w:r>
      <w:r>
        <w:rPr>
          <w:rFonts w:ascii="宋体" w:hAnsi="宋体" w:cs="宋体"/>
          <w:color w:val="auto"/>
          <w:spacing w:val="-3"/>
          <w:sz w:val="24"/>
          <w:szCs w:val="24"/>
          <w:highlight w:val="none"/>
        </w:rPr>
        <w:t>二、物业服务每月考核评分情况（</w:t>
      </w:r>
      <w:r>
        <w:rPr>
          <w:rFonts w:ascii="宋体" w:hAnsi="宋体" w:cs="宋体"/>
          <w:color w:val="auto"/>
          <w:spacing w:val="22"/>
          <w:sz w:val="24"/>
          <w:szCs w:val="24"/>
          <w:highlight w:val="none"/>
        </w:rPr>
        <w:t xml:space="preserve">   </w:t>
      </w:r>
      <w:r>
        <w:rPr>
          <w:rFonts w:ascii="宋体" w:hAnsi="宋体" w:cs="宋体"/>
          <w:color w:val="auto"/>
          <w:spacing w:val="-3"/>
          <w:sz w:val="24"/>
          <w:szCs w:val="24"/>
          <w:highlight w:val="none"/>
        </w:rPr>
        <w:t>月份）</w:t>
      </w:r>
    </w:p>
    <w:tbl>
      <w:tblPr>
        <w:tblStyle w:val="37"/>
        <w:tblW w:w="87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1"/>
        <w:gridCol w:w="530"/>
        <w:gridCol w:w="612"/>
        <w:gridCol w:w="4486"/>
        <w:gridCol w:w="1039"/>
        <w:gridCol w:w="564"/>
        <w:gridCol w:w="551"/>
        <w:gridCol w:w="430"/>
      </w:tblGrid>
      <w:tr w14:paraId="33762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43" w:type="dxa"/>
            <w:gridSpan w:val="8"/>
            <w:noWrap w:val="0"/>
            <w:vAlign w:val="top"/>
          </w:tcPr>
          <w:p w14:paraId="43620D53">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sz w:val="22"/>
                <w:szCs w:val="22"/>
                <w:highlight w:val="none"/>
                <w:lang w:eastAsia="zh-CN"/>
              </w:rPr>
            </w:pPr>
            <w:r>
              <w:rPr>
                <w:color w:val="auto"/>
                <w:spacing w:val="-16"/>
                <w:sz w:val="22"/>
                <w:szCs w:val="22"/>
                <w:highlight w:val="none"/>
                <w:lang w:eastAsia="zh-CN"/>
              </w:rPr>
              <w:t>考核人员：</w:t>
            </w:r>
            <w:r>
              <w:rPr>
                <w:color w:val="auto"/>
                <w:spacing w:val="1"/>
                <w:sz w:val="22"/>
                <w:szCs w:val="22"/>
                <w:highlight w:val="none"/>
                <w:lang w:eastAsia="zh-CN"/>
              </w:rPr>
              <w:t xml:space="preserve">                                       </w:t>
            </w:r>
            <w:r>
              <w:rPr>
                <w:color w:val="auto"/>
                <w:spacing w:val="-16"/>
                <w:sz w:val="22"/>
                <w:szCs w:val="22"/>
                <w:highlight w:val="none"/>
                <w:lang w:eastAsia="zh-CN"/>
              </w:rPr>
              <w:t>被考核</w:t>
            </w:r>
            <w:r>
              <w:rPr>
                <w:rFonts w:hint="eastAsia"/>
                <w:color w:val="auto"/>
                <w:spacing w:val="-16"/>
                <w:sz w:val="22"/>
                <w:szCs w:val="22"/>
                <w:highlight w:val="none"/>
                <w:lang w:eastAsia="zh-CN"/>
              </w:rPr>
              <w:t>单位</w:t>
            </w:r>
            <w:r>
              <w:rPr>
                <w:color w:val="auto"/>
                <w:spacing w:val="-16"/>
                <w:sz w:val="22"/>
                <w:szCs w:val="22"/>
                <w:highlight w:val="none"/>
                <w:lang w:eastAsia="zh-CN"/>
              </w:rPr>
              <w:t>：</w:t>
            </w:r>
          </w:p>
        </w:tc>
      </w:tr>
      <w:tr w14:paraId="530DB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top"/>
          </w:tcPr>
          <w:p w14:paraId="29EEE78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2"/>
                <w:highlight w:val="none"/>
              </w:rPr>
              <w:t>序号</w:t>
            </w:r>
          </w:p>
        </w:tc>
        <w:tc>
          <w:tcPr>
            <w:tcW w:w="530" w:type="dxa"/>
            <w:noWrap w:val="0"/>
            <w:vAlign w:val="top"/>
          </w:tcPr>
          <w:p w14:paraId="353E3689">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1"/>
                <w:highlight w:val="none"/>
              </w:rPr>
              <w:t>考评项目</w:t>
            </w:r>
          </w:p>
        </w:tc>
        <w:tc>
          <w:tcPr>
            <w:tcW w:w="612" w:type="dxa"/>
            <w:noWrap w:val="0"/>
            <w:vAlign w:val="top"/>
          </w:tcPr>
          <w:p w14:paraId="30B740CE">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2"/>
                <w:highlight w:val="none"/>
              </w:rPr>
              <w:t>项目分值</w:t>
            </w:r>
          </w:p>
        </w:tc>
        <w:tc>
          <w:tcPr>
            <w:tcW w:w="4486" w:type="dxa"/>
            <w:noWrap w:val="0"/>
            <w:vAlign w:val="top"/>
          </w:tcPr>
          <w:p w14:paraId="0B01145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highlight w:val="none"/>
              </w:rPr>
              <w:t>考评内容及标准</w:t>
            </w:r>
          </w:p>
        </w:tc>
        <w:tc>
          <w:tcPr>
            <w:tcW w:w="1039" w:type="dxa"/>
            <w:noWrap w:val="0"/>
            <w:vAlign w:val="top"/>
          </w:tcPr>
          <w:p w14:paraId="43422567">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1"/>
                <w:highlight w:val="none"/>
              </w:rPr>
              <w:t>评分标准</w:t>
            </w:r>
          </w:p>
        </w:tc>
        <w:tc>
          <w:tcPr>
            <w:tcW w:w="564" w:type="dxa"/>
            <w:noWrap w:val="0"/>
            <w:vAlign w:val="top"/>
          </w:tcPr>
          <w:p w14:paraId="2E0381E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1"/>
                <w:highlight w:val="none"/>
              </w:rPr>
              <w:t>考评分值</w:t>
            </w:r>
          </w:p>
        </w:tc>
        <w:tc>
          <w:tcPr>
            <w:tcW w:w="551" w:type="dxa"/>
            <w:noWrap w:val="0"/>
            <w:vAlign w:val="top"/>
          </w:tcPr>
          <w:p w14:paraId="4EBA36F7">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1"/>
                <w:highlight w:val="none"/>
              </w:rPr>
              <w:t>考评理由</w:t>
            </w:r>
          </w:p>
        </w:tc>
        <w:tc>
          <w:tcPr>
            <w:tcW w:w="430" w:type="dxa"/>
            <w:noWrap w:val="0"/>
            <w:vAlign w:val="top"/>
          </w:tcPr>
          <w:p w14:paraId="6879EC6D">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r>
              <w:rPr>
                <w:color w:val="auto"/>
                <w:spacing w:val="-3"/>
                <w:highlight w:val="none"/>
              </w:rPr>
              <w:t>备注</w:t>
            </w:r>
          </w:p>
        </w:tc>
      </w:tr>
      <w:tr w14:paraId="61CB4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top"/>
          </w:tcPr>
          <w:p w14:paraId="2D9DF4D3">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position w:val="-4"/>
                <w:highlight w:val="none"/>
              </w:rPr>
              <w:t>一</w:t>
            </w:r>
          </w:p>
        </w:tc>
        <w:tc>
          <w:tcPr>
            <w:tcW w:w="530" w:type="dxa"/>
            <w:noWrap w:val="0"/>
            <w:vAlign w:val="top"/>
          </w:tcPr>
          <w:p w14:paraId="4148E9B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2"/>
                <w:highlight w:val="none"/>
              </w:rPr>
              <w:t>综合要求</w:t>
            </w:r>
          </w:p>
        </w:tc>
        <w:tc>
          <w:tcPr>
            <w:tcW w:w="612" w:type="dxa"/>
            <w:noWrap w:val="0"/>
            <w:vAlign w:val="top"/>
          </w:tcPr>
          <w:p w14:paraId="7E0B4AAC">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41</w:t>
            </w:r>
          </w:p>
        </w:tc>
        <w:tc>
          <w:tcPr>
            <w:tcW w:w="4486" w:type="dxa"/>
            <w:noWrap w:val="0"/>
            <w:vAlign w:val="top"/>
          </w:tcPr>
          <w:p w14:paraId="648BE4B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c>
          <w:tcPr>
            <w:tcW w:w="1039" w:type="dxa"/>
            <w:noWrap w:val="0"/>
            <w:vAlign w:val="top"/>
          </w:tcPr>
          <w:p w14:paraId="27835AC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c>
          <w:tcPr>
            <w:tcW w:w="564" w:type="dxa"/>
            <w:noWrap w:val="0"/>
            <w:vAlign w:val="top"/>
          </w:tcPr>
          <w:p w14:paraId="1A85B57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c>
          <w:tcPr>
            <w:tcW w:w="551" w:type="dxa"/>
            <w:noWrap w:val="0"/>
            <w:vAlign w:val="top"/>
          </w:tcPr>
          <w:p w14:paraId="1E3F974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c>
          <w:tcPr>
            <w:tcW w:w="430" w:type="dxa"/>
            <w:noWrap w:val="0"/>
            <w:vAlign w:val="top"/>
          </w:tcPr>
          <w:p w14:paraId="5AC8F560">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r>
      <w:tr w14:paraId="44D07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top"/>
          </w:tcPr>
          <w:p w14:paraId="129A8D0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B4B9B0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641F0DD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CEB049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D0C33E2">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highlight w:val="none"/>
              </w:rPr>
              <w:t>1</w:t>
            </w:r>
          </w:p>
        </w:tc>
        <w:tc>
          <w:tcPr>
            <w:tcW w:w="530" w:type="dxa"/>
            <w:noWrap w:val="0"/>
            <w:vAlign w:val="top"/>
          </w:tcPr>
          <w:p w14:paraId="51F0141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647ECE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2591BB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2AA8DE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854EC3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2"/>
                <w:highlight w:val="none"/>
              </w:rPr>
              <w:t>规章制度</w:t>
            </w:r>
          </w:p>
        </w:tc>
        <w:tc>
          <w:tcPr>
            <w:tcW w:w="612" w:type="dxa"/>
            <w:noWrap w:val="0"/>
            <w:vAlign w:val="top"/>
          </w:tcPr>
          <w:p w14:paraId="743A64B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3212601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4B0ABC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77F6AF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FBD8E40">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r>
              <w:rPr>
                <w:rFonts w:hint="eastAsia"/>
                <w:color w:val="auto"/>
                <w:highlight w:val="none"/>
                <w:lang w:val="en-US" w:eastAsia="zh-CN"/>
              </w:rPr>
              <w:t>4</w:t>
            </w:r>
          </w:p>
        </w:tc>
        <w:tc>
          <w:tcPr>
            <w:tcW w:w="4486" w:type="dxa"/>
            <w:noWrap w:val="0"/>
            <w:vAlign w:val="top"/>
          </w:tcPr>
          <w:p w14:paraId="1D38AD9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r>
              <w:rPr>
                <w:color w:val="auto"/>
                <w:spacing w:val="3"/>
                <w:highlight w:val="none"/>
                <w:lang w:eastAsia="zh-CN"/>
              </w:rPr>
              <w:t>①建立健全相关规章制度，包括但不限于员工岗位责任制度、岗位</w:t>
            </w:r>
            <w:r>
              <w:rPr>
                <w:color w:val="auto"/>
                <w:spacing w:val="8"/>
                <w:highlight w:val="none"/>
                <w:lang w:eastAsia="zh-CN"/>
              </w:rPr>
              <w:t xml:space="preserve"> </w:t>
            </w:r>
            <w:r>
              <w:rPr>
                <w:color w:val="auto"/>
                <w:spacing w:val="-3"/>
                <w:highlight w:val="none"/>
                <w:lang w:eastAsia="zh-CN"/>
              </w:rPr>
              <w:t>考核制度、24小时值班制度、</w:t>
            </w:r>
            <w:r>
              <w:rPr>
                <w:color w:val="auto"/>
                <w:spacing w:val="3"/>
                <w:highlight w:val="none"/>
                <w:lang w:eastAsia="zh-CN"/>
              </w:rPr>
              <w:t>投诉处理制度、应急处理预案、物业管理意见征询制度、档案资料管理规定等；②制定岗位职责、工作程序和工作标准等；③应使用计算机、智能化设备等现代化管理手段，提高管理效率；④工</w:t>
            </w:r>
            <w:r>
              <w:rPr>
                <w:color w:val="auto"/>
                <w:spacing w:val="-3"/>
                <w:highlight w:val="none"/>
                <w:lang w:eastAsia="zh-CN"/>
              </w:rPr>
              <w:t>作记录应及时、清楚、完整等。</w:t>
            </w:r>
          </w:p>
        </w:tc>
        <w:tc>
          <w:tcPr>
            <w:tcW w:w="1039" w:type="dxa"/>
            <w:noWrap w:val="0"/>
            <w:vAlign w:val="center"/>
          </w:tcPr>
          <w:p w14:paraId="105A1C8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highlight w:val="none"/>
                <w:lang w:val="en-US" w:eastAsia="zh-CN"/>
              </w:rPr>
            </w:pPr>
            <w:r>
              <w:rPr>
                <w:color w:val="auto"/>
                <w:spacing w:val="-8"/>
                <w:highlight w:val="none"/>
                <w:lang w:eastAsia="zh-CN"/>
              </w:rPr>
              <w:t>全部符合</w:t>
            </w:r>
            <w:r>
              <w:rPr>
                <w:color w:val="auto"/>
                <w:spacing w:val="-42"/>
                <w:highlight w:val="none"/>
                <w:lang w:eastAsia="zh-CN"/>
              </w:rPr>
              <w:t xml:space="preserve"> </w:t>
            </w:r>
            <w:r>
              <w:rPr>
                <w:rFonts w:hint="eastAsia"/>
                <w:color w:val="auto"/>
                <w:spacing w:val="-42"/>
                <w:highlight w:val="none"/>
                <w:lang w:val="en-US" w:eastAsia="zh-CN"/>
              </w:rPr>
              <w:t>4</w:t>
            </w:r>
            <w:r>
              <w:rPr>
                <w:color w:val="auto"/>
                <w:spacing w:val="-8"/>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1.0</w:t>
            </w:r>
          </w:p>
        </w:tc>
        <w:tc>
          <w:tcPr>
            <w:tcW w:w="564" w:type="dxa"/>
            <w:noWrap w:val="0"/>
            <w:vAlign w:val="top"/>
          </w:tcPr>
          <w:p w14:paraId="59FEDAE7">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551" w:type="dxa"/>
            <w:noWrap w:val="0"/>
            <w:vAlign w:val="top"/>
          </w:tcPr>
          <w:p w14:paraId="5E07CBCF">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430" w:type="dxa"/>
            <w:noWrap w:val="0"/>
            <w:vAlign w:val="top"/>
          </w:tcPr>
          <w:p w14:paraId="5438E9F5">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r>
      <w:tr w14:paraId="6F584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24948AEC">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highlight w:val="none"/>
              </w:rPr>
              <w:t>2</w:t>
            </w:r>
          </w:p>
        </w:tc>
        <w:tc>
          <w:tcPr>
            <w:tcW w:w="530" w:type="dxa"/>
            <w:noWrap w:val="0"/>
            <w:vAlign w:val="center"/>
          </w:tcPr>
          <w:p w14:paraId="6B6F45E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3"/>
                <w:highlight w:val="none"/>
              </w:rPr>
              <w:t>持证上岗</w:t>
            </w:r>
          </w:p>
        </w:tc>
        <w:tc>
          <w:tcPr>
            <w:tcW w:w="612" w:type="dxa"/>
            <w:noWrap w:val="0"/>
            <w:vAlign w:val="top"/>
          </w:tcPr>
          <w:p w14:paraId="1350EA4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97B0C63">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r>
              <w:rPr>
                <w:rFonts w:hint="eastAsia"/>
                <w:color w:val="auto"/>
                <w:highlight w:val="none"/>
                <w:lang w:val="en-US" w:eastAsia="zh-CN"/>
              </w:rPr>
              <w:t>4</w:t>
            </w:r>
          </w:p>
        </w:tc>
        <w:tc>
          <w:tcPr>
            <w:tcW w:w="4486" w:type="dxa"/>
            <w:noWrap w:val="0"/>
            <w:vAlign w:val="center"/>
          </w:tcPr>
          <w:p w14:paraId="3DD91A85">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r>
              <w:rPr>
                <w:color w:val="auto"/>
                <w:spacing w:val="3"/>
                <w:highlight w:val="none"/>
                <w:lang w:eastAsia="zh-CN"/>
              </w:rPr>
              <w:t>①上岗五个月以上的</w:t>
            </w:r>
            <w:r>
              <w:rPr>
                <w:rFonts w:hint="eastAsia"/>
                <w:color w:val="auto"/>
                <w:spacing w:val="3"/>
                <w:highlight w:val="none"/>
                <w:lang w:eastAsia="zh-CN"/>
              </w:rPr>
              <w:t>保安人</w:t>
            </w:r>
            <w:r>
              <w:rPr>
                <w:color w:val="auto"/>
                <w:spacing w:val="3"/>
                <w:highlight w:val="none"/>
                <w:lang w:eastAsia="zh-CN"/>
              </w:rPr>
              <w:t>员</w:t>
            </w:r>
            <w:r>
              <w:rPr>
                <w:color w:val="auto"/>
                <w:highlight w:val="none"/>
                <w:lang w:eastAsia="zh-CN"/>
              </w:rPr>
              <w:t>持证上岗率达 10</w:t>
            </w:r>
            <w:r>
              <w:rPr>
                <w:color w:val="auto"/>
                <w:spacing w:val="-1"/>
                <w:highlight w:val="none"/>
                <w:lang w:eastAsia="zh-CN"/>
              </w:rPr>
              <w:t>0%，</w:t>
            </w:r>
            <w:r>
              <w:rPr>
                <w:color w:val="auto"/>
                <w:spacing w:val="-3"/>
                <w:highlight w:val="none"/>
                <w:lang w:eastAsia="zh-CN"/>
              </w:rPr>
              <w:t>②员工上岗前需接受相应的培训，考核合格后方可上岗</w:t>
            </w:r>
            <w:r>
              <w:rPr>
                <w:rFonts w:hint="eastAsia"/>
                <w:color w:val="auto"/>
                <w:spacing w:val="-3"/>
                <w:highlight w:val="none"/>
                <w:lang w:eastAsia="zh-CN"/>
              </w:rPr>
              <w:t>。</w:t>
            </w:r>
          </w:p>
        </w:tc>
        <w:tc>
          <w:tcPr>
            <w:tcW w:w="1039" w:type="dxa"/>
            <w:noWrap w:val="0"/>
            <w:vAlign w:val="center"/>
          </w:tcPr>
          <w:p w14:paraId="71D6EB8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r>
              <w:rPr>
                <w:color w:val="auto"/>
                <w:spacing w:val="-8"/>
                <w:highlight w:val="none"/>
                <w:lang w:eastAsia="zh-CN"/>
              </w:rPr>
              <w:t>全部符合</w:t>
            </w:r>
            <w:r>
              <w:rPr>
                <w:color w:val="auto"/>
                <w:spacing w:val="-42"/>
                <w:highlight w:val="none"/>
                <w:lang w:eastAsia="zh-CN"/>
              </w:rPr>
              <w:t xml:space="preserve"> </w:t>
            </w:r>
            <w:r>
              <w:rPr>
                <w:rFonts w:hint="eastAsia"/>
                <w:color w:val="auto"/>
                <w:spacing w:val="-42"/>
                <w:highlight w:val="none"/>
                <w:lang w:val="en-US" w:eastAsia="zh-CN"/>
              </w:rPr>
              <w:t>4</w:t>
            </w:r>
            <w:r>
              <w:rPr>
                <w:color w:val="auto"/>
                <w:spacing w:val="-8"/>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2</w:t>
            </w:r>
            <w:r>
              <w:rPr>
                <w:color w:val="auto"/>
                <w:spacing w:val="-2"/>
                <w:highlight w:val="none"/>
                <w:lang w:eastAsia="zh-CN"/>
              </w:rPr>
              <w:t>.</w:t>
            </w:r>
            <w:r>
              <w:rPr>
                <w:rFonts w:hint="eastAsia"/>
                <w:color w:val="auto"/>
                <w:spacing w:val="-2"/>
                <w:highlight w:val="none"/>
                <w:lang w:val="en-US" w:eastAsia="zh-CN"/>
              </w:rPr>
              <w:t>0</w:t>
            </w:r>
          </w:p>
        </w:tc>
        <w:tc>
          <w:tcPr>
            <w:tcW w:w="564" w:type="dxa"/>
            <w:noWrap w:val="0"/>
            <w:vAlign w:val="top"/>
          </w:tcPr>
          <w:p w14:paraId="70A8F197">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551" w:type="dxa"/>
            <w:noWrap w:val="0"/>
            <w:vAlign w:val="top"/>
          </w:tcPr>
          <w:p w14:paraId="672672D3">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430" w:type="dxa"/>
            <w:noWrap w:val="0"/>
            <w:vAlign w:val="top"/>
          </w:tcPr>
          <w:p w14:paraId="3ACEBC9F">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r>
      <w:tr w14:paraId="491A3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4E44774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highlight w:val="none"/>
              </w:rPr>
              <w:t>3</w:t>
            </w:r>
          </w:p>
        </w:tc>
        <w:tc>
          <w:tcPr>
            <w:tcW w:w="530" w:type="dxa"/>
            <w:noWrap w:val="0"/>
            <w:vAlign w:val="center"/>
          </w:tcPr>
          <w:p w14:paraId="475CFC9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4"/>
                <w:highlight w:val="none"/>
              </w:rPr>
              <w:t>员工管理</w:t>
            </w:r>
          </w:p>
        </w:tc>
        <w:tc>
          <w:tcPr>
            <w:tcW w:w="612" w:type="dxa"/>
            <w:noWrap w:val="0"/>
            <w:vAlign w:val="top"/>
          </w:tcPr>
          <w:p w14:paraId="7EA217D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225F1B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B0DCA8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EE72ECE">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10</w:t>
            </w:r>
          </w:p>
        </w:tc>
        <w:tc>
          <w:tcPr>
            <w:tcW w:w="4486" w:type="dxa"/>
            <w:noWrap w:val="0"/>
            <w:vAlign w:val="top"/>
          </w:tcPr>
          <w:p w14:paraId="0EC53153">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r>
              <w:rPr>
                <w:color w:val="auto"/>
                <w:spacing w:val="3"/>
                <w:highlight w:val="none"/>
                <w:lang w:eastAsia="zh-CN"/>
              </w:rPr>
              <w:t>①应按服务合同要求配备相应数量和资格条件的服务人员</w:t>
            </w:r>
            <w:r>
              <w:rPr>
                <w:rFonts w:hint="eastAsia"/>
                <w:color w:val="auto"/>
                <w:spacing w:val="3"/>
                <w:highlight w:val="none"/>
                <w:lang w:eastAsia="zh-CN"/>
              </w:rPr>
              <w:t>，</w:t>
            </w:r>
            <w:r>
              <w:rPr>
                <w:color w:val="auto"/>
                <w:spacing w:val="3"/>
                <w:highlight w:val="none"/>
                <w:lang w:eastAsia="zh-CN"/>
              </w:rPr>
              <w:t>包括现场管理人员、保安人员，以及客服、保洁等服务人员</w:t>
            </w:r>
            <w:r>
              <w:rPr>
                <w:rFonts w:hint="eastAsia"/>
                <w:color w:val="auto"/>
                <w:spacing w:val="3"/>
                <w:highlight w:val="none"/>
                <w:lang w:eastAsia="zh-CN"/>
              </w:rPr>
              <w:t>；</w:t>
            </w:r>
            <w:r>
              <w:rPr>
                <w:color w:val="auto"/>
                <w:spacing w:val="3"/>
                <w:highlight w:val="none"/>
                <w:lang w:eastAsia="zh-CN"/>
              </w:rPr>
              <w:t>②应接受岗前培训和保密教育</w:t>
            </w:r>
            <w:r>
              <w:rPr>
                <w:rFonts w:hint="eastAsia"/>
                <w:color w:val="auto"/>
                <w:spacing w:val="3"/>
                <w:highlight w:val="none"/>
                <w:lang w:eastAsia="zh-CN"/>
              </w:rPr>
              <w:t>，</w:t>
            </w:r>
            <w:r>
              <w:rPr>
                <w:color w:val="auto"/>
                <w:spacing w:val="3"/>
                <w:highlight w:val="none"/>
                <w:lang w:eastAsia="zh-CN"/>
              </w:rPr>
              <w:t>合格后上岗</w:t>
            </w:r>
            <w:r>
              <w:rPr>
                <w:rFonts w:hint="eastAsia"/>
                <w:color w:val="auto"/>
                <w:spacing w:val="3"/>
                <w:highlight w:val="none"/>
                <w:lang w:eastAsia="zh-CN"/>
              </w:rPr>
              <w:t>；</w:t>
            </w:r>
            <w:r>
              <w:rPr>
                <w:color w:val="auto"/>
                <w:spacing w:val="3"/>
                <w:highlight w:val="none"/>
                <w:lang w:eastAsia="zh-CN"/>
              </w:rPr>
              <w:t>③服务人员应满足以下基</w:t>
            </w:r>
            <w:r>
              <w:rPr>
                <w:color w:val="auto"/>
                <w:spacing w:val="-7"/>
                <w:highlight w:val="none"/>
                <w:lang w:eastAsia="zh-CN"/>
              </w:rPr>
              <w:t>本条件：a.遵守法律法规，遵守各项规章制度；b.具有良好的职业</w:t>
            </w:r>
            <w:r>
              <w:rPr>
                <w:color w:val="auto"/>
                <w:spacing w:val="-4"/>
                <w:highlight w:val="none"/>
                <w:lang w:eastAsia="zh-CN"/>
              </w:rPr>
              <w:t>道德，具备岗位所需的技能、知识、工作经验和资格；c.履行工作职责，遵守工作标准，忠于职守；d.接受思想教育、专业技能、法律法规、安全保密</w:t>
            </w:r>
            <w:r>
              <w:rPr>
                <w:rFonts w:hint="eastAsia"/>
                <w:color w:val="auto"/>
                <w:spacing w:val="-4"/>
                <w:highlight w:val="none"/>
                <w:lang w:eastAsia="zh-CN"/>
              </w:rPr>
              <w:t>、</w:t>
            </w:r>
            <w:r>
              <w:rPr>
                <w:color w:val="auto"/>
                <w:spacing w:val="-4"/>
                <w:highlight w:val="none"/>
                <w:lang w:eastAsia="zh-CN"/>
              </w:rPr>
              <w:t>服务规范、服务礼仪等培训；e.具备良好的沟</w:t>
            </w:r>
            <w:r>
              <w:rPr>
                <w:color w:val="auto"/>
                <w:spacing w:val="-9"/>
                <w:highlight w:val="none"/>
                <w:lang w:eastAsia="zh-CN"/>
              </w:rPr>
              <w:t>通和表达能力；f.认真填写工作记录，妥善保管记录资料；</w:t>
            </w:r>
            <w:r>
              <w:rPr>
                <w:color w:val="auto"/>
                <w:spacing w:val="1"/>
                <w:highlight w:val="none"/>
                <w:lang w:eastAsia="zh-CN"/>
              </w:rPr>
              <w:t>④服务过程</w:t>
            </w:r>
            <w:r>
              <w:rPr>
                <w:color w:val="auto"/>
                <w:spacing w:val="2"/>
                <w:highlight w:val="none"/>
                <w:lang w:eastAsia="zh-CN"/>
              </w:rPr>
              <w:t>中应统一着装（不得将制服与个人衣服混穿</w:t>
            </w:r>
            <w:r>
              <w:rPr>
                <w:color w:val="auto"/>
                <w:spacing w:val="1"/>
                <w:highlight w:val="none"/>
                <w:lang w:eastAsia="zh-CN"/>
              </w:rPr>
              <w:t>，不得将不同季节的制</w:t>
            </w:r>
            <w:r>
              <w:rPr>
                <w:color w:val="auto"/>
                <w:spacing w:val="2"/>
                <w:highlight w:val="none"/>
                <w:lang w:eastAsia="zh-CN"/>
              </w:rPr>
              <w:t>服混穿</w:t>
            </w:r>
            <w:r>
              <w:rPr>
                <w:color w:val="auto"/>
                <w:spacing w:val="1"/>
                <w:highlight w:val="none"/>
                <w:lang w:eastAsia="zh-CN"/>
              </w:rPr>
              <w:t>），</w:t>
            </w:r>
            <w:r>
              <w:rPr>
                <w:color w:val="auto"/>
                <w:spacing w:val="2"/>
                <w:highlight w:val="none"/>
                <w:lang w:eastAsia="zh-CN"/>
              </w:rPr>
              <w:t>佩戴明显标识，仪容仪表整洁；应遵</w:t>
            </w:r>
            <w:r>
              <w:rPr>
                <w:color w:val="auto"/>
                <w:spacing w:val="1"/>
                <w:highlight w:val="none"/>
                <w:lang w:eastAsia="zh-CN"/>
              </w:rPr>
              <w:t>循服务礼仪，保持</w:t>
            </w:r>
            <w:r>
              <w:rPr>
                <w:color w:val="auto"/>
                <w:spacing w:val="-5"/>
                <w:highlight w:val="none"/>
                <w:lang w:eastAsia="zh-CN"/>
              </w:rPr>
              <w:t>良好精神状态，举止大方有礼，用语文明规范，主</w:t>
            </w:r>
            <w:r>
              <w:rPr>
                <w:color w:val="auto"/>
                <w:spacing w:val="-6"/>
                <w:highlight w:val="none"/>
                <w:lang w:eastAsia="zh-CN"/>
              </w:rPr>
              <w:t>动、热情、耐心、</w:t>
            </w:r>
            <w:r>
              <w:rPr>
                <w:color w:val="auto"/>
                <w:spacing w:val="2"/>
                <w:highlight w:val="none"/>
                <w:lang w:eastAsia="zh-CN"/>
              </w:rPr>
              <w:t>周到、及时提供服务。⑤工作期间，严禁员工在岗玩手机或做其他</w:t>
            </w:r>
            <w:r>
              <w:rPr>
                <w:color w:val="auto"/>
                <w:spacing w:val="-2"/>
                <w:highlight w:val="none"/>
                <w:lang w:eastAsia="zh-CN"/>
              </w:rPr>
              <w:t>与工作无关的事情等</w:t>
            </w:r>
            <w:r>
              <w:rPr>
                <w:rFonts w:hint="eastAsia"/>
                <w:color w:val="auto"/>
                <w:spacing w:val="-2"/>
                <w:highlight w:val="none"/>
                <w:lang w:eastAsia="zh-CN"/>
              </w:rPr>
              <w:t>。</w:t>
            </w:r>
          </w:p>
        </w:tc>
        <w:tc>
          <w:tcPr>
            <w:tcW w:w="1039" w:type="dxa"/>
            <w:noWrap w:val="0"/>
            <w:vAlign w:val="center"/>
          </w:tcPr>
          <w:p w14:paraId="22B4224E">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r>
              <w:rPr>
                <w:color w:val="auto"/>
                <w:spacing w:val="-8"/>
                <w:highlight w:val="none"/>
                <w:lang w:eastAsia="zh-CN"/>
              </w:rPr>
              <w:t>全部符合</w:t>
            </w:r>
            <w:r>
              <w:rPr>
                <w:color w:val="auto"/>
                <w:spacing w:val="-42"/>
                <w:highlight w:val="none"/>
                <w:lang w:eastAsia="zh-CN"/>
              </w:rPr>
              <w:t xml:space="preserve"> </w:t>
            </w:r>
            <w:r>
              <w:rPr>
                <w:rFonts w:hint="eastAsia"/>
                <w:color w:val="auto"/>
                <w:spacing w:val="-42"/>
                <w:highlight w:val="none"/>
                <w:lang w:val="en-US" w:eastAsia="zh-CN"/>
              </w:rPr>
              <w:t>10</w:t>
            </w:r>
            <w:r>
              <w:rPr>
                <w:color w:val="auto"/>
                <w:spacing w:val="-8"/>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2.0</w:t>
            </w:r>
          </w:p>
        </w:tc>
        <w:tc>
          <w:tcPr>
            <w:tcW w:w="564" w:type="dxa"/>
            <w:noWrap w:val="0"/>
            <w:vAlign w:val="top"/>
          </w:tcPr>
          <w:p w14:paraId="23604E46">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551" w:type="dxa"/>
            <w:noWrap w:val="0"/>
            <w:vAlign w:val="top"/>
          </w:tcPr>
          <w:p w14:paraId="673F4A9B">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430" w:type="dxa"/>
            <w:noWrap w:val="0"/>
            <w:vAlign w:val="top"/>
          </w:tcPr>
          <w:p w14:paraId="5E7FB92D">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r>
      <w:tr w14:paraId="03D88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top"/>
          </w:tcPr>
          <w:p w14:paraId="2B7A348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C5ABC6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5D3CF4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38EDD9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highlight w:val="none"/>
              </w:rPr>
              <w:t>4</w:t>
            </w:r>
          </w:p>
        </w:tc>
        <w:tc>
          <w:tcPr>
            <w:tcW w:w="530" w:type="dxa"/>
            <w:noWrap w:val="0"/>
            <w:vAlign w:val="top"/>
          </w:tcPr>
          <w:p w14:paraId="59CAEC6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39D4409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0291D0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8F69F45">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4"/>
                <w:highlight w:val="none"/>
              </w:rPr>
            </w:pPr>
            <w:r>
              <w:rPr>
                <w:color w:val="auto"/>
                <w:spacing w:val="-2"/>
                <w:highlight w:val="none"/>
              </w:rPr>
              <w:t>服务响应</w:t>
            </w:r>
          </w:p>
        </w:tc>
        <w:tc>
          <w:tcPr>
            <w:tcW w:w="612" w:type="dxa"/>
            <w:noWrap w:val="0"/>
            <w:vAlign w:val="top"/>
          </w:tcPr>
          <w:p w14:paraId="35594E7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249B50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3FB3499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EA2C0D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eastAsia="zh-CN"/>
              </w:rPr>
              <w:t>5</w:t>
            </w:r>
          </w:p>
        </w:tc>
        <w:tc>
          <w:tcPr>
            <w:tcW w:w="4486" w:type="dxa"/>
            <w:noWrap w:val="0"/>
            <w:vAlign w:val="top"/>
          </w:tcPr>
          <w:p w14:paraId="697AAAA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spacing w:val="3"/>
                <w:highlight w:val="none"/>
                <w:lang w:eastAsia="zh-CN"/>
              </w:rPr>
            </w:pPr>
            <w:r>
              <w:rPr>
                <w:color w:val="auto"/>
                <w:spacing w:val="-4"/>
                <w:highlight w:val="none"/>
                <w:lang w:eastAsia="zh-CN"/>
              </w:rPr>
              <w:t>①建立 24 小时人员值班制度</w:t>
            </w:r>
            <w:r>
              <w:rPr>
                <w:rFonts w:hint="default"/>
                <w:color w:val="auto"/>
                <w:spacing w:val="-4"/>
                <w:highlight w:val="none"/>
                <w:lang w:eastAsia="zh-CN"/>
              </w:rPr>
              <w:t>，</w:t>
            </w:r>
            <w:r>
              <w:rPr>
                <w:color w:val="auto"/>
                <w:spacing w:val="-4"/>
                <w:highlight w:val="none"/>
                <w:lang w:eastAsia="zh-CN"/>
              </w:rPr>
              <w:t>有值班工作记录，字迹清楚，数据准确； ②设有客户服务中心</w:t>
            </w:r>
            <w:r>
              <w:rPr>
                <w:rFonts w:hint="default"/>
                <w:color w:val="auto"/>
                <w:spacing w:val="-4"/>
                <w:highlight w:val="none"/>
                <w:lang w:eastAsia="zh-CN"/>
              </w:rPr>
              <w:t>，</w:t>
            </w:r>
            <w:r>
              <w:rPr>
                <w:color w:val="auto"/>
                <w:spacing w:val="-4"/>
                <w:highlight w:val="none"/>
                <w:lang w:eastAsia="zh-CN"/>
              </w:rPr>
              <w:t>24 小时服务热线电话并公示 ;③非办公时间，应做好人员出入登记的工作；④投诉处理率应为100%，投诉处理及时率应为 100%，可联络投诉回复率应为 100%；⑤工作记录应及时、清楚、完整等。</w:t>
            </w:r>
          </w:p>
        </w:tc>
        <w:tc>
          <w:tcPr>
            <w:tcW w:w="1039" w:type="dxa"/>
            <w:noWrap w:val="0"/>
            <w:vAlign w:val="center"/>
          </w:tcPr>
          <w:p w14:paraId="63BA413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CBCE0FB">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2"/>
                <w:highlight w:val="none"/>
                <w:lang w:eastAsia="zh-CN"/>
              </w:rPr>
            </w:pPr>
            <w:r>
              <w:rPr>
                <w:color w:val="auto"/>
                <w:spacing w:val="-9"/>
                <w:highlight w:val="none"/>
                <w:lang w:eastAsia="zh-CN"/>
              </w:rPr>
              <w:t>全部符合</w:t>
            </w:r>
            <w:r>
              <w:rPr>
                <w:color w:val="auto"/>
                <w:spacing w:val="-35"/>
                <w:highlight w:val="none"/>
                <w:lang w:eastAsia="zh-CN"/>
              </w:rPr>
              <w:t xml:space="preserve"> </w:t>
            </w:r>
            <w:r>
              <w:rPr>
                <w:rFonts w:hint="eastAsia"/>
                <w:color w:val="auto"/>
                <w:spacing w:val="-35"/>
                <w:highlight w:val="none"/>
                <w:lang w:val="en-US" w:eastAsia="zh-CN"/>
              </w:rPr>
              <w:t>5</w:t>
            </w:r>
            <w:r>
              <w:rPr>
                <w:color w:val="auto"/>
                <w:spacing w:val="-9"/>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1.0</w:t>
            </w:r>
          </w:p>
        </w:tc>
        <w:tc>
          <w:tcPr>
            <w:tcW w:w="564" w:type="dxa"/>
            <w:noWrap w:val="0"/>
            <w:vAlign w:val="top"/>
          </w:tcPr>
          <w:p w14:paraId="72214B47">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551" w:type="dxa"/>
            <w:noWrap w:val="0"/>
            <w:vAlign w:val="top"/>
          </w:tcPr>
          <w:p w14:paraId="56F289F2">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top"/>
          </w:tcPr>
          <w:p w14:paraId="447CF8B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0BE15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top"/>
          </w:tcPr>
          <w:p w14:paraId="34A9175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322F3E0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D89D8E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highlight w:val="none"/>
              </w:rPr>
              <w:t>5</w:t>
            </w:r>
          </w:p>
        </w:tc>
        <w:tc>
          <w:tcPr>
            <w:tcW w:w="530" w:type="dxa"/>
            <w:noWrap w:val="0"/>
            <w:vAlign w:val="top"/>
          </w:tcPr>
          <w:p w14:paraId="59D4656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6FBF3D3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84299E0">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4"/>
                <w:highlight w:val="none"/>
              </w:rPr>
            </w:pPr>
            <w:r>
              <w:rPr>
                <w:color w:val="auto"/>
                <w:spacing w:val="-2"/>
                <w:highlight w:val="none"/>
              </w:rPr>
              <w:t>巡查巡检</w:t>
            </w:r>
          </w:p>
        </w:tc>
        <w:tc>
          <w:tcPr>
            <w:tcW w:w="612" w:type="dxa"/>
            <w:noWrap w:val="0"/>
            <w:vAlign w:val="top"/>
          </w:tcPr>
          <w:p w14:paraId="23502C3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0603E4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1E87B0D">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eastAsia="zh-CN"/>
              </w:rPr>
              <w:t>4</w:t>
            </w:r>
          </w:p>
        </w:tc>
        <w:tc>
          <w:tcPr>
            <w:tcW w:w="4486" w:type="dxa"/>
            <w:noWrap w:val="0"/>
            <w:vAlign w:val="top"/>
          </w:tcPr>
          <w:p w14:paraId="199DC869">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spacing w:val="3"/>
                <w:highlight w:val="none"/>
                <w:lang w:eastAsia="zh-CN"/>
              </w:rPr>
            </w:pPr>
            <w:r>
              <w:rPr>
                <w:color w:val="auto"/>
                <w:spacing w:val="-3"/>
                <w:highlight w:val="none"/>
                <w:lang w:eastAsia="zh-CN"/>
              </w:rPr>
              <w:t>①日检。各项目管理员应填报日检表并送物业管理处相关主管审阅；</w:t>
            </w:r>
            <w:r>
              <w:rPr>
                <w:color w:val="auto"/>
                <w:spacing w:val="15"/>
                <w:highlight w:val="none"/>
                <w:lang w:eastAsia="zh-CN"/>
              </w:rPr>
              <w:t xml:space="preserve"> </w:t>
            </w:r>
            <w:r>
              <w:rPr>
                <w:color w:val="auto"/>
                <w:spacing w:val="-5"/>
                <w:highlight w:val="none"/>
                <w:lang w:eastAsia="zh-CN"/>
              </w:rPr>
              <w:t>②月检。项目负责人每月组织对全部管理项目进行检查</w:t>
            </w:r>
            <w:r>
              <w:rPr>
                <w:color w:val="auto"/>
                <w:spacing w:val="-6"/>
                <w:highlight w:val="none"/>
                <w:lang w:eastAsia="zh-CN"/>
              </w:rPr>
              <w:t>；③临检。</w:t>
            </w:r>
            <w:r>
              <w:rPr>
                <w:color w:val="auto"/>
                <w:spacing w:val="-4"/>
                <w:highlight w:val="none"/>
                <w:lang w:eastAsia="zh-CN"/>
              </w:rPr>
              <w:t>根据需要，项目负责人组织进行专项检查或应急抽检；④检查情况</w:t>
            </w:r>
            <w:r>
              <w:rPr>
                <w:color w:val="auto"/>
                <w:spacing w:val="-5"/>
                <w:highlight w:val="none"/>
                <w:lang w:eastAsia="zh-CN"/>
              </w:rPr>
              <w:t>应做好记录，存在问题应及时整改，</w:t>
            </w:r>
            <w:r>
              <w:rPr>
                <w:color w:val="auto"/>
                <w:spacing w:val="-20"/>
                <w:highlight w:val="none"/>
                <w:lang w:eastAsia="zh-CN"/>
              </w:rPr>
              <w:t xml:space="preserve"> </w:t>
            </w:r>
            <w:r>
              <w:rPr>
                <w:color w:val="auto"/>
                <w:spacing w:val="-5"/>
                <w:highlight w:val="none"/>
                <w:lang w:eastAsia="zh-CN"/>
              </w:rPr>
              <w:t>整改情况及时反馈。</w:t>
            </w:r>
          </w:p>
        </w:tc>
        <w:tc>
          <w:tcPr>
            <w:tcW w:w="1039" w:type="dxa"/>
            <w:noWrap w:val="0"/>
            <w:vAlign w:val="center"/>
          </w:tcPr>
          <w:p w14:paraId="05F3004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F2AD38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spacing w:val="-2"/>
                <w:highlight w:val="none"/>
                <w:lang w:val="en-US" w:eastAsia="zh-CN"/>
              </w:rPr>
            </w:pPr>
            <w:r>
              <w:rPr>
                <w:color w:val="auto"/>
                <w:spacing w:val="-8"/>
                <w:highlight w:val="none"/>
                <w:lang w:eastAsia="zh-CN"/>
              </w:rPr>
              <w:t>全部符合</w:t>
            </w:r>
            <w:r>
              <w:rPr>
                <w:color w:val="auto"/>
                <w:spacing w:val="-42"/>
                <w:highlight w:val="none"/>
                <w:lang w:eastAsia="zh-CN"/>
              </w:rPr>
              <w:t xml:space="preserve"> </w:t>
            </w:r>
            <w:r>
              <w:rPr>
                <w:rFonts w:hint="eastAsia"/>
                <w:color w:val="auto"/>
                <w:spacing w:val="-42"/>
                <w:highlight w:val="none"/>
                <w:lang w:val="en-US" w:eastAsia="zh-CN"/>
              </w:rPr>
              <w:t>4</w:t>
            </w:r>
            <w:r>
              <w:rPr>
                <w:color w:val="auto"/>
                <w:spacing w:val="-8"/>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1.0</w:t>
            </w:r>
          </w:p>
        </w:tc>
        <w:tc>
          <w:tcPr>
            <w:tcW w:w="564" w:type="dxa"/>
            <w:noWrap w:val="0"/>
            <w:vAlign w:val="top"/>
          </w:tcPr>
          <w:p w14:paraId="1BD6EF7D">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551" w:type="dxa"/>
            <w:noWrap w:val="0"/>
            <w:vAlign w:val="top"/>
          </w:tcPr>
          <w:p w14:paraId="007C8821">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top"/>
          </w:tcPr>
          <w:p w14:paraId="7E33B0AC">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7A497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455DE2B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highlight w:val="none"/>
              </w:rPr>
              <w:t>6</w:t>
            </w:r>
          </w:p>
        </w:tc>
        <w:tc>
          <w:tcPr>
            <w:tcW w:w="530" w:type="dxa"/>
            <w:noWrap w:val="0"/>
            <w:vAlign w:val="center"/>
          </w:tcPr>
          <w:p w14:paraId="6EE1673E">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4"/>
                <w:highlight w:val="none"/>
              </w:rPr>
            </w:pPr>
            <w:r>
              <w:rPr>
                <w:color w:val="auto"/>
                <w:spacing w:val="-2"/>
                <w:highlight w:val="none"/>
              </w:rPr>
              <w:t>档案管理</w:t>
            </w:r>
          </w:p>
        </w:tc>
        <w:tc>
          <w:tcPr>
            <w:tcW w:w="612" w:type="dxa"/>
            <w:noWrap w:val="0"/>
            <w:vAlign w:val="center"/>
          </w:tcPr>
          <w:p w14:paraId="52D7151D">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val="en-US" w:eastAsia="zh-CN"/>
              </w:rPr>
              <w:t>3</w:t>
            </w:r>
          </w:p>
        </w:tc>
        <w:tc>
          <w:tcPr>
            <w:tcW w:w="4486" w:type="dxa"/>
            <w:noWrap w:val="0"/>
            <w:vAlign w:val="top"/>
          </w:tcPr>
          <w:p w14:paraId="6CAFCB3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spacing w:val="3"/>
                <w:highlight w:val="none"/>
                <w:lang w:eastAsia="zh-CN"/>
              </w:rPr>
            </w:pPr>
            <w:r>
              <w:rPr>
                <w:color w:val="auto"/>
                <w:spacing w:val="3"/>
                <w:highlight w:val="none"/>
                <w:lang w:eastAsia="zh-CN"/>
              </w:rPr>
              <w:t>①</w:t>
            </w:r>
            <w:r>
              <w:rPr>
                <w:color w:val="auto"/>
                <w:spacing w:val="-7"/>
                <w:highlight w:val="none"/>
                <w:lang w:eastAsia="zh-CN"/>
              </w:rPr>
              <w:t>根据档案管理规范进行资料收集、分类、整理和编制等，保存物业服务管理过程中的各类档案资料；②档案资料的收集内容应真实、准确和完整等；</w:t>
            </w:r>
            <w:r>
              <w:rPr>
                <w:color w:val="auto"/>
                <w:spacing w:val="-6"/>
                <w:highlight w:val="none"/>
                <w:lang w:eastAsia="zh-CN"/>
              </w:rPr>
              <w:t>③</w:t>
            </w:r>
            <w:r>
              <w:rPr>
                <w:color w:val="auto"/>
                <w:spacing w:val="-7"/>
                <w:highlight w:val="none"/>
                <w:lang w:eastAsia="zh-CN"/>
              </w:rPr>
              <w:t>档案资料的保存年限应与《物业服务合同》的履行期限一致。</w:t>
            </w:r>
          </w:p>
        </w:tc>
        <w:tc>
          <w:tcPr>
            <w:tcW w:w="1039" w:type="dxa"/>
            <w:noWrap w:val="0"/>
            <w:vAlign w:val="center"/>
          </w:tcPr>
          <w:p w14:paraId="63E390BE">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2"/>
                <w:highlight w:val="none"/>
                <w:lang w:eastAsia="zh-CN"/>
              </w:rPr>
            </w:pPr>
            <w:r>
              <w:rPr>
                <w:color w:val="auto"/>
                <w:spacing w:val="-8"/>
                <w:highlight w:val="none"/>
                <w:lang w:eastAsia="zh-CN"/>
              </w:rPr>
              <w:t>全部符合</w:t>
            </w:r>
            <w:r>
              <w:rPr>
                <w:color w:val="auto"/>
                <w:spacing w:val="-42"/>
                <w:highlight w:val="none"/>
                <w:lang w:eastAsia="zh-CN"/>
              </w:rPr>
              <w:t xml:space="preserve"> </w:t>
            </w:r>
            <w:r>
              <w:rPr>
                <w:rFonts w:hint="eastAsia"/>
                <w:color w:val="auto"/>
                <w:spacing w:val="-42"/>
                <w:highlight w:val="none"/>
                <w:lang w:val="en-US" w:eastAsia="zh-CN"/>
              </w:rPr>
              <w:t>3</w:t>
            </w:r>
            <w:r>
              <w:rPr>
                <w:color w:val="auto"/>
                <w:spacing w:val="-8"/>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1</w:t>
            </w:r>
          </w:p>
        </w:tc>
        <w:tc>
          <w:tcPr>
            <w:tcW w:w="564" w:type="dxa"/>
            <w:noWrap w:val="0"/>
            <w:vAlign w:val="center"/>
          </w:tcPr>
          <w:p w14:paraId="24267AE2">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551" w:type="dxa"/>
            <w:noWrap w:val="0"/>
            <w:vAlign w:val="center"/>
          </w:tcPr>
          <w:p w14:paraId="45B9F4E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center"/>
          </w:tcPr>
          <w:p w14:paraId="40FD2AD9">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0E181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top"/>
          </w:tcPr>
          <w:p w14:paraId="4E85720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7E2061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F18AAF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C70D5E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3C50BA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4A2897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F04A31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40776D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CA942C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341250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388F370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4181D3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3239BE7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C94BC4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69066017">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highlight w:val="none"/>
              </w:rPr>
              <w:t>7</w:t>
            </w:r>
          </w:p>
        </w:tc>
        <w:tc>
          <w:tcPr>
            <w:tcW w:w="530" w:type="dxa"/>
            <w:noWrap w:val="0"/>
            <w:vAlign w:val="top"/>
          </w:tcPr>
          <w:p w14:paraId="613A7AD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8B2369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5CAC53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073184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96D834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6CADC8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5ED4F7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7B525C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6B3B18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88EFD4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22A34B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EA3948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546E7C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8D1ACB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F3A2987">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2"/>
                <w:highlight w:val="none"/>
              </w:rPr>
              <w:t>应急管理</w:t>
            </w:r>
          </w:p>
        </w:tc>
        <w:tc>
          <w:tcPr>
            <w:tcW w:w="612" w:type="dxa"/>
            <w:noWrap w:val="0"/>
            <w:vAlign w:val="top"/>
          </w:tcPr>
          <w:p w14:paraId="484B5DE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6D62C10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1041E2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4BBFD7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87C8E1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F364A0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C6F7F9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614609F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A2D3C1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30A149F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A17504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3962D5D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5ED21A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FB6174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2C03BB3">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eastAsia="zh-CN"/>
              </w:rPr>
              <w:t>5</w:t>
            </w:r>
          </w:p>
        </w:tc>
        <w:tc>
          <w:tcPr>
            <w:tcW w:w="4486" w:type="dxa"/>
            <w:noWrap w:val="0"/>
            <w:vAlign w:val="top"/>
          </w:tcPr>
          <w:p w14:paraId="1A8295C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r>
              <w:rPr>
                <w:color w:val="auto"/>
                <w:spacing w:val="-4"/>
                <w:highlight w:val="none"/>
                <w:lang w:eastAsia="zh-CN"/>
              </w:rPr>
              <w:t xml:space="preserve">①运行机制：a.应建立并实施物业服务企业全员、全过程、全方位 </w:t>
            </w:r>
            <w:r>
              <w:rPr>
                <w:color w:val="auto"/>
                <w:spacing w:val="-2"/>
                <w:highlight w:val="none"/>
                <w:lang w:eastAsia="zh-CN"/>
              </w:rPr>
              <w:t>的应急管理责任制度；b.应成立应急救援</w:t>
            </w:r>
            <w:r>
              <w:rPr>
                <w:color w:val="auto"/>
                <w:spacing w:val="-3"/>
                <w:highlight w:val="none"/>
                <w:lang w:eastAsia="zh-CN"/>
              </w:rPr>
              <w:t>队伍，应每年至少 3 次，</w:t>
            </w:r>
            <w:r>
              <w:rPr>
                <w:color w:val="auto"/>
                <w:spacing w:val="2"/>
                <w:highlight w:val="none"/>
                <w:lang w:eastAsia="zh-CN"/>
              </w:rPr>
              <w:t>定期对应急救援人员进行培训，确保应急救援人员具备必要的专业</w:t>
            </w:r>
            <w:r>
              <w:rPr>
                <w:color w:val="auto"/>
                <w:spacing w:val="-4"/>
                <w:highlight w:val="none"/>
                <w:lang w:eastAsia="zh-CN"/>
              </w:rPr>
              <w:t xml:space="preserve">知识、技能、身体素质和心理素质；c.应制定应急预案，针对突发 </w:t>
            </w:r>
            <w:r>
              <w:rPr>
                <w:color w:val="auto"/>
                <w:spacing w:val="2"/>
                <w:highlight w:val="none"/>
                <w:lang w:eastAsia="zh-CN"/>
              </w:rPr>
              <w:t xml:space="preserve">事故和火灾、水灾、爆炸、地震、安全疏散以及电梯应急等制定相 </w:t>
            </w:r>
            <w:r>
              <w:rPr>
                <w:color w:val="auto"/>
                <w:spacing w:val="-2"/>
                <w:highlight w:val="none"/>
                <w:lang w:eastAsia="zh-CN"/>
              </w:rPr>
              <w:t>应的应急预案；d.制定应急预案的培训计划，明确培训对象、方式、</w:t>
            </w:r>
            <w:r>
              <w:rPr>
                <w:color w:val="auto"/>
                <w:highlight w:val="none"/>
                <w:lang w:eastAsia="zh-CN"/>
              </w:rPr>
              <w:t xml:space="preserve"> </w:t>
            </w:r>
            <w:r>
              <w:rPr>
                <w:color w:val="auto"/>
                <w:spacing w:val="2"/>
                <w:highlight w:val="none"/>
                <w:lang w:eastAsia="zh-CN"/>
              </w:rPr>
              <w:t>频次和要求，评估培训效果。制定应急预案的演练计划，明确不同</w:t>
            </w:r>
            <w:r>
              <w:rPr>
                <w:color w:val="auto"/>
                <w:spacing w:val="-1"/>
                <w:highlight w:val="none"/>
                <w:lang w:eastAsia="zh-CN"/>
              </w:rPr>
              <w:t>类型应急预案的演练形式和内容，每年至少组织</w:t>
            </w:r>
            <w:r>
              <w:rPr>
                <w:color w:val="auto"/>
                <w:spacing w:val="-2"/>
                <w:highlight w:val="none"/>
                <w:lang w:eastAsia="zh-CN"/>
              </w:rPr>
              <w:t xml:space="preserve"> 2 次应急演练，进</w:t>
            </w:r>
            <w:r>
              <w:rPr>
                <w:color w:val="auto"/>
                <w:spacing w:val="-4"/>
                <w:highlight w:val="none"/>
                <w:lang w:eastAsia="zh-CN"/>
              </w:rPr>
              <w:t>行演练效果评估和总结；e.应配置应急物资，并建立应急物资管理</w:t>
            </w:r>
            <w:r>
              <w:rPr>
                <w:color w:val="auto"/>
                <w:spacing w:val="2"/>
                <w:highlight w:val="none"/>
                <w:lang w:eastAsia="zh-CN"/>
              </w:rPr>
              <w:t>制度。应急物资管理制度应明确专职部门，有制定存放地点和使用</w:t>
            </w:r>
            <w:r>
              <w:rPr>
                <w:color w:val="auto"/>
                <w:spacing w:val="-3"/>
                <w:highlight w:val="none"/>
                <w:lang w:eastAsia="zh-CN"/>
              </w:rPr>
              <w:t>记录。每月至少对应急物资进行 1 次维护及检查，做好相应记录，</w:t>
            </w:r>
            <w:r>
              <w:rPr>
                <w:color w:val="auto"/>
                <w:spacing w:val="-4"/>
                <w:highlight w:val="none"/>
                <w:lang w:eastAsia="zh-CN"/>
              </w:rPr>
              <w:t>确保应急物资完好待用。②应急响应：a.发生突发事件时，应根据</w:t>
            </w:r>
            <w:r>
              <w:rPr>
                <w:color w:val="auto"/>
                <w:spacing w:val="-3"/>
                <w:highlight w:val="none"/>
                <w:lang w:eastAsia="zh-CN"/>
              </w:rPr>
              <w:t>事件的性质和发展态势，第一时间报告或报警，在</w:t>
            </w:r>
            <w:r>
              <w:rPr>
                <w:color w:val="auto"/>
                <w:spacing w:val="-13"/>
                <w:highlight w:val="none"/>
                <w:lang w:eastAsia="zh-CN"/>
              </w:rPr>
              <w:t xml:space="preserve"> </w:t>
            </w:r>
            <w:r>
              <w:rPr>
                <w:color w:val="auto"/>
                <w:spacing w:val="-3"/>
                <w:highlight w:val="none"/>
                <w:lang w:eastAsia="zh-CN"/>
              </w:rPr>
              <w:t>15</w:t>
            </w:r>
            <w:r>
              <w:rPr>
                <w:color w:val="auto"/>
                <w:spacing w:val="-42"/>
                <w:highlight w:val="none"/>
                <w:lang w:eastAsia="zh-CN"/>
              </w:rPr>
              <w:t xml:space="preserve"> </w:t>
            </w:r>
            <w:r>
              <w:rPr>
                <w:color w:val="auto"/>
                <w:spacing w:val="-3"/>
                <w:highlight w:val="none"/>
                <w:lang w:eastAsia="zh-CN"/>
              </w:rPr>
              <w:t>分钟内召集安</w:t>
            </w:r>
            <w:r>
              <w:rPr>
                <w:color w:val="auto"/>
                <w:spacing w:val="-4"/>
                <w:highlight w:val="none"/>
                <w:lang w:eastAsia="zh-CN"/>
              </w:rPr>
              <w:t>保人员在指定地点集合；并组织应急救援队伍和工作人员，分级启</w:t>
            </w:r>
            <w:r>
              <w:rPr>
                <w:color w:val="auto"/>
                <w:spacing w:val="2"/>
                <w:highlight w:val="none"/>
                <w:lang w:eastAsia="zh-CN"/>
              </w:rPr>
              <w:t>动应急预案，营救受害人员，疏散、撤离、安置受到威胁的人员，控制危险源，标明危险区域，封锁危险场所，并采取其他防止危害扩大的必要措施。当相关主管部门和社会专业救援力量抵达后做好</w:t>
            </w:r>
            <w:r>
              <w:rPr>
                <w:color w:val="auto"/>
                <w:spacing w:val="-3"/>
                <w:highlight w:val="none"/>
                <w:lang w:eastAsia="zh-CN"/>
              </w:rPr>
              <w:t>协助处置工作。b.突发事件的威胁和危害得到控制或消除后，应进</w:t>
            </w:r>
            <w:r>
              <w:rPr>
                <w:color w:val="auto"/>
                <w:spacing w:val="-4"/>
                <w:highlight w:val="none"/>
                <w:lang w:eastAsia="zh-CN"/>
              </w:rPr>
              <w:t>行事后恢复工作；c.在突发事件应急响应结束后，应对应急预案的</w:t>
            </w:r>
            <w:r>
              <w:rPr>
                <w:color w:val="auto"/>
                <w:spacing w:val="3"/>
                <w:highlight w:val="none"/>
                <w:lang w:eastAsia="zh-CN"/>
              </w:rPr>
              <w:t>有效性及应急救援的效果进行评估与总结，形成书面报告。对存在的问题进行跟踪整改，必要时修编应急预案，不断提高应急</w:t>
            </w:r>
            <w:r>
              <w:rPr>
                <w:color w:val="auto"/>
                <w:spacing w:val="2"/>
                <w:highlight w:val="none"/>
                <w:lang w:eastAsia="zh-CN"/>
              </w:rPr>
              <w:t>能力；</w:t>
            </w:r>
            <w:r>
              <w:rPr>
                <w:color w:val="auto"/>
                <w:highlight w:val="none"/>
                <w:lang w:eastAsia="zh-CN"/>
              </w:rPr>
              <w:t xml:space="preserve"> </w:t>
            </w:r>
            <w:r>
              <w:rPr>
                <w:color w:val="auto"/>
                <w:spacing w:val="3"/>
                <w:highlight w:val="none"/>
                <w:lang w:eastAsia="zh-CN"/>
              </w:rPr>
              <w:t>.应对突发事件全过程的记录（包括各类图像、录音、录像、文字</w:t>
            </w:r>
            <w:r>
              <w:rPr>
                <w:color w:val="auto"/>
                <w:spacing w:val="-9"/>
                <w:highlight w:val="none"/>
                <w:lang w:eastAsia="zh-CN"/>
              </w:rPr>
              <w:t>报告）</w:t>
            </w:r>
            <w:r>
              <w:rPr>
                <w:color w:val="auto"/>
                <w:spacing w:val="-19"/>
                <w:highlight w:val="none"/>
                <w:lang w:eastAsia="zh-CN"/>
              </w:rPr>
              <w:t xml:space="preserve"> </w:t>
            </w:r>
            <w:r>
              <w:rPr>
                <w:color w:val="auto"/>
                <w:spacing w:val="-9"/>
                <w:highlight w:val="none"/>
                <w:lang w:eastAsia="zh-CN"/>
              </w:rPr>
              <w:t>进行归档保存。</w:t>
            </w:r>
          </w:p>
        </w:tc>
        <w:tc>
          <w:tcPr>
            <w:tcW w:w="1039" w:type="dxa"/>
            <w:noWrap w:val="0"/>
            <w:vAlign w:val="center"/>
          </w:tcPr>
          <w:p w14:paraId="19847C4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B39E7D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9F79E0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B3F962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E8712D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672E20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9DFAC2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C42BB3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6DFC32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5A7A5D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3B3AF9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BAF391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348C9C0D">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r>
              <w:rPr>
                <w:color w:val="auto"/>
                <w:spacing w:val="-8"/>
                <w:highlight w:val="none"/>
                <w:lang w:eastAsia="zh-CN"/>
              </w:rPr>
              <w:t>全部符合</w:t>
            </w:r>
            <w:r>
              <w:rPr>
                <w:color w:val="auto"/>
                <w:spacing w:val="-43"/>
                <w:highlight w:val="none"/>
                <w:lang w:eastAsia="zh-CN"/>
              </w:rPr>
              <w:t xml:space="preserve"> </w:t>
            </w:r>
            <w:r>
              <w:rPr>
                <w:rFonts w:hint="eastAsia"/>
                <w:color w:val="auto"/>
                <w:spacing w:val="-43"/>
                <w:highlight w:val="none"/>
                <w:lang w:val="en-US" w:eastAsia="zh-CN"/>
              </w:rPr>
              <w:t>5</w:t>
            </w:r>
            <w:r>
              <w:rPr>
                <w:color w:val="auto"/>
                <w:spacing w:val="-8"/>
                <w:highlight w:val="none"/>
                <w:lang w:eastAsia="zh-CN"/>
              </w:rPr>
              <w:t>，</w:t>
            </w:r>
            <w:r>
              <w:rPr>
                <w:color w:val="auto"/>
                <w:highlight w:val="none"/>
                <w:lang w:eastAsia="zh-CN"/>
              </w:rPr>
              <w:t xml:space="preserve"> </w:t>
            </w:r>
            <w:r>
              <w:rPr>
                <w:color w:val="auto"/>
                <w:spacing w:val="-2"/>
                <w:highlight w:val="none"/>
                <w:lang w:eastAsia="zh-CN"/>
              </w:rPr>
              <w:t>不符合每项扣</w:t>
            </w:r>
            <w:r>
              <w:rPr>
                <w:rFonts w:hint="eastAsia"/>
                <w:color w:val="auto"/>
                <w:spacing w:val="-2"/>
                <w:highlight w:val="none"/>
                <w:lang w:val="en-US" w:eastAsia="zh-CN"/>
              </w:rPr>
              <w:t>2</w:t>
            </w:r>
            <w:r>
              <w:rPr>
                <w:color w:val="auto"/>
                <w:spacing w:val="-2"/>
                <w:highlight w:val="none"/>
                <w:lang w:eastAsia="zh-CN"/>
              </w:rPr>
              <w:t>.5</w:t>
            </w:r>
          </w:p>
        </w:tc>
        <w:tc>
          <w:tcPr>
            <w:tcW w:w="564" w:type="dxa"/>
            <w:noWrap w:val="0"/>
            <w:vAlign w:val="center"/>
          </w:tcPr>
          <w:p w14:paraId="622A342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551" w:type="dxa"/>
            <w:noWrap w:val="0"/>
            <w:vAlign w:val="center"/>
          </w:tcPr>
          <w:p w14:paraId="6CD2BE41">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center"/>
          </w:tcPr>
          <w:p w14:paraId="3491E98B">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7F26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39E5494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644A99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6A6CA8E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D9F9D2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6E03900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A390F7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CE7392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4F723E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53A24A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574DF2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66234A6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AE892A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5DBE66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4A61D4E">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highlight w:val="none"/>
              </w:rPr>
              <w:t>8</w:t>
            </w:r>
          </w:p>
        </w:tc>
        <w:tc>
          <w:tcPr>
            <w:tcW w:w="530" w:type="dxa"/>
            <w:noWrap w:val="0"/>
            <w:vAlign w:val="center"/>
          </w:tcPr>
          <w:p w14:paraId="420B20D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F257E9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4788D7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DF2726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295EFB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6BCA88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5516EF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B1C065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8722AB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65CA6D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3B511C6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138FAA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6258425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CD3498C">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1"/>
                <w:highlight w:val="none"/>
              </w:rPr>
              <w:t>监督考核与改进</w:t>
            </w:r>
          </w:p>
        </w:tc>
        <w:tc>
          <w:tcPr>
            <w:tcW w:w="612" w:type="dxa"/>
            <w:noWrap w:val="0"/>
            <w:vAlign w:val="center"/>
          </w:tcPr>
          <w:p w14:paraId="1FE175B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F1E9CA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0AAABF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D90263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857923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5740AF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A5BE30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2989263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CF71D4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A57CA4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B7880A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2BAA33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6E55A59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5C70563">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eastAsia="宋体"/>
                <w:color w:val="auto"/>
                <w:highlight w:val="none"/>
                <w:lang w:eastAsia="zh-CN"/>
              </w:rPr>
            </w:pPr>
            <w:r>
              <w:rPr>
                <w:rFonts w:hint="eastAsia"/>
                <w:color w:val="auto"/>
                <w:highlight w:val="none"/>
                <w:lang w:val="en-US" w:eastAsia="zh-CN"/>
              </w:rPr>
              <w:t>6</w:t>
            </w:r>
          </w:p>
        </w:tc>
        <w:tc>
          <w:tcPr>
            <w:tcW w:w="4486" w:type="dxa"/>
            <w:noWrap w:val="0"/>
            <w:vAlign w:val="top"/>
          </w:tcPr>
          <w:p w14:paraId="0430D807">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r>
              <w:rPr>
                <w:color w:val="auto"/>
                <w:spacing w:val="-3"/>
                <w:highlight w:val="none"/>
                <w:lang w:eastAsia="zh-CN"/>
              </w:rPr>
              <w:t>①日常监督：a.物业服务企业应每日对物业管理区域范围内的人员</w:t>
            </w:r>
            <w:r>
              <w:rPr>
                <w:color w:val="auto"/>
                <w:spacing w:val="3"/>
                <w:highlight w:val="none"/>
                <w:lang w:eastAsia="zh-CN"/>
              </w:rPr>
              <w:t>来访、服务、环境卫生、秩序与安全等</w:t>
            </w:r>
            <w:r>
              <w:rPr>
                <w:color w:val="auto"/>
                <w:spacing w:val="-4"/>
                <w:highlight w:val="none"/>
                <w:lang w:eastAsia="zh-CN"/>
              </w:rPr>
              <w:t>状况进行检查,并查看相关记录；b.物业服务企业应每季度至少进行</w:t>
            </w:r>
            <w:r>
              <w:rPr>
                <w:color w:val="auto"/>
                <w:spacing w:val="9"/>
                <w:highlight w:val="none"/>
                <w:lang w:eastAsia="zh-CN"/>
              </w:rPr>
              <w:t xml:space="preserve"> </w:t>
            </w:r>
            <w:r>
              <w:rPr>
                <w:color w:val="auto"/>
                <w:spacing w:val="-3"/>
                <w:highlight w:val="none"/>
                <w:lang w:eastAsia="zh-CN"/>
              </w:rPr>
              <w:t>1</w:t>
            </w:r>
            <w:r>
              <w:rPr>
                <w:color w:val="auto"/>
                <w:spacing w:val="-25"/>
                <w:highlight w:val="none"/>
                <w:lang w:eastAsia="zh-CN"/>
              </w:rPr>
              <w:t xml:space="preserve"> </w:t>
            </w:r>
            <w:r>
              <w:rPr>
                <w:color w:val="auto"/>
                <w:spacing w:val="-3"/>
                <w:highlight w:val="none"/>
                <w:lang w:eastAsia="zh-CN"/>
              </w:rPr>
              <w:t>次内部服务流程和服务质量的自我监督检查；</w:t>
            </w:r>
            <w:r>
              <w:rPr>
                <w:rFonts w:hint="eastAsia"/>
                <w:color w:val="auto"/>
                <w:spacing w:val="-3"/>
                <w:highlight w:val="none"/>
                <w:lang w:val="en-US" w:eastAsia="zh-CN"/>
              </w:rPr>
              <w:t>c</w:t>
            </w:r>
            <w:r>
              <w:rPr>
                <w:color w:val="auto"/>
                <w:spacing w:val="-3"/>
                <w:highlight w:val="none"/>
                <w:lang w:eastAsia="zh-CN"/>
              </w:rPr>
              <w:t>.监管部门应每年组</w:t>
            </w:r>
            <w:r>
              <w:rPr>
                <w:color w:val="auto"/>
                <w:spacing w:val="-1"/>
                <w:highlight w:val="none"/>
                <w:lang w:eastAsia="zh-CN"/>
              </w:rPr>
              <w:t>织对物业管理区域进行 1 次全面检查，</w:t>
            </w:r>
            <w:r>
              <w:rPr>
                <w:rFonts w:hint="eastAsia"/>
                <w:color w:val="auto"/>
                <w:spacing w:val="3"/>
                <w:highlight w:val="none"/>
                <w:lang w:val="en-US" w:eastAsia="zh-CN"/>
              </w:rPr>
              <w:t>d</w:t>
            </w:r>
            <w:r>
              <w:rPr>
                <w:color w:val="auto"/>
                <w:spacing w:val="3"/>
                <w:highlight w:val="none"/>
                <w:lang w:eastAsia="zh-CN"/>
              </w:rPr>
              <w:t>.根据特殊情况（如异常危害性天气等）需要，监管部门应临</w:t>
            </w:r>
            <w:r>
              <w:rPr>
                <w:color w:val="auto"/>
                <w:spacing w:val="2"/>
                <w:highlight w:val="none"/>
                <w:lang w:eastAsia="zh-CN"/>
              </w:rPr>
              <w:t>时安</w:t>
            </w:r>
            <w:r>
              <w:rPr>
                <w:color w:val="auto"/>
                <w:spacing w:val="-3"/>
                <w:highlight w:val="none"/>
                <w:lang w:eastAsia="zh-CN"/>
              </w:rPr>
              <w:t>排对重点部位和重点设施设备进行针对性检查。②考核评价：a.物业服务企业每年应至少进行 1 次内部人员考核，考核内容包括</w:t>
            </w:r>
            <w:r>
              <w:rPr>
                <w:color w:val="auto"/>
                <w:spacing w:val="-4"/>
                <w:highlight w:val="none"/>
                <w:lang w:eastAsia="zh-CN"/>
              </w:rPr>
              <w:t>理论</w:t>
            </w:r>
            <w:r>
              <w:rPr>
                <w:color w:val="auto"/>
                <w:spacing w:val="-3"/>
                <w:highlight w:val="none"/>
                <w:lang w:eastAsia="zh-CN"/>
              </w:rPr>
              <w:t>知识、实际操作、管理制度、相关政策法规等；b.物业服务企业应</w:t>
            </w:r>
            <w:r>
              <w:rPr>
                <w:color w:val="auto"/>
                <w:spacing w:val="-4"/>
                <w:highlight w:val="none"/>
                <w:lang w:eastAsia="zh-CN"/>
              </w:rPr>
              <w:t>每季度或每半年至少进行 1 次抽样征询业主服务意见；c.监管部门</w:t>
            </w:r>
            <w:r>
              <w:rPr>
                <w:color w:val="auto"/>
                <w:spacing w:val="-5"/>
                <w:highlight w:val="none"/>
                <w:lang w:eastAsia="zh-CN"/>
              </w:rPr>
              <w:t>每年应至少进行 1 次意见征询，</w:t>
            </w:r>
            <w:r>
              <w:rPr>
                <w:color w:val="auto"/>
                <w:spacing w:val="3"/>
                <w:highlight w:val="none"/>
                <w:lang w:eastAsia="zh-CN"/>
              </w:rPr>
              <w:t>征询项目包括：综合服务、秩序与安全管理、环境</w:t>
            </w:r>
            <w:r>
              <w:rPr>
                <w:color w:val="auto"/>
                <w:spacing w:val="-3"/>
                <w:highlight w:val="none"/>
                <w:lang w:eastAsia="zh-CN"/>
              </w:rPr>
              <w:t>卫生等方面；d.意见征询可采取电话联系、走访、恳谈</w:t>
            </w:r>
            <w:r>
              <w:rPr>
                <w:color w:val="auto"/>
                <w:spacing w:val="3"/>
                <w:highlight w:val="none"/>
                <w:lang w:eastAsia="zh-CN"/>
              </w:rPr>
              <w:t>会、问卷调查、联谊活动、联系函、满意度测评等多种形式，征询</w:t>
            </w:r>
            <w:r>
              <w:rPr>
                <w:color w:val="auto"/>
                <w:spacing w:val="-5"/>
                <w:highlight w:val="none"/>
                <w:lang w:eastAsia="zh-CN"/>
              </w:rPr>
              <w:t>业主的意见。e.满意度应达到</w:t>
            </w:r>
            <w:r>
              <w:rPr>
                <w:color w:val="auto"/>
                <w:spacing w:val="-43"/>
                <w:highlight w:val="none"/>
                <w:lang w:eastAsia="zh-CN"/>
              </w:rPr>
              <w:t xml:space="preserve"> </w:t>
            </w:r>
            <w:r>
              <w:rPr>
                <w:color w:val="auto"/>
                <w:spacing w:val="-5"/>
                <w:highlight w:val="none"/>
                <w:lang w:eastAsia="zh-CN"/>
              </w:rPr>
              <w:t>98%以上；f.意见征询的记录应</w:t>
            </w:r>
            <w:r>
              <w:rPr>
                <w:color w:val="auto"/>
                <w:spacing w:val="-6"/>
                <w:highlight w:val="none"/>
                <w:lang w:eastAsia="zh-CN"/>
              </w:rPr>
              <w:t>至少保</w:t>
            </w:r>
            <w:r>
              <w:rPr>
                <w:color w:val="auto"/>
                <w:spacing w:val="-3"/>
                <w:highlight w:val="none"/>
                <w:lang w:eastAsia="zh-CN"/>
              </w:rPr>
              <w:t>存到物业服务合同终止，有其他相关约定的除外。③持续改进：a.</w:t>
            </w:r>
            <w:r>
              <w:rPr>
                <w:color w:val="auto"/>
                <w:spacing w:val="3"/>
                <w:highlight w:val="none"/>
                <w:lang w:eastAsia="zh-CN"/>
              </w:rPr>
              <w:t>物业服务监督检查中发现的不合格问题，应采取纠正措施。监管部门应进行跟踪验证，确保纠正措施实施结果有效</w:t>
            </w:r>
            <w:r>
              <w:rPr>
                <w:rFonts w:hint="eastAsia"/>
                <w:color w:val="auto"/>
                <w:spacing w:val="3"/>
                <w:highlight w:val="none"/>
                <w:lang w:eastAsia="zh-CN"/>
              </w:rPr>
              <w:t>，</w:t>
            </w:r>
            <w:r>
              <w:rPr>
                <w:color w:val="auto"/>
                <w:spacing w:val="3"/>
                <w:highlight w:val="none"/>
                <w:lang w:eastAsia="zh-CN"/>
              </w:rPr>
              <w:t>并按要求予以汇</w:t>
            </w:r>
            <w:r>
              <w:rPr>
                <w:color w:val="auto"/>
                <w:highlight w:val="none"/>
                <w:lang w:eastAsia="zh-CN"/>
              </w:rPr>
              <w:t>总记录；b.意见征询中发现的问题，应予</w:t>
            </w:r>
            <w:r>
              <w:rPr>
                <w:color w:val="auto"/>
                <w:spacing w:val="-1"/>
                <w:highlight w:val="none"/>
                <w:lang w:eastAsia="zh-CN"/>
              </w:rPr>
              <w:t>以汇总分析，形成书面评</w:t>
            </w:r>
            <w:r>
              <w:rPr>
                <w:color w:val="auto"/>
                <w:spacing w:val="3"/>
                <w:highlight w:val="none"/>
                <w:lang w:eastAsia="zh-CN"/>
              </w:rPr>
              <w:t>价报告，物业服务企业应在限期内进行整改，不断改进服务内容和</w:t>
            </w:r>
            <w:r>
              <w:rPr>
                <w:color w:val="auto"/>
                <w:spacing w:val="-9"/>
                <w:highlight w:val="none"/>
                <w:lang w:eastAsia="zh-CN"/>
              </w:rPr>
              <w:t>质量，并对整改结果进行回访。</w:t>
            </w:r>
          </w:p>
        </w:tc>
        <w:tc>
          <w:tcPr>
            <w:tcW w:w="1039" w:type="dxa"/>
            <w:noWrap w:val="0"/>
            <w:vAlign w:val="center"/>
          </w:tcPr>
          <w:p w14:paraId="32F8BDB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A1E456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2D6D7A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EB7367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D8EE51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4091052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7992652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CE3EFD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3B00AB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5AE3DD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1F96240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31922A6D">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r>
              <w:rPr>
                <w:color w:val="auto"/>
                <w:spacing w:val="-8"/>
                <w:highlight w:val="none"/>
                <w:lang w:eastAsia="zh-CN"/>
              </w:rPr>
              <w:t>全部符合</w:t>
            </w:r>
            <w:r>
              <w:rPr>
                <w:color w:val="auto"/>
                <w:spacing w:val="-43"/>
                <w:highlight w:val="none"/>
                <w:lang w:eastAsia="zh-CN"/>
              </w:rPr>
              <w:t xml:space="preserve"> </w:t>
            </w:r>
            <w:r>
              <w:rPr>
                <w:rFonts w:hint="eastAsia"/>
                <w:color w:val="auto"/>
                <w:spacing w:val="-8"/>
                <w:highlight w:val="none"/>
                <w:lang w:val="en-US" w:eastAsia="zh-CN"/>
              </w:rPr>
              <w:t>6</w:t>
            </w:r>
            <w:r>
              <w:rPr>
                <w:color w:val="auto"/>
                <w:spacing w:val="-8"/>
                <w:highlight w:val="none"/>
                <w:lang w:eastAsia="zh-CN"/>
              </w:rPr>
              <w:t>，</w:t>
            </w:r>
            <w:r>
              <w:rPr>
                <w:color w:val="auto"/>
                <w:highlight w:val="none"/>
                <w:lang w:eastAsia="zh-CN"/>
              </w:rPr>
              <w:t xml:space="preserve"> </w:t>
            </w:r>
            <w:r>
              <w:rPr>
                <w:color w:val="auto"/>
                <w:spacing w:val="-2"/>
                <w:highlight w:val="none"/>
                <w:lang w:eastAsia="zh-CN"/>
              </w:rPr>
              <w:t>不符合每项扣</w:t>
            </w:r>
            <w:r>
              <w:rPr>
                <w:rFonts w:hint="eastAsia"/>
                <w:color w:val="auto"/>
                <w:spacing w:val="-2"/>
                <w:highlight w:val="none"/>
                <w:lang w:val="en-US" w:eastAsia="zh-CN"/>
              </w:rPr>
              <w:t>2</w:t>
            </w:r>
          </w:p>
        </w:tc>
        <w:tc>
          <w:tcPr>
            <w:tcW w:w="564" w:type="dxa"/>
            <w:noWrap w:val="0"/>
            <w:vAlign w:val="center"/>
          </w:tcPr>
          <w:p w14:paraId="72A5152D">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551" w:type="dxa"/>
            <w:noWrap w:val="0"/>
            <w:vAlign w:val="center"/>
          </w:tcPr>
          <w:p w14:paraId="17EA5F2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center"/>
          </w:tcPr>
          <w:p w14:paraId="6A7A651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125E4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73DFD66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eastAsia="zh-CN"/>
              </w:rPr>
              <w:t>9</w:t>
            </w:r>
          </w:p>
        </w:tc>
        <w:tc>
          <w:tcPr>
            <w:tcW w:w="530" w:type="dxa"/>
            <w:noWrap w:val="0"/>
            <w:vAlign w:val="center"/>
          </w:tcPr>
          <w:p w14:paraId="1E2FBCA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1"/>
                <w:highlight w:val="none"/>
              </w:rPr>
            </w:pPr>
            <w:r>
              <w:rPr>
                <w:color w:val="auto"/>
                <w:spacing w:val="-2"/>
                <w:highlight w:val="none"/>
              </w:rPr>
              <w:t>加分奖励</w:t>
            </w:r>
          </w:p>
        </w:tc>
        <w:tc>
          <w:tcPr>
            <w:tcW w:w="612" w:type="dxa"/>
            <w:noWrap w:val="0"/>
            <w:vAlign w:val="center"/>
          </w:tcPr>
          <w:p w14:paraId="3FA052E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rPr>
            </w:pPr>
          </w:p>
        </w:tc>
        <w:tc>
          <w:tcPr>
            <w:tcW w:w="4486" w:type="dxa"/>
            <w:noWrap w:val="0"/>
            <w:vAlign w:val="top"/>
          </w:tcPr>
          <w:p w14:paraId="7CF4FCB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spacing w:val="-3"/>
                <w:highlight w:val="none"/>
                <w:lang w:eastAsia="zh-CN"/>
              </w:rPr>
            </w:pPr>
            <w:r>
              <w:rPr>
                <w:color w:val="auto"/>
                <w:spacing w:val="-2"/>
                <w:highlight w:val="none"/>
                <w:lang w:eastAsia="zh-CN"/>
              </w:rPr>
              <w:t>①拾金不昧，及时返还失主者，奖励</w:t>
            </w:r>
            <w:r>
              <w:rPr>
                <w:color w:val="auto"/>
                <w:spacing w:val="-27"/>
                <w:highlight w:val="none"/>
                <w:lang w:eastAsia="zh-CN"/>
              </w:rPr>
              <w:t xml:space="preserve"> </w:t>
            </w:r>
            <w:r>
              <w:rPr>
                <w:color w:val="auto"/>
                <w:spacing w:val="-2"/>
                <w:highlight w:val="none"/>
                <w:lang w:eastAsia="zh-CN"/>
              </w:rPr>
              <w:t>0.5-1</w:t>
            </w:r>
            <w:r>
              <w:rPr>
                <w:color w:val="auto"/>
                <w:spacing w:val="-44"/>
                <w:highlight w:val="none"/>
                <w:lang w:eastAsia="zh-CN"/>
              </w:rPr>
              <w:t xml:space="preserve"> </w:t>
            </w:r>
            <w:r>
              <w:rPr>
                <w:color w:val="auto"/>
                <w:spacing w:val="-2"/>
                <w:highlight w:val="none"/>
                <w:lang w:eastAsia="zh-CN"/>
              </w:rPr>
              <w:t>分/次，数额巨大，加倍</w:t>
            </w:r>
            <w:r>
              <w:rPr>
                <w:color w:val="auto"/>
                <w:spacing w:val="-6"/>
                <w:highlight w:val="none"/>
                <w:lang w:eastAsia="zh-CN"/>
              </w:rPr>
              <w:t>奖励；②见义勇为，事迹突出者，给予通报表扬，奖励</w:t>
            </w:r>
            <w:r>
              <w:rPr>
                <w:color w:val="auto"/>
                <w:spacing w:val="-43"/>
                <w:highlight w:val="none"/>
                <w:lang w:eastAsia="zh-CN"/>
              </w:rPr>
              <w:t xml:space="preserve"> </w:t>
            </w:r>
            <w:r>
              <w:rPr>
                <w:color w:val="auto"/>
                <w:spacing w:val="-6"/>
                <w:highlight w:val="none"/>
                <w:lang w:eastAsia="zh-CN"/>
              </w:rPr>
              <w:t>0.5-1</w:t>
            </w:r>
            <w:r>
              <w:rPr>
                <w:color w:val="auto"/>
                <w:spacing w:val="-44"/>
                <w:highlight w:val="none"/>
                <w:lang w:eastAsia="zh-CN"/>
              </w:rPr>
              <w:t xml:space="preserve"> </w:t>
            </w:r>
            <w:r>
              <w:rPr>
                <w:color w:val="auto"/>
                <w:spacing w:val="-6"/>
                <w:highlight w:val="none"/>
                <w:lang w:eastAsia="zh-CN"/>
              </w:rPr>
              <w:t>分</w:t>
            </w:r>
            <w:r>
              <w:rPr>
                <w:color w:val="auto"/>
                <w:spacing w:val="-7"/>
                <w:highlight w:val="none"/>
                <w:lang w:eastAsia="zh-CN"/>
              </w:rPr>
              <w:t>/次，</w:t>
            </w:r>
            <w:r>
              <w:rPr>
                <w:color w:val="auto"/>
                <w:spacing w:val="2"/>
                <w:highlight w:val="none"/>
                <w:lang w:eastAsia="zh-CN"/>
              </w:rPr>
              <w:t>特别突出者，加倍奖励；③及时制止治安、消防及其它突发事件，</w:t>
            </w:r>
            <w:r>
              <w:rPr>
                <w:color w:val="auto"/>
                <w:spacing w:val="-2"/>
                <w:highlight w:val="none"/>
                <w:lang w:eastAsia="zh-CN"/>
              </w:rPr>
              <w:t>保护了生命财产安全，减少经济损失，奖励</w:t>
            </w:r>
            <w:r>
              <w:rPr>
                <w:color w:val="auto"/>
                <w:spacing w:val="-43"/>
                <w:highlight w:val="none"/>
                <w:lang w:eastAsia="zh-CN"/>
              </w:rPr>
              <w:t xml:space="preserve"> </w:t>
            </w:r>
            <w:r>
              <w:rPr>
                <w:color w:val="auto"/>
                <w:spacing w:val="-2"/>
                <w:highlight w:val="none"/>
                <w:lang w:eastAsia="zh-CN"/>
              </w:rPr>
              <w:t>0.5-2</w:t>
            </w:r>
            <w:r>
              <w:rPr>
                <w:color w:val="auto"/>
                <w:spacing w:val="-45"/>
                <w:highlight w:val="none"/>
                <w:lang w:eastAsia="zh-CN"/>
              </w:rPr>
              <w:t xml:space="preserve"> </w:t>
            </w:r>
            <w:r>
              <w:rPr>
                <w:color w:val="auto"/>
                <w:spacing w:val="-2"/>
                <w:highlight w:val="none"/>
                <w:lang w:eastAsia="zh-CN"/>
              </w:rPr>
              <w:t>分/次。</w:t>
            </w:r>
          </w:p>
        </w:tc>
        <w:tc>
          <w:tcPr>
            <w:tcW w:w="1039" w:type="dxa"/>
            <w:noWrap w:val="0"/>
            <w:vAlign w:val="center"/>
          </w:tcPr>
          <w:p w14:paraId="1493A860">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2"/>
                <w:highlight w:val="none"/>
                <w:lang w:eastAsia="zh-CN"/>
              </w:rPr>
            </w:pPr>
            <w:r>
              <w:rPr>
                <w:rFonts w:hint="eastAsia"/>
                <w:color w:val="auto"/>
                <w:spacing w:val="-8"/>
                <w:highlight w:val="none"/>
                <w:lang w:eastAsia="zh-CN"/>
              </w:rPr>
              <w:t>在</w:t>
            </w:r>
            <w:r>
              <w:rPr>
                <w:color w:val="auto"/>
                <w:spacing w:val="-8"/>
                <w:highlight w:val="none"/>
                <w:lang w:eastAsia="zh-CN"/>
              </w:rPr>
              <w:t>最终得分的基础上增加分值</w:t>
            </w:r>
          </w:p>
        </w:tc>
        <w:tc>
          <w:tcPr>
            <w:tcW w:w="564" w:type="dxa"/>
            <w:noWrap w:val="0"/>
            <w:vAlign w:val="top"/>
          </w:tcPr>
          <w:p w14:paraId="2CCE2B73">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p w14:paraId="53D05B62">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p w14:paraId="1B1A422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r>
              <w:rPr>
                <w:color w:val="auto"/>
                <w:highlight w:val="none"/>
              </w:rPr>
              <w:t>/</w:t>
            </w:r>
          </w:p>
        </w:tc>
        <w:tc>
          <w:tcPr>
            <w:tcW w:w="551" w:type="dxa"/>
            <w:noWrap w:val="0"/>
            <w:vAlign w:val="center"/>
          </w:tcPr>
          <w:p w14:paraId="4604C0DE">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c>
          <w:tcPr>
            <w:tcW w:w="430" w:type="dxa"/>
            <w:noWrap w:val="0"/>
            <w:vAlign w:val="center"/>
          </w:tcPr>
          <w:p w14:paraId="3ECA662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r>
      <w:tr w14:paraId="2884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28128544">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color w:val="auto"/>
                <w:highlight w:val="none"/>
                <w:lang w:eastAsia="zh-CN"/>
              </w:rPr>
            </w:pPr>
            <w:r>
              <w:rPr>
                <w:color w:val="auto"/>
                <w:highlight w:val="none"/>
              </w:rPr>
              <w:t>二</w:t>
            </w:r>
          </w:p>
        </w:tc>
        <w:tc>
          <w:tcPr>
            <w:tcW w:w="530" w:type="dxa"/>
            <w:noWrap w:val="0"/>
            <w:vAlign w:val="center"/>
          </w:tcPr>
          <w:p w14:paraId="498FBC0F">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color w:val="auto"/>
                <w:highlight w:val="none"/>
              </w:rPr>
            </w:pPr>
            <w:r>
              <w:rPr>
                <w:color w:val="auto"/>
                <w:spacing w:val="-2"/>
                <w:highlight w:val="none"/>
              </w:rPr>
              <w:t>客户服务</w:t>
            </w:r>
          </w:p>
        </w:tc>
        <w:tc>
          <w:tcPr>
            <w:tcW w:w="612" w:type="dxa"/>
            <w:noWrap w:val="0"/>
            <w:vAlign w:val="center"/>
          </w:tcPr>
          <w:p w14:paraId="0F33A941">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12</w:t>
            </w:r>
          </w:p>
        </w:tc>
        <w:tc>
          <w:tcPr>
            <w:tcW w:w="4486" w:type="dxa"/>
            <w:noWrap w:val="0"/>
            <w:vAlign w:val="top"/>
          </w:tcPr>
          <w:p w14:paraId="4AE1F8CA">
            <w:pPr>
              <w:keepNext w:val="0"/>
              <w:keepLines w:val="0"/>
              <w:pageBreakBefore w:val="0"/>
              <w:widowControl w:val="0"/>
              <w:kinsoku/>
              <w:wordWrap/>
              <w:overflowPunct/>
              <w:topLinePunct w:val="0"/>
              <w:autoSpaceDE/>
              <w:autoSpaceDN/>
              <w:bidi w:val="0"/>
              <w:spacing w:line="240" w:lineRule="auto"/>
              <w:ind w:left="0" w:right="0"/>
              <w:textAlignment w:val="auto"/>
              <w:rPr>
                <w:color w:val="auto"/>
                <w:highlight w:val="none"/>
              </w:rPr>
            </w:pPr>
          </w:p>
        </w:tc>
        <w:tc>
          <w:tcPr>
            <w:tcW w:w="1039" w:type="dxa"/>
            <w:noWrap w:val="0"/>
            <w:vAlign w:val="center"/>
          </w:tcPr>
          <w:p w14:paraId="1A54BB09">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color w:val="auto"/>
                <w:highlight w:val="none"/>
              </w:rPr>
            </w:pPr>
          </w:p>
        </w:tc>
        <w:tc>
          <w:tcPr>
            <w:tcW w:w="564" w:type="dxa"/>
            <w:noWrap w:val="0"/>
            <w:vAlign w:val="top"/>
          </w:tcPr>
          <w:p w14:paraId="6E25E515">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551" w:type="dxa"/>
            <w:noWrap w:val="0"/>
            <w:vAlign w:val="center"/>
          </w:tcPr>
          <w:p w14:paraId="79A195A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c>
          <w:tcPr>
            <w:tcW w:w="430" w:type="dxa"/>
            <w:noWrap w:val="0"/>
            <w:vAlign w:val="center"/>
          </w:tcPr>
          <w:p w14:paraId="1E52B412">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r>
      <w:tr w14:paraId="076F1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482D6DC5">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color w:val="auto"/>
                <w:highlight w:val="none"/>
                <w:lang w:eastAsia="zh-CN"/>
              </w:rPr>
            </w:pPr>
            <w:r>
              <w:rPr>
                <w:color w:val="auto"/>
                <w:spacing w:val="-6"/>
                <w:highlight w:val="none"/>
              </w:rPr>
              <w:t>10</w:t>
            </w:r>
          </w:p>
        </w:tc>
        <w:tc>
          <w:tcPr>
            <w:tcW w:w="530" w:type="dxa"/>
            <w:noWrap w:val="0"/>
            <w:vAlign w:val="center"/>
          </w:tcPr>
          <w:p w14:paraId="7D66F23D">
            <w:pPr>
              <w:keepNext w:val="0"/>
              <w:keepLines w:val="0"/>
              <w:pageBreakBefore w:val="0"/>
              <w:widowControl w:val="0"/>
              <w:kinsoku/>
              <w:wordWrap/>
              <w:overflowPunct/>
              <w:topLinePunct w:val="0"/>
              <w:autoSpaceDE/>
              <w:autoSpaceDN/>
              <w:bidi w:val="0"/>
              <w:spacing w:line="240" w:lineRule="auto"/>
              <w:ind w:left="0" w:right="0"/>
              <w:jc w:val="center"/>
              <w:textAlignment w:val="auto"/>
              <w:rPr>
                <w:color w:val="auto"/>
                <w:highlight w:val="none"/>
              </w:rPr>
            </w:pPr>
          </w:p>
          <w:p w14:paraId="5D16C2EE">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color w:val="auto"/>
                <w:highlight w:val="none"/>
              </w:rPr>
            </w:pPr>
            <w:r>
              <w:rPr>
                <w:color w:val="auto"/>
                <w:spacing w:val="-3"/>
                <w:highlight w:val="none"/>
              </w:rPr>
              <w:t>热线服务</w:t>
            </w:r>
          </w:p>
        </w:tc>
        <w:tc>
          <w:tcPr>
            <w:tcW w:w="612" w:type="dxa"/>
            <w:noWrap w:val="0"/>
            <w:vAlign w:val="center"/>
          </w:tcPr>
          <w:p w14:paraId="411E5AD5">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color w:val="auto"/>
                <w:highlight w:val="none"/>
                <w:lang w:eastAsia="zh-CN"/>
              </w:rPr>
            </w:pPr>
            <w:r>
              <w:rPr>
                <w:rFonts w:hint="eastAsia"/>
                <w:color w:val="auto"/>
                <w:highlight w:val="none"/>
                <w:lang w:eastAsia="zh-CN"/>
              </w:rPr>
              <w:t>4</w:t>
            </w:r>
          </w:p>
        </w:tc>
        <w:tc>
          <w:tcPr>
            <w:tcW w:w="4486" w:type="dxa"/>
            <w:noWrap w:val="0"/>
            <w:vAlign w:val="top"/>
          </w:tcPr>
          <w:p w14:paraId="0E1BBFB6">
            <w:pPr>
              <w:pStyle w:val="127"/>
              <w:keepNext w:val="0"/>
              <w:keepLines w:val="0"/>
              <w:pageBreakBefore w:val="0"/>
              <w:widowControl w:val="0"/>
              <w:kinsoku/>
              <w:wordWrap/>
              <w:overflowPunct/>
              <w:topLinePunct w:val="0"/>
              <w:autoSpaceDE/>
              <w:autoSpaceDN/>
              <w:bidi w:val="0"/>
              <w:spacing w:line="240" w:lineRule="auto"/>
              <w:ind w:left="0" w:right="0"/>
              <w:textAlignment w:val="auto"/>
              <w:rPr>
                <w:color w:val="auto"/>
                <w:highlight w:val="none"/>
                <w:lang w:eastAsia="zh-CN"/>
              </w:rPr>
            </w:pPr>
            <w:r>
              <w:rPr>
                <w:color w:val="auto"/>
                <w:spacing w:val="-2"/>
                <w:highlight w:val="none"/>
                <w:lang w:eastAsia="zh-CN"/>
              </w:rPr>
              <w:t>①建立</w:t>
            </w:r>
            <w:r>
              <w:rPr>
                <w:color w:val="auto"/>
                <w:spacing w:val="-41"/>
                <w:highlight w:val="none"/>
                <w:lang w:eastAsia="zh-CN"/>
              </w:rPr>
              <w:t xml:space="preserve"> </w:t>
            </w:r>
            <w:r>
              <w:rPr>
                <w:color w:val="auto"/>
                <w:spacing w:val="-2"/>
                <w:highlight w:val="none"/>
                <w:lang w:eastAsia="zh-CN"/>
              </w:rPr>
              <w:t>24</w:t>
            </w:r>
            <w:r>
              <w:rPr>
                <w:color w:val="auto"/>
                <w:spacing w:val="-41"/>
                <w:highlight w:val="none"/>
                <w:lang w:eastAsia="zh-CN"/>
              </w:rPr>
              <w:t xml:space="preserve"> </w:t>
            </w:r>
            <w:r>
              <w:rPr>
                <w:color w:val="auto"/>
                <w:spacing w:val="-2"/>
                <w:highlight w:val="none"/>
                <w:lang w:eastAsia="zh-CN"/>
              </w:rPr>
              <w:t>小时客户热线服务值班制度，有值班记录，字迹清晰；②</w:t>
            </w:r>
            <w:r>
              <w:rPr>
                <w:color w:val="auto"/>
                <w:spacing w:val="-3"/>
                <w:highlight w:val="none"/>
                <w:lang w:eastAsia="zh-CN"/>
              </w:rPr>
              <w:t>及时接听业主的报修、求助、建议、问询、质疑、投诉等各类电话，</w:t>
            </w:r>
            <w:r>
              <w:rPr>
                <w:color w:val="auto"/>
                <w:spacing w:val="-2"/>
                <w:highlight w:val="none"/>
                <w:lang w:eastAsia="zh-CN"/>
              </w:rPr>
              <w:t>及时收集、处理和及时反馈各类信息；③一般情况，应在1个工作</w:t>
            </w:r>
            <w:r>
              <w:rPr>
                <w:color w:val="auto"/>
                <w:spacing w:val="2"/>
                <w:highlight w:val="none"/>
                <w:lang w:eastAsia="zh-CN"/>
              </w:rPr>
              <w:t>日内处理完毕，或告知处理和答复的时限；④有回访制度和记录，对投诉事项及处理结果应及时登记存档，并掌握业主对处理结果的</w:t>
            </w:r>
            <w:r>
              <w:rPr>
                <w:color w:val="auto"/>
                <w:spacing w:val="-2"/>
                <w:highlight w:val="none"/>
                <w:lang w:eastAsia="zh-CN"/>
              </w:rPr>
              <w:t>满意度。</w:t>
            </w:r>
          </w:p>
        </w:tc>
        <w:tc>
          <w:tcPr>
            <w:tcW w:w="1039" w:type="dxa"/>
            <w:noWrap w:val="0"/>
            <w:vAlign w:val="center"/>
          </w:tcPr>
          <w:p w14:paraId="577A8883">
            <w:pPr>
              <w:keepNext w:val="0"/>
              <w:keepLines w:val="0"/>
              <w:pageBreakBefore w:val="0"/>
              <w:widowControl w:val="0"/>
              <w:kinsoku/>
              <w:wordWrap/>
              <w:overflowPunct/>
              <w:topLinePunct w:val="0"/>
              <w:autoSpaceDE/>
              <w:autoSpaceDN/>
              <w:bidi w:val="0"/>
              <w:spacing w:line="240" w:lineRule="auto"/>
              <w:ind w:left="0" w:right="0"/>
              <w:jc w:val="center"/>
              <w:textAlignment w:val="auto"/>
              <w:rPr>
                <w:color w:val="auto"/>
                <w:highlight w:val="none"/>
              </w:rPr>
            </w:pPr>
          </w:p>
          <w:p w14:paraId="3A83FFD3">
            <w:pPr>
              <w:keepNext w:val="0"/>
              <w:keepLines w:val="0"/>
              <w:pageBreakBefore w:val="0"/>
              <w:widowControl w:val="0"/>
              <w:kinsoku/>
              <w:wordWrap/>
              <w:overflowPunct/>
              <w:topLinePunct w:val="0"/>
              <w:autoSpaceDE/>
              <w:autoSpaceDN/>
              <w:bidi w:val="0"/>
              <w:spacing w:line="240" w:lineRule="auto"/>
              <w:ind w:left="0" w:right="0"/>
              <w:jc w:val="center"/>
              <w:textAlignment w:val="auto"/>
              <w:rPr>
                <w:color w:val="auto"/>
                <w:highlight w:val="none"/>
              </w:rPr>
            </w:pPr>
          </w:p>
          <w:p w14:paraId="7240D930">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color w:val="auto"/>
                <w:highlight w:val="none"/>
                <w:lang w:eastAsia="zh-CN"/>
              </w:rPr>
            </w:pPr>
            <w:r>
              <w:rPr>
                <w:color w:val="auto"/>
                <w:spacing w:val="-9"/>
                <w:highlight w:val="none"/>
                <w:lang w:eastAsia="zh-CN"/>
              </w:rPr>
              <w:t>全部符合</w:t>
            </w:r>
            <w:r>
              <w:rPr>
                <w:color w:val="auto"/>
                <w:spacing w:val="-35"/>
                <w:highlight w:val="none"/>
                <w:lang w:eastAsia="zh-CN"/>
              </w:rPr>
              <w:t xml:space="preserve"> </w:t>
            </w:r>
            <w:r>
              <w:rPr>
                <w:rFonts w:hint="eastAsia"/>
                <w:color w:val="auto"/>
                <w:spacing w:val="-35"/>
                <w:highlight w:val="none"/>
                <w:lang w:val="en-US" w:eastAsia="zh-CN"/>
              </w:rPr>
              <w:t>4</w:t>
            </w:r>
            <w:r>
              <w:rPr>
                <w:color w:val="auto"/>
                <w:spacing w:val="-9"/>
                <w:highlight w:val="none"/>
                <w:lang w:eastAsia="zh-CN"/>
              </w:rPr>
              <w:t>，</w:t>
            </w:r>
            <w:r>
              <w:rPr>
                <w:color w:val="auto"/>
                <w:spacing w:val="-2"/>
                <w:highlight w:val="none"/>
                <w:lang w:eastAsia="zh-CN"/>
              </w:rPr>
              <w:t>不符合每项扣</w:t>
            </w:r>
          </w:p>
          <w:p w14:paraId="6A0790A5">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eastAsia="宋体"/>
                <w:color w:val="auto"/>
                <w:highlight w:val="none"/>
                <w:lang w:val="en-US" w:eastAsia="zh-CN"/>
              </w:rPr>
            </w:pPr>
            <w:r>
              <w:rPr>
                <w:rFonts w:hint="eastAsia"/>
                <w:color w:val="auto"/>
                <w:spacing w:val="-2"/>
                <w:highlight w:val="none"/>
                <w:lang w:val="en-US" w:eastAsia="zh-CN"/>
              </w:rPr>
              <w:t>1.0</w:t>
            </w:r>
          </w:p>
        </w:tc>
        <w:tc>
          <w:tcPr>
            <w:tcW w:w="564" w:type="dxa"/>
            <w:noWrap w:val="0"/>
            <w:vAlign w:val="top"/>
          </w:tcPr>
          <w:p w14:paraId="7886CB9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551" w:type="dxa"/>
            <w:noWrap w:val="0"/>
            <w:vAlign w:val="center"/>
          </w:tcPr>
          <w:p w14:paraId="64746BD3">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c>
          <w:tcPr>
            <w:tcW w:w="430" w:type="dxa"/>
            <w:noWrap w:val="0"/>
            <w:vAlign w:val="center"/>
          </w:tcPr>
          <w:p w14:paraId="7C689A4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r>
      <w:tr w14:paraId="5A6BE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48629212">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eastAsia="宋体"/>
                <w:color w:val="auto"/>
                <w:highlight w:val="none"/>
                <w:lang w:val="en-US" w:eastAsia="zh-CN"/>
              </w:rPr>
            </w:pPr>
            <w:r>
              <w:rPr>
                <w:rFonts w:hint="eastAsia"/>
                <w:color w:val="auto"/>
                <w:spacing w:val="-6"/>
                <w:highlight w:val="none"/>
                <w:lang w:val="en-US" w:eastAsia="zh-CN"/>
              </w:rPr>
              <w:t>11</w:t>
            </w:r>
          </w:p>
        </w:tc>
        <w:tc>
          <w:tcPr>
            <w:tcW w:w="530" w:type="dxa"/>
            <w:noWrap w:val="0"/>
            <w:vAlign w:val="center"/>
          </w:tcPr>
          <w:p w14:paraId="1612ECDE">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color w:val="auto"/>
                <w:highlight w:val="none"/>
              </w:rPr>
            </w:pPr>
            <w:r>
              <w:rPr>
                <w:color w:val="auto"/>
                <w:spacing w:val="-2"/>
                <w:highlight w:val="none"/>
              </w:rPr>
              <w:t>投诉处理</w:t>
            </w:r>
          </w:p>
        </w:tc>
        <w:tc>
          <w:tcPr>
            <w:tcW w:w="612" w:type="dxa"/>
            <w:noWrap w:val="0"/>
            <w:vAlign w:val="center"/>
          </w:tcPr>
          <w:p w14:paraId="5979A670">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color w:val="auto"/>
                <w:highlight w:val="none"/>
                <w:lang w:eastAsia="zh-CN"/>
              </w:rPr>
            </w:pPr>
            <w:r>
              <w:rPr>
                <w:rFonts w:hint="eastAsia"/>
                <w:color w:val="auto"/>
                <w:highlight w:val="none"/>
                <w:lang w:val="en-US" w:eastAsia="zh-CN"/>
              </w:rPr>
              <w:t>6</w:t>
            </w:r>
          </w:p>
        </w:tc>
        <w:tc>
          <w:tcPr>
            <w:tcW w:w="4486" w:type="dxa"/>
            <w:noWrap w:val="0"/>
            <w:vAlign w:val="top"/>
          </w:tcPr>
          <w:p w14:paraId="1F9ADA8F">
            <w:pPr>
              <w:pStyle w:val="127"/>
              <w:keepNext w:val="0"/>
              <w:keepLines w:val="0"/>
              <w:pageBreakBefore w:val="0"/>
              <w:widowControl w:val="0"/>
              <w:kinsoku/>
              <w:wordWrap/>
              <w:overflowPunct/>
              <w:topLinePunct w:val="0"/>
              <w:autoSpaceDE/>
              <w:autoSpaceDN/>
              <w:bidi w:val="0"/>
              <w:spacing w:line="240" w:lineRule="auto"/>
              <w:ind w:left="0" w:right="0"/>
              <w:textAlignment w:val="auto"/>
              <w:rPr>
                <w:color w:val="auto"/>
                <w:highlight w:val="none"/>
                <w:lang w:eastAsia="zh-CN"/>
              </w:rPr>
            </w:pPr>
            <w:r>
              <w:rPr>
                <w:color w:val="auto"/>
                <w:spacing w:val="2"/>
                <w:highlight w:val="none"/>
                <w:lang w:eastAsia="zh-CN"/>
              </w:rPr>
              <w:t>①应</w:t>
            </w:r>
            <w:r>
              <w:rPr>
                <w:color w:val="auto"/>
                <w:spacing w:val="-2"/>
                <w:highlight w:val="none"/>
                <w:lang w:eastAsia="zh-CN"/>
              </w:rPr>
              <w:t>将投诉渠道及相关负责人信息进行公示；②接到有效投诉后， 应根据投诉事项严重性，安排相应的负责人员，在 30 分钟内到达现场确认，并根据实际情况，至多不超过 5 个工作日将问题处理完毕；③在一般情况下，即时受理的责任性投诉应在 30 分钟内给予答复；书面回复的应在 3 个工作日内完成。④非责任性投诉应向投诉人说明责任范围并在职责范围内提供必要协助；⑤投诉处理率应为100% 投诉处理及时率应为100%；可联络投诉回复率应为100%；⑥对投诉事项及处理结果应登记存档，并掌握业主对处理结果的满意度。</w:t>
            </w:r>
          </w:p>
        </w:tc>
        <w:tc>
          <w:tcPr>
            <w:tcW w:w="1039" w:type="dxa"/>
            <w:noWrap w:val="0"/>
            <w:vAlign w:val="center"/>
          </w:tcPr>
          <w:p w14:paraId="5A04DF28">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color w:val="auto"/>
                <w:highlight w:val="none"/>
                <w:lang w:val="en-US" w:eastAsia="zh-CN"/>
              </w:rPr>
            </w:pPr>
            <w:r>
              <w:rPr>
                <w:color w:val="auto"/>
                <w:spacing w:val="-8"/>
                <w:highlight w:val="none"/>
                <w:lang w:eastAsia="zh-CN"/>
              </w:rPr>
              <w:t>全部符合</w:t>
            </w:r>
            <w:r>
              <w:rPr>
                <w:color w:val="auto"/>
                <w:spacing w:val="-43"/>
                <w:highlight w:val="none"/>
                <w:lang w:eastAsia="zh-CN"/>
              </w:rPr>
              <w:t xml:space="preserve"> </w:t>
            </w:r>
            <w:r>
              <w:rPr>
                <w:rFonts w:hint="eastAsia"/>
                <w:color w:val="auto"/>
                <w:spacing w:val="-43"/>
                <w:highlight w:val="none"/>
                <w:lang w:val="en-US" w:eastAsia="zh-CN"/>
              </w:rPr>
              <w:t>6</w:t>
            </w:r>
            <w:r>
              <w:rPr>
                <w:color w:val="auto"/>
                <w:spacing w:val="-8"/>
                <w:highlight w:val="none"/>
                <w:lang w:eastAsia="zh-CN"/>
              </w:rPr>
              <w:t>，</w:t>
            </w:r>
            <w:r>
              <w:rPr>
                <w:color w:val="auto"/>
                <w:highlight w:val="none"/>
                <w:lang w:eastAsia="zh-CN"/>
              </w:rPr>
              <w:t xml:space="preserve"> </w:t>
            </w:r>
            <w:r>
              <w:rPr>
                <w:color w:val="auto"/>
                <w:spacing w:val="-2"/>
                <w:highlight w:val="none"/>
                <w:lang w:eastAsia="zh-CN"/>
              </w:rPr>
              <w:t>不符合每项扣</w:t>
            </w:r>
            <w:r>
              <w:rPr>
                <w:rFonts w:hint="eastAsia"/>
                <w:color w:val="auto"/>
                <w:spacing w:val="-2"/>
                <w:highlight w:val="none"/>
                <w:lang w:val="en-US" w:eastAsia="zh-CN"/>
              </w:rPr>
              <w:t>1.0</w:t>
            </w:r>
          </w:p>
        </w:tc>
        <w:tc>
          <w:tcPr>
            <w:tcW w:w="564" w:type="dxa"/>
            <w:noWrap w:val="0"/>
            <w:vAlign w:val="top"/>
          </w:tcPr>
          <w:p w14:paraId="6AD6497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p>
        </w:tc>
        <w:tc>
          <w:tcPr>
            <w:tcW w:w="551" w:type="dxa"/>
            <w:noWrap w:val="0"/>
            <w:vAlign w:val="center"/>
          </w:tcPr>
          <w:p w14:paraId="1C1EB6F3">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center"/>
          </w:tcPr>
          <w:p w14:paraId="5B81407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2D7AF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05689CD7">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color w:val="auto"/>
                <w:spacing w:val="-6"/>
                <w:highlight w:val="none"/>
                <w:lang w:eastAsia="zh-CN"/>
              </w:rPr>
            </w:pPr>
            <w:r>
              <w:rPr>
                <w:color w:val="auto"/>
                <w:spacing w:val="-6"/>
                <w:highlight w:val="none"/>
              </w:rPr>
              <w:t>1</w:t>
            </w:r>
            <w:r>
              <w:rPr>
                <w:rFonts w:hint="eastAsia"/>
                <w:color w:val="auto"/>
                <w:spacing w:val="-6"/>
                <w:highlight w:val="none"/>
                <w:lang w:eastAsia="zh-CN"/>
              </w:rPr>
              <w:t>2</w:t>
            </w:r>
          </w:p>
        </w:tc>
        <w:tc>
          <w:tcPr>
            <w:tcW w:w="530" w:type="dxa"/>
            <w:noWrap w:val="0"/>
            <w:vAlign w:val="center"/>
          </w:tcPr>
          <w:p w14:paraId="121533D9">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color w:val="auto"/>
                <w:spacing w:val="-3"/>
                <w:highlight w:val="none"/>
              </w:rPr>
            </w:pPr>
            <w:r>
              <w:rPr>
                <w:color w:val="auto"/>
                <w:spacing w:val="-2"/>
                <w:highlight w:val="none"/>
              </w:rPr>
              <w:t>信报收发</w:t>
            </w:r>
          </w:p>
        </w:tc>
        <w:tc>
          <w:tcPr>
            <w:tcW w:w="612" w:type="dxa"/>
            <w:noWrap w:val="0"/>
            <w:vAlign w:val="center"/>
          </w:tcPr>
          <w:p w14:paraId="270AFF13">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color w:val="auto"/>
                <w:highlight w:val="none"/>
                <w:lang w:eastAsia="zh-CN"/>
              </w:rPr>
            </w:pPr>
            <w:r>
              <w:rPr>
                <w:rFonts w:hint="eastAsia"/>
                <w:color w:val="auto"/>
                <w:highlight w:val="none"/>
                <w:lang w:val="en-US" w:eastAsia="zh-CN"/>
              </w:rPr>
              <w:t>2</w:t>
            </w:r>
          </w:p>
        </w:tc>
        <w:tc>
          <w:tcPr>
            <w:tcW w:w="4486" w:type="dxa"/>
            <w:noWrap w:val="0"/>
            <w:vAlign w:val="top"/>
          </w:tcPr>
          <w:p w14:paraId="1633644C">
            <w:pPr>
              <w:pStyle w:val="127"/>
              <w:keepNext w:val="0"/>
              <w:keepLines w:val="0"/>
              <w:pageBreakBefore w:val="0"/>
              <w:widowControl w:val="0"/>
              <w:kinsoku/>
              <w:wordWrap/>
              <w:overflowPunct/>
              <w:topLinePunct w:val="0"/>
              <w:autoSpaceDE/>
              <w:autoSpaceDN/>
              <w:bidi w:val="0"/>
              <w:spacing w:line="240" w:lineRule="auto"/>
              <w:ind w:left="0" w:right="0"/>
              <w:textAlignment w:val="auto"/>
              <w:rPr>
                <w:color w:val="auto"/>
                <w:spacing w:val="-3"/>
                <w:highlight w:val="none"/>
                <w:lang w:eastAsia="zh-CN"/>
              </w:rPr>
            </w:pPr>
            <w:r>
              <w:rPr>
                <w:color w:val="auto"/>
                <w:spacing w:val="-3"/>
                <w:highlight w:val="none"/>
                <w:lang w:eastAsia="zh-CN"/>
              </w:rPr>
              <w:t>①正确有效分拣好各类报刊，并及时准确投送到相应的信箱内；②</w:t>
            </w:r>
            <w:r>
              <w:rPr>
                <w:color w:val="auto"/>
                <w:spacing w:val="-1"/>
                <w:highlight w:val="none"/>
                <w:lang w:eastAsia="zh-CN"/>
              </w:rPr>
              <w:t>做好挂号信、汇款单、以及快递等特殊邮件的登记工作</w:t>
            </w:r>
            <w:r>
              <w:rPr>
                <w:color w:val="auto"/>
                <w:spacing w:val="3"/>
                <w:highlight w:val="none"/>
                <w:lang w:eastAsia="zh-CN"/>
              </w:rPr>
              <w:t>③因业主原因无法及时派送到人的信件，应做好信息登记，及时做好后续沟通工作等；④正确处理各类盲信、退信、以及受损等信件，做好台账登记工作对特殊邮件的处理应</w:t>
            </w:r>
            <w:r>
              <w:rPr>
                <w:color w:val="auto"/>
                <w:spacing w:val="-1"/>
                <w:highlight w:val="none"/>
                <w:lang w:eastAsia="zh-CN"/>
              </w:rPr>
              <w:t>作出责任申明等</w:t>
            </w:r>
            <w:r>
              <w:rPr>
                <w:rFonts w:hint="eastAsia"/>
                <w:color w:val="auto"/>
                <w:spacing w:val="-1"/>
                <w:highlight w:val="none"/>
                <w:lang w:eastAsia="zh-CN"/>
              </w:rPr>
              <w:t>。</w:t>
            </w:r>
          </w:p>
        </w:tc>
        <w:tc>
          <w:tcPr>
            <w:tcW w:w="1039" w:type="dxa"/>
            <w:noWrap w:val="0"/>
            <w:vAlign w:val="center"/>
          </w:tcPr>
          <w:p w14:paraId="0104510D">
            <w:pPr>
              <w:pStyle w:val="127"/>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color w:val="auto"/>
                <w:spacing w:val="-2"/>
                <w:highlight w:val="none"/>
                <w:lang w:val="en-US" w:eastAsia="zh-CN"/>
              </w:rPr>
            </w:pPr>
            <w:r>
              <w:rPr>
                <w:color w:val="auto"/>
                <w:spacing w:val="-8"/>
                <w:highlight w:val="none"/>
                <w:lang w:eastAsia="zh-CN"/>
              </w:rPr>
              <w:t>全部符合</w:t>
            </w:r>
            <w:r>
              <w:rPr>
                <w:color w:val="auto"/>
                <w:spacing w:val="-42"/>
                <w:highlight w:val="none"/>
                <w:lang w:eastAsia="zh-CN"/>
              </w:rPr>
              <w:t xml:space="preserve"> </w:t>
            </w:r>
            <w:r>
              <w:rPr>
                <w:rFonts w:hint="eastAsia"/>
                <w:color w:val="auto"/>
                <w:spacing w:val="-42"/>
                <w:highlight w:val="none"/>
                <w:lang w:val="en-US" w:eastAsia="zh-CN"/>
              </w:rPr>
              <w:t>2</w:t>
            </w:r>
            <w:r>
              <w:rPr>
                <w:rFonts w:hint="eastAsia"/>
                <w:color w:val="auto"/>
                <w:spacing w:val="-8"/>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0.5</w:t>
            </w:r>
          </w:p>
        </w:tc>
        <w:tc>
          <w:tcPr>
            <w:tcW w:w="564" w:type="dxa"/>
            <w:noWrap w:val="0"/>
            <w:vAlign w:val="top"/>
          </w:tcPr>
          <w:p w14:paraId="0B2F08D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p>
        </w:tc>
        <w:tc>
          <w:tcPr>
            <w:tcW w:w="551" w:type="dxa"/>
            <w:noWrap w:val="0"/>
            <w:vAlign w:val="center"/>
          </w:tcPr>
          <w:p w14:paraId="05C1A6B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center"/>
          </w:tcPr>
          <w:p w14:paraId="7674FD5D">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0DD48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45C60F9C">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eastAsia="zh-CN"/>
              </w:rPr>
              <w:t>三</w:t>
            </w:r>
          </w:p>
        </w:tc>
        <w:tc>
          <w:tcPr>
            <w:tcW w:w="530" w:type="dxa"/>
            <w:noWrap w:val="0"/>
            <w:vAlign w:val="center"/>
          </w:tcPr>
          <w:p w14:paraId="51351DD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2"/>
                <w:highlight w:val="none"/>
              </w:rPr>
              <w:t>安保</w:t>
            </w:r>
            <w:r>
              <w:rPr>
                <w:rFonts w:hint="eastAsia"/>
                <w:color w:val="auto"/>
                <w:spacing w:val="-2"/>
                <w:highlight w:val="none"/>
                <w:lang w:val="en-US" w:eastAsia="zh-CN"/>
              </w:rPr>
              <w:t>,保洁</w:t>
            </w:r>
            <w:r>
              <w:rPr>
                <w:color w:val="auto"/>
                <w:spacing w:val="-2"/>
                <w:highlight w:val="none"/>
              </w:rPr>
              <w:t>及车场管理</w:t>
            </w:r>
            <w:r>
              <w:rPr>
                <w:rFonts w:hint="eastAsia"/>
                <w:color w:val="auto"/>
                <w:spacing w:val="-2"/>
                <w:highlight w:val="none"/>
                <w:lang w:eastAsia="zh-CN"/>
              </w:rPr>
              <w:t>等</w:t>
            </w:r>
          </w:p>
        </w:tc>
        <w:tc>
          <w:tcPr>
            <w:tcW w:w="612" w:type="dxa"/>
            <w:noWrap w:val="0"/>
            <w:vAlign w:val="center"/>
          </w:tcPr>
          <w:p w14:paraId="2A1EFF60">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47</w:t>
            </w:r>
          </w:p>
        </w:tc>
        <w:tc>
          <w:tcPr>
            <w:tcW w:w="4486" w:type="dxa"/>
            <w:noWrap w:val="0"/>
            <w:vAlign w:val="top"/>
          </w:tcPr>
          <w:p w14:paraId="4B428988">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1039" w:type="dxa"/>
            <w:noWrap w:val="0"/>
            <w:vAlign w:val="center"/>
          </w:tcPr>
          <w:p w14:paraId="5977D8D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rPr>
            </w:pPr>
          </w:p>
        </w:tc>
        <w:tc>
          <w:tcPr>
            <w:tcW w:w="564" w:type="dxa"/>
            <w:noWrap w:val="0"/>
            <w:vAlign w:val="top"/>
          </w:tcPr>
          <w:p w14:paraId="54A3F523">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551" w:type="dxa"/>
            <w:noWrap w:val="0"/>
            <w:vAlign w:val="center"/>
          </w:tcPr>
          <w:p w14:paraId="2A83B84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c>
          <w:tcPr>
            <w:tcW w:w="430" w:type="dxa"/>
            <w:noWrap w:val="0"/>
            <w:vAlign w:val="center"/>
          </w:tcPr>
          <w:p w14:paraId="5181559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r>
      <w:tr w14:paraId="49D65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15A32D9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spacing w:val="-6"/>
                <w:highlight w:val="none"/>
                <w:lang w:eastAsia="zh-CN"/>
              </w:rPr>
              <w:t>13</w:t>
            </w:r>
          </w:p>
        </w:tc>
        <w:tc>
          <w:tcPr>
            <w:tcW w:w="530" w:type="dxa"/>
            <w:noWrap w:val="0"/>
            <w:vAlign w:val="center"/>
          </w:tcPr>
          <w:p w14:paraId="3400F36B">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2"/>
                <w:highlight w:val="none"/>
              </w:rPr>
              <w:t>基本要求</w:t>
            </w:r>
          </w:p>
        </w:tc>
        <w:tc>
          <w:tcPr>
            <w:tcW w:w="612" w:type="dxa"/>
            <w:noWrap w:val="0"/>
            <w:vAlign w:val="center"/>
          </w:tcPr>
          <w:p w14:paraId="3EDC2F89">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val="en-US" w:eastAsia="zh-CN"/>
              </w:rPr>
              <w:t>4</w:t>
            </w:r>
          </w:p>
        </w:tc>
        <w:tc>
          <w:tcPr>
            <w:tcW w:w="4486" w:type="dxa"/>
            <w:noWrap w:val="0"/>
            <w:vAlign w:val="top"/>
          </w:tcPr>
          <w:p w14:paraId="2ADC4EA0">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r>
              <w:rPr>
                <w:color w:val="auto"/>
                <w:spacing w:val="2"/>
                <w:highlight w:val="none"/>
                <w:lang w:eastAsia="zh-CN"/>
              </w:rPr>
              <w:t>①应制定出入管理、停车管理、巡查管理等各项管理制</w:t>
            </w:r>
            <w:r>
              <w:rPr>
                <w:color w:val="auto"/>
                <w:spacing w:val="-1"/>
                <w:highlight w:val="none"/>
                <w:lang w:eastAsia="zh-CN"/>
              </w:rPr>
              <w:t>度、</w:t>
            </w:r>
            <w:r>
              <w:rPr>
                <w:color w:val="auto"/>
                <w:spacing w:val="-13"/>
                <w:highlight w:val="none"/>
                <w:lang w:eastAsia="zh-CN"/>
              </w:rPr>
              <w:t xml:space="preserve"> </w:t>
            </w:r>
            <w:r>
              <w:rPr>
                <w:color w:val="auto"/>
                <w:spacing w:val="-1"/>
                <w:highlight w:val="none"/>
                <w:lang w:eastAsia="zh-CN"/>
              </w:rPr>
              <w:t xml:space="preserve">操作规程、应急处置预案，并按要求执行；各项记录齐全。② </w:t>
            </w:r>
            <w:r>
              <w:rPr>
                <w:color w:val="auto"/>
                <w:spacing w:val="2"/>
                <w:highlight w:val="none"/>
                <w:lang w:eastAsia="zh-CN"/>
              </w:rPr>
              <w:t xml:space="preserve">根据值守岗位的实际需要，配备相应的保安人员。安保人员应接受队列训练、交通手势指挥、消防技能、安防知识与技能、服务礼仪 </w:t>
            </w:r>
            <w:r>
              <w:rPr>
                <w:color w:val="auto"/>
                <w:spacing w:val="-6"/>
                <w:highlight w:val="none"/>
                <w:lang w:eastAsia="zh-CN"/>
              </w:rPr>
              <w:t>等业务培训，并服从工作分配与岗位调度，接受</w:t>
            </w:r>
            <w:r>
              <w:rPr>
                <w:color w:val="auto"/>
                <w:spacing w:val="-45"/>
                <w:highlight w:val="none"/>
                <w:lang w:eastAsia="zh-CN"/>
              </w:rPr>
              <w:t xml:space="preserve"> </w:t>
            </w:r>
            <w:r>
              <w:rPr>
                <w:color w:val="auto"/>
                <w:spacing w:val="-6"/>
                <w:highlight w:val="none"/>
                <w:lang w:eastAsia="zh-CN"/>
              </w:rPr>
              <w:t>24</w:t>
            </w:r>
            <w:r>
              <w:rPr>
                <w:color w:val="auto"/>
                <w:spacing w:val="-40"/>
                <w:highlight w:val="none"/>
                <w:lang w:eastAsia="zh-CN"/>
              </w:rPr>
              <w:t xml:space="preserve"> </w:t>
            </w:r>
            <w:r>
              <w:rPr>
                <w:color w:val="auto"/>
                <w:spacing w:val="-6"/>
                <w:highlight w:val="none"/>
                <w:lang w:eastAsia="zh-CN"/>
              </w:rPr>
              <w:t>小时轮班工作</w:t>
            </w:r>
            <w:r>
              <w:rPr>
                <w:color w:val="auto"/>
                <w:spacing w:val="-7"/>
                <w:highlight w:val="none"/>
                <w:lang w:eastAsia="zh-CN"/>
              </w:rPr>
              <w:t>制，</w:t>
            </w:r>
            <w:r>
              <w:rPr>
                <w:color w:val="auto"/>
                <w:highlight w:val="none"/>
                <w:lang w:eastAsia="zh-CN"/>
              </w:rPr>
              <w:t xml:space="preserve"> </w:t>
            </w:r>
            <w:r>
              <w:rPr>
                <w:color w:val="auto"/>
                <w:spacing w:val="-4"/>
                <w:highlight w:val="none"/>
                <w:lang w:eastAsia="zh-CN"/>
              </w:rPr>
              <w:t>当值人员应至少提前</w:t>
            </w:r>
            <w:r>
              <w:rPr>
                <w:color w:val="auto"/>
                <w:spacing w:val="-20"/>
                <w:highlight w:val="none"/>
                <w:lang w:eastAsia="zh-CN"/>
              </w:rPr>
              <w:t xml:space="preserve"> </w:t>
            </w:r>
            <w:r>
              <w:rPr>
                <w:color w:val="auto"/>
                <w:spacing w:val="-4"/>
                <w:highlight w:val="none"/>
                <w:lang w:eastAsia="zh-CN"/>
              </w:rPr>
              <w:t xml:space="preserve">10 分钟到达工作岗位，做好交接事宜。③保安 </w:t>
            </w:r>
            <w:r>
              <w:rPr>
                <w:color w:val="auto"/>
                <w:spacing w:val="-5"/>
                <w:highlight w:val="none"/>
                <w:lang w:eastAsia="zh-CN"/>
              </w:rPr>
              <w:t>人员应配备安全管理所需的防范装备及器械，可包括</w:t>
            </w:r>
            <w:r>
              <w:rPr>
                <w:color w:val="auto"/>
                <w:spacing w:val="2"/>
                <w:highlight w:val="none"/>
                <w:lang w:eastAsia="zh-CN"/>
              </w:rPr>
              <w:t>安保装备、安保（警用）器械等。④保安人员上岗时应佩戴统一标</w:t>
            </w:r>
            <w:r>
              <w:rPr>
                <w:color w:val="auto"/>
                <w:spacing w:val="-2"/>
                <w:highlight w:val="none"/>
                <w:lang w:eastAsia="zh-CN"/>
              </w:rPr>
              <w:t>志，按要求着装并佩带器械，仪容仪表整洁规范。</w:t>
            </w:r>
          </w:p>
        </w:tc>
        <w:tc>
          <w:tcPr>
            <w:tcW w:w="1039" w:type="dxa"/>
            <w:noWrap w:val="0"/>
            <w:vAlign w:val="center"/>
          </w:tcPr>
          <w:p w14:paraId="70974D67">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highlight w:val="none"/>
                <w:lang w:val="en-US" w:eastAsia="zh-CN"/>
              </w:rPr>
            </w:pPr>
            <w:r>
              <w:rPr>
                <w:color w:val="auto"/>
                <w:spacing w:val="-8"/>
                <w:highlight w:val="none"/>
                <w:lang w:eastAsia="zh-CN"/>
              </w:rPr>
              <w:t>全部符合</w:t>
            </w:r>
            <w:r>
              <w:rPr>
                <w:color w:val="auto"/>
                <w:spacing w:val="-42"/>
                <w:highlight w:val="none"/>
                <w:lang w:eastAsia="zh-CN"/>
              </w:rPr>
              <w:t xml:space="preserve"> </w:t>
            </w:r>
            <w:r>
              <w:rPr>
                <w:rFonts w:hint="eastAsia"/>
                <w:color w:val="auto"/>
                <w:spacing w:val="-42"/>
                <w:highlight w:val="none"/>
                <w:lang w:val="en-US" w:eastAsia="zh-CN"/>
              </w:rPr>
              <w:t>4</w:t>
            </w:r>
            <w:r>
              <w:rPr>
                <w:color w:val="auto"/>
                <w:spacing w:val="-8"/>
                <w:highlight w:val="none"/>
                <w:lang w:eastAsia="zh-CN"/>
              </w:rPr>
              <w:t>，</w:t>
            </w:r>
            <w:r>
              <w:rPr>
                <w:color w:val="auto"/>
                <w:highlight w:val="none"/>
                <w:lang w:eastAsia="zh-CN"/>
              </w:rPr>
              <w:t xml:space="preserve"> </w:t>
            </w:r>
            <w:r>
              <w:rPr>
                <w:color w:val="auto"/>
                <w:spacing w:val="-2"/>
                <w:highlight w:val="none"/>
                <w:lang w:eastAsia="zh-CN"/>
              </w:rPr>
              <w:t>不符合每项扣</w:t>
            </w:r>
            <w:r>
              <w:rPr>
                <w:rFonts w:hint="eastAsia"/>
                <w:color w:val="auto"/>
                <w:spacing w:val="-2"/>
                <w:highlight w:val="none"/>
                <w:lang w:val="en-US" w:eastAsia="zh-CN"/>
              </w:rPr>
              <w:t>1.0</w:t>
            </w:r>
          </w:p>
        </w:tc>
        <w:tc>
          <w:tcPr>
            <w:tcW w:w="564" w:type="dxa"/>
            <w:noWrap w:val="0"/>
            <w:vAlign w:val="top"/>
          </w:tcPr>
          <w:p w14:paraId="59867AD0">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p>
        </w:tc>
        <w:tc>
          <w:tcPr>
            <w:tcW w:w="551" w:type="dxa"/>
            <w:noWrap w:val="0"/>
            <w:vAlign w:val="center"/>
          </w:tcPr>
          <w:p w14:paraId="6227AD53">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center"/>
          </w:tcPr>
          <w:p w14:paraId="28AB182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5B5C7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4E507CA9">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spacing w:val="-6"/>
                <w:highlight w:val="none"/>
                <w:lang w:eastAsia="zh-CN"/>
              </w:rPr>
            </w:pPr>
            <w:r>
              <w:rPr>
                <w:rFonts w:hint="eastAsia"/>
                <w:color w:val="auto"/>
                <w:spacing w:val="-3"/>
                <w:highlight w:val="none"/>
                <w:lang w:eastAsia="zh-CN"/>
              </w:rPr>
              <w:t>14</w:t>
            </w:r>
          </w:p>
        </w:tc>
        <w:tc>
          <w:tcPr>
            <w:tcW w:w="530" w:type="dxa"/>
            <w:noWrap w:val="0"/>
            <w:vAlign w:val="center"/>
          </w:tcPr>
          <w:p w14:paraId="22F8A070">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2"/>
                <w:highlight w:val="none"/>
              </w:rPr>
            </w:pPr>
            <w:r>
              <w:rPr>
                <w:color w:val="auto"/>
                <w:spacing w:val="-8"/>
                <w:highlight w:val="none"/>
              </w:rPr>
              <w:t>门卫值守</w:t>
            </w:r>
          </w:p>
        </w:tc>
        <w:tc>
          <w:tcPr>
            <w:tcW w:w="612" w:type="dxa"/>
            <w:noWrap w:val="0"/>
            <w:vAlign w:val="center"/>
          </w:tcPr>
          <w:p w14:paraId="43420F0C">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val="en-US" w:eastAsia="zh-CN"/>
              </w:rPr>
              <w:t>4</w:t>
            </w:r>
          </w:p>
        </w:tc>
        <w:tc>
          <w:tcPr>
            <w:tcW w:w="4486" w:type="dxa"/>
            <w:noWrap w:val="0"/>
            <w:vAlign w:val="top"/>
          </w:tcPr>
          <w:p w14:paraId="5645268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hanging="1"/>
              <w:textAlignment w:val="auto"/>
              <w:rPr>
                <w:color w:val="auto"/>
                <w:spacing w:val="2"/>
                <w:highlight w:val="none"/>
                <w:lang w:eastAsia="zh-CN"/>
              </w:rPr>
            </w:pPr>
            <w:r>
              <w:rPr>
                <w:color w:val="auto"/>
                <w:spacing w:val="-2"/>
                <w:highlight w:val="none"/>
                <w:lang w:eastAsia="zh-CN"/>
              </w:rPr>
              <w:t>①人员管理：a.大楼基本实行封闭式管理，主要出入口应安排</w:t>
            </w:r>
            <w:r>
              <w:rPr>
                <w:color w:val="auto"/>
                <w:spacing w:val="-43"/>
                <w:highlight w:val="none"/>
                <w:lang w:eastAsia="zh-CN"/>
              </w:rPr>
              <w:t xml:space="preserve"> </w:t>
            </w:r>
            <w:r>
              <w:rPr>
                <w:color w:val="auto"/>
                <w:spacing w:val="-2"/>
                <w:highlight w:val="none"/>
                <w:lang w:eastAsia="zh-CN"/>
              </w:rPr>
              <w:t>24</w:t>
            </w:r>
            <w:r>
              <w:rPr>
                <w:color w:val="auto"/>
                <w:spacing w:val="-41"/>
                <w:highlight w:val="none"/>
                <w:lang w:eastAsia="zh-CN"/>
              </w:rPr>
              <w:t xml:space="preserve"> </w:t>
            </w:r>
            <w:r>
              <w:rPr>
                <w:color w:val="auto"/>
                <w:spacing w:val="-2"/>
                <w:highlight w:val="none"/>
                <w:lang w:eastAsia="zh-CN"/>
              </w:rPr>
              <w:t>小</w:t>
            </w:r>
            <w:r>
              <w:rPr>
                <w:color w:val="auto"/>
                <w:spacing w:val="-1"/>
                <w:highlight w:val="none"/>
                <w:lang w:eastAsia="zh-CN"/>
              </w:rPr>
              <w:t>时值岗；b.对外来人员及车辆（访问、</w:t>
            </w:r>
            <w:r>
              <w:rPr>
                <w:color w:val="auto"/>
                <w:spacing w:val="-2"/>
                <w:highlight w:val="none"/>
                <w:lang w:eastAsia="zh-CN"/>
              </w:rPr>
              <w:t>参观、施工、送货等）执行</w:t>
            </w:r>
            <w:r>
              <w:rPr>
                <w:color w:val="auto"/>
                <w:spacing w:val="-4"/>
                <w:highlight w:val="none"/>
                <w:lang w:eastAsia="zh-CN"/>
              </w:rPr>
              <w:t>来访证件登记制度；c.信访人员应介绍到接访部门或通知信访办有</w:t>
            </w:r>
            <w:r>
              <w:rPr>
                <w:color w:val="auto"/>
                <w:spacing w:val="-5"/>
                <w:highlight w:val="none"/>
                <w:lang w:eastAsia="zh-CN"/>
              </w:rPr>
              <w:t>关人员接访，不得影响办公区域正常的生活和工作秩序；d.问候、</w:t>
            </w:r>
            <w:r>
              <w:rPr>
                <w:color w:val="auto"/>
                <w:spacing w:val="1"/>
                <w:highlight w:val="none"/>
                <w:lang w:eastAsia="zh-CN"/>
              </w:rPr>
              <w:t>问话、回答等用语规范，必要时引导至电梯厅或指示到达的方向、</w:t>
            </w:r>
            <w:r>
              <w:rPr>
                <w:color w:val="auto"/>
                <w:spacing w:val="-1"/>
                <w:highlight w:val="none"/>
                <w:lang w:eastAsia="zh-CN"/>
              </w:rPr>
              <w:t>部位；e.非办公时间进入办公楼的人员</w:t>
            </w:r>
            <w:r>
              <w:rPr>
                <w:color w:val="auto"/>
                <w:spacing w:val="-2"/>
                <w:highlight w:val="none"/>
                <w:lang w:eastAsia="zh-CN"/>
              </w:rPr>
              <w:t>应实施详细登记，必要时通</w:t>
            </w:r>
            <w:r>
              <w:rPr>
                <w:color w:val="auto"/>
                <w:spacing w:val="-4"/>
                <w:highlight w:val="none"/>
                <w:lang w:eastAsia="zh-CN"/>
              </w:rPr>
              <w:t>知监控中心实施监控。②物品管控：a.进入办公楼的物品应符合国</w:t>
            </w:r>
            <w:r>
              <w:rPr>
                <w:color w:val="auto"/>
                <w:spacing w:val="2"/>
                <w:highlight w:val="none"/>
                <w:lang w:eastAsia="zh-CN"/>
              </w:rPr>
              <w:t>家卫生检疫标准和安全防范要求，并进行检查登记，大件物品进出</w:t>
            </w:r>
            <w:r>
              <w:rPr>
                <w:color w:val="auto"/>
                <w:spacing w:val="-3"/>
                <w:highlight w:val="none"/>
                <w:lang w:eastAsia="zh-CN"/>
              </w:rPr>
              <w:t>实行审验制度；b.拒绝易燃易爆等危险物品</w:t>
            </w:r>
            <w:r>
              <w:rPr>
                <w:color w:val="auto"/>
                <w:spacing w:val="-4"/>
                <w:highlight w:val="none"/>
                <w:lang w:eastAsia="zh-CN"/>
              </w:rPr>
              <w:t>进入大楼，禁止无证明</w:t>
            </w:r>
            <w:r>
              <w:rPr>
                <w:color w:val="auto"/>
                <w:spacing w:val="-2"/>
                <w:highlight w:val="none"/>
                <w:lang w:eastAsia="zh-CN"/>
              </w:rPr>
              <w:t>或无许可的大件物品流出大楼；c.当发现有携带可疑危险品（</w:t>
            </w:r>
            <w:r>
              <w:rPr>
                <w:color w:val="auto"/>
                <w:spacing w:val="-3"/>
                <w:highlight w:val="none"/>
                <w:lang w:eastAsia="zh-CN"/>
              </w:rPr>
              <w:t>易燃、</w:t>
            </w:r>
            <w:r>
              <w:rPr>
                <w:color w:val="auto"/>
                <w:spacing w:val="-4"/>
                <w:highlight w:val="none"/>
                <w:lang w:eastAsia="zh-CN"/>
              </w:rPr>
              <w:t>易爆、剧毒等）进入时，应予以扣留，并上报主管部门；d.施工人</w:t>
            </w:r>
            <w:r>
              <w:rPr>
                <w:color w:val="auto"/>
                <w:spacing w:val="2"/>
                <w:highlight w:val="none"/>
                <w:lang w:eastAsia="zh-CN"/>
              </w:rPr>
              <w:t>员携带物品出办公楼，应有相关部门开据的证明和清单，经核实后放行 e.可向入业主人员提供临时性物品寄存服务，转交物品应做好登记。</w:t>
            </w:r>
          </w:p>
        </w:tc>
        <w:tc>
          <w:tcPr>
            <w:tcW w:w="1039" w:type="dxa"/>
            <w:noWrap w:val="0"/>
            <w:vAlign w:val="center"/>
          </w:tcPr>
          <w:p w14:paraId="43C7342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905CE8D">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spacing w:val="-2"/>
                <w:highlight w:val="none"/>
                <w:lang w:eastAsia="zh-CN"/>
              </w:rPr>
            </w:pPr>
            <w:r>
              <w:rPr>
                <w:color w:val="auto"/>
                <w:spacing w:val="-9"/>
                <w:highlight w:val="none"/>
                <w:lang w:eastAsia="zh-CN"/>
              </w:rPr>
              <w:t>全部符合</w:t>
            </w:r>
            <w:r>
              <w:rPr>
                <w:color w:val="auto"/>
                <w:spacing w:val="-35"/>
                <w:highlight w:val="none"/>
                <w:lang w:eastAsia="zh-CN"/>
              </w:rPr>
              <w:t xml:space="preserve"> </w:t>
            </w:r>
            <w:r>
              <w:rPr>
                <w:rFonts w:hint="eastAsia"/>
                <w:color w:val="auto"/>
                <w:spacing w:val="-35"/>
                <w:highlight w:val="none"/>
                <w:lang w:val="en-US" w:eastAsia="zh-CN"/>
              </w:rPr>
              <w:t>4</w:t>
            </w:r>
            <w:r>
              <w:rPr>
                <w:color w:val="auto"/>
                <w:spacing w:val="-9"/>
                <w:highlight w:val="none"/>
                <w:lang w:eastAsia="zh-CN"/>
              </w:rPr>
              <w:t>，</w:t>
            </w:r>
            <w:r>
              <w:rPr>
                <w:color w:val="auto"/>
                <w:highlight w:val="none"/>
                <w:lang w:eastAsia="zh-CN"/>
              </w:rPr>
              <w:t xml:space="preserve"> </w:t>
            </w:r>
            <w:r>
              <w:rPr>
                <w:color w:val="auto"/>
                <w:spacing w:val="-2"/>
                <w:highlight w:val="none"/>
                <w:lang w:eastAsia="zh-CN"/>
              </w:rPr>
              <w:t>不符合每项扣</w:t>
            </w:r>
            <w:r>
              <w:rPr>
                <w:rFonts w:hint="eastAsia"/>
                <w:color w:val="auto"/>
                <w:spacing w:val="-2"/>
                <w:highlight w:val="none"/>
                <w:lang w:val="en-US" w:eastAsia="zh-CN"/>
              </w:rPr>
              <w:t>2.0</w:t>
            </w:r>
          </w:p>
        </w:tc>
        <w:tc>
          <w:tcPr>
            <w:tcW w:w="564" w:type="dxa"/>
            <w:noWrap w:val="0"/>
            <w:vAlign w:val="top"/>
          </w:tcPr>
          <w:p w14:paraId="0C871ED5">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p>
        </w:tc>
        <w:tc>
          <w:tcPr>
            <w:tcW w:w="551" w:type="dxa"/>
            <w:noWrap w:val="0"/>
            <w:vAlign w:val="center"/>
          </w:tcPr>
          <w:p w14:paraId="6CD5BF4E">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center"/>
          </w:tcPr>
          <w:p w14:paraId="6D962BB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2A42B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3FB370E9">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spacing w:val="-3"/>
                <w:highlight w:val="none"/>
                <w:lang w:eastAsia="zh-CN"/>
              </w:rPr>
              <w:t>15</w:t>
            </w:r>
          </w:p>
        </w:tc>
        <w:tc>
          <w:tcPr>
            <w:tcW w:w="530" w:type="dxa"/>
            <w:noWrap w:val="0"/>
            <w:vAlign w:val="center"/>
          </w:tcPr>
          <w:p w14:paraId="52FE403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3"/>
                <w:highlight w:val="none"/>
              </w:rPr>
              <w:t>安全巡视</w:t>
            </w:r>
          </w:p>
        </w:tc>
        <w:tc>
          <w:tcPr>
            <w:tcW w:w="612" w:type="dxa"/>
            <w:noWrap w:val="0"/>
            <w:vAlign w:val="center"/>
          </w:tcPr>
          <w:p w14:paraId="13D71821">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val="en-US" w:eastAsia="zh-CN"/>
              </w:rPr>
              <w:t>4</w:t>
            </w:r>
          </w:p>
        </w:tc>
        <w:tc>
          <w:tcPr>
            <w:tcW w:w="4486" w:type="dxa"/>
            <w:noWrap w:val="0"/>
            <w:vAlign w:val="top"/>
          </w:tcPr>
          <w:p w14:paraId="509705A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r>
              <w:rPr>
                <w:color w:val="auto"/>
                <w:spacing w:val="2"/>
                <w:highlight w:val="none"/>
                <w:lang w:eastAsia="zh-CN"/>
              </w:rPr>
              <w:t>①明确巡视工作职责、流程，制定相对固定的巡视路线。②重点区</w:t>
            </w:r>
            <w:r>
              <w:rPr>
                <w:color w:val="auto"/>
                <w:spacing w:val="-3"/>
                <w:highlight w:val="none"/>
                <w:lang w:eastAsia="zh-CN"/>
              </w:rPr>
              <w:t>域、部位和设备房至少每</w:t>
            </w:r>
            <w:r>
              <w:rPr>
                <w:color w:val="auto"/>
                <w:spacing w:val="-41"/>
                <w:highlight w:val="none"/>
                <w:lang w:eastAsia="zh-CN"/>
              </w:rPr>
              <w:t xml:space="preserve"> </w:t>
            </w:r>
            <w:r>
              <w:rPr>
                <w:color w:val="auto"/>
                <w:spacing w:val="-3"/>
                <w:highlight w:val="none"/>
                <w:lang w:eastAsia="zh-CN"/>
              </w:rPr>
              <w:t>2</w:t>
            </w:r>
            <w:r>
              <w:rPr>
                <w:color w:val="auto"/>
                <w:spacing w:val="-39"/>
                <w:highlight w:val="none"/>
                <w:lang w:eastAsia="zh-CN"/>
              </w:rPr>
              <w:t xml:space="preserve"> </w:t>
            </w:r>
            <w:r>
              <w:rPr>
                <w:color w:val="auto"/>
                <w:spacing w:val="-3"/>
                <w:highlight w:val="none"/>
                <w:lang w:eastAsia="zh-CN"/>
              </w:rPr>
              <w:t>小时巡视一次，并规范记录，发现违法、</w:t>
            </w:r>
            <w:r>
              <w:rPr>
                <w:color w:val="auto"/>
                <w:spacing w:val="2"/>
                <w:highlight w:val="none"/>
                <w:lang w:eastAsia="zh-CN"/>
              </w:rPr>
              <w:t>违章行为应及时制止</w:t>
            </w:r>
            <w:r>
              <w:rPr>
                <w:rFonts w:hint="eastAsia"/>
                <w:color w:val="auto"/>
                <w:spacing w:val="2"/>
                <w:highlight w:val="none"/>
                <w:lang w:eastAsia="zh-CN"/>
              </w:rPr>
              <w:t>；</w:t>
            </w:r>
            <w:r>
              <w:rPr>
                <w:color w:val="auto"/>
                <w:spacing w:val="2"/>
                <w:highlight w:val="none"/>
                <w:lang w:eastAsia="zh-CN"/>
              </w:rPr>
              <w:t>③巡视时使用巡更设备</w:t>
            </w:r>
            <w:r>
              <w:rPr>
                <w:rFonts w:hint="eastAsia"/>
                <w:color w:val="auto"/>
                <w:spacing w:val="2"/>
                <w:highlight w:val="none"/>
                <w:lang w:eastAsia="zh-CN"/>
              </w:rPr>
              <w:t>，</w:t>
            </w:r>
            <w:r>
              <w:rPr>
                <w:color w:val="auto"/>
                <w:spacing w:val="2"/>
                <w:highlight w:val="none"/>
                <w:lang w:eastAsia="zh-CN"/>
              </w:rPr>
              <w:t>在监控中心保持巡</w:t>
            </w:r>
            <w:r>
              <w:rPr>
                <w:color w:val="auto"/>
                <w:spacing w:val="3"/>
                <w:highlight w:val="none"/>
                <w:lang w:eastAsia="zh-CN"/>
              </w:rPr>
              <w:t>更记录；④如巡视中发现异常情况，应立即通知有关部门和报告相关负责人，并在现场采取必要的应急措施，随时准备启动相应的应</w:t>
            </w:r>
            <w:r>
              <w:rPr>
                <w:color w:val="auto"/>
                <w:spacing w:val="-5"/>
                <w:highlight w:val="none"/>
                <w:lang w:eastAsia="zh-CN"/>
              </w:rPr>
              <w:t>急预案。</w:t>
            </w:r>
            <w:r>
              <w:rPr>
                <w:color w:val="auto"/>
                <w:spacing w:val="-49"/>
                <w:highlight w:val="none"/>
                <w:lang w:eastAsia="zh-CN"/>
              </w:rPr>
              <w:t xml:space="preserve"> </w:t>
            </w:r>
            <w:r>
              <w:rPr>
                <w:color w:val="auto"/>
                <w:spacing w:val="-5"/>
                <w:highlight w:val="none"/>
                <w:lang w:eastAsia="zh-CN"/>
              </w:rPr>
              <w:t>(注：巡视频次和时间如合同另有规定且高于上述标准的按</w:t>
            </w:r>
            <w:r>
              <w:rPr>
                <w:color w:val="auto"/>
                <w:spacing w:val="-13"/>
                <w:highlight w:val="none"/>
                <w:lang w:eastAsia="zh-CN"/>
              </w:rPr>
              <w:t>合同执行</w:t>
            </w:r>
            <w:r>
              <w:rPr>
                <w:rFonts w:hint="eastAsia"/>
                <w:color w:val="auto"/>
                <w:spacing w:val="-13"/>
                <w:highlight w:val="none"/>
                <w:lang w:eastAsia="zh-CN"/>
              </w:rPr>
              <w:t>。</w:t>
            </w:r>
            <w:r>
              <w:rPr>
                <w:color w:val="auto"/>
                <w:spacing w:val="-27"/>
                <w:highlight w:val="none"/>
                <w:lang w:eastAsia="zh-CN"/>
              </w:rPr>
              <w:t xml:space="preserve"> </w:t>
            </w:r>
            <w:r>
              <w:rPr>
                <w:color w:val="auto"/>
                <w:spacing w:val="-13"/>
                <w:highlight w:val="none"/>
              </w:rPr>
              <w:t>)</w:t>
            </w:r>
          </w:p>
        </w:tc>
        <w:tc>
          <w:tcPr>
            <w:tcW w:w="1039" w:type="dxa"/>
            <w:noWrap w:val="0"/>
            <w:vAlign w:val="center"/>
          </w:tcPr>
          <w:p w14:paraId="4390D11D">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highlight w:val="none"/>
                <w:lang w:val="en-US" w:eastAsia="zh-CN"/>
              </w:rPr>
            </w:pPr>
            <w:r>
              <w:rPr>
                <w:color w:val="auto"/>
                <w:spacing w:val="-8"/>
                <w:highlight w:val="none"/>
                <w:lang w:eastAsia="zh-CN"/>
              </w:rPr>
              <w:t>全部符合</w:t>
            </w:r>
            <w:r>
              <w:rPr>
                <w:color w:val="auto"/>
                <w:spacing w:val="-43"/>
                <w:highlight w:val="none"/>
                <w:lang w:eastAsia="zh-CN"/>
              </w:rPr>
              <w:t xml:space="preserve"> </w:t>
            </w:r>
            <w:r>
              <w:rPr>
                <w:rFonts w:hint="eastAsia"/>
                <w:color w:val="auto"/>
                <w:spacing w:val="-43"/>
                <w:highlight w:val="none"/>
                <w:lang w:val="en-US" w:eastAsia="zh-CN"/>
              </w:rPr>
              <w:t>4</w:t>
            </w:r>
            <w:r>
              <w:rPr>
                <w:color w:val="auto"/>
                <w:spacing w:val="-8"/>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1.0</w:t>
            </w:r>
          </w:p>
          <w:p w14:paraId="674D8545">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p>
        </w:tc>
        <w:tc>
          <w:tcPr>
            <w:tcW w:w="564" w:type="dxa"/>
            <w:noWrap w:val="0"/>
            <w:vAlign w:val="top"/>
          </w:tcPr>
          <w:p w14:paraId="638BA67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p>
        </w:tc>
        <w:tc>
          <w:tcPr>
            <w:tcW w:w="551" w:type="dxa"/>
            <w:noWrap w:val="0"/>
            <w:vAlign w:val="center"/>
          </w:tcPr>
          <w:p w14:paraId="357F522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center"/>
          </w:tcPr>
          <w:p w14:paraId="15CF805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05905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07E918C9">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spacing w:val="-3"/>
                <w:highlight w:val="none"/>
                <w:lang w:eastAsia="zh-CN"/>
              </w:rPr>
            </w:pPr>
            <w:r>
              <w:rPr>
                <w:rFonts w:hint="eastAsia"/>
                <w:color w:val="auto"/>
                <w:spacing w:val="-3"/>
                <w:highlight w:val="none"/>
                <w:lang w:eastAsia="zh-CN"/>
              </w:rPr>
              <w:t>16</w:t>
            </w:r>
          </w:p>
        </w:tc>
        <w:tc>
          <w:tcPr>
            <w:tcW w:w="530" w:type="dxa"/>
            <w:noWrap w:val="0"/>
            <w:vAlign w:val="center"/>
          </w:tcPr>
          <w:p w14:paraId="20C7896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3"/>
                <w:highlight w:val="none"/>
              </w:rPr>
            </w:pPr>
            <w:r>
              <w:rPr>
                <w:color w:val="auto"/>
                <w:spacing w:val="-1"/>
                <w:highlight w:val="none"/>
              </w:rPr>
              <w:t>重大活动安保</w:t>
            </w:r>
          </w:p>
        </w:tc>
        <w:tc>
          <w:tcPr>
            <w:tcW w:w="612" w:type="dxa"/>
            <w:noWrap w:val="0"/>
            <w:vAlign w:val="center"/>
          </w:tcPr>
          <w:p w14:paraId="54080CC5">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val="en-US" w:eastAsia="zh-CN"/>
              </w:rPr>
              <w:t>3</w:t>
            </w:r>
          </w:p>
        </w:tc>
        <w:tc>
          <w:tcPr>
            <w:tcW w:w="4486" w:type="dxa"/>
            <w:noWrap w:val="0"/>
            <w:vAlign w:val="top"/>
          </w:tcPr>
          <w:p w14:paraId="3FB6743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spacing w:val="2"/>
                <w:highlight w:val="none"/>
                <w:lang w:eastAsia="zh-CN"/>
              </w:rPr>
            </w:pPr>
            <w:r>
              <w:rPr>
                <w:color w:val="auto"/>
                <w:spacing w:val="3"/>
                <w:highlight w:val="none"/>
                <w:lang w:eastAsia="zh-CN"/>
              </w:rPr>
              <w:t>①重大活动开始前，应制定相应的活动安保方案，合理安排安保人</w:t>
            </w:r>
            <w:r>
              <w:rPr>
                <w:color w:val="auto"/>
                <w:spacing w:val="8"/>
                <w:highlight w:val="none"/>
                <w:lang w:eastAsia="zh-CN"/>
              </w:rPr>
              <w:t xml:space="preserve"> </w:t>
            </w:r>
            <w:r>
              <w:rPr>
                <w:color w:val="auto"/>
                <w:spacing w:val="3"/>
                <w:highlight w:val="none"/>
                <w:lang w:eastAsia="zh-CN"/>
              </w:rPr>
              <w:t>员，提前通知物业管理区域内的全体人员，并对活动场所安全隐患</w:t>
            </w:r>
            <w:r>
              <w:rPr>
                <w:color w:val="auto"/>
                <w:spacing w:val="9"/>
                <w:highlight w:val="none"/>
                <w:lang w:eastAsia="zh-CN"/>
              </w:rPr>
              <w:t xml:space="preserve"> </w:t>
            </w:r>
            <w:r>
              <w:rPr>
                <w:color w:val="auto"/>
                <w:spacing w:val="3"/>
                <w:highlight w:val="none"/>
                <w:lang w:eastAsia="zh-CN"/>
              </w:rPr>
              <w:t>进行排查；②应保障活动场所通道、出入口通畅，应有专人落实停车场地、做好交通疏导工作；③活动举办过程中，应做好现场治安秩序的维护和突发事故的处置工作，确保无妨碍大型活动安全的行</w:t>
            </w:r>
            <w:r>
              <w:rPr>
                <w:color w:val="auto"/>
                <w:spacing w:val="-1"/>
                <w:highlight w:val="none"/>
                <w:lang w:eastAsia="zh-CN"/>
              </w:rPr>
              <w:t>为，无违法犯罪行为。</w:t>
            </w:r>
          </w:p>
        </w:tc>
        <w:tc>
          <w:tcPr>
            <w:tcW w:w="1039" w:type="dxa"/>
            <w:noWrap w:val="0"/>
            <w:vAlign w:val="center"/>
          </w:tcPr>
          <w:p w14:paraId="548ABB89">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spacing w:val="-2"/>
                <w:highlight w:val="none"/>
                <w:lang w:val="en-US" w:eastAsia="zh-CN"/>
              </w:rPr>
            </w:pPr>
            <w:r>
              <w:rPr>
                <w:color w:val="auto"/>
                <w:spacing w:val="-8"/>
                <w:highlight w:val="none"/>
                <w:lang w:eastAsia="zh-CN"/>
              </w:rPr>
              <w:t>全部符合</w:t>
            </w:r>
            <w:r>
              <w:rPr>
                <w:color w:val="auto"/>
                <w:spacing w:val="-42"/>
                <w:highlight w:val="none"/>
                <w:lang w:eastAsia="zh-CN"/>
              </w:rPr>
              <w:t xml:space="preserve"> </w:t>
            </w:r>
            <w:r>
              <w:rPr>
                <w:rFonts w:hint="eastAsia"/>
                <w:color w:val="auto"/>
                <w:spacing w:val="-42"/>
                <w:highlight w:val="none"/>
                <w:lang w:val="en-US" w:eastAsia="zh-CN"/>
              </w:rPr>
              <w:t>3</w:t>
            </w:r>
            <w:r>
              <w:rPr>
                <w:color w:val="auto"/>
                <w:spacing w:val="-8"/>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1.0</w:t>
            </w:r>
          </w:p>
        </w:tc>
        <w:tc>
          <w:tcPr>
            <w:tcW w:w="564" w:type="dxa"/>
            <w:noWrap w:val="0"/>
            <w:vAlign w:val="top"/>
          </w:tcPr>
          <w:p w14:paraId="4A31A7A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p>
        </w:tc>
        <w:tc>
          <w:tcPr>
            <w:tcW w:w="551" w:type="dxa"/>
            <w:noWrap w:val="0"/>
            <w:vAlign w:val="center"/>
          </w:tcPr>
          <w:p w14:paraId="278B543B">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center"/>
          </w:tcPr>
          <w:p w14:paraId="4577347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35CC8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5C29F0C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spacing w:val="-3"/>
                <w:highlight w:val="none"/>
                <w:lang w:eastAsia="zh-CN"/>
              </w:rPr>
            </w:pPr>
            <w:r>
              <w:rPr>
                <w:rFonts w:hint="eastAsia"/>
                <w:color w:val="auto"/>
                <w:spacing w:val="-3"/>
                <w:highlight w:val="none"/>
                <w:lang w:eastAsia="zh-CN"/>
              </w:rPr>
              <w:t>17</w:t>
            </w:r>
          </w:p>
        </w:tc>
        <w:tc>
          <w:tcPr>
            <w:tcW w:w="530" w:type="dxa"/>
            <w:noWrap w:val="0"/>
            <w:vAlign w:val="center"/>
          </w:tcPr>
          <w:p w14:paraId="16C0E11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1"/>
                <w:highlight w:val="none"/>
              </w:rPr>
            </w:pPr>
            <w:r>
              <w:rPr>
                <w:color w:val="auto"/>
                <w:spacing w:val="-13"/>
                <w:highlight w:val="none"/>
              </w:rPr>
              <w:t>车场（库）</w:t>
            </w:r>
            <w:r>
              <w:rPr>
                <w:color w:val="auto"/>
                <w:spacing w:val="-16"/>
                <w:highlight w:val="none"/>
              </w:rPr>
              <w:t xml:space="preserve"> </w:t>
            </w:r>
            <w:r>
              <w:rPr>
                <w:color w:val="auto"/>
                <w:spacing w:val="-13"/>
                <w:highlight w:val="none"/>
              </w:rPr>
              <w:t>管理</w:t>
            </w:r>
          </w:p>
        </w:tc>
        <w:tc>
          <w:tcPr>
            <w:tcW w:w="612" w:type="dxa"/>
            <w:noWrap w:val="0"/>
            <w:vAlign w:val="center"/>
          </w:tcPr>
          <w:p w14:paraId="4C320F0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val="en-US" w:eastAsia="zh-CN"/>
              </w:rPr>
              <w:t>4</w:t>
            </w:r>
          </w:p>
        </w:tc>
        <w:tc>
          <w:tcPr>
            <w:tcW w:w="4486" w:type="dxa"/>
            <w:noWrap w:val="0"/>
            <w:vAlign w:val="top"/>
          </w:tcPr>
          <w:p w14:paraId="5B19936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spacing w:val="-1"/>
                <w:highlight w:val="none"/>
                <w:lang w:eastAsia="zh-CN"/>
              </w:rPr>
            </w:pPr>
            <w:r>
              <w:rPr>
                <w:color w:val="auto"/>
                <w:spacing w:val="3"/>
                <w:highlight w:val="none"/>
                <w:lang w:eastAsia="zh-CN"/>
              </w:rPr>
              <w:t>①根据业主的相关管理制度建立完善的车场（库）管理、车辆停放</w:t>
            </w:r>
            <w:r>
              <w:rPr>
                <w:color w:val="auto"/>
                <w:highlight w:val="none"/>
                <w:lang w:eastAsia="zh-CN"/>
              </w:rPr>
              <w:t xml:space="preserve"> </w:t>
            </w:r>
            <w:r>
              <w:rPr>
                <w:color w:val="auto"/>
                <w:spacing w:val="3"/>
                <w:highlight w:val="none"/>
                <w:lang w:eastAsia="zh-CN"/>
              </w:rPr>
              <w:t>管理资料档案，做好相关车辆信息登记等；②车场（库）内的交通</w:t>
            </w:r>
            <w:r>
              <w:rPr>
                <w:color w:val="auto"/>
                <w:highlight w:val="none"/>
                <w:lang w:eastAsia="zh-CN"/>
              </w:rPr>
              <w:t xml:space="preserve"> </w:t>
            </w:r>
            <w:r>
              <w:rPr>
                <w:color w:val="auto"/>
                <w:spacing w:val="3"/>
                <w:highlight w:val="none"/>
                <w:lang w:eastAsia="zh-CN"/>
              </w:rPr>
              <w:t>及指示标志应清晰明显，明确各类车辆停放位置和划定区域，现场</w:t>
            </w:r>
            <w:r>
              <w:rPr>
                <w:color w:val="auto"/>
                <w:highlight w:val="none"/>
                <w:lang w:eastAsia="zh-CN"/>
              </w:rPr>
              <w:t xml:space="preserve"> </w:t>
            </w:r>
            <w:r>
              <w:rPr>
                <w:color w:val="auto"/>
                <w:spacing w:val="-6"/>
                <w:highlight w:val="none"/>
                <w:lang w:eastAsia="zh-CN"/>
              </w:rPr>
              <w:t>环境干净整洁等；③应按业主相关要求，设置</w:t>
            </w:r>
            <w:r>
              <w:rPr>
                <w:color w:val="auto"/>
                <w:spacing w:val="-42"/>
                <w:highlight w:val="none"/>
                <w:lang w:eastAsia="zh-CN"/>
              </w:rPr>
              <w:t xml:space="preserve"> </w:t>
            </w:r>
            <w:r>
              <w:rPr>
                <w:color w:val="auto"/>
                <w:spacing w:val="-6"/>
                <w:highlight w:val="none"/>
                <w:lang w:eastAsia="zh-CN"/>
              </w:rPr>
              <w:t>24</w:t>
            </w:r>
            <w:r>
              <w:rPr>
                <w:color w:val="auto"/>
                <w:spacing w:val="-40"/>
                <w:highlight w:val="none"/>
                <w:lang w:eastAsia="zh-CN"/>
              </w:rPr>
              <w:t xml:space="preserve"> </w:t>
            </w:r>
            <w:r>
              <w:rPr>
                <w:color w:val="auto"/>
                <w:spacing w:val="-6"/>
                <w:highlight w:val="none"/>
                <w:lang w:eastAsia="zh-CN"/>
              </w:rPr>
              <w:t>小时车场</w:t>
            </w:r>
            <w:r>
              <w:rPr>
                <w:color w:val="auto"/>
                <w:spacing w:val="-7"/>
                <w:highlight w:val="none"/>
                <w:lang w:eastAsia="zh-CN"/>
              </w:rPr>
              <w:t>值班岗位，</w:t>
            </w:r>
            <w:r>
              <w:rPr>
                <w:color w:val="auto"/>
                <w:spacing w:val="3"/>
                <w:highlight w:val="none"/>
                <w:lang w:eastAsia="zh-CN"/>
              </w:rPr>
              <w:t>有值班记录台账，字迹清晰，内容完整</w:t>
            </w:r>
            <w:r>
              <w:rPr>
                <w:rFonts w:hint="eastAsia"/>
                <w:color w:val="auto"/>
                <w:spacing w:val="3"/>
                <w:highlight w:val="none"/>
                <w:lang w:eastAsia="zh-CN"/>
              </w:rPr>
              <w:t>，</w:t>
            </w:r>
            <w:r>
              <w:rPr>
                <w:color w:val="auto"/>
                <w:spacing w:val="3"/>
                <w:highlight w:val="none"/>
                <w:lang w:eastAsia="zh-CN"/>
              </w:rPr>
              <w:t>值班人员应熟悉停车场</w:t>
            </w:r>
            <w:r>
              <w:rPr>
                <w:color w:val="auto"/>
                <w:highlight w:val="none"/>
                <w:lang w:eastAsia="zh-CN"/>
              </w:rPr>
              <w:t xml:space="preserve"> </w:t>
            </w:r>
            <w:r>
              <w:rPr>
                <w:color w:val="auto"/>
                <w:spacing w:val="3"/>
                <w:highlight w:val="none"/>
                <w:lang w:eastAsia="zh-CN"/>
              </w:rPr>
              <w:t>（库）的分布状况，掌握重要客户的车辆停放情况，并熟练掌握消</w:t>
            </w:r>
            <w:r>
              <w:rPr>
                <w:color w:val="auto"/>
                <w:highlight w:val="none"/>
                <w:lang w:eastAsia="zh-CN"/>
              </w:rPr>
              <w:t xml:space="preserve"> </w:t>
            </w:r>
            <w:r>
              <w:rPr>
                <w:color w:val="auto"/>
                <w:spacing w:val="3"/>
                <w:highlight w:val="none"/>
                <w:lang w:eastAsia="zh-CN"/>
              </w:rPr>
              <w:t>防设备器材的使用；④进出大楼各种车辆管理有序，无堵塞交通现</w:t>
            </w:r>
            <w:r>
              <w:rPr>
                <w:color w:val="auto"/>
                <w:spacing w:val="1"/>
                <w:highlight w:val="none"/>
                <w:lang w:eastAsia="zh-CN"/>
              </w:rPr>
              <w:t xml:space="preserve"> </w:t>
            </w:r>
            <w:r>
              <w:rPr>
                <w:color w:val="auto"/>
                <w:spacing w:val="3"/>
                <w:highlight w:val="none"/>
                <w:lang w:eastAsia="zh-CN"/>
              </w:rPr>
              <w:t>象，不影响行人通行；上下班高峰期，应及时做好停车场出入口的</w:t>
            </w:r>
            <w:r>
              <w:rPr>
                <w:color w:val="auto"/>
                <w:highlight w:val="none"/>
                <w:lang w:eastAsia="zh-CN"/>
              </w:rPr>
              <w:t xml:space="preserve"> </w:t>
            </w:r>
            <w:r>
              <w:rPr>
                <w:color w:val="auto"/>
                <w:spacing w:val="3"/>
                <w:highlight w:val="none"/>
                <w:lang w:eastAsia="zh-CN"/>
              </w:rPr>
              <w:t>车辆进出指引及疏导工作。应做好停车场区域内车辆的安全秩序管</w:t>
            </w:r>
            <w:r>
              <w:rPr>
                <w:color w:val="auto"/>
                <w:highlight w:val="none"/>
                <w:lang w:eastAsia="zh-CN"/>
              </w:rPr>
              <w:t xml:space="preserve"> </w:t>
            </w:r>
            <w:r>
              <w:rPr>
                <w:color w:val="auto"/>
                <w:spacing w:val="3"/>
                <w:highlight w:val="none"/>
                <w:lang w:eastAsia="zh-CN"/>
              </w:rPr>
              <w:t>理，同时做好停车场区域的安全巡视及检查工作。⑤如大楼外有停车场，应安排专人现场疏导，管理有序，排列整齐。⑥应定期对停</w:t>
            </w:r>
            <w:r>
              <w:rPr>
                <w:color w:val="auto"/>
                <w:spacing w:val="-1"/>
                <w:highlight w:val="none"/>
                <w:lang w:eastAsia="zh-CN"/>
              </w:rPr>
              <w:t>车场（库）的设施设备（包括车辆识别系统、车辆引导系统等）进</w:t>
            </w:r>
            <w:r>
              <w:rPr>
                <w:color w:val="auto"/>
                <w:spacing w:val="-2"/>
                <w:highlight w:val="none"/>
                <w:lang w:eastAsia="zh-CN"/>
              </w:rPr>
              <w:t>行检查，保证弯道斜视镜、限速路障和车位倒车杆等</w:t>
            </w:r>
            <w:r>
              <w:rPr>
                <w:color w:val="auto"/>
                <w:spacing w:val="-3"/>
                <w:highlight w:val="none"/>
                <w:lang w:eastAsia="zh-CN"/>
              </w:rPr>
              <w:t>设施完好无损；</w:t>
            </w:r>
            <w:r>
              <w:rPr>
                <w:color w:val="auto"/>
                <w:spacing w:val="3"/>
                <w:highlight w:val="none"/>
                <w:lang w:eastAsia="zh-CN"/>
              </w:rPr>
              <w:t>如发现有损坏情况，需及时上报维修；危及人身安全处</w:t>
            </w:r>
            <w:r>
              <w:rPr>
                <w:rFonts w:hint="eastAsia"/>
                <w:color w:val="auto"/>
                <w:spacing w:val="3"/>
                <w:highlight w:val="none"/>
                <w:lang w:eastAsia="zh-CN"/>
              </w:rPr>
              <w:t>，</w:t>
            </w:r>
            <w:r>
              <w:rPr>
                <w:color w:val="auto"/>
                <w:spacing w:val="3"/>
                <w:highlight w:val="none"/>
                <w:lang w:eastAsia="zh-CN"/>
              </w:rPr>
              <w:t>应设有明显警示标志和安全防范措施。⑦设置充电桩的停车区域，定期对配</w:t>
            </w:r>
            <w:r>
              <w:rPr>
                <w:color w:val="auto"/>
                <w:spacing w:val="-3"/>
                <w:highlight w:val="none"/>
                <w:lang w:eastAsia="zh-CN"/>
              </w:rPr>
              <w:t>套充电设施设备进行检查，确保充电桩及其相关设备情况良好，做</w:t>
            </w:r>
            <w:r>
              <w:rPr>
                <w:color w:val="auto"/>
                <w:spacing w:val="-5"/>
                <w:highlight w:val="none"/>
                <w:lang w:eastAsia="zh-CN"/>
              </w:rPr>
              <w:t>好巡查记录，发现安全隐患，</w:t>
            </w:r>
            <w:r>
              <w:rPr>
                <w:color w:val="auto"/>
                <w:spacing w:val="-17"/>
                <w:highlight w:val="none"/>
                <w:lang w:eastAsia="zh-CN"/>
              </w:rPr>
              <w:t xml:space="preserve"> </w:t>
            </w:r>
            <w:r>
              <w:rPr>
                <w:color w:val="auto"/>
                <w:spacing w:val="-5"/>
                <w:highlight w:val="none"/>
                <w:lang w:eastAsia="zh-CN"/>
              </w:rPr>
              <w:t>应立即通知维修人员，并按要求上报；</w:t>
            </w:r>
            <w:r>
              <w:rPr>
                <w:color w:val="auto"/>
                <w:spacing w:val="3"/>
                <w:highlight w:val="none"/>
                <w:lang w:eastAsia="zh-CN"/>
              </w:rPr>
              <w:t>⑧应按照相关应急处理预案（包括火警、盗警、车辆失窃、水淹车</w:t>
            </w:r>
            <w:r>
              <w:rPr>
                <w:color w:val="auto"/>
                <w:spacing w:val="4"/>
                <w:highlight w:val="none"/>
                <w:lang w:eastAsia="zh-CN"/>
              </w:rPr>
              <w:t xml:space="preserve"> </w:t>
            </w:r>
            <w:r>
              <w:rPr>
                <w:color w:val="auto"/>
                <w:spacing w:val="3"/>
                <w:highlight w:val="none"/>
                <w:lang w:eastAsia="zh-CN"/>
              </w:rPr>
              <w:t>库等）要求，做好停车场内的突发事件的应急处理，做好相关事件</w:t>
            </w:r>
            <w:r>
              <w:rPr>
                <w:color w:val="auto"/>
                <w:spacing w:val="-8"/>
                <w:highlight w:val="none"/>
                <w:lang w:eastAsia="zh-CN"/>
              </w:rPr>
              <w:t>登记， 及时向业主管理部门汇报。</w:t>
            </w:r>
          </w:p>
        </w:tc>
        <w:tc>
          <w:tcPr>
            <w:tcW w:w="1039" w:type="dxa"/>
            <w:noWrap w:val="0"/>
            <w:vAlign w:val="center"/>
          </w:tcPr>
          <w:p w14:paraId="05C6F5C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highlight w:val="none"/>
                <w:lang w:val="en-US" w:eastAsia="zh-CN"/>
              </w:rPr>
            </w:pPr>
            <w:r>
              <w:rPr>
                <w:color w:val="auto"/>
                <w:spacing w:val="-9"/>
                <w:highlight w:val="none"/>
                <w:lang w:eastAsia="zh-CN"/>
              </w:rPr>
              <w:t>全部符合</w:t>
            </w:r>
            <w:r>
              <w:rPr>
                <w:color w:val="auto"/>
                <w:spacing w:val="-35"/>
                <w:highlight w:val="none"/>
                <w:lang w:eastAsia="zh-CN"/>
              </w:rPr>
              <w:t xml:space="preserve"> </w:t>
            </w:r>
            <w:r>
              <w:rPr>
                <w:rFonts w:hint="eastAsia"/>
                <w:color w:val="auto"/>
                <w:spacing w:val="-35"/>
                <w:highlight w:val="none"/>
                <w:lang w:val="en-US" w:eastAsia="zh-CN"/>
              </w:rPr>
              <w:t>4</w:t>
            </w:r>
            <w:r>
              <w:rPr>
                <w:color w:val="auto"/>
                <w:spacing w:val="-9"/>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0.5</w:t>
            </w:r>
          </w:p>
          <w:p w14:paraId="5465FAE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spacing w:val="-2"/>
                <w:highlight w:val="none"/>
                <w:lang w:eastAsia="zh-CN"/>
              </w:rPr>
            </w:pPr>
          </w:p>
        </w:tc>
        <w:tc>
          <w:tcPr>
            <w:tcW w:w="564" w:type="dxa"/>
            <w:noWrap w:val="0"/>
            <w:vAlign w:val="top"/>
          </w:tcPr>
          <w:p w14:paraId="54DD42C1">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551" w:type="dxa"/>
            <w:noWrap w:val="0"/>
            <w:vAlign w:val="top"/>
          </w:tcPr>
          <w:p w14:paraId="42CDEA44">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430" w:type="dxa"/>
            <w:noWrap w:val="0"/>
            <w:vAlign w:val="top"/>
          </w:tcPr>
          <w:p w14:paraId="5DE7793E">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r>
      <w:tr w14:paraId="11EFC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3142360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A29CBC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spacing w:val="-3"/>
                <w:highlight w:val="none"/>
                <w:lang w:eastAsia="zh-CN"/>
              </w:rPr>
            </w:pPr>
            <w:r>
              <w:rPr>
                <w:rFonts w:hint="eastAsia"/>
                <w:color w:val="auto"/>
                <w:spacing w:val="-3"/>
                <w:highlight w:val="none"/>
                <w:lang w:eastAsia="zh-CN"/>
              </w:rPr>
              <w:t>18</w:t>
            </w:r>
          </w:p>
        </w:tc>
        <w:tc>
          <w:tcPr>
            <w:tcW w:w="530" w:type="dxa"/>
            <w:noWrap w:val="0"/>
            <w:vAlign w:val="center"/>
          </w:tcPr>
          <w:p w14:paraId="15E3BBB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13"/>
                <w:highlight w:val="none"/>
              </w:rPr>
            </w:pPr>
            <w:r>
              <w:rPr>
                <w:color w:val="auto"/>
                <w:spacing w:val="-3"/>
                <w:highlight w:val="none"/>
              </w:rPr>
              <w:t>消防安全</w:t>
            </w:r>
          </w:p>
        </w:tc>
        <w:tc>
          <w:tcPr>
            <w:tcW w:w="612" w:type="dxa"/>
            <w:noWrap w:val="0"/>
            <w:vAlign w:val="center"/>
          </w:tcPr>
          <w:p w14:paraId="74414721">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5</w:t>
            </w:r>
          </w:p>
        </w:tc>
        <w:tc>
          <w:tcPr>
            <w:tcW w:w="4486" w:type="dxa"/>
            <w:noWrap w:val="0"/>
            <w:vAlign w:val="top"/>
          </w:tcPr>
          <w:p w14:paraId="00358E4C">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firstLine="1"/>
              <w:textAlignment w:val="auto"/>
              <w:rPr>
                <w:color w:val="auto"/>
                <w:spacing w:val="-1"/>
                <w:highlight w:val="none"/>
                <w:lang w:eastAsia="zh-CN"/>
              </w:rPr>
            </w:pPr>
            <w:r>
              <w:rPr>
                <w:color w:val="auto"/>
                <w:spacing w:val="-4"/>
                <w:highlight w:val="none"/>
                <w:lang w:eastAsia="zh-CN"/>
              </w:rPr>
              <w:t>①建立完整的消防设施设备资料档案、消防管理档案；②建立</w:t>
            </w:r>
            <w:r>
              <w:rPr>
                <w:color w:val="auto"/>
                <w:spacing w:val="-41"/>
                <w:highlight w:val="none"/>
                <w:lang w:eastAsia="zh-CN"/>
              </w:rPr>
              <w:t xml:space="preserve"> </w:t>
            </w:r>
            <w:r>
              <w:rPr>
                <w:color w:val="auto"/>
                <w:spacing w:val="-4"/>
                <w:highlight w:val="none"/>
                <w:lang w:eastAsia="zh-CN"/>
              </w:rPr>
              <w:t>24</w:t>
            </w:r>
            <w:r>
              <w:rPr>
                <w:color w:val="auto"/>
                <w:spacing w:val="-39"/>
                <w:highlight w:val="none"/>
                <w:lang w:eastAsia="zh-CN"/>
              </w:rPr>
              <w:t xml:space="preserve"> </w:t>
            </w:r>
            <w:r>
              <w:rPr>
                <w:color w:val="auto"/>
                <w:spacing w:val="-4"/>
                <w:highlight w:val="none"/>
                <w:lang w:eastAsia="zh-CN"/>
              </w:rPr>
              <w:t>小</w:t>
            </w:r>
            <w:r>
              <w:rPr>
                <w:color w:val="auto"/>
                <w:spacing w:val="9"/>
                <w:highlight w:val="none"/>
                <w:lang w:eastAsia="zh-CN"/>
              </w:rPr>
              <w:t>时消防值班制度</w:t>
            </w:r>
            <w:r>
              <w:rPr>
                <w:rFonts w:hint="eastAsia"/>
                <w:color w:val="auto"/>
                <w:spacing w:val="9"/>
                <w:highlight w:val="none"/>
                <w:lang w:eastAsia="zh-CN"/>
              </w:rPr>
              <w:t>，</w:t>
            </w:r>
            <w:r>
              <w:rPr>
                <w:color w:val="auto"/>
                <w:spacing w:val="9"/>
                <w:highlight w:val="none"/>
                <w:lang w:eastAsia="zh-CN"/>
              </w:rPr>
              <w:t>有相应的值班记录</w:t>
            </w:r>
            <w:r>
              <w:rPr>
                <w:rFonts w:hint="eastAsia"/>
                <w:color w:val="auto"/>
                <w:spacing w:val="9"/>
                <w:highlight w:val="none"/>
                <w:lang w:eastAsia="zh-CN"/>
              </w:rPr>
              <w:t>，</w:t>
            </w:r>
            <w:r>
              <w:rPr>
                <w:color w:val="auto"/>
                <w:spacing w:val="9"/>
                <w:highlight w:val="none"/>
                <w:lang w:eastAsia="zh-CN"/>
              </w:rPr>
              <w:t>字迹清晰</w:t>
            </w:r>
            <w:r>
              <w:rPr>
                <w:rFonts w:hint="eastAsia"/>
                <w:color w:val="auto"/>
                <w:spacing w:val="9"/>
                <w:highlight w:val="none"/>
                <w:lang w:eastAsia="zh-CN"/>
              </w:rPr>
              <w:t>；</w:t>
            </w:r>
            <w:r>
              <w:rPr>
                <w:color w:val="auto"/>
                <w:spacing w:val="-62"/>
                <w:highlight w:val="none"/>
                <w:lang w:eastAsia="zh-CN"/>
              </w:rPr>
              <w:t xml:space="preserve"> </w:t>
            </w:r>
            <w:r>
              <w:rPr>
                <w:color w:val="auto"/>
                <w:spacing w:val="9"/>
                <w:highlight w:val="none"/>
                <w:lang w:eastAsia="zh-CN"/>
              </w:rPr>
              <w:t>③大楼内应按</w:t>
            </w:r>
            <w:r>
              <w:rPr>
                <w:color w:val="auto"/>
                <w:highlight w:val="none"/>
                <w:lang w:eastAsia="zh-CN"/>
              </w:rPr>
              <w:t xml:space="preserve"> GB</w:t>
            </w:r>
            <w:r>
              <w:rPr>
                <w:color w:val="auto"/>
                <w:spacing w:val="3"/>
                <w:highlight w:val="none"/>
                <w:lang w:eastAsia="zh-CN"/>
              </w:rPr>
              <w:t>50140的规定配置相应的消防灭火器材，及</w:t>
            </w:r>
            <w:r>
              <w:rPr>
                <w:color w:val="auto"/>
                <w:spacing w:val="2"/>
                <w:highlight w:val="none"/>
                <w:lang w:eastAsia="zh-CN"/>
              </w:rPr>
              <w:t>时更换过期消防器材</w:t>
            </w:r>
            <w:r>
              <w:rPr>
                <w:color w:val="auto"/>
                <w:spacing w:val="3"/>
                <w:highlight w:val="none"/>
                <w:lang w:eastAsia="zh-CN"/>
              </w:rPr>
              <w:t>（合同有约定由业主采购的应及时向业主申领</w:t>
            </w:r>
            <w:r>
              <w:rPr>
                <w:color w:val="auto"/>
                <w:spacing w:val="4"/>
                <w:highlight w:val="none"/>
                <w:lang w:eastAsia="zh-CN"/>
              </w:rPr>
              <w:t>）；</w:t>
            </w:r>
            <w:r>
              <w:rPr>
                <w:color w:val="auto"/>
                <w:spacing w:val="3"/>
                <w:highlight w:val="none"/>
                <w:lang w:eastAsia="zh-CN"/>
              </w:rPr>
              <w:t>④消防管理人员应掌握消防设施设备的使用方法并能及时处理各种问题；⑤如业主有聘请专业的消防维保单位，应协助业主监督消防维保单位做好大楼各类消防设施设备的维护保养；⑥组织开展消防法规及消防知识</w:t>
            </w:r>
            <w:r>
              <w:rPr>
                <w:color w:val="auto"/>
                <w:spacing w:val="2"/>
                <w:highlight w:val="none"/>
                <w:lang w:eastAsia="zh-CN"/>
              </w:rPr>
              <w:t xml:space="preserve"> </w:t>
            </w:r>
            <w:r>
              <w:rPr>
                <w:color w:val="auto"/>
                <w:spacing w:val="-2"/>
                <w:highlight w:val="none"/>
                <w:lang w:eastAsia="zh-CN"/>
              </w:rPr>
              <w:t>的宣传教育，明确各区域防火责任人</w:t>
            </w:r>
            <w:r>
              <w:rPr>
                <w:rFonts w:hint="eastAsia"/>
                <w:color w:val="auto"/>
                <w:spacing w:val="-2"/>
                <w:highlight w:val="none"/>
                <w:lang w:eastAsia="zh-CN"/>
              </w:rPr>
              <w:t>；</w:t>
            </w:r>
            <w:r>
              <w:rPr>
                <w:color w:val="auto"/>
                <w:spacing w:val="-2"/>
                <w:highlight w:val="none"/>
                <w:lang w:eastAsia="zh-CN"/>
              </w:rPr>
              <w:t>⑦订有突发火灾的应急方案，</w:t>
            </w:r>
            <w:r>
              <w:rPr>
                <w:color w:val="auto"/>
                <w:spacing w:val="3"/>
                <w:highlight w:val="none"/>
                <w:lang w:eastAsia="zh-CN"/>
              </w:rPr>
              <w:t>设立消防疏散示意图，照明设施、引路标志完好，紧急疏散通道畅</w:t>
            </w:r>
            <w:r>
              <w:rPr>
                <w:color w:val="auto"/>
                <w:spacing w:val="2"/>
                <w:highlight w:val="none"/>
                <w:lang w:eastAsia="zh-CN"/>
              </w:rPr>
              <w:t xml:space="preserve"> </w:t>
            </w:r>
            <w:r>
              <w:rPr>
                <w:color w:val="auto"/>
                <w:spacing w:val="-3"/>
                <w:highlight w:val="none"/>
                <w:lang w:eastAsia="zh-CN"/>
              </w:rPr>
              <w:t>通；⑧应组建志愿消防队，每年组织消防演练不少于 1 次；⑨无火</w:t>
            </w:r>
            <w:r>
              <w:rPr>
                <w:color w:val="auto"/>
                <w:spacing w:val="-4"/>
                <w:highlight w:val="none"/>
                <w:lang w:eastAsia="zh-CN"/>
              </w:rPr>
              <w:t>灾安全隐患等。</w:t>
            </w:r>
          </w:p>
        </w:tc>
        <w:tc>
          <w:tcPr>
            <w:tcW w:w="1039" w:type="dxa"/>
            <w:noWrap w:val="0"/>
            <w:vAlign w:val="center"/>
          </w:tcPr>
          <w:p w14:paraId="216F6FA7">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spacing w:val="-2"/>
                <w:highlight w:val="none"/>
                <w:lang w:eastAsia="zh-CN"/>
              </w:rPr>
            </w:pPr>
            <w:r>
              <w:rPr>
                <w:color w:val="auto"/>
                <w:spacing w:val="-9"/>
                <w:highlight w:val="none"/>
                <w:lang w:eastAsia="zh-CN"/>
              </w:rPr>
              <w:t>全部符合</w:t>
            </w:r>
            <w:r>
              <w:rPr>
                <w:color w:val="auto"/>
                <w:spacing w:val="-35"/>
                <w:highlight w:val="none"/>
                <w:lang w:eastAsia="zh-CN"/>
              </w:rPr>
              <w:t xml:space="preserve"> </w:t>
            </w:r>
            <w:r>
              <w:rPr>
                <w:rFonts w:hint="eastAsia"/>
                <w:color w:val="auto"/>
                <w:spacing w:val="-35"/>
                <w:highlight w:val="none"/>
                <w:lang w:val="en-US" w:eastAsia="zh-CN"/>
              </w:rPr>
              <w:t>5</w:t>
            </w:r>
            <w:r>
              <w:rPr>
                <w:color w:val="auto"/>
                <w:spacing w:val="-9"/>
                <w:highlight w:val="none"/>
                <w:lang w:eastAsia="zh-CN"/>
              </w:rPr>
              <w:t>，</w:t>
            </w:r>
            <w:r>
              <w:rPr>
                <w:color w:val="auto"/>
                <w:spacing w:val="-4"/>
                <w:highlight w:val="none"/>
                <w:lang w:eastAsia="zh-CN"/>
              </w:rPr>
              <w:t>①</w:t>
            </w:r>
            <w:r>
              <w:rPr>
                <w:rFonts w:hint="eastAsia"/>
                <w:color w:val="auto"/>
                <w:spacing w:val="-4"/>
                <w:highlight w:val="none"/>
                <w:lang w:val="en-US" w:eastAsia="zh-CN"/>
              </w:rPr>
              <w:t>-</w:t>
            </w:r>
            <w:r>
              <w:rPr>
                <w:color w:val="auto"/>
                <w:spacing w:val="-3"/>
                <w:highlight w:val="none"/>
                <w:lang w:eastAsia="zh-CN"/>
              </w:rPr>
              <w:t>⑧</w:t>
            </w:r>
            <w:r>
              <w:rPr>
                <w:color w:val="auto"/>
                <w:spacing w:val="-2"/>
                <w:highlight w:val="none"/>
                <w:lang w:eastAsia="zh-CN"/>
              </w:rPr>
              <w:t>不符合每项扣</w:t>
            </w:r>
            <w:r>
              <w:rPr>
                <w:rFonts w:hint="eastAsia"/>
                <w:color w:val="auto"/>
                <w:spacing w:val="-2"/>
                <w:highlight w:val="none"/>
                <w:lang w:val="en-US" w:eastAsia="zh-CN"/>
              </w:rPr>
              <w:t>0.5,</w:t>
            </w:r>
            <w:r>
              <w:rPr>
                <w:color w:val="auto"/>
                <w:spacing w:val="-9"/>
                <w:highlight w:val="none"/>
                <w:lang w:eastAsia="zh-CN"/>
              </w:rPr>
              <w:t>第⑨项扣</w:t>
            </w:r>
            <w:r>
              <w:rPr>
                <w:rFonts w:hint="eastAsia"/>
                <w:color w:val="auto"/>
                <w:spacing w:val="-36"/>
                <w:highlight w:val="none"/>
                <w:lang w:val="en-US" w:eastAsia="zh-CN"/>
              </w:rPr>
              <w:t>1</w:t>
            </w:r>
            <w:r>
              <w:rPr>
                <w:color w:val="auto"/>
                <w:spacing w:val="-9"/>
                <w:highlight w:val="none"/>
                <w:lang w:eastAsia="zh-CN"/>
              </w:rPr>
              <w:t>分</w:t>
            </w:r>
          </w:p>
        </w:tc>
        <w:tc>
          <w:tcPr>
            <w:tcW w:w="564" w:type="dxa"/>
            <w:noWrap w:val="0"/>
            <w:vAlign w:val="top"/>
          </w:tcPr>
          <w:p w14:paraId="2FEC12F5">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551" w:type="dxa"/>
            <w:noWrap w:val="0"/>
            <w:vAlign w:val="top"/>
          </w:tcPr>
          <w:p w14:paraId="7253AC2C">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430" w:type="dxa"/>
            <w:noWrap w:val="0"/>
            <w:vAlign w:val="top"/>
          </w:tcPr>
          <w:p w14:paraId="5BC97F42">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r>
      <w:tr w14:paraId="2E2E0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553B5A99">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olor w:val="auto"/>
                <w:spacing w:val="-3"/>
                <w:highlight w:val="none"/>
                <w:lang w:eastAsia="zh-CN"/>
              </w:rPr>
            </w:pPr>
            <w:r>
              <w:rPr>
                <w:rFonts w:hint="eastAsia"/>
                <w:color w:val="auto"/>
                <w:spacing w:val="-3"/>
                <w:highlight w:val="none"/>
                <w:lang w:eastAsia="zh-CN"/>
              </w:rPr>
              <w:t>19</w:t>
            </w:r>
          </w:p>
        </w:tc>
        <w:tc>
          <w:tcPr>
            <w:tcW w:w="530" w:type="dxa"/>
            <w:noWrap w:val="0"/>
            <w:vAlign w:val="center"/>
          </w:tcPr>
          <w:p w14:paraId="481C4FD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13"/>
                <w:highlight w:val="none"/>
              </w:rPr>
            </w:pPr>
            <w:r>
              <w:rPr>
                <w:color w:val="auto"/>
                <w:spacing w:val="-2"/>
                <w:highlight w:val="none"/>
              </w:rPr>
              <w:t>应急处理</w:t>
            </w:r>
          </w:p>
        </w:tc>
        <w:tc>
          <w:tcPr>
            <w:tcW w:w="612" w:type="dxa"/>
            <w:noWrap w:val="0"/>
            <w:vAlign w:val="center"/>
          </w:tcPr>
          <w:p w14:paraId="60288685">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default"/>
                <w:color w:val="auto"/>
                <w:highlight w:val="none"/>
                <w:lang w:val="en-US" w:eastAsia="zh-CN"/>
              </w:rPr>
              <w:t>5</w:t>
            </w:r>
          </w:p>
        </w:tc>
        <w:tc>
          <w:tcPr>
            <w:tcW w:w="4486" w:type="dxa"/>
            <w:noWrap w:val="0"/>
            <w:vAlign w:val="top"/>
          </w:tcPr>
          <w:p w14:paraId="67A9884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spacing w:val="-1"/>
                <w:highlight w:val="none"/>
                <w:lang w:eastAsia="zh-CN"/>
              </w:rPr>
            </w:pPr>
            <w:r>
              <w:rPr>
                <w:color w:val="auto"/>
                <w:spacing w:val="-9"/>
                <w:highlight w:val="none"/>
                <w:lang w:eastAsia="zh-CN"/>
              </w:rPr>
              <w:t>①发现火灾险情时，3 分钟内应有人员到达现场查看，5 分钟内应</w:t>
            </w:r>
            <w:r>
              <w:rPr>
                <w:color w:val="auto"/>
                <w:spacing w:val="-4"/>
                <w:highlight w:val="none"/>
                <w:lang w:eastAsia="zh-CN"/>
              </w:rPr>
              <w:t xml:space="preserve">有人员到达现场进行应急处理；②火灾较大时，应立即拨打 </w:t>
            </w:r>
            <w:r>
              <w:rPr>
                <w:rFonts w:hint="eastAsia"/>
                <w:color w:val="auto"/>
                <w:spacing w:val="-4"/>
                <w:highlight w:val="none"/>
                <w:lang w:eastAsia="zh-CN"/>
              </w:rPr>
              <w:t>7</w:t>
            </w:r>
            <w:r>
              <w:rPr>
                <w:color w:val="auto"/>
                <w:spacing w:val="-5"/>
                <w:highlight w:val="none"/>
                <w:lang w:eastAsia="zh-CN"/>
              </w:rPr>
              <w:t>0 并</w:t>
            </w:r>
            <w:r>
              <w:rPr>
                <w:color w:val="auto"/>
                <w:spacing w:val="2"/>
                <w:highlight w:val="none"/>
                <w:lang w:eastAsia="zh-CN"/>
              </w:rPr>
              <w:t>进行事故广播，通知物业管理区域内人员进行紧急疏散，确保无滞留人员；③应切实落实相关应急处置预案（包括自然灾害、事故灾</w:t>
            </w:r>
            <w:r>
              <w:rPr>
                <w:color w:val="auto"/>
                <w:spacing w:val="14"/>
                <w:highlight w:val="none"/>
                <w:lang w:eastAsia="zh-CN"/>
              </w:rPr>
              <w:t xml:space="preserve"> </w:t>
            </w:r>
            <w:r>
              <w:rPr>
                <w:color w:val="auto"/>
                <w:spacing w:val="-7"/>
                <w:highlight w:val="none"/>
                <w:lang w:eastAsia="zh-CN"/>
              </w:rPr>
              <w:t>害、公共卫生事件、社会安全事件、以及其他不可预见紧急事件等</w:t>
            </w:r>
            <w:r>
              <w:rPr>
                <w:color w:val="auto"/>
                <w:spacing w:val="-43"/>
                <w:highlight w:val="none"/>
                <w:lang w:eastAsia="zh-CN"/>
              </w:rPr>
              <w:t>），</w:t>
            </w:r>
            <w:r>
              <w:rPr>
                <w:color w:val="auto"/>
                <w:highlight w:val="none"/>
                <w:lang w:eastAsia="zh-CN"/>
              </w:rPr>
              <w:t xml:space="preserve"> </w:t>
            </w:r>
            <w:r>
              <w:rPr>
                <w:color w:val="auto"/>
                <w:spacing w:val="2"/>
                <w:highlight w:val="none"/>
                <w:lang w:eastAsia="zh-CN"/>
              </w:rPr>
              <w:t>及时、准确、有序处置相关应急事件；④应随时向遇难、遇危、遇</w:t>
            </w:r>
            <w:r>
              <w:rPr>
                <w:color w:val="auto"/>
                <w:spacing w:val="14"/>
                <w:highlight w:val="none"/>
                <w:lang w:eastAsia="zh-CN"/>
              </w:rPr>
              <w:t xml:space="preserve"> </w:t>
            </w:r>
            <w:r>
              <w:rPr>
                <w:color w:val="auto"/>
                <w:spacing w:val="2"/>
                <w:highlight w:val="none"/>
                <w:lang w:eastAsia="zh-CN"/>
              </w:rPr>
              <w:t>险、或遇困的人员提供紧急援助；⑤应随时向国家公安机关、消防</w:t>
            </w:r>
            <w:r>
              <w:rPr>
                <w:color w:val="auto"/>
                <w:spacing w:val="-2"/>
                <w:highlight w:val="none"/>
                <w:lang w:eastAsia="zh-CN"/>
              </w:rPr>
              <w:t>单位、以及医护人员等提供必要协助。</w:t>
            </w:r>
          </w:p>
        </w:tc>
        <w:tc>
          <w:tcPr>
            <w:tcW w:w="1039" w:type="dxa"/>
            <w:noWrap w:val="0"/>
            <w:vAlign w:val="center"/>
          </w:tcPr>
          <w:p w14:paraId="4C6F40E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592BF6E2">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spacing w:val="-2"/>
                <w:highlight w:val="none"/>
                <w:lang w:val="en-US" w:eastAsia="zh-CN"/>
              </w:rPr>
            </w:pPr>
            <w:r>
              <w:rPr>
                <w:color w:val="auto"/>
                <w:spacing w:val="-8"/>
                <w:highlight w:val="none"/>
                <w:lang w:eastAsia="zh-CN"/>
              </w:rPr>
              <w:t>全部符合</w:t>
            </w:r>
            <w:r>
              <w:rPr>
                <w:color w:val="auto"/>
                <w:spacing w:val="-42"/>
                <w:highlight w:val="none"/>
                <w:lang w:eastAsia="zh-CN"/>
              </w:rPr>
              <w:t xml:space="preserve"> </w:t>
            </w:r>
            <w:r>
              <w:rPr>
                <w:rFonts w:hint="default"/>
                <w:color w:val="auto"/>
                <w:spacing w:val="-42"/>
                <w:highlight w:val="none"/>
                <w:lang w:val="en-US" w:eastAsia="zh-CN"/>
              </w:rPr>
              <w:t>5</w:t>
            </w:r>
            <w:r>
              <w:rPr>
                <w:color w:val="auto"/>
                <w:highlight w:val="none"/>
                <w:lang w:eastAsia="zh-CN"/>
              </w:rPr>
              <w:t xml:space="preserve"> </w:t>
            </w:r>
            <w:r>
              <w:rPr>
                <w:color w:val="auto"/>
                <w:spacing w:val="-2"/>
                <w:highlight w:val="none"/>
                <w:lang w:eastAsia="zh-CN"/>
              </w:rPr>
              <w:t>不符合每项扣</w:t>
            </w:r>
            <w:r>
              <w:rPr>
                <w:rFonts w:hint="eastAsia"/>
                <w:color w:val="auto"/>
                <w:spacing w:val="-2"/>
                <w:highlight w:val="none"/>
                <w:lang w:val="en-US" w:eastAsia="zh-CN"/>
              </w:rPr>
              <w:t>1.0</w:t>
            </w:r>
          </w:p>
        </w:tc>
        <w:tc>
          <w:tcPr>
            <w:tcW w:w="564" w:type="dxa"/>
            <w:noWrap w:val="0"/>
            <w:vAlign w:val="top"/>
          </w:tcPr>
          <w:p w14:paraId="61BD1DD3">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551" w:type="dxa"/>
            <w:noWrap w:val="0"/>
            <w:vAlign w:val="top"/>
          </w:tcPr>
          <w:p w14:paraId="2754D441">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430" w:type="dxa"/>
            <w:noWrap w:val="0"/>
            <w:vAlign w:val="top"/>
          </w:tcPr>
          <w:p w14:paraId="48EC3609">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r>
      <w:tr w14:paraId="54B8D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49701F32">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spacing w:val="-3"/>
                <w:highlight w:val="none"/>
                <w:lang w:eastAsia="zh-CN"/>
              </w:rPr>
              <w:t>20</w:t>
            </w:r>
          </w:p>
        </w:tc>
        <w:tc>
          <w:tcPr>
            <w:tcW w:w="530" w:type="dxa"/>
            <w:noWrap w:val="0"/>
            <w:vAlign w:val="center"/>
          </w:tcPr>
          <w:p w14:paraId="0B0D5B6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2"/>
                <w:highlight w:val="none"/>
              </w:rPr>
              <w:t>保洁服务</w:t>
            </w:r>
          </w:p>
        </w:tc>
        <w:tc>
          <w:tcPr>
            <w:tcW w:w="612" w:type="dxa"/>
            <w:noWrap w:val="0"/>
            <w:vAlign w:val="center"/>
          </w:tcPr>
          <w:p w14:paraId="65CE91B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eastAsia="宋体"/>
                <w:color w:val="auto"/>
                <w:highlight w:val="none"/>
                <w:lang w:val="en-US" w:eastAsia="zh-CN"/>
              </w:rPr>
            </w:pPr>
            <w:r>
              <w:rPr>
                <w:rFonts w:hint="eastAsia"/>
                <w:color w:val="auto"/>
                <w:highlight w:val="none"/>
                <w:lang w:val="en-US" w:eastAsia="zh-CN"/>
              </w:rPr>
              <w:t>7</w:t>
            </w:r>
          </w:p>
        </w:tc>
        <w:tc>
          <w:tcPr>
            <w:tcW w:w="4486" w:type="dxa"/>
            <w:noWrap w:val="0"/>
            <w:vAlign w:val="top"/>
          </w:tcPr>
          <w:p w14:paraId="5E01649C">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hanging="2"/>
              <w:textAlignment w:val="auto"/>
              <w:rPr>
                <w:color w:val="auto"/>
                <w:highlight w:val="none"/>
                <w:lang w:eastAsia="zh-CN"/>
              </w:rPr>
            </w:pPr>
            <w:r>
              <w:rPr>
                <w:color w:val="auto"/>
                <w:spacing w:val="1"/>
                <w:highlight w:val="none"/>
                <w:lang w:eastAsia="zh-CN"/>
              </w:rPr>
              <w:t>①建立完善的办公楼主体、室内外范围及附属配套设施的保洁及消杀工作内各项规章制度、操作规程、工作程序、工作计划和作业指导书等；②按操作规程和标准使用卫生（保洁）洗涤工具及消毒用品；③根据合同约定提供相应的卫生用品用具（包括洗涤剂、卫生</w:t>
            </w:r>
            <w:r>
              <w:rPr>
                <w:color w:val="auto"/>
                <w:spacing w:val="-3"/>
                <w:highlight w:val="none"/>
                <w:lang w:eastAsia="zh-CN"/>
              </w:rPr>
              <w:t>纸、垃圾桶等</w:t>
            </w:r>
            <w:r>
              <w:rPr>
                <w:color w:val="auto"/>
                <w:spacing w:val="1"/>
                <w:highlight w:val="none"/>
                <w:lang w:eastAsia="zh-CN"/>
              </w:rPr>
              <w:t>），</w:t>
            </w:r>
            <w:r>
              <w:rPr>
                <w:color w:val="auto"/>
                <w:spacing w:val="-3"/>
                <w:highlight w:val="none"/>
                <w:lang w:eastAsia="zh-CN"/>
              </w:rPr>
              <w:t>应及时更换或补充易耗品等；工作记录应及时、</w:t>
            </w:r>
            <w:r>
              <w:rPr>
                <w:color w:val="auto"/>
                <w:spacing w:val="1"/>
                <w:highlight w:val="none"/>
                <w:lang w:eastAsia="zh-CN"/>
              </w:rPr>
              <w:t>清晰、完整等；</w:t>
            </w:r>
            <w:r>
              <w:rPr>
                <w:color w:val="auto"/>
                <w:spacing w:val="-3"/>
                <w:highlight w:val="none"/>
                <w:lang w:eastAsia="zh-CN"/>
              </w:rPr>
              <w:t>④</w:t>
            </w:r>
            <w:r>
              <w:rPr>
                <w:color w:val="auto"/>
                <w:spacing w:val="1"/>
                <w:highlight w:val="none"/>
                <w:lang w:eastAsia="zh-CN"/>
              </w:rPr>
              <w:t>实行卫生清洁责任制，有专职的清洁人员和明确的责任范围，实行标准化清洁保洁；⑤根据不同区域和部位实施巡回保洁</w:t>
            </w:r>
            <w:r>
              <w:rPr>
                <w:rFonts w:hint="eastAsia"/>
                <w:color w:val="auto"/>
                <w:spacing w:val="1"/>
                <w:highlight w:val="none"/>
                <w:lang w:eastAsia="zh-CN"/>
              </w:rPr>
              <w:t>，</w:t>
            </w:r>
            <w:r>
              <w:rPr>
                <w:color w:val="auto"/>
                <w:spacing w:val="2"/>
                <w:highlight w:val="none"/>
                <w:lang w:eastAsia="zh-CN"/>
              </w:rPr>
              <w:t>环境和设施无臭味、无污渍、无痕迹、无积水、</w:t>
            </w:r>
            <w:r>
              <w:rPr>
                <w:color w:val="auto"/>
                <w:spacing w:val="1"/>
                <w:highlight w:val="none"/>
                <w:lang w:eastAsia="zh-CN"/>
              </w:rPr>
              <w:t>无粉尘、无虫害、</w:t>
            </w:r>
            <w:r>
              <w:rPr>
                <w:color w:val="auto"/>
                <w:spacing w:val="2"/>
                <w:highlight w:val="none"/>
                <w:lang w:eastAsia="zh-CN"/>
              </w:rPr>
              <w:t>无污染、或无卫生死角等；</w:t>
            </w:r>
            <w:r>
              <w:rPr>
                <w:color w:val="auto"/>
                <w:spacing w:val="1"/>
                <w:highlight w:val="none"/>
                <w:lang w:eastAsia="zh-CN"/>
              </w:rPr>
              <w:t>⑥</w:t>
            </w:r>
            <w:r>
              <w:rPr>
                <w:color w:val="auto"/>
                <w:spacing w:val="2"/>
                <w:highlight w:val="none"/>
                <w:lang w:eastAsia="zh-CN"/>
              </w:rPr>
              <w:t>配备专用拖把和抹布，</w:t>
            </w:r>
            <w:r>
              <w:rPr>
                <w:color w:val="auto"/>
                <w:spacing w:val="1"/>
                <w:highlight w:val="none"/>
                <w:lang w:eastAsia="zh-CN"/>
              </w:rPr>
              <w:t>清洁工作摆放</w:t>
            </w:r>
            <w:r>
              <w:rPr>
                <w:color w:val="auto"/>
                <w:spacing w:val="-2"/>
                <w:highlight w:val="none"/>
                <w:lang w:eastAsia="zh-CN"/>
              </w:rPr>
              <w:t>规范；</w:t>
            </w:r>
            <w:r>
              <w:rPr>
                <w:color w:val="auto"/>
                <w:spacing w:val="1"/>
                <w:highlight w:val="none"/>
                <w:lang w:eastAsia="zh-CN"/>
              </w:rPr>
              <w:t>在电梯厅及主要出入口通道等位置摆放垃圾收集容器；⑦</w:t>
            </w:r>
            <w:r>
              <w:rPr>
                <w:color w:val="auto"/>
                <w:spacing w:val="-2"/>
                <w:highlight w:val="none"/>
                <w:lang w:eastAsia="zh-CN"/>
              </w:rPr>
              <w:t>实施垃圾分类，每日定期清运处理垃圾，垃圾房</w:t>
            </w:r>
            <w:r>
              <w:rPr>
                <w:color w:val="auto"/>
                <w:spacing w:val="-3"/>
                <w:highlight w:val="none"/>
                <w:lang w:eastAsia="zh-CN"/>
              </w:rPr>
              <w:t>定时消毒</w:t>
            </w:r>
            <w:r>
              <w:rPr>
                <w:color w:val="auto"/>
                <w:spacing w:val="-4"/>
                <w:highlight w:val="none"/>
                <w:lang w:eastAsia="zh-CN"/>
              </w:rPr>
              <w:t>等。注：作业范围、内容、频次和时间如合同另有规</w:t>
            </w:r>
            <w:r>
              <w:rPr>
                <w:color w:val="auto"/>
                <w:spacing w:val="-2"/>
                <w:highlight w:val="none"/>
                <w:lang w:eastAsia="zh-CN"/>
              </w:rPr>
              <w:t>定且高于上述标准的按合同执行。</w:t>
            </w:r>
          </w:p>
        </w:tc>
        <w:tc>
          <w:tcPr>
            <w:tcW w:w="1039" w:type="dxa"/>
            <w:noWrap w:val="0"/>
            <w:vAlign w:val="center"/>
          </w:tcPr>
          <w:p w14:paraId="71671720">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highlight w:val="none"/>
                <w:lang w:val="en-US" w:eastAsia="zh-CN"/>
              </w:rPr>
            </w:pPr>
            <w:r>
              <w:rPr>
                <w:color w:val="auto"/>
                <w:spacing w:val="-9"/>
                <w:highlight w:val="none"/>
                <w:lang w:eastAsia="zh-CN"/>
              </w:rPr>
              <w:t>全部符合</w:t>
            </w:r>
            <w:r>
              <w:rPr>
                <w:color w:val="auto"/>
                <w:spacing w:val="-35"/>
                <w:highlight w:val="none"/>
                <w:lang w:eastAsia="zh-CN"/>
              </w:rPr>
              <w:t xml:space="preserve"> </w:t>
            </w:r>
            <w:r>
              <w:rPr>
                <w:rFonts w:hint="eastAsia"/>
                <w:color w:val="auto"/>
                <w:spacing w:val="-9"/>
                <w:highlight w:val="none"/>
                <w:lang w:val="en-US" w:eastAsia="zh-CN"/>
              </w:rPr>
              <w:t>7</w:t>
            </w:r>
            <w:r>
              <w:rPr>
                <w:color w:val="auto"/>
                <w:spacing w:val="-9"/>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1.0</w:t>
            </w:r>
          </w:p>
        </w:tc>
        <w:tc>
          <w:tcPr>
            <w:tcW w:w="564" w:type="dxa"/>
            <w:noWrap w:val="0"/>
            <w:vAlign w:val="top"/>
          </w:tcPr>
          <w:p w14:paraId="785CBFAD">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551" w:type="dxa"/>
            <w:noWrap w:val="0"/>
            <w:vAlign w:val="top"/>
          </w:tcPr>
          <w:p w14:paraId="386974A9">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430" w:type="dxa"/>
            <w:noWrap w:val="0"/>
            <w:vAlign w:val="top"/>
          </w:tcPr>
          <w:p w14:paraId="0D2C42A3">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r>
      <w:tr w14:paraId="2A9E4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1A8E3CF8">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color w:val="auto"/>
                <w:spacing w:val="-3"/>
                <w:highlight w:val="none"/>
              </w:rPr>
              <w:t>2</w:t>
            </w:r>
            <w:r>
              <w:rPr>
                <w:rFonts w:hint="eastAsia"/>
                <w:color w:val="auto"/>
                <w:spacing w:val="-3"/>
                <w:highlight w:val="none"/>
                <w:lang w:eastAsia="zh-CN"/>
              </w:rPr>
              <w:t>1</w:t>
            </w:r>
          </w:p>
        </w:tc>
        <w:tc>
          <w:tcPr>
            <w:tcW w:w="530" w:type="dxa"/>
            <w:noWrap w:val="0"/>
            <w:vAlign w:val="center"/>
          </w:tcPr>
          <w:p w14:paraId="69647D61">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r>
              <w:rPr>
                <w:color w:val="auto"/>
                <w:spacing w:val="-2"/>
                <w:highlight w:val="none"/>
              </w:rPr>
              <w:t>专项清洁</w:t>
            </w:r>
          </w:p>
        </w:tc>
        <w:tc>
          <w:tcPr>
            <w:tcW w:w="612" w:type="dxa"/>
            <w:noWrap w:val="0"/>
            <w:vAlign w:val="center"/>
          </w:tcPr>
          <w:p w14:paraId="244504A0">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eastAsia="宋体"/>
                <w:color w:val="auto"/>
                <w:highlight w:val="none"/>
                <w:lang w:eastAsia="zh-CN"/>
              </w:rPr>
            </w:pPr>
            <w:r>
              <w:rPr>
                <w:rFonts w:hint="eastAsia"/>
                <w:color w:val="auto"/>
                <w:highlight w:val="none"/>
                <w:lang w:val="en-US" w:eastAsia="zh-CN"/>
              </w:rPr>
              <w:t>7</w:t>
            </w:r>
          </w:p>
        </w:tc>
        <w:tc>
          <w:tcPr>
            <w:tcW w:w="4486" w:type="dxa"/>
            <w:noWrap w:val="0"/>
            <w:vAlign w:val="top"/>
          </w:tcPr>
          <w:p w14:paraId="3CD335C1">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firstLine="6"/>
              <w:textAlignment w:val="auto"/>
              <w:rPr>
                <w:color w:val="auto"/>
                <w:spacing w:val="-3"/>
                <w:highlight w:val="none"/>
                <w:lang w:eastAsia="zh-CN"/>
              </w:rPr>
            </w:pPr>
            <w:r>
              <w:rPr>
                <w:color w:val="auto"/>
                <w:spacing w:val="-3"/>
                <w:highlight w:val="none"/>
                <w:lang w:eastAsia="zh-CN"/>
              </w:rPr>
              <w:t>（1）</w:t>
            </w:r>
            <w:r>
              <w:rPr>
                <w:color w:val="auto"/>
                <w:spacing w:val="-10"/>
                <w:highlight w:val="none"/>
                <w:lang w:eastAsia="zh-CN"/>
              </w:rPr>
              <w:t>洗手间清洁： ①洗手间每日间隔</w:t>
            </w:r>
            <w:r>
              <w:rPr>
                <w:color w:val="auto"/>
                <w:spacing w:val="-27"/>
                <w:highlight w:val="none"/>
                <w:lang w:eastAsia="zh-CN"/>
              </w:rPr>
              <w:t xml:space="preserve"> </w:t>
            </w:r>
            <w:r>
              <w:rPr>
                <w:color w:val="auto"/>
                <w:spacing w:val="-10"/>
                <w:highlight w:val="none"/>
                <w:lang w:eastAsia="zh-CN"/>
              </w:rPr>
              <w:t>2</w:t>
            </w:r>
            <w:r>
              <w:rPr>
                <w:color w:val="auto"/>
                <w:spacing w:val="-38"/>
                <w:highlight w:val="none"/>
                <w:lang w:eastAsia="zh-CN"/>
              </w:rPr>
              <w:t xml:space="preserve"> </w:t>
            </w:r>
            <w:r>
              <w:rPr>
                <w:color w:val="auto"/>
                <w:spacing w:val="-10"/>
                <w:highlight w:val="none"/>
                <w:lang w:eastAsia="zh-CN"/>
              </w:rPr>
              <w:t>小时进行巡回保洁，无垃圾、</w:t>
            </w:r>
            <w:r>
              <w:rPr>
                <w:color w:val="auto"/>
                <w:spacing w:val="-8"/>
                <w:highlight w:val="none"/>
                <w:lang w:eastAsia="zh-CN"/>
              </w:rPr>
              <w:t>无污渍、无积水，干爽、整洁，定时消毒；</w:t>
            </w:r>
            <w:r>
              <w:rPr>
                <w:color w:val="auto"/>
                <w:spacing w:val="-25"/>
                <w:highlight w:val="none"/>
                <w:lang w:eastAsia="zh-CN"/>
              </w:rPr>
              <w:t xml:space="preserve"> </w:t>
            </w:r>
            <w:r>
              <w:rPr>
                <w:color w:val="auto"/>
                <w:spacing w:val="-8"/>
                <w:highlight w:val="none"/>
                <w:lang w:eastAsia="zh-CN"/>
              </w:rPr>
              <w:t>②配备专用拖把和抹布，</w:t>
            </w:r>
            <w:r>
              <w:rPr>
                <w:color w:val="auto"/>
                <w:spacing w:val="1"/>
                <w:highlight w:val="none"/>
                <w:lang w:eastAsia="zh-CN"/>
              </w:rPr>
              <w:t>清洁工作摆放规范；③现场环境无恶臭，地面、洗手台面无积水、</w:t>
            </w:r>
            <w:r>
              <w:rPr>
                <w:color w:val="auto"/>
                <w:spacing w:val="2"/>
                <w:highlight w:val="none"/>
                <w:lang w:eastAsia="zh-CN"/>
              </w:rPr>
              <w:t>杂物，墙（镜）面整洁明亮；④垃圾桶无外溢，马桶、便池冲洗干</w:t>
            </w:r>
            <w:r>
              <w:rPr>
                <w:color w:val="auto"/>
                <w:spacing w:val="-4"/>
                <w:highlight w:val="none"/>
                <w:lang w:eastAsia="zh-CN"/>
              </w:rPr>
              <w:t>净、无堵塞，定期消毒；⑤及时补充易耗品等。注：作业频次和时</w:t>
            </w:r>
            <w:r>
              <w:rPr>
                <w:color w:val="auto"/>
                <w:spacing w:val="-3"/>
                <w:highlight w:val="none"/>
                <w:lang w:eastAsia="zh-CN"/>
              </w:rPr>
              <w:t>间如合同另有规定且高于上述标准的按合同执行。</w:t>
            </w:r>
          </w:p>
          <w:p w14:paraId="49BC9E6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firstLine="6"/>
              <w:textAlignment w:val="auto"/>
              <w:rPr>
                <w:color w:val="auto"/>
                <w:spacing w:val="-3"/>
                <w:highlight w:val="none"/>
                <w:lang w:eastAsia="zh-CN"/>
              </w:rPr>
            </w:pPr>
            <w:r>
              <w:rPr>
                <w:color w:val="auto"/>
                <w:spacing w:val="-1"/>
                <w:highlight w:val="none"/>
                <w:lang w:eastAsia="zh-CN"/>
              </w:rPr>
              <w:t>（2）停车场（车库）清洁：①停车场每日至少</w:t>
            </w:r>
            <w:r>
              <w:rPr>
                <w:color w:val="auto"/>
                <w:spacing w:val="-44"/>
                <w:highlight w:val="none"/>
                <w:lang w:eastAsia="zh-CN"/>
              </w:rPr>
              <w:t xml:space="preserve"> </w:t>
            </w:r>
            <w:r>
              <w:rPr>
                <w:color w:val="auto"/>
                <w:spacing w:val="-1"/>
                <w:highlight w:val="none"/>
                <w:lang w:eastAsia="zh-CN"/>
              </w:rPr>
              <w:t>2</w:t>
            </w:r>
            <w:r>
              <w:rPr>
                <w:color w:val="auto"/>
                <w:spacing w:val="-38"/>
                <w:highlight w:val="none"/>
                <w:lang w:eastAsia="zh-CN"/>
              </w:rPr>
              <w:t xml:space="preserve"> </w:t>
            </w:r>
            <w:r>
              <w:rPr>
                <w:color w:val="auto"/>
                <w:spacing w:val="-1"/>
                <w:highlight w:val="none"/>
                <w:lang w:eastAsia="zh-CN"/>
              </w:rPr>
              <w:t>次进</w:t>
            </w:r>
            <w:r>
              <w:rPr>
                <w:color w:val="auto"/>
                <w:spacing w:val="-2"/>
                <w:highlight w:val="none"/>
                <w:lang w:eastAsia="zh-CN"/>
              </w:rPr>
              <w:t>行巡回保洁，</w:t>
            </w:r>
            <w:r>
              <w:rPr>
                <w:color w:val="auto"/>
                <w:spacing w:val="3"/>
                <w:highlight w:val="none"/>
                <w:lang w:eastAsia="zh-CN"/>
              </w:rPr>
              <w:t>现场无明显油迹、无杂物、烟蒂、纸屑等，干净、整洁；②每日定</w:t>
            </w:r>
            <w:r>
              <w:rPr>
                <w:color w:val="auto"/>
                <w:spacing w:val="-4"/>
                <w:highlight w:val="none"/>
                <w:lang w:eastAsia="zh-CN"/>
              </w:rPr>
              <w:t>期清理地面及坡道路面的垃圾、杂物等，</w:t>
            </w:r>
            <w:r>
              <w:rPr>
                <w:color w:val="auto"/>
                <w:spacing w:val="-41"/>
                <w:highlight w:val="none"/>
                <w:lang w:eastAsia="zh-CN"/>
              </w:rPr>
              <w:t xml:space="preserve"> </w:t>
            </w:r>
            <w:r>
              <w:rPr>
                <w:color w:val="auto"/>
                <w:spacing w:val="-4"/>
                <w:highlight w:val="none"/>
                <w:lang w:eastAsia="zh-CN"/>
              </w:rPr>
              <w:t>及时</w:t>
            </w:r>
            <w:r>
              <w:rPr>
                <w:color w:val="auto"/>
                <w:spacing w:val="-5"/>
                <w:highlight w:val="none"/>
                <w:lang w:eastAsia="zh-CN"/>
              </w:rPr>
              <w:t>清倒垃圾（不超过</w:t>
            </w:r>
            <w:r>
              <w:rPr>
                <w:color w:val="auto"/>
                <w:spacing w:val="-41"/>
                <w:highlight w:val="none"/>
                <w:lang w:eastAsia="zh-CN"/>
              </w:rPr>
              <w:t xml:space="preserve"> </w:t>
            </w:r>
            <w:r>
              <w:rPr>
                <w:color w:val="auto"/>
                <w:spacing w:val="-5"/>
                <w:highlight w:val="none"/>
                <w:lang w:eastAsia="zh-CN"/>
              </w:rPr>
              <w:t>2/3</w:t>
            </w:r>
            <w:r>
              <w:rPr>
                <w:color w:val="auto"/>
                <w:highlight w:val="none"/>
                <w:lang w:eastAsia="zh-CN"/>
              </w:rPr>
              <w:t xml:space="preserve"> </w:t>
            </w:r>
            <w:r>
              <w:rPr>
                <w:color w:val="auto"/>
                <w:spacing w:val="-3"/>
                <w:highlight w:val="none"/>
                <w:lang w:eastAsia="zh-CN"/>
              </w:rPr>
              <w:t>垃圾桶容量</w:t>
            </w:r>
            <w:r>
              <w:rPr>
                <w:color w:val="auto"/>
                <w:spacing w:val="-39"/>
                <w:highlight w:val="none"/>
                <w:lang w:eastAsia="zh-CN"/>
              </w:rPr>
              <w:t>）；</w:t>
            </w:r>
            <w:r>
              <w:rPr>
                <w:color w:val="auto"/>
                <w:spacing w:val="-23"/>
                <w:highlight w:val="none"/>
                <w:lang w:eastAsia="zh-CN"/>
              </w:rPr>
              <w:t xml:space="preserve"> </w:t>
            </w:r>
            <w:r>
              <w:rPr>
                <w:color w:val="auto"/>
                <w:spacing w:val="-3"/>
                <w:highlight w:val="none"/>
                <w:lang w:eastAsia="zh-CN"/>
              </w:rPr>
              <w:t>③每周清洗车库地面 1 次，</w:t>
            </w:r>
            <w:r>
              <w:rPr>
                <w:color w:val="auto"/>
                <w:spacing w:val="-29"/>
                <w:highlight w:val="none"/>
                <w:lang w:eastAsia="zh-CN"/>
              </w:rPr>
              <w:t xml:space="preserve"> </w:t>
            </w:r>
            <w:r>
              <w:rPr>
                <w:color w:val="auto"/>
                <w:spacing w:val="-3"/>
                <w:highlight w:val="none"/>
                <w:lang w:eastAsia="zh-CN"/>
              </w:rPr>
              <w:t>清洗车辆出入口、车辆</w:t>
            </w:r>
            <w:r>
              <w:rPr>
                <w:color w:val="auto"/>
                <w:highlight w:val="none"/>
                <w:lang w:eastAsia="zh-CN"/>
              </w:rPr>
              <w:t>通道以及车位等；④每月清理积水沟、渠及集水井 1</w:t>
            </w:r>
            <w:r>
              <w:rPr>
                <w:color w:val="auto"/>
                <w:spacing w:val="-1"/>
                <w:highlight w:val="none"/>
                <w:lang w:eastAsia="zh-CN"/>
              </w:rPr>
              <w:t xml:space="preserve"> 次；⑤在清拖</w:t>
            </w:r>
            <w:r>
              <w:rPr>
                <w:color w:val="auto"/>
                <w:spacing w:val="3"/>
                <w:highlight w:val="none"/>
                <w:lang w:eastAsia="zh-CN"/>
              </w:rPr>
              <w:t>地下车库主要出入通道时，要避免在上下班高峰期作业，作业期间</w:t>
            </w:r>
            <w:r>
              <w:rPr>
                <w:color w:val="auto"/>
                <w:spacing w:val="-3"/>
                <w:highlight w:val="none"/>
                <w:lang w:eastAsia="zh-CN"/>
              </w:rPr>
              <w:t>按要求穿戴反光衣，及时避让来往车辆。注：作业频次和时间如合</w:t>
            </w:r>
            <w:r>
              <w:rPr>
                <w:color w:val="auto"/>
                <w:spacing w:val="-2"/>
                <w:highlight w:val="none"/>
                <w:lang w:eastAsia="zh-CN"/>
              </w:rPr>
              <w:t>同另有规定且高于上述标准的按合同执行。</w:t>
            </w:r>
          </w:p>
        </w:tc>
        <w:tc>
          <w:tcPr>
            <w:tcW w:w="1039" w:type="dxa"/>
            <w:noWrap w:val="0"/>
            <w:vAlign w:val="center"/>
          </w:tcPr>
          <w:p w14:paraId="0A9B358B">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highlight w:val="none"/>
                <w:lang w:val="en-US" w:eastAsia="zh-CN"/>
              </w:rPr>
            </w:pPr>
            <w:r>
              <w:rPr>
                <w:color w:val="auto"/>
                <w:spacing w:val="-9"/>
                <w:highlight w:val="none"/>
                <w:lang w:eastAsia="zh-CN"/>
              </w:rPr>
              <w:t>全部符合</w:t>
            </w:r>
            <w:r>
              <w:rPr>
                <w:color w:val="auto"/>
                <w:spacing w:val="-35"/>
                <w:highlight w:val="none"/>
                <w:lang w:eastAsia="zh-CN"/>
              </w:rPr>
              <w:t xml:space="preserve"> </w:t>
            </w:r>
            <w:r>
              <w:rPr>
                <w:rFonts w:hint="eastAsia"/>
                <w:color w:val="auto"/>
                <w:spacing w:val="-35"/>
                <w:highlight w:val="none"/>
                <w:lang w:val="en-US" w:eastAsia="zh-CN"/>
              </w:rPr>
              <w:t>7</w:t>
            </w:r>
            <w:r>
              <w:rPr>
                <w:color w:val="auto"/>
                <w:spacing w:val="-9"/>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0.7</w:t>
            </w:r>
          </w:p>
        </w:tc>
        <w:tc>
          <w:tcPr>
            <w:tcW w:w="564" w:type="dxa"/>
            <w:noWrap w:val="0"/>
            <w:vAlign w:val="top"/>
          </w:tcPr>
          <w:p w14:paraId="07BE71B0">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p>
        </w:tc>
        <w:tc>
          <w:tcPr>
            <w:tcW w:w="551" w:type="dxa"/>
            <w:noWrap w:val="0"/>
            <w:vAlign w:val="center"/>
          </w:tcPr>
          <w:p w14:paraId="125A71B7">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center"/>
          </w:tcPr>
          <w:p w14:paraId="750BCC6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1CC6F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6A109CD7">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spacing w:val="-3"/>
                <w:highlight w:val="none"/>
                <w:lang w:eastAsia="zh-CN"/>
              </w:rPr>
              <w:t>22</w:t>
            </w:r>
          </w:p>
        </w:tc>
        <w:tc>
          <w:tcPr>
            <w:tcW w:w="530" w:type="dxa"/>
            <w:noWrap w:val="0"/>
            <w:vAlign w:val="center"/>
          </w:tcPr>
          <w:p w14:paraId="287AAEF5">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r>
              <w:rPr>
                <w:color w:val="auto"/>
                <w:spacing w:val="-2"/>
                <w:position w:val="12"/>
                <w:highlight w:val="none"/>
                <w:lang w:eastAsia="zh-CN"/>
              </w:rPr>
              <w:t>公共卫生事件</w:t>
            </w:r>
          </w:p>
          <w:p w14:paraId="427C022B">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r>
              <w:rPr>
                <w:color w:val="auto"/>
                <w:spacing w:val="-2"/>
                <w:highlight w:val="none"/>
                <w:lang w:eastAsia="zh-CN"/>
              </w:rPr>
              <w:t>应急处理</w:t>
            </w:r>
          </w:p>
        </w:tc>
        <w:tc>
          <w:tcPr>
            <w:tcW w:w="612" w:type="dxa"/>
            <w:noWrap w:val="0"/>
            <w:vAlign w:val="center"/>
          </w:tcPr>
          <w:p w14:paraId="79F5D4A7">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rFonts w:hint="eastAsia"/>
                <w:color w:val="auto"/>
                <w:highlight w:val="none"/>
                <w:lang w:val="en-US" w:eastAsia="zh-CN"/>
              </w:rPr>
              <w:t>4</w:t>
            </w:r>
          </w:p>
        </w:tc>
        <w:tc>
          <w:tcPr>
            <w:tcW w:w="4486" w:type="dxa"/>
            <w:noWrap w:val="0"/>
            <w:vAlign w:val="top"/>
          </w:tcPr>
          <w:p w14:paraId="54BCFFA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hanging="3"/>
              <w:textAlignment w:val="auto"/>
              <w:rPr>
                <w:color w:val="auto"/>
                <w:highlight w:val="none"/>
                <w:lang w:eastAsia="zh-CN"/>
              </w:rPr>
            </w:pPr>
            <w:r>
              <w:rPr>
                <w:color w:val="auto"/>
                <w:spacing w:val="3"/>
                <w:highlight w:val="none"/>
                <w:lang w:eastAsia="zh-CN"/>
              </w:rPr>
              <w:t>①应制定完善的公共卫生事件应急处置预案。管控区域内若发生传</w:t>
            </w:r>
            <w:r>
              <w:rPr>
                <w:color w:val="auto"/>
                <w:spacing w:val="8"/>
                <w:highlight w:val="none"/>
                <w:lang w:eastAsia="zh-CN"/>
              </w:rPr>
              <w:t xml:space="preserve"> </w:t>
            </w:r>
            <w:r>
              <w:rPr>
                <w:color w:val="auto"/>
                <w:spacing w:val="3"/>
                <w:highlight w:val="none"/>
                <w:lang w:eastAsia="zh-CN"/>
              </w:rPr>
              <w:t>染性疫病或有毒性物品泄露等公共卫生安全事件，第一时间启动应</w:t>
            </w:r>
            <w:r>
              <w:rPr>
                <w:color w:val="auto"/>
                <w:spacing w:val="5"/>
                <w:highlight w:val="none"/>
                <w:lang w:eastAsia="zh-CN"/>
              </w:rPr>
              <w:t xml:space="preserve"> </w:t>
            </w:r>
            <w:r>
              <w:rPr>
                <w:color w:val="auto"/>
                <w:spacing w:val="3"/>
                <w:highlight w:val="none"/>
                <w:lang w:eastAsia="zh-CN"/>
              </w:rPr>
              <w:t>急处置预案响应，控制事件扩散，上报相关情况，配合业主或政府</w:t>
            </w:r>
            <w:r>
              <w:rPr>
                <w:color w:val="auto"/>
                <w:spacing w:val="5"/>
                <w:highlight w:val="none"/>
                <w:lang w:eastAsia="zh-CN"/>
              </w:rPr>
              <w:t xml:space="preserve"> </w:t>
            </w:r>
            <w:r>
              <w:rPr>
                <w:color w:val="auto"/>
                <w:spacing w:val="3"/>
                <w:highlight w:val="none"/>
                <w:lang w:eastAsia="zh-CN"/>
              </w:rPr>
              <w:t>部门做好相关工作；②日常做好相关防疫物资储备，根据相关防疫工作要求，对管理区域实施环境消毒和人员防护；③加强人员进出管理，按相关规定和要求查验进出人员的健康信息，必要时应减少</w:t>
            </w:r>
            <w:r>
              <w:rPr>
                <w:color w:val="auto"/>
                <w:spacing w:val="2"/>
                <w:highlight w:val="none"/>
                <w:lang w:eastAsia="zh-CN"/>
              </w:rPr>
              <w:t xml:space="preserve"> </w:t>
            </w:r>
            <w:r>
              <w:rPr>
                <w:color w:val="auto"/>
                <w:spacing w:val="3"/>
                <w:highlight w:val="none"/>
                <w:lang w:eastAsia="zh-CN"/>
              </w:rPr>
              <w:t>办公楼出入口或限制和规定人员通行通道；④应急管理期间，物业 管理处应加强管理人员力量，增加防控人员，确保严防死守的工作</w:t>
            </w:r>
          </w:p>
          <w:p w14:paraId="05B5B001">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r>
              <w:rPr>
                <w:color w:val="auto"/>
                <w:spacing w:val="-11"/>
                <w:highlight w:val="none"/>
              </w:rPr>
              <w:t>需要。</w:t>
            </w:r>
          </w:p>
        </w:tc>
        <w:tc>
          <w:tcPr>
            <w:tcW w:w="1039" w:type="dxa"/>
            <w:noWrap w:val="0"/>
            <w:vAlign w:val="center"/>
          </w:tcPr>
          <w:p w14:paraId="334D6BD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p w14:paraId="0E49F40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highlight w:val="none"/>
                <w:lang w:val="en-US" w:eastAsia="zh-CN"/>
              </w:rPr>
            </w:pPr>
            <w:r>
              <w:rPr>
                <w:color w:val="auto"/>
                <w:spacing w:val="-9"/>
                <w:highlight w:val="none"/>
                <w:lang w:eastAsia="zh-CN"/>
              </w:rPr>
              <w:t>全部符合</w:t>
            </w:r>
            <w:r>
              <w:rPr>
                <w:color w:val="auto"/>
                <w:spacing w:val="-35"/>
                <w:highlight w:val="none"/>
                <w:lang w:eastAsia="zh-CN"/>
              </w:rPr>
              <w:t xml:space="preserve"> </w:t>
            </w:r>
            <w:r>
              <w:rPr>
                <w:rFonts w:hint="eastAsia"/>
                <w:color w:val="auto"/>
                <w:spacing w:val="-35"/>
                <w:highlight w:val="none"/>
                <w:lang w:val="en-US" w:eastAsia="zh-CN"/>
              </w:rPr>
              <w:t>4</w:t>
            </w:r>
            <w:r>
              <w:rPr>
                <w:color w:val="auto"/>
                <w:spacing w:val="-9"/>
                <w:highlight w:val="none"/>
                <w:lang w:eastAsia="zh-CN"/>
              </w:rPr>
              <w:t>，</w:t>
            </w:r>
            <w:r>
              <w:rPr>
                <w:color w:val="auto"/>
                <w:spacing w:val="-2"/>
                <w:highlight w:val="none"/>
                <w:lang w:eastAsia="zh-CN"/>
              </w:rPr>
              <w:t>不符合每项扣</w:t>
            </w:r>
            <w:r>
              <w:rPr>
                <w:rFonts w:hint="eastAsia"/>
                <w:color w:val="auto"/>
                <w:spacing w:val="-2"/>
                <w:highlight w:val="none"/>
                <w:lang w:val="en-US" w:eastAsia="zh-CN"/>
              </w:rPr>
              <w:t>1.0</w:t>
            </w:r>
          </w:p>
        </w:tc>
        <w:tc>
          <w:tcPr>
            <w:tcW w:w="564" w:type="dxa"/>
            <w:noWrap w:val="0"/>
            <w:vAlign w:val="top"/>
          </w:tcPr>
          <w:p w14:paraId="6CCAE0AD">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lang w:eastAsia="zh-CN"/>
              </w:rPr>
            </w:pPr>
          </w:p>
        </w:tc>
        <w:tc>
          <w:tcPr>
            <w:tcW w:w="551" w:type="dxa"/>
            <w:noWrap w:val="0"/>
            <w:vAlign w:val="center"/>
          </w:tcPr>
          <w:p w14:paraId="63DB35F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c>
          <w:tcPr>
            <w:tcW w:w="430" w:type="dxa"/>
            <w:noWrap w:val="0"/>
            <w:vAlign w:val="center"/>
          </w:tcPr>
          <w:p w14:paraId="1333D4A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lang w:eastAsia="zh-CN"/>
              </w:rPr>
            </w:pPr>
          </w:p>
        </w:tc>
      </w:tr>
      <w:tr w14:paraId="3E3DE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72BEB56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color w:val="auto"/>
                <w:spacing w:val="-2"/>
                <w:highlight w:val="none"/>
              </w:rPr>
              <w:t>合计</w:t>
            </w:r>
          </w:p>
        </w:tc>
        <w:tc>
          <w:tcPr>
            <w:tcW w:w="530" w:type="dxa"/>
            <w:noWrap w:val="0"/>
            <w:vAlign w:val="center"/>
          </w:tcPr>
          <w:p w14:paraId="5842A48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highlight w:val="none"/>
              </w:rPr>
            </w:pPr>
          </w:p>
        </w:tc>
        <w:tc>
          <w:tcPr>
            <w:tcW w:w="612" w:type="dxa"/>
            <w:noWrap w:val="0"/>
            <w:vAlign w:val="center"/>
          </w:tcPr>
          <w:p w14:paraId="5B52D530">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color w:val="auto"/>
                <w:highlight w:val="none"/>
                <w:lang w:eastAsia="zh-CN"/>
              </w:rPr>
            </w:pPr>
            <w:r>
              <w:rPr>
                <w:color w:val="auto"/>
                <w:spacing w:val="-5"/>
                <w:highlight w:val="none"/>
              </w:rPr>
              <w:t>100</w:t>
            </w:r>
          </w:p>
        </w:tc>
        <w:tc>
          <w:tcPr>
            <w:tcW w:w="4486" w:type="dxa"/>
            <w:noWrap w:val="0"/>
            <w:vAlign w:val="top"/>
          </w:tcPr>
          <w:p w14:paraId="6E21C554">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eastAsia="宋体"/>
                <w:color w:val="auto"/>
                <w:highlight w:val="none"/>
                <w:lang w:eastAsia="zh-CN"/>
              </w:rPr>
            </w:pPr>
            <w:r>
              <w:rPr>
                <w:rFonts w:hint="eastAsia"/>
                <w:color w:val="auto"/>
                <w:highlight w:val="none"/>
                <w:lang w:eastAsia="zh-CN"/>
              </w:rPr>
              <w:t>（如有加分，</w:t>
            </w:r>
            <w:r>
              <w:rPr>
                <w:color w:val="auto"/>
                <w:spacing w:val="-9"/>
                <w:highlight w:val="none"/>
                <w:lang w:eastAsia="zh-CN"/>
              </w:rPr>
              <w:t>考评</w:t>
            </w:r>
            <w:r>
              <w:rPr>
                <w:rFonts w:hint="eastAsia"/>
                <w:color w:val="auto"/>
                <w:spacing w:val="-9"/>
                <w:highlight w:val="none"/>
                <w:lang w:eastAsia="zh-CN"/>
              </w:rPr>
              <w:t>总</w:t>
            </w:r>
            <w:r>
              <w:rPr>
                <w:color w:val="auto"/>
                <w:spacing w:val="-9"/>
                <w:highlight w:val="none"/>
                <w:lang w:eastAsia="zh-CN"/>
              </w:rPr>
              <w:t>分值</w:t>
            </w:r>
            <w:r>
              <w:rPr>
                <w:rFonts w:hint="eastAsia"/>
                <w:color w:val="auto"/>
                <w:highlight w:val="none"/>
                <w:lang w:eastAsia="zh-CN"/>
              </w:rPr>
              <w:t>超过</w:t>
            </w:r>
            <w:r>
              <w:rPr>
                <w:rFonts w:hint="eastAsia"/>
                <w:color w:val="auto"/>
                <w:highlight w:val="none"/>
                <w:lang w:val="en-US" w:eastAsia="zh-CN"/>
              </w:rPr>
              <w:t>100分按100分计算。</w:t>
            </w:r>
            <w:r>
              <w:rPr>
                <w:rFonts w:hint="eastAsia"/>
                <w:color w:val="auto"/>
                <w:highlight w:val="none"/>
                <w:lang w:eastAsia="zh-CN"/>
              </w:rPr>
              <w:t>）</w:t>
            </w:r>
          </w:p>
        </w:tc>
        <w:tc>
          <w:tcPr>
            <w:tcW w:w="1039" w:type="dxa"/>
            <w:noWrap w:val="0"/>
            <w:vAlign w:val="top"/>
          </w:tcPr>
          <w:p w14:paraId="31BF79D6">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color w:val="auto"/>
                <w:highlight w:val="none"/>
              </w:rPr>
            </w:pPr>
          </w:p>
        </w:tc>
        <w:tc>
          <w:tcPr>
            <w:tcW w:w="564" w:type="dxa"/>
            <w:noWrap w:val="0"/>
            <w:vAlign w:val="top"/>
          </w:tcPr>
          <w:p w14:paraId="0F1BFA34">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551" w:type="dxa"/>
            <w:noWrap w:val="0"/>
            <w:vAlign w:val="top"/>
          </w:tcPr>
          <w:p w14:paraId="744238DC">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c>
          <w:tcPr>
            <w:tcW w:w="430" w:type="dxa"/>
            <w:noWrap w:val="0"/>
            <w:vAlign w:val="top"/>
          </w:tcPr>
          <w:p w14:paraId="40D95854">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color w:val="auto"/>
                <w:highlight w:val="none"/>
              </w:rPr>
            </w:pPr>
          </w:p>
        </w:tc>
      </w:tr>
      <w:tr w14:paraId="67861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1" w:type="dxa"/>
            <w:noWrap w:val="0"/>
            <w:vAlign w:val="center"/>
          </w:tcPr>
          <w:p w14:paraId="598A64D4">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pacing w:val="-3"/>
                <w:highlight w:val="none"/>
              </w:rPr>
            </w:pPr>
            <w:r>
              <w:rPr>
                <w:color w:val="auto"/>
                <w:spacing w:val="-3"/>
                <w:highlight w:val="none"/>
              </w:rPr>
              <w:t>说明</w:t>
            </w:r>
          </w:p>
        </w:tc>
        <w:tc>
          <w:tcPr>
            <w:tcW w:w="8212" w:type="dxa"/>
            <w:gridSpan w:val="7"/>
            <w:noWrap w:val="0"/>
            <w:vAlign w:val="top"/>
          </w:tcPr>
          <w:p w14:paraId="552BB1CA">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color w:val="auto"/>
                <w:highlight w:val="none"/>
                <w:lang w:eastAsia="zh-CN"/>
              </w:rPr>
            </w:pPr>
            <w:r>
              <w:rPr>
                <w:color w:val="auto"/>
                <w:spacing w:val="-3"/>
                <w:position w:val="12"/>
                <w:highlight w:val="none"/>
                <w:lang w:eastAsia="zh-CN"/>
              </w:rPr>
              <w:t>1、扣分说明： 如当月出现扣分项，但已过整改期限未整改完成且未提交相关情况说明，或次月再次出现相同问</w:t>
            </w:r>
            <w:r>
              <w:rPr>
                <w:color w:val="auto"/>
                <w:spacing w:val="-4"/>
                <w:position w:val="12"/>
                <w:highlight w:val="none"/>
                <w:lang w:eastAsia="zh-CN"/>
              </w:rPr>
              <w:t>题，对应的考核项目在次月考核中将不得分；</w:t>
            </w:r>
          </w:p>
          <w:p w14:paraId="1BCB08F6">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ascii="宋体" w:hAnsi="宋体" w:eastAsia="宋体" w:cs="宋体"/>
                <w:color w:val="auto"/>
                <w:spacing w:val="-3"/>
                <w:position w:val="12"/>
                <w:highlight w:val="none"/>
                <w:lang w:eastAsia="zh-CN"/>
              </w:rPr>
            </w:pPr>
            <w:r>
              <w:rPr>
                <w:rFonts w:ascii="宋体" w:hAnsi="宋体" w:eastAsia="宋体" w:cs="宋体"/>
                <w:color w:val="auto"/>
                <w:spacing w:val="-3"/>
                <w:position w:val="12"/>
                <w:highlight w:val="none"/>
                <w:lang w:eastAsia="zh-CN"/>
              </w:rPr>
              <w:t xml:space="preserve">2、考评分值： 95-100 分（不含 95 分） 为优秀， 90-95 分（不含 90 分）为良好， </w:t>
            </w:r>
            <w:r>
              <w:rPr>
                <w:rFonts w:hint="default" w:ascii="宋体" w:hAnsi="宋体" w:eastAsia="宋体" w:cs="宋体"/>
                <w:color w:val="auto"/>
                <w:spacing w:val="-3"/>
                <w:position w:val="12"/>
                <w:highlight w:val="none"/>
                <w:lang w:eastAsia="zh-CN"/>
              </w:rPr>
              <w:t>85到90</w:t>
            </w:r>
            <w:r>
              <w:rPr>
                <w:rFonts w:ascii="宋体" w:hAnsi="宋体" w:eastAsia="宋体" w:cs="宋体"/>
                <w:color w:val="auto"/>
                <w:spacing w:val="-3"/>
                <w:position w:val="12"/>
                <w:highlight w:val="none"/>
                <w:lang w:eastAsia="zh-CN"/>
              </w:rPr>
              <w:t xml:space="preserve"> （不含 </w:t>
            </w:r>
            <w:r>
              <w:rPr>
                <w:rFonts w:hint="default" w:ascii="宋体" w:hAnsi="宋体" w:eastAsia="宋体" w:cs="宋体"/>
                <w:color w:val="auto"/>
                <w:spacing w:val="-3"/>
                <w:position w:val="12"/>
                <w:highlight w:val="none"/>
                <w:lang w:val="en-US" w:eastAsia="zh-CN"/>
              </w:rPr>
              <w:t>85</w:t>
            </w:r>
            <w:r>
              <w:rPr>
                <w:rFonts w:ascii="宋体" w:hAnsi="宋体" w:eastAsia="宋体" w:cs="宋体"/>
                <w:color w:val="auto"/>
                <w:spacing w:val="-3"/>
                <w:position w:val="12"/>
                <w:highlight w:val="none"/>
                <w:lang w:eastAsia="zh-CN"/>
              </w:rPr>
              <w:t xml:space="preserve"> 分）分为及格， </w:t>
            </w:r>
            <w:r>
              <w:rPr>
                <w:rFonts w:hint="default" w:ascii="宋体" w:hAnsi="宋体" w:eastAsia="宋体" w:cs="宋体"/>
                <w:color w:val="auto"/>
                <w:spacing w:val="-3"/>
                <w:position w:val="12"/>
                <w:highlight w:val="none"/>
                <w:lang w:eastAsia="zh-CN"/>
              </w:rPr>
              <w:t>85</w:t>
            </w:r>
            <w:r>
              <w:rPr>
                <w:rFonts w:ascii="宋体" w:hAnsi="宋体" w:eastAsia="宋体" w:cs="宋体"/>
                <w:color w:val="auto"/>
                <w:spacing w:val="-3"/>
                <w:position w:val="12"/>
                <w:highlight w:val="none"/>
                <w:lang w:eastAsia="zh-CN"/>
              </w:rPr>
              <w:t>分以下为不及格；</w:t>
            </w:r>
          </w:p>
          <w:p w14:paraId="2160BD0F">
            <w:pPr>
              <w:pStyle w:val="127"/>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color w:val="auto"/>
                <w:spacing w:val="-1"/>
                <w:highlight w:val="none"/>
                <w:lang w:eastAsia="zh-CN"/>
              </w:rPr>
            </w:pPr>
            <w:r>
              <w:rPr>
                <w:color w:val="auto"/>
                <w:spacing w:val="-4"/>
                <w:highlight w:val="none"/>
                <w:lang w:eastAsia="zh-CN"/>
              </w:rPr>
              <w:t>3、考评结果：</w:t>
            </w:r>
            <w:r>
              <w:rPr>
                <w:color w:val="auto"/>
                <w:spacing w:val="-18"/>
                <w:highlight w:val="none"/>
                <w:lang w:eastAsia="zh-CN"/>
              </w:rPr>
              <w:t xml:space="preserve"> </w:t>
            </w:r>
            <w:r>
              <w:rPr>
                <w:color w:val="auto"/>
                <w:spacing w:val="-4"/>
                <w:highlight w:val="none"/>
                <w:lang w:eastAsia="zh-CN"/>
              </w:rPr>
              <w:t>考核单位将根据实际考评分值结果，</w:t>
            </w:r>
            <w:r>
              <w:rPr>
                <w:color w:val="auto"/>
                <w:spacing w:val="-23"/>
                <w:highlight w:val="none"/>
                <w:lang w:eastAsia="zh-CN"/>
              </w:rPr>
              <w:t xml:space="preserve"> </w:t>
            </w:r>
            <w:r>
              <w:rPr>
                <w:color w:val="auto"/>
                <w:spacing w:val="-4"/>
                <w:highlight w:val="none"/>
                <w:lang w:eastAsia="zh-CN"/>
              </w:rPr>
              <w:t>在当月的物业管理服务费用中做出相应的扣罚；</w:t>
            </w:r>
          </w:p>
        </w:tc>
      </w:tr>
    </w:tbl>
    <w:p w14:paraId="654F9E5E">
      <w:pPr>
        <w:pStyle w:val="33"/>
        <w:widowControl w:val="0"/>
        <w:spacing w:before="0" w:beforeAutospacing="0" w:after="0" w:afterAutospacing="0" w:line="360" w:lineRule="auto"/>
        <w:jc w:val="both"/>
        <w:rPr>
          <w:rFonts w:hint="eastAsia"/>
          <w:b/>
          <w:bCs/>
          <w:color w:val="auto"/>
          <w:highlight w:val="none"/>
        </w:rPr>
      </w:pPr>
      <w:r>
        <w:rPr>
          <w:rFonts w:hint="eastAsia"/>
          <w:b/>
          <w:bCs/>
          <w:color w:val="auto"/>
          <w:highlight w:val="none"/>
          <w:lang w:val="en-US" w:eastAsia="zh-CN"/>
        </w:rPr>
        <w:t>七</w:t>
      </w:r>
      <w:r>
        <w:rPr>
          <w:rFonts w:hint="eastAsia"/>
          <w:b/>
          <w:bCs/>
          <w:color w:val="auto"/>
          <w:highlight w:val="none"/>
        </w:rPr>
        <w:t>、知识产权归属</w:t>
      </w:r>
    </w:p>
    <w:p w14:paraId="587987B6">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1.知识产权是指根据相关法律法规、行政法规以及国际条约、协定或合同的规定，相关方对智力成果享有的任何权利，其种类不限于著作权、专利权和商标权等。</w:t>
      </w:r>
    </w:p>
    <w:p w14:paraId="17C48489">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2.本项目服务成果的全部知识产权、商业秘密和其他相关权利归甲乙双方共同所有。</w:t>
      </w:r>
    </w:p>
    <w:p w14:paraId="3D0E0F31">
      <w:pPr>
        <w:pStyle w:val="33"/>
        <w:widowControl w:val="0"/>
        <w:spacing w:before="0" w:beforeAutospacing="0" w:after="0" w:afterAutospacing="0" w:line="360" w:lineRule="auto"/>
        <w:ind w:firstLine="480" w:firstLineChars="200"/>
        <w:jc w:val="both"/>
        <w:rPr>
          <w:rFonts w:hint="eastAsia"/>
          <w:b/>
          <w:bCs/>
          <w:color w:val="auto"/>
          <w:highlight w:val="none"/>
          <w:shd w:val="clear" w:color="auto" w:fill="FFFFFF"/>
        </w:rPr>
      </w:pPr>
      <w:r>
        <w:rPr>
          <w:rFonts w:hint="eastAsia"/>
          <w:color w:val="auto"/>
          <w:highlight w:val="none"/>
        </w:rPr>
        <w:t>3.乙方确保其履行本合同（包括但不限于提交的任何资料、文件、成果）未侵犯第三方合法权利，并保证甲方免受任何第三方的索赔或诉讼。因违反本条产生的一切纠纷，由乙方负责解决，并承担全部赔偿责任。</w:t>
      </w:r>
    </w:p>
    <w:p w14:paraId="348B73C3">
      <w:pPr>
        <w:pStyle w:val="33"/>
        <w:widowControl w:val="0"/>
        <w:spacing w:before="0" w:beforeAutospacing="0" w:after="0" w:afterAutospacing="0" w:line="360" w:lineRule="auto"/>
        <w:jc w:val="both"/>
        <w:rPr>
          <w:rFonts w:hint="eastAsia"/>
          <w:b/>
          <w:bCs/>
          <w:color w:val="auto"/>
          <w:highlight w:val="none"/>
        </w:rPr>
      </w:pPr>
      <w:r>
        <w:rPr>
          <w:rFonts w:hint="eastAsia"/>
          <w:b/>
          <w:bCs/>
          <w:color w:val="auto"/>
          <w:highlight w:val="none"/>
          <w:lang w:val="en-US" w:eastAsia="zh-CN"/>
        </w:rPr>
        <w:t>八</w:t>
      </w:r>
      <w:r>
        <w:rPr>
          <w:rFonts w:hint="eastAsia"/>
          <w:b/>
          <w:bCs/>
          <w:color w:val="auto"/>
          <w:highlight w:val="none"/>
        </w:rPr>
        <w:t>、保密</w:t>
      </w:r>
    </w:p>
    <w:p w14:paraId="261BAFDD">
      <w:pPr>
        <w:spacing w:line="360" w:lineRule="auto"/>
        <w:ind w:firstLine="560"/>
        <w:rPr>
          <w:color w:val="auto"/>
          <w:sz w:val="24"/>
          <w:highlight w:val="none"/>
        </w:rPr>
      </w:pPr>
      <w:r>
        <w:rPr>
          <w:rFonts w:hint="eastAsia" w:cs="宋体"/>
          <w:color w:val="auto"/>
          <w:sz w:val="24"/>
          <w:highlight w:val="none"/>
        </w:rPr>
        <w:t>乙方须对所有数据及相关信息资料保密，未经甲方书面许可不得以任何方式公开展示、发表或透露给第三方。</w:t>
      </w:r>
    </w:p>
    <w:p w14:paraId="5D2B2852">
      <w:pPr>
        <w:pStyle w:val="33"/>
        <w:widowControl w:val="0"/>
        <w:spacing w:before="0" w:beforeAutospacing="0" w:after="0" w:afterAutospacing="0" w:line="360" w:lineRule="auto"/>
        <w:jc w:val="both"/>
        <w:rPr>
          <w:rFonts w:hint="eastAsia"/>
          <w:b/>
          <w:bCs/>
          <w:color w:val="auto"/>
          <w:highlight w:val="none"/>
        </w:rPr>
      </w:pPr>
      <w:r>
        <w:rPr>
          <w:rFonts w:hint="eastAsia"/>
          <w:b/>
          <w:bCs/>
          <w:color w:val="auto"/>
          <w:highlight w:val="none"/>
          <w:lang w:val="en-US" w:eastAsia="zh-CN"/>
        </w:rPr>
        <w:t>九</w:t>
      </w:r>
      <w:r>
        <w:rPr>
          <w:rFonts w:hint="eastAsia"/>
          <w:b/>
          <w:bCs/>
          <w:color w:val="auto"/>
          <w:highlight w:val="none"/>
        </w:rPr>
        <w:t>、违约责任与赔偿损失</w:t>
      </w:r>
    </w:p>
    <w:p w14:paraId="10020375">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1.乙方提供的服务不符合本合同规定的，甲方有权拒收，并且乙方须向甲方支付本合同服务总价5%的违约金。</w:t>
      </w:r>
    </w:p>
    <w:p w14:paraId="68CF1305">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2.乙方未能按本合同规定的交货时间提供服务，从逾期之日起每日按本合同服务总价3‰的数额向甲方支付违约金；逾期半个月以上的，甲方有权终止合同，由此造成的甲方经济损失由乙方承担。</w:t>
      </w:r>
    </w:p>
    <w:p w14:paraId="50D36255">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3.甲方无正当理由拒收接受服务，到期拒付服务款项的，甲方向乙方支付本合同服务总价5%的违约金。甲方逾期付款，则每日按本合同总服务价的</w:t>
      </w:r>
      <w:r>
        <w:rPr>
          <w:rFonts w:hint="eastAsia"/>
          <w:color w:val="auto"/>
          <w:highlight w:val="none"/>
          <w:lang w:val="en-US" w:eastAsia="zh-CN"/>
        </w:rPr>
        <w:t>1</w:t>
      </w:r>
      <w:r>
        <w:rPr>
          <w:rFonts w:hint="eastAsia"/>
          <w:color w:val="auto"/>
          <w:highlight w:val="none"/>
        </w:rPr>
        <w:t>‰向乙方偿付违约金。</w:t>
      </w:r>
    </w:p>
    <w:p w14:paraId="5C3327AA">
      <w:pPr>
        <w:pStyle w:val="33"/>
        <w:widowControl w:val="0"/>
        <w:spacing w:before="0" w:beforeAutospacing="0" w:after="0" w:afterAutospacing="0" w:line="360" w:lineRule="auto"/>
        <w:ind w:firstLine="480" w:firstLineChars="200"/>
        <w:jc w:val="both"/>
        <w:rPr>
          <w:rFonts w:hint="eastAsia"/>
          <w:color w:val="auto"/>
          <w:highlight w:val="none"/>
          <w:u w:val="single"/>
        </w:rPr>
      </w:pPr>
      <w:r>
        <w:rPr>
          <w:rFonts w:hint="eastAsia"/>
          <w:color w:val="auto"/>
          <w:highlight w:val="none"/>
        </w:rPr>
        <w:t>4.对于因甲方原因导致变更、中止或者终止政府采购合同的，甲方应当依照以下合同约定对乙方受到的损失予以赔偿或者补偿：</w:t>
      </w:r>
      <w:r>
        <w:rPr>
          <w:rFonts w:hint="eastAsia"/>
          <w:color w:val="auto"/>
          <w:highlight w:val="none"/>
          <w:u w:val="single"/>
        </w:rPr>
        <w:t xml:space="preserve">  /     </w:t>
      </w:r>
    </w:p>
    <w:p w14:paraId="7CB34FF5">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5.其它违约责任按《中华人民共和国民法典(合同编)》处理。</w:t>
      </w:r>
    </w:p>
    <w:p w14:paraId="3C7944D3">
      <w:pPr>
        <w:pStyle w:val="33"/>
        <w:widowControl w:val="0"/>
        <w:spacing w:before="0" w:beforeAutospacing="0" w:after="0" w:afterAutospacing="0" w:line="360" w:lineRule="auto"/>
        <w:jc w:val="both"/>
        <w:rPr>
          <w:rFonts w:hint="eastAsia"/>
          <w:b/>
          <w:bCs/>
          <w:color w:val="auto"/>
          <w:highlight w:val="none"/>
        </w:rPr>
      </w:pPr>
      <w:r>
        <w:rPr>
          <w:rFonts w:hint="eastAsia"/>
          <w:b/>
          <w:bCs/>
          <w:color w:val="auto"/>
          <w:highlight w:val="none"/>
          <w:lang w:val="en-US" w:eastAsia="zh-CN"/>
        </w:rPr>
        <w:t>十</w:t>
      </w:r>
      <w:r>
        <w:rPr>
          <w:rFonts w:hint="eastAsia"/>
          <w:b/>
          <w:bCs/>
          <w:color w:val="auto"/>
          <w:highlight w:val="none"/>
        </w:rPr>
        <w:t>、争议的解决</w:t>
      </w:r>
    </w:p>
    <w:p w14:paraId="59386866">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合同执行过程中发生的任何争议，如双方不能通过友好协商解决，</w:t>
      </w:r>
      <w:r>
        <w:rPr>
          <w:rFonts w:hint="eastAsia"/>
          <w:color w:val="auto"/>
          <w:highlight w:val="none"/>
          <w:lang w:val="en-US" w:eastAsia="zh-CN"/>
        </w:rPr>
        <w:t>可提交甲方所在地人民法院诉讼，</w:t>
      </w:r>
      <w:r>
        <w:rPr>
          <w:rFonts w:hint="eastAsia"/>
          <w:color w:val="auto"/>
          <w:highlight w:val="none"/>
        </w:rPr>
        <w:t>按相关法律法规处理。</w:t>
      </w:r>
    </w:p>
    <w:p w14:paraId="38CFDAF1">
      <w:pPr>
        <w:pStyle w:val="33"/>
        <w:widowControl w:val="0"/>
        <w:spacing w:before="0" w:beforeAutospacing="0" w:after="0" w:afterAutospacing="0" w:line="360" w:lineRule="auto"/>
        <w:jc w:val="both"/>
        <w:rPr>
          <w:rFonts w:hint="eastAsia"/>
          <w:color w:val="auto"/>
          <w:highlight w:val="none"/>
        </w:rPr>
      </w:pPr>
      <w:r>
        <w:rPr>
          <w:rFonts w:hint="eastAsia"/>
          <w:b/>
          <w:bCs/>
          <w:color w:val="auto"/>
          <w:highlight w:val="none"/>
        </w:rPr>
        <w:t>十</w:t>
      </w:r>
      <w:r>
        <w:rPr>
          <w:rFonts w:hint="eastAsia"/>
          <w:b/>
          <w:bCs/>
          <w:color w:val="auto"/>
          <w:highlight w:val="none"/>
          <w:lang w:val="en-US" w:eastAsia="zh-CN"/>
        </w:rPr>
        <w:t>一</w:t>
      </w:r>
      <w:r>
        <w:rPr>
          <w:rFonts w:hint="eastAsia"/>
          <w:b/>
          <w:bCs/>
          <w:color w:val="auto"/>
          <w:highlight w:val="none"/>
        </w:rPr>
        <w:t>、不可抗力</w:t>
      </w:r>
    </w:p>
    <w:p w14:paraId="5F7DF127">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B029D8F">
      <w:pPr>
        <w:pStyle w:val="33"/>
        <w:widowControl w:val="0"/>
        <w:spacing w:before="0" w:beforeAutospacing="0" w:after="0" w:afterAutospacing="0" w:line="360" w:lineRule="auto"/>
        <w:jc w:val="both"/>
        <w:rPr>
          <w:rFonts w:hint="eastAsia"/>
          <w:color w:val="auto"/>
          <w:highlight w:val="none"/>
        </w:rPr>
      </w:pPr>
      <w:r>
        <w:rPr>
          <w:rFonts w:hint="eastAsia"/>
          <w:b/>
          <w:bCs/>
          <w:color w:val="auto"/>
          <w:highlight w:val="none"/>
        </w:rPr>
        <w:t>十</w:t>
      </w:r>
      <w:r>
        <w:rPr>
          <w:rFonts w:hint="eastAsia"/>
          <w:b/>
          <w:bCs/>
          <w:color w:val="auto"/>
          <w:highlight w:val="none"/>
          <w:lang w:val="en-US" w:eastAsia="zh-CN"/>
        </w:rPr>
        <w:t>二</w:t>
      </w:r>
      <w:r>
        <w:rPr>
          <w:rFonts w:hint="eastAsia"/>
          <w:b/>
          <w:bCs/>
          <w:color w:val="auto"/>
          <w:highlight w:val="none"/>
        </w:rPr>
        <w:t>、税费</w:t>
      </w:r>
    </w:p>
    <w:p w14:paraId="129B810F">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在中国境内、外发生的与本合同执行有关的一切税费均由乙方负担。</w:t>
      </w:r>
    </w:p>
    <w:p w14:paraId="02A2E802">
      <w:pPr>
        <w:pStyle w:val="33"/>
        <w:widowControl w:val="0"/>
        <w:spacing w:before="0" w:beforeAutospacing="0" w:after="0" w:afterAutospacing="0" w:line="360" w:lineRule="auto"/>
        <w:jc w:val="both"/>
        <w:rPr>
          <w:rFonts w:hint="eastAsia"/>
          <w:b/>
          <w:bCs/>
          <w:color w:val="auto"/>
          <w:highlight w:val="none"/>
        </w:rPr>
      </w:pPr>
      <w:r>
        <w:rPr>
          <w:rFonts w:hint="eastAsia"/>
          <w:b/>
          <w:bCs/>
          <w:color w:val="auto"/>
          <w:highlight w:val="none"/>
        </w:rPr>
        <w:t>十</w:t>
      </w:r>
      <w:r>
        <w:rPr>
          <w:rFonts w:hint="eastAsia"/>
          <w:b/>
          <w:bCs/>
          <w:color w:val="auto"/>
          <w:highlight w:val="none"/>
          <w:lang w:val="en-US" w:eastAsia="zh-CN"/>
        </w:rPr>
        <w:t>三</w:t>
      </w:r>
      <w:r>
        <w:rPr>
          <w:rFonts w:hint="eastAsia"/>
          <w:b/>
          <w:bCs/>
          <w:color w:val="auto"/>
          <w:highlight w:val="none"/>
        </w:rPr>
        <w:t>、其它</w:t>
      </w:r>
    </w:p>
    <w:p w14:paraId="4561B1C8">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1.本合同所有附件、招标文件、投标文件、中标通知书均为合同的有效组成部分，与本合同具有同等法律效力。</w:t>
      </w:r>
    </w:p>
    <w:p w14:paraId="37AC5776">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2.在执行本合同的过程中，所有经双方签署确认的文件（包括会议纪要、补充协议、往来信函）即成为本合同的有效组成部分。</w:t>
      </w:r>
    </w:p>
    <w:p w14:paraId="12B0962D">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3.如一方地址、电话、传真号码有变更，应在变更当日内书面通知对方，否则，应承担相应责任。</w:t>
      </w:r>
    </w:p>
    <w:p w14:paraId="7DFBB3E1">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4.除甲方事先书面同意外，乙方不得部分或全部转让其应履行的合同项下的义务。</w:t>
      </w:r>
    </w:p>
    <w:p w14:paraId="7BB661B5">
      <w:pPr>
        <w:pStyle w:val="33"/>
        <w:widowControl w:val="0"/>
        <w:spacing w:before="0" w:beforeAutospacing="0" w:after="0" w:afterAutospacing="0" w:line="360" w:lineRule="auto"/>
        <w:jc w:val="both"/>
        <w:rPr>
          <w:rFonts w:hint="eastAsia"/>
          <w:b/>
          <w:bCs/>
          <w:color w:val="auto"/>
          <w:highlight w:val="none"/>
        </w:rPr>
      </w:pPr>
      <w:r>
        <w:rPr>
          <w:rFonts w:hint="eastAsia"/>
          <w:b/>
          <w:bCs/>
          <w:color w:val="auto"/>
          <w:highlight w:val="none"/>
        </w:rPr>
        <w:t>十</w:t>
      </w:r>
      <w:r>
        <w:rPr>
          <w:rFonts w:hint="eastAsia"/>
          <w:b/>
          <w:bCs/>
          <w:color w:val="auto"/>
          <w:highlight w:val="none"/>
          <w:lang w:val="en-US" w:eastAsia="zh-CN"/>
        </w:rPr>
        <w:t>四</w:t>
      </w:r>
      <w:r>
        <w:rPr>
          <w:rFonts w:hint="eastAsia"/>
          <w:b/>
          <w:bCs/>
          <w:color w:val="auto"/>
          <w:highlight w:val="none"/>
        </w:rPr>
        <w:t>、合同生效</w:t>
      </w:r>
    </w:p>
    <w:p w14:paraId="6DD7BB32">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1.本合同在甲乙双方法人代表或其授权代表签字盖章后生效。</w:t>
      </w:r>
    </w:p>
    <w:p w14:paraId="2BCB63BA">
      <w:pPr>
        <w:pStyle w:val="33"/>
        <w:widowControl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2.</w:t>
      </w:r>
      <w:r>
        <w:rPr>
          <w:rFonts w:hint="eastAsia" w:ascii="Times New Roman" w:hAnsi="Times New Roman"/>
          <w:color w:val="auto"/>
          <w:highlight w:val="none"/>
        </w:rPr>
        <w:t>合同一式肆份，甲方执贰份，乙方执贰份，均</w:t>
      </w:r>
      <w:r>
        <w:rPr>
          <w:rFonts w:hint="eastAsia"/>
          <w:color w:val="auto"/>
          <w:highlight w:val="none"/>
        </w:rPr>
        <w:t>具有同等法律效力</w:t>
      </w:r>
      <w:r>
        <w:rPr>
          <w:rFonts w:hint="eastAsia" w:ascii="Times New Roman" w:hAnsi="Times New Roman"/>
          <w:color w:val="auto"/>
          <w:highlight w:val="none"/>
        </w:rPr>
        <w:t>。</w:t>
      </w:r>
    </w:p>
    <w:p w14:paraId="44F53A0B">
      <w:pPr>
        <w:pStyle w:val="33"/>
        <w:widowControl w:val="0"/>
        <w:spacing w:before="0" w:beforeAutospacing="0" w:after="0" w:afterAutospacing="0" w:line="360" w:lineRule="auto"/>
        <w:jc w:val="both"/>
        <w:rPr>
          <w:rFonts w:hint="eastAsia"/>
          <w:color w:val="auto"/>
          <w:highlight w:val="none"/>
        </w:rPr>
      </w:pPr>
    </w:p>
    <w:p w14:paraId="5F09996A">
      <w:pPr>
        <w:pStyle w:val="33"/>
        <w:widowControl w:val="0"/>
        <w:spacing w:before="0" w:beforeAutospacing="0" w:after="0" w:afterAutospacing="0" w:line="360" w:lineRule="auto"/>
        <w:jc w:val="both"/>
        <w:rPr>
          <w:rFonts w:hint="eastAsia"/>
          <w:color w:val="auto"/>
          <w:highlight w:val="none"/>
        </w:rPr>
      </w:pPr>
      <w:r>
        <w:rPr>
          <w:rFonts w:hint="eastAsia"/>
          <w:color w:val="auto"/>
          <w:highlight w:val="none"/>
        </w:rPr>
        <w:t>甲方（盖章）：                乙方（盖章）：</w:t>
      </w:r>
    </w:p>
    <w:p w14:paraId="3E759EDB">
      <w:pPr>
        <w:pStyle w:val="33"/>
        <w:widowControl w:val="0"/>
        <w:spacing w:before="0" w:beforeAutospacing="0" w:after="0" w:afterAutospacing="0" w:line="360" w:lineRule="auto"/>
        <w:jc w:val="both"/>
        <w:rPr>
          <w:rFonts w:hint="eastAsia"/>
          <w:color w:val="auto"/>
          <w:highlight w:val="none"/>
        </w:rPr>
      </w:pPr>
    </w:p>
    <w:p w14:paraId="3748CAA2">
      <w:pPr>
        <w:pStyle w:val="33"/>
        <w:widowControl w:val="0"/>
        <w:spacing w:before="0" w:beforeAutospacing="0" w:after="0" w:afterAutospacing="0" w:line="360" w:lineRule="auto"/>
        <w:jc w:val="both"/>
        <w:rPr>
          <w:rFonts w:hint="eastAsia"/>
          <w:color w:val="auto"/>
          <w:highlight w:val="none"/>
        </w:rPr>
      </w:pPr>
      <w:r>
        <w:rPr>
          <w:rFonts w:hint="eastAsia"/>
          <w:color w:val="auto"/>
          <w:highlight w:val="none"/>
        </w:rPr>
        <w:t>代表：                        代表：</w:t>
      </w:r>
    </w:p>
    <w:p w14:paraId="7FD74FFC">
      <w:pPr>
        <w:pStyle w:val="33"/>
        <w:widowControl w:val="0"/>
        <w:spacing w:before="0" w:beforeAutospacing="0" w:after="0" w:afterAutospacing="0" w:line="360" w:lineRule="auto"/>
        <w:jc w:val="both"/>
        <w:rPr>
          <w:rFonts w:hint="eastAsia"/>
          <w:color w:val="auto"/>
          <w:highlight w:val="none"/>
        </w:rPr>
      </w:pPr>
    </w:p>
    <w:p w14:paraId="2A7BD520">
      <w:pPr>
        <w:pStyle w:val="33"/>
        <w:widowControl w:val="0"/>
        <w:spacing w:before="0" w:beforeAutospacing="0" w:after="0" w:afterAutospacing="0" w:line="360" w:lineRule="auto"/>
        <w:jc w:val="both"/>
        <w:rPr>
          <w:rFonts w:hint="eastAsia"/>
          <w:color w:val="auto"/>
          <w:highlight w:val="none"/>
        </w:rPr>
      </w:pPr>
      <w:r>
        <w:rPr>
          <w:rFonts w:hint="eastAsia"/>
          <w:color w:val="auto"/>
          <w:highlight w:val="none"/>
        </w:rPr>
        <w:t>签定日期：　　　年　月　日    签定日期：　　　年　月　日</w:t>
      </w:r>
    </w:p>
    <w:p w14:paraId="67E3FD27">
      <w:pPr>
        <w:pStyle w:val="33"/>
        <w:widowControl w:val="0"/>
        <w:spacing w:before="0" w:beforeAutospacing="0" w:after="0" w:afterAutospacing="0" w:line="360" w:lineRule="auto"/>
        <w:jc w:val="both"/>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开户名称：</w:t>
      </w:r>
    </w:p>
    <w:p w14:paraId="63205E51">
      <w:pPr>
        <w:pStyle w:val="33"/>
        <w:widowControl w:val="0"/>
        <w:spacing w:before="0" w:beforeAutospacing="0" w:after="0" w:afterAutospacing="0" w:line="360" w:lineRule="auto"/>
        <w:jc w:val="both"/>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银行帐号：</w:t>
      </w:r>
    </w:p>
    <w:p w14:paraId="583C7D1B">
      <w:pPr>
        <w:pStyle w:val="33"/>
        <w:widowControl w:val="0"/>
        <w:spacing w:line="360" w:lineRule="auto"/>
        <w:jc w:val="both"/>
        <w:rPr>
          <w:rFonts w:hint="eastAsia" w:ascii="宋体" w:hAnsi="宋体"/>
          <w:b/>
          <w:color w:val="auto"/>
          <w:sz w:val="24"/>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开 户 行：</w:t>
      </w:r>
    </w:p>
    <w:p w14:paraId="38613EA7">
      <w:pPr>
        <w:tabs>
          <w:tab w:val="left" w:pos="6120"/>
        </w:tabs>
        <w:snapToGrid w:val="0"/>
        <w:spacing w:line="320" w:lineRule="exact"/>
        <w:rPr>
          <w:rFonts w:hint="eastAsia" w:ascii="宋体" w:hAnsi="宋体"/>
          <w:color w:val="auto"/>
          <w:szCs w:val="21"/>
          <w:highlight w:val="none"/>
        </w:rPr>
      </w:pPr>
      <w:r>
        <w:rPr>
          <w:rFonts w:ascii="宋体" w:hAnsi="宋体"/>
          <w:b/>
          <w:color w:val="auto"/>
          <w:sz w:val="24"/>
          <w:highlight w:val="none"/>
        </w:rPr>
        <w:br w:type="page"/>
      </w:r>
    </w:p>
    <w:p w14:paraId="082A42D8">
      <w:pPr>
        <w:adjustRightInd w:val="0"/>
        <w:snapToGrid w:val="0"/>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第五部分　投标文件</w:t>
      </w:r>
      <w:bookmarkEnd w:id="8"/>
      <w:r>
        <w:rPr>
          <w:rFonts w:hint="eastAsia" w:ascii="宋体" w:hAnsi="宋体"/>
          <w:b/>
          <w:color w:val="auto"/>
          <w:sz w:val="28"/>
          <w:szCs w:val="28"/>
          <w:highlight w:val="none"/>
        </w:rPr>
        <w:t>格式</w:t>
      </w:r>
    </w:p>
    <w:p w14:paraId="6D58BAB0">
      <w:pPr>
        <w:adjustRightInd w:val="0"/>
        <w:snapToGrid w:val="0"/>
        <w:spacing w:line="360" w:lineRule="auto"/>
        <w:jc w:val="center"/>
        <w:rPr>
          <w:rFonts w:hint="eastAsia" w:ascii="宋体" w:hAnsi="宋体"/>
          <w:b/>
          <w:color w:val="auto"/>
          <w:kern w:val="0"/>
          <w:sz w:val="28"/>
          <w:szCs w:val="28"/>
          <w:highlight w:val="none"/>
        </w:rPr>
      </w:pPr>
    </w:p>
    <w:p w14:paraId="649A4653">
      <w:pPr>
        <w:jc w:val="center"/>
        <w:rPr>
          <w:rFonts w:hint="eastAsia" w:ascii="宋体" w:hAnsi="宋体"/>
          <w:b/>
          <w:color w:val="auto"/>
          <w:sz w:val="32"/>
          <w:szCs w:val="32"/>
          <w:highlight w:val="none"/>
        </w:rPr>
      </w:pPr>
      <w:r>
        <w:rPr>
          <w:rFonts w:hint="eastAsia" w:ascii="宋体" w:hAnsi="宋体"/>
          <w:b/>
          <w:color w:val="auto"/>
          <w:sz w:val="32"/>
          <w:szCs w:val="32"/>
          <w:highlight w:val="none"/>
        </w:rPr>
        <w:t>服务类项目投标文件</w:t>
      </w:r>
    </w:p>
    <w:p w14:paraId="1E76EC8B">
      <w:pPr>
        <w:rPr>
          <w:rFonts w:hint="eastAsia" w:ascii="宋体" w:hAnsi="宋体"/>
          <w:color w:val="auto"/>
          <w:highlight w:val="none"/>
        </w:rPr>
      </w:pPr>
    </w:p>
    <w:p w14:paraId="65410E14">
      <w:pPr>
        <w:rPr>
          <w:rFonts w:hint="eastAsia" w:ascii="宋体" w:hAnsi="宋体"/>
          <w:color w:val="auto"/>
          <w:sz w:val="28"/>
          <w:szCs w:val="28"/>
          <w:highlight w:val="none"/>
        </w:rPr>
      </w:pPr>
      <w:r>
        <w:rPr>
          <w:rFonts w:hint="eastAsia" w:ascii="宋体" w:hAnsi="宋体"/>
          <w:color w:val="auto"/>
          <w:sz w:val="28"/>
          <w:szCs w:val="28"/>
          <w:highlight w:val="none"/>
        </w:rPr>
        <w:t>一、  自查表</w:t>
      </w:r>
    </w:p>
    <w:p w14:paraId="134756A2">
      <w:pPr>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"_Toc175110017" </w:instrText>
      </w:r>
      <w:r>
        <w:rPr>
          <w:color w:val="auto"/>
          <w:highlight w:val="none"/>
        </w:rPr>
        <w:fldChar w:fldCharType="separate"/>
      </w:r>
      <w:r>
        <w:rPr>
          <w:rFonts w:hint="eastAsia" w:ascii="宋体" w:hAnsi="宋体"/>
          <w:color w:val="auto"/>
          <w:sz w:val="28"/>
          <w:szCs w:val="28"/>
          <w:highlight w:val="none"/>
        </w:rPr>
        <w:t xml:space="preserve">二、  </w:t>
      </w:r>
      <w:r>
        <w:rPr>
          <w:rFonts w:hint="eastAsia" w:ascii="宋体" w:hAnsi="宋体"/>
          <w:color w:val="auto"/>
          <w:sz w:val="28"/>
          <w:szCs w:val="28"/>
          <w:highlight w:val="none"/>
        </w:rPr>
        <w:fldChar w:fldCharType="end"/>
      </w:r>
      <w:r>
        <w:rPr>
          <w:rFonts w:hint="eastAsia" w:ascii="宋体" w:hAnsi="宋体"/>
          <w:color w:val="auto"/>
          <w:sz w:val="28"/>
          <w:szCs w:val="28"/>
          <w:highlight w:val="none"/>
        </w:rPr>
        <w:t>资格文件</w:t>
      </w:r>
    </w:p>
    <w:p w14:paraId="69A8AEE1">
      <w:pPr>
        <w:rPr>
          <w:rFonts w:hint="eastAsia" w:ascii="宋体" w:hAnsi="宋体"/>
          <w:color w:val="auto"/>
          <w:sz w:val="28"/>
          <w:szCs w:val="28"/>
          <w:highlight w:val="none"/>
        </w:rPr>
      </w:pPr>
      <w:r>
        <w:rPr>
          <w:rFonts w:ascii="宋体" w:hAnsi="宋体"/>
          <w:color w:val="auto"/>
          <w:sz w:val="28"/>
          <w:szCs w:val="28"/>
          <w:highlight w:val="none"/>
        </w:rPr>
        <w:t>三、</w:t>
      </w:r>
      <w:r>
        <w:rPr>
          <w:rFonts w:hint="eastAsia" w:ascii="宋体" w:hAnsi="宋体"/>
          <w:color w:val="auto"/>
          <w:sz w:val="28"/>
          <w:szCs w:val="28"/>
          <w:highlight w:val="none"/>
        </w:rPr>
        <w:t xml:space="preserve">  </w:t>
      </w:r>
      <w:r>
        <w:rPr>
          <w:rFonts w:ascii="宋体" w:hAnsi="宋体"/>
          <w:color w:val="auto"/>
          <w:sz w:val="28"/>
          <w:szCs w:val="28"/>
          <w:highlight w:val="none"/>
        </w:rPr>
        <w:t>符合性文件</w:t>
      </w:r>
    </w:p>
    <w:p w14:paraId="791A9566">
      <w:pPr>
        <w:rPr>
          <w:rFonts w:hint="eastAsia" w:ascii="宋体" w:hAnsi="宋体"/>
          <w:color w:val="auto"/>
          <w:sz w:val="28"/>
          <w:szCs w:val="28"/>
          <w:highlight w:val="none"/>
        </w:rPr>
      </w:pPr>
      <w:r>
        <w:rPr>
          <w:rFonts w:hint="eastAsia" w:ascii="宋体" w:hAnsi="宋体"/>
          <w:color w:val="auto"/>
          <w:sz w:val="28"/>
          <w:szCs w:val="28"/>
          <w:highlight w:val="none"/>
        </w:rPr>
        <w:t>四、  商务部分</w:t>
      </w:r>
    </w:p>
    <w:p w14:paraId="11B32AB5">
      <w:pPr>
        <w:rPr>
          <w:rFonts w:hint="eastAsia" w:ascii="宋体" w:hAnsi="宋体"/>
          <w:color w:val="auto"/>
          <w:sz w:val="28"/>
          <w:szCs w:val="28"/>
          <w:highlight w:val="none"/>
        </w:rPr>
      </w:pPr>
      <w:r>
        <w:rPr>
          <w:rFonts w:hint="eastAsia" w:ascii="宋体" w:hAnsi="宋体"/>
          <w:color w:val="auto"/>
          <w:sz w:val="28"/>
          <w:szCs w:val="28"/>
          <w:highlight w:val="none"/>
        </w:rPr>
        <w:t>五、  服务部分</w:t>
      </w:r>
    </w:p>
    <w:p w14:paraId="01D209D5">
      <w:pPr>
        <w:rPr>
          <w:rFonts w:hint="eastAsia" w:ascii="宋体" w:hAnsi="宋体"/>
          <w:color w:val="auto"/>
          <w:sz w:val="28"/>
          <w:szCs w:val="28"/>
          <w:highlight w:val="none"/>
        </w:rPr>
      </w:pPr>
      <w:r>
        <w:rPr>
          <w:rFonts w:hint="eastAsia" w:ascii="宋体" w:hAnsi="宋体"/>
          <w:color w:val="auto"/>
          <w:sz w:val="28"/>
          <w:szCs w:val="28"/>
          <w:highlight w:val="none"/>
        </w:rPr>
        <w:t>六、  价格部分</w:t>
      </w:r>
    </w:p>
    <w:p w14:paraId="5C0424B1">
      <w:pPr>
        <w:rPr>
          <w:rFonts w:hint="eastAsia" w:ascii="宋体" w:hAnsi="宋体"/>
          <w:color w:val="auto"/>
          <w:sz w:val="28"/>
          <w:szCs w:val="28"/>
          <w:highlight w:val="none"/>
        </w:rPr>
      </w:pPr>
    </w:p>
    <w:p w14:paraId="4ACF11BE">
      <w:pPr>
        <w:rPr>
          <w:rFonts w:hint="eastAsia" w:ascii="宋体" w:hAnsi="宋体"/>
          <w:color w:val="auto"/>
          <w:sz w:val="28"/>
          <w:szCs w:val="28"/>
          <w:highlight w:val="none"/>
          <w:u w:val="single"/>
        </w:rPr>
      </w:pPr>
      <w:r>
        <w:rPr>
          <w:rFonts w:hint="eastAsia" w:ascii="宋体" w:hAnsi="宋体"/>
          <w:color w:val="auto"/>
          <w:sz w:val="28"/>
          <w:szCs w:val="28"/>
          <w:highlight w:val="none"/>
        </w:rPr>
        <w:t>注：1. 请投标人按照以下文件的要求格式、内容，顺序制作投标文件，并请编制目录及页码，否则可能将影响对投标文件的评价。</w:t>
      </w:r>
    </w:p>
    <w:p w14:paraId="291BEE39">
      <w:pPr>
        <w:rPr>
          <w:rFonts w:hint="eastAsia" w:ascii="宋体" w:hAnsi="宋体"/>
          <w:color w:val="auto"/>
          <w:sz w:val="28"/>
          <w:szCs w:val="28"/>
          <w:highlight w:val="none"/>
        </w:rPr>
      </w:pPr>
      <w:r>
        <w:rPr>
          <w:rFonts w:hint="eastAsia" w:ascii="宋体" w:hAnsi="宋体"/>
          <w:color w:val="auto"/>
          <w:sz w:val="28"/>
          <w:szCs w:val="28"/>
          <w:highlight w:val="none"/>
        </w:rPr>
        <w:t>2. 《开标一览表》应单独封装在唱标信封中。</w:t>
      </w:r>
    </w:p>
    <w:p w14:paraId="7EA274AC">
      <w:pPr>
        <w:rPr>
          <w:rFonts w:hint="eastAsia" w:ascii="宋体" w:hAnsi="宋体"/>
          <w:color w:val="auto"/>
          <w:highlight w:val="none"/>
        </w:rPr>
      </w:pPr>
    </w:p>
    <w:p w14:paraId="09BA8383">
      <w:pPr>
        <w:rPr>
          <w:rFonts w:hint="eastAsia" w:ascii="宋体" w:hAnsi="宋体"/>
          <w:color w:val="auto"/>
          <w:highlight w:val="none"/>
        </w:rPr>
      </w:pPr>
    </w:p>
    <w:p w14:paraId="74D32AB4">
      <w:pPr>
        <w:rPr>
          <w:rFonts w:hint="eastAsia" w:ascii="宋体" w:hAnsi="宋体"/>
          <w:color w:val="auto"/>
          <w:highlight w:val="none"/>
        </w:rPr>
      </w:pPr>
    </w:p>
    <w:p w14:paraId="6E4F6705">
      <w:pPr>
        <w:rPr>
          <w:rFonts w:hint="eastAsia" w:ascii="宋体" w:hAnsi="宋体"/>
          <w:color w:val="auto"/>
          <w:highlight w:val="none"/>
        </w:rPr>
      </w:pPr>
    </w:p>
    <w:p w14:paraId="5D79BF26">
      <w:pPr>
        <w:rPr>
          <w:rFonts w:hint="eastAsia" w:ascii="宋体" w:hAnsi="宋体"/>
          <w:color w:val="auto"/>
          <w:highlight w:val="none"/>
        </w:rPr>
      </w:pPr>
    </w:p>
    <w:p w14:paraId="47B3F3F4">
      <w:pPr>
        <w:rPr>
          <w:rFonts w:hint="eastAsia" w:ascii="宋体" w:hAnsi="宋体"/>
          <w:color w:val="auto"/>
          <w:highlight w:val="none"/>
        </w:rPr>
      </w:pPr>
    </w:p>
    <w:p w14:paraId="76096A67">
      <w:pPr>
        <w:rPr>
          <w:rFonts w:hint="eastAsia" w:ascii="宋体" w:hAnsi="宋体"/>
          <w:color w:val="auto"/>
          <w:highlight w:val="none"/>
        </w:rPr>
      </w:pPr>
    </w:p>
    <w:p w14:paraId="715241CB">
      <w:pPr>
        <w:rPr>
          <w:rFonts w:hint="eastAsia" w:ascii="宋体" w:hAnsi="宋体"/>
          <w:color w:val="auto"/>
          <w:highlight w:val="none"/>
        </w:rPr>
      </w:pPr>
      <w:r>
        <w:rPr>
          <w:rFonts w:ascii="宋体" w:hAnsi="宋体"/>
          <w:color w:val="auto"/>
          <w:highlight w:val="none"/>
        </w:rPr>
        <w:br w:type="page"/>
      </w:r>
    </w:p>
    <w:p w14:paraId="2EA60EB5">
      <w:pPr>
        <w:rPr>
          <w:rFonts w:hint="eastAsia" w:ascii="宋体" w:hAnsi="宋体"/>
          <w:color w:val="auto"/>
          <w:highlight w:val="none"/>
        </w:rPr>
      </w:pPr>
    </w:p>
    <w:p w14:paraId="54A39258">
      <w:pPr>
        <w:rPr>
          <w:rFonts w:hint="eastAsia" w:ascii="宋体" w:hAnsi="宋体"/>
          <w:color w:val="auto"/>
          <w:highlight w:val="none"/>
        </w:rPr>
      </w:pPr>
    </w:p>
    <w:p w14:paraId="560E65A9">
      <w:pPr>
        <w:pStyle w:val="17"/>
        <w:tabs>
          <w:tab w:val="left" w:pos="1260"/>
        </w:tabs>
        <w:jc w:val="center"/>
        <w:rPr>
          <w:rFonts w:hint="eastAsia" w:hAnsi="宋体"/>
          <w:b/>
          <w:color w:val="auto"/>
          <w:spacing w:val="100"/>
          <w:w w:val="110"/>
          <w:kern w:val="0"/>
          <w:sz w:val="48"/>
          <w:szCs w:val="48"/>
          <w:highlight w:val="none"/>
        </w:rPr>
      </w:pPr>
      <w:r>
        <w:rPr>
          <w:rFonts w:hint="eastAsia" w:hAnsi="宋体"/>
          <w:b/>
          <w:color w:val="auto"/>
          <w:spacing w:val="100"/>
          <w:w w:val="110"/>
          <w:kern w:val="0"/>
          <w:sz w:val="48"/>
          <w:szCs w:val="48"/>
          <w:highlight w:val="none"/>
        </w:rPr>
        <w:t>政府采购</w:t>
      </w:r>
    </w:p>
    <w:p w14:paraId="4BBFE7E7">
      <w:pPr>
        <w:pStyle w:val="17"/>
        <w:jc w:val="center"/>
        <w:rPr>
          <w:rFonts w:hint="eastAsia" w:hAnsi="宋体"/>
          <w:b/>
          <w:color w:val="auto"/>
          <w:sz w:val="48"/>
          <w:szCs w:val="48"/>
          <w:highlight w:val="none"/>
        </w:rPr>
      </w:pPr>
    </w:p>
    <w:p w14:paraId="3686E127">
      <w:pPr>
        <w:pStyle w:val="17"/>
        <w:tabs>
          <w:tab w:val="left" w:pos="1260"/>
        </w:tabs>
        <w:jc w:val="center"/>
        <w:rPr>
          <w:rFonts w:hint="eastAsia" w:hAnsi="宋体"/>
          <w:b/>
          <w:color w:val="auto"/>
          <w:spacing w:val="100"/>
          <w:w w:val="110"/>
          <w:sz w:val="48"/>
          <w:szCs w:val="48"/>
          <w:highlight w:val="none"/>
        </w:rPr>
      </w:pPr>
      <w:r>
        <w:rPr>
          <w:rFonts w:hint="eastAsia" w:hAnsi="宋体"/>
          <w:b/>
          <w:color w:val="auto"/>
          <w:spacing w:val="100"/>
          <w:w w:val="110"/>
          <w:kern w:val="0"/>
          <w:sz w:val="48"/>
          <w:szCs w:val="48"/>
          <w:highlight w:val="none"/>
        </w:rPr>
        <w:t>投标文件</w:t>
      </w:r>
    </w:p>
    <w:p w14:paraId="116396DA">
      <w:pPr>
        <w:pStyle w:val="17"/>
        <w:jc w:val="center"/>
        <w:rPr>
          <w:rFonts w:hint="eastAsia" w:hAnsi="宋体"/>
          <w:b/>
          <w:color w:val="auto"/>
          <w:sz w:val="48"/>
          <w:szCs w:val="48"/>
          <w:highlight w:val="none"/>
        </w:rPr>
      </w:pPr>
      <w:r>
        <w:rPr>
          <w:rFonts w:hint="eastAsia" w:hAnsi="宋体"/>
          <w:b/>
          <w:color w:val="auto"/>
          <w:sz w:val="48"/>
          <w:szCs w:val="48"/>
          <w:highlight w:val="none"/>
        </w:rPr>
        <w:t>（正本/副本）</w:t>
      </w:r>
    </w:p>
    <w:p w14:paraId="26D2A46F">
      <w:pPr>
        <w:pStyle w:val="17"/>
        <w:jc w:val="center"/>
        <w:rPr>
          <w:rFonts w:hint="eastAsia" w:hAnsi="宋体"/>
          <w:b/>
          <w:color w:val="auto"/>
          <w:sz w:val="28"/>
          <w:szCs w:val="28"/>
          <w:highlight w:val="none"/>
        </w:rPr>
      </w:pPr>
    </w:p>
    <w:p w14:paraId="07EC9FAC">
      <w:pPr>
        <w:pStyle w:val="17"/>
        <w:jc w:val="center"/>
        <w:rPr>
          <w:rFonts w:hint="eastAsia" w:hAnsi="宋体"/>
          <w:b/>
          <w:color w:val="auto"/>
          <w:sz w:val="28"/>
          <w:szCs w:val="28"/>
          <w:highlight w:val="none"/>
        </w:rPr>
      </w:pPr>
    </w:p>
    <w:p w14:paraId="70F88F1B">
      <w:pPr>
        <w:pStyle w:val="17"/>
        <w:spacing w:line="360" w:lineRule="auto"/>
        <w:ind w:firstLine="967" w:firstLineChars="344"/>
        <w:rPr>
          <w:rFonts w:hint="eastAsia" w:hAnsi="宋体"/>
          <w:b/>
          <w:color w:val="auto"/>
          <w:sz w:val="28"/>
          <w:szCs w:val="28"/>
          <w:highlight w:val="none"/>
          <w:u w:val="thick"/>
          <w:shd w:val="clear" w:color="auto" w:fill="auto"/>
        </w:rPr>
      </w:pPr>
      <w:r>
        <w:rPr>
          <w:rFonts w:hint="eastAsia" w:hAnsi="宋体"/>
          <w:b/>
          <w:color w:val="auto"/>
          <w:sz w:val="28"/>
          <w:szCs w:val="28"/>
          <w:highlight w:val="none"/>
          <w:shd w:val="clear" w:color="auto" w:fill="auto"/>
        </w:rPr>
        <w:t>项目编号：</w:t>
      </w:r>
      <w:r>
        <w:rPr>
          <w:rFonts w:hint="eastAsia" w:hAnsi="宋体"/>
          <w:b/>
          <w:color w:val="auto"/>
          <w:sz w:val="28"/>
          <w:szCs w:val="28"/>
          <w:highlight w:val="none"/>
          <w:u w:val="thick"/>
          <w:shd w:val="clear" w:color="auto" w:fill="auto"/>
          <w:lang w:eastAsia="zh-CN"/>
        </w:rPr>
        <w:t>0724-2631ZH410610</w:t>
      </w:r>
      <w:r>
        <w:rPr>
          <w:rFonts w:hint="eastAsia" w:hAnsi="宋体"/>
          <w:b/>
          <w:color w:val="auto"/>
          <w:sz w:val="28"/>
          <w:szCs w:val="28"/>
          <w:highlight w:val="none"/>
          <w:u w:val="thick"/>
          <w:shd w:val="clear" w:color="auto" w:fill="auto"/>
        </w:rPr>
        <w:t xml:space="preserve"> </w:t>
      </w:r>
    </w:p>
    <w:p w14:paraId="5448BCEB">
      <w:pPr>
        <w:pStyle w:val="13"/>
        <w:spacing w:line="360" w:lineRule="auto"/>
        <w:ind w:firstLine="967" w:firstLineChars="344"/>
        <w:rPr>
          <w:rFonts w:hint="eastAsia" w:ascii="宋体" w:hAnsi="宋体" w:eastAsia="宋体"/>
          <w:b/>
          <w:color w:val="auto"/>
          <w:sz w:val="28"/>
          <w:szCs w:val="28"/>
          <w:highlight w:val="none"/>
          <w:u w:val="thick"/>
          <w:shd w:val="clear" w:color="auto" w:fill="auto"/>
          <w:lang w:eastAsia="zh-CN"/>
        </w:rPr>
      </w:pPr>
      <w:r>
        <w:rPr>
          <w:rFonts w:hint="eastAsia" w:ascii="宋体" w:hAnsi="宋体" w:eastAsia="宋体"/>
          <w:b/>
          <w:color w:val="auto"/>
          <w:sz w:val="28"/>
          <w:szCs w:val="28"/>
          <w:highlight w:val="none"/>
          <w:shd w:val="clear" w:color="auto" w:fill="auto"/>
        </w:rPr>
        <w:t>采购项目名称：</w:t>
      </w:r>
      <w:r>
        <w:rPr>
          <w:rFonts w:hint="eastAsia" w:ascii="阿里巴巴普惠体 Heavy" w:hAnsi="阿里巴巴普惠体 Heavy" w:eastAsia="阿里巴巴普惠体 Heavy" w:cs="阿里巴巴普惠体 Heavy"/>
          <w:b/>
          <w:bCs/>
          <w:color w:val="auto"/>
          <w:sz w:val="32"/>
          <w:szCs w:val="32"/>
          <w:highlight w:val="none"/>
        </w:rPr>
        <w:t>国家税务总局珠海市税务局梅华西办公区</w:t>
      </w:r>
      <w:r>
        <w:rPr>
          <w:rFonts w:hint="eastAsia" w:ascii="阿里巴巴普惠体 Heavy" w:hAnsi="阿里巴巴普惠体 Heavy" w:eastAsia="阿里巴巴普惠体 Heavy" w:cs="阿里巴巴普惠体 Heavy"/>
          <w:b/>
          <w:bCs/>
          <w:color w:val="auto"/>
          <w:sz w:val="32"/>
          <w:szCs w:val="32"/>
          <w:highlight w:val="none"/>
          <w:lang w:eastAsia="zh-CN"/>
        </w:rPr>
        <w:t>2026-2027年物业管理服务采购项目</w:t>
      </w:r>
    </w:p>
    <w:p w14:paraId="4D650181">
      <w:pPr>
        <w:pStyle w:val="17"/>
        <w:ind w:firstLine="843" w:firstLineChars="300"/>
        <w:rPr>
          <w:rFonts w:hint="eastAsia" w:hAnsi="宋体"/>
          <w:b/>
          <w:color w:val="auto"/>
          <w:sz w:val="28"/>
          <w:szCs w:val="28"/>
          <w:highlight w:val="none"/>
          <w:shd w:val="clear" w:color="auto" w:fill="auto"/>
        </w:rPr>
      </w:pPr>
    </w:p>
    <w:p w14:paraId="2DDCE41B">
      <w:pPr>
        <w:pStyle w:val="17"/>
        <w:ind w:firstLine="843" w:firstLineChars="300"/>
        <w:rPr>
          <w:rFonts w:hint="eastAsia" w:hAnsi="宋体"/>
          <w:b/>
          <w:color w:val="auto"/>
          <w:sz w:val="28"/>
          <w:szCs w:val="28"/>
          <w:highlight w:val="none"/>
        </w:rPr>
      </w:pPr>
    </w:p>
    <w:p w14:paraId="0E8AF93E">
      <w:pPr>
        <w:pStyle w:val="17"/>
        <w:ind w:firstLine="843" w:firstLineChars="300"/>
        <w:rPr>
          <w:rFonts w:hint="eastAsia" w:hAnsi="宋体"/>
          <w:b/>
          <w:color w:val="auto"/>
          <w:sz w:val="28"/>
          <w:szCs w:val="28"/>
          <w:highlight w:val="none"/>
        </w:rPr>
      </w:pPr>
    </w:p>
    <w:p w14:paraId="1ED25FCB">
      <w:pPr>
        <w:pStyle w:val="17"/>
        <w:ind w:firstLine="843" w:firstLineChars="300"/>
        <w:rPr>
          <w:rFonts w:hint="eastAsia" w:hAnsi="宋体"/>
          <w:b/>
          <w:color w:val="auto"/>
          <w:sz w:val="28"/>
          <w:szCs w:val="28"/>
          <w:highlight w:val="none"/>
        </w:rPr>
      </w:pPr>
    </w:p>
    <w:p w14:paraId="65C2D529">
      <w:pPr>
        <w:pStyle w:val="17"/>
        <w:ind w:firstLine="843" w:firstLineChars="300"/>
        <w:rPr>
          <w:rFonts w:hint="eastAsia" w:hAnsi="宋体"/>
          <w:b/>
          <w:color w:val="auto"/>
          <w:sz w:val="28"/>
          <w:szCs w:val="28"/>
          <w:highlight w:val="none"/>
        </w:rPr>
      </w:pPr>
    </w:p>
    <w:p w14:paraId="09DFC09F">
      <w:pPr>
        <w:pStyle w:val="17"/>
        <w:spacing w:line="360" w:lineRule="auto"/>
        <w:ind w:firstLine="3117" w:firstLineChars="1109"/>
        <w:rPr>
          <w:rFonts w:hint="eastAsia" w:hAnsi="宋体"/>
          <w:b/>
          <w:color w:val="auto"/>
          <w:sz w:val="28"/>
          <w:szCs w:val="28"/>
          <w:highlight w:val="none"/>
          <w:u w:val="single"/>
        </w:rPr>
      </w:pPr>
      <w:r>
        <w:rPr>
          <w:rFonts w:hint="eastAsia" w:hAnsi="宋体"/>
          <w:b/>
          <w:color w:val="auto"/>
          <w:sz w:val="28"/>
          <w:szCs w:val="28"/>
          <w:highlight w:val="none"/>
        </w:rPr>
        <w:t>投标人名称：</w:t>
      </w:r>
    </w:p>
    <w:p w14:paraId="1AFC1859">
      <w:pPr>
        <w:autoSpaceDE w:val="0"/>
        <w:autoSpaceDN w:val="0"/>
        <w:spacing w:line="240" w:lineRule="atLeast"/>
        <w:ind w:firstLine="3117" w:firstLineChars="1109"/>
        <w:rPr>
          <w:rFonts w:hint="eastAsia" w:ascii="宋体" w:hAnsi="宋体"/>
          <w:b/>
          <w:color w:val="auto"/>
          <w:sz w:val="28"/>
          <w:szCs w:val="28"/>
          <w:highlight w:val="none"/>
          <w:u w:val="single"/>
        </w:rPr>
      </w:pPr>
      <w:r>
        <w:rPr>
          <w:rFonts w:hint="eastAsia" w:ascii="宋体" w:hAnsi="宋体"/>
          <w:b/>
          <w:color w:val="auto"/>
          <w:sz w:val="28"/>
          <w:szCs w:val="28"/>
          <w:highlight w:val="none"/>
        </w:rPr>
        <w:t>日期：年月日</w:t>
      </w:r>
    </w:p>
    <w:p w14:paraId="06C466C9">
      <w:pPr>
        <w:jc w:val="center"/>
        <w:rPr>
          <w:rFonts w:hint="eastAsia" w:ascii="宋体" w:hAnsi="宋体"/>
          <w:b/>
          <w:color w:val="auto"/>
          <w:sz w:val="32"/>
          <w:szCs w:val="32"/>
          <w:highlight w:val="none"/>
        </w:rPr>
      </w:pPr>
      <w:bookmarkStart w:id="9" w:name="_Toc202816995"/>
      <w:bookmarkStart w:id="10" w:name="_Toc202251699"/>
      <w:bookmarkStart w:id="11" w:name="_Toc202252033"/>
      <w:bookmarkStart w:id="12" w:name="_Toc202819877"/>
      <w:bookmarkStart w:id="13" w:name="_Toc202820350"/>
      <w:bookmarkStart w:id="14" w:name="_Toc202251074"/>
      <w:bookmarkStart w:id="15" w:name="_Toc202254104"/>
      <w:r>
        <w:rPr>
          <w:rFonts w:ascii="宋体" w:hAnsi="宋体"/>
          <w:b/>
          <w:color w:val="auto"/>
          <w:sz w:val="32"/>
          <w:szCs w:val="32"/>
          <w:highlight w:val="none"/>
        </w:rPr>
        <w:br w:type="page"/>
      </w:r>
      <w:r>
        <w:rPr>
          <w:rFonts w:hint="eastAsia" w:ascii="宋体" w:hAnsi="宋体"/>
          <w:b/>
          <w:color w:val="auto"/>
          <w:sz w:val="32"/>
          <w:szCs w:val="32"/>
          <w:highlight w:val="none"/>
        </w:rPr>
        <w:t>一、自查表</w:t>
      </w:r>
      <w:bookmarkEnd w:id="9"/>
      <w:bookmarkEnd w:id="10"/>
      <w:bookmarkEnd w:id="11"/>
      <w:bookmarkEnd w:id="12"/>
      <w:bookmarkEnd w:id="13"/>
      <w:bookmarkEnd w:id="14"/>
      <w:bookmarkEnd w:id="15"/>
    </w:p>
    <w:p w14:paraId="75DDE89E">
      <w:pPr>
        <w:rPr>
          <w:rFonts w:hint="eastAsia" w:ascii="宋体" w:hAnsi="宋体"/>
          <w:b/>
          <w:bCs/>
          <w:color w:val="auto"/>
          <w:sz w:val="24"/>
          <w:highlight w:val="none"/>
        </w:rPr>
      </w:pPr>
      <w:r>
        <w:rPr>
          <w:rFonts w:hint="eastAsia" w:ascii="宋体" w:hAnsi="宋体"/>
          <w:b/>
          <w:bCs/>
          <w:color w:val="auto"/>
          <w:sz w:val="24"/>
          <w:highlight w:val="none"/>
        </w:rPr>
        <w:t>1.1资格自查表</w:t>
      </w:r>
    </w:p>
    <w:tbl>
      <w:tblPr>
        <w:tblStyle w:val="3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4976"/>
        <w:gridCol w:w="1158"/>
        <w:gridCol w:w="1368"/>
      </w:tblGrid>
      <w:tr w14:paraId="7F70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47BFB997">
            <w:pPr>
              <w:jc w:val="center"/>
              <w:rPr>
                <w:rFonts w:hint="eastAsia" w:ascii="宋体" w:hAnsi="宋体"/>
                <w:b/>
                <w:bCs/>
                <w:color w:val="auto"/>
                <w:szCs w:val="21"/>
                <w:highlight w:val="none"/>
              </w:rPr>
            </w:pPr>
            <w:r>
              <w:rPr>
                <w:rFonts w:hint="eastAsia" w:ascii="宋体" w:hAnsi="宋体"/>
                <w:b/>
                <w:bCs/>
                <w:color w:val="auto"/>
                <w:szCs w:val="21"/>
                <w:highlight w:val="none"/>
              </w:rPr>
              <w:t>评审内容</w:t>
            </w:r>
          </w:p>
        </w:tc>
        <w:tc>
          <w:tcPr>
            <w:tcW w:w="4976" w:type="dxa"/>
            <w:vAlign w:val="center"/>
          </w:tcPr>
          <w:p w14:paraId="6432C059">
            <w:pPr>
              <w:ind w:firstLine="19" w:firstLineChars="9"/>
              <w:jc w:val="center"/>
              <w:rPr>
                <w:rFonts w:hint="eastAsia" w:ascii="宋体" w:hAnsi="宋体"/>
                <w:b/>
                <w:bCs/>
                <w:color w:val="auto"/>
                <w:szCs w:val="21"/>
                <w:highlight w:val="none"/>
              </w:rPr>
            </w:pPr>
            <w:r>
              <w:rPr>
                <w:rFonts w:hint="eastAsia" w:ascii="宋体" w:hAnsi="宋体"/>
                <w:b/>
                <w:bCs/>
                <w:color w:val="auto"/>
                <w:szCs w:val="21"/>
                <w:highlight w:val="none"/>
              </w:rPr>
              <w:t>招标文件要求</w:t>
            </w:r>
          </w:p>
        </w:tc>
        <w:tc>
          <w:tcPr>
            <w:tcW w:w="1158" w:type="dxa"/>
            <w:vAlign w:val="center"/>
          </w:tcPr>
          <w:p w14:paraId="2B8C8C43">
            <w:pPr>
              <w:jc w:val="center"/>
              <w:rPr>
                <w:rFonts w:hint="eastAsia" w:ascii="宋体" w:hAnsi="宋体"/>
                <w:b/>
                <w:bCs/>
                <w:color w:val="auto"/>
                <w:szCs w:val="21"/>
                <w:highlight w:val="none"/>
              </w:rPr>
            </w:pPr>
            <w:r>
              <w:rPr>
                <w:rFonts w:hint="eastAsia" w:ascii="宋体" w:hAnsi="宋体"/>
                <w:b/>
                <w:bCs/>
                <w:color w:val="auto"/>
                <w:szCs w:val="21"/>
                <w:highlight w:val="none"/>
              </w:rPr>
              <w:t>自查结论</w:t>
            </w:r>
          </w:p>
        </w:tc>
        <w:tc>
          <w:tcPr>
            <w:tcW w:w="1368" w:type="dxa"/>
            <w:vAlign w:val="center"/>
          </w:tcPr>
          <w:p w14:paraId="340C4AC1">
            <w:pPr>
              <w:ind w:right="-178" w:rightChars="-85"/>
              <w:jc w:val="center"/>
              <w:rPr>
                <w:rFonts w:hint="eastAsia" w:ascii="宋体" w:hAnsi="宋体"/>
                <w:b/>
                <w:bCs/>
                <w:color w:val="auto"/>
                <w:szCs w:val="21"/>
                <w:highlight w:val="none"/>
              </w:rPr>
            </w:pPr>
            <w:r>
              <w:rPr>
                <w:rFonts w:hint="eastAsia" w:ascii="宋体" w:hAnsi="宋体"/>
                <w:b/>
                <w:bCs/>
                <w:color w:val="auto"/>
                <w:szCs w:val="21"/>
                <w:highlight w:val="none"/>
              </w:rPr>
              <w:t>证明资料</w:t>
            </w:r>
          </w:p>
        </w:tc>
      </w:tr>
      <w:tr w14:paraId="577B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87" w:type="dxa"/>
            <w:vAlign w:val="center"/>
          </w:tcPr>
          <w:p w14:paraId="49AC513D">
            <w:pPr>
              <w:jc w:val="center"/>
              <w:rPr>
                <w:rFonts w:hint="eastAsia" w:ascii="宋体" w:hAnsi="宋体"/>
                <w:color w:val="auto"/>
                <w:szCs w:val="21"/>
                <w:highlight w:val="none"/>
              </w:rPr>
            </w:pPr>
            <w:r>
              <w:rPr>
                <w:rFonts w:hint="eastAsia" w:ascii="宋体" w:hAnsi="宋体"/>
                <w:color w:val="auto"/>
                <w:szCs w:val="21"/>
                <w:highlight w:val="none"/>
              </w:rPr>
              <w:t>合格条件</w:t>
            </w:r>
          </w:p>
        </w:tc>
        <w:tc>
          <w:tcPr>
            <w:tcW w:w="4976" w:type="dxa"/>
            <w:vAlign w:val="center"/>
          </w:tcPr>
          <w:p w14:paraId="4DD98998">
            <w:pPr>
              <w:rPr>
                <w:rFonts w:hint="eastAsia" w:ascii="宋体" w:hAnsi="宋体"/>
                <w:color w:val="auto"/>
                <w:szCs w:val="21"/>
                <w:highlight w:val="none"/>
                <w:lang w:val="zh-CN"/>
              </w:rPr>
            </w:pPr>
            <w:r>
              <w:rPr>
                <w:rFonts w:hint="eastAsia" w:ascii="宋体" w:hAnsi="宋体"/>
                <w:color w:val="auto"/>
                <w:szCs w:val="21"/>
                <w:highlight w:val="none"/>
                <w:lang w:val="zh-CN"/>
              </w:rPr>
              <w:t>1.投标人应具备《政府采购法》第二十二条规定的条件，提供下列材料：</w:t>
            </w:r>
          </w:p>
          <w:p w14:paraId="11F41C7E">
            <w:pPr>
              <w:rPr>
                <w:rFonts w:hint="eastAsia" w:ascii="宋体" w:hAnsi="宋体"/>
                <w:color w:val="auto"/>
                <w:szCs w:val="21"/>
                <w:highlight w:val="none"/>
                <w:lang w:val="zh-CN"/>
              </w:rPr>
            </w:pPr>
            <w:r>
              <w:rPr>
                <w:rFonts w:hint="eastAsia" w:ascii="宋体" w:hAnsi="宋体"/>
                <w:color w:val="auto"/>
                <w:szCs w:val="21"/>
                <w:highlight w:val="none"/>
                <w:lang w:val="zh-CN"/>
              </w:rPr>
              <w:t>1.1具有独立承担民事责任的能力：供应商必须是具有独立承担民事责任能力的在中华人民共和国境内注册的法人或其他组织，投标时提交有效的营业执照副本复印件。分支机构投标的，须提供总公司和分公司营业执照副本复印件，总公司出具给分支机构的授权书；</w:t>
            </w:r>
          </w:p>
          <w:p w14:paraId="5D5B72BD">
            <w:pPr>
              <w:rPr>
                <w:rFonts w:hint="eastAsia" w:ascii="宋体" w:hAnsi="宋体"/>
                <w:color w:val="auto"/>
                <w:szCs w:val="21"/>
                <w:highlight w:val="none"/>
                <w:lang w:val="zh-CN"/>
              </w:rPr>
            </w:pPr>
            <w:r>
              <w:rPr>
                <w:rFonts w:hint="eastAsia" w:ascii="宋体" w:hAnsi="宋体"/>
                <w:color w:val="auto"/>
                <w:szCs w:val="21"/>
                <w:highlight w:val="none"/>
                <w:lang w:val="zh-CN"/>
              </w:rPr>
              <w:t>1.2有依法缴纳税收和社会保障资金的良好记录：提供所属期为投标截止时间前6个月内任意1个月的缴纳税收凭证（复印件）和提供投标截止时间前6个月内任意1个月的社会保障资金缴纳凭证（复印件）。如依法免税或不需要缴纳社会保障资金的，应提供相应文件证明（复印件）；</w:t>
            </w:r>
          </w:p>
          <w:p w14:paraId="3706597B">
            <w:pPr>
              <w:rPr>
                <w:rFonts w:hint="eastAsia" w:ascii="宋体" w:hAnsi="宋体"/>
                <w:color w:val="auto"/>
                <w:szCs w:val="21"/>
                <w:highlight w:val="none"/>
                <w:lang w:val="zh-CN"/>
              </w:rPr>
            </w:pPr>
            <w:r>
              <w:rPr>
                <w:rFonts w:hint="eastAsia" w:ascii="宋体" w:hAnsi="宋体"/>
                <w:color w:val="auto"/>
                <w:szCs w:val="21"/>
                <w:highlight w:val="none"/>
                <w:lang w:val="zh-CN"/>
              </w:rPr>
              <w:t>1.3具有良好的商业信誉和健全的财务会计制度：</w:t>
            </w:r>
            <w:r>
              <w:rPr>
                <w:rFonts w:hint="eastAsia" w:ascii="宋体" w:hAnsi="宋体"/>
                <w:color w:val="auto"/>
                <w:szCs w:val="21"/>
                <w:highlight w:val="none"/>
              </w:rPr>
              <w:t>提供以下2种证明材料之一：①</w:t>
            </w:r>
            <w:r>
              <w:rPr>
                <w:rFonts w:hint="eastAsia" w:ascii="宋体" w:hAnsi="宋体"/>
                <w:color w:val="auto"/>
                <w:szCs w:val="21"/>
                <w:highlight w:val="none"/>
                <w:lang w:eastAsia="zh-CN"/>
              </w:rPr>
              <w:t>2024年度经会计师事</w:t>
            </w:r>
            <w:r>
              <w:rPr>
                <w:rFonts w:hint="eastAsia" w:ascii="宋体" w:hAnsi="宋体"/>
                <w:color w:val="auto"/>
                <w:szCs w:val="21"/>
                <w:highlight w:val="none"/>
              </w:rPr>
              <w:t>务所审计的财务状况报告；②基本开户行出具的资信证明和《基本存款账号信息》</w:t>
            </w:r>
            <w:r>
              <w:rPr>
                <w:rFonts w:hint="eastAsia" w:ascii="宋体" w:hAnsi="宋体"/>
                <w:color w:val="auto"/>
                <w:szCs w:val="21"/>
                <w:highlight w:val="none"/>
                <w:lang w:val="zh-CN"/>
              </w:rPr>
              <w:t>。</w:t>
            </w:r>
          </w:p>
          <w:p w14:paraId="67C9CF10">
            <w:pPr>
              <w:rPr>
                <w:rFonts w:hint="eastAsia" w:ascii="宋体" w:hAnsi="宋体"/>
                <w:color w:val="auto"/>
                <w:szCs w:val="21"/>
                <w:highlight w:val="none"/>
                <w:lang w:val="zh-CN"/>
              </w:rPr>
            </w:pPr>
            <w:r>
              <w:rPr>
                <w:rFonts w:hint="eastAsia" w:ascii="宋体" w:hAnsi="宋体"/>
                <w:color w:val="auto"/>
                <w:szCs w:val="21"/>
                <w:highlight w:val="none"/>
                <w:lang w:val="zh-CN"/>
              </w:rPr>
              <w:t>1.4履行合同所必需的设备和专业技术能力：具备履行合同所必需的设备和专业技术能力的书面承诺函原件（格式自拟）；</w:t>
            </w:r>
          </w:p>
          <w:p w14:paraId="14D4A2D2">
            <w:pPr>
              <w:rPr>
                <w:rFonts w:hint="eastAsia" w:ascii="宋体" w:hAnsi="宋体"/>
                <w:color w:val="auto"/>
                <w:szCs w:val="21"/>
                <w:highlight w:val="none"/>
                <w:lang w:val="zh-CN"/>
              </w:rPr>
            </w:pPr>
            <w:r>
              <w:rPr>
                <w:rFonts w:hint="eastAsia" w:ascii="宋体" w:hAnsi="宋体"/>
                <w:color w:val="auto"/>
                <w:szCs w:val="21"/>
                <w:highlight w:val="none"/>
                <w:lang w:val="zh-CN"/>
              </w:rPr>
              <w:t>1.5参加采购活动前3年内，在经营活动中没有重大违法记录：参加政府采购活动前3年内在经营活动中没有重大违法记录的书面声明原件（格式自拟）。【重大违法记录，是指投标人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4404209E">
            <w:pPr>
              <w:rPr>
                <w:rFonts w:hint="eastAsia" w:ascii="宋体" w:hAnsi="宋体"/>
                <w:color w:val="auto"/>
                <w:szCs w:val="21"/>
                <w:highlight w:val="none"/>
                <w:lang w:val="zh-CN"/>
              </w:rPr>
            </w:pPr>
            <w:r>
              <w:rPr>
                <w:rFonts w:hint="eastAsia" w:ascii="宋体" w:hAnsi="宋体"/>
                <w:color w:val="auto"/>
                <w:szCs w:val="21"/>
                <w:highlight w:val="none"/>
                <w:lang w:val="zh-CN"/>
              </w:rPr>
              <w:t>2.落实政府采购政策需满足的资格要求：本项目属于专门面向中小企业采购的项目，承接本项目服务的供应商须为符合本项目采购标的对应行业（</w:t>
            </w:r>
            <w:r>
              <w:rPr>
                <w:rFonts w:hint="eastAsia" w:ascii="宋体" w:hAnsi="宋体"/>
                <w:color w:val="auto"/>
                <w:szCs w:val="21"/>
                <w:highlight w:val="none"/>
              </w:rPr>
              <w:t>行业：物业管理</w:t>
            </w:r>
            <w:r>
              <w:rPr>
                <w:rFonts w:hint="eastAsia" w:ascii="宋体" w:hAnsi="宋体"/>
                <w:color w:val="auto"/>
                <w:szCs w:val="21"/>
                <w:highlight w:val="none"/>
                <w:lang w:val="zh-CN"/>
              </w:rPr>
              <w:t>）划分标准的中小企业（监狱企业、残疾人福利单位视同小型、微型企业），须全部由中小微企业、或监狱企业、或残疾人福利性单位承接（即提供服务的人员为中小企业依照《中华人民共和国劳动合同法》订立劳动合同的从业人员）。（投标人需提供《中小企业声明函》；或提供由监狱管理局、戒毒管理局（含新疆生产建设兵团）出具的投标人属于监狱企业的证明文件；或提供声明投标人为残疾人福利单位的《残疾人福利性单位声明函》。）</w:t>
            </w:r>
          </w:p>
          <w:p w14:paraId="357E93F2">
            <w:pPr>
              <w:rPr>
                <w:rFonts w:hint="eastAsia" w:ascii="宋体" w:hAnsi="宋体"/>
                <w:color w:val="auto"/>
                <w:szCs w:val="21"/>
                <w:highlight w:val="none"/>
                <w:lang w:val="zh-CN"/>
              </w:rPr>
            </w:pPr>
            <w:r>
              <w:rPr>
                <w:rFonts w:hint="eastAsia" w:ascii="宋体" w:hAnsi="宋体"/>
                <w:color w:val="auto"/>
                <w:szCs w:val="21"/>
                <w:highlight w:val="none"/>
                <w:lang w:val="zh-CN"/>
              </w:rPr>
              <w:t>3.本项目的特定资格要求：</w:t>
            </w:r>
          </w:p>
          <w:p w14:paraId="247A64EA">
            <w:pPr>
              <w:rPr>
                <w:rFonts w:hint="eastAsia" w:ascii="宋体" w:hAnsi="宋体"/>
                <w:color w:val="auto"/>
                <w:szCs w:val="21"/>
                <w:highlight w:val="none"/>
                <w:lang w:val="zh-CN"/>
              </w:rPr>
            </w:pPr>
            <w:r>
              <w:rPr>
                <w:rFonts w:hint="eastAsia" w:ascii="宋体" w:hAnsi="宋体"/>
                <w:color w:val="auto"/>
                <w:szCs w:val="21"/>
                <w:highlight w:val="none"/>
                <w:lang w:val="zh-CN"/>
              </w:rPr>
              <w:t>3.1信用记录：</w:t>
            </w:r>
            <w:r>
              <w:rPr>
                <w:rFonts w:hint="eastAsia" w:ascii="宋体" w:hAnsi="宋体"/>
                <w:color w:val="auto"/>
                <w:kern w:val="0"/>
                <w:szCs w:val="21"/>
                <w:highlight w:val="none"/>
              </w:rPr>
              <w:t>投标人未被列入“信用中国”网站（www.creditchina.gov.cn）以下任意记录名单之一：①失信被执行人；②重大税收违法失信主体；③政府采购严重违法失信行为。且不处于中国政府采购网（www.ccgp.gov.cn）“政府采购严重违法失信行为信息记录”中的禁止参加政府采购活动期间</w:t>
            </w:r>
            <w:r>
              <w:rPr>
                <w:rFonts w:hint="eastAsia" w:ascii="宋体" w:hAnsi="宋体"/>
                <w:color w:val="auto"/>
                <w:szCs w:val="21"/>
                <w:highlight w:val="none"/>
                <w:lang w:val="zh-CN"/>
              </w:rPr>
              <w:t xml:space="preserve">。（以采购代理机构于投标截止日当天在“信用中国”网站（www.creditchina.gov.cn）及中国政府采购网(www.ccgp.gov.cn)查询结果为准，同时将两个网站的信用记录查询结果打印页面或全部内容的网页截图作为证据留存）； </w:t>
            </w:r>
          </w:p>
          <w:p w14:paraId="365B248F">
            <w:pPr>
              <w:rPr>
                <w:rFonts w:hint="eastAsia" w:ascii="宋体" w:hAnsi="宋体"/>
                <w:color w:val="auto"/>
                <w:szCs w:val="21"/>
                <w:highlight w:val="none"/>
                <w:lang w:val="zh-CN"/>
              </w:rPr>
            </w:pPr>
            <w:r>
              <w:rPr>
                <w:rFonts w:hint="eastAsia" w:ascii="宋体" w:hAnsi="宋体"/>
                <w:color w:val="auto"/>
                <w:szCs w:val="21"/>
                <w:highlight w:val="none"/>
                <w:lang w:val="zh-CN"/>
              </w:rPr>
              <w:t>3.2</w:t>
            </w:r>
            <w:r>
              <w:rPr>
                <w:rFonts w:hint="eastAsia" w:ascii="宋体" w:hAnsi="宋体"/>
                <w:color w:val="auto"/>
                <w:kern w:val="0"/>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原件）</w:t>
            </w:r>
            <w:r>
              <w:rPr>
                <w:rFonts w:hint="eastAsia" w:ascii="宋体" w:hAnsi="宋体"/>
                <w:color w:val="auto"/>
                <w:szCs w:val="21"/>
                <w:highlight w:val="none"/>
                <w:lang w:val="zh-CN"/>
              </w:rPr>
              <w:t>；</w:t>
            </w:r>
          </w:p>
          <w:p w14:paraId="7292D165">
            <w:pPr>
              <w:autoSpaceDE w:val="0"/>
              <w:autoSpaceDN w:val="0"/>
              <w:adjustRightInd w:val="0"/>
              <w:snapToGrid w:val="0"/>
              <w:rPr>
                <w:rFonts w:hint="eastAsia" w:ascii="宋体" w:hAnsi="宋体"/>
                <w:color w:val="auto"/>
                <w:kern w:val="0"/>
                <w:szCs w:val="21"/>
                <w:highlight w:val="none"/>
              </w:rPr>
            </w:pPr>
            <w:r>
              <w:rPr>
                <w:rFonts w:hint="eastAsia" w:ascii="宋体" w:hAnsi="宋体"/>
                <w:color w:val="auto"/>
                <w:kern w:val="0"/>
                <w:szCs w:val="21"/>
                <w:highlight w:val="none"/>
              </w:rPr>
              <w:t>3.3已获取本次采购文件(具体方式详见本项目公告)；</w:t>
            </w:r>
          </w:p>
          <w:p w14:paraId="2E1AD1EA">
            <w:pPr>
              <w:rPr>
                <w:rFonts w:hint="eastAsia" w:ascii="宋体" w:hAnsi="宋体"/>
                <w:color w:val="auto"/>
                <w:szCs w:val="21"/>
                <w:highlight w:val="none"/>
                <w:lang w:val="zh-CN"/>
              </w:rPr>
            </w:pPr>
            <w:r>
              <w:rPr>
                <w:rFonts w:hint="eastAsia" w:ascii="宋体" w:hAnsi="宋体"/>
                <w:color w:val="auto"/>
                <w:kern w:val="0"/>
                <w:szCs w:val="21"/>
                <w:highlight w:val="none"/>
              </w:rPr>
              <w:t>3.4本项目不接受联合体投标。</w:t>
            </w:r>
          </w:p>
        </w:tc>
        <w:tc>
          <w:tcPr>
            <w:tcW w:w="1158" w:type="dxa"/>
            <w:vAlign w:val="center"/>
          </w:tcPr>
          <w:p w14:paraId="0FC1F96C">
            <w:pPr>
              <w:ind w:left="36" w:leftChars="17"/>
              <w:rPr>
                <w:rFonts w:hint="eastAsia" w:ascii="宋体" w:hAnsi="宋体"/>
                <w:color w:val="auto"/>
                <w:szCs w:val="21"/>
                <w:highlight w:val="none"/>
              </w:rPr>
            </w:pPr>
            <w:r>
              <w:rPr>
                <w:rFonts w:hint="eastAsia" w:ascii="宋体" w:hAnsi="宋体"/>
                <w:color w:val="auto"/>
                <w:szCs w:val="21"/>
                <w:highlight w:val="none"/>
              </w:rPr>
              <w:t>□通过</w:t>
            </w:r>
          </w:p>
          <w:p w14:paraId="5A830F10">
            <w:pPr>
              <w:ind w:left="36" w:leftChars="17"/>
              <w:rPr>
                <w:rFonts w:hint="eastAsia" w:ascii="宋体" w:hAnsi="宋体"/>
                <w:color w:val="auto"/>
                <w:szCs w:val="21"/>
                <w:highlight w:val="none"/>
              </w:rPr>
            </w:pPr>
            <w:r>
              <w:rPr>
                <w:rFonts w:hint="eastAsia" w:ascii="宋体" w:hAnsi="宋体"/>
                <w:color w:val="auto"/>
                <w:szCs w:val="21"/>
                <w:highlight w:val="none"/>
              </w:rPr>
              <w:t>□不通过</w:t>
            </w:r>
          </w:p>
        </w:tc>
        <w:tc>
          <w:tcPr>
            <w:tcW w:w="1368" w:type="dxa"/>
            <w:vAlign w:val="center"/>
          </w:tcPr>
          <w:p w14:paraId="4875CD94">
            <w:pPr>
              <w:ind w:right="90" w:rightChars="43"/>
              <w:rPr>
                <w:rFonts w:hint="eastAsia" w:ascii="宋体" w:hAnsi="宋体"/>
                <w:color w:val="auto"/>
                <w:szCs w:val="21"/>
                <w:highlight w:val="none"/>
              </w:rPr>
            </w:pPr>
            <w:r>
              <w:rPr>
                <w:rFonts w:hint="eastAsia" w:ascii="宋体" w:hAnsi="宋体"/>
                <w:color w:val="auto"/>
                <w:szCs w:val="21"/>
                <w:highlight w:val="none"/>
              </w:rPr>
              <w:t>见投标文件第( )页</w:t>
            </w:r>
          </w:p>
        </w:tc>
      </w:tr>
    </w:tbl>
    <w:p w14:paraId="548B271E">
      <w:pPr>
        <w:pStyle w:val="11"/>
        <w:rPr>
          <w:rFonts w:hint="eastAsia" w:ascii="宋体" w:hAnsi="宋体"/>
          <w:color w:val="auto"/>
          <w:sz w:val="24"/>
          <w:szCs w:val="24"/>
          <w:highlight w:val="none"/>
        </w:rPr>
      </w:pPr>
      <w:r>
        <w:rPr>
          <w:rFonts w:hint="eastAsia" w:ascii="宋体" w:hAnsi="宋体"/>
          <w:color w:val="auto"/>
          <w:sz w:val="24"/>
          <w:szCs w:val="24"/>
          <w:highlight w:val="none"/>
        </w:rPr>
        <w:t>注：以上材料将作为投标人资格审核的重要内容之一，投标人必须严格按照其内容及序列要求在投标文件中对应如实提供，对缺漏和不符合项将会直接导致无效投标！在对应的□打“√”。</w:t>
      </w:r>
    </w:p>
    <w:p w14:paraId="64B78ACB">
      <w:pPr>
        <w:adjustRightInd w:val="0"/>
        <w:snapToGrid w:val="0"/>
        <w:rPr>
          <w:rFonts w:hint="eastAsia" w:ascii="宋体" w:hAnsi="宋体"/>
          <w:color w:val="auto"/>
          <w:sz w:val="24"/>
          <w:highlight w:val="none"/>
          <w:u w:val="single"/>
        </w:rPr>
      </w:pPr>
      <w:r>
        <w:rPr>
          <w:rFonts w:hint="eastAsia" w:ascii="宋体" w:hAnsi="宋体"/>
          <w:color w:val="auto"/>
          <w:sz w:val="24"/>
          <w:highlight w:val="none"/>
        </w:rPr>
        <w:t>投标人法定代表人/负责人（或法定代表人/负责人授权代表）签字：</w:t>
      </w:r>
    </w:p>
    <w:p w14:paraId="01DFE337">
      <w:pPr>
        <w:adjustRightInd w:val="0"/>
        <w:snapToGrid w:val="0"/>
        <w:rPr>
          <w:rFonts w:hint="eastAsia" w:ascii="宋体" w:hAnsi="宋体"/>
          <w:color w:val="auto"/>
          <w:sz w:val="24"/>
          <w:highlight w:val="none"/>
          <w:u w:val="single"/>
        </w:rPr>
      </w:pPr>
      <w:r>
        <w:rPr>
          <w:rFonts w:hint="eastAsia" w:ascii="宋体" w:hAnsi="宋体"/>
          <w:color w:val="auto"/>
          <w:sz w:val="24"/>
          <w:highlight w:val="none"/>
        </w:rPr>
        <w:t>投标人名称（加盖公章）：</w:t>
      </w:r>
    </w:p>
    <w:p w14:paraId="693F417E">
      <w:pPr>
        <w:adjustRightInd w:val="0"/>
        <w:snapToGrid w:val="0"/>
        <w:rPr>
          <w:rFonts w:hint="eastAsia" w:ascii="宋体" w:hAnsi="宋体"/>
          <w:color w:val="auto"/>
          <w:sz w:val="24"/>
          <w:highlight w:val="none"/>
        </w:rPr>
      </w:pPr>
      <w:r>
        <w:rPr>
          <w:rFonts w:hint="eastAsia" w:ascii="宋体" w:hAnsi="宋体"/>
          <w:color w:val="auto"/>
          <w:sz w:val="24"/>
          <w:highlight w:val="none"/>
        </w:rPr>
        <w:t>日期：   年   月   日</w:t>
      </w:r>
    </w:p>
    <w:p w14:paraId="31184D7C">
      <w:pPr>
        <w:jc w:val="left"/>
        <w:rPr>
          <w:rFonts w:hint="eastAsia" w:ascii="宋体" w:hAnsi="宋体"/>
          <w:b/>
          <w:color w:val="auto"/>
          <w:sz w:val="32"/>
          <w:szCs w:val="32"/>
          <w:highlight w:val="none"/>
        </w:rPr>
      </w:pPr>
      <w:r>
        <w:rPr>
          <w:rFonts w:ascii="宋体" w:hAnsi="宋体"/>
          <w:b/>
          <w:bCs/>
          <w:color w:val="auto"/>
          <w:sz w:val="28"/>
          <w:highlight w:val="none"/>
        </w:rPr>
        <w:br w:type="page"/>
      </w:r>
    </w:p>
    <w:p w14:paraId="599CFB79">
      <w:pPr>
        <w:jc w:val="left"/>
        <w:rPr>
          <w:rFonts w:hint="eastAsia" w:ascii="宋体" w:hAnsi="宋体"/>
          <w:b/>
          <w:bCs/>
          <w:color w:val="auto"/>
          <w:sz w:val="24"/>
          <w:highlight w:val="none"/>
        </w:rPr>
      </w:pPr>
      <w:r>
        <w:rPr>
          <w:rFonts w:hint="eastAsia" w:ascii="宋体" w:hAnsi="宋体"/>
          <w:b/>
          <w:bCs/>
          <w:color w:val="auto"/>
          <w:sz w:val="24"/>
          <w:highlight w:val="none"/>
        </w:rPr>
        <w:t>1.2符合性自查表</w:t>
      </w:r>
    </w:p>
    <w:tbl>
      <w:tblPr>
        <w:tblStyle w:val="37"/>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4544"/>
        <w:gridCol w:w="1158"/>
        <w:gridCol w:w="2112"/>
      </w:tblGrid>
      <w:tr w14:paraId="6272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vAlign w:val="center"/>
          </w:tcPr>
          <w:p w14:paraId="152E5A9A">
            <w:pPr>
              <w:jc w:val="center"/>
              <w:rPr>
                <w:rFonts w:hint="eastAsia" w:ascii="宋体" w:hAnsi="宋体"/>
                <w:b/>
                <w:bCs/>
                <w:color w:val="auto"/>
                <w:szCs w:val="21"/>
                <w:highlight w:val="none"/>
              </w:rPr>
            </w:pPr>
            <w:r>
              <w:rPr>
                <w:rFonts w:hint="eastAsia" w:ascii="宋体" w:hAnsi="宋体"/>
                <w:b/>
                <w:bCs/>
                <w:color w:val="auto"/>
                <w:szCs w:val="21"/>
                <w:highlight w:val="none"/>
              </w:rPr>
              <w:t>评审内容</w:t>
            </w:r>
          </w:p>
        </w:tc>
        <w:tc>
          <w:tcPr>
            <w:tcW w:w="4544" w:type="dxa"/>
            <w:vAlign w:val="center"/>
          </w:tcPr>
          <w:p w14:paraId="67563382">
            <w:pPr>
              <w:ind w:firstLine="19" w:firstLineChars="9"/>
              <w:jc w:val="center"/>
              <w:rPr>
                <w:rFonts w:hint="eastAsia" w:ascii="宋体" w:hAnsi="宋体"/>
                <w:b/>
                <w:bCs/>
                <w:color w:val="auto"/>
                <w:szCs w:val="21"/>
                <w:highlight w:val="none"/>
              </w:rPr>
            </w:pPr>
            <w:r>
              <w:rPr>
                <w:rFonts w:hint="eastAsia" w:ascii="宋体" w:hAnsi="宋体"/>
                <w:b/>
                <w:bCs/>
                <w:color w:val="auto"/>
                <w:szCs w:val="21"/>
                <w:highlight w:val="none"/>
              </w:rPr>
              <w:t>招标文件要求</w:t>
            </w:r>
          </w:p>
        </w:tc>
        <w:tc>
          <w:tcPr>
            <w:tcW w:w="1158" w:type="dxa"/>
            <w:vAlign w:val="center"/>
          </w:tcPr>
          <w:p w14:paraId="772CB368">
            <w:pPr>
              <w:jc w:val="center"/>
              <w:rPr>
                <w:rFonts w:hint="eastAsia" w:ascii="宋体" w:hAnsi="宋体"/>
                <w:b/>
                <w:bCs/>
                <w:color w:val="auto"/>
                <w:szCs w:val="21"/>
                <w:highlight w:val="none"/>
              </w:rPr>
            </w:pPr>
            <w:r>
              <w:rPr>
                <w:rFonts w:hint="eastAsia" w:ascii="宋体" w:hAnsi="宋体"/>
                <w:b/>
                <w:bCs/>
                <w:color w:val="auto"/>
                <w:szCs w:val="21"/>
                <w:highlight w:val="none"/>
              </w:rPr>
              <w:t>自查结论</w:t>
            </w:r>
          </w:p>
        </w:tc>
        <w:tc>
          <w:tcPr>
            <w:tcW w:w="2112" w:type="dxa"/>
            <w:vAlign w:val="center"/>
          </w:tcPr>
          <w:p w14:paraId="6BF3A518">
            <w:pPr>
              <w:ind w:right="-178" w:rightChars="-85"/>
              <w:jc w:val="center"/>
              <w:rPr>
                <w:rFonts w:hint="eastAsia" w:ascii="宋体" w:hAnsi="宋体"/>
                <w:b/>
                <w:bCs/>
                <w:color w:val="auto"/>
                <w:szCs w:val="21"/>
                <w:highlight w:val="none"/>
              </w:rPr>
            </w:pPr>
            <w:r>
              <w:rPr>
                <w:rFonts w:hint="eastAsia" w:ascii="宋体" w:hAnsi="宋体"/>
                <w:b/>
                <w:bCs/>
                <w:color w:val="auto"/>
                <w:szCs w:val="21"/>
                <w:highlight w:val="none"/>
              </w:rPr>
              <w:t>证明资料</w:t>
            </w:r>
          </w:p>
        </w:tc>
      </w:tr>
      <w:tr w14:paraId="2B3F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vAlign w:val="center"/>
          </w:tcPr>
          <w:p w14:paraId="73637E2B">
            <w:pPr>
              <w:rPr>
                <w:rFonts w:hint="eastAsia" w:ascii="宋体" w:hAnsi="宋体"/>
                <w:color w:val="auto"/>
                <w:szCs w:val="21"/>
                <w:highlight w:val="none"/>
              </w:rPr>
            </w:pPr>
            <w:r>
              <w:rPr>
                <w:rFonts w:hint="eastAsia" w:ascii="宋体" w:hAnsi="宋体"/>
                <w:color w:val="auto"/>
                <w:kern w:val="0"/>
                <w:szCs w:val="21"/>
                <w:highlight w:val="none"/>
              </w:rPr>
              <w:t>投标报价</w:t>
            </w:r>
          </w:p>
        </w:tc>
        <w:tc>
          <w:tcPr>
            <w:tcW w:w="4544" w:type="dxa"/>
            <w:vAlign w:val="center"/>
          </w:tcPr>
          <w:p w14:paraId="6300320C">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投标报价：</w:t>
            </w:r>
          </w:p>
          <w:p w14:paraId="2A44F177">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1）投标报价未超过本项目最高限价</w:t>
            </w:r>
          </w:p>
          <w:p w14:paraId="40F7C16A">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2)对本项目内全部招标内容进行投标报价</w:t>
            </w:r>
          </w:p>
          <w:p w14:paraId="0559A2AC">
            <w:pPr>
              <w:rPr>
                <w:rFonts w:hint="eastAsia" w:ascii="宋体" w:hAnsi="宋体"/>
                <w:color w:val="auto"/>
                <w:szCs w:val="21"/>
                <w:highlight w:val="none"/>
              </w:rPr>
            </w:pPr>
            <w:r>
              <w:rPr>
                <w:rFonts w:hint="eastAsia" w:ascii="宋体" w:hAnsi="宋体"/>
                <w:color w:val="auto"/>
                <w:szCs w:val="21"/>
                <w:highlight w:val="none"/>
              </w:rPr>
              <w:t>3）投标报价是唯一确定的</w:t>
            </w:r>
          </w:p>
        </w:tc>
        <w:tc>
          <w:tcPr>
            <w:tcW w:w="1158" w:type="dxa"/>
            <w:vAlign w:val="center"/>
          </w:tcPr>
          <w:p w14:paraId="4D9CB7CF">
            <w:pPr>
              <w:rPr>
                <w:rFonts w:hint="eastAsia" w:ascii="宋体" w:hAnsi="宋体"/>
                <w:color w:val="auto"/>
                <w:szCs w:val="21"/>
                <w:highlight w:val="none"/>
              </w:rPr>
            </w:pPr>
            <w:r>
              <w:rPr>
                <w:rFonts w:hint="eastAsia" w:ascii="宋体" w:hAnsi="宋体"/>
                <w:color w:val="auto"/>
                <w:szCs w:val="21"/>
                <w:highlight w:val="none"/>
              </w:rPr>
              <w:t>□通过</w:t>
            </w:r>
          </w:p>
          <w:p w14:paraId="6517E965">
            <w:pPr>
              <w:rPr>
                <w:rFonts w:hint="eastAsia" w:ascii="宋体" w:hAnsi="宋体"/>
                <w:color w:val="auto"/>
                <w:szCs w:val="21"/>
                <w:highlight w:val="none"/>
              </w:rPr>
            </w:pPr>
            <w:r>
              <w:rPr>
                <w:rFonts w:hint="eastAsia" w:ascii="宋体" w:hAnsi="宋体"/>
                <w:color w:val="auto"/>
                <w:szCs w:val="21"/>
                <w:highlight w:val="none"/>
              </w:rPr>
              <w:t>□不通过</w:t>
            </w:r>
          </w:p>
        </w:tc>
        <w:tc>
          <w:tcPr>
            <w:tcW w:w="2112" w:type="dxa"/>
            <w:vAlign w:val="center"/>
          </w:tcPr>
          <w:p w14:paraId="180BEF3A">
            <w:pPr>
              <w:ind w:right="-178" w:rightChars="-85"/>
              <w:jc w:val="center"/>
              <w:rPr>
                <w:rFonts w:hint="eastAsia" w:ascii="宋体" w:hAnsi="宋体"/>
                <w:color w:val="auto"/>
                <w:szCs w:val="21"/>
                <w:highlight w:val="none"/>
              </w:rPr>
            </w:pPr>
            <w:r>
              <w:rPr>
                <w:rFonts w:hint="eastAsia" w:ascii="宋体" w:hAnsi="宋体"/>
                <w:color w:val="auto"/>
                <w:szCs w:val="21"/>
                <w:highlight w:val="none"/>
              </w:rPr>
              <w:t>/</w:t>
            </w:r>
          </w:p>
        </w:tc>
      </w:tr>
      <w:tr w14:paraId="4CE8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vAlign w:val="center"/>
          </w:tcPr>
          <w:p w14:paraId="40976400">
            <w:pPr>
              <w:rPr>
                <w:rFonts w:hint="eastAsia" w:ascii="宋体" w:hAnsi="宋体"/>
                <w:color w:val="auto"/>
                <w:szCs w:val="21"/>
                <w:highlight w:val="none"/>
              </w:rPr>
            </w:pPr>
            <w:r>
              <w:rPr>
                <w:rFonts w:hint="eastAsia" w:ascii="宋体" w:hAnsi="宋体"/>
                <w:color w:val="auto"/>
                <w:szCs w:val="21"/>
                <w:highlight w:val="none"/>
              </w:rPr>
              <w:t>投标有效期</w:t>
            </w:r>
          </w:p>
        </w:tc>
        <w:tc>
          <w:tcPr>
            <w:tcW w:w="4544" w:type="dxa"/>
            <w:vAlign w:val="center"/>
          </w:tcPr>
          <w:p w14:paraId="16DC9A68">
            <w:pPr>
              <w:rPr>
                <w:rFonts w:hint="eastAsia" w:ascii="宋体" w:hAnsi="宋体"/>
                <w:color w:val="auto"/>
                <w:szCs w:val="21"/>
                <w:highlight w:val="none"/>
              </w:rPr>
            </w:pPr>
            <w:r>
              <w:rPr>
                <w:rFonts w:hint="eastAsia" w:ascii="宋体" w:hAnsi="宋体"/>
                <w:color w:val="auto"/>
                <w:szCs w:val="21"/>
                <w:highlight w:val="none"/>
              </w:rPr>
              <w:t>提供《投标函》，投标有限期为提交投标文件截止之日起90日</w:t>
            </w:r>
          </w:p>
        </w:tc>
        <w:tc>
          <w:tcPr>
            <w:tcW w:w="1158" w:type="dxa"/>
            <w:vAlign w:val="center"/>
          </w:tcPr>
          <w:p w14:paraId="2D8A0A7F">
            <w:pPr>
              <w:ind w:left="36" w:leftChars="17"/>
              <w:rPr>
                <w:rFonts w:hint="eastAsia" w:ascii="宋体" w:hAnsi="宋体"/>
                <w:color w:val="auto"/>
                <w:szCs w:val="21"/>
                <w:highlight w:val="none"/>
              </w:rPr>
            </w:pPr>
            <w:r>
              <w:rPr>
                <w:rFonts w:hint="eastAsia" w:ascii="宋体" w:hAnsi="宋体"/>
                <w:color w:val="auto"/>
                <w:szCs w:val="21"/>
                <w:highlight w:val="none"/>
              </w:rPr>
              <w:t>□通过</w:t>
            </w:r>
          </w:p>
          <w:p w14:paraId="22D73428">
            <w:pPr>
              <w:ind w:left="36" w:leftChars="17"/>
              <w:rPr>
                <w:rFonts w:hint="eastAsia" w:ascii="宋体" w:hAnsi="宋体"/>
                <w:color w:val="auto"/>
                <w:szCs w:val="21"/>
                <w:highlight w:val="none"/>
              </w:rPr>
            </w:pPr>
            <w:r>
              <w:rPr>
                <w:rFonts w:hint="eastAsia" w:ascii="宋体" w:hAnsi="宋体"/>
                <w:color w:val="auto"/>
                <w:szCs w:val="21"/>
                <w:highlight w:val="none"/>
              </w:rPr>
              <w:t>□不通过</w:t>
            </w:r>
          </w:p>
        </w:tc>
        <w:tc>
          <w:tcPr>
            <w:tcW w:w="2112" w:type="dxa"/>
            <w:vAlign w:val="center"/>
          </w:tcPr>
          <w:p w14:paraId="3F722B31">
            <w:pPr>
              <w:ind w:right="-178" w:rightChars="-85"/>
              <w:rPr>
                <w:rFonts w:hint="eastAsia" w:ascii="宋体" w:hAnsi="宋体"/>
                <w:color w:val="auto"/>
                <w:szCs w:val="21"/>
                <w:highlight w:val="none"/>
              </w:rPr>
            </w:pPr>
            <w:r>
              <w:rPr>
                <w:rFonts w:hint="eastAsia" w:ascii="宋体" w:hAnsi="宋体"/>
                <w:color w:val="auto"/>
                <w:szCs w:val="21"/>
                <w:highlight w:val="none"/>
              </w:rPr>
              <w:t>见投标文件第( )页</w:t>
            </w:r>
          </w:p>
        </w:tc>
      </w:tr>
      <w:tr w14:paraId="6EF3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vAlign w:val="center"/>
          </w:tcPr>
          <w:p w14:paraId="505C90B6">
            <w:pPr>
              <w:rPr>
                <w:rFonts w:hint="eastAsia" w:ascii="宋体" w:hAnsi="宋体"/>
                <w:color w:val="auto"/>
                <w:szCs w:val="21"/>
                <w:highlight w:val="none"/>
              </w:rPr>
            </w:pPr>
            <w:r>
              <w:rPr>
                <w:rFonts w:hint="eastAsia" w:ascii="宋体" w:hAnsi="宋体"/>
                <w:color w:val="auto"/>
                <w:szCs w:val="21"/>
                <w:highlight w:val="none"/>
              </w:rPr>
              <w:t>法定代表人证明书及授权委托书</w:t>
            </w:r>
          </w:p>
        </w:tc>
        <w:tc>
          <w:tcPr>
            <w:tcW w:w="4544" w:type="dxa"/>
            <w:vAlign w:val="center"/>
          </w:tcPr>
          <w:p w14:paraId="46327FD1">
            <w:pPr>
              <w:ind w:left="40" w:leftChars="19" w:firstLine="18" w:firstLineChars="9"/>
              <w:rPr>
                <w:rFonts w:hint="eastAsia" w:ascii="宋体" w:hAnsi="宋体"/>
                <w:color w:val="auto"/>
                <w:szCs w:val="21"/>
                <w:highlight w:val="none"/>
              </w:rPr>
            </w:pPr>
            <w:r>
              <w:rPr>
                <w:rFonts w:hint="eastAsia" w:ascii="宋体" w:hAnsi="宋体"/>
                <w:color w:val="auto"/>
                <w:szCs w:val="21"/>
                <w:highlight w:val="none"/>
              </w:rPr>
              <w:t>按对应格式文件签署、盖章(原件)</w:t>
            </w:r>
          </w:p>
        </w:tc>
        <w:tc>
          <w:tcPr>
            <w:tcW w:w="1158" w:type="dxa"/>
            <w:vAlign w:val="center"/>
          </w:tcPr>
          <w:p w14:paraId="52C01475">
            <w:pPr>
              <w:ind w:left="36" w:leftChars="17"/>
              <w:rPr>
                <w:rFonts w:hint="eastAsia" w:ascii="宋体" w:hAnsi="宋体"/>
                <w:color w:val="auto"/>
                <w:szCs w:val="21"/>
                <w:highlight w:val="none"/>
              </w:rPr>
            </w:pPr>
            <w:r>
              <w:rPr>
                <w:rFonts w:hint="eastAsia" w:ascii="宋体" w:hAnsi="宋体"/>
                <w:color w:val="auto"/>
                <w:szCs w:val="21"/>
                <w:highlight w:val="none"/>
              </w:rPr>
              <w:t>□通过</w:t>
            </w:r>
          </w:p>
          <w:p w14:paraId="47B087AB">
            <w:pPr>
              <w:ind w:left="36" w:leftChars="17"/>
              <w:rPr>
                <w:rFonts w:hint="eastAsia" w:ascii="宋体" w:hAnsi="宋体"/>
                <w:color w:val="auto"/>
                <w:szCs w:val="21"/>
                <w:highlight w:val="none"/>
              </w:rPr>
            </w:pPr>
            <w:r>
              <w:rPr>
                <w:rFonts w:hint="eastAsia" w:ascii="宋体" w:hAnsi="宋体"/>
                <w:color w:val="auto"/>
                <w:szCs w:val="21"/>
                <w:highlight w:val="none"/>
              </w:rPr>
              <w:t>□不通过</w:t>
            </w:r>
          </w:p>
        </w:tc>
        <w:tc>
          <w:tcPr>
            <w:tcW w:w="2112" w:type="dxa"/>
            <w:vAlign w:val="center"/>
          </w:tcPr>
          <w:p w14:paraId="62B0E9E9">
            <w:pPr>
              <w:ind w:right="-178" w:rightChars="-85"/>
              <w:rPr>
                <w:rFonts w:hint="eastAsia" w:ascii="宋体" w:hAnsi="宋体"/>
                <w:color w:val="auto"/>
                <w:szCs w:val="21"/>
                <w:highlight w:val="none"/>
              </w:rPr>
            </w:pPr>
            <w:r>
              <w:rPr>
                <w:rFonts w:hint="eastAsia" w:ascii="宋体" w:hAnsi="宋体"/>
                <w:color w:val="auto"/>
                <w:szCs w:val="21"/>
                <w:highlight w:val="none"/>
              </w:rPr>
              <w:t>见投标文件第( )页</w:t>
            </w:r>
          </w:p>
        </w:tc>
      </w:tr>
      <w:tr w14:paraId="48B8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vAlign w:val="center"/>
          </w:tcPr>
          <w:p w14:paraId="51AF6AC8">
            <w:pPr>
              <w:rPr>
                <w:rFonts w:hint="eastAsia" w:ascii="宋体" w:hAnsi="宋体"/>
                <w:color w:val="auto"/>
                <w:szCs w:val="21"/>
                <w:highlight w:val="none"/>
              </w:rPr>
            </w:pPr>
            <w:r>
              <w:rPr>
                <w:rFonts w:hint="eastAsia" w:ascii="宋体" w:hAnsi="宋体"/>
                <w:color w:val="auto"/>
                <w:szCs w:val="21"/>
                <w:highlight w:val="none"/>
              </w:rPr>
              <w:t>投标文件签署、盖章</w:t>
            </w:r>
          </w:p>
        </w:tc>
        <w:tc>
          <w:tcPr>
            <w:tcW w:w="4544" w:type="dxa"/>
            <w:vAlign w:val="center"/>
          </w:tcPr>
          <w:p w14:paraId="776992BA">
            <w:pPr>
              <w:ind w:left="40" w:leftChars="19"/>
              <w:rPr>
                <w:rFonts w:hint="eastAsia" w:ascii="宋体" w:hAnsi="宋体"/>
                <w:color w:val="auto"/>
                <w:szCs w:val="21"/>
                <w:highlight w:val="none"/>
              </w:rPr>
            </w:pPr>
            <w:r>
              <w:rPr>
                <w:rFonts w:hint="eastAsia" w:ascii="宋体" w:hAnsi="宋体"/>
                <w:color w:val="auto"/>
                <w:szCs w:val="21"/>
                <w:highlight w:val="none"/>
              </w:rPr>
              <w:t>按照招标文件规定要求签署、盖章</w:t>
            </w:r>
          </w:p>
        </w:tc>
        <w:tc>
          <w:tcPr>
            <w:tcW w:w="1158" w:type="dxa"/>
            <w:vAlign w:val="center"/>
          </w:tcPr>
          <w:p w14:paraId="4891F4BF">
            <w:pPr>
              <w:ind w:left="40" w:leftChars="19"/>
              <w:rPr>
                <w:rFonts w:hint="eastAsia" w:ascii="宋体" w:hAnsi="宋体"/>
                <w:color w:val="auto"/>
                <w:szCs w:val="21"/>
                <w:highlight w:val="none"/>
              </w:rPr>
            </w:pPr>
            <w:r>
              <w:rPr>
                <w:rFonts w:hint="eastAsia" w:ascii="宋体" w:hAnsi="宋体"/>
                <w:color w:val="auto"/>
                <w:szCs w:val="21"/>
                <w:highlight w:val="none"/>
              </w:rPr>
              <w:t>□通过</w:t>
            </w:r>
          </w:p>
          <w:p w14:paraId="3A1651B4">
            <w:pPr>
              <w:ind w:left="40" w:leftChars="19"/>
              <w:rPr>
                <w:rFonts w:hint="eastAsia" w:ascii="宋体" w:hAnsi="宋体"/>
                <w:color w:val="auto"/>
                <w:szCs w:val="21"/>
                <w:highlight w:val="none"/>
              </w:rPr>
            </w:pPr>
            <w:r>
              <w:rPr>
                <w:rFonts w:hint="eastAsia" w:ascii="宋体" w:hAnsi="宋体"/>
                <w:color w:val="auto"/>
                <w:szCs w:val="21"/>
                <w:highlight w:val="none"/>
              </w:rPr>
              <w:t>□不通过</w:t>
            </w:r>
          </w:p>
        </w:tc>
        <w:tc>
          <w:tcPr>
            <w:tcW w:w="2112" w:type="dxa"/>
            <w:vAlign w:val="center"/>
          </w:tcPr>
          <w:p w14:paraId="54FBBA3E">
            <w:pPr>
              <w:ind w:left="40" w:leftChars="19"/>
              <w:rPr>
                <w:rFonts w:hint="eastAsia" w:ascii="宋体" w:hAnsi="宋体"/>
                <w:color w:val="auto"/>
                <w:szCs w:val="21"/>
                <w:highlight w:val="none"/>
              </w:rPr>
            </w:pPr>
            <w:r>
              <w:rPr>
                <w:rFonts w:hint="eastAsia" w:ascii="宋体" w:hAnsi="宋体"/>
                <w:color w:val="auto"/>
                <w:szCs w:val="21"/>
                <w:highlight w:val="none"/>
              </w:rPr>
              <w:t>/</w:t>
            </w:r>
          </w:p>
        </w:tc>
      </w:tr>
      <w:tr w14:paraId="1D6F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vAlign w:val="center"/>
          </w:tcPr>
          <w:p w14:paraId="388C3284">
            <w:pPr>
              <w:tabs>
                <w:tab w:val="left" w:pos="2880"/>
              </w:tabs>
              <w:rPr>
                <w:rFonts w:hint="eastAsia" w:ascii="宋体" w:hAnsi="宋体"/>
                <w:color w:val="auto"/>
                <w:szCs w:val="21"/>
                <w:highlight w:val="none"/>
              </w:rPr>
            </w:pPr>
            <w:r>
              <w:rPr>
                <w:rFonts w:hint="eastAsia" w:ascii="宋体" w:hAnsi="宋体"/>
                <w:color w:val="auto"/>
                <w:szCs w:val="21"/>
                <w:highlight w:val="none"/>
              </w:rPr>
              <w:t>实质性响应招标文件中“★”号条款的服务、商务要求</w:t>
            </w:r>
          </w:p>
        </w:tc>
        <w:tc>
          <w:tcPr>
            <w:tcW w:w="4544" w:type="dxa"/>
            <w:vAlign w:val="center"/>
          </w:tcPr>
          <w:p w14:paraId="3CAEF31F">
            <w:pPr>
              <w:pStyle w:val="11"/>
              <w:spacing w:line="360" w:lineRule="exact"/>
              <w:ind w:firstLine="18" w:firstLineChars="9"/>
              <w:rPr>
                <w:rFonts w:hint="eastAsia" w:ascii="宋体" w:hAnsi="宋体"/>
                <w:color w:val="auto"/>
                <w:sz w:val="21"/>
                <w:szCs w:val="21"/>
                <w:highlight w:val="none"/>
              </w:rPr>
            </w:pPr>
            <w:r>
              <w:rPr>
                <w:rFonts w:hint="eastAsia" w:ascii="宋体" w:hAnsi="宋体"/>
                <w:color w:val="auto"/>
                <w:sz w:val="21"/>
                <w:szCs w:val="21"/>
                <w:highlight w:val="none"/>
              </w:rPr>
              <w:t>投标方案不得对实质性服务与商务的（即标注★号条款）条款产生偏离</w:t>
            </w:r>
          </w:p>
        </w:tc>
        <w:tc>
          <w:tcPr>
            <w:tcW w:w="1158" w:type="dxa"/>
            <w:vAlign w:val="center"/>
          </w:tcPr>
          <w:p w14:paraId="4895926E">
            <w:pPr>
              <w:ind w:left="40" w:leftChars="19"/>
              <w:rPr>
                <w:rFonts w:hint="eastAsia" w:ascii="宋体" w:hAnsi="宋体"/>
                <w:color w:val="auto"/>
                <w:szCs w:val="21"/>
                <w:highlight w:val="none"/>
              </w:rPr>
            </w:pPr>
            <w:r>
              <w:rPr>
                <w:rFonts w:hint="eastAsia" w:ascii="宋体" w:hAnsi="宋体"/>
                <w:color w:val="auto"/>
                <w:szCs w:val="21"/>
                <w:highlight w:val="none"/>
              </w:rPr>
              <w:t>□通过</w:t>
            </w:r>
          </w:p>
          <w:p w14:paraId="4E3FAF2E">
            <w:pPr>
              <w:pStyle w:val="11"/>
              <w:spacing w:line="360" w:lineRule="exact"/>
              <w:ind w:left="36" w:leftChars="17"/>
              <w:rPr>
                <w:rFonts w:hint="eastAsia" w:ascii="宋体" w:hAnsi="宋体"/>
                <w:color w:val="auto"/>
                <w:sz w:val="21"/>
                <w:szCs w:val="21"/>
                <w:highlight w:val="none"/>
              </w:rPr>
            </w:pPr>
            <w:r>
              <w:rPr>
                <w:rFonts w:hint="eastAsia" w:ascii="宋体" w:hAnsi="宋体"/>
                <w:color w:val="auto"/>
                <w:sz w:val="21"/>
                <w:szCs w:val="21"/>
                <w:highlight w:val="none"/>
              </w:rPr>
              <w:t>□不通过</w:t>
            </w:r>
          </w:p>
        </w:tc>
        <w:tc>
          <w:tcPr>
            <w:tcW w:w="2112" w:type="dxa"/>
            <w:vAlign w:val="center"/>
          </w:tcPr>
          <w:p w14:paraId="1A47A297">
            <w:pPr>
              <w:pStyle w:val="11"/>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见投标文件第( )页</w:t>
            </w:r>
          </w:p>
        </w:tc>
      </w:tr>
      <w:tr w14:paraId="0961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vAlign w:val="center"/>
          </w:tcPr>
          <w:p w14:paraId="0930CA5C">
            <w:pPr>
              <w:tabs>
                <w:tab w:val="left" w:pos="2880"/>
              </w:tabs>
              <w:rPr>
                <w:rFonts w:hint="eastAsia" w:ascii="宋体" w:hAnsi="宋体"/>
                <w:color w:val="auto"/>
                <w:szCs w:val="21"/>
                <w:highlight w:val="none"/>
              </w:rPr>
            </w:pPr>
            <w:r>
              <w:rPr>
                <w:rFonts w:hint="eastAsia" w:ascii="宋体" w:hAnsi="宋体"/>
                <w:color w:val="auto"/>
                <w:szCs w:val="21"/>
                <w:highlight w:val="none"/>
              </w:rPr>
              <w:t>异常低价审查</w:t>
            </w:r>
          </w:p>
        </w:tc>
        <w:tc>
          <w:tcPr>
            <w:tcW w:w="4544" w:type="dxa"/>
            <w:vAlign w:val="center"/>
          </w:tcPr>
          <w:p w14:paraId="2BF92B79">
            <w:pPr>
              <w:pStyle w:val="11"/>
              <w:spacing w:line="360" w:lineRule="exact"/>
              <w:ind w:firstLine="18" w:firstLineChars="9"/>
              <w:rPr>
                <w:rFonts w:hint="eastAsia" w:ascii="宋体" w:hAnsi="宋体"/>
                <w:color w:val="auto"/>
                <w:sz w:val="21"/>
                <w:szCs w:val="21"/>
                <w:highlight w:val="none"/>
              </w:rPr>
            </w:pPr>
            <w:r>
              <w:rPr>
                <w:rFonts w:hint="eastAsia" w:ascii="宋体" w:hAnsi="宋体"/>
                <w:color w:val="auto"/>
                <w:sz w:val="21"/>
                <w:szCs w:val="21"/>
                <w:highlight w:val="none"/>
              </w:rPr>
              <w:t>投标（响应）报价出现异常低价的，供应商需在评审现场合理时间内提供书面说明及必要的证明材料，对投标（响应）价格作出解释。书面说明、证明材料应包括项目具体成本测算等与报价合理性相关的说明和材料。</w:t>
            </w:r>
          </w:p>
        </w:tc>
        <w:tc>
          <w:tcPr>
            <w:tcW w:w="1158" w:type="dxa"/>
            <w:vAlign w:val="center"/>
          </w:tcPr>
          <w:p w14:paraId="02CAFFC3">
            <w:pPr>
              <w:ind w:left="40" w:leftChars="19"/>
              <w:rPr>
                <w:rFonts w:hint="eastAsia" w:ascii="宋体" w:hAnsi="宋体"/>
                <w:color w:val="auto"/>
                <w:szCs w:val="21"/>
                <w:highlight w:val="none"/>
              </w:rPr>
            </w:pPr>
            <w:r>
              <w:rPr>
                <w:rFonts w:hint="eastAsia" w:ascii="宋体" w:hAnsi="宋体"/>
                <w:color w:val="auto"/>
                <w:szCs w:val="21"/>
                <w:highlight w:val="none"/>
              </w:rPr>
              <w:t>□通过</w:t>
            </w:r>
          </w:p>
          <w:p w14:paraId="2A5A5854">
            <w:pPr>
              <w:pStyle w:val="11"/>
              <w:spacing w:line="360" w:lineRule="exact"/>
              <w:ind w:left="36" w:leftChars="17"/>
              <w:rPr>
                <w:rFonts w:hint="eastAsia" w:ascii="宋体" w:hAnsi="宋体"/>
                <w:color w:val="auto"/>
                <w:sz w:val="21"/>
                <w:szCs w:val="21"/>
                <w:highlight w:val="none"/>
              </w:rPr>
            </w:pPr>
            <w:r>
              <w:rPr>
                <w:rFonts w:hint="eastAsia" w:ascii="宋体" w:hAnsi="宋体"/>
                <w:color w:val="auto"/>
                <w:sz w:val="21"/>
                <w:szCs w:val="21"/>
                <w:highlight w:val="none"/>
              </w:rPr>
              <w:t>□不通过</w:t>
            </w:r>
          </w:p>
        </w:tc>
        <w:tc>
          <w:tcPr>
            <w:tcW w:w="2112" w:type="dxa"/>
            <w:vAlign w:val="center"/>
          </w:tcPr>
          <w:p w14:paraId="26D1042D">
            <w:pPr>
              <w:pStyle w:val="11"/>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见投标文件第( )页</w:t>
            </w:r>
          </w:p>
        </w:tc>
      </w:tr>
      <w:tr w14:paraId="7A94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2159" w:type="dxa"/>
            <w:vAlign w:val="center"/>
          </w:tcPr>
          <w:p w14:paraId="73E97BDB">
            <w:pPr>
              <w:tabs>
                <w:tab w:val="left" w:pos="7740"/>
              </w:tabs>
              <w:rPr>
                <w:rFonts w:hint="eastAsia" w:ascii="宋体" w:hAnsi="宋体"/>
                <w:color w:val="auto"/>
                <w:szCs w:val="21"/>
                <w:highlight w:val="none"/>
              </w:rPr>
            </w:pPr>
            <w:r>
              <w:rPr>
                <w:rFonts w:hint="eastAsia" w:ascii="宋体" w:hAnsi="宋体"/>
                <w:color w:val="auto"/>
                <w:szCs w:val="21"/>
                <w:highlight w:val="none"/>
              </w:rPr>
              <w:t>其它</w:t>
            </w:r>
          </w:p>
        </w:tc>
        <w:tc>
          <w:tcPr>
            <w:tcW w:w="4544" w:type="dxa"/>
            <w:vAlign w:val="center"/>
          </w:tcPr>
          <w:p w14:paraId="3BBFB2F2">
            <w:pPr>
              <w:tabs>
                <w:tab w:val="left" w:pos="7740"/>
              </w:tabs>
              <w:rPr>
                <w:rFonts w:hint="eastAsia" w:ascii="宋体" w:hAnsi="宋体"/>
                <w:color w:val="auto"/>
                <w:szCs w:val="21"/>
                <w:highlight w:val="none"/>
              </w:rPr>
            </w:pPr>
            <w:r>
              <w:rPr>
                <w:rFonts w:hint="eastAsia" w:ascii="宋体" w:hAnsi="宋体"/>
                <w:color w:val="auto"/>
                <w:szCs w:val="21"/>
                <w:highlight w:val="none"/>
              </w:rPr>
              <w:t>实质性响应招标文件中规定的其它情况</w:t>
            </w:r>
          </w:p>
        </w:tc>
        <w:tc>
          <w:tcPr>
            <w:tcW w:w="1158" w:type="dxa"/>
            <w:vAlign w:val="center"/>
          </w:tcPr>
          <w:p w14:paraId="472174F2">
            <w:pPr>
              <w:ind w:left="40" w:leftChars="19"/>
              <w:rPr>
                <w:rFonts w:hint="eastAsia" w:ascii="宋体" w:hAnsi="宋体"/>
                <w:color w:val="auto"/>
                <w:szCs w:val="21"/>
                <w:highlight w:val="none"/>
              </w:rPr>
            </w:pPr>
            <w:r>
              <w:rPr>
                <w:rFonts w:hint="eastAsia" w:ascii="宋体" w:hAnsi="宋体"/>
                <w:color w:val="auto"/>
                <w:szCs w:val="21"/>
                <w:highlight w:val="none"/>
              </w:rPr>
              <w:t>□通过</w:t>
            </w:r>
          </w:p>
          <w:p w14:paraId="7AEDF331">
            <w:pPr>
              <w:pStyle w:val="11"/>
              <w:spacing w:line="360" w:lineRule="exact"/>
              <w:ind w:left="36" w:leftChars="17"/>
              <w:rPr>
                <w:rFonts w:hint="eastAsia" w:ascii="宋体" w:hAnsi="宋体"/>
                <w:color w:val="auto"/>
                <w:sz w:val="21"/>
                <w:szCs w:val="21"/>
                <w:highlight w:val="none"/>
              </w:rPr>
            </w:pPr>
            <w:r>
              <w:rPr>
                <w:rFonts w:hint="eastAsia" w:ascii="宋体" w:hAnsi="宋体"/>
                <w:color w:val="auto"/>
                <w:sz w:val="21"/>
                <w:szCs w:val="21"/>
                <w:highlight w:val="none"/>
              </w:rPr>
              <w:t>□不通过</w:t>
            </w:r>
          </w:p>
        </w:tc>
        <w:tc>
          <w:tcPr>
            <w:tcW w:w="2112" w:type="dxa"/>
            <w:vAlign w:val="center"/>
          </w:tcPr>
          <w:p w14:paraId="48A4D735">
            <w:pPr>
              <w:pStyle w:val="11"/>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见投标文件第( )页</w:t>
            </w:r>
          </w:p>
        </w:tc>
      </w:tr>
    </w:tbl>
    <w:p w14:paraId="1704DFCA">
      <w:pPr>
        <w:pStyle w:val="11"/>
        <w:rPr>
          <w:rFonts w:hint="eastAsia" w:ascii="宋体" w:hAnsi="宋体"/>
          <w:color w:val="auto"/>
          <w:sz w:val="24"/>
          <w:szCs w:val="24"/>
          <w:highlight w:val="none"/>
        </w:rPr>
      </w:pPr>
      <w:r>
        <w:rPr>
          <w:rFonts w:hint="eastAsia" w:ascii="宋体" w:hAnsi="宋体"/>
          <w:color w:val="auto"/>
          <w:sz w:val="24"/>
          <w:szCs w:val="24"/>
          <w:highlight w:val="none"/>
        </w:rPr>
        <w:t>注：以上材料将作为投标人符合性审核的重要内容之一，投标人必须严格按照其内容及序列要求在投标文件中对应如实提供，对缺漏和不符合项将会直接导致无效投标！在对应的□打“√”。</w:t>
      </w:r>
    </w:p>
    <w:p w14:paraId="3CD2970B">
      <w:pPr>
        <w:adjustRightInd w:val="0"/>
        <w:snapToGrid w:val="0"/>
        <w:rPr>
          <w:rFonts w:hint="eastAsia" w:ascii="宋体" w:hAnsi="宋体"/>
          <w:color w:val="auto"/>
          <w:sz w:val="24"/>
          <w:highlight w:val="none"/>
          <w:u w:val="single"/>
        </w:rPr>
      </w:pPr>
      <w:r>
        <w:rPr>
          <w:rFonts w:hint="eastAsia" w:ascii="宋体" w:hAnsi="宋体"/>
          <w:color w:val="auto"/>
          <w:sz w:val="24"/>
          <w:highlight w:val="none"/>
        </w:rPr>
        <w:t>投标人法定代表人/负责人（或法定代表人/负责人授权代表）签字：</w:t>
      </w:r>
    </w:p>
    <w:p w14:paraId="3AC042B3">
      <w:pPr>
        <w:adjustRightInd w:val="0"/>
        <w:snapToGrid w:val="0"/>
        <w:rPr>
          <w:rFonts w:hint="eastAsia" w:ascii="宋体" w:hAnsi="宋体"/>
          <w:color w:val="auto"/>
          <w:sz w:val="24"/>
          <w:highlight w:val="none"/>
          <w:u w:val="single"/>
        </w:rPr>
      </w:pPr>
      <w:r>
        <w:rPr>
          <w:rFonts w:hint="eastAsia" w:ascii="宋体" w:hAnsi="宋体"/>
          <w:color w:val="auto"/>
          <w:sz w:val="24"/>
          <w:highlight w:val="none"/>
        </w:rPr>
        <w:t>投标人名称（加盖公章）：</w:t>
      </w:r>
    </w:p>
    <w:p w14:paraId="03442698">
      <w:pPr>
        <w:adjustRightInd w:val="0"/>
        <w:snapToGrid w:val="0"/>
        <w:rPr>
          <w:rFonts w:hint="eastAsia" w:ascii="宋体" w:hAnsi="宋体"/>
          <w:color w:val="auto"/>
          <w:sz w:val="24"/>
          <w:highlight w:val="none"/>
        </w:rPr>
      </w:pPr>
      <w:r>
        <w:rPr>
          <w:rFonts w:hint="eastAsia" w:ascii="宋体" w:hAnsi="宋体"/>
          <w:color w:val="auto"/>
          <w:sz w:val="24"/>
          <w:highlight w:val="none"/>
        </w:rPr>
        <w:t>日期：   年   月   日</w:t>
      </w:r>
    </w:p>
    <w:p w14:paraId="0D44B65E">
      <w:pPr>
        <w:adjustRightInd w:val="0"/>
        <w:snapToGrid w:val="0"/>
        <w:rPr>
          <w:rFonts w:hint="eastAsia" w:ascii="宋体" w:hAnsi="宋体"/>
          <w:color w:val="auto"/>
          <w:sz w:val="24"/>
          <w:highlight w:val="none"/>
        </w:rPr>
      </w:pPr>
    </w:p>
    <w:p w14:paraId="17A17235">
      <w:pPr>
        <w:adjustRightInd w:val="0"/>
        <w:snapToGrid w:val="0"/>
        <w:rPr>
          <w:rFonts w:hint="eastAsia" w:ascii="宋体" w:hAnsi="宋体"/>
          <w:color w:val="auto"/>
          <w:sz w:val="24"/>
          <w:highlight w:val="none"/>
        </w:rPr>
      </w:pPr>
    </w:p>
    <w:p w14:paraId="431355BB">
      <w:pPr>
        <w:adjustRightInd w:val="0"/>
        <w:snapToGrid w:val="0"/>
        <w:rPr>
          <w:rFonts w:hint="eastAsia" w:ascii="宋体" w:hAnsi="宋体"/>
          <w:color w:val="auto"/>
          <w:sz w:val="24"/>
          <w:highlight w:val="none"/>
        </w:rPr>
      </w:pPr>
    </w:p>
    <w:p w14:paraId="107CC437">
      <w:pPr>
        <w:adjustRightInd w:val="0"/>
        <w:snapToGrid w:val="0"/>
        <w:rPr>
          <w:rFonts w:hint="eastAsia" w:ascii="宋体" w:hAnsi="宋体"/>
          <w:color w:val="auto"/>
          <w:sz w:val="24"/>
          <w:highlight w:val="none"/>
        </w:rPr>
      </w:pPr>
    </w:p>
    <w:p w14:paraId="3F4F84B2">
      <w:pPr>
        <w:adjustRightInd w:val="0"/>
        <w:snapToGrid w:val="0"/>
        <w:rPr>
          <w:rFonts w:hint="eastAsia" w:ascii="宋体" w:hAnsi="宋体"/>
          <w:color w:val="auto"/>
          <w:sz w:val="24"/>
          <w:highlight w:val="none"/>
        </w:rPr>
      </w:pPr>
    </w:p>
    <w:p w14:paraId="4C01FBB8">
      <w:pPr>
        <w:adjustRightInd w:val="0"/>
        <w:snapToGrid w:val="0"/>
        <w:rPr>
          <w:rFonts w:hint="eastAsia" w:ascii="宋体" w:hAnsi="宋体"/>
          <w:color w:val="auto"/>
          <w:sz w:val="24"/>
          <w:highlight w:val="none"/>
        </w:rPr>
      </w:pPr>
    </w:p>
    <w:p w14:paraId="1D127B6F">
      <w:pPr>
        <w:adjustRightInd w:val="0"/>
        <w:snapToGrid w:val="0"/>
        <w:rPr>
          <w:rFonts w:hint="eastAsia" w:ascii="宋体" w:hAnsi="宋体"/>
          <w:color w:val="auto"/>
          <w:sz w:val="24"/>
          <w:highlight w:val="none"/>
        </w:rPr>
      </w:pPr>
    </w:p>
    <w:p w14:paraId="71F666E9">
      <w:pPr>
        <w:adjustRightInd w:val="0"/>
        <w:snapToGrid w:val="0"/>
        <w:rPr>
          <w:rFonts w:hint="eastAsia" w:ascii="宋体" w:hAnsi="宋体"/>
          <w:color w:val="auto"/>
          <w:sz w:val="24"/>
          <w:highlight w:val="none"/>
        </w:rPr>
      </w:pPr>
    </w:p>
    <w:p w14:paraId="0B854FA8">
      <w:pPr>
        <w:adjustRightInd w:val="0"/>
        <w:snapToGrid w:val="0"/>
        <w:rPr>
          <w:rFonts w:hint="eastAsia" w:ascii="宋体" w:hAnsi="宋体"/>
          <w:color w:val="auto"/>
          <w:sz w:val="24"/>
          <w:highlight w:val="none"/>
        </w:rPr>
      </w:pPr>
    </w:p>
    <w:p w14:paraId="6BE6EDD6">
      <w:pPr>
        <w:adjustRightInd w:val="0"/>
        <w:snapToGrid w:val="0"/>
        <w:rPr>
          <w:rFonts w:hint="eastAsia" w:ascii="宋体" w:hAnsi="宋体"/>
          <w:b/>
          <w:bCs/>
          <w:color w:val="auto"/>
          <w:sz w:val="28"/>
          <w:highlight w:val="none"/>
        </w:rPr>
      </w:pPr>
    </w:p>
    <w:p w14:paraId="3CC74781">
      <w:pPr>
        <w:adjustRightInd w:val="0"/>
        <w:snapToGrid w:val="0"/>
        <w:rPr>
          <w:rFonts w:hint="eastAsia" w:ascii="宋体" w:hAnsi="宋体"/>
          <w:b/>
          <w:bCs/>
          <w:color w:val="auto"/>
          <w:sz w:val="28"/>
          <w:highlight w:val="none"/>
        </w:rPr>
      </w:pPr>
    </w:p>
    <w:p w14:paraId="4EF2851C">
      <w:pPr>
        <w:adjustRightInd w:val="0"/>
        <w:snapToGrid w:val="0"/>
        <w:rPr>
          <w:rFonts w:hint="eastAsia" w:ascii="宋体" w:hAnsi="宋体"/>
          <w:b/>
          <w:bCs/>
          <w:color w:val="auto"/>
          <w:sz w:val="28"/>
          <w:highlight w:val="none"/>
        </w:rPr>
      </w:pPr>
    </w:p>
    <w:p w14:paraId="3EBD0691">
      <w:pPr>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1.3评审项目投标资料表</w:t>
      </w:r>
    </w:p>
    <w:p w14:paraId="0BE8D392">
      <w:pPr>
        <w:rPr>
          <w:rFonts w:hint="eastAsia" w:ascii="宋体" w:hAnsi="宋体"/>
          <w:color w:val="auto"/>
          <w:highlight w:val="none"/>
        </w:rPr>
      </w:pPr>
    </w:p>
    <w:p w14:paraId="3645BD75">
      <w:pPr>
        <w:rPr>
          <w:rFonts w:hint="eastAsia" w:ascii="宋体" w:hAnsi="宋体"/>
          <w:color w:val="auto"/>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557B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507C4095">
            <w:pPr>
              <w:pStyle w:val="75"/>
              <w:keepNext w:val="0"/>
              <w:adjustRightInd/>
              <w:spacing w:before="0" w:after="0" w:line="240" w:lineRule="auto"/>
              <w:textAlignment w:val="auto"/>
              <w:rPr>
                <w:rFonts w:hint="eastAsia" w:ascii="宋体" w:hAnsi="宋体"/>
                <w:b/>
                <w:bCs/>
                <w:snapToGrid/>
                <w:color w:val="auto"/>
                <w:spacing w:val="0"/>
                <w:kern w:val="2"/>
                <w:szCs w:val="24"/>
                <w:highlight w:val="none"/>
              </w:rPr>
            </w:pPr>
            <w:r>
              <w:rPr>
                <w:rFonts w:hint="eastAsia" w:ascii="宋体" w:hAnsi="宋体"/>
                <w:b/>
                <w:bCs/>
                <w:snapToGrid/>
                <w:color w:val="auto"/>
                <w:spacing w:val="0"/>
                <w:kern w:val="2"/>
                <w:szCs w:val="24"/>
                <w:highlight w:val="none"/>
              </w:rPr>
              <w:t>评审项</w:t>
            </w:r>
          </w:p>
        </w:tc>
        <w:tc>
          <w:tcPr>
            <w:tcW w:w="5580" w:type="dxa"/>
            <w:vAlign w:val="center"/>
          </w:tcPr>
          <w:p w14:paraId="6178D881">
            <w:pPr>
              <w:pStyle w:val="75"/>
              <w:keepNext w:val="0"/>
              <w:adjustRightInd/>
              <w:spacing w:before="0" w:after="0" w:line="240" w:lineRule="auto"/>
              <w:textAlignment w:val="auto"/>
              <w:rPr>
                <w:rFonts w:hint="eastAsia" w:ascii="宋体" w:hAnsi="宋体"/>
                <w:b/>
                <w:bCs/>
                <w:snapToGrid/>
                <w:color w:val="auto"/>
                <w:spacing w:val="0"/>
                <w:kern w:val="2"/>
                <w:szCs w:val="24"/>
                <w:highlight w:val="none"/>
              </w:rPr>
            </w:pPr>
            <w:r>
              <w:rPr>
                <w:rFonts w:hint="eastAsia" w:ascii="宋体" w:hAnsi="宋体"/>
                <w:b/>
                <w:bCs/>
                <w:snapToGrid/>
                <w:color w:val="auto"/>
                <w:spacing w:val="0"/>
                <w:kern w:val="2"/>
                <w:szCs w:val="24"/>
                <w:highlight w:val="none"/>
              </w:rPr>
              <w:t>评审细则</w:t>
            </w:r>
          </w:p>
        </w:tc>
        <w:tc>
          <w:tcPr>
            <w:tcW w:w="1978" w:type="dxa"/>
            <w:vAlign w:val="center"/>
          </w:tcPr>
          <w:p w14:paraId="699152B1">
            <w:pPr>
              <w:pStyle w:val="75"/>
              <w:keepNext w:val="0"/>
              <w:adjustRightInd/>
              <w:spacing w:before="0" w:after="0" w:line="240" w:lineRule="auto"/>
              <w:textAlignment w:val="auto"/>
              <w:rPr>
                <w:rFonts w:hint="eastAsia" w:ascii="宋体" w:hAnsi="宋体"/>
                <w:b/>
                <w:bCs/>
                <w:snapToGrid/>
                <w:color w:val="auto"/>
                <w:spacing w:val="0"/>
                <w:kern w:val="2"/>
                <w:szCs w:val="24"/>
                <w:highlight w:val="none"/>
              </w:rPr>
            </w:pPr>
            <w:r>
              <w:rPr>
                <w:rFonts w:hint="eastAsia" w:ascii="宋体" w:hAnsi="宋体"/>
                <w:b/>
                <w:bCs/>
                <w:snapToGrid/>
                <w:color w:val="auto"/>
                <w:spacing w:val="0"/>
                <w:kern w:val="2"/>
                <w:szCs w:val="24"/>
                <w:highlight w:val="none"/>
              </w:rPr>
              <w:t>证明文件</w:t>
            </w:r>
          </w:p>
        </w:tc>
      </w:tr>
      <w:tr w14:paraId="17E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1690165">
            <w:pPr>
              <w:rPr>
                <w:rFonts w:hint="eastAsia" w:ascii="宋体" w:hAnsi="宋体"/>
                <w:color w:val="auto"/>
                <w:highlight w:val="none"/>
              </w:rPr>
            </w:pPr>
          </w:p>
        </w:tc>
        <w:tc>
          <w:tcPr>
            <w:tcW w:w="5580" w:type="dxa"/>
          </w:tcPr>
          <w:p w14:paraId="4268EF67">
            <w:pPr>
              <w:rPr>
                <w:rFonts w:hint="eastAsia" w:ascii="宋体" w:hAnsi="宋体"/>
                <w:color w:val="auto"/>
                <w:highlight w:val="none"/>
              </w:rPr>
            </w:pPr>
          </w:p>
        </w:tc>
        <w:tc>
          <w:tcPr>
            <w:tcW w:w="1978" w:type="dxa"/>
            <w:vAlign w:val="center"/>
          </w:tcPr>
          <w:p w14:paraId="75D8566D">
            <w:pPr>
              <w:pStyle w:val="25"/>
              <w:rPr>
                <w:rFonts w:hint="eastAsia" w:ascii="宋体" w:hAnsi="宋体"/>
                <w:color w:val="auto"/>
                <w:szCs w:val="21"/>
                <w:highlight w:val="none"/>
              </w:rPr>
            </w:pPr>
            <w:r>
              <w:rPr>
                <w:rFonts w:hint="eastAsia" w:ascii="宋体" w:hAnsi="宋体"/>
                <w:color w:val="auto"/>
                <w:szCs w:val="21"/>
                <w:highlight w:val="none"/>
              </w:rPr>
              <w:t>见投标文件第( )页</w:t>
            </w:r>
          </w:p>
        </w:tc>
      </w:tr>
      <w:tr w14:paraId="00D6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A486B32">
            <w:pPr>
              <w:rPr>
                <w:rFonts w:hint="eastAsia" w:ascii="宋体" w:hAnsi="宋体"/>
                <w:color w:val="auto"/>
                <w:highlight w:val="none"/>
              </w:rPr>
            </w:pPr>
          </w:p>
        </w:tc>
        <w:tc>
          <w:tcPr>
            <w:tcW w:w="5580" w:type="dxa"/>
          </w:tcPr>
          <w:p w14:paraId="29D5DDEA">
            <w:pPr>
              <w:rPr>
                <w:rFonts w:hint="eastAsia" w:ascii="宋体" w:hAnsi="宋体"/>
                <w:color w:val="auto"/>
                <w:highlight w:val="none"/>
              </w:rPr>
            </w:pPr>
          </w:p>
        </w:tc>
        <w:tc>
          <w:tcPr>
            <w:tcW w:w="1978" w:type="dxa"/>
            <w:vAlign w:val="center"/>
          </w:tcPr>
          <w:p w14:paraId="39562443">
            <w:pPr>
              <w:pStyle w:val="25"/>
              <w:rPr>
                <w:rFonts w:hint="eastAsia" w:ascii="宋体" w:hAnsi="宋体"/>
                <w:color w:val="auto"/>
                <w:szCs w:val="21"/>
                <w:highlight w:val="none"/>
              </w:rPr>
            </w:pPr>
            <w:r>
              <w:rPr>
                <w:rFonts w:hint="eastAsia" w:ascii="宋体" w:hAnsi="宋体"/>
                <w:color w:val="auto"/>
                <w:szCs w:val="21"/>
                <w:highlight w:val="none"/>
              </w:rPr>
              <w:t>见投标文件第( )页</w:t>
            </w:r>
          </w:p>
        </w:tc>
      </w:tr>
      <w:tr w14:paraId="793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3D1AEC8">
            <w:pPr>
              <w:rPr>
                <w:rFonts w:hint="eastAsia" w:ascii="宋体" w:hAnsi="宋体"/>
                <w:color w:val="auto"/>
                <w:highlight w:val="none"/>
              </w:rPr>
            </w:pPr>
          </w:p>
        </w:tc>
        <w:tc>
          <w:tcPr>
            <w:tcW w:w="5580" w:type="dxa"/>
          </w:tcPr>
          <w:p w14:paraId="0CC7E228">
            <w:pPr>
              <w:rPr>
                <w:rFonts w:hint="eastAsia" w:ascii="宋体" w:hAnsi="宋体"/>
                <w:color w:val="auto"/>
                <w:highlight w:val="none"/>
              </w:rPr>
            </w:pPr>
          </w:p>
        </w:tc>
        <w:tc>
          <w:tcPr>
            <w:tcW w:w="1978" w:type="dxa"/>
            <w:vAlign w:val="center"/>
          </w:tcPr>
          <w:p w14:paraId="71A1F3B8">
            <w:pPr>
              <w:pStyle w:val="25"/>
              <w:rPr>
                <w:rFonts w:hint="eastAsia" w:ascii="宋体" w:hAnsi="宋体"/>
                <w:color w:val="auto"/>
                <w:szCs w:val="21"/>
                <w:highlight w:val="none"/>
              </w:rPr>
            </w:pPr>
            <w:r>
              <w:rPr>
                <w:rFonts w:hint="eastAsia" w:ascii="宋体" w:hAnsi="宋体"/>
                <w:color w:val="auto"/>
                <w:szCs w:val="21"/>
                <w:highlight w:val="none"/>
              </w:rPr>
              <w:t>见投标文件第( )页</w:t>
            </w:r>
          </w:p>
        </w:tc>
      </w:tr>
      <w:tr w14:paraId="03C7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E4358BE">
            <w:pPr>
              <w:rPr>
                <w:rFonts w:hint="eastAsia" w:ascii="宋体" w:hAnsi="宋体"/>
                <w:color w:val="auto"/>
                <w:highlight w:val="none"/>
              </w:rPr>
            </w:pPr>
          </w:p>
        </w:tc>
        <w:tc>
          <w:tcPr>
            <w:tcW w:w="5580" w:type="dxa"/>
          </w:tcPr>
          <w:p w14:paraId="6125E63C">
            <w:pPr>
              <w:rPr>
                <w:rFonts w:hint="eastAsia" w:ascii="宋体" w:hAnsi="宋体"/>
                <w:color w:val="auto"/>
                <w:highlight w:val="none"/>
              </w:rPr>
            </w:pPr>
          </w:p>
        </w:tc>
        <w:tc>
          <w:tcPr>
            <w:tcW w:w="1978" w:type="dxa"/>
            <w:vAlign w:val="center"/>
          </w:tcPr>
          <w:p w14:paraId="2BDB6EF4">
            <w:pPr>
              <w:pStyle w:val="25"/>
              <w:rPr>
                <w:rFonts w:hint="eastAsia" w:ascii="宋体" w:hAnsi="宋体"/>
                <w:color w:val="auto"/>
                <w:szCs w:val="21"/>
                <w:highlight w:val="none"/>
              </w:rPr>
            </w:pPr>
            <w:r>
              <w:rPr>
                <w:rFonts w:hint="eastAsia" w:ascii="宋体" w:hAnsi="宋体"/>
                <w:color w:val="auto"/>
                <w:szCs w:val="21"/>
                <w:highlight w:val="none"/>
              </w:rPr>
              <w:t>见投标文件第( )页</w:t>
            </w:r>
          </w:p>
        </w:tc>
      </w:tr>
      <w:tr w14:paraId="1131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23C4F39E">
            <w:pPr>
              <w:rPr>
                <w:rFonts w:hint="eastAsia" w:ascii="宋体" w:hAnsi="宋体"/>
                <w:color w:val="auto"/>
                <w:highlight w:val="none"/>
              </w:rPr>
            </w:pPr>
          </w:p>
        </w:tc>
        <w:tc>
          <w:tcPr>
            <w:tcW w:w="5580" w:type="dxa"/>
          </w:tcPr>
          <w:p w14:paraId="473EC282">
            <w:pPr>
              <w:rPr>
                <w:rFonts w:hint="eastAsia" w:ascii="宋体" w:hAnsi="宋体"/>
                <w:color w:val="auto"/>
                <w:highlight w:val="none"/>
              </w:rPr>
            </w:pPr>
          </w:p>
        </w:tc>
        <w:tc>
          <w:tcPr>
            <w:tcW w:w="1978" w:type="dxa"/>
            <w:vAlign w:val="center"/>
          </w:tcPr>
          <w:p w14:paraId="1DEA66B8">
            <w:pPr>
              <w:pStyle w:val="25"/>
              <w:rPr>
                <w:rFonts w:hint="eastAsia" w:ascii="宋体" w:hAnsi="宋体"/>
                <w:color w:val="auto"/>
                <w:szCs w:val="21"/>
                <w:highlight w:val="none"/>
              </w:rPr>
            </w:pPr>
            <w:r>
              <w:rPr>
                <w:rFonts w:hint="eastAsia" w:ascii="宋体" w:hAnsi="宋体"/>
                <w:color w:val="auto"/>
                <w:szCs w:val="21"/>
                <w:highlight w:val="none"/>
              </w:rPr>
              <w:t>见投标文件第( )页</w:t>
            </w:r>
          </w:p>
        </w:tc>
      </w:tr>
      <w:tr w14:paraId="6052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4A98FC1">
            <w:pPr>
              <w:rPr>
                <w:rFonts w:hint="eastAsia" w:ascii="宋体" w:hAnsi="宋体"/>
                <w:color w:val="auto"/>
                <w:highlight w:val="none"/>
              </w:rPr>
            </w:pPr>
          </w:p>
        </w:tc>
        <w:tc>
          <w:tcPr>
            <w:tcW w:w="5580" w:type="dxa"/>
          </w:tcPr>
          <w:p w14:paraId="6E6CC00A">
            <w:pPr>
              <w:rPr>
                <w:rFonts w:hint="eastAsia" w:ascii="宋体" w:hAnsi="宋体"/>
                <w:color w:val="auto"/>
                <w:highlight w:val="none"/>
              </w:rPr>
            </w:pPr>
          </w:p>
        </w:tc>
        <w:tc>
          <w:tcPr>
            <w:tcW w:w="1978" w:type="dxa"/>
            <w:vAlign w:val="center"/>
          </w:tcPr>
          <w:p w14:paraId="29A9DEA7">
            <w:pPr>
              <w:pStyle w:val="25"/>
              <w:rPr>
                <w:rFonts w:hint="eastAsia" w:ascii="宋体" w:hAnsi="宋体"/>
                <w:color w:val="auto"/>
                <w:szCs w:val="21"/>
                <w:highlight w:val="none"/>
              </w:rPr>
            </w:pPr>
            <w:r>
              <w:rPr>
                <w:rFonts w:hint="eastAsia" w:ascii="宋体" w:hAnsi="宋体"/>
                <w:color w:val="auto"/>
                <w:szCs w:val="21"/>
                <w:highlight w:val="none"/>
              </w:rPr>
              <w:t>见投标文件第( )页</w:t>
            </w:r>
          </w:p>
        </w:tc>
      </w:tr>
      <w:tr w14:paraId="7778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B1E34B6">
            <w:pPr>
              <w:rPr>
                <w:rFonts w:hint="eastAsia" w:ascii="宋体" w:hAnsi="宋体"/>
                <w:color w:val="auto"/>
                <w:highlight w:val="none"/>
              </w:rPr>
            </w:pPr>
          </w:p>
        </w:tc>
        <w:tc>
          <w:tcPr>
            <w:tcW w:w="5580" w:type="dxa"/>
          </w:tcPr>
          <w:p w14:paraId="20B7947E">
            <w:pPr>
              <w:rPr>
                <w:rFonts w:hint="eastAsia" w:ascii="宋体" w:hAnsi="宋体"/>
                <w:color w:val="auto"/>
                <w:highlight w:val="none"/>
              </w:rPr>
            </w:pPr>
          </w:p>
        </w:tc>
        <w:tc>
          <w:tcPr>
            <w:tcW w:w="1978" w:type="dxa"/>
            <w:vAlign w:val="center"/>
          </w:tcPr>
          <w:p w14:paraId="45FEC082">
            <w:pPr>
              <w:pStyle w:val="25"/>
              <w:rPr>
                <w:rFonts w:hint="eastAsia" w:ascii="宋体" w:hAnsi="宋体"/>
                <w:color w:val="auto"/>
                <w:szCs w:val="21"/>
                <w:highlight w:val="none"/>
              </w:rPr>
            </w:pPr>
            <w:r>
              <w:rPr>
                <w:rFonts w:hint="eastAsia" w:ascii="宋体" w:hAnsi="宋体"/>
                <w:color w:val="auto"/>
                <w:szCs w:val="21"/>
                <w:highlight w:val="none"/>
              </w:rPr>
              <w:t>见投标文件第( )页</w:t>
            </w:r>
          </w:p>
        </w:tc>
      </w:tr>
      <w:tr w14:paraId="2992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0CAC3B5">
            <w:pPr>
              <w:rPr>
                <w:rFonts w:hint="eastAsia" w:ascii="宋体" w:hAnsi="宋体"/>
                <w:color w:val="auto"/>
                <w:highlight w:val="none"/>
              </w:rPr>
            </w:pPr>
          </w:p>
        </w:tc>
        <w:tc>
          <w:tcPr>
            <w:tcW w:w="5580" w:type="dxa"/>
          </w:tcPr>
          <w:p w14:paraId="139D171D">
            <w:pPr>
              <w:rPr>
                <w:rFonts w:hint="eastAsia" w:ascii="宋体" w:hAnsi="宋体"/>
                <w:color w:val="auto"/>
                <w:highlight w:val="none"/>
              </w:rPr>
            </w:pPr>
          </w:p>
        </w:tc>
        <w:tc>
          <w:tcPr>
            <w:tcW w:w="1978" w:type="dxa"/>
            <w:vAlign w:val="center"/>
          </w:tcPr>
          <w:p w14:paraId="2962B7E5">
            <w:pPr>
              <w:pStyle w:val="25"/>
              <w:rPr>
                <w:rFonts w:hint="eastAsia" w:ascii="宋体" w:hAnsi="宋体"/>
                <w:color w:val="auto"/>
                <w:szCs w:val="21"/>
                <w:highlight w:val="none"/>
              </w:rPr>
            </w:pPr>
            <w:r>
              <w:rPr>
                <w:rFonts w:hint="eastAsia" w:ascii="宋体" w:hAnsi="宋体"/>
                <w:color w:val="auto"/>
                <w:szCs w:val="21"/>
                <w:highlight w:val="none"/>
              </w:rPr>
              <w:t>见投标文件第( )页</w:t>
            </w:r>
          </w:p>
        </w:tc>
      </w:tr>
      <w:tr w14:paraId="64C1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02C9E9B">
            <w:pPr>
              <w:rPr>
                <w:rFonts w:hint="eastAsia" w:ascii="宋体" w:hAnsi="宋体"/>
                <w:color w:val="auto"/>
                <w:highlight w:val="none"/>
              </w:rPr>
            </w:pPr>
          </w:p>
        </w:tc>
        <w:tc>
          <w:tcPr>
            <w:tcW w:w="5580" w:type="dxa"/>
          </w:tcPr>
          <w:p w14:paraId="362C1246">
            <w:pPr>
              <w:rPr>
                <w:rFonts w:hint="eastAsia" w:ascii="宋体" w:hAnsi="宋体"/>
                <w:color w:val="auto"/>
                <w:highlight w:val="none"/>
              </w:rPr>
            </w:pPr>
          </w:p>
        </w:tc>
        <w:tc>
          <w:tcPr>
            <w:tcW w:w="1978" w:type="dxa"/>
            <w:vAlign w:val="center"/>
          </w:tcPr>
          <w:p w14:paraId="7F1A5CD9">
            <w:pPr>
              <w:rPr>
                <w:rFonts w:hint="eastAsia" w:ascii="宋体" w:hAnsi="宋体"/>
                <w:color w:val="auto"/>
                <w:szCs w:val="21"/>
                <w:highlight w:val="none"/>
              </w:rPr>
            </w:pPr>
            <w:r>
              <w:rPr>
                <w:rFonts w:hint="eastAsia" w:ascii="宋体" w:hAnsi="宋体"/>
                <w:color w:val="auto"/>
                <w:szCs w:val="21"/>
                <w:highlight w:val="none"/>
              </w:rPr>
              <w:t>见投标文件第( )页</w:t>
            </w:r>
          </w:p>
        </w:tc>
      </w:tr>
      <w:tr w14:paraId="20E7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6E3E1ED">
            <w:pPr>
              <w:rPr>
                <w:rFonts w:hint="eastAsia" w:ascii="宋体" w:hAnsi="宋体"/>
                <w:color w:val="auto"/>
                <w:highlight w:val="none"/>
              </w:rPr>
            </w:pPr>
          </w:p>
        </w:tc>
        <w:tc>
          <w:tcPr>
            <w:tcW w:w="5580" w:type="dxa"/>
          </w:tcPr>
          <w:p w14:paraId="31844F06">
            <w:pPr>
              <w:rPr>
                <w:rFonts w:hint="eastAsia" w:ascii="宋体" w:hAnsi="宋体"/>
                <w:color w:val="auto"/>
                <w:highlight w:val="none"/>
              </w:rPr>
            </w:pPr>
          </w:p>
        </w:tc>
        <w:tc>
          <w:tcPr>
            <w:tcW w:w="1978" w:type="dxa"/>
            <w:vAlign w:val="center"/>
          </w:tcPr>
          <w:p w14:paraId="67435AFB">
            <w:pPr>
              <w:rPr>
                <w:rFonts w:hint="eastAsia" w:ascii="宋体" w:hAnsi="宋体"/>
                <w:color w:val="auto"/>
                <w:szCs w:val="21"/>
                <w:highlight w:val="none"/>
              </w:rPr>
            </w:pPr>
            <w:r>
              <w:rPr>
                <w:rFonts w:hint="eastAsia" w:ascii="宋体" w:hAnsi="宋体"/>
                <w:color w:val="auto"/>
                <w:szCs w:val="21"/>
                <w:highlight w:val="none"/>
              </w:rPr>
              <w:t>见投标文件第( )页</w:t>
            </w:r>
          </w:p>
        </w:tc>
      </w:tr>
      <w:tr w14:paraId="681E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C64FC60">
            <w:pPr>
              <w:rPr>
                <w:rFonts w:hint="eastAsia" w:ascii="宋体" w:hAnsi="宋体"/>
                <w:color w:val="auto"/>
                <w:highlight w:val="none"/>
              </w:rPr>
            </w:pPr>
          </w:p>
        </w:tc>
        <w:tc>
          <w:tcPr>
            <w:tcW w:w="5580" w:type="dxa"/>
          </w:tcPr>
          <w:p w14:paraId="4CEAA4CA">
            <w:pPr>
              <w:rPr>
                <w:rFonts w:hint="eastAsia" w:ascii="宋体" w:hAnsi="宋体"/>
                <w:color w:val="auto"/>
                <w:highlight w:val="none"/>
              </w:rPr>
            </w:pPr>
          </w:p>
        </w:tc>
        <w:tc>
          <w:tcPr>
            <w:tcW w:w="1978" w:type="dxa"/>
            <w:vAlign w:val="center"/>
          </w:tcPr>
          <w:p w14:paraId="2758757A">
            <w:pPr>
              <w:pStyle w:val="25"/>
              <w:rPr>
                <w:rFonts w:hint="eastAsia" w:ascii="宋体" w:hAnsi="宋体"/>
                <w:color w:val="auto"/>
                <w:szCs w:val="21"/>
                <w:highlight w:val="none"/>
              </w:rPr>
            </w:pPr>
            <w:r>
              <w:rPr>
                <w:rFonts w:hint="eastAsia" w:ascii="宋体" w:hAnsi="宋体"/>
                <w:color w:val="auto"/>
                <w:szCs w:val="21"/>
                <w:highlight w:val="none"/>
              </w:rPr>
              <w:t>见投标文件第( )页</w:t>
            </w:r>
          </w:p>
        </w:tc>
      </w:tr>
      <w:tr w14:paraId="02CA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F2CAD6A">
            <w:pPr>
              <w:rPr>
                <w:rFonts w:hint="eastAsia" w:ascii="宋体" w:hAnsi="宋体"/>
                <w:color w:val="auto"/>
                <w:highlight w:val="none"/>
              </w:rPr>
            </w:pPr>
          </w:p>
        </w:tc>
        <w:tc>
          <w:tcPr>
            <w:tcW w:w="5580" w:type="dxa"/>
          </w:tcPr>
          <w:p w14:paraId="23EFCC34">
            <w:pPr>
              <w:rPr>
                <w:rFonts w:hint="eastAsia" w:ascii="宋体" w:hAnsi="宋体"/>
                <w:color w:val="auto"/>
                <w:highlight w:val="none"/>
              </w:rPr>
            </w:pPr>
          </w:p>
        </w:tc>
        <w:tc>
          <w:tcPr>
            <w:tcW w:w="1978" w:type="dxa"/>
            <w:vAlign w:val="center"/>
          </w:tcPr>
          <w:p w14:paraId="7A3DCE16">
            <w:pPr>
              <w:pStyle w:val="25"/>
              <w:rPr>
                <w:rFonts w:hint="eastAsia" w:ascii="宋体" w:hAnsi="宋体"/>
                <w:color w:val="auto"/>
                <w:szCs w:val="21"/>
                <w:highlight w:val="none"/>
              </w:rPr>
            </w:pPr>
            <w:r>
              <w:rPr>
                <w:rFonts w:hint="eastAsia" w:ascii="宋体" w:hAnsi="宋体"/>
                <w:color w:val="auto"/>
                <w:szCs w:val="21"/>
                <w:highlight w:val="none"/>
              </w:rPr>
              <w:t>见投标文件第( )页</w:t>
            </w:r>
          </w:p>
        </w:tc>
      </w:tr>
      <w:tr w14:paraId="169B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5B3388B">
            <w:pPr>
              <w:rPr>
                <w:rFonts w:hint="eastAsia" w:ascii="宋体" w:hAnsi="宋体"/>
                <w:color w:val="auto"/>
                <w:highlight w:val="none"/>
              </w:rPr>
            </w:pPr>
          </w:p>
        </w:tc>
        <w:tc>
          <w:tcPr>
            <w:tcW w:w="5580" w:type="dxa"/>
          </w:tcPr>
          <w:p w14:paraId="1E53D726">
            <w:pPr>
              <w:rPr>
                <w:rFonts w:hint="eastAsia" w:ascii="宋体" w:hAnsi="宋体"/>
                <w:color w:val="auto"/>
                <w:highlight w:val="none"/>
              </w:rPr>
            </w:pPr>
          </w:p>
        </w:tc>
        <w:tc>
          <w:tcPr>
            <w:tcW w:w="1978" w:type="dxa"/>
            <w:vAlign w:val="center"/>
          </w:tcPr>
          <w:p w14:paraId="59B36880">
            <w:pPr>
              <w:rPr>
                <w:rFonts w:hint="eastAsia" w:ascii="宋体" w:hAnsi="宋体"/>
                <w:color w:val="auto"/>
                <w:szCs w:val="21"/>
                <w:highlight w:val="none"/>
              </w:rPr>
            </w:pPr>
            <w:r>
              <w:rPr>
                <w:rFonts w:hint="eastAsia" w:ascii="宋体" w:hAnsi="宋体"/>
                <w:color w:val="auto"/>
                <w:szCs w:val="21"/>
                <w:highlight w:val="none"/>
              </w:rPr>
              <w:t>见投标文件第( )页</w:t>
            </w:r>
          </w:p>
        </w:tc>
      </w:tr>
      <w:tr w14:paraId="3E11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295690F">
            <w:pPr>
              <w:rPr>
                <w:rFonts w:hint="eastAsia" w:ascii="宋体" w:hAnsi="宋体"/>
                <w:color w:val="auto"/>
                <w:highlight w:val="none"/>
              </w:rPr>
            </w:pPr>
          </w:p>
        </w:tc>
        <w:tc>
          <w:tcPr>
            <w:tcW w:w="5580" w:type="dxa"/>
          </w:tcPr>
          <w:p w14:paraId="3D511AAB">
            <w:pPr>
              <w:rPr>
                <w:rFonts w:hint="eastAsia" w:ascii="宋体" w:hAnsi="宋体"/>
                <w:color w:val="auto"/>
                <w:highlight w:val="none"/>
              </w:rPr>
            </w:pPr>
          </w:p>
        </w:tc>
        <w:tc>
          <w:tcPr>
            <w:tcW w:w="1978" w:type="dxa"/>
            <w:vAlign w:val="center"/>
          </w:tcPr>
          <w:p w14:paraId="1FDA7D7A">
            <w:pPr>
              <w:rPr>
                <w:rFonts w:hint="eastAsia" w:ascii="宋体" w:hAnsi="宋体"/>
                <w:color w:val="auto"/>
                <w:szCs w:val="21"/>
                <w:highlight w:val="none"/>
              </w:rPr>
            </w:pPr>
            <w:r>
              <w:rPr>
                <w:rFonts w:hint="eastAsia" w:ascii="宋体" w:hAnsi="宋体"/>
                <w:color w:val="auto"/>
                <w:szCs w:val="21"/>
                <w:highlight w:val="none"/>
              </w:rPr>
              <w:t>见投标文件第( )页</w:t>
            </w:r>
          </w:p>
        </w:tc>
      </w:tr>
    </w:tbl>
    <w:p w14:paraId="7F90191D">
      <w:pPr>
        <w:rPr>
          <w:rFonts w:hint="eastAsia" w:ascii="宋体" w:hAnsi="宋体"/>
          <w:color w:val="auto"/>
          <w:highlight w:val="none"/>
        </w:rPr>
      </w:pPr>
    </w:p>
    <w:p w14:paraId="183D598F">
      <w:pPr>
        <w:rPr>
          <w:rFonts w:hint="eastAsia" w:ascii="宋体" w:hAnsi="宋体"/>
          <w:color w:val="auto"/>
          <w:highlight w:val="none"/>
        </w:rPr>
      </w:pPr>
    </w:p>
    <w:p w14:paraId="34C21CD9">
      <w:pPr>
        <w:rPr>
          <w:rFonts w:hint="eastAsia" w:ascii="宋体" w:hAnsi="宋体"/>
          <w:color w:val="auto"/>
          <w:sz w:val="24"/>
          <w:highlight w:val="none"/>
        </w:rPr>
      </w:pPr>
      <w:r>
        <w:rPr>
          <w:rFonts w:hint="eastAsia" w:ascii="宋体" w:hAnsi="宋体"/>
          <w:color w:val="auto"/>
          <w:sz w:val="24"/>
          <w:highlight w:val="none"/>
        </w:rPr>
        <w:t>注：投标人应当根据服务及商务评审打分内容提供相应的证明材料，如未提供，评委有权认为不具备或不符合，并影响投标人的得分。</w:t>
      </w:r>
    </w:p>
    <w:p w14:paraId="4AFB62A6">
      <w:pPr>
        <w:rPr>
          <w:rFonts w:hint="eastAsia" w:ascii="宋体" w:hAnsi="宋体"/>
          <w:color w:val="auto"/>
          <w:highlight w:val="none"/>
        </w:rPr>
      </w:pPr>
    </w:p>
    <w:p w14:paraId="31805AC1">
      <w:pPr>
        <w:adjustRightInd w:val="0"/>
        <w:snapToGrid w:val="0"/>
        <w:spacing w:line="360" w:lineRule="auto"/>
        <w:rPr>
          <w:rFonts w:hint="eastAsia" w:ascii="宋体" w:hAnsi="宋体"/>
          <w:color w:val="auto"/>
          <w:sz w:val="24"/>
          <w:highlight w:val="none"/>
          <w:u w:val="single"/>
        </w:rPr>
      </w:pPr>
      <w:r>
        <w:rPr>
          <w:rFonts w:hint="eastAsia" w:ascii="宋体" w:hAnsi="宋体"/>
          <w:color w:val="auto"/>
          <w:sz w:val="24"/>
          <w:highlight w:val="none"/>
        </w:rPr>
        <w:t>投标人法定代表人/负责人（或法定代表人/负责人授权代表）签字：</w:t>
      </w:r>
    </w:p>
    <w:p w14:paraId="0D2740D1">
      <w:pPr>
        <w:adjustRightInd w:val="0"/>
        <w:snapToGrid w:val="0"/>
        <w:spacing w:line="360" w:lineRule="auto"/>
        <w:rPr>
          <w:rFonts w:hint="eastAsia" w:ascii="宋体" w:hAnsi="宋体"/>
          <w:color w:val="auto"/>
          <w:sz w:val="24"/>
          <w:highlight w:val="none"/>
          <w:u w:val="single"/>
        </w:rPr>
      </w:pPr>
      <w:r>
        <w:rPr>
          <w:rFonts w:hint="eastAsia" w:ascii="宋体" w:hAnsi="宋体"/>
          <w:color w:val="auto"/>
          <w:sz w:val="24"/>
          <w:highlight w:val="none"/>
        </w:rPr>
        <w:t>投标人名称（加盖公章）：</w:t>
      </w:r>
    </w:p>
    <w:p w14:paraId="3B66AA96">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日期：   年   月   日</w:t>
      </w:r>
    </w:p>
    <w:p w14:paraId="18C1AA70">
      <w:pPr>
        <w:rPr>
          <w:rFonts w:hint="eastAsia" w:ascii="宋体" w:hAnsi="宋体"/>
          <w:color w:val="auto"/>
          <w:highlight w:val="none"/>
        </w:rPr>
      </w:pPr>
    </w:p>
    <w:p w14:paraId="15732CEA">
      <w:pPr>
        <w:rPr>
          <w:rFonts w:hint="eastAsia" w:ascii="宋体" w:hAnsi="宋体"/>
          <w:color w:val="auto"/>
          <w:highlight w:val="none"/>
        </w:rPr>
      </w:pPr>
    </w:p>
    <w:p w14:paraId="3918524F">
      <w:pPr>
        <w:jc w:val="center"/>
        <w:rPr>
          <w:rFonts w:hint="eastAsia" w:ascii="宋体" w:hAnsi="宋体"/>
          <w:b/>
          <w:color w:val="auto"/>
          <w:sz w:val="32"/>
          <w:szCs w:val="32"/>
          <w:highlight w:val="none"/>
        </w:rPr>
      </w:pPr>
      <w:r>
        <w:rPr>
          <w:rFonts w:hint="eastAsia" w:ascii="宋体" w:hAnsi="宋体"/>
          <w:color w:val="auto"/>
          <w:highlight w:val="none"/>
        </w:rPr>
        <w:br w:type="page"/>
      </w:r>
      <w:bookmarkStart w:id="16" w:name="_Toc202820351"/>
      <w:bookmarkStart w:id="17" w:name="_Toc202816996"/>
      <w:bookmarkStart w:id="18" w:name="_Toc202251075"/>
      <w:bookmarkStart w:id="19" w:name="_Toc202819878"/>
      <w:bookmarkStart w:id="20" w:name="_Toc202254105"/>
      <w:bookmarkStart w:id="21" w:name="_Toc202252034"/>
      <w:bookmarkStart w:id="22" w:name="_Toc202251700"/>
      <w:r>
        <w:rPr>
          <w:rFonts w:hint="eastAsia" w:ascii="宋体" w:hAnsi="宋体"/>
          <w:b/>
          <w:color w:val="auto"/>
          <w:sz w:val="32"/>
          <w:szCs w:val="32"/>
          <w:highlight w:val="none"/>
        </w:rPr>
        <w:t>二、资格文件</w:t>
      </w:r>
      <w:bookmarkEnd w:id="16"/>
      <w:bookmarkEnd w:id="17"/>
      <w:bookmarkEnd w:id="18"/>
      <w:bookmarkEnd w:id="19"/>
      <w:bookmarkEnd w:id="20"/>
      <w:bookmarkEnd w:id="21"/>
      <w:bookmarkEnd w:id="22"/>
    </w:p>
    <w:p w14:paraId="4E78088A">
      <w:pPr>
        <w:jc w:val="center"/>
        <w:outlineLvl w:val="2"/>
        <w:rPr>
          <w:rFonts w:ascii="仿宋_GB2312" w:eastAsia="仿宋_GB2312"/>
          <w:b/>
          <w:color w:val="auto"/>
          <w:sz w:val="28"/>
          <w:szCs w:val="28"/>
          <w:highlight w:val="none"/>
        </w:rPr>
      </w:pPr>
      <w:bookmarkStart w:id="23" w:name="_Toc275865606"/>
      <w:bookmarkStart w:id="24" w:name="_Toc435514855"/>
      <w:bookmarkStart w:id="25" w:name="_Toc435515295"/>
    </w:p>
    <w:p w14:paraId="1368947C">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b/>
          <w:color w:val="auto"/>
          <w:sz w:val="24"/>
          <w:highlight w:val="none"/>
        </w:rPr>
      </w:pPr>
      <w:r>
        <w:rPr>
          <w:rFonts w:hint="eastAsia" w:ascii="宋体" w:hAnsi="宋体"/>
          <w:b/>
          <w:color w:val="auto"/>
          <w:sz w:val="24"/>
          <w:highlight w:val="none"/>
        </w:rPr>
        <w:t>2.1投标人资格声明函</w:t>
      </w:r>
      <w:bookmarkEnd w:id="23"/>
      <w:bookmarkEnd w:id="24"/>
      <w:bookmarkEnd w:id="25"/>
    </w:p>
    <w:p w14:paraId="790884F3">
      <w:pPr>
        <w:adjustRightInd w:val="0"/>
        <w:snapToGrid w:val="0"/>
        <w:spacing w:line="360" w:lineRule="auto"/>
        <w:rPr>
          <w:b/>
          <w:color w:val="auto"/>
          <w:highlight w:val="none"/>
        </w:rPr>
      </w:pPr>
    </w:p>
    <w:p w14:paraId="5273CA81">
      <w:pPr>
        <w:adjustRightInd w:val="0"/>
        <w:snapToGrid w:val="0"/>
        <w:spacing w:line="360" w:lineRule="auto"/>
        <w:rPr>
          <w:b/>
          <w:color w:val="auto"/>
          <w:highlight w:val="none"/>
        </w:rPr>
      </w:pPr>
      <w:r>
        <w:rPr>
          <w:rFonts w:hint="eastAsia"/>
          <w:b/>
          <w:color w:val="auto"/>
          <w:highlight w:val="none"/>
        </w:rPr>
        <w:t>国义招标股份有限公司：</w:t>
      </w:r>
    </w:p>
    <w:p w14:paraId="21F18244">
      <w:pPr>
        <w:adjustRightInd w:val="0"/>
        <w:snapToGrid w:val="0"/>
        <w:spacing w:line="360" w:lineRule="auto"/>
        <w:ind w:firstLine="424" w:firstLineChars="202"/>
        <w:rPr>
          <w:rFonts w:hint="eastAsia" w:ascii="宋体" w:hAnsi="宋体"/>
          <w:color w:val="auto"/>
          <w:highlight w:val="none"/>
        </w:rPr>
      </w:pPr>
      <w:r>
        <w:rPr>
          <w:rFonts w:hint="eastAsia" w:ascii="宋体" w:hAnsi="宋体"/>
          <w:color w:val="auto"/>
          <w:highlight w:val="none"/>
        </w:rPr>
        <w:t>关于贵公司</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日发布项目（项目编号：</w:t>
      </w:r>
      <w:r>
        <w:rPr>
          <w:rFonts w:hint="eastAsia" w:ascii="宋体" w:hAnsi="宋体"/>
          <w:color w:val="auto"/>
          <w:highlight w:val="none"/>
          <w:u w:val="single"/>
        </w:rPr>
        <w:t xml:space="preserve">               </w:t>
      </w:r>
      <w:r>
        <w:rPr>
          <w:rFonts w:hint="eastAsia" w:ascii="宋体" w:hAnsi="宋体"/>
          <w:color w:val="auto"/>
          <w:highlight w:val="none"/>
        </w:rPr>
        <w:t>）的采购公告，本公司（企业）愿意参加投标，并声明如下：</w:t>
      </w:r>
    </w:p>
    <w:p w14:paraId="263EA1C4">
      <w:pPr>
        <w:adjustRightInd w:val="0"/>
        <w:snapToGrid w:val="0"/>
        <w:spacing w:line="360" w:lineRule="auto"/>
        <w:ind w:firstLine="424" w:firstLineChars="202"/>
        <w:rPr>
          <w:rFonts w:hint="eastAsia" w:ascii="宋体" w:hAnsi="宋体"/>
          <w:color w:val="auto"/>
          <w:highlight w:val="none"/>
        </w:rPr>
      </w:pPr>
      <w:r>
        <w:rPr>
          <w:rFonts w:hint="eastAsia" w:ascii="宋体" w:hAnsi="宋体"/>
          <w:color w:val="auto"/>
          <w:highlight w:val="none"/>
        </w:rPr>
        <w:t>(1)本公司（企业）具备</w:t>
      </w:r>
      <w:r>
        <w:rPr>
          <w:rFonts w:hint="eastAsia" w:ascii="宋体" w:hAnsi="宋体"/>
          <w:bCs/>
          <w:color w:val="auto"/>
          <w:szCs w:val="21"/>
          <w:highlight w:val="none"/>
        </w:rPr>
        <w:t>《中华人民共和国政府采购法》第二十二条资格条件，</w:t>
      </w:r>
      <w:r>
        <w:rPr>
          <w:rFonts w:hint="eastAsia" w:ascii="宋体" w:hAnsi="宋体"/>
          <w:color w:val="auto"/>
          <w:highlight w:val="none"/>
        </w:rPr>
        <w:t>并已清楚招标文件的要求及有关文件规定。</w:t>
      </w:r>
    </w:p>
    <w:p w14:paraId="4E48CD04">
      <w:pPr>
        <w:adjustRightInd w:val="0"/>
        <w:snapToGrid w:val="0"/>
        <w:spacing w:line="360" w:lineRule="auto"/>
        <w:ind w:firstLine="424" w:firstLineChars="202"/>
        <w:rPr>
          <w:rFonts w:hint="eastAsia" w:ascii="宋体" w:hAnsi="宋体"/>
          <w:color w:val="auto"/>
          <w:highlight w:val="none"/>
        </w:rPr>
      </w:pPr>
      <w:r>
        <w:rPr>
          <w:rFonts w:hint="eastAsia" w:ascii="宋体" w:hAnsi="宋体"/>
          <w:color w:val="auto"/>
          <w:highlight w:val="none"/>
        </w:rPr>
        <w:t>(2)本公司（企业）</w:t>
      </w:r>
      <w:r>
        <w:rPr>
          <w:rFonts w:ascii="宋体" w:hAnsi="宋体"/>
          <w:color w:val="auto"/>
          <w:highlight w:val="none"/>
        </w:rPr>
        <w:t>具有履行合同所必需的设备和专业技术能力</w:t>
      </w:r>
      <w:r>
        <w:rPr>
          <w:rFonts w:hint="eastAsia" w:ascii="宋体" w:hAnsi="宋体"/>
          <w:color w:val="auto"/>
          <w:highlight w:val="none"/>
        </w:rPr>
        <w:t>，且本公司（企业）参加政府采购活动前</w:t>
      </w:r>
      <w:r>
        <w:rPr>
          <w:rFonts w:ascii="宋体" w:hAnsi="宋体"/>
          <w:color w:val="auto"/>
          <w:highlight w:val="none"/>
        </w:rPr>
        <w:t>3</w:t>
      </w:r>
      <w:r>
        <w:rPr>
          <w:rFonts w:hint="eastAsia" w:ascii="宋体" w:hAnsi="宋体"/>
          <w:color w:val="auto"/>
          <w:highlight w:val="none"/>
        </w:rPr>
        <w:t>年内在经营活动中没有重大违法记录。否则，由此所造成的损失、不良后果及法律责任，一律由我公司（企业）承担。</w:t>
      </w:r>
    </w:p>
    <w:p w14:paraId="71F24688">
      <w:pPr>
        <w:adjustRightInd w:val="0"/>
        <w:snapToGrid w:val="0"/>
        <w:spacing w:line="360" w:lineRule="auto"/>
        <w:ind w:firstLine="424" w:firstLineChars="202"/>
        <w:rPr>
          <w:rFonts w:hint="eastAsia" w:ascii="宋体" w:hAnsi="宋体"/>
          <w:color w:val="auto"/>
          <w:highlight w:val="none"/>
        </w:rPr>
      </w:pPr>
      <w:r>
        <w:rPr>
          <w:rFonts w:hint="eastAsia" w:ascii="宋体" w:hAnsi="宋体"/>
          <w:color w:val="auto"/>
          <w:highlight w:val="none"/>
        </w:rPr>
        <w:t>(3)关于本企业信用情况，经对“信用中国”网站（www.creditchina.gov.cn）、“中国政府采购网”（ www.ccgp.gov.cn）信用记录信息的查询，截至规定的投标截止时间，我司没有被列入失信被执行人、重大税收违法失信主体、政府采购严重违法失信行为记录名单及其他不符合规定条件的供应商名单中。</w:t>
      </w:r>
    </w:p>
    <w:p w14:paraId="6F34A444">
      <w:pPr>
        <w:adjustRightInd w:val="0"/>
        <w:snapToGrid w:val="0"/>
        <w:spacing w:line="360" w:lineRule="auto"/>
        <w:ind w:firstLine="424" w:firstLineChars="202"/>
        <w:rPr>
          <w:rFonts w:hint="eastAsia" w:ascii="宋体" w:hAnsi="宋体"/>
          <w:color w:val="auto"/>
          <w:highlight w:val="none"/>
        </w:rPr>
      </w:pPr>
      <w:r>
        <w:rPr>
          <w:rFonts w:hint="eastAsia" w:ascii="宋体" w:hAnsi="宋体"/>
          <w:color w:val="auto"/>
          <w:highlight w:val="none"/>
        </w:rPr>
        <w:t xml:space="preserve"> (4)本公司（企业）不存在以下情况：单位负责人为同一人或者存在直接控股、管理关系的不同投标人，参加同一包号投标或者未划分包号的同一招标项目投标。</w:t>
      </w:r>
    </w:p>
    <w:p w14:paraId="7D243539">
      <w:pPr>
        <w:adjustRightInd w:val="0"/>
        <w:snapToGrid w:val="0"/>
        <w:spacing w:line="360" w:lineRule="auto"/>
        <w:ind w:firstLine="424" w:firstLineChars="202"/>
        <w:rPr>
          <w:rFonts w:hint="eastAsia" w:ascii="宋体" w:hAnsi="宋体"/>
          <w:color w:val="auto"/>
          <w:highlight w:val="none"/>
        </w:rPr>
      </w:pPr>
      <w:r>
        <w:rPr>
          <w:rFonts w:hint="eastAsia" w:ascii="宋体" w:hAnsi="宋体"/>
          <w:color w:val="auto"/>
          <w:highlight w:val="none"/>
        </w:rPr>
        <w:t>(5)本公司（企业）不存在以下情况：为采购项目提供整体设计、规范编制或者项目管理、监理、检测等服务的供应商，再参加本采购项目的其他采购活动。</w:t>
      </w:r>
    </w:p>
    <w:p w14:paraId="487AA696">
      <w:pPr>
        <w:adjustRightInd w:val="0"/>
        <w:snapToGrid w:val="0"/>
        <w:spacing w:line="360" w:lineRule="auto"/>
        <w:ind w:firstLine="424" w:firstLineChars="202"/>
        <w:rPr>
          <w:rFonts w:hint="eastAsia" w:ascii="宋体" w:hAnsi="宋体"/>
          <w:color w:val="auto"/>
          <w:highlight w:val="none"/>
        </w:rPr>
      </w:pPr>
      <w:r>
        <w:rPr>
          <w:rFonts w:hint="eastAsia" w:ascii="宋体" w:hAnsi="宋体"/>
          <w:color w:val="auto"/>
          <w:highlight w:val="none"/>
        </w:rPr>
        <w:t>本次招标采购活动中，本单位保证全部投标文件和问题的回答是真实和有效的，并对所提供资料的真实性和正确性承担法律责任。</w:t>
      </w:r>
    </w:p>
    <w:p w14:paraId="51667A12">
      <w:pPr>
        <w:adjustRightInd w:val="0"/>
        <w:snapToGrid w:val="0"/>
        <w:spacing w:line="360" w:lineRule="auto"/>
        <w:ind w:firstLine="424" w:firstLineChars="202"/>
        <w:rPr>
          <w:rFonts w:hint="eastAsia" w:ascii="宋体" w:hAnsi="宋体"/>
          <w:color w:val="auto"/>
          <w:highlight w:val="none"/>
        </w:rPr>
      </w:pPr>
      <w:r>
        <w:rPr>
          <w:rFonts w:hint="eastAsia" w:ascii="宋体" w:hAnsi="宋体"/>
          <w:color w:val="auto"/>
          <w:highlight w:val="none"/>
        </w:rPr>
        <w:t>如有违法、违规、弄虚作假行为，所造成的损失、不良后果及法律责任，一律由我公司（企业）承担。</w:t>
      </w:r>
    </w:p>
    <w:p w14:paraId="6587A65A">
      <w:pPr>
        <w:spacing w:line="360" w:lineRule="auto"/>
        <w:ind w:firstLine="420"/>
        <w:rPr>
          <w:color w:val="auto"/>
          <w:highlight w:val="none"/>
        </w:rPr>
      </w:pPr>
      <w:r>
        <w:rPr>
          <w:rFonts w:hint="eastAsia"/>
          <w:color w:val="auto"/>
          <w:highlight w:val="none"/>
        </w:rPr>
        <w:t>特此声明！</w:t>
      </w:r>
    </w:p>
    <w:p w14:paraId="400A115F">
      <w:pPr>
        <w:rPr>
          <w:b/>
          <w:color w:val="auto"/>
          <w:highlight w:val="none"/>
        </w:rPr>
      </w:pPr>
    </w:p>
    <w:p w14:paraId="51BEFA07">
      <w:pPr>
        <w:rPr>
          <w:b/>
          <w:color w:val="auto"/>
          <w:highlight w:val="none"/>
        </w:rPr>
      </w:pPr>
      <w:r>
        <w:rPr>
          <w:rFonts w:hint="eastAsia"/>
          <w:b/>
          <w:color w:val="auto"/>
          <w:highlight w:val="none"/>
        </w:rPr>
        <w:t>后附附件如下：</w:t>
      </w:r>
    </w:p>
    <w:p w14:paraId="419C42F9">
      <w:pPr>
        <w:rPr>
          <w:color w:val="auto"/>
          <w:highlight w:val="none"/>
        </w:rPr>
      </w:pPr>
      <w:r>
        <w:rPr>
          <w:rFonts w:hint="eastAsia"/>
          <w:color w:val="auto"/>
          <w:highlight w:val="none"/>
        </w:rPr>
        <w:t xml:space="preserve">1. </w:t>
      </w:r>
      <w:r>
        <w:rPr>
          <w:rFonts w:hint="eastAsia" w:ascii="宋体" w:hAnsi="宋体"/>
          <w:color w:val="auto"/>
          <w:szCs w:val="21"/>
          <w:highlight w:val="none"/>
        </w:rPr>
        <w:t>提供以下2种证明材料之一：①</w:t>
      </w:r>
      <w:r>
        <w:rPr>
          <w:rFonts w:hint="eastAsia" w:ascii="宋体" w:hAnsi="宋体"/>
          <w:color w:val="auto"/>
          <w:szCs w:val="21"/>
          <w:highlight w:val="none"/>
          <w:lang w:eastAsia="zh-CN"/>
        </w:rPr>
        <w:t>2024年度经会计师事</w:t>
      </w:r>
      <w:r>
        <w:rPr>
          <w:rFonts w:hint="eastAsia" w:ascii="宋体" w:hAnsi="宋体"/>
          <w:color w:val="auto"/>
          <w:szCs w:val="21"/>
          <w:highlight w:val="none"/>
        </w:rPr>
        <w:t>务所审计的财务状况报告；②基本开户行出具的资信证明和《基本存款账号信息》</w:t>
      </w:r>
    </w:p>
    <w:p w14:paraId="18DD13F1">
      <w:pPr>
        <w:rPr>
          <w:color w:val="auto"/>
          <w:highlight w:val="none"/>
        </w:rPr>
      </w:pPr>
      <w:r>
        <w:rPr>
          <w:rFonts w:hint="eastAsia"/>
          <w:color w:val="auto"/>
          <w:highlight w:val="none"/>
        </w:rPr>
        <w:t xml:space="preserve">2. </w:t>
      </w:r>
      <w:r>
        <w:rPr>
          <w:rFonts w:hint="eastAsia" w:ascii="宋体" w:hAnsi="宋体"/>
          <w:color w:val="auto"/>
          <w:szCs w:val="21"/>
          <w:highlight w:val="none"/>
          <w:lang w:val="zh-CN"/>
        </w:rPr>
        <w:t>投标截止时间前6个月内任意1个月的依法缴纳税收证明材料</w:t>
      </w:r>
      <w:r>
        <w:rPr>
          <w:rFonts w:hint="eastAsia"/>
          <w:color w:val="auto"/>
          <w:highlight w:val="none"/>
        </w:rPr>
        <w:t>（如增值税、营业税等缴纳凭证）。</w:t>
      </w:r>
    </w:p>
    <w:p w14:paraId="36D0CED5">
      <w:pPr>
        <w:rPr>
          <w:color w:val="auto"/>
          <w:highlight w:val="none"/>
        </w:rPr>
      </w:pPr>
      <w:r>
        <w:rPr>
          <w:rFonts w:hint="eastAsia"/>
          <w:color w:val="auto"/>
          <w:highlight w:val="none"/>
        </w:rPr>
        <w:t xml:space="preserve">3. </w:t>
      </w:r>
      <w:r>
        <w:rPr>
          <w:rFonts w:hint="eastAsia" w:ascii="宋体" w:hAnsi="宋体"/>
          <w:color w:val="auto"/>
          <w:szCs w:val="21"/>
          <w:highlight w:val="none"/>
          <w:lang w:val="zh-CN"/>
        </w:rPr>
        <w:t>投标截止时间前6个月内任意1个月的依法缴纳社会保险凭据</w:t>
      </w:r>
      <w:r>
        <w:rPr>
          <w:rFonts w:hint="eastAsia"/>
          <w:color w:val="auto"/>
          <w:highlight w:val="none"/>
        </w:rPr>
        <w:t>。</w:t>
      </w:r>
    </w:p>
    <w:p w14:paraId="58C35EEF">
      <w:pPr>
        <w:rPr>
          <w:color w:val="auto"/>
          <w:highlight w:val="none"/>
          <w:lang w:val="zh-CN"/>
        </w:rPr>
      </w:pPr>
      <w:r>
        <w:rPr>
          <w:rFonts w:hint="eastAsia"/>
          <w:color w:val="auto"/>
          <w:highlight w:val="none"/>
        </w:rPr>
        <w:t>4. 企业股东构成情况表</w:t>
      </w:r>
    </w:p>
    <w:p w14:paraId="449E0AC3">
      <w:pPr>
        <w:adjustRightInd w:val="0"/>
        <w:snapToGrid w:val="0"/>
        <w:spacing w:line="440" w:lineRule="exact"/>
        <w:rPr>
          <w:color w:val="auto"/>
          <w:spacing w:val="4"/>
          <w:highlight w:val="none"/>
        </w:rPr>
      </w:pPr>
    </w:p>
    <w:p w14:paraId="4223F910">
      <w:pPr>
        <w:adjustRightInd w:val="0"/>
        <w:snapToGrid w:val="0"/>
        <w:rPr>
          <w:rFonts w:hint="eastAsia" w:ascii="宋体" w:hAnsi="宋体"/>
          <w:color w:val="auto"/>
          <w:szCs w:val="21"/>
          <w:highlight w:val="none"/>
        </w:rPr>
      </w:pPr>
      <w:r>
        <w:rPr>
          <w:rFonts w:hint="eastAsia" w:ascii="宋体" w:hAnsi="宋体"/>
          <w:color w:val="auto"/>
          <w:szCs w:val="21"/>
          <w:highlight w:val="none"/>
        </w:rPr>
        <w:t>投标人法定代表人/负责人（或法定代表人/负责人授权代表）签字：</w:t>
      </w:r>
      <w:r>
        <w:rPr>
          <w:rFonts w:hint="eastAsia" w:ascii="宋体" w:hAnsi="宋体"/>
          <w:color w:val="auto"/>
          <w:szCs w:val="21"/>
          <w:highlight w:val="none"/>
          <w:u w:val="single"/>
        </w:rPr>
        <w:t xml:space="preserve">                   </w:t>
      </w:r>
    </w:p>
    <w:p w14:paraId="0A119F6B">
      <w:pPr>
        <w:adjustRightInd w:val="0"/>
        <w:snapToGrid w:val="0"/>
        <w:rPr>
          <w:rFonts w:hint="eastAsia" w:ascii="宋体" w:hAnsi="宋体"/>
          <w:color w:val="auto"/>
          <w:szCs w:val="21"/>
          <w:highlight w:val="none"/>
          <w:u w:val="single"/>
        </w:rPr>
      </w:pPr>
      <w:r>
        <w:rPr>
          <w:rFonts w:hint="eastAsia" w:ascii="宋体" w:hAnsi="宋体"/>
          <w:color w:val="auto"/>
          <w:szCs w:val="21"/>
          <w:highlight w:val="none"/>
        </w:rPr>
        <w:t>投标人名称（加盖公章）：</w:t>
      </w:r>
      <w:r>
        <w:rPr>
          <w:rFonts w:hint="eastAsia" w:ascii="宋体" w:hAnsi="宋体"/>
          <w:color w:val="auto"/>
          <w:szCs w:val="21"/>
          <w:highlight w:val="none"/>
          <w:u w:val="single"/>
        </w:rPr>
        <w:t xml:space="preserve">                        </w:t>
      </w:r>
    </w:p>
    <w:p w14:paraId="1A7CC209">
      <w:pPr>
        <w:adjustRightInd w:val="0"/>
        <w:snapToGrid w:val="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519A72A1">
      <w:pPr>
        <w:jc w:val="center"/>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企业股东构成情况表</w:t>
      </w:r>
    </w:p>
    <w:p w14:paraId="263F1F9A">
      <w:pPr>
        <w:jc w:val="left"/>
        <w:rPr>
          <w:rFonts w:hint="eastAsia" w:ascii="宋体" w:hAnsi="宋体"/>
          <w:b/>
          <w:color w:val="auto"/>
          <w:sz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1E366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9D35F34">
            <w:pPr>
              <w:topLinePunct/>
              <w:spacing w:line="440" w:lineRule="exact"/>
              <w:jc w:val="center"/>
              <w:rPr>
                <w:color w:val="auto"/>
                <w:szCs w:val="21"/>
                <w:highlight w:val="none"/>
              </w:rPr>
            </w:pPr>
            <w:r>
              <w:rPr>
                <w:color w:val="auto"/>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300ADA53">
            <w:pPr>
              <w:topLinePunct/>
              <w:spacing w:line="440" w:lineRule="exact"/>
              <w:jc w:val="center"/>
              <w:rPr>
                <w:color w:val="auto"/>
                <w:szCs w:val="21"/>
                <w:highlight w:val="none"/>
              </w:rPr>
            </w:pPr>
          </w:p>
        </w:tc>
      </w:tr>
      <w:tr w14:paraId="330D0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2985BB1">
            <w:pPr>
              <w:topLinePunct/>
              <w:spacing w:line="440" w:lineRule="exact"/>
              <w:jc w:val="center"/>
              <w:rPr>
                <w:color w:val="auto"/>
                <w:szCs w:val="21"/>
                <w:highlight w:val="none"/>
              </w:rPr>
            </w:pPr>
            <w:r>
              <w:rPr>
                <w:color w:val="auto"/>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0603434">
            <w:pPr>
              <w:topLinePunct/>
              <w:spacing w:line="440" w:lineRule="exact"/>
              <w:jc w:val="center"/>
              <w:rPr>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6682E85">
            <w:pPr>
              <w:topLinePunct/>
              <w:spacing w:line="440" w:lineRule="exact"/>
              <w:jc w:val="center"/>
              <w:rPr>
                <w:color w:val="auto"/>
                <w:szCs w:val="21"/>
                <w:highlight w:val="none"/>
              </w:rPr>
            </w:pPr>
            <w:r>
              <w:rPr>
                <w:rFonts w:hint="eastAsia"/>
                <w:color w:val="auto"/>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323003A">
            <w:pPr>
              <w:topLinePunct/>
              <w:spacing w:line="440" w:lineRule="exact"/>
              <w:jc w:val="center"/>
              <w:rPr>
                <w:color w:val="auto"/>
                <w:szCs w:val="21"/>
                <w:highlight w:val="none"/>
              </w:rPr>
            </w:pPr>
          </w:p>
        </w:tc>
      </w:tr>
      <w:tr w14:paraId="19798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75AC704">
            <w:pPr>
              <w:topLinePunct/>
              <w:spacing w:line="440" w:lineRule="exact"/>
              <w:jc w:val="center"/>
              <w:rPr>
                <w:color w:val="auto"/>
                <w:szCs w:val="21"/>
                <w:highlight w:val="none"/>
              </w:rPr>
            </w:pPr>
            <w:r>
              <w:rPr>
                <w:color w:val="auto"/>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805F2A5">
            <w:pPr>
              <w:topLinePunct/>
              <w:spacing w:line="440" w:lineRule="exact"/>
              <w:jc w:val="center"/>
              <w:rPr>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6F114BD">
            <w:pPr>
              <w:topLinePunct/>
              <w:spacing w:line="440" w:lineRule="exact"/>
              <w:jc w:val="center"/>
              <w:rPr>
                <w:color w:val="auto"/>
                <w:szCs w:val="21"/>
                <w:highlight w:val="none"/>
              </w:rPr>
            </w:pPr>
            <w:r>
              <w:rPr>
                <w:color w:val="auto"/>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50CA9CB">
            <w:pPr>
              <w:topLinePunct/>
              <w:spacing w:line="440" w:lineRule="exact"/>
              <w:jc w:val="center"/>
              <w:rPr>
                <w:color w:val="auto"/>
                <w:szCs w:val="21"/>
                <w:highlight w:val="none"/>
              </w:rPr>
            </w:pPr>
          </w:p>
        </w:tc>
      </w:tr>
      <w:tr w14:paraId="1F72F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62CB8391">
            <w:pPr>
              <w:topLinePunct/>
              <w:spacing w:line="440" w:lineRule="exact"/>
              <w:jc w:val="center"/>
              <w:rPr>
                <w:b/>
                <w:color w:val="auto"/>
                <w:szCs w:val="21"/>
                <w:highlight w:val="none"/>
              </w:rPr>
            </w:pPr>
            <w:r>
              <w:rPr>
                <w:rFonts w:hint="eastAsia"/>
                <w:b/>
                <w:color w:val="auto"/>
                <w:szCs w:val="21"/>
                <w:highlight w:val="none"/>
              </w:rPr>
              <w:t>股东及出资信息</w:t>
            </w:r>
          </w:p>
        </w:tc>
      </w:tr>
      <w:tr w14:paraId="0D92A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6BEF3F15">
            <w:pPr>
              <w:topLinePunct/>
              <w:spacing w:line="440" w:lineRule="exact"/>
              <w:jc w:val="center"/>
              <w:rPr>
                <w:b/>
                <w:color w:val="auto"/>
                <w:szCs w:val="21"/>
                <w:highlight w:val="none"/>
              </w:rPr>
            </w:pPr>
            <w:r>
              <w:rPr>
                <w:rFonts w:hint="eastAsia"/>
                <w:b/>
                <w:color w:val="auto"/>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D6F8CAF">
            <w:pPr>
              <w:topLinePunct/>
              <w:spacing w:line="440" w:lineRule="exact"/>
              <w:jc w:val="center"/>
              <w:rPr>
                <w:b/>
                <w:color w:val="auto"/>
                <w:szCs w:val="21"/>
                <w:highlight w:val="none"/>
              </w:rPr>
            </w:pPr>
            <w:r>
              <w:rPr>
                <w:rFonts w:hint="eastAsia"/>
                <w:b/>
                <w:color w:val="auto"/>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865320C">
            <w:pPr>
              <w:topLinePunct/>
              <w:spacing w:line="440" w:lineRule="exact"/>
              <w:jc w:val="center"/>
              <w:rPr>
                <w:b/>
                <w:color w:val="auto"/>
                <w:szCs w:val="21"/>
                <w:highlight w:val="none"/>
              </w:rPr>
            </w:pPr>
            <w:r>
              <w:rPr>
                <w:rFonts w:hint="eastAsia"/>
                <w:b/>
                <w:color w:val="auto"/>
                <w:szCs w:val="21"/>
                <w:highlight w:val="none"/>
              </w:rPr>
              <w:t>股东类型</w:t>
            </w:r>
          </w:p>
          <w:p w14:paraId="3BC19C1C">
            <w:pPr>
              <w:topLinePunct/>
              <w:spacing w:line="440" w:lineRule="exact"/>
              <w:jc w:val="center"/>
              <w:rPr>
                <w:b/>
                <w:color w:val="auto"/>
                <w:szCs w:val="21"/>
                <w:highlight w:val="none"/>
              </w:rPr>
            </w:pPr>
            <w:r>
              <w:rPr>
                <w:rFonts w:hint="eastAsia"/>
                <w:b/>
                <w:color w:val="auto"/>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3627EF9">
            <w:pPr>
              <w:topLinePunct/>
              <w:spacing w:line="440" w:lineRule="exact"/>
              <w:jc w:val="center"/>
              <w:rPr>
                <w:b/>
                <w:color w:val="auto"/>
                <w:szCs w:val="21"/>
                <w:highlight w:val="none"/>
              </w:rPr>
            </w:pPr>
            <w:r>
              <w:rPr>
                <w:rFonts w:hint="eastAsia"/>
                <w:b/>
                <w:color w:val="auto"/>
                <w:szCs w:val="21"/>
                <w:highlight w:val="none"/>
              </w:rPr>
              <w:t>身份证号</w:t>
            </w:r>
          </w:p>
          <w:p w14:paraId="15AEA1BE">
            <w:pPr>
              <w:topLinePunct/>
              <w:spacing w:line="440" w:lineRule="exact"/>
              <w:jc w:val="center"/>
              <w:rPr>
                <w:b/>
                <w:color w:val="auto"/>
                <w:szCs w:val="21"/>
                <w:highlight w:val="none"/>
              </w:rPr>
            </w:pPr>
            <w:r>
              <w:rPr>
                <w:rFonts w:hint="eastAsia"/>
                <w:b/>
                <w:color w:val="auto"/>
                <w:szCs w:val="21"/>
                <w:highlight w:val="none"/>
              </w:rPr>
              <w:t>/</w:t>
            </w:r>
            <w:r>
              <w:rPr>
                <w:b/>
                <w:color w:val="auto"/>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6577FBF">
            <w:pPr>
              <w:topLinePunct/>
              <w:spacing w:line="440" w:lineRule="exact"/>
              <w:jc w:val="center"/>
              <w:rPr>
                <w:b/>
                <w:color w:val="auto"/>
                <w:szCs w:val="21"/>
                <w:highlight w:val="none"/>
              </w:rPr>
            </w:pPr>
            <w:r>
              <w:rPr>
                <w:rFonts w:hint="eastAsia"/>
                <w:b/>
                <w:color w:val="auto"/>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412475E">
            <w:pPr>
              <w:topLinePunct/>
              <w:spacing w:line="440" w:lineRule="exact"/>
              <w:jc w:val="center"/>
              <w:rPr>
                <w:b/>
                <w:color w:val="auto"/>
                <w:szCs w:val="21"/>
                <w:highlight w:val="none"/>
              </w:rPr>
            </w:pPr>
            <w:r>
              <w:rPr>
                <w:rFonts w:hint="eastAsia"/>
                <w:b/>
                <w:color w:val="auto"/>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7FEF84AA">
            <w:pPr>
              <w:topLinePunct/>
              <w:spacing w:line="440" w:lineRule="exact"/>
              <w:jc w:val="center"/>
              <w:rPr>
                <w:b/>
                <w:color w:val="auto"/>
                <w:szCs w:val="21"/>
                <w:highlight w:val="none"/>
              </w:rPr>
            </w:pPr>
            <w:r>
              <w:rPr>
                <w:rFonts w:hint="eastAsia"/>
                <w:b/>
                <w:color w:val="auto"/>
                <w:szCs w:val="21"/>
                <w:highlight w:val="none"/>
              </w:rPr>
              <w:t>占全部股份比例</w:t>
            </w:r>
          </w:p>
        </w:tc>
      </w:tr>
      <w:tr w14:paraId="6968E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04F54986">
            <w:pPr>
              <w:topLinePunct/>
              <w:spacing w:line="440" w:lineRule="exact"/>
              <w:jc w:val="center"/>
              <w:rPr>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F1DCF6C">
            <w:pPr>
              <w:topLinePunct/>
              <w:spacing w:line="440" w:lineRule="exact"/>
              <w:jc w:val="center"/>
              <w:rPr>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E0D221">
            <w:pPr>
              <w:topLinePunct/>
              <w:spacing w:line="440" w:lineRule="exact"/>
              <w:jc w:val="center"/>
              <w:rPr>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123B2C6">
            <w:pPr>
              <w:topLinePunct/>
              <w:spacing w:line="440" w:lineRule="exact"/>
              <w:jc w:val="center"/>
              <w:rPr>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E824AFA">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F2E8169">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B305854">
            <w:pPr>
              <w:topLinePunct/>
              <w:spacing w:line="440" w:lineRule="exact"/>
              <w:jc w:val="center"/>
              <w:rPr>
                <w:color w:val="auto"/>
                <w:szCs w:val="21"/>
                <w:highlight w:val="none"/>
              </w:rPr>
            </w:pPr>
          </w:p>
        </w:tc>
      </w:tr>
      <w:tr w14:paraId="093BC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3D4D1C89">
            <w:pPr>
              <w:topLinePunct/>
              <w:spacing w:line="440" w:lineRule="exact"/>
              <w:jc w:val="center"/>
              <w:rPr>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80269B8">
            <w:pPr>
              <w:topLinePunct/>
              <w:spacing w:line="440" w:lineRule="exact"/>
              <w:jc w:val="center"/>
              <w:rPr>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01F9F1">
            <w:pPr>
              <w:topLinePunct/>
              <w:spacing w:line="440" w:lineRule="exact"/>
              <w:jc w:val="center"/>
              <w:rPr>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3070901">
            <w:pPr>
              <w:topLinePunct/>
              <w:spacing w:line="440" w:lineRule="exact"/>
              <w:jc w:val="center"/>
              <w:rPr>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ABF094">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1BCBB3">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2CF35BB">
            <w:pPr>
              <w:topLinePunct/>
              <w:spacing w:line="440" w:lineRule="exact"/>
              <w:jc w:val="center"/>
              <w:rPr>
                <w:color w:val="auto"/>
                <w:szCs w:val="21"/>
                <w:highlight w:val="none"/>
              </w:rPr>
            </w:pPr>
          </w:p>
        </w:tc>
      </w:tr>
      <w:tr w14:paraId="30562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6ACB22B8">
            <w:pPr>
              <w:topLinePunct/>
              <w:spacing w:line="440" w:lineRule="exact"/>
              <w:jc w:val="center"/>
              <w:rPr>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2E2053C">
            <w:pPr>
              <w:topLinePunct/>
              <w:spacing w:line="440" w:lineRule="exact"/>
              <w:jc w:val="center"/>
              <w:rPr>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729B95">
            <w:pPr>
              <w:topLinePunct/>
              <w:spacing w:line="440" w:lineRule="exact"/>
              <w:jc w:val="center"/>
              <w:rPr>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A6ADC47">
            <w:pPr>
              <w:topLinePunct/>
              <w:spacing w:line="440" w:lineRule="exact"/>
              <w:jc w:val="center"/>
              <w:rPr>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503D188">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704A610">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06C76C4">
            <w:pPr>
              <w:topLinePunct/>
              <w:spacing w:line="440" w:lineRule="exact"/>
              <w:jc w:val="center"/>
              <w:rPr>
                <w:color w:val="auto"/>
                <w:szCs w:val="21"/>
                <w:highlight w:val="none"/>
              </w:rPr>
            </w:pPr>
          </w:p>
        </w:tc>
      </w:tr>
      <w:tr w14:paraId="767A1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21D67EDD">
            <w:pPr>
              <w:topLinePunct/>
              <w:spacing w:line="440" w:lineRule="exact"/>
              <w:jc w:val="center"/>
              <w:rPr>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061863F">
            <w:pPr>
              <w:topLinePunct/>
              <w:spacing w:line="440" w:lineRule="exact"/>
              <w:jc w:val="center"/>
              <w:rPr>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D78453">
            <w:pPr>
              <w:topLinePunct/>
              <w:spacing w:line="440" w:lineRule="exact"/>
              <w:jc w:val="center"/>
              <w:rPr>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A359162">
            <w:pPr>
              <w:topLinePunct/>
              <w:spacing w:line="440" w:lineRule="exact"/>
              <w:jc w:val="center"/>
              <w:rPr>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38C7E99">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5D1EE59">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93784">
            <w:pPr>
              <w:topLinePunct/>
              <w:spacing w:line="440" w:lineRule="exact"/>
              <w:jc w:val="center"/>
              <w:rPr>
                <w:color w:val="auto"/>
                <w:szCs w:val="21"/>
                <w:highlight w:val="none"/>
              </w:rPr>
            </w:pPr>
          </w:p>
        </w:tc>
      </w:tr>
      <w:tr w14:paraId="6D850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35885DD1">
            <w:pPr>
              <w:topLinePunct/>
              <w:spacing w:line="440" w:lineRule="exact"/>
              <w:jc w:val="center"/>
              <w:rPr>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F363772">
            <w:pPr>
              <w:topLinePunct/>
              <w:spacing w:line="440" w:lineRule="exact"/>
              <w:jc w:val="center"/>
              <w:rPr>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879579">
            <w:pPr>
              <w:topLinePunct/>
              <w:spacing w:line="440" w:lineRule="exact"/>
              <w:jc w:val="center"/>
              <w:rPr>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37EB378">
            <w:pPr>
              <w:topLinePunct/>
              <w:spacing w:line="440" w:lineRule="exact"/>
              <w:jc w:val="center"/>
              <w:rPr>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95C8961">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C018853">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6D831A3">
            <w:pPr>
              <w:topLinePunct/>
              <w:spacing w:line="440" w:lineRule="exact"/>
              <w:jc w:val="center"/>
              <w:rPr>
                <w:color w:val="auto"/>
                <w:szCs w:val="21"/>
                <w:highlight w:val="none"/>
              </w:rPr>
            </w:pPr>
          </w:p>
        </w:tc>
      </w:tr>
      <w:tr w14:paraId="0D17D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7E2B5257">
            <w:pPr>
              <w:topLinePunct/>
              <w:spacing w:line="440" w:lineRule="exact"/>
              <w:jc w:val="center"/>
              <w:rPr>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3A7267F">
            <w:pPr>
              <w:topLinePunct/>
              <w:spacing w:line="440" w:lineRule="exact"/>
              <w:jc w:val="center"/>
              <w:rPr>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40B20E">
            <w:pPr>
              <w:topLinePunct/>
              <w:spacing w:line="440" w:lineRule="exact"/>
              <w:jc w:val="center"/>
              <w:rPr>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9890E5">
            <w:pPr>
              <w:topLinePunct/>
              <w:spacing w:line="440" w:lineRule="exact"/>
              <w:jc w:val="center"/>
              <w:rPr>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7DA73CE">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4C99CE0">
            <w:pPr>
              <w:topLinePunct/>
              <w:spacing w:line="440" w:lineRule="exact"/>
              <w:jc w:val="cente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93E42FC">
            <w:pPr>
              <w:topLinePunct/>
              <w:spacing w:line="440" w:lineRule="exact"/>
              <w:jc w:val="center"/>
              <w:rPr>
                <w:color w:val="auto"/>
                <w:szCs w:val="21"/>
                <w:highlight w:val="none"/>
              </w:rPr>
            </w:pPr>
          </w:p>
        </w:tc>
      </w:tr>
    </w:tbl>
    <w:p w14:paraId="3601BA27">
      <w:pPr>
        <w:jc w:val="left"/>
        <w:rPr>
          <w:color w:val="auto"/>
          <w:szCs w:val="21"/>
          <w:highlight w:val="none"/>
        </w:rPr>
      </w:pPr>
    </w:p>
    <w:p w14:paraId="42A373AF">
      <w:pPr>
        <w:jc w:val="left"/>
        <w:rPr>
          <w:color w:val="auto"/>
          <w:szCs w:val="21"/>
          <w:highlight w:val="none"/>
        </w:rPr>
      </w:pPr>
      <w:r>
        <w:rPr>
          <w:color w:val="auto"/>
          <w:szCs w:val="21"/>
          <w:highlight w:val="none"/>
        </w:rPr>
        <w:t>备注</w:t>
      </w:r>
      <w:r>
        <w:rPr>
          <w:rFonts w:hint="eastAsia"/>
          <w:color w:val="auto"/>
          <w:szCs w:val="21"/>
          <w:highlight w:val="none"/>
        </w:rPr>
        <w:t>：</w:t>
      </w:r>
    </w:p>
    <w:p w14:paraId="36834AE7">
      <w:pPr>
        <w:jc w:val="left"/>
        <w:rPr>
          <w:color w:val="auto"/>
          <w:szCs w:val="21"/>
          <w:highlight w:val="none"/>
        </w:rPr>
      </w:pPr>
      <w:r>
        <w:rPr>
          <w:rFonts w:hint="eastAsia"/>
          <w:color w:val="auto"/>
          <w:szCs w:val="21"/>
          <w:highlight w:val="none"/>
        </w:rPr>
        <w:t>1.股东或出资人为自然人的，填写自然人姓名及身份证号；股东或出资人为法人的，填写法人企业全称及</w:t>
      </w:r>
      <w:r>
        <w:rPr>
          <w:color w:val="auto"/>
          <w:szCs w:val="21"/>
          <w:highlight w:val="none"/>
        </w:rPr>
        <w:t>统一社会信用代码</w:t>
      </w:r>
      <w:r>
        <w:rPr>
          <w:rFonts w:hint="eastAsia"/>
          <w:color w:val="auto"/>
          <w:szCs w:val="21"/>
          <w:highlight w:val="none"/>
        </w:rPr>
        <w:t>。出资方式填写：货物、实物、工艺产权和非专利技术、土地使用权等。</w:t>
      </w:r>
    </w:p>
    <w:p w14:paraId="5C44722E">
      <w:pPr>
        <w:jc w:val="left"/>
        <w:rPr>
          <w:color w:val="auto"/>
          <w:szCs w:val="21"/>
          <w:highlight w:val="none"/>
        </w:rPr>
      </w:pPr>
      <w:r>
        <w:rPr>
          <w:rFonts w:hint="eastAsia"/>
          <w:color w:val="auto"/>
          <w:szCs w:val="21"/>
          <w:highlight w:val="none"/>
        </w:rPr>
        <w:t>2.</w:t>
      </w:r>
      <w:r>
        <w:rPr>
          <w:rFonts w:hint="eastAsia"/>
          <w:color w:val="auto"/>
          <w:highlight w:val="none"/>
        </w:rPr>
        <w:t xml:space="preserve"> </w:t>
      </w:r>
      <w:r>
        <w:rPr>
          <w:rFonts w:hint="eastAsia" w:ascii="宋体" w:hAnsi="宋体" w:cs="宋体"/>
          <w:color w:val="auto"/>
          <w:sz w:val="20"/>
          <w:szCs w:val="18"/>
          <w:highlight w:val="none"/>
        </w:rPr>
        <w:t>投标人必须如实填写股东构成情况，具体信息情况应与“国家企业信用信息公示系统” (网站：http：//www.gsxt.gov.cn)查询的信息一致</w:t>
      </w:r>
      <w:r>
        <w:rPr>
          <w:rFonts w:hint="eastAsia"/>
          <w:color w:val="auto"/>
          <w:szCs w:val="21"/>
          <w:highlight w:val="none"/>
        </w:rPr>
        <w:t>。</w:t>
      </w:r>
    </w:p>
    <w:p w14:paraId="032B02F1">
      <w:pPr>
        <w:rPr>
          <w:rFonts w:hint="eastAsia" w:ascii="宋体" w:hAnsi="宋体"/>
          <w:b/>
          <w:color w:val="auto"/>
          <w:sz w:val="24"/>
          <w:highlight w:val="none"/>
        </w:rPr>
      </w:pPr>
      <w:r>
        <w:rPr>
          <w:rFonts w:ascii="宋体" w:hAnsi="宋体"/>
          <w:color w:val="auto"/>
          <w:sz w:val="28"/>
          <w:szCs w:val="28"/>
          <w:highlight w:val="none"/>
        </w:rPr>
        <w:br w:type="page"/>
      </w:r>
    </w:p>
    <w:p w14:paraId="270AED10">
      <w:pPr>
        <w:rPr>
          <w:rFonts w:hint="eastAsia" w:ascii="宋体" w:hAnsi="宋体"/>
          <w:b/>
          <w:color w:val="auto"/>
          <w:sz w:val="24"/>
          <w:highlight w:val="none"/>
        </w:rPr>
      </w:pPr>
      <w:r>
        <w:rPr>
          <w:rFonts w:hint="eastAsia" w:ascii="宋体" w:hAnsi="宋体"/>
          <w:b/>
          <w:color w:val="auto"/>
          <w:sz w:val="24"/>
          <w:highlight w:val="none"/>
        </w:rPr>
        <w:t>2.2其他资格证明文件</w:t>
      </w:r>
    </w:p>
    <w:p w14:paraId="4D6930C1">
      <w:pPr>
        <w:adjustRightInd w:val="0"/>
        <w:snapToGrid w:val="0"/>
        <w:rPr>
          <w:rFonts w:hint="eastAsia" w:ascii="宋体" w:hAnsi="宋体"/>
          <w:color w:val="auto"/>
          <w:sz w:val="24"/>
          <w:highlight w:val="none"/>
        </w:rPr>
      </w:pPr>
      <w:r>
        <w:rPr>
          <w:rFonts w:hint="eastAsia" w:ascii="宋体" w:hAnsi="宋体"/>
          <w:color w:val="auto"/>
          <w:sz w:val="24"/>
          <w:highlight w:val="none"/>
        </w:rPr>
        <w:t>2.2.1有效的营业执照副本复印件（如非“三证合一”证照，同时提供税务登记证副本复印件）（加盖公章）</w:t>
      </w:r>
    </w:p>
    <w:p w14:paraId="4CFBA664">
      <w:pPr>
        <w:adjustRightInd w:val="0"/>
        <w:snapToGrid w:val="0"/>
        <w:rPr>
          <w:rFonts w:hint="eastAsia" w:ascii="宋体" w:hAnsi="宋体"/>
          <w:color w:val="auto"/>
          <w:sz w:val="24"/>
          <w:highlight w:val="none"/>
        </w:rPr>
      </w:pPr>
    </w:p>
    <w:p w14:paraId="1D154447">
      <w:pPr>
        <w:adjustRightInd w:val="0"/>
        <w:snapToGrid w:val="0"/>
        <w:rPr>
          <w:rFonts w:hint="eastAsia" w:ascii="宋体" w:hAnsi="宋体"/>
          <w:color w:val="auto"/>
          <w:sz w:val="24"/>
          <w:highlight w:val="none"/>
        </w:rPr>
      </w:pPr>
    </w:p>
    <w:p w14:paraId="58EA75BB">
      <w:pPr>
        <w:adjustRightInd w:val="0"/>
        <w:snapToGrid w:val="0"/>
        <w:rPr>
          <w:rFonts w:hint="eastAsia" w:ascii="宋体" w:hAnsi="宋体"/>
          <w:color w:val="auto"/>
          <w:sz w:val="24"/>
          <w:highlight w:val="none"/>
        </w:rPr>
      </w:pPr>
      <w:r>
        <w:rPr>
          <w:rFonts w:hint="eastAsia" w:ascii="宋体" w:hAnsi="宋体"/>
          <w:color w:val="auto"/>
          <w:sz w:val="24"/>
          <w:highlight w:val="none"/>
        </w:rPr>
        <w:t>……</w:t>
      </w:r>
    </w:p>
    <w:p w14:paraId="316E37B4">
      <w:pPr>
        <w:adjustRightInd w:val="0"/>
        <w:snapToGrid w:val="0"/>
        <w:rPr>
          <w:rFonts w:hint="eastAsia" w:ascii="宋体" w:hAnsi="宋体"/>
          <w:b/>
          <w:color w:val="auto"/>
          <w:szCs w:val="21"/>
          <w:highlight w:val="none"/>
        </w:rPr>
      </w:pPr>
      <w:bookmarkStart w:id="26" w:name="_Toc202820352"/>
      <w:bookmarkStart w:id="27" w:name="_Toc202254106"/>
      <w:bookmarkStart w:id="28" w:name="_Toc202819879"/>
      <w:bookmarkStart w:id="29" w:name="_Toc202816997"/>
      <w:bookmarkStart w:id="30" w:name="_Toc202251701"/>
      <w:bookmarkStart w:id="31" w:name="_Toc202252035"/>
      <w:bookmarkStart w:id="32" w:name="_Toc202251076"/>
    </w:p>
    <w:p w14:paraId="6FAA99AC">
      <w:pPr>
        <w:adjustRightInd w:val="0"/>
        <w:snapToGrid w:val="0"/>
        <w:rPr>
          <w:rFonts w:hint="eastAsia" w:ascii="宋体" w:hAnsi="宋体"/>
          <w:b/>
          <w:color w:val="auto"/>
          <w:szCs w:val="21"/>
          <w:highlight w:val="none"/>
        </w:rPr>
      </w:pPr>
    </w:p>
    <w:p w14:paraId="521CFC71">
      <w:pPr>
        <w:adjustRightInd w:val="0"/>
        <w:snapToGrid w:val="0"/>
        <w:rPr>
          <w:rFonts w:hint="eastAsia" w:ascii="宋体" w:hAnsi="宋体"/>
          <w:b/>
          <w:color w:val="auto"/>
          <w:szCs w:val="21"/>
          <w:highlight w:val="none"/>
        </w:rPr>
      </w:pPr>
    </w:p>
    <w:p w14:paraId="45625223">
      <w:pPr>
        <w:adjustRightInd w:val="0"/>
        <w:snapToGrid w:val="0"/>
        <w:rPr>
          <w:rFonts w:hint="eastAsia" w:ascii="宋体" w:hAnsi="宋体"/>
          <w:b/>
          <w:color w:val="auto"/>
          <w:szCs w:val="21"/>
          <w:highlight w:val="none"/>
        </w:rPr>
      </w:pPr>
    </w:p>
    <w:p w14:paraId="64C0694E">
      <w:pPr>
        <w:adjustRightInd w:val="0"/>
        <w:snapToGrid w:val="0"/>
        <w:rPr>
          <w:rFonts w:hint="eastAsia" w:ascii="宋体" w:hAnsi="宋体"/>
          <w:b/>
          <w:color w:val="auto"/>
          <w:szCs w:val="21"/>
          <w:highlight w:val="none"/>
        </w:rPr>
      </w:pPr>
    </w:p>
    <w:p w14:paraId="16AC5C8A">
      <w:pPr>
        <w:adjustRightInd w:val="0"/>
        <w:snapToGrid w:val="0"/>
        <w:rPr>
          <w:rFonts w:hint="eastAsia" w:ascii="宋体" w:hAnsi="宋体"/>
          <w:b/>
          <w:color w:val="auto"/>
          <w:szCs w:val="21"/>
          <w:highlight w:val="none"/>
        </w:rPr>
      </w:pPr>
    </w:p>
    <w:p w14:paraId="119FF6E7">
      <w:pPr>
        <w:adjustRightInd w:val="0"/>
        <w:snapToGrid w:val="0"/>
        <w:rPr>
          <w:rFonts w:hint="eastAsia" w:ascii="宋体" w:hAnsi="宋体"/>
          <w:b/>
          <w:color w:val="auto"/>
          <w:szCs w:val="21"/>
          <w:highlight w:val="none"/>
        </w:rPr>
      </w:pPr>
    </w:p>
    <w:p w14:paraId="685FBA5B">
      <w:pPr>
        <w:adjustRightInd w:val="0"/>
        <w:snapToGrid w:val="0"/>
        <w:rPr>
          <w:rFonts w:hint="eastAsia" w:ascii="宋体" w:hAnsi="宋体"/>
          <w:b/>
          <w:color w:val="auto"/>
          <w:szCs w:val="21"/>
          <w:highlight w:val="none"/>
        </w:rPr>
      </w:pPr>
    </w:p>
    <w:p w14:paraId="18BE00E1">
      <w:pPr>
        <w:adjustRightInd w:val="0"/>
        <w:snapToGrid w:val="0"/>
        <w:rPr>
          <w:rFonts w:hint="eastAsia" w:ascii="宋体" w:hAnsi="宋体"/>
          <w:b/>
          <w:color w:val="auto"/>
          <w:szCs w:val="21"/>
          <w:highlight w:val="none"/>
        </w:rPr>
      </w:pPr>
    </w:p>
    <w:p w14:paraId="69D002B1">
      <w:pPr>
        <w:adjustRightInd w:val="0"/>
        <w:snapToGrid w:val="0"/>
        <w:rPr>
          <w:rFonts w:hint="eastAsia" w:ascii="宋体" w:hAnsi="宋体"/>
          <w:b/>
          <w:color w:val="auto"/>
          <w:szCs w:val="21"/>
          <w:highlight w:val="none"/>
        </w:rPr>
      </w:pPr>
    </w:p>
    <w:p w14:paraId="572D0830">
      <w:pPr>
        <w:adjustRightInd w:val="0"/>
        <w:snapToGrid w:val="0"/>
        <w:rPr>
          <w:rFonts w:hint="eastAsia" w:ascii="宋体" w:hAnsi="宋体"/>
          <w:b/>
          <w:color w:val="auto"/>
          <w:szCs w:val="21"/>
          <w:highlight w:val="none"/>
        </w:rPr>
      </w:pPr>
    </w:p>
    <w:p w14:paraId="71CC4DD7">
      <w:pPr>
        <w:autoSpaceDE w:val="0"/>
        <w:autoSpaceDN w:val="0"/>
        <w:spacing w:line="360" w:lineRule="auto"/>
        <w:jc w:val="center"/>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三、符合性文件</w:t>
      </w:r>
    </w:p>
    <w:p w14:paraId="5DB0F474">
      <w:pPr>
        <w:rPr>
          <w:rFonts w:hint="eastAsia" w:ascii="宋体" w:hAnsi="宋体"/>
          <w:b/>
          <w:color w:val="auto"/>
          <w:sz w:val="24"/>
          <w:highlight w:val="none"/>
        </w:rPr>
      </w:pPr>
      <w:r>
        <w:rPr>
          <w:rFonts w:hint="eastAsia" w:ascii="宋体" w:hAnsi="宋体"/>
          <w:b/>
          <w:color w:val="auto"/>
          <w:sz w:val="24"/>
          <w:highlight w:val="none"/>
        </w:rPr>
        <w:t>3.1 投标函</w:t>
      </w:r>
    </w:p>
    <w:p w14:paraId="4CB6FABE">
      <w:pPr>
        <w:rPr>
          <w:rFonts w:hint="eastAsia" w:ascii="宋体" w:hAnsi="宋体"/>
          <w:b/>
          <w:color w:val="auto"/>
          <w:sz w:val="24"/>
          <w:highlight w:val="none"/>
        </w:rPr>
      </w:pPr>
    </w:p>
    <w:p w14:paraId="649CCE65">
      <w:pPr>
        <w:adjustRightInd w:val="0"/>
        <w:snapToGrid w:val="0"/>
        <w:rPr>
          <w:rFonts w:hint="eastAsia" w:ascii="宋体" w:hAnsi="宋体"/>
          <w:color w:val="auto"/>
          <w:szCs w:val="21"/>
          <w:highlight w:val="none"/>
        </w:rPr>
      </w:pPr>
      <w:r>
        <w:rPr>
          <w:rFonts w:hint="eastAsia" w:ascii="宋体" w:hAnsi="宋体"/>
          <w:color w:val="auto"/>
          <w:szCs w:val="21"/>
          <w:highlight w:val="none"/>
          <w:u w:val="single"/>
        </w:rPr>
        <w:t>国义招标股份有限公司</w:t>
      </w:r>
      <w:r>
        <w:rPr>
          <w:rFonts w:hint="eastAsia" w:ascii="宋体" w:hAnsi="宋体"/>
          <w:color w:val="auto"/>
          <w:szCs w:val="21"/>
          <w:highlight w:val="none"/>
        </w:rPr>
        <w:t>：</w:t>
      </w:r>
    </w:p>
    <w:p w14:paraId="2E73A237">
      <w:pPr>
        <w:autoSpaceDE w:val="0"/>
        <w:autoSpaceDN w:val="0"/>
        <w:adjustRightInd w:val="0"/>
        <w:ind w:right="26"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依据贵方</w:t>
      </w:r>
      <w:r>
        <w:rPr>
          <w:rFonts w:hint="eastAsia" w:ascii="宋体" w:hAnsi="宋体"/>
          <w:color w:val="auto"/>
          <w:szCs w:val="21"/>
          <w:highlight w:val="none"/>
          <w:u w:val="single"/>
        </w:rPr>
        <w:t>招标项目（项目编号)</w:t>
      </w:r>
      <w:r>
        <w:rPr>
          <w:rFonts w:hint="eastAsia" w:ascii="宋体" w:hAnsi="宋体"/>
          <w:color w:val="auto"/>
          <w:kern w:val="0"/>
          <w:szCs w:val="21"/>
          <w:highlight w:val="none"/>
        </w:rPr>
        <w:t>的投标邀请，我方代表</w:t>
      </w:r>
      <w:r>
        <w:rPr>
          <w:rFonts w:hint="eastAsia" w:ascii="宋体" w:hAnsi="宋体"/>
          <w:color w:val="auto"/>
          <w:szCs w:val="21"/>
          <w:highlight w:val="none"/>
          <w:u w:val="single"/>
        </w:rPr>
        <w:t>（姓名、职务）</w:t>
      </w:r>
      <w:r>
        <w:rPr>
          <w:rFonts w:hint="eastAsia" w:ascii="宋体" w:hAnsi="宋体"/>
          <w:color w:val="auto"/>
          <w:kern w:val="0"/>
          <w:szCs w:val="21"/>
          <w:highlight w:val="none"/>
        </w:rPr>
        <w:t>经正式授权并代表</w:t>
      </w:r>
      <w:r>
        <w:rPr>
          <w:rFonts w:hint="eastAsia" w:ascii="宋体" w:hAnsi="宋体"/>
          <w:color w:val="auto"/>
          <w:szCs w:val="21"/>
          <w:highlight w:val="none"/>
          <w:u w:val="single"/>
        </w:rPr>
        <w:t>（投标人名称、地址）</w:t>
      </w:r>
      <w:r>
        <w:rPr>
          <w:rFonts w:hint="eastAsia" w:ascii="宋体" w:hAnsi="宋体"/>
          <w:color w:val="auto"/>
          <w:kern w:val="0"/>
          <w:szCs w:val="21"/>
          <w:highlight w:val="none"/>
        </w:rPr>
        <w:t>提交下述文件正本</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rPr>
        <w:t>份，副本</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rPr>
        <w:t>份。</w:t>
      </w:r>
    </w:p>
    <w:p w14:paraId="3CA649EB">
      <w:pPr>
        <w:autoSpaceDE w:val="0"/>
        <w:autoSpaceDN w:val="0"/>
        <w:adjustRightInd w:val="0"/>
        <w:ind w:right="246"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1. </w:t>
      </w:r>
      <w:r>
        <w:rPr>
          <w:rFonts w:hint="eastAsia" w:ascii="宋体" w:hAnsi="宋体"/>
          <w:color w:val="auto"/>
          <w:szCs w:val="21"/>
          <w:highlight w:val="none"/>
        </w:rPr>
        <w:t>自查表</w:t>
      </w:r>
      <w:r>
        <w:rPr>
          <w:rFonts w:hint="eastAsia" w:ascii="宋体" w:hAnsi="宋体"/>
          <w:color w:val="auto"/>
          <w:kern w:val="0"/>
          <w:szCs w:val="21"/>
          <w:highlight w:val="none"/>
        </w:rPr>
        <w:t>；</w:t>
      </w:r>
    </w:p>
    <w:p w14:paraId="4D54523E">
      <w:pPr>
        <w:autoSpaceDE w:val="0"/>
        <w:autoSpaceDN w:val="0"/>
        <w:adjustRightInd w:val="0"/>
        <w:ind w:right="246"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2. </w:t>
      </w:r>
      <w:r>
        <w:rPr>
          <w:rFonts w:hint="eastAsia" w:ascii="宋体" w:hAnsi="宋体"/>
          <w:color w:val="auto"/>
          <w:szCs w:val="21"/>
          <w:highlight w:val="none"/>
        </w:rPr>
        <w:t>资格文件</w:t>
      </w:r>
      <w:r>
        <w:rPr>
          <w:rFonts w:hint="eastAsia" w:ascii="宋体" w:hAnsi="宋体"/>
          <w:color w:val="auto"/>
          <w:kern w:val="0"/>
          <w:szCs w:val="21"/>
          <w:highlight w:val="none"/>
        </w:rPr>
        <w:t>；</w:t>
      </w:r>
    </w:p>
    <w:p w14:paraId="7D16D979">
      <w:pPr>
        <w:autoSpaceDE w:val="0"/>
        <w:autoSpaceDN w:val="0"/>
        <w:adjustRightInd w:val="0"/>
        <w:ind w:right="246"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3. 符合性文件</w:t>
      </w:r>
    </w:p>
    <w:p w14:paraId="64513FFA">
      <w:pPr>
        <w:autoSpaceDE w:val="0"/>
        <w:autoSpaceDN w:val="0"/>
        <w:adjustRightInd w:val="0"/>
        <w:ind w:right="246"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4. 商务部分；</w:t>
      </w:r>
    </w:p>
    <w:p w14:paraId="30DCAC39">
      <w:pPr>
        <w:autoSpaceDE w:val="0"/>
        <w:autoSpaceDN w:val="0"/>
        <w:adjustRightInd w:val="0"/>
        <w:ind w:right="246"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5. 服务部分；</w:t>
      </w:r>
    </w:p>
    <w:p w14:paraId="65528A18">
      <w:pPr>
        <w:autoSpaceDE w:val="0"/>
        <w:autoSpaceDN w:val="0"/>
        <w:adjustRightInd w:val="0"/>
        <w:ind w:right="32"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6. </w:t>
      </w:r>
      <w:r>
        <w:rPr>
          <w:rFonts w:hint="eastAsia" w:ascii="宋体" w:hAnsi="宋体"/>
          <w:color w:val="auto"/>
          <w:szCs w:val="21"/>
          <w:highlight w:val="none"/>
        </w:rPr>
        <w:t>价格部分。</w:t>
      </w:r>
    </w:p>
    <w:p w14:paraId="6039AFBB">
      <w:pPr>
        <w:autoSpaceDE w:val="0"/>
        <w:autoSpaceDN w:val="0"/>
        <w:adjustRightInd w:val="0"/>
        <w:ind w:right="246"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在此，我方声明如下：</w:t>
      </w:r>
    </w:p>
    <w:p w14:paraId="11F88B07">
      <w:pPr>
        <w:ind w:firstLine="420" w:firstLineChars="200"/>
        <w:rPr>
          <w:rFonts w:hint="eastAsia" w:ascii="宋体" w:hAnsi="宋体"/>
          <w:color w:val="auto"/>
          <w:szCs w:val="21"/>
          <w:highlight w:val="none"/>
        </w:rPr>
      </w:pPr>
      <w:r>
        <w:rPr>
          <w:rFonts w:hint="eastAsia" w:ascii="宋体" w:hAnsi="宋体"/>
          <w:color w:val="auto"/>
          <w:szCs w:val="21"/>
          <w:highlight w:val="none"/>
        </w:rPr>
        <w:t>1.同意并接受招标文件的各项要求，遵守招标文件中的各项规定，按招标文件的要求提供报价。</w:t>
      </w:r>
    </w:p>
    <w:p w14:paraId="087CF373">
      <w:pPr>
        <w:ind w:firstLine="420" w:firstLineChars="200"/>
        <w:rPr>
          <w:rFonts w:hint="eastAsia" w:ascii="宋体" w:hAnsi="宋体"/>
          <w:color w:val="auto"/>
          <w:szCs w:val="21"/>
          <w:highlight w:val="none"/>
        </w:rPr>
      </w:pPr>
      <w:r>
        <w:rPr>
          <w:rFonts w:hint="eastAsia" w:ascii="宋体" w:hAnsi="宋体"/>
          <w:color w:val="auto"/>
          <w:szCs w:val="21"/>
          <w:highlight w:val="none"/>
        </w:rPr>
        <w:t>2.投标有效期为提交投标文件截止之日起</w:t>
      </w:r>
      <w:r>
        <w:rPr>
          <w:rFonts w:hint="eastAsia" w:ascii="宋体" w:hAnsi="宋体"/>
          <w:color w:val="auto"/>
          <w:szCs w:val="21"/>
          <w:highlight w:val="none"/>
          <w:u w:val="single"/>
        </w:rPr>
        <w:t>九十</w:t>
      </w:r>
      <w:r>
        <w:rPr>
          <w:rFonts w:hint="eastAsia" w:ascii="宋体" w:hAnsi="宋体"/>
          <w:color w:val="auto"/>
          <w:szCs w:val="21"/>
          <w:highlight w:val="none"/>
        </w:rPr>
        <w:t>天，中标人投标有效期延至合同验收之日。</w:t>
      </w:r>
    </w:p>
    <w:p w14:paraId="12D86A5A">
      <w:pPr>
        <w:ind w:firstLine="420" w:firstLineChars="200"/>
        <w:rPr>
          <w:rFonts w:hint="eastAsia" w:ascii="宋体" w:hAnsi="宋体"/>
          <w:color w:val="auto"/>
          <w:szCs w:val="21"/>
          <w:highlight w:val="none"/>
        </w:rPr>
      </w:pPr>
      <w:r>
        <w:rPr>
          <w:rFonts w:hint="eastAsia" w:ascii="宋体" w:hAnsi="宋体"/>
          <w:color w:val="auto"/>
          <w:szCs w:val="21"/>
          <w:highlight w:val="none"/>
        </w:rPr>
        <w:t>3.我方已经详细地阅读了全部招标文件及其附件，包括澄清及参考文件(如果有的话)。我方已完全清晰理解招标文件的要求，不存在任何含糊不清和误解之处，同意放弃对这些文件所提出的异议和质疑的权利。</w:t>
      </w:r>
    </w:p>
    <w:p w14:paraId="4BCCC53B">
      <w:pPr>
        <w:ind w:firstLine="420" w:firstLineChars="200"/>
        <w:rPr>
          <w:rFonts w:hint="eastAsia" w:ascii="宋体" w:hAnsi="宋体"/>
          <w:color w:val="auto"/>
          <w:szCs w:val="21"/>
          <w:highlight w:val="none"/>
        </w:rPr>
      </w:pPr>
      <w:r>
        <w:rPr>
          <w:rFonts w:hint="eastAsia" w:ascii="宋体" w:hAnsi="宋体"/>
          <w:color w:val="auto"/>
          <w:szCs w:val="21"/>
          <w:highlight w:val="none"/>
        </w:rPr>
        <w:t>4.我方已毫无保留地向贵方提供一切所需的证明材料。</w:t>
      </w:r>
    </w:p>
    <w:p w14:paraId="32EF4143">
      <w:pPr>
        <w:ind w:left="388" w:leftChars="185"/>
        <w:rPr>
          <w:rFonts w:hint="eastAsia" w:ascii="宋体" w:hAnsi="宋体"/>
          <w:color w:val="auto"/>
          <w:szCs w:val="21"/>
          <w:highlight w:val="none"/>
        </w:rPr>
      </w:pPr>
      <w:r>
        <w:rPr>
          <w:rFonts w:hint="eastAsia" w:ascii="宋体" w:hAnsi="宋体"/>
          <w:color w:val="auto"/>
          <w:szCs w:val="21"/>
          <w:highlight w:val="none"/>
        </w:rPr>
        <w:t>5.我方承诺在本次投标中提供的一切文件，无论是原件还是复印件均为真实和准确的，绝无任何虚假、伪造和夸大的成份，否则，愿承担相应的后果和法律责任。</w:t>
      </w:r>
    </w:p>
    <w:p w14:paraId="69E017D3">
      <w:pPr>
        <w:ind w:left="388" w:leftChars="185"/>
        <w:rPr>
          <w:rFonts w:hint="eastAsia" w:ascii="宋体" w:hAnsi="宋体"/>
          <w:color w:val="auto"/>
          <w:szCs w:val="21"/>
          <w:highlight w:val="none"/>
        </w:rPr>
      </w:pPr>
      <w:r>
        <w:rPr>
          <w:rFonts w:hint="eastAsia" w:ascii="宋体" w:hAnsi="宋体"/>
          <w:color w:val="auto"/>
          <w:szCs w:val="21"/>
          <w:highlight w:val="none"/>
        </w:rPr>
        <w:t>6.我方完全服从和尊重评委会所作的评定结果，同时清楚理解到报价最低并非意味着必定获得中标资格。</w:t>
      </w:r>
    </w:p>
    <w:p w14:paraId="70CFAEB7">
      <w:pPr>
        <w:ind w:firstLine="420" w:firstLineChars="200"/>
        <w:rPr>
          <w:rFonts w:hint="eastAsia" w:ascii="宋体" w:hAnsi="宋体"/>
          <w:color w:val="auto"/>
          <w:szCs w:val="21"/>
          <w:highlight w:val="none"/>
        </w:rPr>
      </w:pPr>
      <w:r>
        <w:rPr>
          <w:rFonts w:hint="eastAsia" w:ascii="宋体" w:hAnsi="宋体"/>
          <w:color w:val="auto"/>
          <w:szCs w:val="21"/>
          <w:highlight w:val="none"/>
        </w:rPr>
        <w:t>7.我方同意按招标文件规定向采购代理机构缴纳</w:t>
      </w:r>
      <w:r>
        <w:rPr>
          <w:rFonts w:hint="eastAsia" w:ascii="宋体" w:hAnsi="宋体"/>
          <w:color w:val="auto"/>
          <w:szCs w:val="21"/>
          <w:highlight w:val="none"/>
          <w:lang w:val="en-GB"/>
        </w:rPr>
        <w:t>中标服务费</w:t>
      </w:r>
      <w:r>
        <w:rPr>
          <w:rFonts w:hint="eastAsia" w:ascii="宋体" w:hAnsi="宋体"/>
          <w:color w:val="auto"/>
          <w:szCs w:val="21"/>
          <w:highlight w:val="none"/>
        </w:rPr>
        <w:t>。</w:t>
      </w:r>
    </w:p>
    <w:p w14:paraId="5A103759">
      <w:pPr>
        <w:autoSpaceDE w:val="0"/>
        <w:autoSpaceDN w:val="0"/>
        <w:adjustRightInd w:val="0"/>
        <w:ind w:right="246"/>
        <w:rPr>
          <w:rFonts w:hint="eastAsia" w:ascii="宋体" w:hAnsi="宋体"/>
          <w:color w:val="auto"/>
          <w:kern w:val="0"/>
          <w:szCs w:val="21"/>
          <w:highlight w:val="none"/>
        </w:rPr>
      </w:pPr>
      <w:r>
        <w:rPr>
          <w:rFonts w:hint="eastAsia" w:ascii="宋体" w:hAnsi="宋体"/>
          <w:color w:val="auto"/>
          <w:kern w:val="0"/>
          <w:szCs w:val="21"/>
          <w:highlight w:val="none"/>
        </w:rPr>
        <w:t>投标人：</w:t>
      </w:r>
    </w:p>
    <w:p w14:paraId="43337A88">
      <w:pPr>
        <w:autoSpaceDE w:val="0"/>
        <w:autoSpaceDN w:val="0"/>
        <w:adjustRightInd w:val="0"/>
        <w:ind w:right="246"/>
        <w:rPr>
          <w:rFonts w:hint="eastAsia" w:ascii="宋体" w:hAnsi="宋体"/>
          <w:color w:val="auto"/>
          <w:kern w:val="0"/>
          <w:szCs w:val="21"/>
          <w:highlight w:val="none"/>
        </w:rPr>
      </w:pPr>
      <w:r>
        <w:rPr>
          <w:rFonts w:hint="eastAsia" w:ascii="宋体" w:hAnsi="宋体"/>
          <w:color w:val="auto"/>
          <w:kern w:val="0"/>
          <w:szCs w:val="21"/>
          <w:highlight w:val="none"/>
        </w:rPr>
        <w:t>地址：</w:t>
      </w:r>
    </w:p>
    <w:p w14:paraId="144907C4">
      <w:pPr>
        <w:autoSpaceDE w:val="0"/>
        <w:autoSpaceDN w:val="0"/>
        <w:adjustRightInd w:val="0"/>
        <w:ind w:right="246"/>
        <w:rPr>
          <w:rFonts w:hint="eastAsia" w:ascii="宋体" w:hAnsi="宋体"/>
          <w:color w:val="auto"/>
          <w:kern w:val="0"/>
          <w:szCs w:val="21"/>
          <w:highlight w:val="none"/>
        </w:rPr>
      </w:pPr>
      <w:r>
        <w:rPr>
          <w:rFonts w:hint="eastAsia" w:ascii="宋体" w:hAnsi="宋体"/>
          <w:color w:val="auto"/>
          <w:kern w:val="0"/>
          <w:szCs w:val="21"/>
          <w:highlight w:val="none"/>
        </w:rPr>
        <w:t>传真：</w:t>
      </w:r>
    </w:p>
    <w:p w14:paraId="644251C4">
      <w:pPr>
        <w:autoSpaceDE w:val="0"/>
        <w:autoSpaceDN w:val="0"/>
        <w:adjustRightInd w:val="0"/>
        <w:ind w:right="33"/>
        <w:rPr>
          <w:rFonts w:hint="eastAsia" w:ascii="宋体" w:hAnsi="宋体"/>
          <w:color w:val="auto"/>
          <w:kern w:val="0"/>
          <w:szCs w:val="21"/>
          <w:highlight w:val="none"/>
        </w:rPr>
      </w:pPr>
      <w:r>
        <w:rPr>
          <w:rFonts w:hint="eastAsia" w:ascii="宋体" w:hAnsi="宋体"/>
          <w:color w:val="auto"/>
          <w:kern w:val="0"/>
          <w:szCs w:val="21"/>
          <w:highlight w:val="none"/>
        </w:rPr>
        <w:t>电话：</w:t>
      </w:r>
    </w:p>
    <w:p w14:paraId="57A89E08">
      <w:pPr>
        <w:autoSpaceDE w:val="0"/>
        <w:autoSpaceDN w:val="0"/>
        <w:adjustRightInd w:val="0"/>
        <w:ind w:right="246"/>
        <w:rPr>
          <w:rFonts w:hint="eastAsia" w:ascii="宋体" w:hAnsi="宋体"/>
          <w:color w:val="auto"/>
          <w:kern w:val="0"/>
          <w:szCs w:val="21"/>
          <w:highlight w:val="none"/>
        </w:rPr>
      </w:pPr>
      <w:r>
        <w:rPr>
          <w:rFonts w:hint="eastAsia" w:ascii="宋体" w:hAnsi="宋体"/>
          <w:color w:val="auto"/>
          <w:kern w:val="0"/>
          <w:szCs w:val="21"/>
          <w:highlight w:val="none"/>
        </w:rPr>
        <w:t>电子邮件：</w:t>
      </w:r>
    </w:p>
    <w:p w14:paraId="46AAD37A">
      <w:pPr>
        <w:adjustRightInd w:val="0"/>
        <w:snapToGrid w:val="0"/>
        <w:rPr>
          <w:rFonts w:hint="eastAsia" w:ascii="宋体" w:hAnsi="宋体"/>
          <w:color w:val="auto"/>
          <w:szCs w:val="21"/>
          <w:highlight w:val="none"/>
          <w:u w:val="single"/>
        </w:rPr>
      </w:pPr>
      <w:r>
        <w:rPr>
          <w:rFonts w:hint="eastAsia" w:ascii="宋体" w:hAnsi="宋体"/>
          <w:color w:val="auto"/>
          <w:szCs w:val="21"/>
          <w:highlight w:val="none"/>
        </w:rPr>
        <w:t>投标人法定代表人/负责人（或法定代表人/负责人授权代表）签字：</w:t>
      </w:r>
    </w:p>
    <w:p w14:paraId="585F6EB6">
      <w:pPr>
        <w:adjustRightInd w:val="0"/>
        <w:snapToGrid w:val="0"/>
        <w:rPr>
          <w:rFonts w:hint="eastAsia" w:ascii="宋体" w:hAnsi="宋体"/>
          <w:color w:val="auto"/>
          <w:szCs w:val="21"/>
          <w:highlight w:val="none"/>
          <w:u w:val="single"/>
        </w:rPr>
      </w:pPr>
      <w:r>
        <w:rPr>
          <w:rFonts w:hint="eastAsia" w:ascii="宋体" w:hAnsi="宋体"/>
          <w:color w:val="auto"/>
          <w:szCs w:val="21"/>
          <w:highlight w:val="none"/>
        </w:rPr>
        <w:t xml:space="preserve">投标人名称(公章)： </w:t>
      </w:r>
    </w:p>
    <w:p w14:paraId="7FA0B16D">
      <w:pPr>
        <w:adjustRightInd w:val="0"/>
        <w:snapToGrid w:val="0"/>
        <w:rPr>
          <w:rFonts w:hint="eastAsia" w:ascii="宋体" w:hAnsi="宋体"/>
          <w:color w:val="auto"/>
          <w:szCs w:val="21"/>
          <w:highlight w:val="none"/>
          <w:u w:val="single"/>
        </w:rPr>
      </w:pPr>
      <w:r>
        <w:rPr>
          <w:rFonts w:hint="eastAsia" w:ascii="宋体" w:hAnsi="宋体"/>
          <w:color w:val="auto"/>
          <w:szCs w:val="21"/>
          <w:highlight w:val="none"/>
        </w:rPr>
        <w:t>开户银行：</w:t>
      </w:r>
    </w:p>
    <w:p w14:paraId="09CCFFAF">
      <w:pPr>
        <w:tabs>
          <w:tab w:val="left" w:pos="5250"/>
        </w:tabs>
        <w:autoSpaceDE w:val="0"/>
        <w:autoSpaceDN w:val="0"/>
        <w:rPr>
          <w:rFonts w:hint="eastAsia" w:ascii="宋体" w:hAnsi="宋体"/>
          <w:color w:val="auto"/>
          <w:szCs w:val="21"/>
          <w:highlight w:val="none"/>
          <w:u w:val="single"/>
        </w:rPr>
      </w:pPr>
      <w:r>
        <w:rPr>
          <w:rFonts w:hint="eastAsia" w:ascii="宋体" w:hAnsi="宋体"/>
          <w:color w:val="auto"/>
          <w:szCs w:val="21"/>
          <w:highlight w:val="none"/>
        </w:rPr>
        <w:t>帐号：</w:t>
      </w:r>
    </w:p>
    <w:p w14:paraId="5EE7113B">
      <w:pPr>
        <w:adjustRightInd w:val="0"/>
        <w:snapToGrid w:val="0"/>
        <w:rPr>
          <w:rFonts w:hint="eastAsia" w:ascii="宋体" w:hAnsi="宋体"/>
          <w:color w:val="auto"/>
          <w:szCs w:val="21"/>
          <w:highlight w:val="none"/>
          <w:u w:val="single"/>
        </w:rPr>
      </w:pPr>
      <w:r>
        <w:rPr>
          <w:rFonts w:hint="eastAsia" w:ascii="宋体" w:hAnsi="宋体"/>
          <w:color w:val="auto"/>
          <w:szCs w:val="21"/>
          <w:highlight w:val="none"/>
        </w:rPr>
        <w:t>日期：</w:t>
      </w:r>
    </w:p>
    <w:p w14:paraId="037B89E6">
      <w:pPr>
        <w:adjustRightInd w:val="0"/>
        <w:snapToGrid w:val="0"/>
        <w:rPr>
          <w:rFonts w:hint="eastAsia" w:ascii="宋体" w:hAnsi="宋体"/>
          <w:color w:val="auto"/>
          <w:szCs w:val="21"/>
          <w:highlight w:val="none"/>
          <w:u w:val="single"/>
        </w:rPr>
      </w:pPr>
    </w:p>
    <w:p w14:paraId="43AEB1BB">
      <w:pPr>
        <w:rPr>
          <w:rFonts w:hint="eastAsia" w:ascii="宋体" w:hAnsi="宋体"/>
          <w:b/>
          <w:color w:val="auto"/>
          <w:sz w:val="24"/>
          <w:highlight w:val="none"/>
        </w:rPr>
      </w:pPr>
      <w:r>
        <w:rPr>
          <w:rFonts w:ascii="宋体" w:hAnsi="宋体"/>
          <w:b/>
          <w:color w:val="auto"/>
          <w:sz w:val="28"/>
          <w:szCs w:val="28"/>
          <w:highlight w:val="none"/>
        </w:rPr>
        <w:br w:type="page"/>
      </w:r>
      <w:r>
        <w:rPr>
          <w:rFonts w:hint="eastAsia" w:ascii="宋体" w:hAnsi="宋体"/>
          <w:b/>
          <w:color w:val="auto"/>
          <w:sz w:val="24"/>
          <w:highlight w:val="none"/>
        </w:rPr>
        <w:t>3.2法定代表人/负责人证明书及授权委托书</w:t>
      </w:r>
    </w:p>
    <w:p w14:paraId="4870195A">
      <w:pPr>
        <w:spacing w:line="480" w:lineRule="exact"/>
        <w:jc w:val="center"/>
        <w:rPr>
          <w:rFonts w:hint="eastAsia" w:ascii="宋体" w:hAnsi="宋体"/>
          <w:b/>
          <w:color w:val="auto"/>
          <w:sz w:val="28"/>
          <w:szCs w:val="28"/>
          <w:highlight w:val="none"/>
        </w:rPr>
      </w:pPr>
    </w:p>
    <w:p w14:paraId="2CAEA002">
      <w:pPr>
        <w:spacing w:line="48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（1）法定代表人/负责人证明书</w:t>
      </w:r>
    </w:p>
    <w:p w14:paraId="1DFB9197">
      <w:pPr>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国义招标股份有限公司</w:t>
      </w:r>
      <w:r>
        <w:rPr>
          <w:rFonts w:hint="eastAsia" w:ascii="宋体" w:hAnsi="宋体"/>
          <w:color w:val="auto"/>
          <w:szCs w:val="21"/>
          <w:highlight w:val="none"/>
        </w:rPr>
        <w:t>：</w:t>
      </w:r>
    </w:p>
    <w:p w14:paraId="3E9236EC">
      <w:pPr>
        <w:rPr>
          <w:rFonts w:hint="eastAsia" w:ascii="宋体" w:hAnsi="宋体"/>
          <w:color w:val="auto"/>
          <w:szCs w:val="21"/>
          <w:highlight w:val="none"/>
        </w:rPr>
      </w:pPr>
    </w:p>
    <w:p w14:paraId="1170B505">
      <w:pPr>
        <w:rPr>
          <w:rFonts w:hint="eastAsia" w:ascii="宋体" w:hAnsi="宋体"/>
          <w:color w:val="auto"/>
          <w:szCs w:val="21"/>
          <w:highlight w:val="none"/>
        </w:rPr>
      </w:pPr>
      <w:r>
        <w:rPr>
          <w:rFonts w:hint="eastAsia" w:ascii="宋体" w:hAnsi="宋体"/>
          <w:color w:val="auto"/>
          <w:szCs w:val="21"/>
          <w:highlight w:val="none"/>
        </w:rPr>
        <w:t>同志，现任我单位职务，为法定代表人/负责人，特此证明。</w:t>
      </w:r>
    </w:p>
    <w:p w14:paraId="577BC0F2">
      <w:pPr>
        <w:ind w:firstLine="210" w:firstLineChars="100"/>
        <w:rPr>
          <w:rFonts w:hint="eastAsia" w:ascii="宋体" w:hAnsi="宋体"/>
          <w:color w:val="auto"/>
          <w:szCs w:val="21"/>
          <w:highlight w:val="none"/>
        </w:rPr>
      </w:pPr>
      <w:r>
        <w:rPr>
          <w:rFonts w:hint="eastAsia" w:ascii="宋体" w:hAnsi="宋体"/>
          <w:color w:val="auto"/>
          <w:szCs w:val="21"/>
          <w:highlight w:val="none"/>
        </w:rPr>
        <w:t>签发日期：           单位：           （单位公章）</w:t>
      </w:r>
    </w:p>
    <w:p w14:paraId="21AC7035">
      <w:pPr>
        <w:ind w:firstLine="210" w:firstLineChars="100"/>
        <w:rPr>
          <w:rFonts w:hint="eastAsia" w:ascii="宋体" w:hAnsi="宋体"/>
          <w:color w:val="auto"/>
          <w:szCs w:val="21"/>
          <w:highlight w:val="none"/>
        </w:rPr>
      </w:pPr>
      <w:r>
        <w:rPr>
          <w:rFonts w:hint="eastAsia" w:ascii="宋体" w:hAnsi="宋体"/>
          <w:color w:val="auto"/>
          <w:szCs w:val="21"/>
          <w:highlight w:val="none"/>
        </w:rPr>
        <w:t>附：代表人性别：            年龄：           身份证号码：</w:t>
      </w:r>
    </w:p>
    <w:p w14:paraId="347EC3CF">
      <w:pPr>
        <w:ind w:firstLine="210" w:firstLineChars="100"/>
        <w:rPr>
          <w:rFonts w:hint="eastAsia" w:ascii="宋体" w:hAnsi="宋体"/>
          <w:color w:val="auto"/>
          <w:szCs w:val="21"/>
          <w:highlight w:val="none"/>
        </w:rPr>
      </w:pPr>
      <w:r>
        <w:rPr>
          <w:rFonts w:hint="eastAsia" w:ascii="宋体" w:hAnsi="宋体"/>
          <w:color w:val="auto"/>
          <w:szCs w:val="21"/>
          <w:highlight w:val="none"/>
        </w:rPr>
        <w:t>联系电话：</w:t>
      </w:r>
    </w:p>
    <w:p w14:paraId="7D75F05A">
      <w:pPr>
        <w:ind w:firstLine="210" w:firstLineChars="100"/>
        <w:rPr>
          <w:rFonts w:hint="eastAsia" w:ascii="宋体" w:hAnsi="宋体"/>
          <w:color w:val="auto"/>
          <w:szCs w:val="21"/>
          <w:highlight w:val="none"/>
        </w:rPr>
      </w:pPr>
      <w:r>
        <w:rPr>
          <w:rFonts w:hint="eastAsia" w:ascii="宋体" w:hAnsi="宋体"/>
          <w:color w:val="auto"/>
          <w:szCs w:val="21"/>
          <w:highlight w:val="none"/>
        </w:rPr>
        <w:t>营业执照号码：                       经济性质：</w:t>
      </w:r>
    </w:p>
    <w:p w14:paraId="0CF24F49">
      <w:pPr>
        <w:ind w:firstLine="210" w:firstLineChars="100"/>
        <w:rPr>
          <w:rFonts w:hint="eastAsia" w:ascii="宋体" w:hAnsi="宋体"/>
          <w:color w:val="auto"/>
          <w:szCs w:val="21"/>
          <w:highlight w:val="none"/>
        </w:rPr>
      </w:pPr>
      <w:r>
        <w:rPr>
          <w:rFonts w:hint="eastAsia" w:ascii="宋体" w:hAnsi="宋体"/>
          <w:color w:val="auto"/>
          <w:szCs w:val="21"/>
          <w:highlight w:val="none"/>
        </w:rPr>
        <w:t>主营：</w:t>
      </w:r>
    </w:p>
    <w:p w14:paraId="7252CFA6">
      <w:pPr>
        <w:ind w:firstLine="210" w:firstLineChars="100"/>
        <w:rPr>
          <w:rFonts w:hint="eastAsia" w:ascii="宋体" w:hAnsi="宋体"/>
          <w:color w:val="auto"/>
          <w:szCs w:val="21"/>
          <w:highlight w:val="none"/>
        </w:rPr>
      </w:pPr>
      <w:r>
        <w:rPr>
          <w:rFonts w:hint="eastAsia" w:ascii="宋体" w:hAnsi="宋体"/>
          <w:color w:val="auto"/>
          <w:szCs w:val="21"/>
          <w:highlight w:val="none"/>
        </w:rPr>
        <w:t>兼营：</w:t>
      </w:r>
    </w:p>
    <w:p w14:paraId="5CC3483D">
      <w:pPr>
        <w:ind w:firstLine="210" w:firstLineChars="100"/>
        <w:rPr>
          <w:rFonts w:hint="eastAsia" w:ascii="宋体" w:hAnsi="宋体"/>
          <w:color w:val="auto"/>
          <w:szCs w:val="21"/>
          <w:highlight w:val="none"/>
        </w:rPr>
      </w:pPr>
    </w:p>
    <w:p w14:paraId="0DA849C5">
      <w:pPr>
        <w:rPr>
          <w:rFonts w:hint="eastAsia" w:ascii="宋体" w:hAnsi="宋体"/>
          <w:color w:val="auto"/>
          <w:szCs w:val="21"/>
          <w:highlight w:val="none"/>
        </w:rPr>
      </w:pPr>
      <w:r>
        <w:rPr>
          <w:rFonts w:hint="eastAsia" w:ascii="宋体" w:hAnsi="宋体"/>
          <w:color w:val="auto"/>
          <w:szCs w:val="21"/>
          <w:highlight w:val="none"/>
        </w:rPr>
        <w:t>说明：1.法定代表人为企业事业单位、国家机关、社会团体的主要行政负责人。</w:t>
      </w:r>
    </w:p>
    <w:p w14:paraId="6DD9D0B9">
      <w:pPr>
        <w:rPr>
          <w:rFonts w:hint="eastAsia" w:ascii="宋体" w:hAnsi="宋体"/>
          <w:color w:val="auto"/>
          <w:szCs w:val="21"/>
          <w:highlight w:val="none"/>
        </w:rPr>
      </w:pPr>
      <w:r>
        <w:rPr>
          <w:rFonts w:hint="eastAsia" w:ascii="宋体" w:hAnsi="宋体"/>
          <w:color w:val="auto"/>
          <w:szCs w:val="21"/>
          <w:highlight w:val="none"/>
        </w:rPr>
        <w:t xml:space="preserve">      2.内容必须填写真实、清楚、涂改无效，不得转让、买卖。</w:t>
      </w:r>
    </w:p>
    <w:p w14:paraId="23DDCFB4">
      <w:pPr>
        <w:ind w:firstLine="630" w:firstLineChars="300"/>
        <w:rPr>
          <w:rFonts w:hint="eastAsia" w:ascii="宋体" w:hAnsi="宋体"/>
          <w:color w:val="auto"/>
          <w:szCs w:val="21"/>
          <w:highlight w:val="none"/>
        </w:rPr>
      </w:pPr>
      <w:r>
        <w:rPr>
          <w:rFonts w:hint="eastAsia" w:ascii="宋体" w:hAnsi="宋体"/>
          <w:color w:val="auto"/>
          <w:szCs w:val="21"/>
          <w:highlight w:val="none"/>
        </w:rPr>
        <w:t>3.将此证明书提交对方作为合同附件</w:t>
      </w:r>
      <w:r>
        <w:rPr>
          <w:rFonts w:hint="eastAsia" w:ascii="宋体" w:hAnsi="宋体"/>
          <w:b/>
          <w:color w:val="auto"/>
          <w:szCs w:val="21"/>
          <w:highlight w:val="none"/>
        </w:rPr>
        <w:t>。</w:t>
      </w:r>
    </w:p>
    <w:p w14:paraId="0DC5F250">
      <w:pPr>
        <w:rPr>
          <w:rFonts w:hint="eastAsia" w:ascii="宋体" w:hAnsi="宋体"/>
          <w:color w:val="auto"/>
          <w:sz w:val="28"/>
          <w:szCs w:val="28"/>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FC0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287" w:type="dxa"/>
            <w:vAlign w:val="center"/>
          </w:tcPr>
          <w:p w14:paraId="73382867">
            <w:pPr>
              <w:jc w:val="center"/>
              <w:rPr>
                <w:rFonts w:hint="eastAsia" w:ascii="宋体" w:hAnsi="宋体"/>
                <w:color w:val="auto"/>
                <w:sz w:val="28"/>
                <w:szCs w:val="28"/>
                <w:highlight w:val="none"/>
                <w:u w:val="single"/>
              </w:rPr>
            </w:pPr>
            <w:r>
              <w:rPr>
                <w:rFonts w:hint="eastAsia" w:ascii="宋体" w:hAnsi="宋体"/>
                <w:color w:val="auto"/>
                <w:sz w:val="28"/>
                <w:szCs w:val="28"/>
                <w:highlight w:val="none"/>
                <w:u w:val="single"/>
              </w:rPr>
              <w:t>粘贴法定代表人身份证复印件正反面</w:t>
            </w:r>
          </w:p>
        </w:tc>
      </w:tr>
    </w:tbl>
    <w:p w14:paraId="1418AC79">
      <w:pPr>
        <w:rPr>
          <w:rFonts w:hint="eastAsia" w:ascii="宋体" w:hAnsi="宋体"/>
          <w:b/>
          <w:color w:val="auto"/>
          <w:sz w:val="28"/>
          <w:szCs w:val="28"/>
          <w:highlight w:val="none"/>
        </w:rPr>
      </w:pPr>
    </w:p>
    <w:p w14:paraId="31CE4CE7">
      <w:pPr>
        <w:rPr>
          <w:rFonts w:hint="eastAsia" w:ascii="宋体" w:hAnsi="宋体"/>
          <w:b/>
          <w:color w:val="auto"/>
          <w:sz w:val="28"/>
          <w:szCs w:val="28"/>
          <w:highlight w:val="none"/>
        </w:rPr>
      </w:pPr>
    </w:p>
    <w:p w14:paraId="34CF7441">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（2）法定代表人/负责人授权委托书</w:t>
      </w:r>
    </w:p>
    <w:p w14:paraId="47110DAA">
      <w:pPr>
        <w:spacing w:line="360" w:lineRule="auto"/>
        <w:rPr>
          <w:rFonts w:hint="eastAsia" w:ascii="宋体" w:hAnsi="宋体"/>
          <w:color w:val="auto"/>
          <w:sz w:val="28"/>
          <w:szCs w:val="28"/>
          <w:highlight w:val="none"/>
        </w:rPr>
      </w:pPr>
    </w:p>
    <w:p w14:paraId="18C1CE97">
      <w:pPr>
        <w:rPr>
          <w:rFonts w:hint="eastAsia" w:ascii="宋体" w:hAnsi="宋体"/>
          <w:color w:val="auto"/>
          <w:sz w:val="24"/>
          <w:highlight w:val="none"/>
        </w:rPr>
      </w:pPr>
      <w:r>
        <w:rPr>
          <w:rFonts w:hint="eastAsia" w:ascii="宋体" w:hAnsi="宋体"/>
          <w:color w:val="auto"/>
          <w:sz w:val="24"/>
          <w:highlight w:val="none"/>
        </w:rPr>
        <w:t>致：国义招标股份有限公司：</w:t>
      </w:r>
    </w:p>
    <w:p w14:paraId="5D472AB6">
      <w:pPr>
        <w:rPr>
          <w:rFonts w:hint="eastAsia" w:ascii="宋体" w:hAnsi="宋体"/>
          <w:color w:val="auto"/>
          <w:sz w:val="24"/>
          <w:highlight w:val="none"/>
        </w:rPr>
      </w:pPr>
    </w:p>
    <w:p w14:paraId="6E8EED6D">
      <w:pPr>
        <w:ind w:firstLine="480" w:firstLineChars="200"/>
        <w:rPr>
          <w:rFonts w:hint="eastAsia" w:ascii="宋体" w:hAnsi="宋体"/>
          <w:color w:val="auto"/>
          <w:sz w:val="24"/>
          <w:highlight w:val="none"/>
        </w:rPr>
      </w:pPr>
      <w:r>
        <w:rPr>
          <w:rFonts w:hint="eastAsia" w:ascii="宋体" w:hAnsi="宋体"/>
          <w:color w:val="auto"/>
          <w:sz w:val="24"/>
          <w:highlight w:val="none"/>
        </w:rPr>
        <w:t>兹授权同志，为我方签订经济合同及办理其他事务代理人，其权限是：</w:t>
      </w:r>
    </w:p>
    <w:p w14:paraId="0E6B902C">
      <w:pPr>
        <w:rPr>
          <w:rFonts w:hint="eastAsia" w:ascii="宋体" w:hAnsi="宋体"/>
          <w:color w:val="auto"/>
          <w:sz w:val="24"/>
          <w:highlight w:val="none"/>
        </w:rPr>
      </w:pPr>
      <w:r>
        <w:rPr>
          <w:rFonts w:hint="eastAsia" w:ascii="宋体" w:hAnsi="宋体"/>
          <w:color w:val="auto"/>
          <w:sz w:val="24"/>
          <w:highlight w:val="none"/>
        </w:rPr>
        <w:t>。</w:t>
      </w:r>
    </w:p>
    <w:p w14:paraId="014251A4">
      <w:pPr>
        <w:rPr>
          <w:rFonts w:hint="eastAsia" w:ascii="宋体" w:hAnsi="宋体"/>
          <w:color w:val="auto"/>
          <w:sz w:val="24"/>
          <w:highlight w:val="none"/>
        </w:rPr>
      </w:pPr>
      <w:r>
        <w:rPr>
          <w:rFonts w:hint="eastAsia" w:ascii="宋体" w:hAnsi="宋体"/>
          <w:color w:val="auto"/>
          <w:sz w:val="24"/>
          <w:highlight w:val="none"/>
        </w:rPr>
        <w:t>授权单位：          （盖章）     法定代表人          （签名或盖私章）</w:t>
      </w:r>
    </w:p>
    <w:p w14:paraId="242D8D45">
      <w:pPr>
        <w:rPr>
          <w:rFonts w:hint="eastAsia" w:ascii="宋体" w:hAnsi="宋体"/>
          <w:color w:val="auto"/>
          <w:sz w:val="24"/>
          <w:highlight w:val="none"/>
        </w:rPr>
      </w:pPr>
      <w:r>
        <w:rPr>
          <w:rFonts w:hint="eastAsia" w:ascii="宋体" w:hAnsi="宋体"/>
          <w:color w:val="auto"/>
          <w:sz w:val="24"/>
          <w:highlight w:val="none"/>
        </w:rPr>
        <w:t>有效期限：至        年       月      日       签发日期：</w:t>
      </w:r>
    </w:p>
    <w:p w14:paraId="41D69431">
      <w:pPr>
        <w:rPr>
          <w:rFonts w:hint="eastAsia" w:ascii="宋体" w:hAnsi="宋体"/>
          <w:color w:val="auto"/>
          <w:sz w:val="24"/>
          <w:highlight w:val="none"/>
        </w:rPr>
      </w:pPr>
      <w:r>
        <w:rPr>
          <w:rFonts w:hint="eastAsia" w:ascii="宋体" w:hAnsi="宋体"/>
          <w:color w:val="auto"/>
          <w:sz w:val="24"/>
          <w:highlight w:val="none"/>
        </w:rPr>
        <w:t>附：代理人性别：        年龄：       职务：         身份证号码：</w:t>
      </w:r>
    </w:p>
    <w:p w14:paraId="3B47810F">
      <w:pPr>
        <w:rPr>
          <w:rFonts w:hint="eastAsia" w:ascii="宋体" w:hAnsi="宋体"/>
          <w:color w:val="auto"/>
          <w:sz w:val="24"/>
          <w:highlight w:val="none"/>
        </w:rPr>
      </w:pPr>
      <w:r>
        <w:rPr>
          <w:rFonts w:hint="eastAsia" w:ascii="宋体" w:hAnsi="宋体"/>
          <w:color w:val="auto"/>
          <w:sz w:val="24"/>
          <w:highlight w:val="none"/>
        </w:rPr>
        <w:t xml:space="preserve">  联系电话：</w:t>
      </w:r>
    </w:p>
    <w:p w14:paraId="245A1864">
      <w:pPr>
        <w:ind w:firstLine="240" w:firstLineChars="100"/>
        <w:rPr>
          <w:rFonts w:hint="eastAsia" w:ascii="宋体" w:hAnsi="宋体"/>
          <w:color w:val="auto"/>
          <w:sz w:val="24"/>
          <w:highlight w:val="none"/>
        </w:rPr>
      </w:pPr>
      <w:r>
        <w:rPr>
          <w:rFonts w:hint="eastAsia" w:ascii="宋体" w:hAnsi="宋体"/>
          <w:color w:val="auto"/>
          <w:sz w:val="24"/>
          <w:highlight w:val="none"/>
        </w:rPr>
        <w:t>营业执照号码：                         经济性质：</w:t>
      </w:r>
    </w:p>
    <w:p w14:paraId="785AC9A5">
      <w:pPr>
        <w:ind w:firstLine="240" w:firstLineChars="100"/>
        <w:rPr>
          <w:rFonts w:hint="eastAsia" w:ascii="宋体" w:hAnsi="宋体"/>
          <w:color w:val="auto"/>
          <w:sz w:val="24"/>
          <w:highlight w:val="none"/>
        </w:rPr>
      </w:pPr>
      <w:r>
        <w:rPr>
          <w:rFonts w:hint="eastAsia" w:ascii="宋体" w:hAnsi="宋体"/>
          <w:color w:val="auto"/>
          <w:sz w:val="24"/>
          <w:highlight w:val="none"/>
        </w:rPr>
        <w:t>主营（产）：</w:t>
      </w:r>
    </w:p>
    <w:p w14:paraId="1F00C0BB">
      <w:pPr>
        <w:ind w:firstLine="240" w:firstLineChars="100"/>
        <w:rPr>
          <w:rFonts w:hint="eastAsia" w:ascii="宋体" w:hAnsi="宋体"/>
          <w:color w:val="auto"/>
          <w:sz w:val="24"/>
          <w:highlight w:val="none"/>
        </w:rPr>
      </w:pPr>
      <w:r>
        <w:rPr>
          <w:rFonts w:hint="eastAsia" w:ascii="宋体" w:hAnsi="宋体"/>
          <w:color w:val="auto"/>
          <w:sz w:val="24"/>
          <w:highlight w:val="none"/>
        </w:rPr>
        <w:t>兼营（产）：</w:t>
      </w:r>
    </w:p>
    <w:p w14:paraId="0CA31DDD">
      <w:pPr>
        <w:ind w:firstLine="240" w:firstLineChars="100"/>
        <w:rPr>
          <w:rFonts w:hint="eastAsia" w:ascii="宋体" w:hAnsi="宋体"/>
          <w:color w:val="auto"/>
          <w:sz w:val="24"/>
          <w:highlight w:val="none"/>
        </w:rPr>
      </w:pPr>
      <w:r>
        <w:rPr>
          <w:rFonts w:hint="eastAsia" w:ascii="宋体" w:hAnsi="宋体"/>
          <w:color w:val="auto"/>
          <w:sz w:val="24"/>
          <w:highlight w:val="none"/>
        </w:rPr>
        <w:t>进口物品经营许可证号码：</w:t>
      </w:r>
    </w:p>
    <w:p w14:paraId="1E399C3A">
      <w:pPr>
        <w:ind w:firstLine="240" w:firstLineChars="100"/>
        <w:rPr>
          <w:rFonts w:hint="eastAsia" w:ascii="宋体" w:hAnsi="宋体"/>
          <w:color w:val="auto"/>
          <w:sz w:val="24"/>
          <w:highlight w:val="none"/>
        </w:rPr>
      </w:pPr>
      <w:r>
        <w:rPr>
          <w:rFonts w:hint="eastAsia" w:ascii="宋体" w:hAnsi="宋体"/>
          <w:color w:val="auto"/>
          <w:sz w:val="24"/>
          <w:highlight w:val="none"/>
        </w:rPr>
        <w:t>主营：</w:t>
      </w:r>
    </w:p>
    <w:p w14:paraId="02D1F3A2">
      <w:pPr>
        <w:ind w:firstLine="240" w:firstLineChars="100"/>
        <w:rPr>
          <w:rFonts w:hint="eastAsia" w:ascii="宋体" w:hAnsi="宋体"/>
          <w:color w:val="auto"/>
          <w:sz w:val="24"/>
          <w:highlight w:val="none"/>
        </w:rPr>
      </w:pPr>
      <w:r>
        <w:rPr>
          <w:rFonts w:hint="eastAsia" w:ascii="宋体" w:hAnsi="宋体"/>
          <w:color w:val="auto"/>
          <w:sz w:val="24"/>
          <w:highlight w:val="none"/>
        </w:rPr>
        <w:t>兼营：</w:t>
      </w:r>
    </w:p>
    <w:p w14:paraId="37BF9E9F">
      <w:pPr>
        <w:ind w:left="1"/>
        <w:rPr>
          <w:rFonts w:hint="eastAsia" w:ascii="宋体" w:hAnsi="宋体"/>
          <w:color w:val="auto"/>
          <w:sz w:val="24"/>
          <w:highlight w:val="none"/>
        </w:rPr>
      </w:pPr>
    </w:p>
    <w:p w14:paraId="5C3FA75A">
      <w:pPr>
        <w:ind w:left="1"/>
        <w:rPr>
          <w:rFonts w:hint="eastAsia" w:ascii="宋体" w:hAnsi="宋体"/>
          <w:color w:val="auto"/>
          <w:sz w:val="24"/>
          <w:highlight w:val="none"/>
        </w:rPr>
      </w:pPr>
      <w:r>
        <w:rPr>
          <w:rFonts w:hint="eastAsia" w:ascii="宋体" w:hAnsi="宋体"/>
          <w:color w:val="auto"/>
          <w:sz w:val="24"/>
          <w:highlight w:val="none"/>
        </w:rPr>
        <w:t>说明：</w:t>
      </w:r>
    </w:p>
    <w:p w14:paraId="108B77F2">
      <w:pPr>
        <w:ind w:left="1" w:firstLine="537" w:firstLineChars="224"/>
        <w:rPr>
          <w:rFonts w:hint="eastAsia" w:ascii="宋体" w:hAnsi="宋体"/>
          <w:color w:val="auto"/>
          <w:sz w:val="24"/>
          <w:highlight w:val="none"/>
        </w:rPr>
      </w:pPr>
      <w:r>
        <w:rPr>
          <w:rFonts w:hint="eastAsia" w:ascii="宋体" w:hAnsi="宋体"/>
          <w:color w:val="auto"/>
          <w:sz w:val="24"/>
          <w:highlight w:val="none"/>
        </w:rPr>
        <w:t>1.法定代表人为企业事业单位、国家机关、社会团体的主要行政负责人。</w:t>
      </w:r>
    </w:p>
    <w:p w14:paraId="365753A6">
      <w:pPr>
        <w:ind w:firstLine="537" w:firstLineChars="224"/>
        <w:rPr>
          <w:rFonts w:hint="eastAsia" w:ascii="宋体" w:hAnsi="宋体"/>
          <w:color w:val="auto"/>
          <w:sz w:val="24"/>
          <w:highlight w:val="none"/>
        </w:rPr>
      </w:pPr>
      <w:r>
        <w:rPr>
          <w:rFonts w:hint="eastAsia" w:ascii="宋体" w:hAnsi="宋体"/>
          <w:color w:val="auto"/>
          <w:sz w:val="24"/>
          <w:highlight w:val="none"/>
        </w:rPr>
        <w:t>2.内容必须填写真实、清楚、涂改无效，不得转让、买卖。</w:t>
      </w:r>
    </w:p>
    <w:p w14:paraId="0E130F7C">
      <w:pPr>
        <w:ind w:firstLine="537" w:firstLineChars="224"/>
        <w:rPr>
          <w:rFonts w:hint="eastAsia" w:ascii="宋体" w:hAnsi="宋体"/>
          <w:b/>
          <w:color w:val="auto"/>
          <w:sz w:val="24"/>
          <w:highlight w:val="none"/>
        </w:rPr>
      </w:pPr>
      <w:r>
        <w:rPr>
          <w:rFonts w:hint="eastAsia" w:ascii="宋体" w:hAnsi="宋体"/>
          <w:color w:val="auto"/>
          <w:sz w:val="24"/>
          <w:highlight w:val="none"/>
        </w:rPr>
        <w:t>3.将此证明书提交对方作为合同附件</w:t>
      </w:r>
      <w:r>
        <w:rPr>
          <w:rFonts w:hint="eastAsia" w:ascii="宋体" w:hAnsi="宋体"/>
          <w:b/>
          <w:color w:val="auto"/>
          <w:sz w:val="24"/>
          <w:highlight w:val="none"/>
        </w:rPr>
        <w:t>。</w:t>
      </w:r>
    </w:p>
    <w:p w14:paraId="795710AA">
      <w:pPr>
        <w:ind w:firstLine="537" w:firstLineChars="224"/>
        <w:rPr>
          <w:rFonts w:hint="eastAsia" w:ascii="宋体" w:hAnsi="宋体"/>
          <w:color w:val="auto"/>
          <w:sz w:val="24"/>
          <w:highlight w:val="none"/>
        </w:rPr>
      </w:pPr>
      <w:r>
        <w:rPr>
          <w:rFonts w:hint="eastAsia" w:ascii="宋体" w:hAnsi="宋体"/>
          <w:color w:val="auto"/>
          <w:sz w:val="24"/>
          <w:highlight w:val="none"/>
        </w:rPr>
        <w:t>4.授权权限：全权代表本公司参与上述采购项目的投标响应，负责提供与签署确认一切文书资料，以及向贵方递交的任何补充承诺。</w:t>
      </w:r>
    </w:p>
    <w:p w14:paraId="20AE0F57">
      <w:pPr>
        <w:ind w:firstLine="537" w:firstLineChars="224"/>
        <w:rPr>
          <w:rFonts w:hint="eastAsia" w:ascii="宋体" w:hAnsi="宋体"/>
          <w:color w:val="auto"/>
          <w:sz w:val="24"/>
          <w:highlight w:val="none"/>
        </w:rPr>
      </w:pPr>
      <w:r>
        <w:rPr>
          <w:rFonts w:hint="eastAsia" w:ascii="宋体" w:hAnsi="宋体"/>
          <w:color w:val="auto"/>
          <w:sz w:val="24"/>
          <w:highlight w:val="none"/>
        </w:rPr>
        <w:t>5.有效期限：与本公司投标文件中标注的投标有效期相同，自本单位盖公章之日起生效。</w:t>
      </w:r>
    </w:p>
    <w:p w14:paraId="0868E37E">
      <w:pPr>
        <w:ind w:left="1" w:firstLine="537" w:firstLineChars="224"/>
        <w:rPr>
          <w:rFonts w:hint="eastAsia" w:ascii="宋体" w:hAnsi="宋体"/>
          <w:color w:val="auto"/>
          <w:sz w:val="24"/>
          <w:highlight w:val="none"/>
        </w:rPr>
      </w:pPr>
      <w:r>
        <w:rPr>
          <w:rFonts w:hint="eastAsia" w:ascii="宋体" w:hAnsi="宋体"/>
          <w:color w:val="auto"/>
          <w:sz w:val="24"/>
          <w:highlight w:val="none"/>
        </w:rPr>
        <w:t>6.投标签字代表为法定代表人，则本表不适用。</w:t>
      </w:r>
    </w:p>
    <w:p w14:paraId="236379C1">
      <w:pPr>
        <w:ind w:left="1" w:firstLine="537" w:firstLineChars="224"/>
        <w:rPr>
          <w:rFonts w:hint="eastAsia" w:ascii="宋体" w:hAnsi="宋体"/>
          <w:color w:val="auto"/>
          <w:sz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3E3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vAlign w:val="center"/>
          </w:tcPr>
          <w:p w14:paraId="2059E2A7">
            <w:pPr>
              <w:spacing w:line="360" w:lineRule="auto"/>
              <w:jc w:val="center"/>
              <w:rPr>
                <w:rFonts w:hint="eastAsia" w:ascii="宋体" w:hAnsi="宋体"/>
                <w:color w:val="auto"/>
                <w:sz w:val="28"/>
                <w:szCs w:val="28"/>
                <w:highlight w:val="none"/>
                <w:u w:val="single"/>
              </w:rPr>
            </w:pPr>
            <w:r>
              <w:rPr>
                <w:rFonts w:hint="eastAsia" w:ascii="宋体" w:hAnsi="宋体"/>
                <w:color w:val="auto"/>
                <w:sz w:val="28"/>
                <w:szCs w:val="28"/>
                <w:highlight w:val="none"/>
                <w:u w:val="single"/>
              </w:rPr>
              <w:t>粘贴代理人身份证复印件正反面</w:t>
            </w:r>
          </w:p>
        </w:tc>
      </w:tr>
    </w:tbl>
    <w:p w14:paraId="61AA590B">
      <w:pPr>
        <w:spacing w:line="360" w:lineRule="auto"/>
        <w:rPr>
          <w:rFonts w:hint="eastAsia" w:ascii="宋体" w:hAnsi="宋体"/>
          <w:color w:val="auto"/>
          <w:sz w:val="28"/>
          <w:szCs w:val="28"/>
          <w:highlight w:val="none"/>
          <w:u w:val="single"/>
        </w:rPr>
      </w:pPr>
    </w:p>
    <w:p w14:paraId="3B828134">
      <w:pPr>
        <w:rPr>
          <w:rFonts w:hint="eastAsia" w:ascii="宋体" w:hAnsi="宋体"/>
          <w:b/>
          <w:color w:val="auto"/>
          <w:szCs w:val="21"/>
          <w:highlight w:val="none"/>
        </w:rPr>
      </w:pPr>
      <w:r>
        <w:rPr>
          <w:rFonts w:ascii="宋体" w:hAnsi="宋体"/>
          <w:b/>
          <w:color w:val="auto"/>
          <w:sz w:val="28"/>
          <w:szCs w:val="28"/>
          <w:highlight w:val="none"/>
        </w:rPr>
        <w:br w:type="page"/>
      </w:r>
    </w:p>
    <w:p w14:paraId="52581045">
      <w:pPr>
        <w:autoSpaceDE w:val="0"/>
        <w:autoSpaceDN w:val="0"/>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四、商务</w:t>
      </w:r>
      <w:bookmarkEnd w:id="26"/>
      <w:bookmarkEnd w:id="27"/>
      <w:bookmarkEnd w:id="28"/>
      <w:bookmarkEnd w:id="29"/>
      <w:bookmarkEnd w:id="30"/>
      <w:bookmarkEnd w:id="31"/>
      <w:bookmarkEnd w:id="32"/>
      <w:r>
        <w:rPr>
          <w:rFonts w:hint="eastAsia" w:ascii="宋体" w:hAnsi="宋体"/>
          <w:b/>
          <w:color w:val="auto"/>
          <w:sz w:val="28"/>
          <w:szCs w:val="28"/>
          <w:highlight w:val="none"/>
        </w:rPr>
        <w:t>部分</w:t>
      </w:r>
    </w:p>
    <w:p w14:paraId="4F2E7A3F">
      <w:pPr>
        <w:rPr>
          <w:rFonts w:hint="eastAsia" w:ascii="宋体" w:hAnsi="宋体"/>
          <w:b/>
          <w:color w:val="auto"/>
          <w:sz w:val="24"/>
          <w:highlight w:val="none"/>
        </w:rPr>
      </w:pPr>
      <w:r>
        <w:rPr>
          <w:rFonts w:hint="eastAsia" w:ascii="宋体" w:hAnsi="宋体"/>
          <w:b/>
          <w:color w:val="auto"/>
          <w:sz w:val="24"/>
          <w:highlight w:val="none"/>
        </w:rPr>
        <w:t>4.1投标人综合概况</w:t>
      </w:r>
    </w:p>
    <w:p w14:paraId="5707FD64">
      <w:pPr>
        <w:tabs>
          <w:tab w:val="left" w:pos="180"/>
        </w:tabs>
        <w:ind w:left="-240"/>
        <w:rPr>
          <w:rFonts w:hint="eastAsia" w:ascii="宋体" w:hAnsi="宋体"/>
          <w:b/>
          <w:color w:val="auto"/>
          <w:sz w:val="24"/>
          <w:highlight w:val="none"/>
        </w:rPr>
      </w:pPr>
      <w:r>
        <w:rPr>
          <w:rFonts w:hint="eastAsia" w:ascii="宋体" w:hAnsi="宋体"/>
          <w:b/>
          <w:color w:val="auto"/>
          <w:sz w:val="24"/>
          <w:highlight w:val="none"/>
        </w:rPr>
        <w:t>一、投标人情况介绍表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05E8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CFBFAAD">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单位名称</w:t>
            </w:r>
          </w:p>
        </w:tc>
        <w:tc>
          <w:tcPr>
            <w:tcW w:w="8195" w:type="dxa"/>
            <w:gridSpan w:val="9"/>
            <w:vAlign w:val="center"/>
          </w:tcPr>
          <w:p w14:paraId="1C00648E">
            <w:pPr>
              <w:tabs>
                <w:tab w:val="left" w:pos="540"/>
              </w:tabs>
              <w:ind w:left="-132" w:leftChars="-64" w:right="-105" w:rightChars="-50" w:hanging="2"/>
              <w:jc w:val="center"/>
              <w:rPr>
                <w:rFonts w:hint="eastAsia" w:ascii="宋体" w:hAnsi="宋体"/>
                <w:color w:val="auto"/>
                <w:szCs w:val="21"/>
                <w:highlight w:val="none"/>
              </w:rPr>
            </w:pPr>
          </w:p>
        </w:tc>
      </w:tr>
      <w:tr w14:paraId="4A65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78807882">
            <w:pPr>
              <w:tabs>
                <w:tab w:val="left" w:pos="540"/>
              </w:tabs>
              <w:ind w:left="-132" w:leftChars="-64" w:right="-105" w:rightChars="-50" w:hanging="2"/>
              <w:jc w:val="center"/>
              <w:rPr>
                <w:rFonts w:hint="eastAsia" w:ascii="宋体" w:hAnsi="宋体"/>
                <w:color w:val="auto"/>
                <w:szCs w:val="21"/>
                <w:highlight w:val="none"/>
              </w:rPr>
            </w:pPr>
            <w:r>
              <w:rPr>
                <w:color w:val="auto"/>
                <w:szCs w:val="21"/>
                <w:highlight w:val="none"/>
              </w:rPr>
              <w:t>注册</w:t>
            </w:r>
            <w:r>
              <w:rPr>
                <w:rFonts w:hint="eastAsia" w:ascii="宋体" w:hAnsi="宋体"/>
                <w:color w:val="auto"/>
                <w:szCs w:val="21"/>
                <w:highlight w:val="none"/>
              </w:rPr>
              <w:t>地址</w:t>
            </w:r>
          </w:p>
        </w:tc>
        <w:tc>
          <w:tcPr>
            <w:tcW w:w="8195" w:type="dxa"/>
            <w:gridSpan w:val="9"/>
            <w:vAlign w:val="center"/>
          </w:tcPr>
          <w:p w14:paraId="3C36B51E">
            <w:pPr>
              <w:tabs>
                <w:tab w:val="left" w:pos="540"/>
              </w:tabs>
              <w:ind w:left="-132" w:leftChars="-64" w:right="-105" w:rightChars="-50" w:hanging="2"/>
              <w:jc w:val="center"/>
              <w:rPr>
                <w:rFonts w:hint="eastAsia" w:ascii="宋体" w:hAnsi="宋体"/>
                <w:color w:val="auto"/>
                <w:szCs w:val="21"/>
                <w:highlight w:val="none"/>
              </w:rPr>
            </w:pPr>
          </w:p>
        </w:tc>
      </w:tr>
      <w:tr w14:paraId="6292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EA14598">
            <w:pPr>
              <w:tabs>
                <w:tab w:val="left" w:pos="540"/>
              </w:tabs>
              <w:ind w:left="-132" w:leftChars="-64" w:right="-105" w:rightChars="-50" w:hanging="2"/>
              <w:jc w:val="center"/>
              <w:rPr>
                <w:rFonts w:hint="eastAsia" w:ascii="宋体" w:hAnsi="宋体"/>
                <w:color w:val="auto"/>
                <w:szCs w:val="21"/>
                <w:highlight w:val="none"/>
              </w:rPr>
            </w:pPr>
            <w:r>
              <w:rPr>
                <w:color w:val="auto"/>
                <w:szCs w:val="21"/>
                <w:highlight w:val="none"/>
              </w:rPr>
              <w:t>联系方式</w:t>
            </w:r>
          </w:p>
        </w:tc>
        <w:tc>
          <w:tcPr>
            <w:tcW w:w="1418" w:type="dxa"/>
            <w:vAlign w:val="center"/>
          </w:tcPr>
          <w:p w14:paraId="116321EE">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法人代表</w:t>
            </w:r>
            <w:r>
              <w:rPr>
                <w:color w:val="auto"/>
                <w:szCs w:val="21"/>
                <w:highlight w:val="none"/>
              </w:rPr>
              <w:t>姓名</w:t>
            </w:r>
          </w:p>
        </w:tc>
        <w:tc>
          <w:tcPr>
            <w:tcW w:w="1687" w:type="dxa"/>
            <w:gridSpan w:val="2"/>
            <w:vAlign w:val="center"/>
          </w:tcPr>
          <w:p w14:paraId="700607E2">
            <w:pPr>
              <w:tabs>
                <w:tab w:val="left" w:pos="540"/>
              </w:tabs>
              <w:ind w:left="-132" w:leftChars="-64" w:right="-105" w:rightChars="-50" w:hanging="2"/>
              <w:jc w:val="center"/>
              <w:rPr>
                <w:rFonts w:hint="eastAsia" w:ascii="宋体" w:hAnsi="宋体"/>
                <w:color w:val="auto"/>
                <w:szCs w:val="21"/>
                <w:highlight w:val="none"/>
              </w:rPr>
            </w:pPr>
          </w:p>
        </w:tc>
        <w:tc>
          <w:tcPr>
            <w:tcW w:w="1649" w:type="dxa"/>
            <w:gridSpan w:val="2"/>
            <w:vAlign w:val="center"/>
          </w:tcPr>
          <w:p w14:paraId="458E8330">
            <w:pPr>
              <w:tabs>
                <w:tab w:val="left" w:pos="540"/>
              </w:tabs>
              <w:ind w:left="-132" w:leftChars="-64" w:right="-105" w:rightChars="-50" w:hanging="2"/>
              <w:jc w:val="center"/>
              <w:rPr>
                <w:rFonts w:hint="eastAsia" w:ascii="宋体" w:hAnsi="宋体"/>
                <w:color w:val="auto"/>
                <w:szCs w:val="21"/>
                <w:highlight w:val="none"/>
              </w:rPr>
            </w:pPr>
            <w:r>
              <w:rPr>
                <w:color w:val="auto"/>
                <w:szCs w:val="21"/>
                <w:highlight w:val="none"/>
              </w:rPr>
              <w:t>电话</w:t>
            </w:r>
            <w:r>
              <w:rPr>
                <w:rFonts w:hint="eastAsia"/>
                <w:color w:val="auto"/>
                <w:szCs w:val="21"/>
                <w:highlight w:val="none"/>
              </w:rPr>
              <w:t>/</w:t>
            </w:r>
            <w:r>
              <w:rPr>
                <w:color w:val="auto"/>
                <w:szCs w:val="21"/>
                <w:highlight w:val="none"/>
              </w:rPr>
              <w:t>技术职称</w:t>
            </w:r>
          </w:p>
        </w:tc>
        <w:tc>
          <w:tcPr>
            <w:tcW w:w="1792" w:type="dxa"/>
            <w:gridSpan w:val="2"/>
            <w:vAlign w:val="center"/>
          </w:tcPr>
          <w:p w14:paraId="38FCD758">
            <w:pPr>
              <w:tabs>
                <w:tab w:val="left" w:pos="540"/>
              </w:tabs>
              <w:ind w:left="-132" w:leftChars="-64" w:right="-105" w:rightChars="-50" w:hanging="2"/>
              <w:jc w:val="center"/>
              <w:rPr>
                <w:rFonts w:hint="eastAsia" w:ascii="宋体" w:hAnsi="宋体"/>
                <w:color w:val="auto"/>
                <w:szCs w:val="21"/>
                <w:highlight w:val="none"/>
              </w:rPr>
            </w:pPr>
          </w:p>
        </w:tc>
        <w:tc>
          <w:tcPr>
            <w:tcW w:w="1649" w:type="dxa"/>
            <w:gridSpan w:val="2"/>
          </w:tcPr>
          <w:p w14:paraId="7B9F5B03">
            <w:pPr>
              <w:tabs>
                <w:tab w:val="left" w:pos="540"/>
              </w:tabs>
              <w:ind w:left="-132" w:leftChars="-64" w:right="-105" w:rightChars="-50" w:hanging="2"/>
              <w:jc w:val="center"/>
              <w:rPr>
                <w:rFonts w:hint="eastAsia" w:ascii="宋体" w:hAnsi="宋体"/>
                <w:color w:val="auto"/>
                <w:szCs w:val="21"/>
                <w:highlight w:val="none"/>
              </w:rPr>
            </w:pPr>
          </w:p>
        </w:tc>
      </w:tr>
      <w:tr w14:paraId="758B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5908C737">
            <w:pPr>
              <w:tabs>
                <w:tab w:val="left" w:pos="540"/>
              </w:tabs>
              <w:ind w:left="-132" w:leftChars="-64" w:right="-105" w:rightChars="-50" w:hanging="2"/>
              <w:jc w:val="center"/>
              <w:rPr>
                <w:rFonts w:hint="eastAsia" w:ascii="宋体" w:hAnsi="宋体"/>
                <w:color w:val="auto"/>
                <w:szCs w:val="21"/>
                <w:highlight w:val="none"/>
              </w:rPr>
            </w:pPr>
          </w:p>
        </w:tc>
        <w:tc>
          <w:tcPr>
            <w:tcW w:w="1418" w:type="dxa"/>
            <w:vAlign w:val="center"/>
          </w:tcPr>
          <w:p w14:paraId="4E9CA121">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授权代表</w:t>
            </w:r>
            <w:r>
              <w:rPr>
                <w:color w:val="auto"/>
                <w:szCs w:val="21"/>
                <w:highlight w:val="none"/>
              </w:rPr>
              <w:t>姓名</w:t>
            </w:r>
          </w:p>
        </w:tc>
        <w:tc>
          <w:tcPr>
            <w:tcW w:w="1687" w:type="dxa"/>
            <w:gridSpan w:val="2"/>
            <w:vAlign w:val="center"/>
          </w:tcPr>
          <w:p w14:paraId="627CFC96">
            <w:pPr>
              <w:tabs>
                <w:tab w:val="left" w:pos="540"/>
              </w:tabs>
              <w:ind w:left="-132" w:leftChars="-64" w:right="-105" w:rightChars="-50" w:hanging="2"/>
              <w:jc w:val="center"/>
              <w:rPr>
                <w:rFonts w:hint="eastAsia" w:ascii="宋体" w:hAnsi="宋体"/>
                <w:color w:val="auto"/>
                <w:szCs w:val="21"/>
                <w:highlight w:val="none"/>
              </w:rPr>
            </w:pPr>
          </w:p>
        </w:tc>
        <w:tc>
          <w:tcPr>
            <w:tcW w:w="1649" w:type="dxa"/>
            <w:gridSpan w:val="2"/>
            <w:vAlign w:val="center"/>
          </w:tcPr>
          <w:p w14:paraId="72718830">
            <w:pPr>
              <w:tabs>
                <w:tab w:val="left" w:pos="540"/>
              </w:tabs>
              <w:ind w:left="-132" w:leftChars="-64" w:right="-105" w:rightChars="-50" w:hanging="2"/>
              <w:jc w:val="center"/>
              <w:rPr>
                <w:rFonts w:hint="eastAsia" w:ascii="宋体" w:hAnsi="宋体"/>
                <w:color w:val="auto"/>
                <w:szCs w:val="21"/>
                <w:highlight w:val="none"/>
              </w:rPr>
            </w:pPr>
            <w:r>
              <w:rPr>
                <w:color w:val="auto"/>
                <w:szCs w:val="21"/>
                <w:highlight w:val="none"/>
              </w:rPr>
              <w:t>电话</w:t>
            </w:r>
            <w:r>
              <w:rPr>
                <w:rFonts w:hint="eastAsia"/>
                <w:color w:val="auto"/>
                <w:szCs w:val="21"/>
                <w:highlight w:val="none"/>
              </w:rPr>
              <w:t>/</w:t>
            </w:r>
            <w:r>
              <w:rPr>
                <w:rFonts w:hint="eastAsia" w:ascii="宋体" w:hAnsi="宋体"/>
                <w:color w:val="auto"/>
                <w:szCs w:val="21"/>
                <w:highlight w:val="none"/>
              </w:rPr>
              <w:t>职务</w:t>
            </w:r>
          </w:p>
        </w:tc>
        <w:tc>
          <w:tcPr>
            <w:tcW w:w="1792" w:type="dxa"/>
            <w:gridSpan w:val="2"/>
            <w:vAlign w:val="center"/>
          </w:tcPr>
          <w:p w14:paraId="6E6037BD">
            <w:pPr>
              <w:tabs>
                <w:tab w:val="left" w:pos="540"/>
              </w:tabs>
              <w:ind w:left="-132" w:leftChars="-64" w:right="-105" w:rightChars="-50" w:hanging="2"/>
              <w:jc w:val="center"/>
              <w:rPr>
                <w:rFonts w:hint="eastAsia" w:ascii="宋体" w:hAnsi="宋体"/>
                <w:color w:val="auto"/>
                <w:szCs w:val="21"/>
                <w:highlight w:val="none"/>
              </w:rPr>
            </w:pPr>
          </w:p>
        </w:tc>
        <w:tc>
          <w:tcPr>
            <w:tcW w:w="1649" w:type="dxa"/>
            <w:gridSpan w:val="2"/>
          </w:tcPr>
          <w:p w14:paraId="5624DE60">
            <w:pPr>
              <w:tabs>
                <w:tab w:val="left" w:pos="540"/>
              </w:tabs>
              <w:ind w:left="-132" w:leftChars="-64" w:right="-105" w:rightChars="-50" w:hanging="2"/>
              <w:jc w:val="center"/>
              <w:rPr>
                <w:rFonts w:hint="eastAsia" w:ascii="宋体" w:hAnsi="宋体"/>
                <w:color w:val="auto"/>
                <w:szCs w:val="21"/>
                <w:highlight w:val="none"/>
              </w:rPr>
            </w:pPr>
          </w:p>
        </w:tc>
      </w:tr>
      <w:tr w14:paraId="7203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74B29C6E">
            <w:pPr>
              <w:tabs>
                <w:tab w:val="left" w:pos="540"/>
              </w:tabs>
              <w:ind w:left="-132" w:leftChars="-64" w:right="-105" w:rightChars="-50" w:hanging="2"/>
              <w:jc w:val="center"/>
              <w:rPr>
                <w:rFonts w:hint="eastAsia" w:ascii="宋体" w:hAnsi="宋体"/>
                <w:color w:val="auto"/>
                <w:szCs w:val="21"/>
                <w:highlight w:val="none"/>
              </w:rPr>
            </w:pPr>
            <w:r>
              <w:rPr>
                <w:color w:val="auto"/>
                <w:szCs w:val="21"/>
                <w:highlight w:val="none"/>
              </w:rPr>
              <w:t>成立时间</w:t>
            </w:r>
          </w:p>
        </w:tc>
        <w:tc>
          <w:tcPr>
            <w:tcW w:w="1418" w:type="dxa"/>
            <w:vAlign w:val="center"/>
          </w:tcPr>
          <w:p w14:paraId="18DB58F5">
            <w:pPr>
              <w:tabs>
                <w:tab w:val="left" w:pos="540"/>
              </w:tabs>
              <w:ind w:left="-132" w:leftChars="-64" w:right="-105" w:rightChars="-50" w:hanging="2"/>
              <w:jc w:val="center"/>
              <w:rPr>
                <w:rFonts w:hint="eastAsia" w:ascii="宋体" w:hAnsi="宋体"/>
                <w:color w:val="auto"/>
                <w:szCs w:val="21"/>
                <w:highlight w:val="none"/>
              </w:rPr>
            </w:pPr>
          </w:p>
        </w:tc>
        <w:tc>
          <w:tcPr>
            <w:tcW w:w="1687" w:type="dxa"/>
            <w:gridSpan w:val="2"/>
            <w:vAlign w:val="center"/>
          </w:tcPr>
          <w:p w14:paraId="1648CDEF">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经济类型</w:t>
            </w:r>
          </w:p>
        </w:tc>
        <w:tc>
          <w:tcPr>
            <w:tcW w:w="1649" w:type="dxa"/>
            <w:gridSpan w:val="2"/>
            <w:vAlign w:val="center"/>
          </w:tcPr>
          <w:p w14:paraId="2366657B">
            <w:pPr>
              <w:tabs>
                <w:tab w:val="left" w:pos="540"/>
              </w:tabs>
              <w:ind w:left="-132" w:leftChars="-64" w:right="-105" w:rightChars="-50" w:hanging="2"/>
              <w:jc w:val="center"/>
              <w:rPr>
                <w:rFonts w:hint="eastAsia" w:ascii="宋体" w:hAnsi="宋体"/>
                <w:color w:val="auto"/>
                <w:szCs w:val="21"/>
                <w:highlight w:val="none"/>
              </w:rPr>
            </w:pPr>
          </w:p>
        </w:tc>
        <w:tc>
          <w:tcPr>
            <w:tcW w:w="1792" w:type="dxa"/>
            <w:gridSpan w:val="2"/>
            <w:vAlign w:val="center"/>
          </w:tcPr>
          <w:p w14:paraId="37AC9052">
            <w:pPr>
              <w:tabs>
                <w:tab w:val="left" w:pos="540"/>
              </w:tabs>
              <w:ind w:left="-132" w:leftChars="-64" w:right="-105" w:rightChars="-50" w:hanging="2"/>
              <w:jc w:val="center"/>
              <w:rPr>
                <w:rFonts w:hint="eastAsia" w:ascii="宋体" w:hAnsi="宋体"/>
                <w:color w:val="auto"/>
                <w:szCs w:val="21"/>
                <w:highlight w:val="none"/>
              </w:rPr>
            </w:pPr>
            <w:r>
              <w:rPr>
                <w:rFonts w:ascii="宋体" w:hAnsi="宋体"/>
                <w:color w:val="auto"/>
                <w:szCs w:val="21"/>
                <w:highlight w:val="none"/>
              </w:rPr>
              <w:t>登记机关</w:t>
            </w:r>
          </w:p>
        </w:tc>
        <w:tc>
          <w:tcPr>
            <w:tcW w:w="1649" w:type="dxa"/>
            <w:gridSpan w:val="2"/>
          </w:tcPr>
          <w:p w14:paraId="485D1797">
            <w:pPr>
              <w:tabs>
                <w:tab w:val="left" w:pos="540"/>
              </w:tabs>
              <w:ind w:left="-132" w:leftChars="-64" w:right="-105" w:rightChars="-50" w:hanging="2"/>
              <w:jc w:val="center"/>
              <w:rPr>
                <w:rFonts w:hint="eastAsia" w:ascii="宋体" w:hAnsi="宋体"/>
                <w:color w:val="auto"/>
                <w:szCs w:val="21"/>
                <w:highlight w:val="none"/>
              </w:rPr>
            </w:pPr>
          </w:p>
        </w:tc>
      </w:tr>
      <w:tr w14:paraId="5DD2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5DBCFA6">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邮编</w:t>
            </w:r>
          </w:p>
        </w:tc>
        <w:tc>
          <w:tcPr>
            <w:tcW w:w="1418" w:type="dxa"/>
            <w:vAlign w:val="center"/>
          </w:tcPr>
          <w:p w14:paraId="5FD7D1A2">
            <w:pPr>
              <w:tabs>
                <w:tab w:val="left" w:pos="540"/>
              </w:tabs>
              <w:ind w:left="-132" w:leftChars="-64" w:right="-105" w:rightChars="-50" w:hanging="2"/>
              <w:jc w:val="center"/>
              <w:rPr>
                <w:rFonts w:hint="eastAsia" w:ascii="宋体" w:hAnsi="宋体"/>
                <w:color w:val="auto"/>
                <w:szCs w:val="21"/>
                <w:highlight w:val="none"/>
              </w:rPr>
            </w:pPr>
          </w:p>
        </w:tc>
        <w:tc>
          <w:tcPr>
            <w:tcW w:w="1687" w:type="dxa"/>
            <w:gridSpan w:val="2"/>
            <w:vAlign w:val="center"/>
          </w:tcPr>
          <w:p w14:paraId="14C10DF3">
            <w:pPr>
              <w:tabs>
                <w:tab w:val="left" w:pos="540"/>
              </w:tabs>
              <w:ind w:left="-132" w:leftChars="-64" w:right="-105" w:rightChars="-50" w:hanging="2"/>
              <w:jc w:val="center"/>
              <w:rPr>
                <w:rFonts w:hint="eastAsia" w:ascii="宋体" w:hAnsi="宋体"/>
                <w:color w:val="auto"/>
                <w:szCs w:val="21"/>
                <w:highlight w:val="none"/>
              </w:rPr>
            </w:pPr>
            <w:r>
              <w:rPr>
                <w:color w:val="auto"/>
                <w:szCs w:val="21"/>
                <w:highlight w:val="none"/>
              </w:rPr>
              <w:t>联系人姓名</w:t>
            </w:r>
            <w:r>
              <w:rPr>
                <w:rFonts w:hint="eastAsia" w:ascii="宋体" w:hAnsi="宋体"/>
                <w:color w:val="auto"/>
                <w:szCs w:val="21"/>
                <w:highlight w:val="none"/>
              </w:rPr>
              <w:t>电话</w:t>
            </w:r>
          </w:p>
        </w:tc>
        <w:tc>
          <w:tcPr>
            <w:tcW w:w="1649" w:type="dxa"/>
            <w:gridSpan w:val="2"/>
            <w:vAlign w:val="center"/>
          </w:tcPr>
          <w:p w14:paraId="27B8ADCD">
            <w:pPr>
              <w:tabs>
                <w:tab w:val="left" w:pos="540"/>
              </w:tabs>
              <w:ind w:left="-132" w:leftChars="-64" w:right="-105" w:rightChars="-50" w:hanging="2"/>
              <w:jc w:val="center"/>
              <w:rPr>
                <w:rFonts w:hint="eastAsia" w:ascii="宋体" w:hAnsi="宋体"/>
                <w:color w:val="auto"/>
                <w:szCs w:val="21"/>
                <w:highlight w:val="none"/>
              </w:rPr>
            </w:pPr>
          </w:p>
        </w:tc>
        <w:tc>
          <w:tcPr>
            <w:tcW w:w="1792" w:type="dxa"/>
            <w:gridSpan w:val="2"/>
            <w:vAlign w:val="center"/>
          </w:tcPr>
          <w:p w14:paraId="69F0D476">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传真</w:t>
            </w:r>
          </w:p>
        </w:tc>
        <w:tc>
          <w:tcPr>
            <w:tcW w:w="1649" w:type="dxa"/>
            <w:gridSpan w:val="2"/>
          </w:tcPr>
          <w:p w14:paraId="5F733A07">
            <w:pPr>
              <w:tabs>
                <w:tab w:val="left" w:pos="540"/>
              </w:tabs>
              <w:ind w:left="-132" w:leftChars="-64" w:right="-105" w:rightChars="-50" w:hanging="2"/>
              <w:jc w:val="center"/>
              <w:rPr>
                <w:rFonts w:hint="eastAsia" w:ascii="宋体" w:hAnsi="宋体"/>
                <w:color w:val="auto"/>
                <w:szCs w:val="21"/>
                <w:highlight w:val="none"/>
              </w:rPr>
            </w:pPr>
          </w:p>
        </w:tc>
      </w:tr>
      <w:tr w14:paraId="2F46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44" w:type="dxa"/>
            <w:vAlign w:val="center"/>
          </w:tcPr>
          <w:p w14:paraId="632BD516">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单位简介及机构设置(</w:t>
            </w:r>
            <w:r>
              <w:rPr>
                <w:rFonts w:hint="eastAsia" w:ascii="宋体" w:hAnsi="宋体"/>
                <w:color w:val="auto"/>
                <w:szCs w:val="21"/>
                <w:highlight w:val="none"/>
                <w:lang w:val="en-GB"/>
              </w:rPr>
              <w:t>单位性质、发展历程、经营规模及服务理念、主营产品、技术力量、实施履行本项目合同所必需的设备等</w:t>
            </w:r>
            <w:r>
              <w:rPr>
                <w:rFonts w:hint="eastAsia" w:ascii="宋体" w:hAnsi="宋体"/>
                <w:color w:val="auto"/>
                <w:szCs w:val="21"/>
                <w:highlight w:val="none"/>
              </w:rPr>
              <w:t>)</w:t>
            </w:r>
          </w:p>
        </w:tc>
        <w:tc>
          <w:tcPr>
            <w:tcW w:w="8195" w:type="dxa"/>
            <w:gridSpan w:val="9"/>
            <w:vAlign w:val="center"/>
          </w:tcPr>
          <w:p w14:paraId="27D2480E">
            <w:pPr>
              <w:tabs>
                <w:tab w:val="left" w:pos="540"/>
              </w:tabs>
              <w:ind w:left="-132" w:leftChars="-64" w:right="-105" w:rightChars="-50" w:hanging="2"/>
              <w:jc w:val="center"/>
              <w:rPr>
                <w:rFonts w:hint="eastAsia" w:ascii="宋体" w:hAnsi="宋体"/>
                <w:color w:val="auto"/>
                <w:szCs w:val="21"/>
                <w:highlight w:val="none"/>
              </w:rPr>
            </w:pPr>
          </w:p>
          <w:p w14:paraId="353A6703">
            <w:pPr>
              <w:tabs>
                <w:tab w:val="left" w:pos="540"/>
              </w:tabs>
              <w:ind w:left="-132" w:leftChars="-64" w:right="-105" w:rightChars="-50" w:hanging="2"/>
              <w:jc w:val="center"/>
              <w:rPr>
                <w:rFonts w:hint="eastAsia" w:ascii="宋体" w:hAnsi="宋体"/>
                <w:color w:val="auto"/>
                <w:szCs w:val="21"/>
                <w:highlight w:val="none"/>
              </w:rPr>
            </w:pPr>
          </w:p>
          <w:p w14:paraId="68B4BEDA">
            <w:pPr>
              <w:tabs>
                <w:tab w:val="left" w:pos="540"/>
              </w:tabs>
              <w:ind w:left="-132" w:leftChars="-64" w:right="-105" w:rightChars="-50" w:hanging="2"/>
              <w:jc w:val="center"/>
              <w:rPr>
                <w:rFonts w:hint="eastAsia" w:ascii="宋体" w:hAnsi="宋体"/>
                <w:color w:val="auto"/>
                <w:szCs w:val="21"/>
                <w:highlight w:val="none"/>
              </w:rPr>
            </w:pPr>
          </w:p>
          <w:p w14:paraId="627F6621">
            <w:pPr>
              <w:tabs>
                <w:tab w:val="left" w:pos="540"/>
              </w:tabs>
              <w:ind w:left="-132" w:leftChars="-64" w:right="-105" w:rightChars="-50" w:hanging="2"/>
              <w:jc w:val="center"/>
              <w:rPr>
                <w:rFonts w:hint="eastAsia" w:ascii="宋体" w:hAnsi="宋体"/>
                <w:color w:val="auto"/>
                <w:szCs w:val="21"/>
                <w:highlight w:val="none"/>
              </w:rPr>
            </w:pPr>
          </w:p>
          <w:p w14:paraId="7CC88439">
            <w:pPr>
              <w:tabs>
                <w:tab w:val="left" w:pos="540"/>
              </w:tabs>
              <w:ind w:left="-132" w:leftChars="-64" w:right="-105" w:rightChars="-50" w:hanging="2"/>
              <w:jc w:val="center"/>
              <w:rPr>
                <w:rFonts w:hint="eastAsia" w:ascii="宋体" w:hAnsi="宋体"/>
                <w:color w:val="auto"/>
                <w:szCs w:val="21"/>
                <w:highlight w:val="none"/>
              </w:rPr>
            </w:pPr>
          </w:p>
          <w:p w14:paraId="0A6FB887">
            <w:pPr>
              <w:tabs>
                <w:tab w:val="left" w:pos="540"/>
              </w:tabs>
              <w:ind w:left="-132" w:leftChars="-64" w:right="-105" w:rightChars="-50" w:hanging="2"/>
              <w:jc w:val="center"/>
              <w:rPr>
                <w:rFonts w:hint="eastAsia" w:ascii="宋体" w:hAnsi="宋体"/>
                <w:color w:val="auto"/>
                <w:szCs w:val="21"/>
                <w:highlight w:val="none"/>
              </w:rPr>
            </w:pPr>
          </w:p>
        </w:tc>
      </w:tr>
      <w:tr w14:paraId="7FB3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5315358B">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单位概况</w:t>
            </w:r>
          </w:p>
        </w:tc>
        <w:tc>
          <w:tcPr>
            <w:tcW w:w="1418" w:type="dxa"/>
          </w:tcPr>
          <w:p w14:paraId="787EB2B8">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注册资本</w:t>
            </w:r>
          </w:p>
        </w:tc>
        <w:tc>
          <w:tcPr>
            <w:tcW w:w="1460" w:type="dxa"/>
          </w:tcPr>
          <w:p w14:paraId="5F382CD5">
            <w:pPr>
              <w:tabs>
                <w:tab w:val="left" w:pos="540"/>
              </w:tabs>
              <w:ind w:left="-132" w:leftChars="-64" w:right="-105" w:rightChars="-50" w:hanging="2"/>
              <w:jc w:val="right"/>
              <w:rPr>
                <w:rFonts w:hint="eastAsia" w:ascii="宋体" w:hAnsi="宋体"/>
                <w:color w:val="auto"/>
                <w:szCs w:val="21"/>
                <w:highlight w:val="none"/>
              </w:rPr>
            </w:pPr>
            <w:r>
              <w:rPr>
                <w:rFonts w:hint="eastAsia" w:ascii="宋体" w:hAnsi="宋体"/>
                <w:color w:val="auto"/>
                <w:szCs w:val="21"/>
                <w:highlight w:val="none"/>
              </w:rPr>
              <w:t>万元</w:t>
            </w:r>
          </w:p>
        </w:tc>
        <w:tc>
          <w:tcPr>
            <w:tcW w:w="1620" w:type="dxa"/>
            <w:gridSpan w:val="2"/>
          </w:tcPr>
          <w:p w14:paraId="4F33FDFC">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占地面积</w:t>
            </w:r>
          </w:p>
        </w:tc>
        <w:tc>
          <w:tcPr>
            <w:tcW w:w="3697" w:type="dxa"/>
            <w:gridSpan w:val="5"/>
          </w:tcPr>
          <w:p w14:paraId="473B87F0">
            <w:pPr>
              <w:tabs>
                <w:tab w:val="left" w:pos="540"/>
              </w:tabs>
              <w:ind w:left="-134" w:leftChars="-64" w:right="-105" w:rightChars="-50" w:firstLine="3045" w:firstLineChars="1450"/>
              <w:jc w:val="center"/>
              <w:rPr>
                <w:rFonts w:hint="eastAsia" w:ascii="宋体" w:hAnsi="宋体"/>
                <w:color w:val="auto"/>
                <w:szCs w:val="21"/>
                <w:highlight w:val="none"/>
              </w:rPr>
            </w:pPr>
            <w:r>
              <w:rPr>
                <w:rFonts w:hint="eastAsia" w:ascii="宋体" w:hAnsi="宋体"/>
                <w:color w:val="auto"/>
                <w:szCs w:val="21"/>
                <w:highlight w:val="none"/>
              </w:rPr>
              <w:t>M</w:t>
            </w:r>
            <w:r>
              <w:rPr>
                <w:rFonts w:hint="eastAsia" w:ascii="宋体" w:hAnsi="宋体"/>
                <w:color w:val="auto"/>
                <w:szCs w:val="21"/>
                <w:highlight w:val="none"/>
                <w:vertAlign w:val="superscript"/>
              </w:rPr>
              <w:t>2</w:t>
            </w:r>
          </w:p>
        </w:tc>
      </w:tr>
      <w:tr w14:paraId="0D25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491D17F">
            <w:pPr>
              <w:tabs>
                <w:tab w:val="left" w:pos="540"/>
              </w:tabs>
              <w:ind w:left="-132" w:leftChars="-64" w:right="-105" w:rightChars="-50" w:hanging="2"/>
              <w:jc w:val="center"/>
              <w:rPr>
                <w:rFonts w:hint="eastAsia" w:ascii="宋体" w:hAnsi="宋体"/>
                <w:color w:val="auto"/>
                <w:szCs w:val="21"/>
                <w:highlight w:val="none"/>
              </w:rPr>
            </w:pPr>
          </w:p>
        </w:tc>
        <w:tc>
          <w:tcPr>
            <w:tcW w:w="1418" w:type="dxa"/>
          </w:tcPr>
          <w:p w14:paraId="603E0A98">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职工总数</w:t>
            </w:r>
          </w:p>
        </w:tc>
        <w:tc>
          <w:tcPr>
            <w:tcW w:w="1460" w:type="dxa"/>
          </w:tcPr>
          <w:p w14:paraId="156D5C57">
            <w:pPr>
              <w:tabs>
                <w:tab w:val="left" w:pos="540"/>
              </w:tabs>
              <w:ind w:left="-132" w:leftChars="-64" w:right="-105" w:rightChars="-50" w:hanging="2"/>
              <w:jc w:val="right"/>
              <w:rPr>
                <w:rFonts w:hint="eastAsia" w:ascii="宋体" w:hAnsi="宋体"/>
                <w:color w:val="auto"/>
                <w:szCs w:val="21"/>
                <w:highlight w:val="none"/>
              </w:rPr>
            </w:pPr>
            <w:r>
              <w:rPr>
                <w:rFonts w:hint="eastAsia" w:ascii="宋体" w:hAnsi="宋体"/>
                <w:color w:val="auto"/>
                <w:szCs w:val="21"/>
                <w:highlight w:val="none"/>
              </w:rPr>
              <w:t>人</w:t>
            </w:r>
          </w:p>
        </w:tc>
        <w:tc>
          <w:tcPr>
            <w:tcW w:w="1620" w:type="dxa"/>
            <w:gridSpan w:val="2"/>
          </w:tcPr>
          <w:p w14:paraId="3B12F21C">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建筑面积</w:t>
            </w:r>
          </w:p>
        </w:tc>
        <w:tc>
          <w:tcPr>
            <w:tcW w:w="3697" w:type="dxa"/>
            <w:gridSpan w:val="5"/>
          </w:tcPr>
          <w:p w14:paraId="3B002C1D">
            <w:pPr>
              <w:tabs>
                <w:tab w:val="left" w:pos="540"/>
              </w:tabs>
              <w:ind w:left="-134" w:leftChars="-64" w:right="-105" w:rightChars="-50" w:firstLine="3045" w:firstLineChars="1450"/>
              <w:jc w:val="center"/>
              <w:rPr>
                <w:rFonts w:hint="eastAsia" w:ascii="宋体" w:hAnsi="宋体"/>
                <w:color w:val="auto"/>
                <w:szCs w:val="21"/>
                <w:highlight w:val="none"/>
              </w:rPr>
            </w:pPr>
            <w:r>
              <w:rPr>
                <w:rFonts w:hint="eastAsia" w:ascii="宋体" w:hAnsi="宋体"/>
                <w:color w:val="auto"/>
                <w:szCs w:val="21"/>
                <w:highlight w:val="none"/>
              </w:rPr>
              <w:t>M</w:t>
            </w:r>
            <w:r>
              <w:rPr>
                <w:rFonts w:hint="eastAsia" w:ascii="宋体" w:hAnsi="宋体"/>
                <w:color w:val="auto"/>
                <w:szCs w:val="21"/>
                <w:highlight w:val="none"/>
                <w:vertAlign w:val="superscript"/>
              </w:rPr>
              <w:t>2</w:t>
            </w:r>
          </w:p>
        </w:tc>
      </w:tr>
      <w:tr w14:paraId="1BAD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3EF9B5FB">
            <w:pPr>
              <w:tabs>
                <w:tab w:val="left" w:pos="540"/>
              </w:tabs>
              <w:ind w:left="-132" w:leftChars="-64" w:right="-105" w:rightChars="-50" w:hanging="2"/>
              <w:jc w:val="center"/>
              <w:rPr>
                <w:rFonts w:hint="eastAsia" w:ascii="宋体" w:hAnsi="宋体"/>
                <w:color w:val="auto"/>
                <w:szCs w:val="21"/>
                <w:highlight w:val="none"/>
              </w:rPr>
            </w:pPr>
          </w:p>
        </w:tc>
        <w:tc>
          <w:tcPr>
            <w:tcW w:w="1418" w:type="dxa"/>
            <w:vMerge w:val="restart"/>
            <w:vAlign w:val="center"/>
          </w:tcPr>
          <w:p w14:paraId="4E173D01">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资产情况</w:t>
            </w:r>
          </w:p>
        </w:tc>
        <w:tc>
          <w:tcPr>
            <w:tcW w:w="1460" w:type="dxa"/>
          </w:tcPr>
          <w:p w14:paraId="61DFEB0B">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净资产</w:t>
            </w:r>
          </w:p>
        </w:tc>
        <w:tc>
          <w:tcPr>
            <w:tcW w:w="1620" w:type="dxa"/>
            <w:gridSpan w:val="2"/>
            <w:vAlign w:val="center"/>
          </w:tcPr>
          <w:p w14:paraId="1A8FFAEB">
            <w:pPr>
              <w:tabs>
                <w:tab w:val="left" w:pos="540"/>
              </w:tabs>
              <w:ind w:left="-132" w:leftChars="-64" w:right="-105" w:rightChars="-50" w:hanging="2"/>
              <w:jc w:val="right"/>
              <w:rPr>
                <w:rFonts w:hint="eastAsia" w:ascii="宋体" w:hAnsi="宋体"/>
                <w:color w:val="auto"/>
                <w:szCs w:val="21"/>
                <w:highlight w:val="none"/>
              </w:rPr>
            </w:pPr>
            <w:r>
              <w:rPr>
                <w:rFonts w:hint="eastAsia" w:ascii="宋体" w:hAnsi="宋体"/>
                <w:color w:val="auto"/>
                <w:szCs w:val="21"/>
                <w:highlight w:val="none"/>
              </w:rPr>
              <w:t>万元</w:t>
            </w:r>
          </w:p>
        </w:tc>
        <w:tc>
          <w:tcPr>
            <w:tcW w:w="3697" w:type="dxa"/>
            <w:gridSpan w:val="5"/>
          </w:tcPr>
          <w:p w14:paraId="79C99AFB">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固定资产原值           万元</w:t>
            </w:r>
          </w:p>
        </w:tc>
      </w:tr>
      <w:tr w14:paraId="4E0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tcPr>
          <w:p w14:paraId="0FF3E7C8">
            <w:pPr>
              <w:tabs>
                <w:tab w:val="left" w:pos="540"/>
              </w:tabs>
              <w:ind w:left="-132" w:leftChars="-64" w:right="-105" w:rightChars="-50" w:hanging="2"/>
              <w:jc w:val="center"/>
              <w:rPr>
                <w:rFonts w:hint="eastAsia" w:ascii="宋体" w:hAnsi="宋体"/>
                <w:color w:val="auto"/>
                <w:szCs w:val="21"/>
                <w:highlight w:val="none"/>
              </w:rPr>
            </w:pPr>
          </w:p>
        </w:tc>
        <w:tc>
          <w:tcPr>
            <w:tcW w:w="1418" w:type="dxa"/>
            <w:vMerge w:val="continue"/>
          </w:tcPr>
          <w:p w14:paraId="2DB008C7">
            <w:pPr>
              <w:tabs>
                <w:tab w:val="left" w:pos="540"/>
              </w:tabs>
              <w:ind w:left="-132" w:leftChars="-64" w:right="-105" w:rightChars="-50" w:hanging="2"/>
              <w:jc w:val="center"/>
              <w:rPr>
                <w:rFonts w:hint="eastAsia" w:ascii="宋体" w:hAnsi="宋体"/>
                <w:color w:val="auto"/>
                <w:szCs w:val="21"/>
                <w:highlight w:val="none"/>
              </w:rPr>
            </w:pPr>
          </w:p>
        </w:tc>
        <w:tc>
          <w:tcPr>
            <w:tcW w:w="1460" w:type="dxa"/>
          </w:tcPr>
          <w:p w14:paraId="3D95CF6C">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负债</w:t>
            </w:r>
          </w:p>
        </w:tc>
        <w:tc>
          <w:tcPr>
            <w:tcW w:w="1620" w:type="dxa"/>
            <w:gridSpan w:val="2"/>
            <w:vAlign w:val="center"/>
          </w:tcPr>
          <w:p w14:paraId="1DC758EE">
            <w:pPr>
              <w:tabs>
                <w:tab w:val="left" w:pos="540"/>
              </w:tabs>
              <w:ind w:left="-132" w:leftChars="-64" w:right="-105" w:rightChars="-50" w:hanging="2"/>
              <w:jc w:val="right"/>
              <w:rPr>
                <w:rFonts w:hint="eastAsia" w:ascii="宋体" w:hAnsi="宋体"/>
                <w:color w:val="auto"/>
                <w:szCs w:val="21"/>
                <w:highlight w:val="none"/>
              </w:rPr>
            </w:pPr>
            <w:r>
              <w:rPr>
                <w:rFonts w:hint="eastAsia" w:ascii="宋体" w:hAnsi="宋体"/>
                <w:color w:val="auto"/>
                <w:szCs w:val="21"/>
                <w:highlight w:val="none"/>
              </w:rPr>
              <w:t>万元</w:t>
            </w:r>
          </w:p>
        </w:tc>
        <w:tc>
          <w:tcPr>
            <w:tcW w:w="3697" w:type="dxa"/>
            <w:gridSpan w:val="5"/>
          </w:tcPr>
          <w:p w14:paraId="55F1BE23">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固定资产净值           万元</w:t>
            </w:r>
          </w:p>
        </w:tc>
      </w:tr>
      <w:tr w14:paraId="27B1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533002B0">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财务状况</w:t>
            </w:r>
          </w:p>
        </w:tc>
        <w:tc>
          <w:tcPr>
            <w:tcW w:w="1418" w:type="dxa"/>
          </w:tcPr>
          <w:p w14:paraId="2903EA6A">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年度</w:t>
            </w:r>
          </w:p>
        </w:tc>
        <w:tc>
          <w:tcPr>
            <w:tcW w:w="1460" w:type="dxa"/>
            <w:vAlign w:val="center"/>
          </w:tcPr>
          <w:p w14:paraId="16916370">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主营收入</w:t>
            </w:r>
          </w:p>
          <w:p w14:paraId="052084AE">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（万元）</w:t>
            </w:r>
          </w:p>
        </w:tc>
        <w:tc>
          <w:tcPr>
            <w:tcW w:w="1620" w:type="dxa"/>
            <w:gridSpan w:val="2"/>
            <w:vAlign w:val="center"/>
          </w:tcPr>
          <w:p w14:paraId="3688E97A">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收入总额</w:t>
            </w:r>
          </w:p>
          <w:p w14:paraId="25FD8737">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（万元）</w:t>
            </w:r>
          </w:p>
        </w:tc>
        <w:tc>
          <w:tcPr>
            <w:tcW w:w="1260" w:type="dxa"/>
            <w:gridSpan w:val="2"/>
          </w:tcPr>
          <w:p w14:paraId="014EBDA3">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利润总额（万元）</w:t>
            </w:r>
          </w:p>
        </w:tc>
        <w:tc>
          <w:tcPr>
            <w:tcW w:w="1080" w:type="dxa"/>
            <w:gridSpan w:val="2"/>
          </w:tcPr>
          <w:p w14:paraId="743943C9">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净利润（万元）</w:t>
            </w:r>
          </w:p>
        </w:tc>
        <w:tc>
          <w:tcPr>
            <w:tcW w:w="1357" w:type="dxa"/>
          </w:tcPr>
          <w:p w14:paraId="10076A70">
            <w:pPr>
              <w:tabs>
                <w:tab w:val="left" w:pos="540"/>
              </w:tabs>
              <w:ind w:left="-132" w:leftChars="-64" w:right="-105" w:rightChars="-50" w:hanging="2"/>
              <w:jc w:val="center"/>
              <w:rPr>
                <w:rFonts w:hint="eastAsia" w:ascii="宋体" w:hAnsi="宋体"/>
                <w:color w:val="auto"/>
                <w:szCs w:val="21"/>
                <w:highlight w:val="none"/>
              </w:rPr>
            </w:pPr>
            <w:r>
              <w:rPr>
                <w:rFonts w:hint="eastAsia" w:ascii="宋体" w:hAnsi="宋体"/>
                <w:color w:val="auto"/>
                <w:szCs w:val="21"/>
                <w:highlight w:val="none"/>
              </w:rPr>
              <w:t>资产负债率</w:t>
            </w:r>
          </w:p>
        </w:tc>
      </w:tr>
      <w:tr w14:paraId="66B6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3C1B3A8F">
            <w:pPr>
              <w:tabs>
                <w:tab w:val="left" w:pos="540"/>
              </w:tabs>
              <w:ind w:left="-132" w:leftChars="-64" w:right="-105" w:rightChars="-50" w:hanging="2"/>
              <w:jc w:val="center"/>
              <w:rPr>
                <w:rFonts w:hint="eastAsia" w:ascii="宋体" w:hAnsi="宋体"/>
                <w:color w:val="auto"/>
                <w:szCs w:val="21"/>
                <w:highlight w:val="none"/>
              </w:rPr>
            </w:pPr>
          </w:p>
        </w:tc>
        <w:tc>
          <w:tcPr>
            <w:tcW w:w="1418" w:type="dxa"/>
          </w:tcPr>
          <w:p w14:paraId="052B9BC6">
            <w:pPr>
              <w:tabs>
                <w:tab w:val="left" w:pos="540"/>
              </w:tabs>
              <w:ind w:left="-132" w:leftChars="-64" w:right="-105" w:rightChars="-50" w:hanging="2"/>
              <w:jc w:val="center"/>
              <w:rPr>
                <w:rFonts w:hint="eastAsia" w:ascii="宋体" w:hAnsi="宋体"/>
                <w:color w:val="auto"/>
                <w:szCs w:val="21"/>
                <w:highlight w:val="none"/>
              </w:rPr>
            </w:pPr>
          </w:p>
        </w:tc>
        <w:tc>
          <w:tcPr>
            <w:tcW w:w="1460" w:type="dxa"/>
          </w:tcPr>
          <w:p w14:paraId="602EAE37">
            <w:pPr>
              <w:tabs>
                <w:tab w:val="left" w:pos="540"/>
              </w:tabs>
              <w:ind w:left="-132" w:leftChars="-64" w:right="-105" w:rightChars="-50" w:hanging="2"/>
              <w:jc w:val="center"/>
              <w:rPr>
                <w:rFonts w:hint="eastAsia" w:ascii="宋体" w:hAnsi="宋体"/>
                <w:color w:val="auto"/>
                <w:szCs w:val="21"/>
                <w:highlight w:val="none"/>
              </w:rPr>
            </w:pPr>
          </w:p>
        </w:tc>
        <w:tc>
          <w:tcPr>
            <w:tcW w:w="1620" w:type="dxa"/>
            <w:gridSpan w:val="2"/>
          </w:tcPr>
          <w:p w14:paraId="1E041DEC">
            <w:pPr>
              <w:tabs>
                <w:tab w:val="left" w:pos="540"/>
              </w:tabs>
              <w:ind w:left="-132" w:leftChars="-64" w:right="-105" w:rightChars="-50" w:hanging="2"/>
              <w:jc w:val="center"/>
              <w:rPr>
                <w:rFonts w:hint="eastAsia" w:ascii="宋体" w:hAnsi="宋体"/>
                <w:color w:val="auto"/>
                <w:szCs w:val="21"/>
                <w:highlight w:val="none"/>
              </w:rPr>
            </w:pPr>
          </w:p>
        </w:tc>
        <w:tc>
          <w:tcPr>
            <w:tcW w:w="1260" w:type="dxa"/>
            <w:gridSpan w:val="2"/>
          </w:tcPr>
          <w:p w14:paraId="504D57C5">
            <w:pPr>
              <w:tabs>
                <w:tab w:val="left" w:pos="540"/>
              </w:tabs>
              <w:ind w:left="-132" w:leftChars="-64" w:right="-105" w:rightChars="-50" w:hanging="2"/>
              <w:jc w:val="center"/>
              <w:rPr>
                <w:rFonts w:hint="eastAsia" w:ascii="宋体" w:hAnsi="宋体"/>
                <w:color w:val="auto"/>
                <w:szCs w:val="21"/>
                <w:highlight w:val="none"/>
              </w:rPr>
            </w:pPr>
          </w:p>
        </w:tc>
        <w:tc>
          <w:tcPr>
            <w:tcW w:w="1080" w:type="dxa"/>
            <w:gridSpan w:val="2"/>
          </w:tcPr>
          <w:p w14:paraId="73D4ACE0">
            <w:pPr>
              <w:tabs>
                <w:tab w:val="left" w:pos="540"/>
              </w:tabs>
              <w:ind w:left="-132" w:leftChars="-64" w:right="-105" w:rightChars="-50" w:hanging="2"/>
              <w:jc w:val="center"/>
              <w:rPr>
                <w:rFonts w:hint="eastAsia" w:ascii="宋体" w:hAnsi="宋体"/>
                <w:color w:val="auto"/>
                <w:szCs w:val="21"/>
                <w:highlight w:val="none"/>
              </w:rPr>
            </w:pPr>
          </w:p>
        </w:tc>
        <w:tc>
          <w:tcPr>
            <w:tcW w:w="1357" w:type="dxa"/>
          </w:tcPr>
          <w:p w14:paraId="5CE4307F">
            <w:pPr>
              <w:tabs>
                <w:tab w:val="left" w:pos="540"/>
              </w:tabs>
              <w:ind w:left="-132" w:leftChars="-64" w:right="-105" w:rightChars="-50" w:hanging="2"/>
              <w:jc w:val="center"/>
              <w:rPr>
                <w:rFonts w:hint="eastAsia" w:ascii="宋体" w:hAnsi="宋体"/>
                <w:color w:val="auto"/>
                <w:szCs w:val="21"/>
                <w:highlight w:val="none"/>
              </w:rPr>
            </w:pPr>
          </w:p>
        </w:tc>
      </w:tr>
      <w:tr w14:paraId="461E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198F75F">
            <w:pPr>
              <w:tabs>
                <w:tab w:val="left" w:pos="540"/>
              </w:tabs>
              <w:ind w:left="-132" w:leftChars="-64" w:right="-105" w:rightChars="-50" w:hanging="2"/>
              <w:jc w:val="center"/>
              <w:rPr>
                <w:rFonts w:hint="eastAsia" w:ascii="宋体" w:hAnsi="宋体"/>
                <w:color w:val="auto"/>
                <w:szCs w:val="21"/>
                <w:highlight w:val="none"/>
              </w:rPr>
            </w:pPr>
          </w:p>
        </w:tc>
        <w:tc>
          <w:tcPr>
            <w:tcW w:w="1418" w:type="dxa"/>
          </w:tcPr>
          <w:p w14:paraId="01BC0954">
            <w:pPr>
              <w:tabs>
                <w:tab w:val="left" w:pos="540"/>
              </w:tabs>
              <w:ind w:left="-132" w:leftChars="-64" w:right="-105" w:rightChars="-50" w:hanging="2"/>
              <w:jc w:val="center"/>
              <w:rPr>
                <w:rFonts w:hint="eastAsia" w:ascii="宋体" w:hAnsi="宋体"/>
                <w:color w:val="auto"/>
                <w:szCs w:val="21"/>
                <w:highlight w:val="none"/>
              </w:rPr>
            </w:pPr>
          </w:p>
        </w:tc>
        <w:tc>
          <w:tcPr>
            <w:tcW w:w="1460" w:type="dxa"/>
          </w:tcPr>
          <w:p w14:paraId="28ED008A">
            <w:pPr>
              <w:tabs>
                <w:tab w:val="left" w:pos="540"/>
              </w:tabs>
              <w:ind w:left="-132" w:leftChars="-64" w:right="-105" w:rightChars="-50" w:hanging="2"/>
              <w:jc w:val="center"/>
              <w:rPr>
                <w:rFonts w:hint="eastAsia" w:ascii="宋体" w:hAnsi="宋体"/>
                <w:color w:val="auto"/>
                <w:szCs w:val="21"/>
                <w:highlight w:val="none"/>
              </w:rPr>
            </w:pPr>
          </w:p>
        </w:tc>
        <w:tc>
          <w:tcPr>
            <w:tcW w:w="1620" w:type="dxa"/>
            <w:gridSpan w:val="2"/>
          </w:tcPr>
          <w:p w14:paraId="6342F10A">
            <w:pPr>
              <w:tabs>
                <w:tab w:val="left" w:pos="540"/>
              </w:tabs>
              <w:ind w:left="-132" w:leftChars="-64" w:right="-105" w:rightChars="-50" w:hanging="2"/>
              <w:jc w:val="center"/>
              <w:rPr>
                <w:rFonts w:hint="eastAsia" w:ascii="宋体" w:hAnsi="宋体"/>
                <w:color w:val="auto"/>
                <w:szCs w:val="21"/>
                <w:highlight w:val="none"/>
              </w:rPr>
            </w:pPr>
          </w:p>
        </w:tc>
        <w:tc>
          <w:tcPr>
            <w:tcW w:w="1260" w:type="dxa"/>
            <w:gridSpan w:val="2"/>
          </w:tcPr>
          <w:p w14:paraId="599A4861">
            <w:pPr>
              <w:tabs>
                <w:tab w:val="left" w:pos="540"/>
              </w:tabs>
              <w:ind w:left="-132" w:leftChars="-64" w:right="-105" w:rightChars="-50" w:hanging="2"/>
              <w:jc w:val="center"/>
              <w:rPr>
                <w:rFonts w:hint="eastAsia" w:ascii="宋体" w:hAnsi="宋体"/>
                <w:color w:val="auto"/>
                <w:szCs w:val="21"/>
                <w:highlight w:val="none"/>
              </w:rPr>
            </w:pPr>
          </w:p>
        </w:tc>
        <w:tc>
          <w:tcPr>
            <w:tcW w:w="1080" w:type="dxa"/>
            <w:gridSpan w:val="2"/>
          </w:tcPr>
          <w:p w14:paraId="42E95CAF">
            <w:pPr>
              <w:tabs>
                <w:tab w:val="left" w:pos="540"/>
              </w:tabs>
              <w:ind w:left="-132" w:leftChars="-64" w:right="-105" w:rightChars="-50" w:hanging="2"/>
              <w:jc w:val="center"/>
              <w:rPr>
                <w:rFonts w:hint="eastAsia" w:ascii="宋体" w:hAnsi="宋体"/>
                <w:color w:val="auto"/>
                <w:szCs w:val="21"/>
                <w:highlight w:val="none"/>
              </w:rPr>
            </w:pPr>
          </w:p>
        </w:tc>
        <w:tc>
          <w:tcPr>
            <w:tcW w:w="1357" w:type="dxa"/>
          </w:tcPr>
          <w:p w14:paraId="61A3514A">
            <w:pPr>
              <w:tabs>
                <w:tab w:val="left" w:pos="540"/>
              </w:tabs>
              <w:ind w:left="-132" w:leftChars="-64" w:right="-105" w:rightChars="-50" w:hanging="2"/>
              <w:jc w:val="center"/>
              <w:rPr>
                <w:rFonts w:hint="eastAsia" w:ascii="宋体" w:hAnsi="宋体"/>
                <w:color w:val="auto"/>
                <w:szCs w:val="21"/>
                <w:highlight w:val="none"/>
              </w:rPr>
            </w:pPr>
          </w:p>
        </w:tc>
      </w:tr>
    </w:tbl>
    <w:p w14:paraId="3EC8E1E9">
      <w:pPr>
        <w:tabs>
          <w:tab w:val="left" w:pos="540"/>
        </w:tabs>
        <w:rPr>
          <w:rFonts w:hint="eastAsia" w:ascii="宋体" w:hAnsi="宋体"/>
          <w:b/>
          <w:color w:val="auto"/>
          <w:sz w:val="18"/>
          <w:szCs w:val="18"/>
          <w:highlight w:val="none"/>
        </w:rPr>
      </w:pPr>
    </w:p>
    <w:p w14:paraId="5A01EA13">
      <w:pPr>
        <w:tabs>
          <w:tab w:val="left" w:pos="540"/>
        </w:tabs>
        <w:rPr>
          <w:rFonts w:hint="eastAsia" w:ascii="宋体" w:hAnsi="宋体"/>
          <w:b/>
          <w:color w:val="auto"/>
          <w:sz w:val="24"/>
          <w:highlight w:val="none"/>
        </w:rPr>
      </w:pPr>
      <w:r>
        <w:rPr>
          <w:rFonts w:hint="eastAsia" w:ascii="宋体" w:hAnsi="宋体"/>
          <w:b/>
          <w:color w:val="auto"/>
          <w:sz w:val="24"/>
          <w:highlight w:val="none"/>
        </w:rPr>
        <w:t>二、拟任执行管理及技术人员情况</w:t>
      </w:r>
    </w:p>
    <w:tbl>
      <w:tblPr>
        <w:tblStyle w:val="3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423"/>
        <w:gridCol w:w="890"/>
        <w:gridCol w:w="2587"/>
        <w:gridCol w:w="714"/>
        <w:gridCol w:w="714"/>
        <w:gridCol w:w="1597"/>
      </w:tblGrid>
      <w:tr w14:paraId="0CB3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538" w:type="dxa"/>
            <w:tcBorders>
              <w:top w:val="single" w:color="auto" w:sz="4" w:space="0"/>
              <w:left w:val="single" w:color="auto" w:sz="4" w:space="0"/>
              <w:bottom w:val="nil"/>
              <w:right w:val="single" w:color="auto" w:sz="4" w:space="0"/>
            </w:tcBorders>
            <w:shd w:val="clear" w:color="auto" w:fill="F3F3F3"/>
            <w:vAlign w:val="center"/>
          </w:tcPr>
          <w:p w14:paraId="7F672821">
            <w:pPr>
              <w:jc w:val="center"/>
              <w:rPr>
                <w:rFonts w:hint="eastAsia" w:ascii="宋体" w:hAnsi="宋体"/>
                <w:b/>
                <w:bCs/>
                <w:color w:val="auto"/>
                <w:szCs w:val="21"/>
                <w:highlight w:val="none"/>
              </w:rPr>
            </w:pPr>
            <w:r>
              <w:rPr>
                <w:rFonts w:hint="eastAsia" w:ascii="宋体" w:hAnsi="宋体"/>
                <w:b/>
                <w:bCs/>
                <w:color w:val="auto"/>
                <w:szCs w:val="21"/>
                <w:highlight w:val="none"/>
              </w:rPr>
              <w:t>职责分工</w:t>
            </w:r>
          </w:p>
        </w:tc>
        <w:tc>
          <w:tcPr>
            <w:tcW w:w="1423" w:type="dxa"/>
            <w:tcBorders>
              <w:top w:val="single" w:color="auto" w:sz="4" w:space="0"/>
              <w:left w:val="single" w:color="auto" w:sz="4" w:space="0"/>
              <w:bottom w:val="nil"/>
              <w:right w:val="single" w:color="auto" w:sz="4" w:space="0"/>
            </w:tcBorders>
            <w:shd w:val="clear" w:color="auto" w:fill="F3F3F3"/>
            <w:vAlign w:val="center"/>
          </w:tcPr>
          <w:p w14:paraId="75893FEC">
            <w:pPr>
              <w:jc w:val="center"/>
              <w:rPr>
                <w:rFonts w:hint="eastAsia" w:ascii="宋体" w:hAnsi="宋体"/>
                <w:b/>
                <w:bCs/>
                <w:color w:val="auto"/>
                <w:szCs w:val="21"/>
                <w:highlight w:val="none"/>
              </w:rPr>
            </w:pPr>
            <w:r>
              <w:rPr>
                <w:rFonts w:hint="eastAsia" w:ascii="宋体" w:hAnsi="宋体"/>
                <w:b/>
                <w:bCs/>
                <w:color w:val="auto"/>
                <w:szCs w:val="21"/>
                <w:highlight w:val="none"/>
              </w:rPr>
              <w:t>姓名</w:t>
            </w:r>
          </w:p>
        </w:tc>
        <w:tc>
          <w:tcPr>
            <w:tcW w:w="890" w:type="dxa"/>
            <w:tcBorders>
              <w:top w:val="single" w:color="auto" w:sz="4" w:space="0"/>
              <w:left w:val="single" w:color="auto" w:sz="4" w:space="0"/>
              <w:bottom w:val="nil"/>
            </w:tcBorders>
            <w:shd w:val="clear" w:color="auto" w:fill="F3F3F3"/>
            <w:vAlign w:val="center"/>
          </w:tcPr>
          <w:p w14:paraId="220FE045">
            <w:pPr>
              <w:jc w:val="center"/>
              <w:rPr>
                <w:rFonts w:hint="eastAsia" w:ascii="宋体" w:hAnsi="宋体"/>
                <w:b/>
                <w:bCs/>
                <w:color w:val="auto"/>
                <w:szCs w:val="21"/>
                <w:highlight w:val="none"/>
              </w:rPr>
            </w:pPr>
            <w:r>
              <w:rPr>
                <w:rFonts w:hint="eastAsia" w:ascii="宋体" w:hAnsi="宋体"/>
                <w:b/>
                <w:bCs/>
                <w:color w:val="auto"/>
                <w:szCs w:val="21"/>
                <w:highlight w:val="none"/>
              </w:rPr>
              <w:t>现职务</w:t>
            </w:r>
          </w:p>
        </w:tc>
        <w:tc>
          <w:tcPr>
            <w:tcW w:w="2587" w:type="dxa"/>
            <w:tcBorders>
              <w:top w:val="single" w:color="auto" w:sz="4" w:space="0"/>
              <w:bottom w:val="nil"/>
            </w:tcBorders>
            <w:shd w:val="clear" w:color="auto" w:fill="F3F3F3"/>
            <w:vAlign w:val="center"/>
          </w:tcPr>
          <w:p w14:paraId="1694C298">
            <w:pPr>
              <w:jc w:val="center"/>
              <w:rPr>
                <w:rFonts w:hint="eastAsia" w:ascii="宋体" w:hAnsi="宋体"/>
                <w:b/>
                <w:bCs/>
                <w:color w:val="auto"/>
                <w:szCs w:val="21"/>
                <w:highlight w:val="none"/>
              </w:rPr>
            </w:pPr>
            <w:r>
              <w:rPr>
                <w:rFonts w:hint="eastAsia" w:ascii="宋体" w:hAnsi="宋体"/>
                <w:b/>
                <w:bCs/>
                <w:color w:val="auto"/>
                <w:szCs w:val="21"/>
                <w:highlight w:val="none"/>
              </w:rPr>
              <w:t>曾主持/参与的同类项目经历</w:t>
            </w:r>
          </w:p>
        </w:tc>
        <w:tc>
          <w:tcPr>
            <w:tcW w:w="714" w:type="dxa"/>
            <w:tcBorders>
              <w:top w:val="single" w:color="auto" w:sz="4" w:space="0"/>
              <w:bottom w:val="nil"/>
            </w:tcBorders>
            <w:shd w:val="clear" w:color="auto" w:fill="F3F3F3"/>
            <w:vAlign w:val="center"/>
          </w:tcPr>
          <w:p w14:paraId="4E61F626">
            <w:pPr>
              <w:jc w:val="center"/>
              <w:rPr>
                <w:rFonts w:hint="eastAsia" w:ascii="宋体" w:hAnsi="宋体"/>
                <w:b/>
                <w:bCs/>
                <w:color w:val="auto"/>
                <w:szCs w:val="21"/>
                <w:highlight w:val="none"/>
              </w:rPr>
            </w:pPr>
            <w:r>
              <w:rPr>
                <w:rFonts w:hint="eastAsia" w:ascii="宋体" w:hAnsi="宋体"/>
                <w:b/>
                <w:bCs/>
                <w:color w:val="auto"/>
                <w:szCs w:val="21"/>
                <w:highlight w:val="none"/>
              </w:rPr>
              <w:t>职称</w:t>
            </w:r>
          </w:p>
        </w:tc>
        <w:tc>
          <w:tcPr>
            <w:tcW w:w="714" w:type="dxa"/>
            <w:tcBorders>
              <w:top w:val="single" w:color="auto" w:sz="4" w:space="0"/>
              <w:bottom w:val="nil"/>
              <w:right w:val="single" w:color="auto" w:sz="4" w:space="0"/>
            </w:tcBorders>
            <w:shd w:val="clear" w:color="auto" w:fill="F3F3F3"/>
            <w:vAlign w:val="center"/>
          </w:tcPr>
          <w:p w14:paraId="640FE2BA">
            <w:pPr>
              <w:jc w:val="center"/>
              <w:rPr>
                <w:rFonts w:hint="eastAsia" w:ascii="宋体" w:hAnsi="宋体"/>
                <w:b/>
                <w:bCs/>
                <w:color w:val="auto"/>
                <w:szCs w:val="21"/>
                <w:highlight w:val="none"/>
              </w:rPr>
            </w:pPr>
            <w:r>
              <w:rPr>
                <w:rFonts w:hint="eastAsia" w:ascii="宋体" w:hAnsi="宋体"/>
                <w:b/>
                <w:bCs/>
                <w:color w:val="auto"/>
                <w:szCs w:val="21"/>
                <w:highlight w:val="none"/>
              </w:rPr>
              <w:t>专业工龄</w:t>
            </w:r>
          </w:p>
        </w:tc>
        <w:tc>
          <w:tcPr>
            <w:tcW w:w="1597" w:type="dxa"/>
            <w:tcBorders>
              <w:top w:val="single" w:color="auto" w:sz="4" w:space="0"/>
              <w:bottom w:val="nil"/>
              <w:right w:val="single" w:color="auto" w:sz="4" w:space="0"/>
            </w:tcBorders>
            <w:shd w:val="clear" w:color="auto" w:fill="F3F3F3"/>
            <w:vAlign w:val="center"/>
          </w:tcPr>
          <w:p w14:paraId="3C6D5934">
            <w:pPr>
              <w:jc w:val="center"/>
              <w:rPr>
                <w:rFonts w:hint="eastAsia" w:ascii="宋体" w:hAnsi="宋体"/>
                <w:b/>
                <w:bCs/>
                <w:color w:val="auto"/>
                <w:szCs w:val="21"/>
                <w:highlight w:val="none"/>
              </w:rPr>
            </w:pPr>
            <w:r>
              <w:rPr>
                <w:rFonts w:hint="eastAsia" w:ascii="宋体" w:hAnsi="宋体"/>
                <w:b/>
                <w:bCs/>
                <w:color w:val="auto"/>
                <w:szCs w:val="21"/>
                <w:highlight w:val="none"/>
              </w:rPr>
              <w:t>联系电话/手机</w:t>
            </w:r>
          </w:p>
        </w:tc>
      </w:tr>
      <w:tr w14:paraId="6ED0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trPr>
        <w:tc>
          <w:tcPr>
            <w:tcW w:w="1538" w:type="dxa"/>
            <w:tcBorders>
              <w:top w:val="single" w:color="auto" w:sz="4" w:space="0"/>
              <w:left w:val="single" w:color="auto" w:sz="4" w:space="0"/>
              <w:bottom w:val="nil"/>
              <w:right w:val="single" w:color="auto" w:sz="4" w:space="0"/>
            </w:tcBorders>
            <w:vAlign w:val="center"/>
          </w:tcPr>
          <w:p w14:paraId="1C20BBB9">
            <w:pPr>
              <w:rPr>
                <w:rFonts w:hint="eastAsia" w:ascii="宋体" w:hAnsi="宋体"/>
                <w:color w:val="auto"/>
                <w:szCs w:val="21"/>
                <w:highlight w:val="none"/>
              </w:rPr>
            </w:pPr>
            <w:r>
              <w:rPr>
                <w:rFonts w:hint="eastAsia" w:ascii="宋体" w:hAnsi="宋体"/>
                <w:color w:val="auto"/>
                <w:szCs w:val="21"/>
                <w:highlight w:val="none"/>
              </w:rPr>
              <w:t>总负责人</w:t>
            </w:r>
          </w:p>
        </w:tc>
        <w:tc>
          <w:tcPr>
            <w:tcW w:w="1423" w:type="dxa"/>
            <w:tcBorders>
              <w:top w:val="single" w:color="auto" w:sz="4" w:space="0"/>
              <w:left w:val="single" w:color="auto" w:sz="4" w:space="0"/>
              <w:bottom w:val="nil"/>
              <w:right w:val="single" w:color="auto" w:sz="4" w:space="0"/>
            </w:tcBorders>
            <w:vAlign w:val="center"/>
          </w:tcPr>
          <w:p w14:paraId="6AC7B6BF">
            <w:pPr>
              <w:jc w:val="center"/>
              <w:rPr>
                <w:rFonts w:hint="eastAsia" w:ascii="宋体" w:hAnsi="宋体"/>
                <w:color w:val="auto"/>
                <w:szCs w:val="21"/>
                <w:highlight w:val="none"/>
              </w:rPr>
            </w:pPr>
          </w:p>
        </w:tc>
        <w:tc>
          <w:tcPr>
            <w:tcW w:w="890" w:type="dxa"/>
            <w:tcBorders>
              <w:top w:val="single" w:color="auto" w:sz="4" w:space="0"/>
              <w:left w:val="single" w:color="auto" w:sz="4" w:space="0"/>
              <w:bottom w:val="nil"/>
            </w:tcBorders>
            <w:vAlign w:val="center"/>
          </w:tcPr>
          <w:p w14:paraId="2A69DEF9">
            <w:pPr>
              <w:jc w:val="center"/>
              <w:rPr>
                <w:rFonts w:hint="eastAsia" w:ascii="宋体" w:hAnsi="宋体"/>
                <w:color w:val="auto"/>
                <w:szCs w:val="21"/>
                <w:highlight w:val="none"/>
              </w:rPr>
            </w:pPr>
          </w:p>
        </w:tc>
        <w:tc>
          <w:tcPr>
            <w:tcW w:w="2587" w:type="dxa"/>
            <w:tcBorders>
              <w:top w:val="single" w:color="auto" w:sz="4" w:space="0"/>
              <w:bottom w:val="nil"/>
            </w:tcBorders>
            <w:vAlign w:val="center"/>
          </w:tcPr>
          <w:p w14:paraId="5B227AA4">
            <w:pPr>
              <w:pStyle w:val="75"/>
              <w:keepNext w:val="0"/>
              <w:adjustRightInd/>
              <w:spacing w:before="0" w:after="0" w:line="240" w:lineRule="auto"/>
              <w:textAlignment w:val="auto"/>
              <w:rPr>
                <w:rFonts w:hint="eastAsia" w:ascii="宋体" w:hAnsi="宋体"/>
                <w:snapToGrid/>
                <w:color w:val="auto"/>
                <w:spacing w:val="0"/>
                <w:kern w:val="2"/>
                <w:sz w:val="21"/>
                <w:szCs w:val="21"/>
                <w:highlight w:val="none"/>
              </w:rPr>
            </w:pPr>
          </w:p>
        </w:tc>
        <w:tc>
          <w:tcPr>
            <w:tcW w:w="714" w:type="dxa"/>
            <w:tcBorders>
              <w:top w:val="single" w:color="auto" w:sz="4" w:space="0"/>
              <w:bottom w:val="nil"/>
            </w:tcBorders>
            <w:vAlign w:val="center"/>
          </w:tcPr>
          <w:p w14:paraId="1CCE157D">
            <w:pPr>
              <w:jc w:val="center"/>
              <w:rPr>
                <w:rFonts w:hint="eastAsia" w:ascii="宋体" w:hAnsi="宋体"/>
                <w:color w:val="auto"/>
                <w:szCs w:val="21"/>
                <w:highlight w:val="none"/>
              </w:rPr>
            </w:pPr>
          </w:p>
        </w:tc>
        <w:tc>
          <w:tcPr>
            <w:tcW w:w="714" w:type="dxa"/>
            <w:tcBorders>
              <w:top w:val="single" w:color="auto" w:sz="4" w:space="0"/>
              <w:bottom w:val="nil"/>
              <w:right w:val="single" w:color="auto" w:sz="4" w:space="0"/>
            </w:tcBorders>
            <w:vAlign w:val="center"/>
          </w:tcPr>
          <w:p w14:paraId="74FCAA9B">
            <w:pPr>
              <w:ind w:firstLine="12"/>
              <w:jc w:val="center"/>
              <w:rPr>
                <w:rFonts w:hint="eastAsia" w:ascii="宋体" w:hAnsi="宋体"/>
                <w:color w:val="auto"/>
                <w:szCs w:val="21"/>
                <w:highlight w:val="none"/>
              </w:rPr>
            </w:pPr>
          </w:p>
        </w:tc>
        <w:tc>
          <w:tcPr>
            <w:tcW w:w="1597" w:type="dxa"/>
            <w:tcBorders>
              <w:top w:val="single" w:color="auto" w:sz="4" w:space="0"/>
              <w:bottom w:val="nil"/>
              <w:right w:val="single" w:color="auto" w:sz="4" w:space="0"/>
            </w:tcBorders>
            <w:vAlign w:val="center"/>
          </w:tcPr>
          <w:p w14:paraId="7FDE12B7">
            <w:pPr>
              <w:ind w:firstLine="12"/>
              <w:jc w:val="center"/>
              <w:rPr>
                <w:rFonts w:hint="eastAsia" w:ascii="宋体" w:hAnsi="宋体"/>
                <w:color w:val="auto"/>
                <w:szCs w:val="21"/>
                <w:highlight w:val="none"/>
              </w:rPr>
            </w:pPr>
          </w:p>
        </w:tc>
      </w:tr>
      <w:tr w14:paraId="1DFA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trPr>
        <w:tc>
          <w:tcPr>
            <w:tcW w:w="1538" w:type="dxa"/>
            <w:vMerge w:val="restart"/>
            <w:tcBorders>
              <w:left w:val="single" w:color="auto" w:sz="4" w:space="0"/>
              <w:right w:val="single" w:color="auto" w:sz="4" w:space="0"/>
            </w:tcBorders>
            <w:vAlign w:val="center"/>
          </w:tcPr>
          <w:p w14:paraId="00F91FEB">
            <w:pPr>
              <w:rPr>
                <w:rFonts w:hint="eastAsia" w:ascii="宋体" w:hAnsi="宋体"/>
                <w:color w:val="auto"/>
                <w:szCs w:val="21"/>
                <w:highlight w:val="none"/>
              </w:rPr>
            </w:pPr>
            <w:r>
              <w:rPr>
                <w:rFonts w:hint="eastAsia" w:ascii="宋体" w:hAnsi="宋体"/>
                <w:color w:val="auto"/>
                <w:szCs w:val="21"/>
                <w:highlight w:val="none"/>
              </w:rPr>
              <w:t>其他主要技术人员</w:t>
            </w:r>
          </w:p>
        </w:tc>
        <w:tc>
          <w:tcPr>
            <w:tcW w:w="1423" w:type="dxa"/>
            <w:tcBorders>
              <w:left w:val="single" w:color="auto" w:sz="4" w:space="0"/>
              <w:right w:val="single" w:color="auto" w:sz="4" w:space="0"/>
            </w:tcBorders>
            <w:vAlign w:val="center"/>
          </w:tcPr>
          <w:p w14:paraId="0053C716">
            <w:pPr>
              <w:jc w:val="center"/>
              <w:rPr>
                <w:rFonts w:hint="eastAsia" w:ascii="宋体" w:hAnsi="宋体"/>
                <w:color w:val="auto"/>
                <w:szCs w:val="21"/>
                <w:highlight w:val="none"/>
              </w:rPr>
            </w:pPr>
          </w:p>
        </w:tc>
        <w:tc>
          <w:tcPr>
            <w:tcW w:w="890" w:type="dxa"/>
            <w:tcBorders>
              <w:left w:val="single" w:color="auto" w:sz="4" w:space="0"/>
            </w:tcBorders>
            <w:vAlign w:val="center"/>
          </w:tcPr>
          <w:p w14:paraId="1A969C54">
            <w:pPr>
              <w:jc w:val="center"/>
              <w:rPr>
                <w:rFonts w:hint="eastAsia" w:ascii="宋体" w:hAnsi="宋体"/>
                <w:color w:val="auto"/>
                <w:szCs w:val="21"/>
                <w:highlight w:val="none"/>
              </w:rPr>
            </w:pPr>
          </w:p>
        </w:tc>
        <w:tc>
          <w:tcPr>
            <w:tcW w:w="2587" w:type="dxa"/>
            <w:vAlign w:val="center"/>
          </w:tcPr>
          <w:p w14:paraId="5DB5BC00">
            <w:pPr>
              <w:jc w:val="center"/>
              <w:rPr>
                <w:rFonts w:hint="eastAsia" w:ascii="宋体" w:hAnsi="宋体"/>
                <w:color w:val="auto"/>
                <w:szCs w:val="21"/>
                <w:highlight w:val="none"/>
              </w:rPr>
            </w:pPr>
          </w:p>
        </w:tc>
        <w:tc>
          <w:tcPr>
            <w:tcW w:w="714" w:type="dxa"/>
            <w:vAlign w:val="center"/>
          </w:tcPr>
          <w:p w14:paraId="3C376EE2">
            <w:pPr>
              <w:jc w:val="center"/>
              <w:rPr>
                <w:rFonts w:hint="eastAsia" w:ascii="宋体" w:hAnsi="宋体"/>
                <w:color w:val="auto"/>
                <w:szCs w:val="21"/>
                <w:highlight w:val="none"/>
              </w:rPr>
            </w:pPr>
          </w:p>
        </w:tc>
        <w:tc>
          <w:tcPr>
            <w:tcW w:w="714" w:type="dxa"/>
            <w:tcBorders>
              <w:right w:val="single" w:color="auto" w:sz="4" w:space="0"/>
            </w:tcBorders>
            <w:vAlign w:val="center"/>
          </w:tcPr>
          <w:p w14:paraId="6FB0DCCF">
            <w:pPr>
              <w:jc w:val="center"/>
              <w:rPr>
                <w:rFonts w:hint="eastAsia" w:ascii="宋体" w:hAnsi="宋体"/>
                <w:color w:val="auto"/>
                <w:szCs w:val="21"/>
                <w:highlight w:val="none"/>
              </w:rPr>
            </w:pPr>
          </w:p>
        </w:tc>
        <w:tc>
          <w:tcPr>
            <w:tcW w:w="1597" w:type="dxa"/>
            <w:tcBorders>
              <w:right w:val="single" w:color="auto" w:sz="4" w:space="0"/>
            </w:tcBorders>
            <w:vAlign w:val="center"/>
          </w:tcPr>
          <w:p w14:paraId="10671E6B">
            <w:pPr>
              <w:jc w:val="center"/>
              <w:rPr>
                <w:rFonts w:hint="eastAsia" w:ascii="宋体" w:hAnsi="宋体"/>
                <w:color w:val="auto"/>
                <w:szCs w:val="21"/>
                <w:highlight w:val="none"/>
              </w:rPr>
            </w:pPr>
          </w:p>
        </w:tc>
      </w:tr>
      <w:tr w14:paraId="0E6F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trPr>
        <w:tc>
          <w:tcPr>
            <w:tcW w:w="1538" w:type="dxa"/>
            <w:vMerge w:val="continue"/>
            <w:tcBorders>
              <w:left w:val="single" w:color="auto" w:sz="4" w:space="0"/>
              <w:right w:val="single" w:color="auto" w:sz="4" w:space="0"/>
            </w:tcBorders>
            <w:vAlign w:val="center"/>
          </w:tcPr>
          <w:p w14:paraId="7277C831">
            <w:pPr>
              <w:rPr>
                <w:rFonts w:hint="eastAsia" w:ascii="宋体" w:hAnsi="宋体"/>
                <w:color w:val="auto"/>
                <w:szCs w:val="21"/>
                <w:highlight w:val="none"/>
              </w:rPr>
            </w:pPr>
          </w:p>
        </w:tc>
        <w:tc>
          <w:tcPr>
            <w:tcW w:w="1423" w:type="dxa"/>
            <w:tcBorders>
              <w:left w:val="single" w:color="auto" w:sz="4" w:space="0"/>
              <w:right w:val="single" w:color="auto" w:sz="4" w:space="0"/>
            </w:tcBorders>
            <w:vAlign w:val="center"/>
          </w:tcPr>
          <w:p w14:paraId="77E6349E">
            <w:pPr>
              <w:jc w:val="center"/>
              <w:rPr>
                <w:rFonts w:hint="eastAsia" w:ascii="宋体" w:hAnsi="宋体"/>
                <w:color w:val="auto"/>
                <w:szCs w:val="21"/>
                <w:highlight w:val="none"/>
              </w:rPr>
            </w:pPr>
          </w:p>
        </w:tc>
        <w:tc>
          <w:tcPr>
            <w:tcW w:w="890" w:type="dxa"/>
            <w:tcBorders>
              <w:left w:val="single" w:color="auto" w:sz="4" w:space="0"/>
            </w:tcBorders>
            <w:vAlign w:val="center"/>
          </w:tcPr>
          <w:p w14:paraId="3F2F821D">
            <w:pPr>
              <w:jc w:val="center"/>
              <w:rPr>
                <w:rFonts w:hint="eastAsia" w:ascii="宋体" w:hAnsi="宋体"/>
                <w:color w:val="auto"/>
                <w:szCs w:val="21"/>
                <w:highlight w:val="none"/>
              </w:rPr>
            </w:pPr>
          </w:p>
        </w:tc>
        <w:tc>
          <w:tcPr>
            <w:tcW w:w="2587" w:type="dxa"/>
            <w:vAlign w:val="center"/>
          </w:tcPr>
          <w:p w14:paraId="17C245D8">
            <w:pPr>
              <w:jc w:val="center"/>
              <w:rPr>
                <w:rFonts w:hint="eastAsia" w:ascii="宋体" w:hAnsi="宋体"/>
                <w:color w:val="auto"/>
                <w:szCs w:val="21"/>
                <w:highlight w:val="none"/>
              </w:rPr>
            </w:pPr>
          </w:p>
        </w:tc>
        <w:tc>
          <w:tcPr>
            <w:tcW w:w="714" w:type="dxa"/>
            <w:vAlign w:val="center"/>
          </w:tcPr>
          <w:p w14:paraId="6F3E5506">
            <w:pPr>
              <w:jc w:val="center"/>
              <w:rPr>
                <w:rFonts w:hint="eastAsia" w:ascii="宋体" w:hAnsi="宋体"/>
                <w:color w:val="auto"/>
                <w:szCs w:val="21"/>
                <w:highlight w:val="none"/>
              </w:rPr>
            </w:pPr>
          </w:p>
        </w:tc>
        <w:tc>
          <w:tcPr>
            <w:tcW w:w="714" w:type="dxa"/>
            <w:tcBorders>
              <w:right w:val="single" w:color="auto" w:sz="4" w:space="0"/>
            </w:tcBorders>
            <w:vAlign w:val="center"/>
          </w:tcPr>
          <w:p w14:paraId="613F51A0">
            <w:pPr>
              <w:jc w:val="center"/>
              <w:rPr>
                <w:rFonts w:hint="eastAsia" w:ascii="宋体" w:hAnsi="宋体"/>
                <w:color w:val="auto"/>
                <w:szCs w:val="21"/>
                <w:highlight w:val="none"/>
              </w:rPr>
            </w:pPr>
          </w:p>
        </w:tc>
        <w:tc>
          <w:tcPr>
            <w:tcW w:w="1597" w:type="dxa"/>
            <w:tcBorders>
              <w:right w:val="single" w:color="auto" w:sz="4" w:space="0"/>
            </w:tcBorders>
            <w:vAlign w:val="center"/>
          </w:tcPr>
          <w:p w14:paraId="11CB78E9">
            <w:pPr>
              <w:jc w:val="center"/>
              <w:rPr>
                <w:rFonts w:hint="eastAsia" w:ascii="宋体" w:hAnsi="宋体"/>
                <w:color w:val="auto"/>
                <w:szCs w:val="21"/>
                <w:highlight w:val="none"/>
              </w:rPr>
            </w:pPr>
          </w:p>
        </w:tc>
      </w:tr>
      <w:tr w14:paraId="08D2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trPr>
        <w:tc>
          <w:tcPr>
            <w:tcW w:w="1538" w:type="dxa"/>
            <w:vMerge w:val="continue"/>
            <w:tcBorders>
              <w:left w:val="single" w:color="auto" w:sz="4" w:space="0"/>
              <w:right w:val="single" w:color="auto" w:sz="4" w:space="0"/>
            </w:tcBorders>
            <w:vAlign w:val="center"/>
          </w:tcPr>
          <w:p w14:paraId="0230BBD6">
            <w:pPr>
              <w:jc w:val="center"/>
              <w:rPr>
                <w:rFonts w:hint="eastAsia" w:ascii="宋体" w:hAnsi="宋体"/>
                <w:color w:val="auto"/>
                <w:szCs w:val="21"/>
                <w:highlight w:val="none"/>
              </w:rPr>
            </w:pPr>
          </w:p>
        </w:tc>
        <w:tc>
          <w:tcPr>
            <w:tcW w:w="1423" w:type="dxa"/>
            <w:tcBorders>
              <w:left w:val="single" w:color="auto" w:sz="4" w:space="0"/>
              <w:right w:val="single" w:color="auto" w:sz="4" w:space="0"/>
            </w:tcBorders>
            <w:vAlign w:val="center"/>
          </w:tcPr>
          <w:p w14:paraId="2064E868">
            <w:pPr>
              <w:jc w:val="center"/>
              <w:rPr>
                <w:rFonts w:hint="eastAsia" w:ascii="宋体" w:hAnsi="宋体"/>
                <w:color w:val="auto"/>
                <w:szCs w:val="21"/>
                <w:highlight w:val="none"/>
              </w:rPr>
            </w:pPr>
            <w:r>
              <w:rPr>
                <w:rFonts w:hint="eastAsia" w:ascii="宋体" w:hAnsi="宋体"/>
                <w:color w:val="auto"/>
                <w:szCs w:val="21"/>
                <w:highlight w:val="none"/>
              </w:rPr>
              <w:t>…</w:t>
            </w:r>
          </w:p>
        </w:tc>
        <w:tc>
          <w:tcPr>
            <w:tcW w:w="890" w:type="dxa"/>
            <w:tcBorders>
              <w:left w:val="single" w:color="auto" w:sz="4" w:space="0"/>
            </w:tcBorders>
            <w:vAlign w:val="center"/>
          </w:tcPr>
          <w:p w14:paraId="78B06F9F">
            <w:pPr>
              <w:jc w:val="center"/>
              <w:rPr>
                <w:rFonts w:hint="eastAsia" w:ascii="宋体" w:hAnsi="宋体"/>
                <w:color w:val="auto"/>
                <w:szCs w:val="21"/>
                <w:highlight w:val="none"/>
              </w:rPr>
            </w:pPr>
          </w:p>
        </w:tc>
        <w:tc>
          <w:tcPr>
            <w:tcW w:w="2587" w:type="dxa"/>
            <w:vAlign w:val="center"/>
          </w:tcPr>
          <w:p w14:paraId="53D83CEF">
            <w:pPr>
              <w:jc w:val="center"/>
              <w:rPr>
                <w:rFonts w:hint="eastAsia" w:ascii="宋体" w:hAnsi="宋体"/>
                <w:color w:val="auto"/>
                <w:szCs w:val="21"/>
                <w:highlight w:val="none"/>
              </w:rPr>
            </w:pPr>
          </w:p>
        </w:tc>
        <w:tc>
          <w:tcPr>
            <w:tcW w:w="714" w:type="dxa"/>
            <w:vAlign w:val="center"/>
          </w:tcPr>
          <w:p w14:paraId="4E8D2EFD">
            <w:pPr>
              <w:jc w:val="center"/>
              <w:rPr>
                <w:rFonts w:hint="eastAsia" w:ascii="宋体" w:hAnsi="宋体"/>
                <w:color w:val="auto"/>
                <w:szCs w:val="21"/>
                <w:highlight w:val="none"/>
              </w:rPr>
            </w:pPr>
          </w:p>
        </w:tc>
        <w:tc>
          <w:tcPr>
            <w:tcW w:w="714" w:type="dxa"/>
            <w:tcBorders>
              <w:right w:val="single" w:color="auto" w:sz="4" w:space="0"/>
            </w:tcBorders>
            <w:vAlign w:val="center"/>
          </w:tcPr>
          <w:p w14:paraId="171A2D76">
            <w:pPr>
              <w:jc w:val="center"/>
              <w:rPr>
                <w:rFonts w:hint="eastAsia" w:ascii="宋体" w:hAnsi="宋体"/>
                <w:color w:val="auto"/>
                <w:szCs w:val="21"/>
                <w:highlight w:val="none"/>
              </w:rPr>
            </w:pPr>
          </w:p>
        </w:tc>
        <w:tc>
          <w:tcPr>
            <w:tcW w:w="1597" w:type="dxa"/>
            <w:tcBorders>
              <w:right w:val="single" w:color="auto" w:sz="4" w:space="0"/>
            </w:tcBorders>
            <w:vAlign w:val="center"/>
          </w:tcPr>
          <w:p w14:paraId="454001F5">
            <w:pPr>
              <w:jc w:val="center"/>
              <w:rPr>
                <w:rFonts w:hint="eastAsia" w:ascii="宋体" w:hAnsi="宋体"/>
                <w:color w:val="auto"/>
                <w:szCs w:val="21"/>
                <w:highlight w:val="none"/>
              </w:rPr>
            </w:pPr>
          </w:p>
        </w:tc>
      </w:tr>
    </w:tbl>
    <w:p w14:paraId="1B232700">
      <w:pPr>
        <w:tabs>
          <w:tab w:val="left" w:pos="540"/>
        </w:tabs>
        <w:rPr>
          <w:rFonts w:hint="eastAsia" w:ascii="宋体" w:hAnsi="宋体"/>
          <w:b/>
          <w:color w:val="auto"/>
          <w:sz w:val="18"/>
          <w:szCs w:val="18"/>
          <w:highlight w:val="none"/>
          <w:lang w:val="en-GB"/>
        </w:rPr>
      </w:pPr>
    </w:p>
    <w:p w14:paraId="798121F9">
      <w:pPr>
        <w:tabs>
          <w:tab w:val="left" w:pos="540"/>
        </w:tabs>
        <w:rPr>
          <w:rFonts w:hint="eastAsia" w:ascii="宋体" w:hAnsi="宋体"/>
          <w:b/>
          <w:color w:val="auto"/>
          <w:sz w:val="24"/>
          <w:highlight w:val="none"/>
        </w:rPr>
      </w:pPr>
      <w:r>
        <w:rPr>
          <w:rFonts w:hint="eastAsia" w:ascii="宋体" w:hAnsi="宋体"/>
          <w:b/>
          <w:color w:val="auto"/>
          <w:sz w:val="24"/>
          <w:highlight w:val="none"/>
        </w:rPr>
        <w:t>三</w:t>
      </w:r>
      <w:r>
        <w:rPr>
          <w:rFonts w:hint="eastAsia" w:ascii="宋体" w:hAnsi="宋体"/>
          <w:b/>
          <w:color w:val="auto"/>
          <w:sz w:val="24"/>
          <w:highlight w:val="none"/>
          <w:lang w:val="en-GB"/>
        </w:rPr>
        <w:t>、</w:t>
      </w:r>
      <w:r>
        <w:rPr>
          <w:rFonts w:hint="eastAsia" w:ascii="宋体" w:hAnsi="宋体"/>
          <w:b/>
          <w:color w:val="auto"/>
          <w:sz w:val="24"/>
          <w:highlight w:val="none"/>
        </w:rPr>
        <w:t>履约进度计划表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01"/>
        <w:gridCol w:w="3217"/>
        <w:gridCol w:w="2589"/>
      </w:tblGrid>
      <w:tr w14:paraId="04A1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80" w:type="dxa"/>
            <w:shd w:val="clear" w:color="auto" w:fill="F3F3F3"/>
            <w:vAlign w:val="center"/>
          </w:tcPr>
          <w:p w14:paraId="0BA9326B">
            <w:pPr>
              <w:tabs>
                <w:tab w:val="left" w:pos="540"/>
              </w:tabs>
              <w:rPr>
                <w:rFonts w:hint="eastAsia" w:ascii="宋体" w:hAnsi="宋体"/>
                <w:b/>
                <w:color w:val="auto"/>
                <w:szCs w:val="21"/>
                <w:highlight w:val="none"/>
              </w:rPr>
            </w:pPr>
            <w:r>
              <w:rPr>
                <w:rFonts w:hint="eastAsia" w:ascii="宋体" w:hAnsi="宋体"/>
                <w:b/>
                <w:color w:val="auto"/>
                <w:szCs w:val="21"/>
                <w:highlight w:val="none"/>
              </w:rPr>
              <w:t>序号</w:t>
            </w:r>
          </w:p>
        </w:tc>
        <w:tc>
          <w:tcPr>
            <w:tcW w:w="2701" w:type="dxa"/>
            <w:shd w:val="clear" w:color="auto" w:fill="F3F3F3"/>
            <w:vAlign w:val="center"/>
          </w:tcPr>
          <w:p w14:paraId="0E75F95C">
            <w:pPr>
              <w:tabs>
                <w:tab w:val="left" w:pos="540"/>
              </w:tabs>
              <w:jc w:val="center"/>
              <w:rPr>
                <w:rFonts w:hint="eastAsia" w:ascii="宋体" w:hAnsi="宋体"/>
                <w:b/>
                <w:color w:val="auto"/>
                <w:szCs w:val="21"/>
                <w:highlight w:val="none"/>
              </w:rPr>
            </w:pPr>
            <w:r>
              <w:rPr>
                <w:rFonts w:hint="eastAsia" w:ascii="宋体" w:hAnsi="宋体"/>
                <w:b/>
                <w:color w:val="auto"/>
                <w:szCs w:val="21"/>
                <w:highlight w:val="none"/>
              </w:rPr>
              <w:t>拟定时间安排</w:t>
            </w:r>
          </w:p>
        </w:tc>
        <w:tc>
          <w:tcPr>
            <w:tcW w:w="3217" w:type="dxa"/>
            <w:shd w:val="clear" w:color="auto" w:fill="F3F3F3"/>
            <w:vAlign w:val="center"/>
          </w:tcPr>
          <w:p w14:paraId="3C063F79">
            <w:pPr>
              <w:tabs>
                <w:tab w:val="left" w:pos="540"/>
              </w:tabs>
              <w:jc w:val="center"/>
              <w:rPr>
                <w:rFonts w:hint="eastAsia" w:ascii="宋体" w:hAnsi="宋体"/>
                <w:b/>
                <w:color w:val="auto"/>
                <w:szCs w:val="21"/>
                <w:highlight w:val="none"/>
              </w:rPr>
            </w:pPr>
            <w:r>
              <w:rPr>
                <w:rFonts w:hint="eastAsia" w:ascii="宋体" w:hAnsi="宋体"/>
                <w:b/>
                <w:color w:val="auto"/>
                <w:szCs w:val="21"/>
                <w:highlight w:val="none"/>
              </w:rPr>
              <w:t>计划完成的工作内容</w:t>
            </w:r>
          </w:p>
        </w:tc>
        <w:tc>
          <w:tcPr>
            <w:tcW w:w="2589" w:type="dxa"/>
            <w:shd w:val="clear" w:color="auto" w:fill="F3F3F3"/>
            <w:vAlign w:val="center"/>
          </w:tcPr>
          <w:p w14:paraId="62B083FF">
            <w:pPr>
              <w:tabs>
                <w:tab w:val="left" w:pos="540"/>
              </w:tabs>
              <w:jc w:val="center"/>
              <w:rPr>
                <w:rFonts w:hint="eastAsia" w:ascii="宋体" w:hAnsi="宋体"/>
                <w:b/>
                <w:color w:val="auto"/>
                <w:szCs w:val="21"/>
                <w:highlight w:val="none"/>
              </w:rPr>
            </w:pPr>
            <w:r>
              <w:rPr>
                <w:rFonts w:hint="eastAsia" w:ascii="宋体" w:hAnsi="宋体"/>
                <w:b/>
                <w:color w:val="auto"/>
                <w:szCs w:val="21"/>
                <w:highlight w:val="none"/>
              </w:rPr>
              <w:t>实施方建议或要求</w:t>
            </w:r>
          </w:p>
        </w:tc>
      </w:tr>
      <w:tr w14:paraId="2F61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5C02396E">
            <w:pPr>
              <w:numPr>
                <w:ilvl w:val="0"/>
                <w:numId w:val="7"/>
              </w:numPr>
              <w:jc w:val="center"/>
              <w:rPr>
                <w:rFonts w:hint="eastAsia" w:ascii="宋体" w:hAnsi="宋体"/>
                <w:color w:val="auto"/>
                <w:szCs w:val="21"/>
                <w:highlight w:val="none"/>
              </w:rPr>
            </w:pPr>
          </w:p>
        </w:tc>
        <w:tc>
          <w:tcPr>
            <w:tcW w:w="2701" w:type="dxa"/>
            <w:vAlign w:val="center"/>
          </w:tcPr>
          <w:p w14:paraId="3E16142A">
            <w:pPr>
              <w:tabs>
                <w:tab w:val="left" w:pos="540"/>
              </w:tabs>
              <w:jc w:val="center"/>
              <w:rPr>
                <w:rFonts w:hint="eastAsia" w:ascii="宋体" w:hAnsi="宋体"/>
                <w:color w:val="auto"/>
                <w:szCs w:val="21"/>
                <w:highlight w:val="none"/>
              </w:rPr>
            </w:pPr>
            <w:r>
              <w:rPr>
                <w:rFonts w:hint="eastAsia" w:ascii="宋体" w:hAnsi="宋体"/>
                <w:color w:val="auto"/>
                <w:szCs w:val="21"/>
                <w:highlight w:val="none"/>
              </w:rPr>
              <w:t>拟定  年  月   日</w:t>
            </w:r>
          </w:p>
        </w:tc>
        <w:tc>
          <w:tcPr>
            <w:tcW w:w="3217" w:type="dxa"/>
            <w:vAlign w:val="center"/>
          </w:tcPr>
          <w:p w14:paraId="66153BF3">
            <w:pPr>
              <w:tabs>
                <w:tab w:val="left" w:pos="540"/>
              </w:tabs>
              <w:jc w:val="center"/>
              <w:rPr>
                <w:rFonts w:hint="eastAsia" w:ascii="宋体" w:hAnsi="宋体"/>
                <w:color w:val="auto"/>
                <w:szCs w:val="21"/>
                <w:highlight w:val="none"/>
              </w:rPr>
            </w:pPr>
            <w:r>
              <w:rPr>
                <w:rFonts w:hint="eastAsia" w:ascii="宋体" w:hAnsi="宋体"/>
                <w:color w:val="auto"/>
                <w:szCs w:val="21"/>
                <w:highlight w:val="none"/>
              </w:rPr>
              <w:t>签定合同并生效</w:t>
            </w:r>
          </w:p>
        </w:tc>
        <w:tc>
          <w:tcPr>
            <w:tcW w:w="2589" w:type="dxa"/>
            <w:vAlign w:val="center"/>
          </w:tcPr>
          <w:p w14:paraId="0E6FF892">
            <w:pPr>
              <w:tabs>
                <w:tab w:val="left" w:pos="540"/>
              </w:tabs>
              <w:jc w:val="center"/>
              <w:rPr>
                <w:rFonts w:hint="eastAsia" w:ascii="宋体" w:hAnsi="宋体"/>
                <w:color w:val="auto"/>
                <w:szCs w:val="21"/>
                <w:highlight w:val="none"/>
              </w:rPr>
            </w:pPr>
          </w:p>
        </w:tc>
      </w:tr>
      <w:tr w14:paraId="4EA8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6D91280A">
            <w:pPr>
              <w:numPr>
                <w:ilvl w:val="0"/>
                <w:numId w:val="7"/>
              </w:numPr>
              <w:jc w:val="center"/>
              <w:rPr>
                <w:rFonts w:hint="eastAsia" w:ascii="宋体" w:hAnsi="宋体"/>
                <w:color w:val="auto"/>
                <w:szCs w:val="21"/>
                <w:highlight w:val="none"/>
              </w:rPr>
            </w:pPr>
          </w:p>
        </w:tc>
        <w:tc>
          <w:tcPr>
            <w:tcW w:w="2701" w:type="dxa"/>
            <w:vAlign w:val="center"/>
          </w:tcPr>
          <w:p w14:paraId="1CA03530">
            <w:pPr>
              <w:tabs>
                <w:tab w:val="left" w:pos="540"/>
              </w:tabs>
              <w:jc w:val="center"/>
              <w:rPr>
                <w:rFonts w:hint="eastAsia" w:ascii="宋体" w:hAnsi="宋体"/>
                <w:color w:val="auto"/>
                <w:szCs w:val="21"/>
                <w:highlight w:val="none"/>
              </w:rPr>
            </w:pPr>
            <w:r>
              <w:rPr>
                <w:rFonts w:hint="eastAsia" w:ascii="宋体" w:hAnsi="宋体"/>
                <w:color w:val="auto"/>
                <w:szCs w:val="21"/>
                <w:highlight w:val="none"/>
              </w:rPr>
              <w:t>月   日—   月   日</w:t>
            </w:r>
          </w:p>
        </w:tc>
        <w:tc>
          <w:tcPr>
            <w:tcW w:w="3217" w:type="dxa"/>
            <w:vAlign w:val="center"/>
          </w:tcPr>
          <w:p w14:paraId="32E2A51A">
            <w:pPr>
              <w:tabs>
                <w:tab w:val="left" w:pos="540"/>
              </w:tabs>
              <w:jc w:val="center"/>
              <w:rPr>
                <w:rFonts w:hint="eastAsia" w:ascii="宋体" w:hAnsi="宋体"/>
                <w:color w:val="auto"/>
                <w:szCs w:val="21"/>
                <w:highlight w:val="none"/>
              </w:rPr>
            </w:pPr>
          </w:p>
        </w:tc>
        <w:tc>
          <w:tcPr>
            <w:tcW w:w="2589" w:type="dxa"/>
            <w:vAlign w:val="center"/>
          </w:tcPr>
          <w:p w14:paraId="0E5C8C77">
            <w:pPr>
              <w:tabs>
                <w:tab w:val="left" w:pos="540"/>
              </w:tabs>
              <w:jc w:val="center"/>
              <w:rPr>
                <w:rFonts w:hint="eastAsia" w:ascii="宋体" w:hAnsi="宋体"/>
                <w:color w:val="auto"/>
                <w:szCs w:val="21"/>
                <w:highlight w:val="none"/>
              </w:rPr>
            </w:pPr>
          </w:p>
        </w:tc>
      </w:tr>
      <w:tr w14:paraId="294B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482D6B59">
            <w:pPr>
              <w:numPr>
                <w:ilvl w:val="0"/>
                <w:numId w:val="7"/>
              </w:numPr>
              <w:jc w:val="center"/>
              <w:rPr>
                <w:rFonts w:hint="eastAsia" w:ascii="宋体" w:hAnsi="宋体"/>
                <w:color w:val="auto"/>
                <w:szCs w:val="21"/>
                <w:highlight w:val="none"/>
              </w:rPr>
            </w:pPr>
          </w:p>
        </w:tc>
        <w:tc>
          <w:tcPr>
            <w:tcW w:w="2701" w:type="dxa"/>
            <w:vAlign w:val="center"/>
          </w:tcPr>
          <w:p w14:paraId="18C5D027">
            <w:pPr>
              <w:tabs>
                <w:tab w:val="left" w:pos="540"/>
              </w:tabs>
              <w:jc w:val="center"/>
              <w:rPr>
                <w:rFonts w:hint="eastAsia" w:ascii="宋体" w:hAnsi="宋体"/>
                <w:color w:val="auto"/>
                <w:szCs w:val="21"/>
                <w:highlight w:val="none"/>
              </w:rPr>
            </w:pPr>
            <w:r>
              <w:rPr>
                <w:rFonts w:hint="eastAsia" w:ascii="宋体" w:hAnsi="宋体"/>
                <w:color w:val="auto"/>
                <w:szCs w:val="21"/>
                <w:highlight w:val="none"/>
              </w:rPr>
              <w:t>月   日—   月   日</w:t>
            </w:r>
          </w:p>
        </w:tc>
        <w:tc>
          <w:tcPr>
            <w:tcW w:w="3217" w:type="dxa"/>
            <w:vAlign w:val="center"/>
          </w:tcPr>
          <w:p w14:paraId="6A1E32F6">
            <w:pPr>
              <w:tabs>
                <w:tab w:val="left" w:pos="540"/>
              </w:tabs>
              <w:jc w:val="center"/>
              <w:rPr>
                <w:rFonts w:hint="eastAsia" w:ascii="宋体" w:hAnsi="宋体"/>
                <w:color w:val="auto"/>
                <w:szCs w:val="21"/>
                <w:highlight w:val="none"/>
              </w:rPr>
            </w:pPr>
          </w:p>
        </w:tc>
        <w:tc>
          <w:tcPr>
            <w:tcW w:w="2589" w:type="dxa"/>
            <w:vAlign w:val="center"/>
          </w:tcPr>
          <w:p w14:paraId="3D0BEE60">
            <w:pPr>
              <w:tabs>
                <w:tab w:val="left" w:pos="540"/>
              </w:tabs>
              <w:jc w:val="center"/>
              <w:rPr>
                <w:rFonts w:hint="eastAsia" w:ascii="宋体" w:hAnsi="宋体"/>
                <w:color w:val="auto"/>
                <w:szCs w:val="21"/>
                <w:highlight w:val="none"/>
              </w:rPr>
            </w:pPr>
          </w:p>
        </w:tc>
      </w:tr>
    </w:tbl>
    <w:p w14:paraId="058A25B8">
      <w:pPr>
        <w:tabs>
          <w:tab w:val="left" w:pos="540"/>
        </w:tabs>
        <w:rPr>
          <w:rFonts w:hint="eastAsia" w:ascii="宋体" w:hAnsi="宋体"/>
          <w:b/>
          <w:color w:val="auto"/>
          <w:sz w:val="18"/>
          <w:szCs w:val="18"/>
          <w:highlight w:val="none"/>
          <w:lang w:val="en-GB"/>
        </w:rPr>
      </w:pPr>
    </w:p>
    <w:p w14:paraId="47202114">
      <w:pPr>
        <w:tabs>
          <w:tab w:val="left" w:pos="540"/>
        </w:tabs>
        <w:rPr>
          <w:rFonts w:hint="eastAsia" w:ascii="宋体" w:hAnsi="宋体"/>
          <w:b/>
          <w:color w:val="auto"/>
          <w:sz w:val="24"/>
          <w:szCs w:val="18"/>
          <w:highlight w:val="none"/>
        </w:rPr>
      </w:pPr>
      <w:r>
        <w:rPr>
          <w:rFonts w:hint="eastAsia" w:ascii="宋体" w:hAnsi="宋体"/>
          <w:b/>
          <w:color w:val="auto"/>
          <w:sz w:val="24"/>
          <w:highlight w:val="none"/>
        </w:rPr>
        <w:t>四</w:t>
      </w:r>
      <w:r>
        <w:rPr>
          <w:rFonts w:hint="eastAsia" w:ascii="宋体" w:hAnsi="宋体"/>
          <w:b/>
          <w:color w:val="auto"/>
          <w:sz w:val="24"/>
          <w:highlight w:val="none"/>
          <w:lang w:val="en-GB"/>
        </w:rPr>
        <w:t>、</w:t>
      </w:r>
      <w:r>
        <w:rPr>
          <w:rFonts w:hint="eastAsia" w:ascii="宋体" w:hAnsi="宋体"/>
          <w:b/>
          <w:color w:val="auto"/>
          <w:sz w:val="24"/>
          <w:highlight w:val="none"/>
        </w:rPr>
        <w:t>规章管理制度一览表</w:t>
      </w:r>
      <w:r>
        <w:rPr>
          <w:rFonts w:hint="eastAsia" w:ascii="宋体" w:hAnsi="宋体"/>
          <w:color w:val="auto"/>
          <w:sz w:val="24"/>
          <w:highlight w:val="none"/>
        </w:rPr>
        <w:t>（</w:t>
      </w:r>
      <w:r>
        <w:rPr>
          <w:rFonts w:hint="eastAsia" w:ascii="宋体" w:hAnsi="宋体"/>
          <w:color w:val="auto"/>
          <w:szCs w:val="21"/>
          <w:highlight w:val="none"/>
          <w:lang w:val="en-GB"/>
        </w:rPr>
        <w:t>所列制度均为目前仍在执行的制度，包括质量保证体系和操作管理制度等</w:t>
      </w:r>
      <w:r>
        <w:rPr>
          <w:rFonts w:hint="eastAsia" w:ascii="宋体" w:hAnsi="宋体"/>
          <w:color w:val="auto"/>
          <w:sz w:val="24"/>
          <w:highlight w:val="none"/>
        </w:rPr>
        <w:t>）</w:t>
      </w:r>
    </w:p>
    <w:tbl>
      <w:tblPr>
        <w:tblStyle w:val="37"/>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14:paraId="7241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03" w:type="dxa"/>
            <w:vAlign w:val="center"/>
          </w:tcPr>
          <w:p w14:paraId="0F1430F5">
            <w:pPr>
              <w:jc w:val="center"/>
              <w:rPr>
                <w:rFonts w:hint="eastAsia" w:ascii="宋体" w:hAnsi="宋体"/>
                <w:b/>
                <w:color w:val="auto"/>
                <w:szCs w:val="21"/>
                <w:highlight w:val="none"/>
              </w:rPr>
            </w:pPr>
            <w:r>
              <w:rPr>
                <w:rFonts w:hint="eastAsia" w:ascii="宋体" w:hAnsi="宋体"/>
                <w:b/>
                <w:color w:val="auto"/>
                <w:szCs w:val="21"/>
                <w:highlight w:val="none"/>
              </w:rPr>
              <w:t>序 号</w:t>
            </w:r>
          </w:p>
        </w:tc>
        <w:tc>
          <w:tcPr>
            <w:tcW w:w="4487" w:type="dxa"/>
            <w:vAlign w:val="center"/>
          </w:tcPr>
          <w:p w14:paraId="2BC0ACEC">
            <w:pPr>
              <w:jc w:val="center"/>
              <w:rPr>
                <w:rFonts w:hint="eastAsia" w:ascii="宋体" w:hAnsi="宋体"/>
                <w:b/>
                <w:color w:val="auto"/>
                <w:szCs w:val="21"/>
                <w:highlight w:val="none"/>
              </w:rPr>
            </w:pPr>
            <w:r>
              <w:rPr>
                <w:rFonts w:hint="eastAsia" w:ascii="宋体" w:hAnsi="宋体"/>
                <w:b/>
                <w:color w:val="auto"/>
                <w:szCs w:val="21"/>
                <w:highlight w:val="none"/>
              </w:rPr>
              <w:t>相关规章管理制度名称</w:t>
            </w:r>
          </w:p>
        </w:tc>
        <w:tc>
          <w:tcPr>
            <w:tcW w:w="1801" w:type="dxa"/>
            <w:vAlign w:val="center"/>
          </w:tcPr>
          <w:p w14:paraId="490251CA">
            <w:pPr>
              <w:jc w:val="center"/>
              <w:rPr>
                <w:rFonts w:hint="eastAsia" w:ascii="宋体" w:hAnsi="宋体"/>
                <w:b/>
                <w:color w:val="auto"/>
                <w:szCs w:val="21"/>
                <w:highlight w:val="none"/>
              </w:rPr>
            </w:pPr>
            <w:r>
              <w:rPr>
                <w:rFonts w:hint="eastAsia" w:ascii="宋体" w:hAnsi="宋体"/>
                <w:b/>
                <w:color w:val="auto"/>
                <w:szCs w:val="21"/>
                <w:highlight w:val="none"/>
              </w:rPr>
              <w:t>开始执行时间</w:t>
            </w:r>
          </w:p>
        </w:tc>
        <w:tc>
          <w:tcPr>
            <w:tcW w:w="1359" w:type="dxa"/>
            <w:vAlign w:val="center"/>
          </w:tcPr>
          <w:p w14:paraId="540ED956">
            <w:pPr>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71AB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vAlign w:val="center"/>
          </w:tcPr>
          <w:p w14:paraId="0B601813">
            <w:pPr>
              <w:jc w:val="center"/>
              <w:rPr>
                <w:rFonts w:hint="eastAsia" w:ascii="宋体" w:hAnsi="宋体"/>
                <w:color w:val="auto"/>
                <w:szCs w:val="21"/>
                <w:highlight w:val="none"/>
              </w:rPr>
            </w:pPr>
            <w:r>
              <w:rPr>
                <w:rFonts w:hint="eastAsia" w:ascii="宋体" w:hAnsi="宋体"/>
                <w:color w:val="auto"/>
                <w:szCs w:val="21"/>
                <w:highlight w:val="none"/>
              </w:rPr>
              <w:t>1</w:t>
            </w:r>
          </w:p>
        </w:tc>
        <w:tc>
          <w:tcPr>
            <w:tcW w:w="4487" w:type="dxa"/>
            <w:vAlign w:val="center"/>
          </w:tcPr>
          <w:p w14:paraId="4312797A">
            <w:pPr>
              <w:jc w:val="center"/>
              <w:rPr>
                <w:rFonts w:hint="eastAsia" w:ascii="宋体" w:hAnsi="宋体"/>
                <w:color w:val="auto"/>
                <w:szCs w:val="21"/>
                <w:highlight w:val="none"/>
              </w:rPr>
            </w:pPr>
          </w:p>
        </w:tc>
        <w:tc>
          <w:tcPr>
            <w:tcW w:w="1801" w:type="dxa"/>
            <w:vAlign w:val="center"/>
          </w:tcPr>
          <w:p w14:paraId="3692BB01">
            <w:pPr>
              <w:jc w:val="center"/>
              <w:rPr>
                <w:rFonts w:hint="eastAsia" w:ascii="宋体" w:hAnsi="宋体"/>
                <w:color w:val="auto"/>
                <w:szCs w:val="21"/>
                <w:highlight w:val="none"/>
              </w:rPr>
            </w:pPr>
          </w:p>
        </w:tc>
        <w:tc>
          <w:tcPr>
            <w:tcW w:w="1359" w:type="dxa"/>
            <w:vAlign w:val="center"/>
          </w:tcPr>
          <w:p w14:paraId="2378C4F9">
            <w:pPr>
              <w:jc w:val="center"/>
              <w:rPr>
                <w:rFonts w:hint="eastAsia" w:ascii="宋体" w:hAnsi="宋体"/>
                <w:color w:val="auto"/>
                <w:szCs w:val="21"/>
                <w:highlight w:val="none"/>
              </w:rPr>
            </w:pPr>
          </w:p>
        </w:tc>
      </w:tr>
      <w:tr w14:paraId="47D0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3" w:type="dxa"/>
            <w:vAlign w:val="center"/>
          </w:tcPr>
          <w:p w14:paraId="5F2B4886">
            <w:pPr>
              <w:jc w:val="center"/>
              <w:rPr>
                <w:rFonts w:hint="eastAsia" w:ascii="宋体" w:hAnsi="宋体"/>
                <w:color w:val="auto"/>
                <w:szCs w:val="21"/>
                <w:highlight w:val="none"/>
              </w:rPr>
            </w:pPr>
            <w:r>
              <w:rPr>
                <w:rFonts w:hint="eastAsia" w:ascii="宋体" w:hAnsi="宋体"/>
                <w:color w:val="auto"/>
                <w:szCs w:val="21"/>
                <w:highlight w:val="none"/>
              </w:rPr>
              <w:t>2</w:t>
            </w:r>
          </w:p>
        </w:tc>
        <w:tc>
          <w:tcPr>
            <w:tcW w:w="4487" w:type="dxa"/>
            <w:vAlign w:val="center"/>
          </w:tcPr>
          <w:p w14:paraId="17AB86F5">
            <w:pPr>
              <w:jc w:val="center"/>
              <w:rPr>
                <w:rFonts w:hint="eastAsia" w:ascii="宋体" w:hAnsi="宋体"/>
                <w:color w:val="auto"/>
                <w:szCs w:val="21"/>
                <w:highlight w:val="none"/>
              </w:rPr>
            </w:pPr>
          </w:p>
        </w:tc>
        <w:tc>
          <w:tcPr>
            <w:tcW w:w="1801" w:type="dxa"/>
            <w:vAlign w:val="center"/>
          </w:tcPr>
          <w:p w14:paraId="5217C27D">
            <w:pPr>
              <w:jc w:val="center"/>
              <w:rPr>
                <w:rFonts w:hint="eastAsia" w:ascii="宋体" w:hAnsi="宋体"/>
                <w:color w:val="auto"/>
                <w:szCs w:val="21"/>
                <w:highlight w:val="none"/>
              </w:rPr>
            </w:pPr>
          </w:p>
        </w:tc>
        <w:tc>
          <w:tcPr>
            <w:tcW w:w="1359" w:type="dxa"/>
            <w:vAlign w:val="center"/>
          </w:tcPr>
          <w:p w14:paraId="0C9898E5">
            <w:pPr>
              <w:jc w:val="center"/>
              <w:rPr>
                <w:rFonts w:hint="eastAsia" w:ascii="宋体" w:hAnsi="宋体"/>
                <w:color w:val="auto"/>
                <w:szCs w:val="21"/>
                <w:highlight w:val="none"/>
              </w:rPr>
            </w:pPr>
          </w:p>
        </w:tc>
      </w:tr>
      <w:tr w14:paraId="0951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vAlign w:val="center"/>
          </w:tcPr>
          <w:p w14:paraId="61D732D4">
            <w:pPr>
              <w:jc w:val="center"/>
              <w:rPr>
                <w:rFonts w:hint="eastAsia" w:ascii="宋体" w:hAnsi="宋体"/>
                <w:color w:val="auto"/>
                <w:szCs w:val="21"/>
                <w:highlight w:val="none"/>
              </w:rPr>
            </w:pPr>
            <w:r>
              <w:rPr>
                <w:rFonts w:hint="eastAsia" w:ascii="宋体" w:hAnsi="宋体"/>
                <w:color w:val="auto"/>
                <w:szCs w:val="21"/>
                <w:highlight w:val="none"/>
              </w:rPr>
              <w:t>……</w:t>
            </w:r>
          </w:p>
        </w:tc>
        <w:tc>
          <w:tcPr>
            <w:tcW w:w="4487" w:type="dxa"/>
            <w:vAlign w:val="center"/>
          </w:tcPr>
          <w:p w14:paraId="1F9181EE">
            <w:pPr>
              <w:jc w:val="center"/>
              <w:rPr>
                <w:rFonts w:hint="eastAsia" w:ascii="宋体" w:hAnsi="宋体"/>
                <w:color w:val="auto"/>
                <w:szCs w:val="21"/>
                <w:highlight w:val="none"/>
              </w:rPr>
            </w:pPr>
          </w:p>
        </w:tc>
        <w:tc>
          <w:tcPr>
            <w:tcW w:w="1801" w:type="dxa"/>
            <w:vAlign w:val="center"/>
          </w:tcPr>
          <w:p w14:paraId="64DABBD3">
            <w:pPr>
              <w:jc w:val="center"/>
              <w:rPr>
                <w:rFonts w:hint="eastAsia" w:ascii="宋体" w:hAnsi="宋体"/>
                <w:color w:val="auto"/>
                <w:szCs w:val="21"/>
                <w:highlight w:val="none"/>
              </w:rPr>
            </w:pPr>
          </w:p>
        </w:tc>
        <w:tc>
          <w:tcPr>
            <w:tcW w:w="1359" w:type="dxa"/>
            <w:vAlign w:val="center"/>
          </w:tcPr>
          <w:p w14:paraId="0FC5369F">
            <w:pPr>
              <w:jc w:val="center"/>
              <w:rPr>
                <w:rFonts w:hint="eastAsia" w:ascii="宋体" w:hAnsi="宋体"/>
                <w:color w:val="auto"/>
                <w:szCs w:val="21"/>
                <w:highlight w:val="none"/>
              </w:rPr>
            </w:pPr>
          </w:p>
        </w:tc>
      </w:tr>
    </w:tbl>
    <w:p w14:paraId="55497066">
      <w:pPr>
        <w:tabs>
          <w:tab w:val="left" w:pos="540"/>
        </w:tabs>
        <w:rPr>
          <w:rFonts w:hint="eastAsia" w:ascii="宋体" w:hAnsi="宋体"/>
          <w:b/>
          <w:color w:val="auto"/>
          <w:sz w:val="24"/>
          <w:highlight w:val="none"/>
          <w:lang w:val="en-GB"/>
        </w:rPr>
      </w:pPr>
    </w:p>
    <w:p w14:paraId="70E2D5DC">
      <w:pPr>
        <w:tabs>
          <w:tab w:val="left" w:pos="540"/>
        </w:tabs>
        <w:rPr>
          <w:rFonts w:hint="eastAsia" w:ascii="宋体" w:hAnsi="宋体"/>
          <w:b/>
          <w:color w:val="auto"/>
          <w:sz w:val="24"/>
          <w:highlight w:val="none"/>
          <w:lang w:val="en-GB"/>
        </w:rPr>
      </w:pPr>
      <w:r>
        <w:rPr>
          <w:rFonts w:hint="eastAsia" w:ascii="宋体" w:hAnsi="宋体"/>
          <w:b/>
          <w:color w:val="auto"/>
          <w:sz w:val="24"/>
          <w:highlight w:val="none"/>
        </w:rPr>
        <w:t>五</w:t>
      </w:r>
      <w:r>
        <w:rPr>
          <w:rFonts w:hint="eastAsia" w:ascii="宋体" w:hAnsi="宋体"/>
          <w:b/>
          <w:color w:val="auto"/>
          <w:sz w:val="24"/>
          <w:highlight w:val="none"/>
          <w:lang w:val="en-GB"/>
        </w:rPr>
        <w:t>、其它重要事项说明及承诺(请扼要叙述)</w:t>
      </w:r>
    </w:p>
    <w:p w14:paraId="376C590E">
      <w:pPr>
        <w:tabs>
          <w:tab w:val="left" w:pos="540"/>
        </w:tabs>
        <w:rPr>
          <w:rFonts w:hint="eastAsia" w:ascii="宋体" w:hAnsi="宋体"/>
          <w:color w:val="auto"/>
          <w:szCs w:val="21"/>
          <w:highlight w:val="none"/>
        </w:rPr>
      </w:pPr>
    </w:p>
    <w:p w14:paraId="25A9BD7D">
      <w:pPr>
        <w:pStyle w:val="91"/>
        <w:outlineLvl w:val="0"/>
        <w:rPr>
          <w:rFonts w:hint="eastAsia" w:ascii="宋体" w:hAnsi="宋体"/>
          <w:b/>
          <w:color w:val="auto"/>
          <w:szCs w:val="24"/>
          <w:highlight w:val="none"/>
        </w:rPr>
      </w:pPr>
      <w:r>
        <w:rPr>
          <w:rFonts w:ascii="宋体" w:hAnsi="宋体"/>
          <w:b/>
          <w:color w:val="auto"/>
          <w:szCs w:val="24"/>
          <w:highlight w:val="none"/>
        </w:rPr>
        <w:br w:type="page"/>
      </w:r>
      <w:r>
        <w:rPr>
          <w:rFonts w:hint="eastAsia" w:ascii="宋体" w:hAnsi="宋体"/>
          <w:b/>
          <w:color w:val="auto"/>
          <w:szCs w:val="24"/>
          <w:highlight w:val="none"/>
        </w:rPr>
        <w:t>六、中标服务费承诺书（格式）</w:t>
      </w:r>
    </w:p>
    <w:p w14:paraId="58A241B0">
      <w:pPr>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国义招标股份有限公司：</w:t>
      </w:r>
    </w:p>
    <w:p w14:paraId="4545A123">
      <w:pPr>
        <w:adjustRightInd w:val="0"/>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公司在参加在贵司进行的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(项目编号：)招标中如获中标，我司保证在领取“中标通知书”前，按本项目投标人须知相关规定向贵司缴纳 “中标服务费”。</w:t>
      </w:r>
    </w:p>
    <w:p w14:paraId="6FE5B68D">
      <w:pPr>
        <w:adjustRightInd w:val="0"/>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如我方违约，愿凭贵方开出的违约通知，按上述承付金额的200%由采购人在支付我司的合同款中代为扣付。</w:t>
      </w:r>
    </w:p>
    <w:p w14:paraId="20C89AB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特此承诺。</w:t>
      </w:r>
    </w:p>
    <w:p w14:paraId="352ABCF7">
      <w:pPr>
        <w:rPr>
          <w:rFonts w:hint="eastAsia" w:ascii="宋体" w:hAnsi="宋体"/>
          <w:color w:val="auto"/>
          <w:szCs w:val="21"/>
          <w:highlight w:val="none"/>
        </w:rPr>
      </w:pPr>
      <w:r>
        <w:rPr>
          <w:rFonts w:hint="eastAsia" w:ascii="宋体" w:hAnsi="宋体"/>
          <w:color w:val="auto"/>
          <w:szCs w:val="21"/>
          <w:highlight w:val="none"/>
        </w:rPr>
        <w:t>另关于我司缴纳中标服务费后开具中标服务费发票的事宜，我司声明如下：</w:t>
      </w:r>
    </w:p>
    <w:p w14:paraId="6076C561">
      <w:pPr>
        <w:rPr>
          <w:rFonts w:hint="eastAsia" w:ascii="宋体" w:hAnsi="宋体"/>
          <w:color w:val="auto"/>
          <w:szCs w:val="21"/>
          <w:highlight w:val="none"/>
        </w:rPr>
      </w:pPr>
      <w:r>
        <w:rPr>
          <w:rFonts w:hint="eastAsia" w:ascii="宋体" w:hAnsi="宋体"/>
          <w:b/>
          <w:color w:val="auto"/>
          <w:szCs w:val="21"/>
          <w:highlight w:val="none"/>
        </w:rPr>
        <w:t>A：</w:t>
      </w:r>
      <w:r>
        <w:rPr>
          <w:rFonts w:hint="eastAsia" w:ascii="宋体" w:hAnsi="宋体"/>
          <w:color w:val="auto"/>
          <w:szCs w:val="21"/>
          <w:highlight w:val="none"/>
        </w:rPr>
        <w:t>如需开具</w:t>
      </w:r>
      <w:r>
        <w:rPr>
          <w:rFonts w:hint="eastAsia" w:ascii="宋体" w:hAnsi="宋体"/>
          <w:b/>
          <w:color w:val="auto"/>
          <w:szCs w:val="21"/>
          <w:highlight w:val="none"/>
          <w:u w:val="single"/>
        </w:rPr>
        <w:t>增值税普通发票</w:t>
      </w:r>
      <w:r>
        <w:rPr>
          <w:rFonts w:hint="eastAsia" w:ascii="宋体" w:hAnsi="宋体"/>
          <w:color w:val="auto"/>
          <w:szCs w:val="21"/>
          <w:highlight w:val="none"/>
        </w:rPr>
        <w:t>，请于下方（ ）打“√”</w:t>
      </w:r>
    </w:p>
    <w:p w14:paraId="67E8D406">
      <w:pPr>
        <w:rPr>
          <w:rFonts w:hint="eastAsia" w:ascii="宋体" w:hAnsi="宋体"/>
          <w:color w:val="auto"/>
          <w:szCs w:val="21"/>
          <w:highlight w:val="none"/>
        </w:rPr>
      </w:pPr>
      <w:r>
        <w:rPr>
          <w:rFonts w:hint="eastAsia" w:ascii="宋体" w:hAnsi="宋体"/>
          <w:color w:val="auto"/>
          <w:szCs w:val="21"/>
          <w:highlight w:val="none"/>
        </w:rPr>
        <w:t>（    ）请向我司开具中标费的“</w:t>
      </w:r>
      <w:r>
        <w:rPr>
          <w:rFonts w:hint="eastAsia" w:ascii="宋体" w:hAnsi="宋体"/>
          <w:b/>
          <w:color w:val="auto"/>
          <w:szCs w:val="21"/>
          <w:highlight w:val="none"/>
          <w:u w:val="single"/>
        </w:rPr>
        <w:t>增值税普通发票</w:t>
      </w:r>
      <w:r>
        <w:rPr>
          <w:rFonts w:hint="eastAsia" w:ascii="宋体" w:hAnsi="宋体"/>
          <w:b/>
          <w:color w:val="auto"/>
          <w:szCs w:val="21"/>
          <w:highlight w:val="none"/>
        </w:rPr>
        <w:t>”</w:t>
      </w:r>
      <w:r>
        <w:rPr>
          <w:rFonts w:hint="eastAsia" w:ascii="宋体" w:hAnsi="宋体"/>
          <w:color w:val="auto"/>
          <w:szCs w:val="21"/>
          <w:highlight w:val="none"/>
        </w:rPr>
        <w:t>，开票信息如下：</w:t>
      </w:r>
    </w:p>
    <w:p w14:paraId="28FA01C2">
      <w:pPr>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我司工商注册名称为：；</w:t>
      </w:r>
    </w:p>
    <w:p w14:paraId="7612C15B">
      <w:pPr>
        <w:rPr>
          <w:rFonts w:hint="eastAsia" w:ascii="宋体" w:hAnsi="宋体"/>
          <w:color w:val="auto"/>
          <w:szCs w:val="21"/>
          <w:highlight w:val="none"/>
        </w:rPr>
      </w:pPr>
      <w:r>
        <w:rPr>
          <w:rFonts w:hint="eastAsia" w:ascii="宋体" w:hAnsi="宋体"/>
          <w:color w:val="auto"/>
          <w:szCs w:val="21"/>
          <w:highlight w:val="none"/>
        </w:rPr>
        <w:t>2、纳税人识别号（国税）/或统一社会信用代码：</w:t>
      </w:r>
      <w:r>
        <w:rPr>
          <w:rFonts w:hint="eastAsia" w:ascii="宋体" w:hAnsi="宋体"/>
          <w:color w:val="auto"/>
          <w:szCs w:val="21"/>
          <w:highlight w:val="none"/>
          <w:u w:val="single"/>
        </w:rPr>
        <w:t xml:space="preserve">    （请填写）              </w:t>
      </w:r>
    </w:p>
    <w:p w14:paraId="568264EF">
      <w:pPr>
        <w:rPr>
          <w:rFonts w:hint="eastAsia" w:ascii="宋体" w:hAnsi="宋体"/>
          <w:color w:val="auto"/>
          <w:szCs w:val="21"/>
          <w:highlight w:val="none"/>
        </w:rPr>
      </w:pPr>
      <w:r>
        <w:rPr>
          <w:rFonts w:hint="eastAsia" w:ascii="宋体" w:hAnsi="宋体"/>
          <w:b/>
          <w:color w:val="auto"/>
          <w:szCs w:val="21"/>
          <w:highlight w:val="none"/>
        </w:rPr>
        <w:t>B：</w:t>
      </w:r>
      <w:r>
        <w:rPr>
          <w:rFonts w:hint="eastAsia" w:ascii="宋体" w:hAnsi="宋体"/>
          <w:color w:val="auto"/>
          <w:szCs w:val="21"/>
          <w:highlight w:val="none"/>
        </w:rPr>
        <w:t>如需开具增值税专用发票，请于下方（ ）打“√”,并提供相关资料</w:t>
      </w:r>
    </w:p>
    <w:p w14:paraId="58B0721D">
      <w:pPr>
        <w:rPr>
          <w:rFonts w:hint="eastAsia" w:ascii="宋体" w:hAnsi="宋体"/>
          <w:color w:val="auto"/>
          <w:szCs w:val="21"/>
          <w:highlight w:val="none"/>
        </w:rPr>
      </w:pPr>
      <w:r>
        <w:rPr>
          <w:rFonts w:hint="eastAsia" w:ascii="宋体" w:hAnsi="宋体"/>
          <w:color w:val="auto"/>
          <w:szCs w:val="21"/>
          <w:highlight w:val="none"/>
        </w:rPr>
        <w:t>（    ）请向我司开具中标费的“</w:t>
      </w:r>
      <w:r>
        <w:rPr>
          <w:rFonts w:hint="eastAsia" w:ascii="宋体" w:hAnsi="宋体"/>
          <w:b/>
          <w:color w:val="auto"/>
          <w:szCs w:val="21"/>
          <w:highlight w:val="none"/>
          <w:u w:val="single"/>
        </w:rPr>
        <w:t>增值税专用发票</w:t>
      </w:r>
      <w:r>
        <w:rPr>
          <w:rFonts w:hint="eastAsia" w:ascii="宋体" w:hAnsi="宋体"/>
          <w:b/>
          <w:color w:val="auto"/>
          <w:szCs w:val="21"/>
          <w:highlight w:val="none"/>
        </w:rPr>
        <w:t>”</w:t>
      </w:r>
      <w:r>
        <w:rPr>
          <w:rFonts w:hint="eastAsia" w:ascii="宋体" w:hAnsi="宋体"/>
          <w:color w:val="auto"/>
          <w:szCs w:val="21"/>
          <w:highlight w:val="none"/>
        </w:rPr>
        <w:t>，开票信息为：</w:t>
      </w:r>
    </w:p>
    <w:p w14:paraId="17F22C35">
      <w:pPr>
        <w:rPr>
          <w:rFonts w:hint="eastAsia" w:ascii="宋体" w:hAnsi="宋体"/>
          <w:color w:val="auto"/>
          <w:szCs w:val="21"/>
          <w:highlight w:val="none"/>
        </w:rPr>
      </w:pPr>
      <w:r>
        <w:rPr>
          <w:rFonts w:hint="eastAsia" w:ascii="宋体" w:hAnsi="宋体"/>
          <w:color w:val="auto"/>
          <w:szCs w:val="21"/>
          <w:highlight w:val="none"/>
        </w:rPr>
        <w:t>1、我司工商注册名称：</w:t>
      </w:r>
      <w:r>
        <w:rPr>
          <w:rFonts w:hint="eastAsia" w:ascii="宋体" w:hAnsi="宋体"/>
          <w:color w:val="auto"/>
          <w:szCs w:val="21"/>
          <w:highlight w:val="none"/>
          <w:u w:val="single"/>
        </w:rPr>
        <w:t xml:space="preserve">    （请填写）              </w:t>
      </w:r>
    </w:p>
    <w:p w14:paraId="0736160A">
      <w:pPr>
        <w:rPr>
          <w:rFonts w:hint="eastAsia" w:ascii="宋体" w:hAnsi="宋体"/>
          <w:color w:val="auto"/>
          <w:szCs w:val="21"/>
          <w:highlight w:val="none"/>
        </w:rPr>
      </w:pPr>
      <w:r>
        <w:rPr>
          <w:rFonts w:hint="eastAsia" w:ascii="宋体" w:hAnsi="宋体"/>
          <w:color w:val="auto"/>
          <w:szCs w:val="21"/>
          <w:highlight w:val="none"/>
        </w:rPr>
        <w:t>2、纳税人识别号（国税）/或统一社会信用代码：</w:t>
      </w:r>
      <w:r>
        <w:rPr>
          <w:rFonts w:hint="eastAsia" w:ascii="宋体" w:hAnsi="宋体"/>
          <w:color w:val="auto"/>
          <w:szCs w:val="21"/>
          <w:highlight w:val="none"/>
          <w:u w:val="single"/>
        </w:rPr>
        <w:t xml:space="preserve">    （请填写）              </w:t>
      </w:r>
    </w:p>
    <w:p w14:paraId="188D328E">
      <w:pPr>
        <w:rPr>
          <w:rFonts w:hint="eastAsia" w:ascii="宋体" w:hAnsi="宋体"/>
          <w:color w:val="auto"/>
          <w:szCs w:val="21"/>
          <w:highlight w:val="none"/>
        </w:rPr>
      </w:pPr>
      <w:r>
        <w:rPr>
          <w:rFonts w:hint="eastAsia" w:ascii="宋体" w:hAnsi="宋体"/>
          <w:color w:val="auto"/>
          <w:szCs w:val="21"/>
          <w:highlight w:val="none"/>
        </w:rPr>
        <w:t>3、注册地址：</w:t>
      </w:r>
      <w:r>
        <w:rPr>
          <w:rFonts w:hint="eastAsia" w:ascii="宋体" w:hAnsi="宋体"/>
          <w:color w:val="auto"/>
          <w:szCs w:val="21"/>
          <w:highlight w:val="none"/>
          <w:u w:val="single"/>
        </w:rPr>
        <w:t xml:space="preserve">    （请填写）              </w:t>
      </w:r>
    </w:p>
    <w:p w14:paraId="3D2972B9">
      <w:pPr>
        <w:rPr>
          <w:rFonts w:hint="eastAsia" w:ascii="宋体" w:hAnsi="宋体"/>
          <w:color w:val="auto"/>
          <w:szCs w:val="21"/>
          <w:highlight w:val="none"/>
        </w:rPr>
      </w:pPr>
      <w:r>
        <w:rPr>
          <w:rFonts w:hint="eastAsia" w:ascii="宋体" w:hAnsi="宋体"/>
          <w:color w:val="auto"/>
          <w:szCs w:val="21"/>
          <w:highlight w:val="none"/>
        </w:rPr>
        <w:t>4、办公电话（固话）：</w:t>
      </w:r>
      <w:r>
        <w:rPr>
          <w:rFonts w:hint="eastAsia" w:ascii="宋体" w:hAnsi="宋体"/>
          <w:color w:val="auto"/>
          <w:szCs w:val="21"/>
          <w:highlight w:val="none"/>
          <w:u w:val="single"/>
        </w:rPr>
        <w:t xml:space="preserve">    （请填写）              </w:t>
      </w:r>
    </w:p>
    <w:p w14:paraId="78C975F2">
      <w:pPr>
        <w:rPr>
          <w:rFonts w:hint="eastAsia" w:ascii="宋体" w:hAnsi="宋体"/>
          <w:color w:val="auto"/>
          <w:szCs w:val="21"/>
          <w:highlight w:val="none"/>
        </w:rPr>
      </w:pPr>
      <w:r>
        <w:rPr>
          <w:rFonts w:hint="eastAsia" w:ascii="宋体" w:hAnsi="宋体"/>
          <w:color w:val="auto"/>
          <w:szCs w:val="21"/>
          <w:highlight w:val="none"/>
        </w:rPr>
        <w:t>5、开户银行及账号：</w:t>
      </w:r>
      <w:r>
        <w:rPr>
          <w:rFonts w:hint="eastAsia" w:ascii="宋体" w:hAnsi="宋体"/>
          <w:color w:val="auto"/>
          <w:szCs w:val="21"/>
          <w:highlight w:val="none"/>
          <w:u w:val="single"/>
        </w:rPr>
        <w:t xml:space="preserve">    （请填写）              </w:t>
      </w:r>
    </w:p>
    <w:p w14:paraId="62761E16">
      <w:pPr>
        <w:rPr>
          <w:rFonts w:hint="eastAsia" w:ascii="宋体" w:hAnsi="宋体"/>
          <w:color w:val="auto"/>
          <w:szCs w:val="21"/>
          <w:highlight w:val="none"/>
          <w:u w:val="single"/>
        </w:rPr>
      </w:pPr>
      <w:r>
        <w:rPr>
          <w:rFonts w:hint="eastAsia" w:ascii="宋体" w:hAnsi="宋体"/>
          <w:color w:val="auto"/>
          <w:szCs w:val="21"/>
          <w:highlight w:val="none"/>
        </w:rPr>
        <w:t>6、一般纳税人资格证书/或加盖了税务局“增值税一般纳税人”条章的国税登记证扫描件/或在所属国税局网站的查询结果截图</w:t>
      </w:r>
      <w:r>
        <w:rPr>
          <w:rFonts w:hint="eastAsia" w:ascii="宋体" w:hAnsi="宋体"/>
          <w:color w:val="auto"/>
          <w:szCs w:val="21"/>
          <w:highlight w:val="none"/>
          <w:u w:val="single"/>
        </w:rPr>
        <w:t>（截图后附）</w:t>
      </w:r>
    </w:p>
    <w:p w14:paraId="0AE9559B">
      <w:pPr>
        <w:rPr>
          <w:rFonts w:hint="eastAsia" w:ascii="宋体" w:hAnsi="宋体"/>
          <w:color w:val="auto"/>
          <w:szCs w:val="21"/>
          <w:highlight w:val="none"/>
        </w:rPr>
      </w:pPr>
      <w:r>
        <w:rPr>
          <w:rFonts w:hint="eastAsia" w:ascii="宋体" w:hAnsi="宋体"/>
          <w:color w:val="auto"/>
          <w:szCs w:val="21"/>
          <w:highlight w:val="none"/>
        </w:rPr>
        <w:t>中标单位联系人：， 手机</w:t>
      </w:r>
      <w:r>
        <w:rPr>
          <w:rFonts w:hint="eastAsia" w:ascii="宋体" w:hAnsi="宋体"/>
          <w:color w:val="auto"/>
          <w:szCs w:val="21"/>
          <w:highlight w:val="none"/>
          <w:u w:val="single"/>
        </w:rPr>
        <w:t>号：            ;</w:t>
      </w:r>
    </w:p>
    <w:p w14:paraId="39B0E7CB">
      <w:pPr>
        <w:rPr>
          <w:rFonts w:hint="eastAsia" w:ascii="宋体" w:hAnsi="宋体"/>
          <w:color w:val="auto"/>
          <w:szCs w:val="21"/>
          <w:highlight w:val="none"/>
          <w:u w:val="single"/>
        </w:rPr>
      </w:pPr>
      <w:r>
        <w:rPr>
          <w:rFonts w:hint="eastAsia" w:ascii="宋体" w:hAnsi="宋体"/>
          <w:color w:val="auto"/>
          <w:szCs w:val="21"/>
          <w:highlight w:val="none"/>
        </w:rPr>
        <w:t>单位地址：电话：传真：</w:t>
      </w:r>
      <w:r>
        <w:rPr>
          <w:rFonts w:hint="eastAsia" w:ascii="宋体" w:hAnsi="宋体"/>
          <w:color w:val="auto"/>
          <w:szCs w:val="21"/>
          <w:highlight w:val="none"/>
          <w:u w:val="single"/>
        </w:rPr>
        <w:t xml:space="preserve">        。</w:t>
      </w:r>
    </w:p>
    <w:p w14:paraId="0FBBBC00">
      <w:pPr>
        <w:rPr>
          <w:rFonts w:hint="eastAsia" w:ascii="宋体" w:hAnsi="宋体"/>
          <w:color w:val="auto"/>
          <w:szCs w:val="21"/>
          <w:highlight w:val="none"/>
        </w:rPr>
      </w:pPr>
      <w:r>
        <w:rPr>
          <w:rFonts w:hint="eastAsia" w:ascii="宋体" w:hAnsi="宋体"/>
          <w:color w:val="auto"/>
          <w:szCs w:val="21"/>
          <w:highlight w:val="none"/>
        </w:rPr>
        <w:t>特此声明。</w:t>
      </w:r>
    </w:p>
    <w:p w14:paraId="0A831E8D">
      <w:pPr>
        <w:rPr>
          <w:rFonts w:hint="eastAsia" w:ascii="宋体" w:hAnsi="宋体"/>
          <w:color w:val="auto"/>
          <w:szCs w:val="21"/>
          <w:highlight w:val="none"/>
        </w:rPr>
      </w:pPr>
    </w:p>
    <w:p w14:paraId="15103ED0">
      <w:pPr>
        <w:rPr>
          <w:rFonts w:hint="eastAsia" w:ascii="宋体" w:hAnsi="宋体"/>
          <w:color w:val="auto"/>
          <w:szCs w:val="21"/>
          <w:highlight w:val="none"/>
        </w:rPr>
      </w:pPr>
    </w:p>
    <w:p w14:paraId="10424103">
      <w:pPr>
        <w:rPr>
          <w:rFonts w:hint="eastAsia" w:ascii="宋体" w:hAnsi="宋体"/>
          <w:color w:val="auto"/>
          <w:szCs w:val="21"/>
          <w:highlight w:val="none"/>
        </w:rPr>
      </w:pPr>
    </w:p>
    <w:p w14:paraId="7535C406">
      <w:pPr>
        <w:rPr>
          <w:rFonts w:hint="eastAsia" w:ascii="宋体" w:hAnsi="宋体"/>
          <w:color w:val="auto"/>
          <w:szCs w:val="21"/>
          <w:highlight w:val="none"/>
        </w:rPr>
      </w:pPr>
    </w:p>
    <w:p w14:paraId="1C629DB2">
      <w:pPr>
        <w:rPr>
          <w:rFonts w:hint="eastAsia" w:ascii="宋体" w:hAnsi="宋体"/>
          <w:color w:val="auto"/>
          <w:szCs w:val="21"/>
          <w:highlight w:val="none"/>
        </w:rPr>
      </w:pPr>
      <w:r>
        <w:rPr>
          <w:rFonts w:hint="eastAsia" w:ascii="宋体" w:hAnsi="宋体"/>
          <w:color w:val="auto"/>
          <w:szCs w:val="21"/>
          <w:highlight w:val="none"/>
        </w:rPr>
        <w:t xml:space="preserve">投标人法定代表人/负责人（或法定代表人/负责人授权代表）签字：                   </w:t>
      </w:r>
    </w:p>
    <w:p w14:paraId="53D7674D">
      <w:pPr>
        <w:rPr>
          <w:color w:val="auto"/>
          <w:highlight w:val="none"/>
        </w:rPr>
      </w:pPr>
      <w:r>
        <w:rPr>
          <w:rFonts w:hint="eastAsia" w:ascii="宋体" w:hAnsi="宋体"/>
          <w:color w:val="auto"/>
          <w:szCs w:val="21"/>
          <w:highlight w:val="none"/>
        </w:rPr>
        <w:t xml:space="preserve">投标人名称（加盖公章）：                </w:t>
      </w:r>
    </w:p>
    <w:p w14:paraId="1F2FF6F5">
      <w:pPr>
        <w:pStyle w:val="91"/>
        <w:rPr>
          <w:bCs w:val="0"/>
          <w:color w:val="auto"/>
          <w:spacing w:val="0"/>
          <w:kern w:val="2"/>
          <w:sz w:val="21"/>
          <w:szCs w:val="24"/>
          <w:highlight w:val="none"/>
        </w:rPr>
      </w:pPr>
      <w:r>
        <w:rPr>
          <w:rFonts w:hint="eastAsia"/>
          <w:bCs w:val="0"/>
          <w:color w:val="auto"/>
          <w:spacing w:val="0"/>
          <w:kern w:val="2"/>
          <w:sz w:val="21"/>
          <w:szCs w:val="24"/>
          <w:highlight w:val="none"/>
        </w:rPr>
        <w:t>日期：年月日</w:t>
      </w:r>
    </w:p>
    <w:p w14:paraId="55D7FB7A">
      <w:pPr>
        <w:pStyle w:val="5"/>
        <w:tabs>
          <w:tab w:val="left" w:pos="851"/>
        </w:tabs>
        <w:spacing w:before="0" w:after="0" w:line="360" w:lineRule="auto"/>
        <w:rPr>
          <w:color w:val="auto"/>
          <w:szCs w:val="24"/>
          <w:highlight w:val="none"/>
        </w:rPr>
      </w:pPr>
      <w:r>
        <w:rPr>
          <w:color w:val="auto"/>
          <w:szCs w:val="24"/>
          <w:highlight w:val="none"/>
        </w:rPr>
        <w:br w:type="page"/>
      </w:r>
      <w:r>
        <w:rPr>
          <w:rFonts w:hint="eastAsia" w:ascii="宋体" w:hAnsi="宋体" w:eastAsia="宋体"/>
          <w:bCs w:val="0"/>
          <w:snapToGrid w:val="0"/>
          <w:color w:val="auto"/>
          <w:kern w:val="0"/>
          <w:sz w:val="24"/>
          <w:szCs w:val="24"/>
          <w:highlight w:val="none"/>
        </w:rPr>
        <w:t>七、承诺函（格式） (对于采购需求写明“提供承诺” 的条款，供应商可参照以下格式提供承诺)</w:t>
      </w:r>
    </w:p>
    <w:p w14:paraId="30454896">
      <w:pPr>
        <w:spacing w:line="360" w:lineRule="auto"/>
        <w:ind w:firstLine="640" w:firstLineChars="200"/>
        <w:jc w:val="center"/>
        <w:rPr>
          <w:rFonts w:hint="eastAsia" w:ascii="宋体" w:hAnsi="宋体"/>
          <w:color w:val="auto"/>
          <w:sz w:val="32"/>
          <w:szCs w:val="32"/>
          <w:highlight w:val="none"/>
        </w:rPr>
      </w:pPr>
      <w:r>
        <w:rPr>
          <w:rFonts w:hint="eastAsia" w:ascii="宋体" w:hAnsi="宋体"/>
          <w:color w:val="auto"/>
          <w:sz w:val="32"/>
          <w:szCs w:val="32"/>
          <w:highlight w:val="none"/>
        </w:rPr>
        <w:t>承诺函</w:t>
      </w:r>
    </w:p>
    <w:p w14:paraId="0FF40F63">
      <w:pPr>
        <w:spacing w:line="360" w:lineRule="auto"/>
        <w:ind w:firstLine="640" w:firstLineChars="200"/>
        <w:jc w:val="center"/>
        <w:rPr>
          <w:rFonts w:hint="eastAsia" w:ascii="宋体" w:hAnsi="宋体"/>
          <w:color w:val="auto"/>
          <w:sz w:val="32"/>
          <w:szCs w:val="32"/>
          <w:highlight w:val="none"/>
        </w:rPr>
      </w:pPr>
    </w:p>
    <w:p w14:paraId="252BB0BB">
      <w:pPr>
        <w:pStyle w:val="17"/>
        <w:spacing w:line="360" w:lineRule="auto"/>
        <w:rPr>
          <w:rFonts w:hint="eastAsia" w:hAnsi="宋体"/>
          <w:b/>
          <w:color w:val="auto"/>
          <w:highlight w:val="none"/>
        </w:rPr>
      </w:pPr>
      <w:r>
        <w:rPr>
          <w:rFonts w:hint="eastAsia" w:hAnsi="宋体"/>
          <w:color w:val="auto"/>
          <w:highlight w:val="none"/>
        </w:rPr>
        <w:t xml:space="preserve">致： </w:t>
      </w:r>
      <w:r>
        <w:rPr>
          <w:rFonts w:hint="eastAsia" w:hAnsi="宋体"/>
          <w:b/>
          <w:color w:val="auto"/>
          <w:highlight w:val="none"/>
          <w:u w:val="single"/>
        </w:rPr>
        <w:t xml:space="preserve">采购人名称 </w:t>
      </w:r>
    </w:p>
    <w:p w14:paraId="77E6238A">
      <w:pPr>
        <w:spacing w:line="360" w:lineRule="auto"/>
        <w:ind w:firstLine="420" w:firstLineChars="200"/>
        <w:rPr>
          <w:rFonts w:hint="eastAsia" w:ascii="宋体" w:hAnsi="宋体"/>
          <w:color w:val="auto"/>
          <w:szCs w:val="21"/>
          <w:highlight w:val="none"/>
        </w:rPr>
      </w:pPr>
    </w:p>
    <w:p w14:paraId="2F7D49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对于</w:t>
      </w:r>
      <w:r>
        <w:rPr>
          <w:rFonts w:hint="eastAsia" w:ascii="宋体" w:hAnsi="宋体"/>
          <w:color w:val="auto"/>
          <w:szCs w:val="21"/>
          <w:highlight w:val="none"/>
          <w:u w:val="single"/>
        </w:rPr>
        <w:t xml:space="preserve">                   </w:t>
      </w:r>
      <w:r>
        <w:rPr>
          <w:rFonts w:hint="eastAsia" w:ascii="宋体" w:hAnsi="宋体"/>
          <w:color w:val="auto"/>
          <w:kern w:val="28"/>
          <w:szCs w:val="21"/>
          <w:highlight w:val="none"/>
        </w:rPr>
        <w:t>项目（项目编号：         ）</w:t>
      </w:r>
      <w:r>
        <w:rPr>
          <w:rFonts w:hint="eastAsia" w:ascii="宋体" w:hAnsi="宋体"/>
          <w:color w:val="auto"/>
          <w:szCs w:val="21"/>
          <w:highlight w:val="none"/>
        </w:rPr>
        <w:t>，我方郑重承诺如下：</w:t>
      </w:r>
    </w:p>
    <w:p w14:paraId="5A4909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如中标/成交，我方承诺严格落实采购文件以下条款：(建议逐条复制采购文件相关条款原文)</w:t>
      </w:r>
    </w:p>
    <w:p w14:paraId="256A3086">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（一）星号条款</w:t>
      </w:r>
    </w:p>
    <w:p w14:paraId="2FB08550">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1.</w:t>
      </w:r>
    </w:p>
    <w:p w14:paraId="11B28072">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2.</w:t>
      </w:r>
    </w:p>
    <w:p w14:paraId="02E4C4C7">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3.</w:t>
      </w:r>
    </w:p>
    <w:p w14:paraId="134B34F7">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w:t>
      </w:r>
    </w:p>
    <w:p w14:paraId="32605F88">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（二）三角号条款</w:t>
      </w:r>
    </w:p>
    <w:p w14:paraId="7D33A34C">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1.</w:t>
      </w:r>
    </w:p>
    <w:p w14:paraId="7ED2E7ED">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2.</w:t>
      </w:r>
    </w:p>
    <w:p w14:paraId="2E5525AB">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3.</w:t>
      </w:r>
    </w:p>
    <w:p w14:paraId="290266F1">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w:t>
      </w:r>
    </w:p>
    <w:p w14:paraId="56F6189D">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（三）非星号、非三角号条款</w:t>
      </w:r>
    </w:p>
    <w:p w14:paraId="0F300064">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1.</w:t>
      </w:r>
    </w:p>
    <w:p w14:paraId="743D57D1">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2.</w:t>
      </w:r>
    </w:p>
    <w:p w14:paraId="0B413B34">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3.</w:t>
      </w:r>
    </w:p>
    <w:p w14:paraId="051BD661">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w:t>
      </w:r>
    </w:p>
    <w:p w14:paraId="421321CA">
      <w:pPr>
        <w:spacing w:line="360" w:lineRule="auto"/>
        <w:ind w:firstLine="405"/>
        <w:rPr>
          <w:rFonts w:hint="eastAsia" w:ascii="宋体" w:hAnsi="宋体"/>
          <w:color w:val="auto"/>
          <w:szCs w:val="21"/>
          <w:highlight w:val="none"/>
        </w:rPr>
      </w:pPr>
    </w:p>
    <w:p w14:paraId="7D128766">
      <w:pPr>
        <w:spacing w:line="360" w:lineRule="auto"/>
        <w:ind w:firstLine="405"/>
        <w:rPr>
          <w:rFonts w:hint="eastAsia" w:ascii="宋体" w:hAnsi="宋体"/>
          <w:color w:val="auto"/>
          <w:szCs w:val="21"/>
          <w:highlight w:val="none"/>
        </w:rPr>
      </w:pPr>
      <w:r>
        <w:rPr>
          <w:rFonts w:hint="eastAsia" w:ascii="宋体" w:hAnsi="宋体"/>
          <w:color w:val="auto"/>
          <w:szCs w:val="21"/>
          <w:highlight w:val="none"/>
        </w:rPr>
        <w:t>特此承诺。</w:t>
      </w:r>
    </w:p>
    <w:p w14:paraId="7E174EE9">
      <w:pPr>
        <w:spacing w:line="360" w:lineRule="auto"/>
        <w:ind w:firstLine="1680" w:firstLineChars="800"/>
        <w:rPr>
          <w:rFonts w:hint="eastAsia" w:ascii="宋体" w:hAnsi="宋体"/>
          <w:color w:val="auto"/>
          <w:szCs w:val="21"/>
          <w:highlight w:val="none"/>
        </w:rPr>
      </w:pPr>
    </w:p>
    <w:p w14:paraId="3CBE3A77">
      <w:pPr>
        <w:adjustRightInd w:val="0"/>
        <w:snapToGrid w:val="0"/>
        <w:spacing w:line="360" w:lineRule="auto"/>
        <w:ind w:firstLine="3885" w:firstLineChars="1850"/>
        <w:rPr>
          <w:rFonts w:hint="eastAsia" w:ascii="宋体" w:hAnsi="宋体"/>
          <w:color w:val="auto"/>
          <w:szCs w:val="21"/>
          <w:highlight w:val="none"/>
          <w:u w:val="single"/>
        </w:rPr>
      </w:pPr>
      <w:r>
        <w:rPr>
          <w:rFonts w:hint="eastAsia" w:ascii="宋体" w:hAnsi="宋体"/>
          <w:color w:val="auto"/>
          <w:szCs w:val="21"/>
          <w:highlight w:val="none"/>
        </w:rPr>
        <w:t>供应商名称（盖章）：</w:t>
      </w:r>
    </w:p>
    <w:p w14:paraId="229C6D67">
      <w:pPr>
        <w:spacing w:line="360" w:lineRule="auto"/>
        <w:ind w:firstLine="3885" w:firstLineChars="1850"/>
        <w:rPr>
          <w:rFonts w:hint="eastAsia" w:ascii="宋体" w:hAnsi="宋体"/>
          <w:color w:val="auto"/>
          <w:szCs w:val="21"/>
          <w:highlight w:val="none"/>
        </w:rPr>
      </w:pPr>
      <w:r>
        <w:rPr>
          <w:rFonts w:hint="eastAsia" w:ascii="宋体" w:hAnsi="宋体"/>
          <w:color w:val="auto"/>
          <w:szCs w:val="21"/>
          <w:highlight w:val="none"/>
        </w:rPr>
        <w:t>日期：   年   月   日</w:t>
      </w:r>
    </w:p>
    <w:p w14:paraId="6FFF5797">
      <w:pPr>
        <w:pStyle w:val="17"/>
        <w:tabs>
          <w:tab w:val="left" w:pos="360"/>
        </w:tabs>
        <w:adjustRightInd w:val="0"/>
        <w:snapToGrid w:val="0"/>
        <w:rPr>
          <w:rFonts w:hint="eastAsia" w:hAnsi="宋体" w:cs="Times New Roman"/>
          <w:b/>
          <w:snapToGrid w:val="0"/>
          <w:color w:val="auto"/>
          <w:kern w:val="0"/>
          <w:sz w:val="24"/>
          <w:szCs w:val="24"/>
          <w:highlight w:val="none"/>
        </w:rPr>
      </w:pPr>
      <w:r>
        <w:rPr>
          <w:rFonts w:hint="eastAsia" w:hAnsi="宋体" w:cs="Times New Roman"/>
          <w:b/>
          <w:snapToGrid w:val="0"/>
          <w:color w:val="auto"/>
          <w:kern w:val="0"/>
          <w:sz w:val="24"/>
          <w:szCs w:val="24"/>
          <w:highlight w:val="none"/>
        </w:rPr>
        <w:t>八、政府采购政策适用性相关函件（如投标人不符合条件，不需提供）</w:t>
      </w:r>
    </w:p>
    <w:p w14:paraId="4DD25A23">
      <w:pPr>
        <w:pStyle w:val="17"/>
        <w:tabs>
          <w:tab w:val="left" w:pos="360"/>
        </w:tabs>
        <w:adjustRightInd w:val="0"/>
        <w:snapToGrid w:val="0"/>
        <w:rPr>
          <w:rFonts w:hint="eastAsia" w:hAnsi="宋体" w:cs="Times New Roman"/>
          <w:b/>
          <w:snapToGrid w:val="0"/>
          <w:color w:val="auto"/>
          <w:kern w:val="0"/>
          <w:sz w:val="24"/>
          <w:szCs w:val="24"/>
          <w:highlight w:val="none"/>
        </w:rPr>
      </w:pPr>
      <w:r>
        <w:rPr>
          <w:rFonts w:hint="eastAsia" w:hAnsi="宋体" w:cs="Times New Roman"/>
          <w:b/>
          <w:snapToGrid w:val="0"/>
          <w:color w:val="auto"/>
          <w:kern w:val="0"/>
          <w:sz w:val="24"/>
          <w:szCs w:val="24"/>
          <w:highlight w:val="none"/>
        </w:rPr>
        <w:t>1. 政策适用性说明表</w:t>
      </w:r>
    </w:p>
    <w:p w14:paraId="6BC32516">
      <w:pPr>
        <w:autoSpaceDE w:val="0"/>
        <w:autoSpaceDN w:val="0"/>
        <w:ind w:right="1400"/>
        <w:rPr>
          <w:rFonts w:hint="eastAsia" w:ascii="宋体" w:hAnsi="宋体"/>
          <w:b/>
          <w:color w:val="auto"/>
          <w:sz w:val="24"/>
          <w:highlight w:val="none"/>
        </w:rPr>
      </w:pPr>
    </w:p>
    <w:p w14:paraId="7DCB8662">
      <w:pPr>
        <w:autoSpaceDE w:val="0"/>
        <w:autoSpaceDN w:val="0"/>
        <w:ind w:right="1400"/>
        <w:rPr>
          <w:rFonts w:hint="eastAsia" w:ascii="宋体" w:hAnsi="宋体"/>
          <w:b/>
          <w:color w:val="auto"/>
          <w:szCs w:val="21"/>
          <w:highlight w:val="none"/>
        </w:rPr>
      </w:pPr>
    </w:p>
    <w:p w14:paraId="37F450DA">
      <w:pPr>
        <w:autoSpaceDE w:val="0"/>
        <w:autoSpaceDN w:val="0"/>
        <w:ind w:right="1400"/>
        <w:rPr>
          <w:rFonts w:hint="eastAsia" w:ascii="宋体" w:hAnsi="宋体"/>
          <w:b/>
          <w:color w:val="auto"/>
          <w:szCs w:val="21"/>
          <w:highlight w:val="none"/>
        </w:rPr>
      </w:pPr>
    </w:p>
    <w:tbl>
      <w:tblPr>
        <w:tblStyle w:val="3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080"/>
        <w:gridCol w:w="1112"/>
        <w:gridCol w:w="1112"/>
        <w:gridCol w:w="1112"/>
        <w:gridCol w:w="1112"/>
        <w:gridCol w:w="1112"/>
        <w:gridCol w:w="1527"/>
      </w:tblGrid>
      <w:tr w14:paraId="749E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580" w:type="dxa"/>
          </w:tcPr>
          <w:p w14:paraId="6698A1E5">
            <w:pPr>
              <w:pStyle w:val="46"/>
              <w:rPr>
                <w:rFonts w:hint="eastAsia" w:hAnsi="宋体"/>
                <w:color w:val="auto"/>
                <w:sz w:val="21"/>
                <w:szCs w:val="21"/>
                <w:highlight w:val="none"/>
              </w:rPr>
            </w:pPr>
            <w:r>
              <w:rPr>
                <w:rFonts w:hint="eastAsia" w:hAnsi="宋体"/>
                <w:color w:val="auto"/>
                <w:sz w:val="21"/>
                <w:szCs w:val="21"/>
                <w:highlight w:val="none"/>
              </w:rPr>
              <w:t>序号</w:t>
            </w:r>
          </w:p>
        </w:tc>
        <w:tc>
          <w:tcPr>
            <w:tcW w:w="2080" w:type="dxa"/>
          </w:tcPr>
          <w:p w14:paraId="3EC10890">
            <w:pPr>
              <w:pStyle w:val="46"/>
              <w:rPr>
                <w:rFonts w:hint="eastAsia" w:hAnsi="宋体"/>
                <w:color w:val="auto"/>
                <w:sz w:val="21"/>
                <w:szCs w:val="21"/>
                <w:highlight w:val="none"/>
              </w:rPr>
            </w:pPr>
            <w:r>
              <w:rPr>
                <w:rFonts w:hint="eastAsia" w:hAnsi="宋体"/>
                <w:color w:val="auto"/>
                <w:sz w:val="21"/>
                <w:szCs w:val="21"/>
                <w:highlight w:val="none"/>
              </w:rPr>
              <w:t>标的名称（规格型号、注册商标）</w:t>
            </w:r>
          </w:p>
        </w:tc>
        <w:tc>
          <w:tcPr>
            <w:tcW w:w="1112" w:type="dxa"/>
          </w:tcPr>
          <w:p w14:paraId="47B01B0F">
            <w:pPr>
              <w:pStyle w:val="46"/>
              <w:rPr>
                <w:rFonts w:hint="eastAsia" w:hAnsi="宋体"/>
                <w:color w:val="auto"/>
                <w:sz w:val="21"/>
                <w:szCs w:val="21"/>
                <w:highlight w:val="none"/>
              </w:rPr>
            </w:pPr>
            <w:r>
              <w:rPr>
                <w:rFonts w:hint="eastAsia" w:hAnsi="宋体"/>
                <w:color w:val="auto"/>
                <w:sz w:val="21"/>
                <w:szCs w:val="21"/>
                <w:highlight w:val="none"/>
              </w:rPr>
              <w:t>制造商</w:t>
            </w:r>
            <w:r>
              <w:rPr>
                <w:rFonts w:hAnsi="宋体"/>
                <w:color w:val="auto"/>
                <w:sz w:val="21"/>
                <w:szCs w:val="21"/>
                <w:highlight w:val="none"/>
              </w:rPr>
              <w:t xml:space="preserve"> (</w:t>
            </w:r>
            <w:r>
              <w:rPr>
                <w:rFonts w:hint="eastAsia" w:hAnsi="宋体"/>
                <w:color w:val="auto"/>
                <w:sz w:val="21"/>
                <w:szCs w:val="21"/>
                <w:highlight w:val="none"/>
              </w:rPr>
              <w:t>服务商</w:t>
            </w:r>
            <w:r>
              <w:rPr>
                <w:rFonts w:hAnsi="宋体"/>
                <w:color w:val="auto"/>
                <w:sz w:val="21"/>
                <w:szCs w:val="21"/>
                <w:highlight w:val="none"/>
              </w:rPr>
              <w:t xml:space="preserve">) </w:t>
            </w:r>
          </w:p>
        </w:tc>
        <w:tc>
          <w:tcPr>
            <w:tcW w:w="1112" w:type="dxa"/>
          </w:tcPr>
          <w:p w14:paraId="63D09545">
            <w:pPr>
              <w:pStyle w:val="46"/>
              <w:rPr>
                <w:rFonts w:hint="eastAsia" w:hAnsi="宋体"/>
                <w:color w:val="auto"/>
                <w:sz w:val="21"/>
                <w:szCs w:val="21"/>
                <w:highlight w:val="none"/>
              </w:rPr>
            </w:pPr>
            <w:r>
              <w:rPr>
                <w:rFonts w:hint="eastAsia" w:hAnsi="宋体"/>
                <w:color w:val="auto"/>
                <w:sz w:val="21"/>
                <w:szCs w:val="21"/>
                <w:highlight w:val="none"/>
              </w:rPr>
              <w:t>制造商</w:t>
            </w:r>
            <w:r>
              <w:rPr>
                <w:rFonts w:hAnsi="宋体"/>
                <w:color w:val="auto"/>
                <w:sz w:val="21"/>
                <w:szCs w:val="21"/>
                <w:highlight w:val="none"/>
              </w:rPr>
              <w:t>(</w:t>
            </w:r>
            <w:r>
              <w:rPr>
                <w:rFonts w:hint="eastAsia" w:hAnsi="宋体"/>
                <w:color w:val="auto"/>
                <w:sz w:val="21"/>
                <w:szCs w:val="21"/>
                <w:highlight w:val="none"/>
              </w:rPr>
              <w:t>服务商</w:t>
            </w:r>
            <w:r>
              <w:rPr>
                <w:rFonts w:hAnsi="宋体"/>
                <w:color w:val="auto"/>
                <w:sz w:val="21"/>
                <w:szCs w:val="21"/>
                <w:highlight w:val="none"/>
              </w:rPr>
              <w:t xml:space="preserve">) </w:t>
            </w:r>
            <w:r>
              <w:rPr>
                <w:rFonts w:hint="eastAsia" w:hAnsi="宋体"/>
                <w:color w:val="auto"/>
                <w:sz w:val="21"/>
                <w:szCs w:val="21"/>
                <w:highlight w:val="none"/>
              </w:rPr>
              <w:t>企业类型</w:t>
            </w:r>
          </w:p>
        </w:tc>
        <w:tc>
          <w:tcPr>
            <w:tcW w:w="1112" w:type="dxa"/>
          </w:tcPr>
          <w:p w14:paraId="0DAAC145">
            <w:pPr>
              <w:pStyle w:val="46"/>
              <w:rPr>
                <w:rFonts w:hint="eastAsia" w:hAnsi="宋体"/>
                <w:color w:val="auto"/>
                <w:sz w:val="21"/>
                <w:szCs w:val="21"/>
                <w:highlight w:val="none"/>
              </w:rPr>
            </w:pPr>
            <w:r>
              <w:rPr>
                <w:rFonts w:hint="eastAsia" w:hAnsi="宋体"/>
                <w:color w:val="auto"/>
                <w:sz w:val="21"/>
                <w:szCs w:val="21"/>
                <w:highlight w:val="none"/>
              </w:rPr>
              <w:t>节能产品</w:t>
            </w:r>
          </w:p>
        </w:tc>
        <w:tc>
          <w:tcPr>
            <w:tcW w:w="1112" w:type="dxa"/>
          </w:tcPr>
          <w:p w14:paraId="588F0F08">
            <w:pPr>
              <w:pStyle w:val="46"/>
              <w:rPr>
                <w:rFonts w:hint="eastAsia" w:hAnsi="宋体"/>
                <w:color w:val="auto"/>
                <w:sz w:val="21"/>
                <w:szCs w:val="21"/>
                <w:highlight w:val="none"/>
              </w:rPr>
            </w:pPr>
            <w:r>
              <w:rPr>
                <w:rFonts w:hint="eastAsia" w:hAnsi="宋体"/>
                <w:color w:val="auto"/>
                <w:sz w:val="21"/>
                <w:szCs w:val="21"/>
                <w:highlight w:val="none"/>
              </w:rPr>
              <w:t>环保标志产品</w:t>
            </w:r>
          </w:p>
        </w:tc>
        <w:tc>
          <w:tcPr>
            <w:tcW w:w="1112" w:type="dxa"/>
          </w:tcPr>
          <w:p w14:paraId="48254071">
            <w:pPr>
              <w:pStyle w:val="46"/>
              <w:rPr>
                <w:rFonts w:hint="eastAsia" w:hAnsi="宋体"/>
                <w:color w:val="auto"/>
                <w:sz w:val="21"/>
                <w:szCs w:val="21"/>
                <w:highlight w:val="none"/>
              </w:rPr>
            </w:pPr>
            <w:r>
              <w:rPr>
                <w:rFonts w:hint="eastAsia" w:hAnsi="宋体"/>
                <w:color w:val="auto"/>
                <w:sz w:val="21"/>
                <w:szCs w:val="21"/>
                <w:highlight w:val="none"/>
              </w:rPr>
              <w:t>认证证书编号</w:t>
            </w:r>
          </w:p>
        </w:tc>
        <w:tc>
          <w:tcPr>
            <w:tcW w:w="1527" w:type="dxa"/>
          </w:tcPr>
          <w:p w14:paraId="6B8F8D7C">
            <w:pPr>
              <w:pStyle w:val="46"/>
              <w:rPr>
                <w:rFonts w:hint="eastAsia" w:hAnsi="宋体"/>
                <w:color w:val="auto"/>
                <w:sz w:val="21"/>
                <w:szCs w:val="21"/>
                <w:highlight w:val="none"/>
              </w:rPr>
            </w:pPr>
            <w:r>
              <w:rPr>
                <w:rFonts w:hint="eastAsia" w:hAnsi="宋体"/>
                <w:color w:val="auto"/>
                <w:sz w:val="21"/>
                <w:szCs w:val="21"/>
                <w:highlight w:val="none"/>
              </w:rPr>
              <w:t>该产品报价在总报价中占比（</w:t>
            </w:r>
            <w:r>
              <w:rPr>
                <w:rFonts w:hAnsi="宋体"/>
                <w:color w:val="auto"/>
                <w:sz w:val="21"/>
                <w:szCs w:val="21"/>
                <w:highlight w:val="none"/>
              </w:rPr>
              <w:t>%</w:t>
            </w:r>
            <w:r>
              <w:rPr>
                <w:rFonts w:hint="eastAsia" w:hAnsi="宋体"/>
                <w:color w:val="auto"/>
                <w:sz w:val="21"/>
                <w:szCs w:val="21"/>
                <w:highlight w:val="none"/>
              </w:rPr>
              <w:t>）</w:t>
            </w:r>
          </w:p>
        </w:tc>
      </w:tr>
      <w:tr w14:paraId="5B3A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0" w:type="dxa"/>
          </w:tcPr>
          <w:p w14:paraId="6A3BDC2A">
            <w:pPr>
              <w:pStyle w:val="46"/>
              <w:rPr>
                <w:rFonts w:hint="eastAsia" w:hAnsi="宋体"/>
                <w:color w:val="auto"/>
                <w:sz w:val="21"/>
                <w:szCs w:val="21"/>
                <w:highlight w:val="none"/>
              </w:rPr>
            </w:pPr>
          </w:p>
        </w:tc>
        <w:tc>
          <w:tcPr>
            <w:tcW w:w="2080" w:type="dxa"/>
          </w:tcPr>
          <w:p w14:paraId="4C306164">
            <w:pPr>
              <w:pStyle w:val="46"/>
              <w:rPr>
                <w:rFonts w:hint="eastAsia" w:hAnsi="宋体"/>
                <w:color w:val="auto"/>
                <w:sz w:val="21"/>
                <w:szCs w:val="21"/>
                <w:highlight w:val="none"/>
              </w:rPr>
            </w:pPr>
          </w:p>
        </w:tc>
        <w:tc>
          <w:tcPr>
            <w:tcW w:w="1112" w:type="dxa"/>
          </w:tcPr>
          <w:p w14:paraId="4E24F2FE">
            <w:pPr>
              <w:pStyle w:val="46"/>
              <w:rPr>
                <w:rFonts w:hint="eastAsia" w:hAnsi="宋体"/>
                <w:color w:val="auto"/>
                <w:sz w:val="21"/>
                <w:szCs w:val="21"/>
                <w:highlight w:val="none"/>
              </w:rPr>
            </w:pPr>
          </w:p>
        </w:tc>
        <w:tc>
          <w:tcPr>
            <w:tcW w:w="1112" w:type="dxa"/>
          </w:tcPr>
          <w:p w14:paraId="31C76794">
            <w:pPr>
              <w:pStyle w:val="46"/>
              <w:rPr>
                <w:rFonts w:hint="eastAsia" w:hAnsi="宋体"/>
                <w:color w:val="auto"/>
                <w:sz w:val="21"/>
                <w:szCs w:val="21"/>
                <w:highlight w:val="none"/>
              </w:rPr>
            </w:pPr>
          </w:p>
        </w:tc>
        <w:tc>
          <w:tcPr>
            <w:tcW w:w="1112" w:type="dxa"/>
          </w:tcPr>
          <w:p w14:paraId="39AE8BB4">
            <w:pPr>
              <w:pStyle w:val="46"/>
              <w:rPr>
                <w:rFonts w:hint="eastAsia" w:hAnsi="宋体"/>
                <w:color w:val="auto"/>
                <w:sz w:val="21"/>
                <w:szCs w:val="21"/>
                <w:highlight w:val="none"/>
              </w:rPr>
            </w:pPr>
          </w:p>
        </w:tc>
        <w:tc>
          <w:tcPr>
            <w:tcW w:w="1112" w:type="dxa"/>
          </w:tcPr>
          <w:p w14:paraId="4BC51C85">
            <w:pPr>
              <w:pStyle w:val="46"/>
              <w:rPr>
                <w:rFonts w:hint="eastAsia" w:hAnsi="宋体"/>
                <w:color w:val="auto"/>
                <w:sz w:val="21"/>
                <w:szCs w:val="21"/>
                <w:highlight w:val="none"/>
              </w:rPr>
            </w:pPr>
          </w:p>
        </w:tc>
        <w:tc>
          <w:tcPr>
            <w:tcW w:w="1112" w:type="dxa"/>
          </w:tcPr>
          <w:p w14:paraId="22AF8128">
            <w:pPr>
              <w:pStyle w:val="46"/>
              <w:rPr>
                <w:rFonts w:hint="eastAsia" w:hAnsi="宋体"/>
                <w:color w:val="auto"/>
                <w:sz w:val="21"/>
                <w:szCs w:val="21"/>
                <w:highlight w:val="none"/>
              </w:rPr>
            </w:pPr>
          </w:p>
        </w:tc>
        <w:tc>
          <w:tcPr>
            <w:tcW w:w="1527" w:type="dxa"/>
          </w:tcPr>
          <w:p w14:paraId="0C8F84EF">
            <w:pPr>
              <w:pStyle w:val="46"/>
              <w:rPr>
                <w:rFonts w:hint="eastAsia" w:hAnsi="宋体"/>
                <w:color w:val="auto"/>
                <w:sz w:val="21"/>
                <w:szCs w:val="21"/>
                <w:highlight w:val="none"/>
              </w:rPr>
            </w:pPr>
          </w:p>
        </w:tc>
      </w:tr>
      <w:tr w14:paraId="7188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0" w:type="dxa"/>
          </w:tcPr>
          <w:p w14:paraId="0E38F6B4">
            <w:pPr>
              <w:pStyle w:val="46"/>
              <w:rPr>
                <w:rFonts w:hint="eastAsia" w:hAnsi="宋体"/>
                <w:color w:val="auto"/>
                <w:sz w:val="21"/>
                <w:szCs w:val="21"/>
                <w:highlight w:val="none"/>
              </w:rPr>
            </w:pPr>
          </w:p>
        </w:tc>
        <w:tc>
          <w:tcPr>
            <w:tcW w:w="2080" w:type="dxa"/>
          </w:tcPr>
          <w:p w14:paraId="1341B68E">
            <w:pPr>
              <w:pStyle w:val="46"/>
              <w:rPr>
                <w:rFonts w:hint="eastAsia" w:hAnsi="宋体"/>
                <w:color w:val="auto"/>
                <w:sz w:val="21"/>
                <w:szCs w:val="21"/>
                <w:highlight w:val="none"/>
              </w:rPr>
            </w:pPr>
          </w:p>
        </w:tc>
        <w:tc>
          <w:tcPr>
            <w:tcW w:w="1112" w:type="dxa"/>
          </w:tcPr>
          <w:p w14:paraId="6D5BAA08">
            <w:pPr>
              <w:pStyle w:val="46"/>
              <w:rPr>
                <w:rFonts w:hint="eastAsia" w:hAnsi="宋体"/>
                <w:color w:val="auto"/>
                <w:sz w:val="21"/>
                <w:szCs w:val="21"/>
                <w:highlight w:val="none"/>
              </w:rPr>
            </w:pPr>
          </w:p>
        </w:tc>
        <w:tc>
          <w:tcPr>
            <w:tcW w:w="1112" w:type="dxa"/>
          </w:tcPr>
          <w:p w14:paraId="5D126521">
            <w:pPr>
              <w:pStyle w:val="46"/>
              <w:rPr>
                <w:rFonts w:hint="eastAsia" w:hAnsi="宋体"/>
                <w:color w:val="auto"/>
                <w:sz w:val="21"/>
                <w:szCs w:val="21"/>
                <w:highlight w:val="none"/>
              </w:rPr>
            </w:pPr>
          </w:p>
        </w:tc>
        <w:tc>
          <w:tcPr>
            <w:tcW w:w="1112" w:type="dxa"/>
          </w:tcPr>
          <w:p w14:paraId="0BD73B34">
            <w:pPr>
              <w:pStyle w:val="46"/>
              <w:rPr>
                <w:rFonts w:hint="eastAsia" w:hAnsi="宋体"/>
                <w:color w:val="auto"/>
                <w:sz w:val="21"/>
                <w:szCs w:val="21"/>
                <w:highlight w:val="none"/>
              </w:rPr>
            </w:pPr>
          </w:p>
        </w:tc>
        <w:tc>
          <w:tcPr>
            <w:tcW w:w="1112" w:type="dxa"/>
          </w:tcPr>
          <w:p w14:paraId="280D3BFD">
            <w:pPr>
              <w:pStyle w:val="46"/>
              <w:rPr>
                <w:rFonts w:hint="eastAsia" w:hAnsi="宋体"/>
                <w:color w:val="auto"/>
                <w:sz w:val="21"/>
                <w:szCs w:val="21"/>
                <w:highlight w:val="none"/>
              </w:rPr>
            </w:pPr>
          </w:p>
        </w:tc>
        <w:tc>
          <w:tcPr>
            <w:tcW w:w="1112" w:type="dxa"/>
          </w:tcPr>
          <w:p w14:paraId="4BC73DC6">
            <w:pPr>
              <w:pStyle w:val="46"/>
              <w:rPr>
                <w:rFonts w:hint="eastAsia" w:hAnsi="宋体"/>
                <w:color w:val="auto"/>
                <w:sz w:val="21"/>
                <w:szCs w:val="21"/>
                <w:highlight w:val="none"/>
              </w:rPr>
            </w:pPr>
          </w:p>
        </w:tc>
        <w:tc>
          <w:tcPr>
            <w:tcW w:w="1527" w:type="dxa"/>
          </w:tcPr>
          <w:p w14:paraId="1850A522">
            <w:pPr>
              <w:pStyle w:val="46"/>
              <w:rPr>
                <w:rFonts w:hint="eastAsia" w:hAnsi="宋体"/>
                <w:color w:val="auto"/>
                <w:sz w:val="21"/>
                <w:szCs w:val="21"/>
                <w:highlight w:val="none"/>
              </w:rPr>
            </w:pPr>
          </w:p>
        </w:tc>
      </w:tr>
      <w:tr w14:paraId="7D31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0" w:type="dxa"/>
          </w:tcPr>
          <w:p w14:paraId="26D84206">
            <w:pPr>
              <w:pStyle w:val="46"/>
              <w:rPr>
                <w:rFonts w:hint="eastAsia" w:hAnsi="宋体"/>
                <w:color w:val="auto"/>
                <w:sz w:val="21"/>
                <w:szCs w:val="21"/>
                <w:highlight w:val="none"/>
              </w:rPr>
            </w:pPr>
          </w:p>
        </w:tc>
        <w:tc>
          <w:tcPr>
            <w:tcW w:w="2080" w:type="dxa"/>
          </w:tcPr>
          <w:p w14:paraId="32AA22B0">
            <w:pPr>
              <w:pStyle w:val="46"/>
              <w:rPr>
                <w:rFonts w:hint="eastAsia" w:hAnsi="宋体"/>
                <w:color w:val="auto"/>
                <w:sz w:val="21"/>
                <w:szCs w:val="21"/>
                <w:highlight w:val="none"/>
              </w:rPr>
            </w:pPr>
          </w:p>
        </w:tc>
        <w:tc>
          <w:tcPr>
            <w:tcW w:w="1112" w:type="dxa"/>
          </w:tcPr>
          <w:p w14:paraId="24002814">
            <w:pPr>
              <w:pStyle w:val="46"/>
              <w:rPr>
                <w:rFonts w:hint="eastAsia" w:hAnsi="宋体"/>
                <w:color w:val="auto"/>
                <w:sz w:val="21"/>
                <w:szCs w:val="21"/>
                <w:highlight w:val="none"/>
              </w:rPr>
            </w:pPr>
          </w:p>
        </w:tc>
        <w:tc>
          <w:tcPr>
            <w:tcW w:w="1112" w:type="dxa"/>
          </w:tcPr>
          <w:p w14:paraId="23B5EFA4">
            <w:pPr>
              <w:pStyle w:val="46"/>
              <w:rPr>
                <w:rFonts w:hint="eastAsia" w:hAnsi="宋体"/>
                <w:color w:val="auto"/>
                <w:sz w:val="21"/>
                <w:szCs w:val="21"/>
                <w:highlight w:val="none"/>
              </w:rPr>
            </w:pPr>
          </w:p>
        </w:tc>
        <w:tc>
          <w:tcPr>
            <w:tcW w:w="1112" w:type="dxa"/>
          </w:tcPr>
          <w:p w14:paraId="44D6B9D5">
            <w:pPr>
              <w:pStyle w:val="46"/>
              <w:rPr>
                <w:rFonts w:hint="eastAsia" w:hAnsi="宋体"/>
                <w:color w:val="auto"/>
                <w:sz w:val="21"/>
                <w:szCs w:val="21"/>
                <w:highlight w:val="none"/>
              </w:rPr>
            </w:pPr>
          </w:p>
        </w:tc>
        <w:tc>
          <w:tcPr>
            <w:tcW w:w="1112" w:type="dxa"/>
          </w:tcPr>
          <w:p w14:paraId="3D3ABE09">
            <w:pPr>
              <w:pStyle w:val="46"/>
              <w:rPr>
                <w:rFonts w:hint="eastAsia" w:hAnsi="宋体"/>
                <w:color w:val="auto"/>
                <w:sz w:val="21"/>
                <w:szCs w:val="21"/>
                <w:highlight w:val="none"/>
              </w:rPr>
            </w:pPr>
          </w:p>
        </w:tc>
        <w:tc>
          <w:tcPr>
            <w:tcW w:w="1112" w:type="dxa"/>
          </w:tcPr>
          <w:p w14:paraId="5CD11A51">
            <w:pPr>
              <w:pStyle w:val="46"/>
              <w:rPr>
                <w:rFonts w:hint="eastAsia" w:hAnsi="宋体"/>
                <w:color w:val="auto"/>
                <w:sz w:val="21"/>
                <w:szCs w:val="21"/>
                <w:highlight w:val="none"/>
              </w:rPr>
            </w:pPr>
          </w:p>
        </w:tc>
        <w:tc>
          <w:tcPr>
            <w:tcW w:w="1527" w:type="dxa"/>
          </w:tcPr>
          <w:p w14:paraId="71173C41">
            <w:pPr>
              <w:pStyle w:val="46"/>
              <w:rPr>
                <w:rFonts w:hint="eastAsia" w:hAnsi="宋体"/>
                <w:color w:val="auto"/>
                <w:sz w:val="21"/>
                <w:szCs w:val="21"/>
                <w:highlight w:val="none"/>
              </w:rPr>
            </w:pPr>
          </w:p>
        </w:tc>
      </w:tr>
    </w:tbl>
    <w:p w14:paraId="477C0394">
      <w:pPr>
        <w:pStyle w:val="46"/>
        <w:spacing w:line="240" w:lineRule="atLeast"/>
        <w:rPr>
          <w:rFonts w:hint="eastAsia" w:hAnsi="宋体"/>
          <w:color w:val="auto"/>
          <w:sz w:val="21"/>
          <w:szCs w:val="21"/>
          <w:highlight w:val="none"/>
        </w:rPr>
      </w:pPr>
      <w:r>
        <w:rPr>
          <w:rFonts w:hint="eastAsia" w:hAnsi="宋体"/>
          <w:color w:val="auto"/>
          <w:sz w:val="21"/>
          <w:szCs w:val="21"/>
          <w:highlight w:val="none"/>
        </w:rPr>
        <w:t>注：</w:t>
      </w:r>
      <w:r>
        <w:rPr>
          <w:rFonts w:hAnsi="宋体"/>
          <w:color w:val="auto"/>
          <w:sz w:val="21"/>
          <w:szCs w:val="21"/>
          <w:highlight w:val="none"/>
        </w:rPr>
        <w:t xml:space="preserve"> 1</w:t>
      </w:r>
      <w:r>
        <w:rPr>
          <w:rFonts w:hint="eastAsia" w:hAnsi="宋体"/>
          <w:color w:val="auto"/>
          <w:sz w:val="21"/>
          <w:szCs w:val="21"/>
          <w:highlight w:val="none"/>
        </w:rPr>
        <w:t>、制造商为小型或微型企业时才需要填</w:t>
      </w:r>
      <w:r>
        <w:rPr>
          <w:rFonts w:hAnsi="宋体"/>
          <w:color w:val="auto"/>
          <w:sz w:val="21"/>
          <w:szCs w:val="21"/>
          <w:highlight w:val="none"/>
        </w:rPr>
        <w:t>“</w:t>
      </w:r>
      <w:r>
        <w:rPr>
          <w:rFonts w:hint="eastAsia" w:hAnsi="宋体"/>
          <w:color w:val="auto"/>
          <w:sz w:val="21"/>
          <w:szCs w:val="21"/>
          <w:highlight w:val="none"/>
        </w:rPr>
        <w:t>制造商企业类型</w:t>
      </w:r>
      <w:r>
        <w:rPr>
          <w:rFonts w:hAnsi="宋体"/>
          <w:color w:val="auto"/>
          <w:sz w:val="21"/>
          <w:szCs w:val="21"/>
          <w:highlight w:val="none"/>
        </w:rPr>
        <w:t>”</w:t>
      </w:r>
      <w:r>
        <w:rPr>
          <w:rFonts w:hint="eastAsia" w:hAnsi="宋体"/>
          <w:color w:val="auto"/>
          <w:sz w:val="21"/>
          <w:szCs w:val="21"/>
          <w:highlight w:val="none"/>
        </w:rPr>
        <w:t>栏，填写内容为</w:t>
      </w:r>
      <w:r>
        <w:rPr>
          <w:rFonts w:hAnsi="宋体"/>
          <w:color w:val="auto"/>
          <w:sz w:val="21"/>
          <w:szCs w:val="21"/>
          <w:highlight w:val="none"/>
        </w:rPr>
        <w:t>“</w:t>
      </w:r>
      <w:r>
        <w:rPr>
          <w:rFonts w:hint="eastAsia" w:hAnsi="宋体"/>
          <w:color w:val="auto"/>
          <w:sz w:val="21"/>
          <w:szCs w:val="21"/>
          <w:highlight w:val="none"/>
        </w:rPr>
        <w:t>小型</w:t>
      </w:r>
      <w:r>
        <w:rPr>
          <w:rFonts w:hAnsi="宋体"/>
          <w:color w:val="auto"/>
          <w:sz w:val="21"/>
          <w:szCs w:val="21"/>
          <w:highlight w:val="none"/>
        </w:rPr>
        <w:t>”</w:t>
      </w:r>
      <w:r>
        <w:rPr>
          <w:rFonts w:hint="eastAsia" w:hAnsi="宋体"/>
          <w:color w:val="auto"/>
          <w:sz w:val="21"/>
          <w:szCs w:val="21"/>
          <w:highlight w:val="none"/>
        </w:rPr>
        <w:t>或</w:t>
      </w:r>
      <w:r>
        <w:rPr>
          <w:rFonts w:hAnsi="宋体"/>
          <w:color w:val="auto"/>
          <w:sz w:val="21"/>
          <w:szCs w:val="21"/>
          <w:highlight w:val="none"/>
        </w:rPr>
        <w:t>“</w:t>
      </w:r>
      <w:r>
        <w:rPr>
          <w:rFonts w:hint="eastAsia" w:hAnsi="宋体"/>
          <w:color w:val="auto"/>
          <w:sz w:val="21"/>
          <w:szCs w:val="21"/>
          <w:highlight w:val="none"/>
        </w:rPr>
        <w:t>微型</w:t>
      </w:r>
      <w:r>
        <w:rPr>
          <w:rFonts w:hAnsi="宋体"/>
          <w:color w:val="auto"/>
          <w:sz w:val="21"/>
          <w:szCs w:val="21"/>
          <w:highlight w:val="none"/>
        </w:rPr>
        <w:t>”</w:t>
      </w:r>
      <w:r>
        <w:rPr>
          <w:rFonts w:hint="eastAsia" w:hAnsi="宋体"/>
          <w:color w:val="auto"/>
          <w:sz w:val="21"/>
          <w:szCs w:val="21"/>
          <w:highlight w:val="none"/>
        </w:rPr>
        <w:t>；</w:t>
      </w:r>
    </w:p>
    <w:p w14:paraId="5B6DA2F7">
      <w:pPr>
        <w:spacing w:line="240" w:lineRule="atLeast"/>
        <w:ind w:firstLine="411" w:firstLineChars="196"/>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政府采购节能产品、环境标志产品实施品目清单管理。投标人所投的“节能产品、环境标志产品”属于品目清单范围内的，须提供国家确定的认证机构出具的处于有效期之内的节能产品、环境标志产品认证证书复印件</w:t>
      </w:r>
      <w:r>
        <w:rPr>
          <w:rFonts w:ascii="宋体" w:hAnsi="宋体"/>
          <w:color w:val="auto"/>
          <w:szCs w:val="21"/>
          <w:highlight w:val="none"/>
        </w:rPr>
        <w:t>，并填写证书号</w:t>
      </w:r>
      <w:r>
        <w:rPr>
          <w:rFonts w:hint="eastAsia" w:ascii="宋体" w:hAnsi="宋体"/>
          <w:color w:val="auto"/>
          <w:szCs w:val="21"/>
          <w:highlight w:val="none"/>
        </w:rPr>
        <w:t>。（</w:t>
      </w:r>
      <w:r>
        <w:rPr>
          <w:rFonts w:ascii="宋体" w:hAnsi="宋体"/>
          <w:color w:val="auto"/>
          <w:szCs w:val="21"/>
          <w:highlight w:val="none"/>
        </w:rPr>
        <w:t>节能产品、</w:t>
      </w:r>
      <w:r>
        <w:rPr>
          <w:rFonts w:hint="eastAsia" w:ascii="宋体" w:hAnsi="宋体"/>
          <w:color w:val="auto"/>
          <w:szCs w:val="21"/>
          <w:highlight w:val="none"/>
        </w:rPr>
        <w:t>环境标志产品</w:t>
      </w:r>
      <w:r>
        <w:rPr>
          <w:rFonts w:ascii="宋体" w:hAnsi="宋体"/>
          <w:color w:val="auto"/>
          <w:szCs w:val="21"/>
          <w:highlight w:val="none"/>
        </w:rPr>
        <w:t>相关</w:t>
      </w:r>
      <w:r>
        <w:rPr>
          <w:rFonts w:hint="eastAsia" w:ascii="宋体" w:hAnsi="宋体"/>
          <w:color w:val="auto"/>
          <w:szCs w:val="21"/>
          <w:highlight w:val="none"/>
        </w:rPr>
        <w:t>信息可于中国政府采购网（www.ccgp.gov.cn）查询）</w:t>
      </w:r>
    </w:p>
    <w:p w14:paraId="50FDFF43">
      <w:pPr>
        <w:spacing w:line="240" w:lineRule="atLeast"/>
        <w:ind w:firstLine="411" w:firstLineChars="196"/>
        <w:rPr>
          <w:rFonts w:hint="eastAsia" w:ascii="宋体" w:hAnsi="宋体"/>
          <w:b/>
          <w:bCs/>
          <w:color w:val="auto"/>
          <w:szCs w:val="21"/>
          <w:highlight w:val="none"/>
        </w:rPr>
      </w:pPr>
      <w:r>
        <w:rPr>
          <w:rFonts w:ascii="宋体" w:hAnsi="宋体"/>
          <w:color w:val="auto"/>
          <w:szCs w:val="21"/>
          <w:highlight w:val="none"/>
        </w:rPr>
        <w:t>3</w:t>
      </w:r>
      <w:r>
        <w:rPr>
          <w:rFonts w:hint="eastAsia" w:ascii="宋体" w:hAnsi="宋体"/>
          <w:color w:val="auto"/>
          <w:szCs w:val="21"/>
          <w:highlight w:val="none"/>
        </w:rPr>
        <w:t>、最终报价中</w:t>
      </w:r>
      <w:r>
        <w:rPr>
          <w:rFonts w:ascii="宋体" w:hAnsi="宋体"/>
          <w:color w:val="auto"/>
          <w:szCs w:val="21"/>
          <w:highlight w:val="none"/>
        </w:rPr>
        <w:t>“</w:t>
      </w:r>
      <w:r>
        <w:rPr>
          <w:rFonts w:hint="eastAsia" w:ascii="宋体" w:hAnsi="宋体"/>
          <w:color w:val="auto"/>
          <w:szCs w:val="21"/>
          <w:highlight w:val="none"/>
        </w:rPr>
        <w:t>该产品报价占总报价比重</w:t>
      </w:r>
      <w:r>
        <w:rPr>
          <w:rFonts w:ascii="宋体" w:hAnsi="宋体"/>
          <w:color w:val="auto"/>
          <w:szCs w:val="21"/>
          <w:highlight w:val="none"/>
        </w:rPr>
        <w:t>”</w:t>
      </w:r>
      <w:r>
        <w:rPr>
          <w:rFonts w:hint="eastAsia" w:ascii="宋体" w:hAnsi="宋体"/>
          <w:color w:val="auto"/>
          <w:szCs w:val="21"/>
          <w:highlight w:val="none"/>
        </w:rPr>
        <w:t>视作不变。</w:t>
      </w:r>
    </w:p>
    <w:p w14:paraId="7CB3B0DD">
      <w:pPr>
        <w:tabs>
          <w:tab w:val="left" w:pos="567"/>
          <w:tab w:val="left" w:pos="993"/>
        </w:tabs>
        <w:ind w:firstLine="422" w:firstLineChars="200"/>
        <w:jc w:val="left"/>
        <w:rPr>
          <w:rFonts w:hint="eastAsia" w:ascii="宋体" w:hAnsi="宋体"/>
          <w:b/>
          <w:bCs/>
          <w:color w:val="auto"/>
          <w:szCs w:val="21"/>
          <w:highlight w:val="none"/>
        </w:rPr>
      </w:pPr>
    </w:p>
    <w:p w14:paraId="70122CAB">
      <w:pPr>
        <w:tabs>
          <w:tab w:val="left" w:pos="567"/>
          <w:tab w:val="left" w:pos="993"/>
        </w:tabs>
        <w:ind w:firstLine="422" w:firstLineChars="200"/>
        <w:jc w:val="left"/>
        <w:rPr>
          <w:rFonts w:hint="eastAsia" w:ascii="宋体" w:hAnsi="宋体"/>
          <w:b/>
          <w:bCs/>
          <w:color w:val="auto"/>
          <w:szCs w:val="21"/>
          <w:highlight w:val="none"/>
        </w:rPr>
      </w:pPr>
    </w:p>
    <w:p w14:paraId="1F3E3D6D">
      <w:pPr>
        <w:tabs>
          <w:tab w:val="left" w:pos="567"/>
          <w:tab w:val="left" w:pos="993"/>
        </w:tabs>
        <w:ind w:firstLine="422" w:firstLineChars="200"/>
        <w:jc w:val="left"/>
        <w:rPr>
          <w:rFonts w:hint="eastAsia" w:ascii="宋体" w:hAnsi="宋体"/>
          <w:b/>
          <w:bCs/>
          <w:color w:val="auto"/>
          <w:szCs w:val="21"/>
          <w:highlight w:val="none"/>
        </w:rPr>
      </w:pPr>
    </w:p>
    <w:p w14:paraId="1DF85B65">
      <w:pPr>
        <w:tabs>
          <w:tab w:val="left" w:pos="567"/>
          <w:tab w:val="left" w:pos="993"/>
        </w:tabs>
        <w:ind w:firstLine="422" w:firstLineChars="200"/>
        <w:jc w:val="left"/>
        <w:rPr>
          <w:rFonts w:hint="eastAsia" w:ascii="宋体" w:hAnsi="宋体"/>
          <w:b/>
          <w:bCs/>
          <w:color w:val="auto"/>
          <w:szCs w:val="21"/>
          <w:highlight w:val="none"/>
        </w:rPr>
      </w:pPr>
    </w:p>
    <w:p w14:paraId="788857E2">
      <w:pPr>
        <w:adjustRightInd w:val="0"/>
        <w:snapToGrid w:val="0"/>
        <w:rPr>
          <w:rFonts w:hint="eastAsia" w:ascii="宋体" w:hAnsi="宋体"/>
          <w:color w:val="auto"/>
          <w:szCs w:val="21"/>
          <w:highlight w:val="none"/>
        </w:rPr>
      </w:pPr>
      <w:r>
        <w:rPr>
          <w:rFonts w:hint="eastAsia" w:ascii="宋体" w:hAnsi="宋体"/>
          <w:color w:val="auto"/>
          <w:szCs w:val="21"/>
          <w:highlight w:val="none"/>
        </w:rPr>
        <w:t>投标人法定代表人（或法定代表人授权代表）签字：</w:t>
      </w:r>
      <w:r>
        <w:rPr>
          <w:rFonts w:hint="eastAsia" w:ascii="宋体" w:hAnsi="宋体"/>
          <w:color w:val="auto"/>
          <w:szCs w:val="21"/>
          <w:highlight w:val="none"/>
          <w:u w:val="single"/>
        </w:rPr>
        <w:t xml:space="preserve">                   </w:t>
      </w:r>
    </w:p>
    <w:p w14:paraId="11091FB3">
      <w:pPr>
        <w:adjustRightInd w:val="0"/>
        <w:snapToGrid w:val="0"/>
        <w:rPr>
          <w:rFonts w:hint="eastAsia" w:ascii="宋体" w:hAnsi="宋体"/>
          <w:color w:val="auto"/>
          <w:szCs w:val="21"/>
          <w:highlight w:val="none"/>
          <w:u w:val="single"/>
        </w:rPr>
      </w:pPr>
      <w:r>
        <w:rPr>
          <w:rFonts w:hint="eastAsia" w:ascii="宋体" w:hAnsi="宋体"/>
          <w:color w:val="auto"/>
          <w:szCs w:val="21"/>
          <w:highlight w:val="none"/>
        </w:rPr>
        <w:t>投标人名称（加盖公章）：</w:t>
      </w:r>
      <w:r>
        <w:rPr>
          <w:rFonts w:hint="eastAsia" w:ascii="宋体" w:hAnsi="宋体"/>
          <w:color w:val="auto"/>
          <w:szCs w:val="21"/>
          <w:highlight w:val="none"/>
          <w:u w:val="single"/>
        </w:rPr>
        <w:t xml:space="preserve">                        </w:t>
      </w:r>
    </w:p>
    <w:p w14:paraId="2DE2A766">
      <w:pPr>
        <w:adjustRightInd w:val="0"/>
        <w:snapToGrid w:val="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3132A49F">
      <w:pPr>
        <w:tabs>
          <w:tab w:val="left" w:pos="567"/>
          <w:tab w:val="left" w:pos="993"/>
        </w:tabs>
        <w:ind w:firstLine="422" w:firstLineChars="200"/>
        <w:jc w:val="left"/>
        <w:rPr>
          <w:rFonts w:hint="eastAsia" w:ascii="宋体" w:hAnsi="宋体"/>
          <w:b/>
          <w:bCs/>
          <w:color w:val="auto"/>
          <w:szCs w:val="21"/>
          <w:highlight w:val="none"/>
        </w:rPr>
      </w:pPr>
    </w:p>
    <w:p w14:paraId="598E373C">
      <w:pPr>
        <w:tabs>
          <w:tab w:val="left" w:pos="567"/>
          <w:tab w:val="left" w:pos="993"/>
        </w:tabs>
        <w:ind w:firstLine="422" w:firstLineChars="200"/>
        <w:jc w:val="left"/>
        <w:rPr>
          <w:rFonts w:hint="eastAsia" w:ascii="宋体" w:hAnsi="宋体"/>
          <w:b/>
          <w:bCs/>
          <w:color w:val="auto"/>
          <w:szCs w:val="21"/>
          <w:highlight w:val="none"/>
        </w:rPr>
      </w:pPr>
    </w:p>
    <w:p w14:paraId="69CCB2B3">
      <w:pPr>
        <w:tabs>
          <w:tab w:val="left" w:pos="567"/>
          <w:tab w:val="left" w:pos="993"/>
        </w:tabs>
        <w:ind w:firstLine="422" w:firstLineChars="200"/>
        <w:jc w:val="left"/>
        <w:rPr>
          <w:rFonts w:hint="eastAsia" w:ascii="宋体" w:hAnsi="宋体"/>
          <w:b/>
          <w:bCs/>
          <w:color w:val="auto"/>
          <w:szCs w:val="21"/>
          <w:highlight w:val="none"/>
        </w:rPr>
      </w:pPr>
    </w:p>
    <w:p w14:paraId="51D47820">
      <w:pPr>
        <w:tabs>
          <w:tab w:val="left" w:pos="567"/>
          <w:tab w:val="left" w:pos="993"/>
        </w:tabs>
        <w:ind w:firstLine="422" w:firstLineChars="200"/>
        <w:jc w:val="left"/>
        <w:rPr>
          <w:rFonts w:hint="eastAsia" w:ascii="宋体" w:hAnsi="宋体"/>
          <w:b/>
          <w:bCs/>
          <w:color w:val="auto"/>
          <w:szCs w:val="21"/>
          <w:highlight w:val="none"/>
        </w:rPr>
      </w:pPr>
    </w:p>
    <w:p w14:paraId="38051F2E">
      <w:pPr>
        <w:tabs>
          <w:tab w:val="left" w:pos="567"/>
          <w:tab w:val="left" w:pos="993"/>
        </w:tabs>
        <w:ind w:firstLine="422" w:firstLineChars="200"/>
        <w:jc w:val="left"/>
        <w:rPr>
          <w:rFonts w:hint="eastAsia" w:ascii="宋体" w:hAnsi="宋体"/>
          <w:b/>
          <w:bCs/>
          <w:color w:val="auto"/>
          <w:szCs w:val="21"/>
          <w:highlight w:val="none"/>
        </w:rPr>
      </w:pPr>
    </w:p>
    <w:p w14:paraId="4D107C2D">
      <w:pPr>
        <w:tabs>
          <w:tab w:val="left" w:pos="567"/>
          <w:tab w:val="left" w:pos="993"/>
        </w:tabs>
        <w:ind w:firstLine="422" w:firstLineChars="200"/>
        <w:jc w:val="left"/>
        <w:rPr>
          <w:rFonts w:hint="eastAsia" w:ascii="宋体" w:hAnsi="宋体"/>
          <w:b/>
          <w:bCs/>
          <w:color w:val="auto"/>
          <w:szCs w:val="21"/>
          <w:highlight w:val="none"/>
        </w:rPr>
      </w:pPr>
    </w:p>
    <w:p w14:paraId="04B6CE97">
      <w:pPr>
        <w:tabs>
          <w:tab w:val="left" w:pos="567"/>
          <w:tab w:val="left" w:pos="993"/>
        </w:tabs>
        <w:ind w:firstLine="422" w:firstLineChars="200"/>
        <w:jc w:val="left"/>
        <w:rPr>
          <w:rFonts w:hint="eastAsia" w:ascii="宋体" w:hAnsi="宋体"/>
          <w:b/>
          <w:bCs/>
          <w:color w:val="auto"/>
          <w:szCs w:val="21"/>
          <w:highlight w:val="none"/>
        </w:rPr>
      </w:pPr>
    </w:p>
    <w:p w14:paraId="0142B43D">
      <w:pPr>
        <w:tabs>
          <w:tab w:val="left" w:pos="567"/>
          <w:tab w:val="left" w:pos="993"/>
        </w:tabs>
        <w:ind w:firstLine="422" w:firstLineChars="200"/>
        <w:jc w:val="left"/>
        <w:rPr>
          <w:rFonts w:hint="eastAsia" w:ascii="宋体" w:hAnsi="宋体"/>
          <w:b/>
          <w:bCs/>
          <w:color w:val="auto"/>
          <w:szCs w:val="21"/>
          <w:highlight w:val="none"/>
        </w:rPr>
      </w:pPr>
    </w:p>
    <w:p w14:paraId="11174993">
      <w:pPr>
        <w:tabs>
          <w:tab w:val="left" w:pos="567"/>
          <w:tab w:val="left" w:pos="993"/>
        </w:tabs>
        <w:ind w:firstLine="422" w:firstLineChars="200"/>
        <w:jc w:val="left"/>
        <w:rPr>
          <w:rFonts w:hint="eastAsia" w:ascii="宋体" w:hAnsi="宋体"/>
          <w:b/>
          <w:bCs/>
          <w:color w:val="auto"/>
          <w:szCs w:val="21"/>
          <w:highlight w:val="none"/>
        </w:rPr>
      </w:pPr>
    </w:p>
    <w:p w14:paraId="2E138602">
      <w:pPr>
        <w:tabs>
          <w:tab w:val="left" w:pos="567"/>
          <w:tab w:val="left" w:pos="993"/>
        </w:tabs>
        <w:ind w:firstLine="422" w:firstLineChars="200"/>
        <w:jc w:val="left"/>
        <w:rPr>
          <w:rFonts w:hint="eastAsia" w:ascii="宋体" w:hAnsi="宋体"/>
          <w:b/>
          <w:bCs/>
          <w:color w:val="auto"/>
          <w:szCs w:val="21"/>
          <w:highlight w:val="none"/>
        </w:rPr>
      </w:pPr>
    </w:p>
    <w:p w14:paraId="0823C50E">
      <w:pPr>
        <w:tabs>
          <w:tab w:val="left" w:pos="567"/>
          <w:tab w:val="left" w:pos="993"/>
        </w:tabs>
        <w:ind w:firstLine="420" w:firstLineChars="200"/>
        <w:jc w:val="left"/>
        <w:rPr>
          <w:rFonts w:hint="eastAsia" w:ascii="宋体" w:hAnsi="宋体"/>
          <w:color w:val="auto"/>
          <w:szCs w:val="21"/>
          <w:highlight w:val="none"/>
        </w:rPr>
      </w:pPr>
    </w:p>
    <w:p w14:paraId="3DF65B3B">
      <w:pPr>
        <w:tabs>
          <w:tab w:val="left" w:pos="567"/>
          <w:tab w:val="left" w:pos="993"/>
        </w:tabs>
        <w:spacing w:line="480" w:lineRule="exact"/>
        <w:rPr>
          <w:rFonts w:hint="eastAsia" w:ascii="宋体" w:hAnsi="宋体"/>
          <w:b/>
          <w:bCs/>
          <w:color w:val="auto"/>
          <w:szCs w:val="21"/>
          <w:highlight w:val="none"/>
        </w:rPr>
      </w:pPr>
      <w:r>
        <w:rPr>
          <w:rFonts w:ascii="宋体" w:hAnsi="宋体"/>
          <w:b/>
          <w:color w:val="auto"/>
          <w:szCs w:val="21"/>
          <w:highlight w:val="none"/>
        </w:rPr>
        <w:br w:type="page"/>
      </w:r>
    </w:p>
    <w:p w14:paraId="2E0E1977">
      <w:pPr>
        <w:tabs>
          <w:tab w:val="left" w:pos="567"/>
          <w:tab w:val="left" w:pos="993"/>
        </w:tabs>
        <w:spacing w:line="480" w:lineRule="exact"/>
        <w:rPr>
          <w:rFonts w:hint="eastAsia" w:ascii="宋体" w:hAnsi="宋体"/>
          <w:b/>
          <w:color w:val="auto"/>
          <w:szCs w:val="21"/>
          <w:highlight w:val="none"/>
        </w:rPr>
      </w:pPr>
      <w:r>
        <w:rPr>
          <w:rFonts w:hint="eastAsia" w:ascii="宋体" w:hAnsi="宋体"/>
          <w:b/>
          <w:color w:val="auto"/>
          <w:szCs w:val="21"/>
          <w:highlight w:val="none"/>
        </w:rPr>
        <w:t>2.中小企业声明函（服务）</w:t>
      </w:r>
    </w:p>
    <w:p w14:paraId="24F88C4C">
      <w:pPr>
        <w:autoSpaceDE w:val="0"/>
        <w:autoSpaceDN w:val="0"/>
        <w:spacing w:line="360" w:lineRule="auto"/>
        <w:rPr>
          <w:rFonts w:hint="eastAsia" w:ascii="宋体" w:hAnsi="宋体"/>
          <w:b/>
          <w:color w:val="auto"/>
          <w:sz w:val="28"/>
          <w:szCs w:val="28"/>
          <w:highlight w:val="none"/>
        </w:rPr>
      </w:pPr>
    </w:p>
    <w:p w14:paraId="65410E44">
      <w:pPr>
        <w:autoSpaceDE w:val="0"/>
        <w:autoSpaceDN w:val="0"/>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中小企业声明函（服务）</w:t>
      </w:r>
    </w:p>
    <w:p w14:paraId="35D589A7">
      <w:pPr>
        <w:spacing w:line="480" w:lineRule="exact"/>
        <w:ind w:firstLine="444" w:firstLineChars="200"/>
        <w:rPr>
          <w:rFonts w:hint="eastAsia" w:ascii="宋体" w:hAnsi="宋体"/>
          <w:color w:val="auto"/>
          <w:spacing w:val="6"/>
          <w:szCs w:val="21"/>
          <w:highlight w:val="none"/>
          <w:lang w:val="zh-CN"/>
        </w:rPr>
      </w:pPr>
      <w:r>
        <w:rPr>
          <w:rFonts w:hint="eastAsia" w:ascii="宋体" w:hAnsi="宋体"/>
          <w:color w:val="auto"/>
          <w:spacing w:val="6"/>
          <w:szCs w:val="21"/>
          <w:highlight w:val="none"/>
          <w:lang w:val="zh-CN"/>
        </w:rPr>
        <w:t>本公司（联合体）郑重声明，根据《政府采购促进中小企业发展管理办法》（财库﹝2020﹞46 号）的规定，本公司（联合体）参加（</w:t>
      </w:r>
      <w:r>
        <w:rPr>
          <w:rFonts w:hint="eastAsia" w:ascii="宋体" w:hAnsi="宋体"/>
          <w:color w:val="auto"/>
          <w:spacing w:val="6"/>
          <w:szCs w:val="21"/>
          <w:highlight w:val="none"/>
          <w:u w:val="single"/>
          <w:lang w:val="zh-CN"/>
        </w:rPr>
        <w:t>单位名称</w:t>
      </w:r>
      <w:r>
        <w:rPr>
          <w:rFonts w:hint="eastAsia" w:ascii="宋体" w:hAnsi="宋体"/>
          <w:color w:val="auto"/>
          <w:spacing w:val="6"/>
          <w:szCs w:val="21"/>
          <w:highlight w:val="none"/>
          <w:lang w:val="zh-CN"/>
        </w:rPr>
        <w:t>）的（</w:t>
      </w:r>
      <w:r>
        <w:rPr>
          <w:rFonts w:hint="eastAsia" w:ascii="宋体" w:hAnsi="宋体"/>
          <w:color w:val="auto"/>
          <w:spacing w:val="6"/>
          <w:szCs w:val="21"/>
          <w:highlight w:val="none"/>
          <w:u w:val="single"/>
          <w:lang w:val="zh-CN"/>
        </w:rPr>
        <w:t>项目名称</w:t>
      </w:r>
      <w:r>
        <w:rPr>
          <w:rFonts w:hint="eastAsia" w:ascii="宋体" w:hAnsi="宋体"/>
          <w:color w:val="auto"/>
          <w:spacing w:val="6"/>
          <w:szCs w:val="21"/>
          <w:highlight w:val="none"/>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5EDF493A">
      <w:pPr>
        <w:spacing w:line="480" w:lineRule="exact"/>
        <w:ind w:firstLine="444" w:firstLineChars="200"/>
        <w:rPr>
          <w:rFonts w:hint="eastAsia" w:ascii="宋体" w:hAnsi="宋体"/>
          <w:color w:val="auto"/>
          <w:spacing w:val="6"/>
          <w:szCs w:val="21"/>
          <w:highlight w:val="none"/>
          <w:lang w:val="zh-CN"/>
        </w:rPr>
      </w:pPr>
      <w:r>
        <w:rPr>
          <w:rFonts w:hint="eastAsia" w:ascii="宋体" w:hAnsi="宋体"/>
          <w:color w:val="auto"/>
          <w:spacing w:val="6"/>
          <w:szCs w:val="21"/>
          <w:highlight w:val="none"/>
          <w:lang w:val="zh-CN"/>
        </w:rPr>
        <w:t>1. （</w:t>
      </w:r>
      <w:r>
        <w:rPr>
          <w:rFonts w:hint="eastAsia" w:ascii="宋体" w:hAnsi="宋体"/>
          <w:color w:val="auto"/>
          <w:spacing w:val="6"/>
          <w:szCs w:val="21"/>
          <w:highlight w:val="none"/>
          <w:u w:val="single"/>
          <w:lang w:val="zh-CN"/>
        </w:rPr>
        <w:t>标的名称</w:t>
      </w:r>
      <w:r>
        <w:rPr>
          <w:rFonts w:hint="eastAsia" w:ascii="宋体" w:hAnsi="宋体"/>
          <w:color w:val="auto"/>
          <w:spacing w:val="6"/>
          <w:szCs w:val="21"/>
          <w:highlight w:val="none"/>
          <w:lang w:val="zh-CN"/>
        </w:rPr>
        <w:t>），属于（</w:t>
      </w:r>
      <w:r>
        <w:rPr>
          <w:rFonts w:hint="eastAsia" w:ascii="宋体" w:hAnsi="宋体"/>
          <w:color w:val="auto"/>
          <w:spacing w:val="6"/>
          <w:szCs w:val="21"/>
          <w:highlight w:val="none"/>
          <w:u w:val="single"/>
          <w:lang w:val="zh-CN"/>
        </w:rPr>
        <w:t>采购文件中明确的所属行业</w:t>
      </w:r>
      <w:r>
        <w:rPr>
          <w:rFonts w:hint="eastAsia" w:ascii="宋体" w:hAnsi="宋体"/>
          <w:color w:val="auto"/>
          <w:spacing w:val="6"/>
          <w:szCs w:val="21"/>
          <w:highlight w:val="none"/>
          <w:lang w:val="zh-CN"/>
        </w:rPr>
        <w:t>）；承建（承接）企业为（</w:t>
      </w:r>
      <w:r>
        <w:rPr>
          <w:rFonts w:hint="eastAsia" w:ascii="宋体" w:hAnsi="宋体"/>
          <w:color w:val="auto"/>
          <w:spacing w:val="6"/>
          <w:szCs w:val="21"/>
          <w:highlight w:val="none"/>
          <w:u w:val="single"/>
          <w:lang w:val="zh-CN"/>
        </w:rPr>
        <w:t>企业名称</w:t>
      </w:r>
      <w:r>
        <w:rPr>
          <w:rFonts w:hint="eastAsia" w:ascii="宋体" w:hAnsi="宋体"/>
          <w:color w:val="auto"/>
          <w:spacing w:val="6"/>
          <w:szCs w:val="21"/>
          <w:highlight w:val="none"/>
          <w:lang w:val="zh-CN"/>
        </w:rPr>
        <w:t>），从业人员</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lang w:val="zh-CN"/>
        </w:rPr>
        <w:t>人，营业收入为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lang w:val="zh-CN"/>
        </w:rPr>
        <w:t>万元，资产总额为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lang w:val="zh-CN"/>
        </w:rPr>
        <w:t>万元，属于（中型企业、小型企业、微型企业）；</w:t>
      </w:r>
    </w:p>
    <w:p w14:paraId="3B6527F6">
      <w:pPr>
        <w:spacing w:line="480" w:lineRule="exact"/>
        <w:ind w:firstLine="444" w:firstLineChars="200"/>
        <w:rPr>
          <w:rFonts w:hint="eastAsia" w:ascii="宋体" w:hAnsi="宋体"/>
          <w:color w:val="auto"/>
          <w:spacing w:val="6"/>
          <w:szCs w:val="21"/>
          <w:highlight w:val="none"/>
          <w:lang w:val="zh-CN"/>
        </w:rPr>
      </w:pPr>
      <w:r>
        <w:rPr>
          <w:rFonts w:hint="eastAsia" w:ascii="宋体" w:hAnsi="宋体"/>
          <w:color w:val="auto"/>
          <w:spacing w:val="6"/>
          <w:szCs w:val="21"/>
          <w:highlight w:val="none"/>
          <w:lang w:val="zh-CN"/>
        </w:rPr>
        <w:t>2. （</w:t>
      </w:r>
      <w:r>
        <w:rPr>
          <w:rFonts w:hint="eastAsia" w:ascii="宋体" w:hAnsi="宋体"/>
          <w:color w:val="auto"/>
          <w:spacing w:val="6"/>
          <w:szCs w:val="21"/>
          <w:highlight w:val="none"/>
          <w:u w:val="single"/>
          <w:lang w:val="zh-CN"/>
        </w:rPr>
        <w:t>标的名称</w:t>
      </w:r>
      <w:r>
        <w:rPr>
          <w:rFonts w:hint="eastAsia" w:ascii="宋体" w:hAnsi="宋体"/>
          <w:color w:val="auto"/>
          <w:spacing w:val="6"/>
          <w:szCs w:val="21"/>
          <w:highlight w:val="none"/>
          <w:lang w:val="zh-CN"/>
        </w:rPr>
        <w:t>），属于（</w:t>
      </w:r>
      <w:r>
        <w:rPr>
          <w:rFonts w:hint="eastAsia" w:ascii="宋体" w:hAnsi="宋体"/>
          <w:color w:val="auto"/>
          <w:spacing w:val="6"/>
          <w:szCs w:val="21"/>
          <w:highlight w:val="none"/>
          <w:u w:val="single"/>
          <w:lang w:val="zh-CN"/>
        </w:rPr>
        <w:t>采购文件中明确的所属行业</w:t>
      </w:r>
      <w:r>
        <w:rPr>
          <w:rFonts w:hint="eastAsia" w:ascii="宋体" w:hAnsi="宋体"/>
          <w:color w:val="auto"/>
          <w:spacing w:val="6"/>
          <w:szCs w:val="21"/>
          <w:highlight w:val="none"/>
          <w:lang w:val="zh-CN"/>
        </w:rPr>
        <w:t>）；承建（承接）企业为（</w:t>
      </w:r>
      <w:r>
        <w:rPr>
          <w:rFonts w:hint="eastAsia" w:ascii="宋体" w:hAnsi="宋体"/>
          <w:color w:val="auto"/>
          <w:spacing w:val="6"/>
          <w:szCs w:val="21"/>
          <w:highlight w:val="none"/>
          <w:u w:val="single"/>
          <w:lang w:val="zh-CN"/>
        </w:rPr>
        <w:t>企业名称</w:t>
      </w:r>
      <w:r>
        <w:rPr>
          <w:rFonts w:hint="eastAsia" w:ascii="宋体" w:hAnsi="宋体"/>
          <w:color w:val="auto"/>
          <w:spacing w:val="6"/>
          <w:szCs w:val="21"/>
          <w:highlight w:val="none"/>
          <w:lang w:val="zh-CN"/>
        </w:rPr>
        <w:t>），从业人员</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lang w:val="zh-CN"/>
        </w:rPr>
        <w:t>人，营业收入为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lang w:val="zh-CN"/>
        </w:rPr>
        <w:t>万元，资产总额为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lang w:val="zh-CN"/>
        </w:rPr>
        <w:t>万元，属于（中型企业、小型企业、微型企业）；</w:t>
      </w:r>
    </w:p>
    <w:p w14:paraId="6391F032">
      <w:pPr>
        <w:spacing w:line="480" w:lineRule="exact"/>
        <w:ind w:firstLine="444" w:firstLineChars="200"/>
        <w:rPr>
          <w:rFonts w:hint="eastAsia" w:ascii="宋体" w:hAnsi="宋体"/>
          <w:color w:val="auto"/>
          <w:spacing w:val="6"/>
          <w:szCs w:val="21"/>
          <w:highlight w:val="none"/>
          <w:lang w:val="zh-CN"/>
        </w:rPr>
      </w:pPr>
      <w:r>
        <w:rPr>
          <w:rFonts w:hint="eastAsia" w:ascii="宋体" w:hAnsi="宋体"/>
          <w:color w:val="auto"/>
          <w:spacing w:val="6"/>
          <w:szCs w:val="21"/>
          <w:highlight w:val="none"/>
          <w:lang w:val="zh-CN"/>
        </w:rPr>
        <w:t>……</w:t>
      </w:r>
    </w:p>
    <w:p w14:paraId="5F5F155B">
      <w:pPr>
        <w:spacing w:line="480" w:lineRule="exact"/>
        <w:ind w:firstLine="444" w:firstLineChars="200"/>
        <w:rPr>
          <w:rFonts w:hint="eastAsia" w:ascii="宋体" w:hAnsi="宋体"/>
          <w:color w:val="auto"/>
          <w:spacing w:val="6"/>
          <w:szCs w:val="21"/>
          <w:highlight w:val="none"/>
          <w:lang w:val="zh-CN"/>
        </w:rPr>
      </w:pPr>
      <w:r>
        <w:rPr>
          <w:rFonts w:hint="eastAsia" w:ascii="宋体" w:hAnsi="宋体"/>
          <w:color w:val="auto"/>
          <w:spacing w:val="6"/>
          <w:szCs w:val="21"/>
          <w:highlight w:val="none"/>
          <w:lang w:val="zh-CN"/>
        </w:rPr>
        <w:t>以上企业，不属于大企业的分支机构，不存在控股股东为大企业的情形，也不存在与大企业的负责人为同一人的情形。</w:t>
      </w:r>
    </w:p>
    <w:p w14:paraId="6D09282F">
      <w:pPr>
        <w:spacing w:line="480" w:lineRule="exact"/>
        <w:ind w:firstLine="444" w:firstLineChars="200"/>
        <w:rPr>
          <w:rFonts w:hint="eastAsia" w:ascii="宋体" w:hAnsi="宋体"/>
          <w:color w:val="auto"/>
          <w:spacing w:val="6"/>
          <w:szCs w:val="21"/>
          <w:highlight w:val="none"/>
          <w:lang w:val="zh-CN"/>
        </w:rPr>
      </w:pPr>
      <w:r>
        <w:rPr>
          <w:rFonts w:hint="eastAsia" w:ascii="宋体" w:hAnsi="宋体"/>
          <w:color w:val="auto"/>
          <w:spacing w:val="6"/>
          <w:szCs w:val="21"/>
          <w:highlight w:val="none"/>
          <w:lang w:val="zh-CN"/>
        </w:rPr>
        <w:t>本企业对上述声明内容的真实性负责。如有虚假，将依法承担相应责任。</w:t>
      </w:r>
    </w:p>
    <w:p w14:paraId="1F14CB7F">
      <w:pPr>
        <w:spacing w:line="480" w:lineRule="exact"/>
        <w:ind w:firstLine="6216" w:firstLineChars="2800"/>
        <w:rPr>
          <w:rFonts w:hint="eastAsia" w:ascii="宋体" w:hAnsi="宋体"/>
          <w:color w:val="auto"/>
          <w:spacing w:val="6"/>
          <w:szCs w:val="21"/>
          <w:highlight w:val="none"/>
          <w:lang w:val="zh-CN"/>
        </w:rPr>
      </w:pPr>
    </w:p>
    <w:p w14:paraId="731922D1">
      <w:pPr>
        <w:spacing w:line="480" w:lineRule="exact"/>
        <w:ind w:firstLine="6216" w:firstLineChars="2800"/>
        <w:rPr>
          <w:rFonts w:hint="eastAsia" w:ascii="宋体" w:hAnsi="宋体"/>
          <w:color w:val="auto"/>
          <w:spacing w:val="6"/>
          <w:szCs w:val="21"/>
          <w:highlight w:val="none"/>
          <w:lang w:val="zh-CN"/>
        </w:rPr>
      </w:pPr>
    </w:p>
    <w:p w14:paraId="0ED91962">
      <w:pPr>
        <w:spacing w:line="480" w:lineRule="exact"/>
        <w:ind w:firstLine="6216" w:firstLineChars="2800"/>
        <w:rPr>
          <w:rFonts w:hint="eastAsia" w:ascii="宋体" w:hAnsi="宋体"/>
          <w:color w:val="auto"/>
          <w:spacing w:val="6"/>
          <w:szCs w:val="21"/>
          <w:highlight w:val="none"/>
          <w:lang w:val="zh-CN"/>
        </w:rPr>
      </w:pPr>
    </w:p>
    <w:p w14:paraId="640120EE">
      <w:pPr>
        <w:spacing w:line="480" w:lineRule="exact"/>
        <w:ind w:firstLine="6216" w:firstLineChars="2800"/>
        <w:rPr>
          <w:rFonts w:hint="eastAsia" w:ascii="宋体" w:hAnsi="宋体"/>
          <w:color w:val="auto"/>
          <w:spacing w:val="6"/>
          <w:szCs w:val="21"/>
          <w:highlight w:val="none"/>
          <w:lang w:val="zh-CN"/>
        </w:rPr>
      </w:pPr>
      <w:r>
        <w:rPr>
          <w:rFonts w:hint="eastAsia" w:ascii="宋体" w:hAnsi="宋体"/>
          <w:color w:val="auto"/>
          <w:spacing w:val="6"/>
          <w:szCs w:val="21"/>
          <w:highlight w:val="none"/>
          <w:lang w:val="zh-CN"/>
        </w:rPr>
        <w:t>企业名称（盖章）：</w:t>
      </w:r>
    </w:p>
    <w:p w14:paraId="5DA61156">
      <w:pPr>
        <w:spacing w:line="480" w:lineRule="exact"/>
        <w:ind w:firstLine="6216" w:firstLineChars="2800"/>
        <w:rPr>
          <w:rFonts w:hint="eastAsia" w:ascii="宋体" w:hAnsi="宋体"/>
          <w:color w:val="auto"/>
          <w:spacing w:val="6"/>
          <w:szCs w:val="21"/>
          <w:highlight w:val="none"/>
          <w:lang w:val="zh-CN"/>
        </w:rPr>
      </w:pPr>
      <w:r>
        <w:rPr>
          <w:rFonts w:hint="eastAsia" w:ascii="宋体" w:hAnsi="宋体"/>
          <w:color w:val="auto"/>
          <w:spacing w:val="6"/>
          <w:szCs w:val="21"/>
          <w:highlight w:val="none"/>
          <w:lang w:val="zh-CN"/>
        </w:rPr>
        <w:t>日期：</w:t>
      </w:r>
    </w:p>
    <w:p w14:paraId="3AC27B64">
      <w:pPr>
        <w:tabs>
          <w:tab w:val="left" w:pos="567"/>
          <w:tab w:val="left" w:pos="993"/>
        </w:tabs>
        <w:ind w:firstLine="422" w:firstLineChars="200"/>
        <w:jc w:val="left"/>
        <w:rPr>
          <w:rFonts w:hint="eastAsia" w:ascii="宋体" w:hAnsi="宋体"/>
          <w:b/>
          <w:bCs/>
          <w:color w:val="auto"/>
          <w:szCs w:val="21"/>
          <w:highlight w:val="none"/>
        </w:rPr>
      </w:pPr>
    </w:p>
    <w:p w14:paraId="2D98AAD6">
      <w:pPr>
        <w:tabs>
          <w:tab w:val="left" w:pos="567"/>
          <w:tab w:val="left" w:pos="993"/>
        </w:tabs>
        <w:ind w:firstLine="422" w:firstLineChars="200"/>
        <w:jc w:val="left"/>
        <w:rPr>
          <w:rFonts w:hint="eastAsia" w:ascii="宋体" w:hAnsi="宋体"/>
          <w:b/>
          <w:bCs/>
          <w:color w:val="auto"/>
          <w:szCs w:val="21"/>
          <w:highlight w:val="none"/>
        </w:rPr>
      </w:pPr>
    </w:p>
    <w:p w14:paraId="1352222E">
      <w:pPr>
        <w:tabs>
          <w:tab w:val="left" w:pos="567"/>
          <w:tab w:val="left" w:pos="993"/>
        </w:tabs>
        <w:ind w:firstLine="422" w:firstLineChars="200"/>
        <w:jc w:val="left"/>
        <w:rPr>
          <w:rFonts w:hint="eastAsia" w:ascii="宋体" w:hAnsi="宋体"/>
          <w:b/>
          <w:bCs/>
          <w:color w:val="auto"/>
          <w:szCs w:val="21"/>
          <w:highlight w:val="none"/>
        </w:rPr>
      </w:pPr>
    </w:p>
    <w:p w14:paraId="414860AC">
      <w:pPr>
        <w:tabs>
          <w:tab w:val="left" w:pos="567"/>
          <w:tab w:val="left" w:pos="993"/>
        </w:tabs>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w:t>
      </w:r>
    </w:p>
    <w:p w14:paraId="630A3824">
      <w:pPr>
        <w:tabs>
          <w:tab w:val="left" w:pos="567"/>
          <w:tab w:val="left" w:pos="993"/>
        </w:tabs>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1、从业人员、营业收入、资产总额填报上一年度数据，无上一年度数据的新成立企业可不填报。</w:t>
      </w:r>
    </w:p>
    <w:p w14:paraId="00138D23">
      <w:pPr>
        <w:tabs>
          <w:tab w:val="left" w:pos="567"/>
          <w:tab w:val="left" w:pos="993"/>
        </w:tabs>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2、中标、成交供应商享受中小企业扶持政策的，中标、成交供应商的《中小企业声明函》随中标、成交结果公开。</w:t>
      </w:r>
    </w:p>
    <w:p w14:paraId="1484A312">
      <w:pPr>
        <w:rPr>
          <w:rFonts w:hint="eastAsia" w:ascii="宋体" w:hAnsi="宋体"/>
          <w:b/>
          <w:color w:val="auto"/>
          <w:szCs w:val="21"/>
          <w:highlight w:val="none"/>
        </w:rPr>
      </w:pPr>
      <w:r>
        <w:rPr>
          <w:rFonts w:hint="eastAsia" w:ascii="宋体" w:hAnsi="宋体"/>
          <w:b/>
          <w:color w:val="auto"/>
          <w:szCs w:val="21"/>
          <w:highlight w:val="none"/>
        </w:rPr>
        <w:br w:type="page"/>
      </w:r>
    </w:p>
    <w:p w14:paraId="0B1A2937">
      <w:pPr>
        <w:spacing w:line="588" w:lineRule="exact"/>
        <w:jc w:val="left"/>
        <w:rPr>
          <w:rFonts w:hint="eastAsia" w:ascii="宋体" w:hAnsi="宋体"/>
          <w:b/>
          <w:color w:val="auto"/>
          <w:spacing w:val="6"/>
          <w:sz w:val="28"/>
          <w:szCs w:val="28"/>
          <w:highlight w:val="none"/>
        </w:rPr>
      </w:pPr>
      <w:r>
        <w:rPr>
          <w:rFonts w:hint="eastAsia" w:ascii="宋体" w:hAnsi="宋体"/>
          <w:b/>
          <w:color w:val="auto"/>
          <w:szCs w:val="21"/>
          <w:highlight w:val="none"/>
        </w:rPr>
        <w:t>3.残疾人福利性单位声明函</w:t>
      </w:r>
      <w:bookmarkStart w:id="33" w:name="OLE_LINK13"/>
      <w:bookmarkStart w:id="34" w:name="OLE_LINK14"/>
    </w:p>
    <w:p w14:paraId="2E36A552">
      <w:pPr>
        <w:spacing w:line="480" w:lineRule="exact"/>
        <w:ind w:firstLine="586" w:firstLineChars="200"/>
        <w:jc w:val="center"/>
        <w:rPr>
          <w:rFonts w:hint="eastAsia" w:ascii="宋体" w:hAnsi="宋体"/>
          <w:b/>
          <w:color w:val="auto"/>
          <w:spacing w:val="6"/>
          <w:sz w:val="28"/>
          <w:szCs w:val="28"/>
          <w:highlight w:val="none"/>
        </w:rPr>
      </w:pPr>
      <w:r>
        <w:rPr>
          <w:rFonts w:hint="eastAsia" w:ascii="宋体" w:hAnsi="宋体"/>
          <w:b/>
          <w:color w:val="auto"/>
          <w:spacing w:val="6"/>
          <w:sz w:val="28"/>
          <w:szCs w:val="28"/>
          <w:highlight w:val="none"/>
        </w:rPr>
        <w:t>残疾人福利性单位声明函</w:t>
      </w:r>
    </w:p>
    <w:bookmarkEnd w:id="33"/>
    <w:bookmarkEnd w:id="34"/>
    <w:p w14:paraId="7E771458">
      <w:pPr>
        <w:spacing w:line="588" w:lineRule="exact"/>
        <w:rPr>
          <w:rFonts w:ascii="仿宋_GB2312" w:eastAsia="仿宋_GB2312"/>
          <w:b/>
          <w:color w:val="auto"/>
          <w:spacing w:val="6"/>
          <w:sz w:val="30"/>
          <w:szCs w:val="30"/>
          <w:highlight w:val="none"/>
        </w:rPr>
      </w:pPr>
    </w:p>
    <w:p w14:paraId="173B37B0">
      <w:pPr>
        <w:spacing w:line="480" w:lineRule="exact"/>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CE7A76">
      <w:pPr>
        <w:spacing w:line="480" w:lineRule="exact"/>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41E01B33">
      <w:pPr>
        <w:spacing w:line="480" w:lineRule="exact"/>
        <w:ind w:firstLine="444" w:firstLineChars="200"/>
        <w:rPr>
          <w:rFonts w:hint="eastAsia" w:ascii="宋体" w:hAnsi="宋体"/>
          <w:color w:val="auto"/>
          <w:spacing w:val="6"/>
          <w:szCs w:val="21"/>
          <w:highlight w:val="none"/>
        </w:rPr>
      </w:pPr>
    </w:p>
    <w:p w14:paraId="7C40E75F">
      <w:pPr>
        <w:spacing w:line="480" w:lineRule="exact"/>
        <w:ind w:firstLine="444" w:firstLineChars="200"/>
        <w:rPr>
          <w:rFonts w:hint="eastAsia" w:ascii="宋体" w:hAnsi="宋体"/>
          <w:color w:val="auto"/>
          <w:spacing w:val="6"/>
          <w:szCs w:val="21"/>
          <w:highlight w:val="none"/>
        </w:rPr>
      </w:pPr>
    </w:p>
    <w:p w14:paraId="0EC1B9C9">
      <w:pPr>
        <w:spacing w:line="480" w:lineRule="exact"/>
        <w:ind w:firstLine="444" w:firstLineChars="200"/>
        <w:rPr>
          <w:rFonts w:hint="eastAsia" w:ascii="宋体" w:hAnsi="宋体"/>
          <w:color w:val="auto"/>
          <w:spacing w:val="6"/>
          <w:szCs w:val="21"/>
          <w:highlight w:val="none"/>
        </w:rPr>
      </w:pPr>
    </w:p>
    <w:p w14:paraId="105624EF">
      <w:pPr>
        <w:spacing w:line="480" w:lineRule="exact"/>
        <w:ind w:firstLine="444" w:firstLineChars="200"/>
        <w:rPr>
          <w:rFonts w:hint="eastAsia" w:ascii="宋体" w:hAnsi="宋体"/>
          <w:color w:val="auto"/>
          <w:spacing w:val="6"/>
          <w:szCs w:val="21"/>
          <w:highlight w:val="none"/>
        </w:rPr>
      </w:pPr>
    </w:p>
    <w:p w14:paraId="37207E09">
      <w:pPr>
        <w:spacing w:line="480" w:lineRule="exact"/>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投标单位名称（盖章）：</w:t>
      </w:r>
    </w:p>
    <w:p w14:paraId="6678027E">
      <w:pPr>
        <w:spacing w:line="480" w:lineRule="exact"/>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日  期：</w:t>
      </w:r>
    </w:p>
    <w:p w14:paraId="6F45985A">
      <w:pPr>
        <w:autoSpaceDE w:val="0"/>
        <w:autoSpaceDN w:val="0"/>
        <w:spacing w:line="360" w:lineRule="auto"/>
        <w:rPr>
          <w:rFonts w:hint="eastAsia" w:ascii="宋体" w:hAnsi="宋体"/>
          <w:b/>
          <w:color w:val="auto"/>
          <w:sz w:val="28"/>
          <w:szCs w:val="28"/>
          <w:highlight w:val="none"/>
        </w:rPr>
      </w:pPr>
    </w:p>
    <w:p w14:paraId="3A529FE1">
      <w:pPr>
        <w:autoSpaceDE w:val="0"/>
        <w:autoSpaceDN w:val="0"/>
        <w:spacing w:line="360" w:lineRule="auto"/>
        <w:rPr>
          <w:rFonts w:hint="eastAsia" w:ascii="宋体" w:hAnsi="宋体"/>
          <w:b/>
          <w:color w:val="auto"/>
          <w:sz w:val="28"/>
          <w:szCs w:val="28"/>
          <w:highlight w:val="none"/>
        </w:rPr>
      </w:pPr>
    </w:p>
    <w:p w14:paraId="4A0F0AD1">
      <w:pPr>
        <w:autoSpaceDE w:val="0"/>
        <w:autoSpaceDN w:val="0"/>
        <w:spacing w:line="360" w:lineRule="auto"/>
        <w:rPr>
          <w:rFonts w:hint="eastAsia" w:ascii="宋体" w:hAnsi="宋体"/>
          <w:b/>
          <w:color w:val="auto"/>
          <w:sz w:val="28"/>
          <w:szCs w:val="28"/>
          <w:highlight w:val="none"/>
        </w:rPr>
      </w:pPr>
    </w:p>
    <w:p w14:paraId="60DC58D9">
      <w:pPr>
        <w:autoSpaceDE w:val="0"/>
        <w:autoSpaceDN w:val="0"/>
        <w:spacing w:line="360" w:lineRule="auto"/>
        <w:rPr>
          <w:rFonts w:hint="eastAsia" w:ascii="宋体" w:hAnsi="宋体"/>
          <w:b/>
          <w:color w:val="auto"/>
          <w:sz w:val="28"/>
          <w:szCs w:val="28"/>
          <w:highlight w:val="none"/>
        </w:rPr>
      </w:pPr>
    </w:p>
    <w:p w14:paraId="5F867B23">
      <w:pPr>
        <w:rPr>
          <w:rFonts w:hint="eastAsia" w:ascii="宋体" w:hAnsi="宋体"/>
          <w:color w:val="auto"/>
          <w:spacing w:val="6"/>
          <w:szCs w:val="21"/>
          <w:highlight w:val="none"/>
        </w:rPr>
      </w:pPr>
      <w:r>
        <w:rPr>
          <w:rFonts w:hint="eastAsia" w:ascii="宋体" w:hAnsi="宋体"/>
          <w:color w:val="auto"/>
          <w:spacing w:val="6"/>
          <w:szCs w:val="21"/>
          <w:highlight w:val="none"/>
        </w:rPr>
        <w:t>备注：中标、成交供应商承诺为残疾人福利性单位的，供应商的《残疾人福利性单位声明函》将随中标、成交结果同时公告，接受社会监督。</w:t>
      </w:r>
    </w:p>
    <w:p w14:paraId="0EA05AE6">
      <w:pPr>
        <w:autoSpaceDE w:val="0"/>
        <w:autoSpaceDN w:val="0"/>
        <w:spacing w:line="360" w:lineRule="auto"/>
        <w:rPr>
          <w:rFonts w:hint="eastAsia" w:ascii="宋体" w:hAnsi="宋体"/>
          <w:b/>
          <w:color w:val="auto"/>
          <w:sz w:val="28"/>
          <w:szCs w:val="28"/>
          <w:highlight w:val="none"/>
        </w:rPr>
      </w:pPr>
    </w:p>
    <w:p w14:paraId="2D041781">
      <w:pPr>
        <w:autoSpaceDE w:val="0"/>
        <w:autoSpaceDN w:val="0"/>
        <w:spacing w:line="360" w:lineRule="auto"/>
        <w:rPr>
          <w:rFonts w:hint="eastAsia" w:ascii="宋体" w:hAnsi="宋体"/>
          <w:b/>
          <w:color w:val="auto"/>
          <w:sz w:val="28"/>
          <w:szCs w:val="28"/>
          <w:highlight w:val="none"/>
        </w:rPr>
      </w:pPr>
    </w:p>
    <w:p w14:paraId="4B77CAC2">
      <w:pPr>
        <w:autoSpaceDE w:val="0"/>
        <w:autoSpaceDN w:val="0"/>
        <w:spacing w:line="360" w:lineRule="auto"/>
        <w:rPr>
          <w:rFonts w:hint="eastAsia" w:ascii="宋体" w:hAnsi="宋体"/>
          <w:b/>
          <w:color w:val="auto"/>
          <w:sz w:val="28"/>
          <w:szCs w:val="28"/>
          <w:highlight w:val="none"/>
        </w:rPr>
      </w:pPr>
    </w:p>
    <w:p w14:paraId="0444CDF9">
      <w:pPr>
        <w:autoSpaceDE w:val="0"/>
        <w:autoSpaceDN w:val="0"/>
        <w:spacing w:line="360" w:lineRule="auto"/>
        <w:rPr>
          <w:rFonts w:hint="eastAsia" w:ascii="宋体" w:hAnsi="宋体"/>
          <w:b/>
          <w:color w:val="auto"/>
          <w:sz w:val="28"/>
          <w:szCs w:val="28"/>
          <w:highlight w:val="none"/>
        </w:rPr>
      </w:pPr>
    </w:p>
    <w:p w14:paraId="564E200F">
      <w:pPr>
        <w:autoSpaceDE w:val="0"/>
        <w:autoSpaceDN w:val="0"/>
        <w:spacing w:line="360" w:lineRule="auto"/>
        <w:rPr>
          <w:rFonts w:hint="eastAsia" w:ascii="宋体" w:hAnsi="宋体"/>
          <w:b/>
          <w:color w:val="auto"/>
          <w:sz w:val="28"/>
          <w:szCs w:val="28"/>
          <w:highlight w:val="none"/>
        </w:rPr>
      </w:pPr>
    </w:p>
    <w:p w14:paraId="6436E2B8">
      <w:pPr>
        <w:widowControl/>
        <w:jc w:val="left"/>
        <w:rPr>
          <w:rFonts w:hint="eastAsia" w:ascii="宋体" w:hAnsi="宋体"/>
          <w:b/>
          <w:color w:val="auto"/>
          <w:szCs w:val="21"/>
          <w:highlight w:val="none"/>
        </w:rPr>
      </w:pPr>
      <w:r>
        <w:rPr>
          <w:rFonts w:ascii="宋体" w:hAnsi="宋体"/>
          <w:b/>
          <w:color w:val="auto"/>
          <w:szCs w:val="21"/>
          <w:highlight w:val="none"/>
        </w:rPr>
        <w:br w:type="page"/>
      </w:r>
    </w:p>
    <w:p w14:paraId="1B02FA16">
      <w:pPr>
        <w:tabs>
          <w:tab w:val="left" w:pos="567"/>
          <w:tab w:val="left" w:pos="993"/>
        </w:tabs>
        <w:spacing w:line="480" w:lineRule="exact"/>
        <w:rPr>
          <w:rFonts w:hint="eastAsia" w:ascii="宋体" w:hAnsi="宋体"/>
          <w:b/>
          <w:color w:val="auto"/>
          <w:szCs w:val="21"/>
          <w:highlight w:val="none"/>
        </w:rPr>
      </w:pPr>
      <w:r>
        <w:rPr>
          <w:rFonts w:hint="eastAsia" w:ascii="宋体" w:hAnsi="宋体"/>
          <w:b/>
          <w:color w:val="auto"/>
          <w:szCs w:val="21"/>
          <w:highlight w:val="none"/>
        </w:rPr>
        <w:t>4.</w:t>
      </w:r>
      <w:r>
        <w:rPr>
          <w:rFonts w:hint="eastAsia" w:ascii="宋体" w:hAnsi="宋体"/>
          <w:b/>
          <w:color w:val="auto"/>
          <w:szCs w:val="21"/>
          <w:highlight w:val="none"/>
          <w:lang w:eastAsia="zh-CN"/>
        </w:rPr>
        <w:t>分包意向协议</w:t>
      </w:r>
      <w:r>
        <w:rPr>
          <w:rFonts w:hint="eastAsia" w:ascii="宋体" w:hAnsi="宋体"/>
          <w:b/>
          <w:color w:val="auto"/>
          <w:szCs w:val="21"/>
          <w:highlight w:val="none"/>
        </w:rPr>
        <w:t>（以合同分包形式参加投标时适用）</w:t>
      </w:r>
    </w:p>
    <w:p w14:paraId="02A32181">
      <w:pPr>
        <w:rPr>
          <w:color w:val="auto"/>
          <w:highlight w:val="none"/>
        </w:rPr>
      </w:pPr>
      <w:r>
        <w:rPr>
          <w:rFonts w:hint="eastAsia"/>
          <w:color w:val="auto"/>
          <w:highlight w:val="none"/>
        </w:rPr>
        <w:t>备注：若以合同分包形式参加投标时，参考下列格式提供《</w:t>
      </w:r>
      <w:r>
        <w:rPr>
          <w:rFonts w:hint="eastAsia"/>
          <w:color w:val="auto"/>
          <w:highlight w:val="none"/>
          <w:lang w:eastAsia="zh-CN"/>
        </w:rPr>
        <w:t>分包意向协议</w:t>
      </w:r>
      <w:r>
        <w:rPr>
          <w:rFonts w:hint="eastAsia"/>
          <w:color w:val="auto"/>
          <w:highlight w:val="none"/>
        </w:rPr>
        <w:t>》。</w:t>
      </w:r>
    </w:p>
    <w:p w14:paraId="1250037F">
      <w:pPr>
        <w:ind w:firstLine="420" w:firstLineChars="200"/>
        <w:jc w:val="center"/>
        <w:rPr>
          <w:rFonts w:hint="eastAsia" w:eastAsia="宋体"/>
          <w:color w:val="auto"/>
          <w:highlight w:val="none"/>
          <w:lang w:eastAsia="zh-CN"/>
        </w:rPr>
      </w:pPr>
      <w:r>
        <w:rPr>
          <w:rFonts w:hint="eastAsia"/>
          <w:color w:val="auto"/>
          <w:highlight w:val="none"/>
          <w:lang w:eastAsia="zh-CN"/>
        </w:rPr>
        <w:t>分包意向协议</w:t>
      </w:r>
    </w:p>
    <w:p w14:paraId="5CEB8037">
      <w:pPr>
        <w:spacing w:line="360" w:lineRule="auto"/>
        <w:ind w:firstLine="420" w:firstLineChars="200"/>
        <w:rPr>
          <w:color w:val="auto"/>
          <w:highlight w:val="none"/>
        </w:rPr>
      </w:pPr>
      <w:r>
        <w:rPr>
          <w:rFonts w:hint="eastAsia"/>
          <w:color w:val="auto"/>
          <w:highlight w:val="none"/>
        </w:rPr>
        <w:t>立约方：</w:t>
      </w:r>
    </w:p>
    <w:p w14:paraId="7C995CD3">
      <w:pPr>
        <w:spacing w:line="360" w:lineRule="auto"/>
        <w:ind w:firstLine="420" w:firstLineChars="200"/>
        <w:rPr>
          <w:color w:val="auto"/>
          <w:highlight w:val="none"/>
        </w:rPr>
      </w:pPr>
      <w:r>
        <w:rPr>
          <w:rFonts w:hint="eastAsia"/>
          <w:color w:val="auto"/>
          <w:highlight w:val="none"/>
        </w:rPr>
        <w:t>（甲公司全称）</w:t>
      </w:r>
    </w:p>
    <w:p w14:paraId="58B17BBF">
      <w:pPr>
        <w:spacing w:line="360" w:lineRule="auto"/>
        <w:ind w:firstLine="420" w:firstLineChars="200"/>
        <w:rPr>
          <w:color w:val="auto"/>
          <w:highlight w:val="none"/>
        </w:rPr>
      </w:pPr>
      <w:r>
        <w:rPr>
          <w:rFonts w:hint="eastAsia"/>
          <w:color w:val="auto"/>
          <w:highlight w:val="none"/>
        </w:rPr>
        <w:t>（乙公司全称）</w:t>
      </w:r>
    </w:p>
    <w:p w14:paraId="5D6825EE">
      <w:pPr>
        <w:spacing w:line="360" w:lineRule="auto"/>
        <w:ind w:firstLine="420" w:firstLineChars="200"/>
        <w:rPr>
          <w:color w:val="auto"/>
          <w:highlight w:val="none"/>
        </w:rPr>
      </w:pPr>
      <w:r>
        <w:rPr>
          <w:rFonts w:hint="eastAsia"/>
          <w:color w:val="auto"/>
          <w:highlight w:val="none"/>
        </w:rPr>
        <w:t>（……公司全称）</w:t>
      </w:r>
    </w:p>
    <w:p w14:paraId="05859965">
      <w:pPr>
        <w:spacing w:line="360" w:lineRule="auto"/>
        <w:ind w:firstLine="420" w:firstLineChars="200"/>
        <w:rPr>
          <w:color w:val="auto"/>
          <w:highlight w:val="none"/>
        </w:rPr>
      </w:pPr>
    </w:p>
    <w:p w14:paraId="2EE2E320">
      <w:pPr>
        <w:spacing w:line="360" w:lineRule="auto"/>
        <w:ind w:firstLine="420" w:firstLineChars="200"/>
        <w:rPr>
          <w:color w:val="auto"/>
          <w:highlight w:val="none"/>
        </w:rPr>
      </w:pPr>
      <w:r>
        <w:rPr>
          <w:rFonts w:hint="eastAsia"/>
          <w:color w:val="auto"/>
          <w:highlight w:val="none"/>
        </w:rPr>
        <w:t>（甲公司全称）就（项目名称）（项目编号）（包组号）的投标事宜，与（乙公司全称），（……公司全称）通过友好协商达成以下协议：</w:t>
      </w:r>
    </w:p>
    <w:p w14:paraId="7C48824F">
      <w:pPr>
        <w:spacing w:line="360" w:lineRule="auto"/>
        <w:ind w:firstLine="420" w:firstLineChars="200"/>
        <w:rPr>
          <w:color w:val="auto"/>
          <w:highlight w:val="none"/>
        </w:rPr>
      </w:pPr>
    </w:p>
    <w:p w14:paraId="3E84308F">
      <w:pPr>
        <w:spacing w:line="360" w:lineRule="auto"/>
        <w:ind w:firstLine="420" w:firstLineChars="200"/>
        <w:rPr>
          <w:color w:val="auto"/>
          <w:highlight w:val="none"/>
        </w:rPr>
      </w:pPr>
      <w:r>
        <w:rPr>
          <w:rFonts w:hint="eastAsia"/>
          <w:color w:val="auto"/>
          <w:highlight w:val="none"/>
        </w:rPr>
        <w:t>一、在本次投标有效期内，（乙公司全称），（……公司全称）同意（甲公司全称）</w:t>
      </w:r>
    </w:p>
    <w:p w14:paraId="7409CE9D">
      <w:pPr>
        <w:spacing w:line="360" w:lineRule="auto"/>
        <w:ind w:firstLine="420" w:firstLineChars="200"/>
        <w:rPr>
          <w:color w:val="auto"/>
          <w:highlight w:val="none"/>
        </w:rPr>
      </w:pPr>
      <w:r>
        <w:rPr>
          <w:rFonts w:hint="eastAsia"/>
          <w:color w:val="auto"/>
          <w:highlight w:val="none"/>
        </w:rPr>
        <w:t>进行上述投标事宜。若中标，各方按照本协议中约定的分工事项，完成各方对应的工作。</w:t>
      </w:r>
    </w:p>
    <w:p w14:paraId="050D1B7D">
      <w:pPr>
        <w:spacing w:line="360" w:lineRule="auto"/>
        <w:ind w:firstLine="420" w:firstLineChars="200"/>
        <w:rPr>
          <w:color w:val="auto"/>
          <w:highlight w:val="none"/>
        </w:rPr>
      </w:pPr>
    </w:p>
    <w:p w14:paraId="3D0FB582">
      <w:pPr>
        <w:spacing w:line="360" w:lineRule="auto"/>
        <w:ind w:firstLine="420" w:firstLineChars="200"/>
        <w:rPr>
          <w:color w:val="auto"/>
          <w:highlight w:val="none"/>
        </w:rPr>
      </w:pPr>
      <w:r>
        <w:rPr>
          <w:rFonts w:hint="eastAsia"/>
          <w:color w:val="auto"/>
          <w:highlight w:val="none"/>
        </w:rPr>
        <w:t>二、各方分工：</w:t>
      </w:r>
    </w:p>
    <w:p w14:paraId="21AAD971">
      <w:pPr>
        <w:spacing w:line="360" w:lineRule="auto"/>
        <w:ind w:firstLine="420" w:firstLineChars="200"/>
        <w:rPr>
          <w:color w:val="auto"/>
          <w:highlight w:val="none"/>
        </w:rPr>
      </w:pPr>
      <w:r>
        <w:rPr>
          <w:rFonts w:hint="eastAsia"/>
          <w:color w:val="auto"/>
          <w:highlight w:val="none"/>
        </w:rPr>
        <w:t>1. 本项目投标工作由（甲公司全称）负责。</w:t>
      </w:r>
    </w:p>
    <w:p w14:paraId="2227D578">
      <w:pPr>
        <w:spacing w:line="360" w:lineRule="auto"/>
        <w:ind w:firstLine="420" w:firstLineChars="200"/>
        <w:rPr>
          <w:color w:val="auto"/>
          <w:highlight w:val="none"/>
        </w:rPr>
      </w:pPr>
      <w:r>
        <w:rPr>
          <w:rFonts w:hint="eastAsia"/>
          <w:color w:val="auto"/>
          <w:highlight w:val="none"/>
        </w:rPr>
        <w:t>2. 本项目由（甲公司全称）授权人员负责与采购人联系。</w:t>
      </w:r>
    </w:p>
    <w:p w14:paraId="270FDD97">
      <w:pPr>
        <w:spacing w:line="360" w:lineRule="auto"/>
        <w:ind w:firstLine="420" w:firstLineChars="200"/>
        <w:rPr>
          <w:color w:val="auto"/>
          <w:highlight w:val="none"/>
        </w:rPr>
      </w:pPr>
      <w:r>
        <w:rPr>
          <w:rFonts w:hint="eastAsia"/>
          <w:color w:val="auto"/>
          <w:highlight w:val="none"/>
        </w:rPr>
        <w:t>3. （甲公司全称）为分包方，拟承担的工作和责任: 。</w:t>
      </w:r>
    </w:p>
    <w:p w14:paraId="1CF4A146">
      <w:pPr>
        <w:spacing w:line="360" w:lineRule="auto"/>
        <w:ind w:firstLine="420" w:firstLineChars="200"/>
        <w:rPr>
          <w:color w:val="auto"/>
          <w:highlight w:val="none"/>
        </w:rPr>
      </w:pPr>
      <w:r>
        <w:rPr>
          <w:rFonts w:hint="eastAsia"/>
          <w:color w:val="auto"/>
          <w:highlight w:val="none"/>
        </w:rPr>
        <w:t>4. （乙公司全称）为分包承担方，拟承担的工作和责任: 。</w:t>
      </w:r>
    </w:p>
    <w:p w14:paraId="5DECCE97">
      <w:pPr>
        <w:spacing w:line="360" w:lineRule="auto"/>
        <w:ind w:firstLine="420" w:firstLineChars="200"/>
        <w:rPr>
          <w:color w:val="auto"/>
          <w:highlight w:val="none"/>
        </w:rPr>
      </w:pPr>
      <w:r>
        <w:rPr>
          <w:rFonts w:hint="eastAsia"/>
          <w:color w:val="auto"/>
          <w:highlight w:val="none"/>
        </w:rPr>
        <w:t>5. （……公司全称）为分包承担方，拟承担的工作和责任: 。</w:t>
      </w:r>
    </w:p>
    <w:p w14:paraId="006681C1">
      <w:pPr>
        <w:spacing w:line="360" w:lineRule="auto"/>
        <w:ind w:firstLine="420" w:firstLineChars="200"/>
        <w:rPr>
          <w:color w:val="auto"/>
          <w:highlight w:val="none"/>
        </w:rPr>
      </w:pPr>
      <w:r>
        <w:rPr>
          <w:rFonts w:hint="eastAsia"/>
          <w:color w:val="auto"/>
          <w:highlight w:val="none"/>
        </w:rPr>
        <w:t>6. 分包给中小企业承担的合同金额比例□符合□不符合（请勾选）本项目招标文件的要求。</w:t>
      </w:r>
    </w:p>
    <w:p w14:paraId="1645C85F">
      <w:pPr>
        <w:spacing w:line="360" w:lineRule="auto"/>
        <w:ind w:firstLine="420" w:firstLineChars="200"/>
        <w:rPr>
          <w:color w:val="auto"/>
          <w:highlight w:val="none"/>
        </w:rPr>
      </w:pPr>
      <w:r>
        <w:rPr>
          <w:rFonts w:hint="eastAsia"/>
          <w:color w:val="auto"/>
          <w:highlight w:val="none"/>
        </w:rPr>
        <w:t>7. 如本项目或采购包属于预留份额面向中小企业，接受分包合同的中小企业与分包企业之间不存在直接控股、管理关系。</w:t>
      </w:r>
    </w:p>
    <w:p w14:paraId="6F762429">
      <w:pPr>
        <w:spacing w:line="360" w:lineRule="auto"/>
        <w:ind w:firstLine="420" w:firstLineChars="200"/>
        <w:rPr>
          <w:color w:val="auto"/>
          <w:highlight w:val="none"/>
        </w:rPr>
      </w:pPr>
      <w:r>
        <w:rPr>
          <w:rFonts w:hint="eastAsia"/>
          <w:color w:val="auto"/>
          <w:highlight w:val="none"/>
        </w:rPr>
        <w:t>8. 如中标，各方应按照招标文件的各项要求和内部职责的划分，承担自身所负的责任和风险。</w:t>
      </w:r>
    </w:p>
    <w:p w14:paraId="6E83ED97">
      <w:pPr>
        <w:spacing w:line="360" w:lineRule="auto"/>
        <w:ind w:firstLine="420" w:firstLineChars="200"/>
        <w:rPr>
          <w:color w:val="auto"/>
          <w:highlight w:val="none"/>
        </w:rPr>
      </w:pPr>
    </w:p>
    <w:p w14:paraId="41518F0F">
      <w:pPr>
        <w:spacing w:line="360" w:lineRule="auto"/>
        <w:ind w:firstLine="420" w:firstLineChars="200"/>
        <w:rPr>
          <w:color w:val="auto"/>
          <w:highlight w:val="none"/>
        </w:rPr>
      </w:pPr>
      <w:r>
        <w:rPr>
          <w:rFonts w:hint="eastAsia"/>
          <w:color w:val="auto"/>
          <w:highlight w:val="none"/>
        </w:rPr>
        <w:t>三、本协议在自签署之日起生效，投标有效期内有效，如获中标资格，合同有效期延续至合同履行完毕之日。</w:t>
      </w:r>
    </w:p>
    <w:p w14:paraId="1203407A">
      <w:pPr>
        <w:spacing w:line="360" w:lineRule="auto"/>
        <w:ind w:firstLine="420" w:firstLineChars="200"/>
        <w:rPr>
          <w:color w:val="auto"/>
          <w:highlight w:val="none"/>
        </w:rPr>
      </w:pPr>
      <w:r>
        <w:rPr>
          <w:rFonts w:hint="eastAsia"/>
          <w:color w:val="auto"/>
          <w:highlight w:val="none"/>
        </w:rPr>
        <w:t>四、本协议书正本一式份，随投标文件装订份，送采购人份，分包意向协议成员各一份；副本一式份，分包意向协议成员各执份。</w:t>
      </w:r>
    </w:p>
    <w:p w14:paraId="571A17C3">
      <w:pPr>
        <w:spacing w:line="360" w:lineRule="auto"/>
        <w:ind w:firstLine="420" w:firstLineChars="200"/>
        <w:rPr>
          <w:color w:val="auto"/>
          <w:highlight w:val="none"/>
        </w:rPr>
      </w:pPr>
    </w:p>
    <w:p w14:paraId="37F21A72">
      <w:pPr>
        <w:spacing w:line="360" w:lineRule="auto"/>
        <w:ind w:firstLine="420" w:firstLineChars="200"/>
        <w:rPr>
          <w:color w:val="auto"/>
          <w:highlight w:val="none"/>
        </w:rPr>
      </w:pPr>
      <w:r>
        <w:rPr>
          <w:rFonts w:hint="eastAsia"/>
          <w:color w:val="auto"/>
          <w:highlight w:val="none"/>
        </w:rPr>
        <w:t>甲公司全称：（盖章）</w:t>
      </w:r>
    </w:p>
    <w:p w14:paraId="6B8C62DA">
      <w:pPr>
        <w:spacing w:line="360" w:lineRule="auto"/>
        <w:ind w:firstLine="420" w:firstLineChars="200"/>
        <w:rPr>
          <w:color w:val="auto"/>
          <w:highlight w:val="none"/>
        </w:rPr>
      </w:pPr>
      <w:r>
        <w:rPr>
          <w:rFonts w:hint="eastAsia"/>
          <w:color w:val="auto"/>
          <w:highlight w:val="none"/>
        </w:rPr>
        <w:t>法定代表人：（签字）</w:t>
      </w:r>
    </w:p>
    <w:p w14:paraId="54D918D4">
      <w:pPr>
        <w:spacing w:line="360" w:lineRule="auto"/>
        <w:ind w:firstLine="420" w:firstLineChars="200"/>
        <w:rPr>
          <w:color w:val="auto"/>
          <w:highlight w:val="none"/>
        </w:rPr>
      </w:pPr>
      <w:r>
        <w:rPr>
          <w:rFonts w:hint="eastAsia"/>
          <w:color w:val="auto"/>
          <w:highlight w:val="none"/>
        </w:rPr>
        <w:t>年月日</w:t>
      </w:r>
    </w:p>
    <w:p w14:paraId="73DEDC62">
      <w:pPr>
        <w:spacing w:line="360" w:lineRule="auto"/>
        <w:ind w:firstLine="420" w:firstLineChars="200"/>
        <w:rPr>
          <w:color w:val="auto"/>
          <w:highlight w:val="none"/>
        </w:rPr>
      </w:pPr>
      <w:r>
        <w:rPr>
          <w:rFonts w:hint="eastAsia"/>
          <w:color w:val="auto"/>
          <w:highlight w:val="none"/>
        </w:rPr>
        <w:t>乙公司全称：（盖章）</w:t>
      </w:r>
    </w:p>
    <w:p w14:paraId="6CAB7DB5">
      <w:pPr>
        <w:spacing w:line="360" w:lineRule="auto"/>
        <w:ind w:firstLine="420" w:firstLineChars="200"/>
        <w:rPr>
          <w:color w:val="auto"/>
          <w:highlight w:val="none"/>
        </w:rPr>
      </w:pPr>
      <w:r>
        <w:rPr>
          <w:rFonts w:hint="eastAsia"/>
          <w:color w:val="auto"/>
          <w:highlight w:val="none"/>
        </w:rPr>
        <w:t>法定代表人：（签字）</w:t>
      </w:r>
    </w:p>
    <w:p w14:paraId="50A4CFCB">
      <w:pPr>
        <w:spacing w:line="360" w:lineRule="auto"/>
        <w:ind w:firstLine="420" w:firstLineChars="200"/>
        <w:rPr>
          <w:color w:val="auto"/>
          <w:highlight w:val="none"/>
        </w:rPr>
      </w:pPr>
      <w:r>
        <w:rPr>
          <w:rFonts w:hint="eastAsia"/>
          <w:color w:val="auto"/>
          <w:highlight w:val="none"/>
        </w:rPr>
        <w:t>年月日</w:t>
      </w:r>
    </w:p>
    <w:p w14:paraId="063F7447">
      <w:pPr>
        <w:spacing w:line="360" w:lineRule="auto"/>
        <w:ind w:firstLine="420" w:firstLineChars="200"/>
        <w:rPr>
          <w:color w:val="auto"/>
          <w:highlight w:val="none"/>
        </w:rPr>
      </w:pPr>
      <w:r>
        <w:rPr>
          <w:rFonts w:hint="eastAsia"/>
          <w:color w:val="auto"/>
          <w:highlight w:val="none"/>
        </w:rPr>
        <w:t>……公司全称（盖章）</w:t>
      </w:r>
    </w:p>
    <w:p w14:paraId="25C2544B">
      <w:pPr>
        <w:spacing w:line="360" w:lineRule="auto"/>
        <w:ind w:firstLine="420" w:firstLineChars="200"/>
        <w:rPr>
          <w:color w:val="auto"/>
          <w:highlight w:val="none"/>
        </w:rPr>
      </w:pPr>
      <w:r>
        <w:rPr>
          <w:rFonts w:hint="eastAsia"/>
          <w:color w:val="auto"/>
          <w:highlight w:val="none"/>
        </w:rPr>
        <w:t>法定代表人：（签字）</w:t>
      </w:r>
    </w:p>
    <w:p w14:paraId="4CD05C71">
      <w:pPr>
        <w:spacing w:line="360" w:lineRule="auto"/>
        <w:ind w:firstLine="420" w:firstLineChars="200"/>
        <w:rPr>
          <w:color w:val="auto"/>
          <w:highlight w:val="none"/>
        </w:rPr>
      </w:pPr>
      <w:r>
        <w:rPr>
          <w:rFonts w:hint="eastAsia"/>
          <w:color w:val="auto"/>
          <w:highlight w:val="none"/>
        </w:rPr>
        <w:t>年月日</w:t>
      </w:r>
    </w:p>
    <w:p w14:paraId="35A2BF6A">
      <w:pPr>
        <w:spacing w:line="360" w:lineRule="auto"/>
        <w:ind w:firstLine="420" w:firstLineChars="200"/>
        <w:rPr>
          <w:color w:val="auto"/>
          <w:highlight w:val="none"/>
        </w:rPr>
      </w:pPr>
    </w:p>
    <w:p w14:paraId="0D9EDAED">
      <w:pPr>
        <w:spacing w:line="360" w:lineRule="auto"/>
        <w:ind w:firstLine="420" w:firstLineChars="200"/>
        <w:rPr>
          <w:color w:val="auto"/>
          <w:highlight w:val="none"/>
        </w:rPr>
      </w:pPr>
      <w:r>
        <w:rPr>
          <w:rFonts w:hint="eastAsia"/>
          <w:color w:val="auto"/>
          <w:highlight w:val="none"/>
        </w:rPr>
        <w:t>注：</w:t>
      </w:r>
    </w:p>
    <w:p w14:paraId="12011895">
      <w:pPr>
        <w:spacing w:line="360" w:lineRule="auto"/>
        <w:ind w:firstLine="420" w:firstLineChars="200"/>
        <w:rPr>
          <w:color w:val="auto"/>
          <w:highlight w:val="none"/>
        </w:rPr>
      </w:pPr>
      <w:r>
        <w:rPr>
          <w:rFonts w:hint="eastAsia"/>
          <w:color w:val="auto"/>
          <w:highlight w:val="none"/>
        </w:rPr>
        <w:t>1. 投标人投标时应签订本协议，协议各方成员应在本协议上共同盖章确认。</w:t>
      </w:r>
    </w:p>
    <w:p w14:paraId="566BFDC1">
      <w:pPr>
        <w:spacing w:line="360" w:lineRule="auto"/>
        <w:ind w:firstLine="420" w:firstLineChars="200"/>
        <w:rPr>
          <w:color w:val="auto"/>
          <w:highlight w:val="none"/>
        </w:rPr>
      </w:pPr>
      <w:r>
        <w:rPr>
          <w:rFonts w:hint="eastAsia"/>
          <w:color w:val="auto"/>
          <w:highlight w:val="none"/>
        </w:rPr>
        <w:t>2. 本协议内容不得擅自修改。此协议将作为签订合同的附件之一。</w:t>
      </w:r>
    </w:p>
    <w:p w14:paraId="670DB8A7">
      <w:pPr>
        <w:spacing w:line="360" w:lineRule="auto"/>
        <w:ind w:firstLine="420" w:firstLineChars="200"/>
        <w:rPr>
          <w:color w:val="auto"/>
          <w:highlight w:val="none"/>
        </w:rPr>
      </w:pPr>
      <w:r>
        <w:rPr>
          <w:rFonts w:hint="eastAsia"/>
          <w:color w:val="auto"/>
          <w:highlight w:val="none"/>
        </w:rPr>
        <w:t>3. 附分包单位的资质证书</w:t>
      </w:r>
    </w:p>
    <w:p w14:paraId="796D72BF">
      <w:pPr>
        <w:widowControl/>
        <w:jc w:val="left"/>
        <w:rPr>
          <w:rFonts w:hint="eastAsia" w:ascii="宋体" w:hAnsi="宋体"/>
          <w:b/>
          <w:color w:val="auto"/>
          <w:szCs w:val="21"/>
          <w:highlight w:val="none"/>
        </w:rPr>
      </w:pPr>
      <w:r>
        <w:rPr>
          <w:rFonts w:hint="eastAsia" w:ascii="宋体" w:hAnsi="宋体"/>
          <w:b/>
          <w:color w:val="auto"/>
          <w:szCs w:val="21"/>
          <w:highlight w:val="none"/>
        </w:rPr>
        <w:br w:type="page"/>
      </w:r>
    </w:p>
    <w:p w14:paraId="3028F861">
      <w:pPr>
        <w:tabs>
          <w:tab w:val="left" w:pos="567"/>
          <w:tab w:val="left" w:pos="993"/>
        </w:tabs>
        <w:spacing w:line="480" w:lineRule="exact"/>
        <w:rPr>
          <w:rFonts w:hint="eastAsia" w:ascii="宋体" w:hAnsi="宋体"/>
          <w:b/>
          <w:color w:val="auto"/>
          <w:szCs w:val="21"/>
          <w:highlight w:val="none"/>
        </w:rPr>
      </w:pPr>
      <w:r>
        <w:rPr>
          <w:rFonts w:hint="eastAsia" w:ascii="宋体" w:hAnsi="宋体"/>
          <w:b/>
          <w:color w:val="auto"/>
          <w:szCs w:val="21"/>
          <w:highlight w:val="none"/>
        </w:rPr>
        <w:t>5.政府采购履约担保函（适用于履约保证金以保函形式提交）</w:t>
      </w:r>
    </w:p>
    <w:p w14:paraId="54552A67">
      <w:pPr>
        <w:jc w:val="center"/>
        <w:rPr>
          <w:rFonts w:hint="eastAsia" w:ascii="华文中宋" w:hAnsi="华文中宋" w:eastAsia="华文中宋"/>
          <w:b/>
          <w:color w:val="auto"/>
          <w:sz w:val="32"/>
          <w:szCs w:val="32"/>
          <w:highlight w:val="none"/>
        </w:rPr>
      </w:pPr>
    </w:p>
    <w:p w14:paraId="66053A61">
      <w:pPr>
        <w:jc w:val="center"/>
        <w:rPr>
          <w:rFonts w:ascii="黑体" w:eastAsia="黑体"/>
          <w:color w:val="auto"/>
          <w:sz w:val="30"/>
          <w:szCs w:val="30"/>
          <w:highlight w:val="none"/>
        </w:rPr>
      </w:pPr>
      <w:r>
        <w:rPr>
          <w:rFonts w:hint="eastAsia" w:ascii="华文中宋" w:hAnsi="华文中宋" w:eastAsia="华文中宋"/>
          <w:b/>
          <w:color w:val="auto"/>
          <w:sz w:val="32"/>
          <w:szCs w:val="32"/>
          <w:highlight w:val="none"/>
        </w:rPr>
        <w:t>政府采购履约担保函</w:t>
      </w:r>
    </w:p>
    <w:p w14:paraId="11287C58">
      <w:pPr>
        <w:spacing w:after="312" w:afterLines="100"/>
        <w:jc w:val="center"/>
        <w:rPr>
          <w:color w:val="auto"/>
          <w:highlight w:val="none"/>
        </w:rPr>
      </w:pPr>
      <w:r>
        <w:rPr>
          <w:rFonts w:hint="eastAsia" w:ascii="华文中宋" w:hAnsi="华文中宋" w:eastAsia="华文中宋"/>
          <w:b/>
          <w:color w:val="auto"/>
          <w:szCs w:val="21"/>
          <w:highlight w:val="none"/>
        </w:rPr>
        <w:t>（适用于履约保证金以保函形式提交）</w:t>
      </w:r>
    </w:p>
    <w:p w14:paraId="5F8293A8">
      <w:pPr>
        <w:spacing w:before="156" w:beforeLines="50" w:after="156" w:afterLines="50"/>
        <w:rPr>
          <w:color w:val="auto"/>
          <w:highlight w:val="none"/>
        </w:rPr>
      </w:pPr>
      <w:r>
        <w:rPr>
          <w:rFonts w:hint="eastAsia"/>
          <w:color w:val="auto"/>
          <w:highlight w:val="none"/>
          <w:u w:val="single"/>
        </w:rPr>
        <w:t xml:space="preserve">                  </w:t>
      </w:r>
      <w:r>
        <w:rPr>
          <w:rFonts w:hint="eastAsia"/>
          <w:color w:val="auto"/>
          <w:highlight w:val="none"/>
        </w:rPr>
        <w:t>（采购人）：</w:t>
      </w:r>
    </w:p>
    <w:p w14:paraId="4762DFB8">
      <w:pPr>
        <w:ind w:firstLine="420" w:firstLineChars="200"/>
        <w:rPr>
          <w:color w:val="auto"/>
          <w:highlight w:val="none"/>
        </w:rPr>
      </w:pPr>
      <w:r>
        <w:rPr>
          <w:rFonts w:hint="eastAsia"/>
          <w:color w:val="auto"/>
          <w:highlight w:val="none"/>
        </w:rPr>
        <w:t>鉴于你方与</w:t>
      </w:r>
      <w:r>
        <w:rPr>
          <w:rFonts w:hint="eastAsia"/>
          <w:color w:val="auto"/>
          <w:highlight w:val="none"/>
          <w:u w:val="single"/>
        </w:rPr>
        <w:t xml:space="preserve">                    </w:t>
      </w:r>
      <w:r>
        <w:rPr>
          <w:rFonts w:hint="eastAsia"/>
          <w:color w:val="auto"/>
          <w:highlight w:val="none"/>
        </w:rPr>
        <w:t>（以下简称供应商）于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日签定编号为   的《</w:t>
      </w:r>
      <w:r>
        <w:rPr>
          <w:rFonts w:hint="eastAsia"/>
          <w:color w:val="auto"/>
          <w:highlight w:val="none"/>
          <w:u w:val="single"/>
        </w:rPr>
        <w:t xml:space="preserve">           </w:t>
      </w:r>
      <w:r>
        <w:rPr>
          <w:rFonts w:hint="eastAsia"/>
          <w:color w:val="auto"/>
          <w:highlight w:val="none"/>
        </w:rPr>
        <w:t>政府采购合同》（以下简称主合同），且依据该合同的约定，供应商应在</w:t>
      </w:r>
      <w:r>
        <w:rPr>
          <w:rFonts w:hint="eastAsia"/>
          <w:color w:val="auto"/>
          <w:highlight w:val="none"/>
          <w:u w:val="single"/>
        </w:rPr>
        <w:t xml:space="preserve">    </w:t>
      </w:r>
      <w:r>
        <w:rPr>
          <w:rFonts w:hint="eastAsia"/>
          <w:color w:val="auto"/>
          <w:highlight w:val="none"/>
        </w:rPr>
        <w:t>年</w:t>
      </w:r>
    </w:p>
    <w:p w14:paraId="5CE9A52F">
      <w:pPr>
        <w:rPr>
          <w:color w:val="auto"/>
          <w:highlight w:val="none"/>
        </w:rPr>
      </w:pP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日前向你方交纳履约保证金，且可以履约担保函的形式交纳履约保证金。应供应商的申请，我方以保证的方式向你方提供如下履约保证金担保：</w:t>
      </w:r>
    </w:p>
    <w:p w14:paraId="44018037">
      <w:pPr>
        <w:ind w:firstLine="420" w:firstLineChars="200"/>
        <w:rPr>
          <w:color w:val="auto"/>
          <w:highlight w:val="none"/>
        </w:rPr>
      </w:pPr>
      <w:r>
        <w:rPr>
          <w:rFonts w:hint="eastAsia"/>
          <w:color w:val="auto"/>
          <w:highlight w:val="none"/>
        </w:rPr>
        <w:t>一、保证责任的情形及保证金额</w:t>
      </w:r>
    </w:p>
    <w:p w14:paraId="52412BF2">
      <w:pPr>
        <w:ind w:firstLine="420" w:firstLineChars="200"/>
        <w:rPr>
          <w:color w:val="auto"/>
          <w:highlight w:val="none"/>
        </w:rPr>
      </w:pPr>
      <w:r>
        <w:rPr>
          <w:rFonts w:hint="eastAsia"/>
          <w:color w:val="auto"/>
          <w:highlight w:val="none"/>
        </w:rPr>
        <w:t>（一）在供应商出现下列情形之一时，我方承担保证责任：</w:t>
      </w:r>
    </w:p>
    <w:p w14:paraId="4B897B9F">
      <w:pPr>
        <w:ind w:firstLine="420" w:firstLineChars="200"/>
        <w:rPr>
          <w:color w:val="auto"/>
          <w:highlight w:val="none"/>
        </w:rPr>
      </w:pPr>
      <w:r>
        <w:rPr>
          <w:rFonts w:hint="eastAsia"/>
          <w:color w:val="auto"/>
          <w:highlight w:val="none"/>
        </w:rPr>
        <w:t>1．将中标项目转让给他人，或者在投标文件中未说明，且未经采购招标机构人同意，将中标项目分包给他人的；</w:t>
      </w:r>
    </w:p>
    <w:p w14:paraId="27059CBC">
      <w:pPr>
        <w:rPr>
          <w:color w:val="auto"/>
          <w:highlight w:val="none"/>
        </w:rPr>
      </w:pPr>
      <w:r>
        <w:rPr>
          <w:rFonts w:hint="eastAsia"/>
          <w:color w:val="auto"/>
          <w:highlight w:val="none"/>
        </w:rPr>
        <w:t xml:space="preserve">　　2．主合同约定的应当缴纳履约保证金的情形： </w:t>
      </w:r>
    </w:p>
    <w:p w14:paraId="00979823">
      <w:pPr>
        <w:ind w:firstLine="420" w:firstLineChars="200"/>
        <w:rPr>
          <w:color w:val="auto"/>
          <w:highlight w:val="none"/>
        </w:rPr>
      </w:pPr>
      <w:r>
        <w:rPr>
          <w:rFonts w:hint="eastAsia"/>
          <w:color w:val="auto"/>
          <w:highlight w:val="none"/>
        </w:rPr>
        <w:t>（1）未按主合同约定的质量、数量和期限供应货物/提供服务/完成工程的；</w:t>
      </w:r>
    </w:p>
    <w:p w14:paraId="6FA3DBDD">
      <w:pPr>
        <w:ind w:firstLine="420" w:firstLineChars="200"/>
        <w:rPr>
          <w:color w:val="auto"/>
          <w:highlight w:val="none"/>
        </w:rPr>
      </w:pPr>
      <w:r>
        <w:rPr>
          <w:rFonts w:hint="eastAsia"/>
          <w:color w:val="auto"/>
          <w:highlight w:val="none"/>
        </w:rPr>
        <w:t>（2）</w:t>
      </w:r>
      <w:r>
        <w:rPr>
          <w:rFonts w:hint="eastAsia"/>
          <w:color w:val="auto"/>
          <w:highlight w:val="none"/>
          <w:u w:val="single"/>
        </w:rPr>
        <w:t xml:space="preserve">                                                           </w:t>
      </w:r>
      <w:r>
        <w:rPr>
          <w:rFonts w:hint="eastAsia"/>
          <w:color w:val="auto"/>
          <w:highlight w:val="none"/>
        </w:rPr>
        <w:t>。</w:t>
      </w:r>
    </w:p>
    <w:p w14:paraId="67AAA4E1">
      <w:pPr>
        <w:ind w:firstLine="420" w:firstLineChars="200"/>
        <w:rPr>
          <w:color w:val="auto"/>
          <w:highlight w:val="none"/>
        </w:rPr>
      </w:pPr>
      <w:r>
        <w:rPr>
          <w:rFonts w:hint="eastAsia"/>
          <w:color w:val="auto"/>
          <w:highlight w:val="none"/>
        </w:rPr>
        <w:t>（二）我方的保证范围是主合同约定的合同价款总额的</w:t>
      </w:r>
      <w:r>
        <w:rPr>
          <w:rFonts w:hint="eastAsia"/>
          <w:color w:val="auto"/>
          <w:highlight w:val="none"/>
          <w:u w:val="single"/>
        </w:rPr>
        <w:t xml:space="preserve">        </w:t>
      </w:r>
      <w:r>
        <w:rPr>
          <w:rFonts w:hint="eastAsia"/>
          <w:color w:val="auto"/>
          <w:highlight w:val="none"/>
        </w:rPr>
        <w:t>%数额为</w:t>
      </w:r>
      <w:r>
        <w:rPr>
          <w:rFonts w:hint="eastAsia"/>
          <w:color w:val="auto"/>
          <w:highlight w:val="none"/>
          <w:u w:val="single"/>
        </w:rPr>
        <w:t xml:space="preserve">         </w:t>
      </w:r>
      <w:r>
        <w:rPr>
          <w:rFonts w:hint="eastAsia"/>
          <w:color w:val="auto"/>
          <w:highlight w:val="none"/>
        </w:rPr>
        <w:t>元（大写</w:t>
      </w:r>
      <w:r>
        <w:rPr>
          <w:rFonts w:hint="eastAsia"/>
          <w:color w:val="auto"/>
          <w:highlight w:val="none"/>
          <w:u w:val="single"/>
        </w:rPr>
        <w:t xml:space="preserve">           </w:t>
      </w:r>
      <w:r>
        <w:rPr>
          <w:rFonts w:hint="eastAsia"/>
          <w:color w:val="auto"/>
          <w:highlight w:val="none"/>
        </w:rPr>
        <w:t>），币种为</w:t>
      </w:r>
      <w:r>
        <w:rPr>
          <w:rFonts w:hint="eastAsia"/>
          <w:color w:val="auto"/>
          <w:highlight w:val="none"/>
          <w:u w:val="single"/>
        </w:rPr>
        <w:t xml:space="preserve">        </w:t>
      </w:r>
      <w:r>
        <w:rPr>
          <w:rFonts w:hint="eastAsia"/>
          <w:color w:val="auto"/>
          <w:highlight w:val="none"/>
        </w:rPr>
        <w:t>。（即主合同履约保证金金额）</w:t>
      </w:r>
    </w:p>
    <w:p w14:paraId="507953D8">
      <w:pPr>
        <w:ind w:firstLine="420" w:firstLineChars="200"/>
        <w:rPr>
          <w:color w:val="auto"/>
          <w:highlight w:val="none"/>
        </w:rPr>
      </w:pPr>
      <w:r>
        <w:rPr>
          <w:rFonts w:hint="eastAsia"/>
          <w:color w:val="auto"/>
          <w:highlight w:val="none"/>
        </w:rPr>
        <w:t>二、保证的方式及保证期间</w:t>
      </w:r>
    </w:p>
    <w:p w14:paraId="648C8946">
      <w:pPr>
        <w:ind w:firstLine="420" w:firstLineChars="200"/>
        <w:rPr>
          <w:color w:val="auto"/>
          <w:highlight w:val="none"/>
        </w:rPr>
      </w:pPr>
      <w:r>
        <w:rPr>
          <w:rFonts w:hint="eastAsia"/>
          <w:color w:val="auto"/>
          <w:highlight w:val="none"/>
        </w:rPr>
        <w:t>我方保证的方式为：连带责任保证。</w:t>
      </w:r>
    </w:p>
    <w:p w14:paraId="43C5A047">
      <w:pPr>
        <w:ind w:firstLine="420" w:firstLineChars="200"/>
        <w:rPr>
          <w:color w:val="auto"/>
          <w:highlight w:val="none"/>
        </w:rPr>
      </w:pPr>
      <w:r>
        <w:rPr>
          <w:rFonts w:hint="eastAsia"/>
          <w:color w:val="auto"/>
          <w:highlight w:val="none"/>
        </w:rPr>
        <w:t>我方保证的期间为：自本合同生效之日起至供应商按照主合同约定的供货/完工期限届满后</w:t>
      </w:r>
      <w:r>
        <w:rPr>
          <w:rFonts w:hint="eastAsia"/>
          <w:color w:val="auto"/>
          <w:highlight w:val="none"/>
          <w:u w:val="single"/>
        </w:rPr>
        <w:t xml:space="preserve">     </w:t>
      </w:r>
      <w:r>
        <w:rPr>
          <w:rFonts w:hint="eastAsia"/>
          <w:color w:val="auto"/>
          <w:highlight w:val="none"/>
        </w:rPr>
        <w:t>日内。</w:t>
      </w:r>
    </w:p>
    <w:p w14:paraId="17525EBC">
      <w:pPr>
        <w:ind w:firstLine="420" w:firstLineChars="200"/>
        <w:rPr>
          <w:color w:val="auto"/>
          <w:highlight w:val="none"/>
        </w:rPr>
      </w:pPr>
      <w:r>
        <w:rPr>
          <w:rFonts w:hint="eastAsia"/>
          <w:color w:val="auto"/>
          <w:highlight w:val="none"/>
        </w:rPr>
        <w:t>如果供应商未按主合同约定向贵方供应货物/提供服务/完成工程的，由我方在保证金额内向你方支付上述款项。</w:t>
      </w:r>
    </w:p>
    <w:p w14:paraId="655CAC1F">
      <w:pPr>
        <w:ind w:firstLine="420" w:firstLineChars="200"/>
        <w:rPr>
          <w:color w:val="auto"/>
          <w:highlight w:val="none"/>
        </w:rPr>
      </w:pPr>
      <w:r>
        <w:rPr>
          <w:rFonts w:hint="eastAsia"/>
          <w:color w:val="auto"/>
          <w:highlight w:val="none"/>
        </w:rPr>
        <w:t>三、承担保证责任的程序</w:t>
      </w:r>
    </w:p>
    <w:p w14:paraId="2C09D4B3">
      <w:pPr>
        <w:ind w:firstLine="420" w:firstLineChars="200"/>
        <w:rPr>
          <w:color w:val="auto"/>
          <w:highlight w:val="none"/>
        </w:rPr>
      </w:pPr>
      <w:r>
        <w:rPr>
          <w:rFonts w:hint="eastAsia"/>
          <w:color w:val="auto"/>
          <w:highlight w:val="none"/>
        </w:rPr>
        <w:t>1．你方要求我方承担保证责任的，应在本保函保证期间内向我方发出书面索赔通知。索赔通知应写明要求索赔的金额，支付款项应到达的账号。并附有证明供应商违约事实的证明材料。</w:t>
      </w:r>
    </w:p>
    <w:p w14:paraId="57EAE62B">
      <w:pPr>
        <w:ind w:firstLine="420" w:firstLineChars="200"/>
        <w:rPr>
          <w:color w:val="auto"/>
          <w:highlight w:val="none"/>
        </w:rPr>
      </w:pPr>
      <w:r>
        <w:rPr>
          <w:rFonts w:hint="eastAsia"/>
          <w:color w:val="auto"/>
          <w:highlight w:val="none"/>
        </w:rPr>
        <w:t>如果你方与供应商因货物质量问题产生争议，你方还需同时提供</w:t>
      </w:r>
      <w:r>
        <w:rPr>
          <w:rFonts w:hint="eastAsia"/>
          <w:color w:val="auto"/>
          <w:highlight w:val="none"/>
          <w:u w:val="single"/>
        </w:rPr>
        <w:t xml:space="preserve">        </w:t>
      </w:r>
      <w:r>
        <w:rPr>
          <w:rFonts w:hint="eastAsia"/>
          <w:color w:val="auto"/>
          <w:highlight w:val="none"/>
        </w:rPr>
        <w:t>部门出具的质量检测报告，或经诉讼（仲裁）程序裁决后的裁决书、调解书，本保证人即按照检测结果或裁决书、调解书决定是否承担保证责任。</w:t>
      </w:r>
    </w:p>
    <w:p w14:paraId="7F1A566C">
      <w:pPr>
        <w:ind w:firstLine="420" w:firstLineChars="200"/>
        <w:rPr>
          <w:color w:val="auto"/>
          <w:highlight w:val="none"/>
        </w:rPr>
      </w:pPr>
      <w:r>
        <w:rPr>
          <w:rFonts w:hint="eastAsia"/>
          <w:color w:val="auto"/>
          <w:highlight w:val="none"/>
        </w:rPr>
        <w:t>2． 我方收到你方的书面索赔通知及相应证明材料，在</w:t>
      </w:r>
      <w:r>
        <w:rPr>
          <w:rFonts w:hint="eastAsia"/>
          <w:color w:val="auto"/>
          <w:highlight w:val="none"/>
          <w:u w:val="single"/>
        </w:rPr>
        <w:t xml:space="preserve">     </w:t>
      </w:r>
      <w:r>
        <w:rPr>
          <w:rFonts w:hint="eastAsia"/>
          <w:color w:val="auto"/>
          <w:highlight w:val="none"/>
        </w:rPr>
        <w:t>工作日内进行核定后按照本保函的承诺承担保证责任。</w:t>
      </w:r>
    </w:p>
    <w:p w14:paraId="5DBD2093">
      <w:pPr>
        <w:ind w:firstLine="420" w:firstLineChars="200"/>
        <w:rPr>
          <w:color w:val="auto"/>
          <w:highlight w:val="none"/>
        </w:rPr>
      </w:pPr>
      <w:r>
        <w:rPr>
          <w:rFonts w:hint="eastAsia"/>
          <w:color w:val="auto"/>
          <w:highlight w:val="none"/>
        </w:rPr>
        <w:t>四、保证责任的终止</w:t>
      </w:r>
    </w:p>
    <w:p w14:paraId="1BFC44F2">
      <w:pPr>
        <w:ind w:firstLine="420" w:firstLineChars="200"/>
        <w:rPr>
          <w:color w:val="auto"/>
          <w:highlight w:val="none"/>
        </w:rPr>
      </w:pPr>
      <w:r>
        <w:rPr>
          <w:rFonts w:hint="eastAsia"/>
          <w:color w:val="auto"/>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F5A583E">
      <w:pPr>
        <w:ind w:firstLine="420" w:firstLineChars="200"/>
        <w:rPr>
          <w:color w:val="auto"/>
          <w:highlight w:val="none"/>
        </w:rPr>
      </w:pPr>
      <w:r>
        <w:rPr>
          <w:rFonts w:hint="eastAsia"/>
          <w:color w:val="auto"/>
          <w:highlight w:val="none"/>
        </w:rPr>
        <w:t>2．我方按照本保函向你方履行了保证责任后，自我方向你方支付款项（支付款项从我方账户划出）之日起，保证责任即终止。</w:t>
      </w:r>
    </w:p>
    <w:p w14:paraId="26AEBA64">
      <w:pPr>
        <w:ind w:firstLine="420" w:firstLineChars="200"/>
        <w:rPr>
          <w:color w:val="auto"/>
          <w:highlight w:val="none"/>
        </w:rPr>
      </w:pPr>
      <w:r>
        <w:rPr>
          <w:rFonts w:hint="eastAsia"/>
          <w:color w:val="auto"/>
          <w:highlight w:val="none"/>
        </w:rPr>
        <w:t>3．按照法律法规的规定或出现应终止我方保证责任的其它情形的，我方在本保函项下的保证责任亦终止。</w:t>
      </w:r>
    </w:p>
    <w:p w14:paraId="053390C6">
      <w:pPr>
        <w:ind w:firstLine="420" w:firstLineChars="200"/>
        <w:rPr>
          <w:color w:val="auto"/>
          <w:highlight w:val="none"/>
        </w:rPr>
      </w:pPr>
      <w:r>
        <w:rPr>
          <w:rFonts w:hint="eastAsia"/>
          <w:color w:val="auto"/>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5D0E587">
      <w:pPr>
        <w:ind w:firstLine="420" w:firstLineChars="200"/>
        <w:rPr>
          <w:color w:val="auto"/>
          <w:highlight w:val="none"/>
        </w:rPr>
      </w:pPr>
      <w:r>
        <w:rPr>
          <w:rFonts w:hint="eastAsia"/>
          <w:color w:val="auto"/>
          <w:highlight w:val="none"/>
        </w:rPr>
        <w:t>五、免责条款</w:t>
      </w:r>
    </w:p>
    <w:p w14:paraId="405C0F48">
      <w:pPr>
        <w:ind w:firstLine="420" w:firstLineChars="200"/>
        <w:rPr>
          <w:color w:val="auto"/>
          <w:highlight w:val="none"/>
        </w:rPr>
      </w:pPr>
      <w:r>
        <w:rPr>
          <w:rFonts w:hint="eastAsia"/>
          <w:color w:val="auto"/>
          <w:highlight w:val="none"/>
        </w:rPr>
        <w:t>1．因你方违反主合同约定致使供应商不能履行义务的，我方不承担保证责任。</w:t>
      </w:r>
    </w:p>
    <w:p w14:paraId="33C5F3A6">
      <w:pPr>
        <w:ind w:firstLine="420" w:firstLineChars="200"/>
        <w:rPr>
          <w:color w:val="auto"/>
          <w:highlight w:val="none"/>
        </w:rPr>
      </w:pPr>
      <w:r>
        <w:rPr>
          <w:rFonts w:hint="eastAsia"/>
          <w:color w:val="auto"/>
          <w:highlight w:val="none"/>
        </w:rPr>
        <w:t>2．依照法律法规的规定或你方与供应商的另行约定，全部或者部分免除供应商应缴纳的保证金义务的，我方亦免除相应的保证责任。</w:t>
      </w:r>
    </w:p>
    <w:p w14:paraId="53801A52">
      <w:pPr>
        <w:ind w:firstLine="420" w:firstLineChars="200"/>
        <w:rPr>
          <w:color w:val="auto"/>
          <w:highlight w:val="none"/>
        </w:rPr>
      </w:pPr>
      <w:r>
        <w:rPr>
          <w:rFonts w:hint="eastAsia"/>
          <w:color w:val="auto"/>
          <w:highlight w:val="none"/>
        </w:rPr>
        <w:t>3．因不可抗力造成供应商不能履行供货义务的，我方不承担保证责任。</w:t>
      </w:r>
    </w:p>
    <w:p w14:paraId="732AEC99">
      <w:pPr>
        <w:ind w:firstLine="420" w:firstLineChars="200"/>
        <w:rPr>
          <w:rFonts w:hint="eastAsia" w:ascii="宋体" w:hAnsi="宋体"/>
          <w:color w:val="auto"/>
          <w:highlight w:val="none"/>
        </w:rPr>
      </w:pPr>
      <w:r>
        <w:rPr>
          <w:rFonts w:hint="eastAsia"/>
          <w:color w:val="auto"/>
          <w:highlight w:val="none"/>
        </w:rPr>
        <w:t>六、争议</w:t>
      </w:r>
      <w:r>
        <w:rPr>
          <w:rFonts w:hint="eastAsia" w:ascii="宋体" w:hAnsi="宋体"/>
          <w:color w:val="auto"/>
          <w:highlight w:val="none"/>
        </w:rPr>
        <w:t>的解决</w:t>
      </w:r>
    </w:p>
    <w:p w14:paraId="17AFA783">
      <w:pPr>
        <w:ind w:firstLine="420" w:firstLineChars="200"/>
        <w:rPr>
          <w:rFonts w:hint="eastAsia" w:ascii="宋体" w:hAnsi="宋体"/>
          <w:color w:val="auto"/>
          <w:highlight w:val="none"/>
        </w:rPr>
      </w:pPr>
      <w:r>
        <w:rPr>
          <w:rFonts w:hint="eastAsia" w:ascii="宋体" w:hAnsi="宋体"/>
          <w:color w:val="auto"/>
          <w:highlight w:val="none"/>
        </w:rPr>
        <w:t>因本保函发生的纠纷，由你我双方协商解决，协商不成的，通过诉讼程序解决，诉讼管辖地法院为</w:t>
      </w:r>
      <w:r>
        <w:rPr>
          <w:rFonts w:hint="eastAsia" w:ascii="宋体" w:hAnsi="宋体"/>
          <w:color w:val="auto"/>
          <w:highlight w:val="none"/>
          <w:u w:val="single"/>
        </w:rPr>
        <w:t xml:space="preserve">        </w:t>
      </w:r>
      <w:r>
        <w:rPr>
          <w:rFonts w:hint="eastAsia" w:ascii="宋体" w:hAnsi="宋体"/>
          <w:color w:val="auto"/>
          <w:highlight w:val="none"/>
        </w:rPr>
        <w:t>法院。</w:t>
      </w:r>
    </w:p>
    <w:p w14:paraId="47EA7ED5">
      <w:pPr>
        <w:ind w:firstLine="420" w:firstLineChars="200"/>
        <w:rPr>
          <w:rFonts w:hint="eastAsia" w:ascii="宋体" w:hAnsi="宋体"/>
          <w:color w:val="auto"/>
          <w:highlight w:val="none"/>
        </w:rPr>
      </w:pPr>
      <w:r>
        <w:rPr>
          <w:rFonts w:hint="eastAsia" w:ascii="宋体" w:hAnsi="宋体"/>
          <w:color w:val="auto"/>
          <w:highlight w:val="none"/>
        </w:rPr>
        <w:t>七、保函的生效</w:t>
      </w:r>
    </w:p>
    <w:p w14:paraId="45576CAB">
      <w:pPr>
        <w:ind w:firstLine="420" w:firstLineChars="200"/>
        <w:rPr>
          <w:rFonts w:hint="eastAsia" w:ascii="宋体" w:hAnsi="宋体"/>
          <w:color w:val="auto"/>
          <w:highlight w:val="none"/>
        </w:rPr>
      </w:pPr>
      <w:r>
        <w:rPr>
          <w:rFonts w:hint="eastAsia" w:ascii="宋体" w:hAnsi="宋体"/>
          <w:color w:val="auto"/>
          <w:highlight w:val="none"/>
        </w:rPr>
        <w:t>本保函自我方加盖公章之日起生效。</w:t>
      </w:r>
    </w:p>
    <w:p w14:paraId="1FCF9742">
      <w:pPr>
        <w:spacing w:before="624" w:beforeLines="200"/>
        <w:ind w:right="1558"/>
        <w:jc w:val="right"/>
        <w:rPr>
          <w:rFonts w:hint="eastAsia"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保证人：（公章）</w:t>
      </w:r>
    </w:p>
    <w:p w14:paraId="33E3FECC">
      <w:pPr>
        <w:spacing w:before="156" w:beforeLines="50"/>
        <w:ind w:right="1418"/>
        <w:jc w:val="right"/>
        <w:rPr>
          <w:rFonts w:hint="eastAsia" w:ascii="宋体" w:hAnsi="宋体"/>
          <w:color w:val="auto"/>
          <w:highlight w:val="none"/>
        </w:rPr>
      </w:pPr>
      <w:r>
        <w:rPr>
          <w:rFonts w:hint="eastAsia" w:ascii="宋体" w:hAnsi="宋体"/>
          <w:color w:val="auto"/>
          <w:highlight w:val="none"/>
        </w:rPr>
        <w:t>年     月      日</w:t>
      </w:r>
    </w:p>
    <w:p w14:paraId="1DAF886B">
      <w:pPr>
        <w:autoSpaceDE w:val="0"/>
        <w:autoSpaceDN w:val="0"/>
        <w:spacing w:line="360" w:lineRule="auto"/>
        <w:rPr>
          <w:rFonts w:hint="eastAsia" w:ascii="宋体" w:hAnsi="宋体"/>
          <w:b/>
          <w:color w:val="auto"/>
          <w:sz w:val="28"/>
          <w:szCs w:val="28"/>
          <w:highlight w:val="none"/>
        </w:rPr>
      </w:pPr>
    </w:p>
    <w:p w14:paraId="57D4C0EB">
      <w:pPr>
        <w:autoSpaceDE w:val="0"/>
        <w:autoSpaceDN w:val="0"/>
        <w:spacing w:line="360" w:lineRule="auto"/>
        <w:rPr>
          <w:rFonts w:hint="eastAsia" w:ascii="宋体" w:hAnsi="宋体"/>
          <w:b/>
          <w:color w:val="auto"/>
          <w:sz w:val="28"/>
          <w:szCs w:val="28"/>
          <w:highlight w:val="none"/>
        </w:rPr>
      </w:pPr>
    </w:p>
    <w:p w14:paraId="3539CB46">
      <w:pPr>
        <w:autoSpaceDE w:val="0"/>
        <w:autoSpaceDN w:val="0"/>
        <w:spacing w:line="360" w:lineRule="auto"/>
        <w:rPr>
          <w:rFonts w:hint="eastAsia" w:ascii="宋体" w:hAnsi="宋体"/>
          <w:b/>
          <w:color w:val="auto"/>
          <w:sz w:val="28"/>
          <w:szCs w:val="28"/>
          <w:highlight w:val="none"/>
        </w:rPr>
      </w:pPr>
    </w:p>
    <w:p w14:paraId="5ACC8926">
      <w:pPr>
        <w:autoSpaceDE w:val="0"/>
        <w:autoSpaceDN w:val="0"/>
        <w:spacing w:line="360" w:lineRule="auto"/>
        <w:rPr>
          <w:rFonts w:hint="eastAsia" w:ascii="宋体" w:hAnsi="宋体"/>
          <w:b/>
          <w:color w:val="auto"/>
          <w:sz w:val="28"/>
          <w:szCs w:val="28"/>
          <w:highlight w:val="none"/>
        </w:rPr>
      </w:pPr>
    </w:p>
    <w:p w14:paraId="651FDB36">
      <w:pPr>
        <w:autoSpaceDE w:val="0"/>
        <w:autoSpaceDN w:val="0"/>
        <w:spacing w:line="360" w:lineRule="auto"/>
        <w:rPr>
          <w:rFonts w:hint="eastAsia" w:ascii="宋体" w:hAnsi="宋体"/>
          <w:b/>
          <w:color w:val="auto"/>
          <w:sz w:val="28"/>
          <w:szCs w:val="28"/>
          <w:highlight w:val="none"/>
        </w:rPr>
      </w:pPr>
    </w:p>
    <w:p w14:paraId="40B104BD">
      <w:pPr>
        <w:autoSpaceDE w:val="0"/>
        <w:autoSpaceDN w:val="0"/>
        <w:spacing w:line="360" w:lineRule="auto"/>
        <w:rPr>
          <w:rFonts w:hint="eastAsia" w:ascii="宋体" w:hAnsi="宋体"/>
          <w:b/>
          <w:color w:val="auto"/>
          <w:sz w:val="28"/>
          <w:szCs w:val="28"/>
          <w:highlight w:val="none"/>
        </w:rPr>
      </w:pPr>
    </w:p>
    <w:p w14:paraId="33DECED3">
      <w:pPr>
        <w:autoSpaceDE w:val="0"/>
        <w:autoSpaceDN w:val="0"/>
        <w:spacing w:line="360" w:lineRule="auto"/>
        <w:rPr>
          <w:rFonts w:hint="eastAsia" w:ascii="宋体" w:hAnsi="宋体"/>
          <w:b/>
          <w:color w:val="auto"/>
          <w:sz w:val="28"/>
          <w:szCs w:val="28"/>
          <w:highlight w:val="none"/>
        </w:rPr>
      </w:pPr>
    </w:p>
    <w:p w14:paraId="29F4EE90">
      <w:pPr>
        <w:autoSpaceDE w:val="0"/>
        <w:autoSpaceDN w:val="0"/>
        <w:spacing w:line="360" w:lineRule="auto"/>
        <w:rPr>
          <w:rFonts w:hint="eastAsia" w:ascii="宋体" w:hAnsi="宋体"/>
          <w:b/>
          <w:color w:val="auto"/>
          <w:sz w:val="28"/>
          <w:szCs w:val="28"/>
          <w:highlight w:val="none"/>
        </w:rPr>
      </w:pPr>
    </w:p>
    <w:p w14:paraId="2F24B33A">
      <w:pPr>
        <w:autoSpaceDE w:val="0"/>
        <w:autoSpaceDN w:val="0"/>
        <w:spacing w:line="360" w:lineRule="auto"/>
        <w:rPr>
          <w:rFonts w:hint="eastAsia" w:ascii="宋体" w:hAnsi="宋体"/>
          <w:b/>
          <w:color w:val="auto"/>
          <w:sz w:val="28"/>
          <w:szCs w:val="28"/>
          <w:highlight w:val="none"/>
        </w:rPr>
      </w:pPr>
    </w:p>
    <w:p w14:paraId="5AE1AC94">
      <w:pPr>
        <w:autoSpaceDE w:val="0"/>
        <w:autoSpaceDN w:val="0"/>
        <w:spacing w:line="360" w:lineRule="auto"/>
        <w:rPr>
          <w:rFonts w:hint="eastAsia" w:ascii="宋体" w:hAnsi="宋体"/>
          <w:b/>
          <w:color w:val="auto"/>
          <w:sz w:val="28"/>
          <w:szCs w:val="28"/>
          <w:highlight w:val="none"/>
        </w:rPr>
      </w:pPr>
    </w:p>
    <w:p w14:paraId="68238E03">
      <w:pPr>
        <w:autoSpaceDE w:val="0"/>
        <w:autoSpaceDN w:val="0"/>
        <w:spacing w:line="360" w:lineRule="auto"/>
        <w:rPr>
          <w:rFonts w:hint="eastAsia" w:ascii="宋体" w:hAnsi="宋体"/>
          <w:b/>
          <w:color w:val="auto"/>
          <w:sz w:val="28"/>
          <w:szCs w:val="28"/>
          <w:highlight w:val="none"/>
        </w:rPr>
      </w:pPr>
    </w:p>
    <w:p w14:paraId="2DA07D3C">
      <w:pPr>
        <w:autoSpaceDE w:val="0"/>
        <w:autoSpaceDN w:val="0"/>
        <w:spacing w:line="360" w:lineRule="auto"/>
        <w:rPr>
          <w:rFonts w:hint="eastAsia" w:ascii="宋体" w:hAnsi="宋体"/>
          <w:b/>
          <w:color w:val="auto"/>
          <w:sz w:val="28"/>
          <w:szCs w:val="28"/>
          <w:highlight w:val="none"/>
        </w:rPr>
      </w:pPr>
    </w:p>
    <w:p w14:paraId="1FA7068D">
      <w:pPr>
        <w:tabs>
          <w:tab w:val="left" w:pos="567"/>
          <w:tab w:val="left" w:pos="993"/>
        </w:tabs>
        <w:spacing w:line="480" w:lineRule="exact"/>
        <w:rPr>
          <w:rFonts w:hint="eastAsia" w:ascii="宋体" w:hAnsi="宋体"/>
          <w:b/>
          <w:color w:val="auto"/>
          <w:szCs w:val="21"/>
          <w:highlight w:val="none"/>
        </w:rPr>
      </w:pPr>
      <w:r>
        <w:rPr>
          <w:rFonts w:hint="eastAsia" w:ascii="宋体" w:hAnsi="宋体"/>
          <w:b/>
          <w:color w:val="auto"/>
          <w:szCs w:val="21"/>
          <w:highlight w:val="none"/>
        </w:rPr>
        <w:t>九、质疑函格式</w:t>
      </w:r>
    </w:p>
    <w:p w14:paraId="38CA615C">
      <w:pPr>
        <w:tabs>
          <w:tab w:val="left" w:pos="567"/>
          <w:tab w:val="left" w:pos="993"/>
        </w:tabs>
        <w:spacing w:line="480" w:lineRule="exact"/>
        <w:rPr>
          <w:rFonts w:hint="eastAsia" w:ascii="宋体" w:hAnsi="宋体"/>
          <w:b/>
          <w:color w:val="auto"/>
          <w:szCs w:val="21"/>
          <w:highlight w:val="none"/>
        </w:rPr>
      </w:pPr>
      <w:r>
        <w:rPr>
          <w:rFonts w:hint="eastAsia" w:ascii="宋体" w:hAnsi="宋体"/>
          <w:b/>
          <w:color w:val="auto"/>
          <w:szCs w:val="21"/>
          <w:highlight w:val="none"/>
        </w:rPr>
        <w:t>说明：本部分格式文件为供应商提交质疑函时使用，不属于投标文件格式的组成部分。</w:t>
      </w:r>
    </w:p>
    <w:p w14:paraId="1552DB27">
      <w:pPr>
        <w:ind w:right="840"/>
        <w:jc w:val="left"/>
        <w:rPr>
          <w:rFonts w:hint="eastAsia" w:ascii="宋体" w:hAnsi="宋体"/>
          <w:color w:val="auto"/>
          <w:sz w:val="24"/>
          <w:highlight w:val="none"/>
        </w:rPr>
      </w:pPr>
    </w:p>
    <w:p w14:paraId="34659F3C">
      <w:pPr>
        <w:jc w:val="center"/>
        <w:rPr>
          <w:rFonts w:hint="eastAsia" w:ascii="宋体" w:hAnsi="宋体" w:cs="仿宋"/>
          <w:b/>
          <w:bCs/>
          <w:color w:val="auto"/>
          <w:sz w:val="24"/>
          <w:highlight w:val="none"/>
        </w:rPr>
      </w:pPr>
      <w:r>
        <w:rPr>
          <w:rFonts w:hint="eastAsia" w:ascii="宋体" w:hAnsi="宋体" w:cs="仿宋"/>
          <w:b/>
          <w:bCs/>
          <w:color w:val="auto"/>
          <w:sz w:val="24"/>
          <w:highlight w:val="none"/>
        </w:rPr>
        <w:t>质疑函</w:t>
      </w:r>
    </w:p>
    <w:p w14:paraId="023DAD5B">
      <w:pPr>
        <w:adjustRightInd w:val="0"/>
        <w:snapToGrid w:val="0"/>
        <w:spacing w:before="312" w:beforeLines="100" w:line="360" w:lineRule="auto"/>
        <w:rPr>
          <w:rFonts w:hint="eastAsia" w:ascii="宋体" w:hAnsi="宋体" w:cs="仿宋"/>
          <w:bCs/>
          <w:color w:val="auto"/>
          <w:sz w:val="24"/>
          <w:highlight w:val="none"/>
        </w:rPr>
      </w:pPr>
      <w:r>
        <w:rPr>
          <w:rFonts w:hint="eastAsia" w:ascii="宋体" w:hAnsi="宋体" w:cs="仿宋"/>
          <w:bCs/>
          <w:color w:val="auto"/>
          <w:sz w:val="24"/>
          <w:highlight w:val="none"/>
        </w:rPr>
        <w:t>一、质疑供应商基本信息</w:t>
      </w:r>
    </w:p>
    <w:p w14:paraId="2C28CCE5">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质疑供应商：</w:t>
      </w:r>
    </w:p>
    <w:p w14:paraId="57984E69">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是否参与所质疑项目的采购活动： □是    □否</w:t>
      </w:r>
    </w:p>
    <w:p w14:paraId="3F5EFB80">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地址：邮编：</w:t>
      </w:r>
    </w:p>
    <w:p w14:paraId="121D37F6">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联系人：联系电话：</w:t>
      </w:r>
    </w:p>
    <w:p w14:paraId="19D8BEAA">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授权代表：</w:t>
      </w:r>
    </w:p>
    <w:p w14:paraId="6FEAE0BE">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联系电话：</w:t>
      </w:r>
    </w:p>
    <w:p w14:paraId="4CF35356">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地址：邮编：</w:t>
      </w:r>
    </w:p>
    <w:p w14:paraId="70E42F8F">
      <w:pPr>
        <w:adjustRightInd w:val="0"/>
        <w:snapToGrid w:val="0"/>
        <w:spacing w:line="360" w:lineRule="auto"/>
        <w:rPr>
          <w:rFonts w:hint="eastAsia" w:ascii="宋体" w:hAnsi="宋体" w:cs="仿宋"/>
          <w:bCs/>
          <w:color w:val="auto"/>
          <w:sz w:val="24"/>
          <w:highlight w:val="none"/>
        </w:rPr>
      </w:pPr>
      <w:r>
        <w:rPr>
          <w:rFonts w:hint="eastAsia" w:ascii="宋体" w:hAnsi="宋体" w:cs="仿宋"/>
          <w:bCs/>
          <w:color w:val="auto"/>
          <w:sz w:val="24"/>
          <w:highlight w:val="none"/>
        </w:rPr>
        <w:t>二、质疑项目基本情况</w:t>
      </w:r>
    </w:p>
    <w:p w14:paraId="39D77E42">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质疑项目的名称：</w:t>
      </w:r>
    </w:p>
    <w:p w14:paraId="27086724">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质疑项目的编号：包号：</w:t>
      </w:r>
    </w:p>
    <w:p w14:paraId="23F18CB6">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采购人名称：</w:t>
      </w:r>
    </w:p>
    <w:p w14:paraId="76FEA82E">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采购文件获取日期：</w:t>
      </w:r>
    </w:p>
    <w:p w14:paraId="6F38133C">
      <w:pPr>
        <w:adjustRightInd w:val="0"/>
        <w:snapToGrid w:val="0"/>
        <w:spacing w:line="360" w:lineRule="auto"/>
        <w:rPr>
          <w:rFonts w:hint="eastAsia" w:ascii="宋体" w:hAnsi="宋体" w:cs="仿宋"/>
          <w:bCs/>
          <w:color w:val="auto"/>
          <w:sz w:val="24"/>
          <w:highlight w:val="none"/>
        </w:rPr>
      </w:pPr>
      <w:r>
        <w:rPr>
          <w:rFonts w:hint="eastAsia" w:ascii="宋体" w:hAnsi="宋体" w:cs="仿宋"/>
          <w:bCs/>
          <w:color w:val="auto"/>
          <w:sz w:val="24"/>
          <w:highlight w:val="none"/>
        </w:rPr>
        <w:t>三、质疑事项具体内容</w:t>
      </w:r>
    </w:p>
    <w:p w14:paraId="79C3D929">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质疑事项1：</w:t>
      </w:r>
    </w:p>
    <w:p w14:paraId="58F8E25E">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事实依据：</w:t>
      </w:r>
    </w:p>
    <w:p w14:paraId="6F2A3DA0">
      <w:pPr>
        <w:adjustRightInd w:val="0"/>
        <w:snapToGrid w:val="0"/>
        <w:spacing w:line="360" w:lineRule="auto"/>
        <w:rPr>
          <w:rFonts w:hint="eastAsia" w:ascii="宋体" w:hAnsi="宋体" w:cs="仿宋"/>
          <w:color w:val="auto"/>
          <w:sz w:val="24"/>
          <w:highlight w:val="none"/>
        </w:rPr>
      </w:pPr>
    </w:p>
    <w:p w14:paraId="003E5825">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法律依据：</w:t>
      </w:r>
    </w:p>
    <w:p w14:paraId="411CC342">
      <w:pPr>
        <w:adjustRightInd w:val="0"/>
        <w:snapToGrid w:val="0"/>
        <w:spacing w:line="360" w:lineRule="auto"/>
        <w:rPr>
          <w:rFonts w:hint="eastAsia" w:ascii="宋体" w:hAnsi="宋体" w:cs="仿宋"/>
          <w:color w:val="auto"/>
          <w:sz w:val="24"/>
          <w:highlight w:val="none"/>
          <w:u w:val="dotted"/>
        </w:rPr>
      </w:pPr>
    </w:p>
    <w:p w14:paraId="555FB721">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质疑事项2</w:t>
      </w:r>
    </w:p>
    <w:p w14:paraId="0A88645C">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w:t>
      </w:r>
    </w:p>
    <w:p w14:paraId="638ACDCE">
      <w:pPr>
        <w:adjustRightInd w:val="0"/>
        <w:snapToGrid w:val="0"/>
        <w:spacing w:line="360" w:lineRule="auto"/>
        <w:rPr>
          <w:rFonts w:hint="eastAsia" w:ascii="宋体" w:hAnsi="宋体" w:cs="仿宋"/>
          <w:bCs/>
          <w:color w:val="auto"/>
          <w:sz w:val="24"/>
          <w:highlight w:val="none"/>
        </w:rPr>
      </w:pPr>
      <w:r>
        <w:rPr>
          <w:rFonts w:hint="eastAsia" w:ascii="宋体" w:hAnsi="宋体" w:cs="仿宋"/>
          <w:bCs/>
          <w:color w:val="auto"/>
          <w:sz w:val="24"/>
          <w:highlight w:val="none"/>
        </w:rPr>
        <w:t>四、与质疑事项相关的质疑请求</w:t>
      </w:r>
    </w:p>
    <w:p w14:paraId="391A7825">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请求：</w:t>
      </w:r>
    </w:p>
    <w:p w14:paraId="76764E10">
      <w:pPr>
        <w:rPr>
          <w:rFonts w:hint="eastAsia" w:ascii="宋体" w:hAnsi="宋体"/>
          <w:color w:val="auto"/>
          <w:sz w:val="24"/>
          <w:highlight w:val="none"/>
        </w:rPr>
      </w:pPr>
      <w:r>
        <w:rPr>
          <w:rFonts w:hint="eastAsia" w:ascii="宋体" w:hAnsi="宋体"/>
          <w:color w:val="auto"/>
          <w:sz w:val="24"/>
          <w:highlight w:val="none"/>
        </w:rPr>
        <w:t xml:space="preserve">签字(签章)：                   公章：                      </w:t>
      </w:r>
    </w:p>
    <w:p w14:paraId="3B83B17C">
      <w:pPr>
        <w:rPr>
          <w:rFonts w:hint="eastAsia" w:ascii="宋体" w:hAnsi="宋体"/>
          <w:color w:val="auto"/>
          <w:sz w:val="24"/>
          <w:highlight w:val="none"/>
        </w:rPr>
      </w:pPr>
      <w:r>
        <w:rPr>
          <w:rFonts w:hint="eastAsia" w:ascii="宋体" w:hAnsi="宋体"/>
          <w:color w:val="auto"/>
          <w:sz w:val="24"/>
          <w:highlight w:val="none"/>
        </w:rPr>
        <w:t xml:space="preserve">日期：    </w:t>
      </w:r>
    </w:p>
    <w:p w14:paraId="5CB77DE4">
      <w:pPr>
        <w:rPr>
          <w:rFonts w:hint="eastAsia" w:ascii="宋体" w:hAnsi="宋体"/>
          <w:b/>
          <w:color w:val="auto"/>
          <w:sz w:val="24"/>
          <w:highlight w:val="none"/>
        </w:rPr>
      </w:pPr>
      <w:r>
        <w:rPr>
          <w:rFonts w:hint="eastAsia" w:ascii="宋体" w:hAnsi="宋体"/>
          <w:b/>
          <w:color w:val="auto"/>
          <w:sz w:val="24"/>
          <w:highlight w:val="none"/>
        </w:rPr>
        <w:t>说明：</w:t>
      </w:r>
    </w:p>
    <w:p w14:paraId="6ACD9A00">
      <w:pPr>
        <w:widowControl/>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1.供应商提出质疑时，应提交质疑函和必要的证明材料，供应商在法定质疑期内应一次性提出针对同一采购程序环节的质疑。</w:t>
      </w:r>
    </w:p>
    <w:p w14:paraId="4511E60E">
      <w:pPr>
        <w:widowControl/>
        <w:ind w:firstLine="480" w:firstLineChars="200"/>
        <w:jc w:val="left"/>
        <w:rPr>
          <w:rFonts w:hint="eastAsia" w:ascii="宋体" w:hAnsi="宋体"/>
          <w:color w:val="auto"/>
          <w:sz w:val="24"/>
          <w:highlight w:val="none"/>
        </w:rPr>
      </w:pPr>
      <w:r>
        <w:rPr>
          <w:rFonts w:hint="eastAsia" w:ascii="宋体" w:hAnsi="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1882668">
      <w:pPr>
        <w:widowControl/>
        <w:ind w:firstLine="480" w:firstLineChars="200"/>
        <w:jc w:val="left"/>
        <w:rPr>
          <w:rFonts w:hint="eastAsia" w:ascii="宋体" w:hAnsi="宋体"/>
          <w:color w:val="auto"/>
          <w:sz w:val="24"/>
          <w:highlight w:val="none"/>
        </w:rPr>
      </w:pPr>
      <w:r>
        <w:rPr>
          <w:rFonts w:hint="eastAsia" w:ascii="宋体" w:hAnsi="宋体"/>
          <w:color w:val="auto"/>
          <w:sz w:val="24"/>
          <w:highlight w:val="none"/>
        </w:rPr>
        <w:t>3.质疑供应商若对项目的某一分包进行质疑，质疑函中应列明具体分包号。</w:t>
      </w:r>
    </w:p>
    <w:p w14:paraId="7B392C6D">
      <w:pPr>
        <w:widowControl/>
        <w:ind w:firstLine="480" w:firstLineChars="200"/>
        <w:jc w:val="left"/>
        <w:rPr>
          <w:rFonts w:hint="eastAsia" w:ascii="宋体" w:hAnsi="宋体"/>
          <w:color w:val="auto"/>
          <w:sz w:val="24"/>
          <w:highlight w:val="none"/>
        </w:rPr>
      </w:pPr>
      <w:r>
        <w:rPr>
          <w:rFonts w:hint="eastAsia" w:ascii="宋体" w:hAnsi="宋体"/>
          <w:color w:val="auto"/>
          <w:sz w:val="24"/>
          <w:highlight w:val="none"/>
        </w:rPr>
        <w:t>4.质疑函的质疑事项应具体、明确，并有必要的事实依据和法律依据。</w:t>
      </w:r>
    </w:p>
    <w:p w14:paraId="307E6A2B">
      <w:pPr>
        <w:widowControl/>
        <w:ind w:firstLine="480" w:firstLineChars="200"/>
        <w:jc w:val="left"/>
        <w:rPr>
          <w:rFonts w:hint="eastAsia" w:ascii="宋体" w:hAnsi="宋体"/>
          <w:color w:val="auto"/>
          <w:sz w:val="24"/>
          <w:highlight w:val="none"/>
        </w:rPr>
      </w:pPr>
      <w:r>
        <w:rPr>
          <w:rFonts w:hint="eastAsia" w:ascii="宋体" w:hAnsi="宋体"/>
          <w:color w:val="auto"/>
          <w:sz w:val="24"/>
          <w:highlight w:val="none"/>
        </w:rPr>
        <w:t>5.质疑函的质疑请求应与质疑事项相关。</w:t>
      </w:r>
    </w:p>
    <w:p w14:paraId="564D05C2">
      <w:pPr>
        <w:widowControl/>
        <w:ind w:firstLine="480" w:firstLineChars="200"/>
        <w:jc w:val="left"/>
        <w:rPr>
          <w:rFonts w:hint="eastAsia" w:ascii="宋体" w:hAnsi="宋体"/>
          <w:color w:val="auto"/>
          <w:sz w:val="24"/>
          <w:highlight w:val="none"/>
        </w:rPr>
      </w:pPr>
      <w:r>
        <w:rPr>
          <w:rFonts w:hint="eastAsia" w:ascii="宋体" w:hAnsi="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BD2D3E">
      <w:pPr>
        <w:widowControl/>
        <w:jc w:val="left"/>
        <w:rPr>
          <w:rFonts w:ascii="仿宋_GB2312" w:eastAsia="仿宋_GB2312"/>
          <w:color w:val="auto"/>
          <w:sz w:val="24"/>
          <w:highlight w:val="none"/>
        </w:rPr>
      </w:pPr>
    </w:p>
    <w:p w14:paraId="5EC4917E">
      <w:pPr>
        <w:pStyle w:val="91"/>
        <w:rPr>
          <w:rFonts w:hint="eastAsia" w:ascii="宋体" w:hAnsi="宋体"/>
          <w:color w:val="auto"/>
          <w:sz w:val="21"/>
          <w:szCs w:val="21"/>
          <w:highlight w:val="none"/>
        </w:rPr>
      </w:pPr>
    </w:p>
    <w:p w14:paraId="4FB8E699">
      <w:pPr>
        <w:rPr>
          <w:rFonts w:hint="eastAsia"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4.2</w:t>
      </w:r>
      <w:r>
        <w:rPr>
          <w:rFonts w:hint="eastAsia" w:ascii="宋体" w:hAnsi="宋体"/>
          <w:b/>
          <w:color w:val="auto"/>
          <w:sz w:val="24"/>
          <w:highlight w:val="none"/>
        </w:rPr>
        <w:fldChar w:fldCharType="begin"/>
      </w:r>
      <w:r>
        <w:rPr>
          <w:rFonts w:hint="eastAsia" w:ascii="宋体" w:hAnsi="宋体"/>
          <w:b/>
          <w:color w:val="auto"/>
          <w:sz w:val="24"/>
          <w:highlight w:val="none"/>
        </w:rPr>
        <w:instrText xml:space="preserve"> DOCVARIABLE  商务条款响应表开始  \* MERGEFORMAT </w:instrText>
      </w:r>
      <w:r>
        <w:rPr>
          <w:rFonts w:hint="eastAsia" w:ascii="宋体" w:hAnsi="宋体"/>
          <w:b/>
          <w:color w:val="auto"/>
          <w:sz w:val="24"/>
          <w:highlight w:val="none"/>
        </w:rPr>
        <w:fldChar w:fldCharType="end"/>
      </w:r>
      <w:r>
        <w:rPr>
          <w:rFonts w:hint="eastAsia" w:ascii="宋体" w:hAnsi="宋体"/>
          <w:b/>
          <w:color w:val="auto"/>
          <w:sz w:val="24"/>
          <w:highlight w:val="none"/>
        </w:rPr>
        <w:fldChar w:fldCharType="begin"/>
      </w:r>
      <w:r>
        <w:rPr>
          <w:rFonts w:hint="eastAsia" w:ascii="宋体" w:hAnsi="宋体"/>
          <w:b/>
          <w:color w:val="auto"/>
          <w:sz w:val="24"/>
          <w:highlight w:val="none"/>
        </w:rPr>
        <w:instrText xml:space="preserve"> DOCVARIABLE  商务条款响应表开始  \* MERGEFORMAT </w:instrText>
      </w:r>
      <w:r>
        <w:rPr>
          <w:rFonts w:hint="eastAsia" w:ascii="宋体" w:hAnsi="宋体"/>
          <w:b/>
          <w:color w:val="auto"/>
          <w:sz w:val="24"/>
          <w:highlight w:val="none"/>
        </w:rPr>
        <w:fldChar w:fldCharType="end"/>
      </w:r>
      <w:r>
        <w:rPr>
          <w:rFonts w:hint="eastAsia" w:ascii="宋体" w:hAnsi="宋体"/>
          <w:b/>
          <w:color w:val="auto"/>
          <w:sz w:val="24"/>
          <w:highlight w:val="none"/>
        </w:rPr>
        <w:t>商务条款响应表</w:t>
      </w:r>
    </w:p>
    <w:p w14:paraId="416A62E3">
      <w:pPr>
        <w:pStyle w:val="91"/>
        <w:rPr>
          <w:rFonts w:hint="eastAsia" w:ascii="宋体" w:hAnsi="宋体"/>
          <w:b/>
          <w:color w:val="auto"/>
          <w:szCs w:val="24"/>
          <w:highlight w:val="none"/>
        </w:rPr>
      </w:pPr>
      <w:r>
        <w:rPr>
          <w:rFonts w:hint="eastAsia" w:ascii="宋体" w:hAnsi="宋体"/>
          <w:b/>
          <w:color w:val="auto"/>
          <w:szCs w:val="24"/>
          <w:highlight w:val="none"/>
        </w:rPr>
        <w:t>（1）实质性商务条款（“★”项）响应表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9"/>
        <w:gridCol w:w="758"/>
        <w:gridCol w:w="2017"/>
      </w:tblGrid>
      <w:tr w14:paraId="7B27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14:paraId="5AE77CEC">
            <w:pPr>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5829" w:type="dxa"/>
            <w:shd w:val="clear" w:color="auto" w:fill="F3F3F3"/>
            <w:vAlign w:val="center"/>
          </w:tcPr>
          <w:p w14:paraId="5C78F536">
            <w:pPr>
              <w:jc w:val="center"/>
              <w:rPr>
                <w:rFonts w:hint="eastAsia" w:ascii="宋体" w:hAnsi="宋体"/>
                <w:b/>
                <w:bCs/>
                <w:color w:val="auto"/>
                <w:szCs w:val="21"/>
                <w:highlight w:val="none"/>
              </w:rPr>
            </w:pPr>
            <w:r>
              <w:rPr>
                <w:rFonts w:hint="eastAsia" w:ascii="宋体" w:hAnsi="宋体"/>
                <w:b/>
                <w:bCs/>
                <w:color w:val="auto"/>
                <w:szCs w:val="21"/>
                <w:highlight w:val="none"/>
              </w:rPr>
              <w:t>实质性响应商务条款要求</w:t>
            </w:r>
          </w:p>
        </w:tc>
        <w:tc>
          <w:tcPr>
            <w:tcW w:w="758" w:type="dxa"/>
            <w:shd w:val="clear" w:color="auto" w:fill="F3F3F3"/>
            <w:vAlign w:val="center"/>
          </w:tcPr>
          <w:p w14:paraId="7B1AF0C3">
            <w:pPr>
              <w:jc w:val="center"/>
              <w:rPr>
                <w:rFonts w:hint="eastAsia" w:ascii="宋体" w:hAnsi="宋体"/>
                <w:b/>
                <w:bCs/>
                <w:color w:val="auto"/>
                <w:szCs w:val="21"/>
                <w:highlight w:val="none"/>
              </w:rPr>
            </w:pPr>
            <w:r>
              <w:rPr>
                <w:rFonts w:hint="eastAsia" w:ascii="宋体" w:hAnsi="宋体"/>
                <w:b/>
                <w:bCs/>
                <w:color w:val="auto"/>
                <w:szCs w:val="21"/>
                <w:highlight w:val="none"/>
              </w:rPr>
              <w:t>是否响应</w:t>
            </w:r>
          </w:p>
        </w:tc>
        <w:tc>
          <w:tcPr>
            <w:tcW w:w="2017" w:type="dxa"/>
            <w:shd w:val="clear" w:color="auto" w:fill="F3F3F3"/>
            <w:vAlign w:val="center"/>
          </w:tcPr>
          <w:p w14:paraId="463EA415">
            <w:pPr>
              <w:jc w:val="center"/>
              <w:rPr>
                <w:rFonts w:hint="eastAsia" w:ascii="宋体" w:hAnsi="宋体"/>
                <w:b/>
                <w:bCs/>
                <w:color w:val="auto"/>
                <w:szCs w:val="21"/>
                <w:highlight w:val="none"/>
              </w:rPr>
            </w:pPr>
            <w:r>
              <w:rPr>
                <w:rFonts w:hint="eastAsia" w:ascii="宋体" w:hAnsi="宋体"/>
                <w:b/>
                <w:bCs/>
                <w:color w:val="auto"/>
                <w:szCs w:val="21"/>
                <w:highlight w:val="none"/>
              </w:rPr>
              <w:t>偏离说明</w:t>
            </w:r>
          </w:p>
        </w:tc>
      </w:tr>
      <w:tr w14:paraId="0AFA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3D7C37B1">
            <w:pPr>
              <w:tabs>
                <w:tab w:val="left" w:pos="7740"/>
              </w:tabs>
              <w:jc w:val="center"/>
              <w:rPr>
                <w:rFonts w:hint="eastAsia" w:ascii="宋体" w:hAnsi="宋体"/>
                <w:color w:val="auto"/>
                <w:szCs w:val="21"/>
                <w:highlight w:val="none"/>
              </w:rPr>
            </w:pPr>
            <w:r>
              <w:rPr>
                <w:rFonts w:hint="eastAsia" w:ascii="宋体" w:hAnsi="宋体"/>
                <w:color w:val="auto"/>
                <w:szCs w:val="21"/>
                <w:highlight w:val="none"/>
              </w:rPr>
              <w:t>1</w:t>
            </w:r>
          </w:p>
        </w:tc>
        <w:tc>
          <w:tcPr>
            <w:tcW w:w="5829" w:type="dxa"/>
            <w:vAlign w:val="center"/>
          </w:tcPr>
          <w:p w14:paraId="23B8D051">
            <w:pPr>
              <w:rPr>
                <w:rFonts w:hint="eastAsia" w:ascii="宋体" w:hAnsi="宋体"/>
                <w:color w:val="auto"/>
                <w:szCs w:val="21"/>
                <w:highlight w:val="none"/>
              </w:rPr>
            </w:pPr>
          </w:p>
        </w:tc>
        <w:tc>
          <w:tcPr>
            <w:tcW w:w="758" w:type="dxa"/>
            <w:vAlign w:val="center"/>
          </w:tcPr>
          <w:p w14:paraId="1C8F398C">
            <w:pPr>
              <w:pStyle w:val="75"/>
              <w:keepNext w:val="0"/>
              <w:adjustRightInd/>
              <w:spacing w:before="0" w:after="0" w:line="240" w:lineRule="auto"/>
              <w:textAlignment w:val="auto"/>
              <w:rPr>
                <w:rFonts w:hint="eastAsia" w:ascii="宋体" w:hAnsi="宋体"/>
                <w:snapToGrid/>
                <w:color w:val="auto"/>
                <w:spacing w:val="0"/>
                <w:kern w:val="2"/>
                <w:sz w:val="21"/>
                <w:szCs w:val="21"/>
                <w:highlight w:val="none"/>
              </w:rPr>
            </w:pPr>
          </w:p>
        </w:tc>
        <w:tc>
          <w:tcPr>
            <w:tcW w:w="2017" w:type="dxa"/>
            <w:vAlign w:val="center"/>
          </w:tcPr>
          <w:p w14:paraId="48FAAE55">
            <w:pPr>
              <w:jc w:val="center"/>
              <w:rPr>
                <w:rFonts w:hint="eastAsia" w:ascii="宋体" w:hAnsi="宋体"/>
                <w:color w:val="auto"/>
                <w:szCs w:val="21"/>
                <w:highlight w:val="none"/>
              </w:rPr>
            </w:pPr>
          </w:p>
        </w:tc>
      </w:tr>
      <w:tr w14:paraId="3611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599E7639">
            <w:pPr>
              <w:tabs>
                <w:tab w:val="left" w:pos="7740"/>
              </w:tabs>
              <w:jc w:val="center"/>
              <w:rPr>
                <w:rFonts w:hint="eastAsia" w:ascii="宋体" w:hAnsi="宋体"/>
                <w:color w:val="auto"/>
                <w:szCs w:val="21"/>
                <w:highlight w:val="none"/>
              </w:rPr>
            </w:pPr>
            <w:r>
              <w:rPr>
                <w:rFonts w:hint="eastAsia" w:ascii="宋体" w:hAnsi="宋体"/>
                <w:color w:val="auto"/>
                <w:szCs w:val="21"/>
                <w:highlight w:val="none"/>
              </w:rPr>
              <w:t>2</w:t>
            </w:r>
          </w:p>
        </w:tc>
        <w:tc>
          <w:tcPr>
            <w:tcW w:w="5829" w:type="dxa"/>
            <w:vAlign w:val="center"/>
          </w:tcPr>
          <w:p w14:paraId="51698ABC">
            <w:pPr>
              <w:rPr>
                <w:rFonts w:hint="eastAsia" w:ascii="宋体" w:hAnsi="宋体"/>
                <w:color w:val="auto"/>
                <w:szCs w:val="21"/>
                <w:highlight w:val="none"/>
              </w:rPr>
            </w:pPr>
          </w:p>
        </w:tc>
        <w:tc>
          <w:tcPr>
            <w:tcW w:w="758" w:type="dxa"/>
            <w:vAlign w:val="center"/>
          </w:tcPr>
          <w:p w14:paraId="52544D56">
            <w:pPr>
              <w:pStyle w:val="75"/>
              <w:keepNext w:val="0"/>
              <w:adjustRightInd/>
              <w:spacing w:before="0" w:after="0" w:line="240" w:lineRule="auto"/>
              <w:textAlignment w:val="auto"/>
              <w:rPr>
                <w:rFonts w:hint="eastAsia" w:ascii="宋体" w:hAnsi="宋体"/>
                <w:snapToGrid/>
                <w:color w:val="auto"/>
                <w:spacing w:val="0"/>
                <w:kern w:val="2"/>
                <w:sz w:val="21"/>
                <w:szCs w:val="21"/>
                <w:highlight w:val="none"/>
              </w:rPr>
            </w:pPr>
          </w:p>
        </w:tc>
        <w:tc>
          <w:tcPr>
            <w:tcW w:w="2017" w:type="dxa"/>
            <w:vAlign w:val="center"/>
          </w:tcPr>
          <w:p w14:paraId="16287DAD">
            <w:pPr>
              <w:jc w:val="center"/>
              <w:rPr>
                <w:rFonts w:hint="eastAsia" w:ascii="宋体" w:hAnsi="宋体"/>
                <w:color w:val="auto"/>
                <w:szCs w:val="21"/>
                <w:highlight w:val="none"/>
              </w:rPr>
            </w:pPr>
          </w:p>
        </w:tc>
      </w:tr>
      <w:tr w14:paraId="5EB0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562E4B8C">
            <w:pPr>
              <w:tabs>
                <w:tab w:val="left" w:pos="7740"/>
              </w:tabs>
              <w:jc w:val="center"/>
              <w:rPr>
                <w:rFonts w:hint="eastAsia" w:ascii="宋体" w:hAnsi="宋体"/>
                <w:color w:val="auto"/>
                <w:szCs w:val="21"/>
                <w:highlight w:val="none"/>
              </w:rPr>
            </w:pPr>
            <w:r>
              <w:rPr>
                <w:rFonts w:hint="eastAsia" w:ascii="宋体" w:hAnsi="宋体"/>
                <w:color w:val="auto"/>
                <w:szCs w:val="21"/>
                <w:highlight w:val="none"/>
              </w:rPr>
              <w:t>3</w:t>
            </w:r>
          </w:p>
        </w:tc>
        <w:tc>
          <w:tcPr>
            <w:tcW w:w="5829" w:type="dxa"/>
            <w:vAlign w:val="center"/>
          </w:tcPr>
          <w:p w14:paraId="06E488F5">
            <w:pPr>
              <w:rPr>
                <w:rFonts w:hint="eastAsia" w:ascii="宋体" w:hAnsi="宋体"/>
                <w:color w:val="auto"/>
                <w:szCs w:val="21"/>
                <w:highlight w:val="none"/>
              </w:rPr>
            </w:pPr>
          </w:p>
        </w:tc>
        <w:tc>
          <w:tcPr>
            <w:tcW w:w="758" w:type="dxa"/>
            <w:vAlign w:val="center"/>
          </w:tcPr>
          <w:p w14:paraId="66C14B93">
            <w:pPr>
              <w:jc w:val="center"/>
              <w:rPr>
                <w:rFonts w:hint="eastAsia" w:ascii="宋体" w:hAnsi="宋体"/>
                <w:color w:val="auto"/>
                <w:szCs w:val="21"/>
                <w:highlight w:val="none"/>
              </w:rPr>
            </w:pPr>
          </w:p>
        </w:tc>
        <w:tc>
          <w:tcPr>
            <w:tcW w:w="2017" w:type="dxa"/>
            <w:vAlign w:val="center"/>
          </w:tcPr>
          <w:p w14:paraId="1E30ED33">
            <w:pPr>
              <w:ind w:right="-35"/>
              <w:jc w:val="center"/>
              <w:rPr>
                <w:rFonts w:hint="eastAsia" w:ascii="宋体" w:hAnsi="宋体"/>
                <w:color w:val="auto"/>
                <w:szCs w:val="21"/>
                <w:highlight w:val="none"/>
              </w:rPr>
            </w:pPr>
          </w:p>
        </w:tc>
      </w:tr>
      <w:tr w14:paraId="1046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198DF3C5">
            <w:pPr>
              <w:tabs>
                <w:tab w:val="left" w:pos="7740"/>
              </w:tabs>
              <w:jc w:val="center"/>
              <w:rPr>
                <w:rFonts w:hint="eastAsia" w:ascii="宋体" w:hAnsi="宋体"/>
                <w:color w:val="auto"/>
                <w:szCs w:val="21"/>
                <w:highlight w:val="none"/>
              </w:rPr>
            </w:pPr>
            <w:r>
              <w:rPr>
                <w:rFonts w:hint="eastAsia" w:ascii="宋体" w:hAnsi="宋体"/>
                <w:color w:val="auto"/>
                <w:szCs w:val="21"/>
                <w:highlight w:val="none"/>
              </w:rPr>
              <w:t>4</w:t>
            </w:r>
          </w:p>
        </w:tc>
        <w:tc>
          <w:tcPr>
            <w:tcW w:w="5829" w:type="dxa"/>
            <w:vAlign w:val="center"/>
          </w:tcPr>
          <w:p w14:paraId="3BB9EB91">
            <w:pPr>
              <w:rPr>
                <w:rFonts w:hint="eastAsia" w:ascii="宋体" w:hAnsi="宋体"/>
                <w:color w:val="auto"/>
                <w:szCs w:val="21"/>
                <w:highlight w:val="none"/>
              </w:rPr>
            </w:pPr>
          </w:p>
        </w:tc>
        <w:tc>
          <w:tcPr>
            <w:tcW w:w="758" w:type="dxa"/>
            <w:vAlign w:val="center"/>
          </w:tcPr>
          <w:p w14:paraId="6A39A4A9">
            <w:pPr>
              <w:jc w:val="center"/>
              <w:rPr>
                <w:rFonts w:hint="eastAsia" w:ascii="宋体" w:hAnsi="宋体"/>
                <w:color w:val="auto"/>
                <w:szCs w:val="21"/>
                <w:highlight w:val="none"/>
              </w:rPr>
            </w:pPr>
          </w:p>
        </w:tc>
        <w:tc>
          <w:tcPr>
            <w:tcW w:w="2017" w:type="dxa"/>
            <w:vAlign w:val="center"/>
          </w:tcPr>
          <w:p w14:paraId="3DA005B5">
            <w:pPr>
              <w:ind w:right="-35"/>
              <w:jc w:val="center"/>
              <w:rPr>
                <w:rFonts w:hint="eastAsia" w:ascii="宋体" w:hAnsi="宋体"/>
                <w:color w:val="auto"/>
                <w:szCs w:val="21"/>
                <w:highlight w:val="none"/>
              </w:rPr>
            </w:pPr>
          </w:p>
        </w:tc>
      </w:tr>
      <w:tr w14:paraId="5E1B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3DF40E99">
            <w:pPr>
              <w:tabs>
                <w:tab w:val="left" w:pos="7740"/>
              </w:tabs>
              <w:jc w:val="center"/>
              <w:rPr>
                <w:rFonts w:hint="eastAsia" w:ascii="宋体" w:hAnsi="宋体"/>
                <w:color w:val="auto"/>
                <w:szCs w:val="21"/>
                <w:highlight w:val="none"/>
              </w:rPr>
            </w:pPr>
            <w:r>
              <w:rPr>
                <w:rFonts w:hint="eastAsia" w:ascii="宋体" w:hAnsi="宋体"/>
                <w:color w:val="auto"/>
                <w:szCs w:val="21"/>
                <w:highlight w:val="none"/>
              </w:rPr>
              <w:t>5</w:t>
            </w:r>
          </w:p>
        </w:tc>
        <w:tc>
          <w:tcPr>
            <w:tcW w:w="5829" w:type="dxa"/>
            <w:vAlign w:val="center"/>
          </w:tcPr>
          <w:p w14:paraId="4A762CDC">
            <w:pPr>
              <w:rPr>
                <w:rFonts w:hint="eastAsia" w:ascii="宋体" w:hAnsi="宋体"/>
                <w:i/>
                <w:iCs/>
                <w:color w:val="auto"/>
                <w:szCs w:val="21"/>
                <w:highlight w:val="none"/>
              </w:rPr>
            </w:pPr>
          </w:p>
        </w:tc>
        <w:tc>
          <w:tcPr>
            <w:tcW w:w="758" w:type="dxa"/>
            <w:vAlign w:val="center"/>
          </w:tcPr>
          <w:p w14:paraId="77BBBD0A">
            <w:pPr>
              <w:jc w:val="center"/>
              <w:rPr>
                <w:rFonts w:hint="eastAsia" w:ascii="宋体" w:hAnsi="宋体"/>
                <w:color w:val="auto"/>
                <w:szCs w:val="21"/>
                <w:highlight w:val="none"/>
              </w:rPr>
            </w:pPr>
          </w:p>
        </w:tc>
        <w:tc>
          <w:tcPr>
            <w:tcW w:w="2017" w:type="dxa"/>
            <w:vAlign w:val="center"/>
          </w:tcPr>
          <w:p w14:paraId="028729B4">
            <w:pPr>
              <w:ind w:right="-35"/>
              <w:jc w:val="center"/>
              <w:rPr>
                <w:rFonts w:hint="eastAsia" w:ascii="宋体" w:hAnsi="宋体"/>
                <w:color w:val="auto"/>
                <w:szCs w:val="21"/>
                <w:highlight w:val="none"/>
              </w:rPr>
            </w:pPr>
          </w:p>
        </w:tc>
      </w:tr>
      <w:tr w14:paraId="6904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076F64C3">
            <w:pPr>
              <w:jc w:val="center"/>
              <w:rPr>
                <w:rFonts w:hint="eastAsia" w:ascii="宋体" w:hAnsi="宋体"/>
                <w:color w:val="auto"/>
                <w:szCs w:val="21"/>
                <w:highlight w:val="none"/>
              </w:rPr>
            </w:pPr>
            <w:r>
              <w:rPr>
                <w:rFonts w:hint="eastAsia" w:ascii="宋体" w:hAnsi="宋体"/>
                <w:color w:val="auto"/>
                <w:szCs w:val="21"/>
                <w:highlight w:val="none"/>
              </w:rPr>
              <w:t>……</w:t>
            </w:r>
          </w:p>
        </w:tc>
        <w:tc>
          <w:tcPr>
            <w:tcW w:w="5829" w:type="dxa"/>
            <w:vAlign w:val="center"/>
          </w:tcPr>
          <w:p w14:paraId="0B9D4AA0">
            <w:pPr>
              <w:rPr>
                <w:rFonts w:hint="eastAsia" w:ascii="宋体" w:hAnsi="宋体"/>
                <w:color w:val="auto"/>
                <w:szCs w:val="21"/>
                <w:highlight w:val="none"/>
              </w:rPr>
            </w:pPr>
          </w:p>
        </w:tc>
        <w:tc>
          <w:tcPr>
            <w:tcW w:w="758" w:type="dxa"/>
            <w:vAlign w:val="center"/>
          </w:tcPr>
          <w:p w14:paraId="61474728">
            <w:pPr>
              <w:jc w:val="center"/>
              <w:rPr>
                <w:rFonts w:hint="eastAsia" w:ascii="宋体" w:hAnsi="宋体"/>
                <w:color w:val="auto"/>
                <w:szCs w:val="21"/>
                <w:highlight w:val="none"/>
              </w:rPr>
            </w:pPr>
          </w:p>
        </w:tc>
        <w:tc>
          <w:tcPr>
            <w:tcW w:w="2017" w:type="dxa"/>
            <w:vAlign w:val="center"/>
          </w:tcPr>
          <w:p w14:paraId="4B720B0C">
            <w:pPr>
              <w:ind w:right="-35"/>
              <w:jc w:val="center"/>
              <w:rPr>
                <w:rFonts w:hint="eastAsia" w:ascii="宋体" w:hAnsi="宋体"/>
                <w:color w:val="auto"/>
                <w:szCs w:val="21"/>
                <w:highlight w:val="none"/>
              </w:rPr>
            </w:pPr>
          </w:p>
        </w:tc>
      </w:tr>
    </w:tbl>
    <w:p w14:paraId="034AB6BE">
      <w:pPr>
        <w:ind w:left="178" w:leftChars="85" w:firstLine="1"/>
        <w:rPr>
          <w:rFonts w:hint="eastAsia" w:ascii="宋体" w:hAnsi="宋体"/>
          <w:color w:val="auto"/>
          <w:szCs w:val="21"/>
          <w:highlight w:val="none"/>
          <w:lang w:val="en-GB"/>
        </w:rPr>
      </w:pPr>
      <w:r>
        <w:rPr>
          <w:rFonts w:hint="eastAsia" w:ascii="宋体" w:hAnsi="宋体"/>
          <w:color w:val="auto"/>
          <w:szCs w:val="21"/>
          <w:highlight w:val="none"/>
          <w:lang w:val="en-GB"/>
        </w:rPr>
        <w:t>注：</w:t>
      </w:r>
    </w:p>
    <w:p w14:paraId="75FCB84D">
      <w:pPr>
        <w:ind w:left="178" w:leftChars="85" w:firstLine="362"/>
        <w:rPr>
          <w:rFonts w:hint="eastAsia" w:ascii="宋体" w:hAnsi="宋体"/>
          <w:color w:val="auto"/>
          <w:szCs w:val="21"/>
          <w:highlight w:val="none"/>
          <w:lang w:val="en-GB"/>
        </w:rPr>
      </w:pPr>
      <w:r>
        <w:rPr>
          <w:rFonts w:hint="eastAsia" w:ascii="宋体" w:hAnsi="宋体"/>
          <w:color w:val="auto"/>
          <w:szCs w:val="21"/>
          <w:highlight w:val="none"/>
          <w:lang w:val="en-GB"/>
        </w:rPr>
        <w:t>1.</w:t>
      </w:r>
      <w:r>
        <w:rPr>
          <w:rFonts w:hint="eastAsia" w:ascii="宋体" w:hAnsi="宋体"/>
          <w:color w:val="auto"/>
          <w:szCs w:val="21"/>
          <w:highlight w:val="none"/>
        </w:rPr>
        <w:t>对</w:t>
      </w:r>
      <w:r>
        <w:rPr>
          <w:rFonts w:hint="eastAsia" w:ascii="宋体" w:hAnsi="宋体"/>
          <w:color w:val="auto"/>
          <w:szCs w:val="21"/>
          <w:highlight w:val="none"/>
          <w:lang w:val="en-GB"/>
        </w:rPr>
        <w:t>于上述要求，如投标人完全响应，则请在“是否响应”栏内打“√”，对空白或打“×”视为偏离，请在“偏离说明”栏内扼要说明偏离情况。</w:t>
      </w:r>
    </w:p>
    <w:p w14:paraId="63A5B817">
      <w:pPr>
        <w:ind w:left="178" w:leftChars="85" w:firstLine="362"/>
        <w:rPr>
          <w:rFonts w:hint="eastAsia" w:ascii="宋体" w:hAnsi="宋体"/>
          <w:color w:val="auto"/>
          <w:szCs w:val="21"/>
          <w:highlight w:val="none"/>
          <w:lang w:val="en-GB"/>
        </w:rPr>
      </w:pPr>
      <w:r>
        <w:rPr>
          <w:rFonts w:hint="eastAsia" w:ascii="宋体" w:hAnsi="宋体"/>
          <w:color w:val="auto"/>
          <w:szCs w:val="21"/>
          <w:highlight w:val="none"/>
          <w:lang w:val="en-GB"/>
        </w:rPr>
        <w:t>2.此表内容必须与实施方案中所介绍的内容一致，打“★”项为不可负偏离(劣于)的重要项。</w:t>
      </w:r>
    </w:p>
    <w:p w14:paraId="13B25DF5">
      <w:pPr>
        <w:ind w:left="178" w:leftChars="85" w:firstLine="362"/>
        <w:rPr>
          <w:rFonts w:hint="eastAsia" w:ascii="宋体" w:hAnsi="宋体"/>
          <w:color w:val="auto"/>
          <w:szCs w:val="21"/>
          <w:highlight w:val="none"/>
          <w:lang w:val="en-GB"/>
        </w:rPr>
      </w:pPr>
      <w:r>
        <w:rPr>
          <w:rFonts w:hint="eastAsia" w:ascii="宋体" w:hAnsi="宋体"/>
          <w:color w:val="auto"/>
          <w:szCs w:val="21"/>
          <w:highlight w:val="none"/>
          <w:lang w:val="en-GB"/>
        </w:rPr>
        <w:t>3.本表内容不得擅自修改。</w:t>
      </w:r>
    </w:p>
    <w:p w14:paraId="34E809C5">
      <w:pPr>
        <w:ind w:left="178" w:leftChars="85" w:firstLine="362"/>
        <w:rPr>
          <w:rFonts w:hint="eastAsia" w:ascii="宋体" w:hAnsi="宋体"/>
          <w:color w:val="auto"/>
          <w:szCs w:val="21"/>
          <w:highlight w:val="none"/>
          <w:u w:val="single"/>
          <w:lang w:val="en-GB"/>
        </w:rPr>
      </w:pPr>
      <w:r>
        <w:rPr>
          <w:rFonts w:hint="eastAsia" w:ascii="宋体" w:hAnsi="宋体"/>
          <w:color w:val="auto"/>
          <w:szCs w:val="21"/>
          <w:highlight w:val="none"/>
          <w:u w:val="single"/>
          <w:lang w:val="en-GB"/>
        </w:rPr>
        <w:t>4.当招标文件中未设置“★”项商务条款时，应在此表中第一行直接填写：本项目未设置“★”项商务条款</w:t>
      </w:r>
      <w:r>
        <w:rPr>
          <w:rFonts w:hint="eastAsia" w:ascii="宋体" w:hAnsi="宋体"/>
          <w:color w:val="auto"/>
          <w:highlight w:val="none"/>
          <w:u w:val="single"/>
          <w:lang w:val="en-GB"/>
        </w:rPr>
        <w:t>。</w:t>
      </w:r>
    </w:p>
    <w:p w14:paraId="799593F4">
      <w:pPr>
        <w:adjustRightInd w:val="0"/>
        <w:snapToGrid w:val="0"/>
        <w:spacing w:line="300" w:lineRule="auto"/>
        <w:rPr>
          <w:rFonts w:hint="eastAsia" w:ascii="宋体" w:hAnsi="宋体"/>
          <w:color w:val="auto"/>
          <w:szCs w:val="21"/>
          <w:highlight w:val="none"/>
        </w:rPr>
      </w:pPr>
    </w:p>
    <w:p w14:paraId="3CB990F1">
      <w:pPr>
        <w:adjustRightInd w:val="0"/>
        <w:snapToGrid w:val="0"/>
        <w:spacing w:line="300" w:lineRule="auto"/>
        <w:rPr>
          <w:rFonts w:hint="eastAsia" w:ascii="宋体" w:hAnsi="宋体"/>
          <w:color w:val="auto"/>
          <w:szCs w:val="21"/>
          <w:highlight w:val="none"/>
        </w:rPr>
      </w:pPr>
      <w:r>
        <w:rPr>
          <w:rFonts w:hint="eastAsia" w:ascii="宋体" w:hAnsi="宋体"/>
          <w:color w:val="auto"/>
          <w:szCs w:val="21"/>
          <w:highlight w:val="none"/>
        </w:rPr>
        <w:t>投标人法定代表人/负责人（或法定代表人/负责人授权代表）签字：</w:t>
      </w:r>
    </w:p>
    <w:p w14:paraId="20915D4F">
      <w:pPr>
        <w:adjustRightInd w:val="0"/>
        <w:snapToGrid w:val="0"/>
        <w:spacing w:line="300" w:lineRule="auto"/>
        <w:rPr>
          <w:rFonts w:hint="eastAsia" w:ascii="宋体" w:hAnsi="宋体"/>
          <w:color w:val="auto"/>
          <w:szCs w:val="21"/>
          <w:highlight w:val="none"/>
          <w:u w:val="single"/>
        </w:rPr>
      </w:pPr>
      <w:r>
        <w:rPr>
          <w:rFonts w:hint="eastAsia" w:ascii="宋体" w:hAnsi="宋体"/>
          <w:color w:val="auto"/>
          <w:szCs w:val="21"/>
          <w:highlight w:val="none"/>
        </w:rPr>
        <w:t>投标人名称（加盖公章）：</w:t>
      </w:r>
    </w:p>
    <w:p w14:paraId="7966E769">
      <w:pPr>
        <w:adjustRightInd w:val="0"/>
        <w:snapToGrid w:val="0"/>
        <w:spacing w:line="300" w:lineRule="auto"/>
        <w:rPr>
          <w:rFonts w:hint="eastAsia" w:ascii="宋体" w:hAnsi="宋体"/>
          <w:color w:val="auto"/>
          <w:szCs w:val="21"/>
          <w:highlight w:val="none"/>
        </w:rPr>
      </w:pPr>
      <w:r>
        <w:rPr>
          <w:rFonts w:hint="eastAsia" w:ascii="宋体" w:hAnsi="宋体"/>
          <w:color w:val="auto"/>
          <w:szCs w:val="21"/>
          <w:highlight w:val="none"/>
        </w:rPr>
        <w:t>日期：年 月 日</w:t>
      </w:r>
    </w:p>
    <w:p w14:paraId="3A3B0769">
      <w:pPr>
        <w:rPr>
          <w:rFonts w:hint="eastAsia" w:ascii="宋体" w:hAnsi="宋体"/>
          <w:color w:val="auto"/>
          <w:highlight w:val="none"/>
        </w:rPr>
      </w:pPr>
    </w:p>
    <w:p w14:paraId="3548B6DE">
      <w:pPr>
        <w:rPr>
          <w:rFonts w:hint="eastAsia" w:ascii="宋体" w:hAnsi="宋体"/>
          <w:color w:val="auto"/>
          <w:highlight w:val="none"/>
        </w:rPr>
      </w:pPr>
    </w:p>
    <w:p w14:paraId="3C12B572">
      <w:pPr>
        <w:rPr>
          <w:rFonts w:hint="eastAsia" w:ascii="宋体" w:hAnsi="宋体"/>
          <w:color w:val="auto"/>
          <w:highlight w:val="none"/>
        </w:rPr>
      </w:pPr>
    </w:p>
    <w:p w14:paraId="2C01D7EE">
      <w:pPr>
        <w:rPr>
          <w:rFonts w:hint="eastAsia" w:ascii="宋体" w:hAnsi="宋体"/>
          <w:color w:val="auto"/>
          <w:highlight w:val="none"/>
        </w:rPr>
      </w:pPr>
    </w:p>
    <w:p w14:paraId="27ADE163">
      <w:pPr>
        <w:rPr>
          <w:rFonts w:hint="eastAsia" w:ascii="宋体" w:hAnsi="宋体"/>
          <w:color w:val="auto"/>
          <w:highlight w:val="none"/>
        </w:rPr>
      </w:pPr>
    </w:p>
    <w:p w14:paraId="5FAE0F6A">
      <w:pPr>
        <w:rPr>
          <w:rFonts w:hint="eastAsia" w:ascii="宋体" w:hAnsi="宋体"/>
          <w:color w:val="auto"/>
          <w:highlight w:val="none"/>
        </w:rPr>
      </w:pPr>
    </w:p>
    <w:p w14:paraId="2E60B61C">
      <w:pPr>
        <w:rPr>
          <w:rFonts w:hint="eastAsia" w:ascii="宋体" w:hAnsi="宋体"/>
          <w:color w:val="auto"/>
          <w:highlight w:val="none"/>
        </w:rPr>
      </w:pPr>
    </w:p>
    <w:p w14:paraId="370D8009">
      <w:pPr>
        <w:rPr>
          <w:rFonts w:hint="eastAsia" w:ascii="宋体" w:hAnsi="宋体"/>
          <w:color w:val="auto"/>
          <w:highlight w:val="none"/>
        </w:rPr>
      </w:pPr>
    </w:p>
    <w:p w14:paraId="594FAECB">
      <w:pPr>
        <w:rPr>
          <w:rFonts w:hint="eastAsia" w:ascii="宋体" w:hAnsi="宋体"/>
          <w:color w:val="auto"/>
          <w:highlight w:val="none"/>
        </w:rPr>
      </w:pPr>
    </w:p>
    <w:p w14:paraId="0FC611EC">
      <w:pPr>
        <w:rPr>
          <w:rFonts w:hint="eastAsia" w:ascii="宋体" w:hAnsi="宋体"/>
          <w:color w:val="auto"/>
          <w:highlight w:val="none"/>
        </w:rPr>
      </w:pPr>
    </w:p>
    <w:p w14:paraId="59E18C8C">
      <w:pPr>
        <w:rPr>
          <w:rFonts w:hint="eastAsia" w:ascii="宋体" w:hAnsi="宋体"/>
          <w:color w:val="auto"/>
          <w:highlight w:val="none"/>
        </w:rPr>
      </w:pPr>
    </w:p>
    <w:p w14:paraId="5C40CE85">
      <w:pPr>
        <w:rPr>
          <w:rFonts w:hint="eastAsia" w:ascii="宋体" w:hAnsi="宋体"/>
          <w:color w:val="auto"/>
          <w:highlight w:val="none"/>
        </w:rPr>
      </w:pPr>
    </w:p>
    <w:p w14:paraId="5AD6CA09">
      <w:pPr>
        <w:pStyle w:val="91"/>
        <w:rPr>
          <w:rFonts w:hint="eastAsia" w:ascii="宋体" w:hAnsi="宋体"/>
          <w:b/>
          <w:color w:val="auto"/>
          <w:szCs w:val="24"/>
          <w:highlight w:val="none"/>
        </w:rPr>
      </w:pPr>
      <w:r>
        <w:rPr>
          <w:rFonts w:ascii="宋体" w:hAnsi="宋体"/>
          <w:b/>
          <w:color w:val="auto"/>
          <w:sz w:val="28"/>
          <w:szCs w:val="28"/>
          <w:highlight w:val="none"/>
        </w:rPr>
        <w:br w:type="page"/>
      </w:r>
      <w:r>
        <w:rPr>
          <w:rFonts w:hint="eastAsia" w:ascii="宋体" w:hAnsi="宋体"/>
          <w:b/>
          <w:color w:val="auto"/>
          <w:szCs w:val="24"/>
          <w:highlight w:val="none"/>
        </w:rPr>
        <w:t>（2）非实质性</w:t>
      </w:r>
      <w:r>
        <w:rPr>
          <w:rFonts w:hint="eastAsia" w:ascii="宋体" w:hAnsi="宋体"/>
          <w:b/>
          <w:color w:val="auto"/>
          <w:szCs w:val="24"/>
          <w:highlight w:val="none"/>
        </w:rPr>
        <w:fldChar w:fldCharType="begin"/>
      </w:r>
      <w:r>
        <w:rPr>
          <w:rFonts w:hint="eastAsia" w:ascii="宋体" w:hAnsi="宋体"/>
          <w:b/>
          <w:color w:val="auto"/>
          <w:szCs w:val="24"/>
          <w:highlight w:val="none"/>
        </w:rPr>
        <w:instrText xml:space="preserve"> DOCVARIABLE  商务条款响应表开始  \* MERGEFORMAT </w:instrText>
      </w:r>
      <w:r>
        <w:rPr>
          <w:rFonts w:hint="eastAsia" w:ascii="宋体" w:hAnsi="宋体"/>
          <w:b/>
          <w:color w:val="auto"/>
          <w:szCs w:val="24"/>
          <w:highlight w:val="none"/>
        </w:rPr>
        <w:fldChar w:fldCharType="end"/>
      </w:r>
      <w:r>
        <w:rPr>
          <w:rFonts w:hint="eastAsia" w:ascii="宋体" w:hAnsi="宋体"/>
          <w:b/>
          <w:color w:val="auto"/>
          <w:szCs w:val="24"/>
          <w:highlight w:val="none"/>
        </w:rPr>
        <w:fldChar w:fldCharType="begin"/>
      </w:r>
      <w:r>
        <w:rPr>
          <w:rFonts w:hint="eastAsia" w:ascii="宋体" w:hAnsi="宋体"/>
          <w:b/>
          <w:color w:val="auto"/>
          <w:szCs w:val="24"/>
          <w:highlight w:val="none"/>
        </w:rPr>
        <w:instrText xml:space="preserve"> DOCVARIABLE  商务条款响应表开始  \* MERGEFORMAT </w:instrText>
      </w:r>
      <w:r>
        <w:rPr>
          <w:rFonts w:hint="eastAsia" w:ascii="宋体" w:hAnsi="宋体"/>
          <w:b/>
          <w:color w:val="auto"/>
          <w:szCs w:val="24"/>
          <w:highlight w:val="none"/>
        </w:rPr>
        <w:fldChar w:fldCharType="end"/>
      </w:r>
      <w:r>
        <w:rPr>
          <w:rFonts w:hint="eastAsia" w:ascii="宋体" w:hAnsi="宋体"/>
          <w:b/>
          <w:color w:val="auto"/>
          <w:szCs w:val="24"/>
          <w:highlight w:val="none"/>
        </w:rPr>
        <w:t>商务条款响应表</w:t>
      </w:r>
    </w:p>
    <w:tbl>
      <w:tblPr>
        <w:tblStyle w:val="37"/>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715"/>
        <w:gridCol w:w="726"/>
        <w:gridCol w:w="2018"/>
      </w:tblGrid>
      <w:tr w14:paraId="577C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1" w:type="dxa"/>
            <w:shd w:val="clear" w:color="auto" w:fill="F3F3F3"/>
            <w:vAlign w:val="center"/>
          </w:tcPr>
          <w:p w14:paraId="713C4EDB">
            <w:pPr>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6715" w:type="dxa"/>
            <w:shd w:val="clear" w:color="auto" w:fill="F3F3F3"/>
            <w:vAlign w:val="center"/>
          </w:tcPr>
          <w:p w14:paraId="4A7E0A55">
            <w:pPr>
              <w:jc w:val="center"/>
              <w:rPr>
                <w:rFonts w:hint="eastAsia" w:ascii="宋体" w:hAnsi="宋体"/>
                <w:b/>
                <w:bCs/>
                <w:color w:val="auto"/>
                <w:szCs w:val="21"/>
                <w:highlight w:val="none"/>
              </w:rPr>
            </w:pPr>
            <w:r>
              <w:rPr>
                <w:rFonts w:hint="eastAsia" w:ascii="宋体" w:hAnsi="宋体"/>
                <w:b/>
                <w:bCs/>
                <w:color w:val="auto"/>
                <w:szCs w:val="21"/>
                <w:highlight w:val="none"/>
              </w:rPr>
              <w:t>一般商务条款要求</w:t>
            </w:r>
          </w:p>
        </w:tc>
        <w:tc>
          <w:tcPr>
            <w:tcW w:w="726" w:type="dxa"/>
            <w:shd w:val="clear" w:color="auto" w:fill="F3F3F3"/>
            <w:vAlign w:val="center"/>
          </w:tcPr>
          <w:p w14:paraId="27B35899">
            <w:pPr>
              <w:jc w:val="center"/>
              <w:rPr>
                <w:rFonts w:hint="eastAsia" w:ascii="宋体" w:hAnsi="宋体"/>
                <w:b/>
                <w:bCs/>
                <w:color w:val="auto"/>
                <w:szCs w:val="21"/>
                <w:highlight w:val="none"/>
              </w:rPr>
            </w:pPr>
            <w:r>
              <w:rPr>
                <w:rFonts w:hint="eastAsia" w:ascii="宋体" w:hAnsi="宋体"/>
                <w:b/>
                <w:bCs/>
                <w:color w:val="auto"/>
                <w:szCs w:val="21"/>
                <w:highlight w:val="none"/>
              </w:rPr>
              <w:t>是否响应</w:t>
            </w:r>
          </w:p>
        </w:tc>
        <w:tc>
          <w:tcPr>
            <w:tcW w:w="2018" w:type="dxa"/>
            <w:shd w:val="clear" w:color="auto" w:fill="F3F3F3"/>
            <w:vAlign w:val="center"/>
          </w:tcPr>
          <w:p w14:paraId="7ADFE0F0">
            <w:pPr>
              <w:jc w:val="center"/>
              <w:rPr>
                <w:rFonts w:hint="eastAsia" w:ascii="宋体" w:hAnsi="宋体"/>
                <w:b/>
                <w:bCs/>
                <w:color w:val="auto"/>
                <w:szCs w:val="21"/>
                <w:highlight w:val="none"/>
              </w:rPr>
            </w:pPr>
            <w:r>
              <w:rPr>
                <w:rFonts w:hint="eastAsia" w:ascii="宋体" w:hAnsi="宋体"/>
                <w:b/>
                <w:bCs/>
                <w:color w:val="auto"/>
                <w:szCs w:val="21"/>
                <w:highlight w:val="none"/>
              </w:rPr>
              <w:t>偏离说明</w:t>
            </w:r>
          </w:p>
        </w:tc>
      </w:tr>
      <w:tr w14:paraId="3481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058EDA07">
            <w:pPr>
              <w:jc w:val="center"/>
              <w:rPr>
                <w:rFonts w:hint="eastAsia" w:ascii="宋体" w:hAnsi="宋体"/>
                <w:color w:val="auto"/>
                <w:szCs w:val="21"/>
                <w:highlight w:val="none"/>
              </w:rPr>
            </w:pPr>
            <w:r>
              <w:rPr>
                <w:rFonts w:hint="eastAsia" w:ascii="宋体" w:hAnsi="宋体"/>
                <w:color w:val="auto"/>
                <w:szCs w:val="21"/>
                <w:highlight w:val="none"/>
              </w:rPr>
              <w:t>1</w:t>
            </w:r>
          </w:p>
        </w:tc>
        <w:tc>
          <w:tcPr>
            <w:tcW w:w="6715" w:type="dxa"/>
            <w:vAlign w:val="center"/>
          </w:tcPr>
          <w:p w14:paraId="15E5FC77">
            <w:pPr>
              <w:rPr>
                <w:rFonts w:hint="eastAsia" w:ascii="宋体" w:hAnsi="宋体"/>
                <w:color w:val="auto"/>
                <w:szCs w:val="21"/>
                <w:highlight w:val="none"/>
              </w:rPr>
            </w:pPr>
          </w:p>
        </w:tc>
        <w:tc>
          <w:tcPr>
            <w:tcW w:w="726" w:type="dxa"/>
            <w:vAlign w:val="center"/>
          </w:tcPr>
          <w:p w14:paraId="4B40170F">
            <w:pPr>
              <w:jc w:val="center"/>
              <w:rPr>
                <w:rFonts w:hint="eastAsia" w:ascii="宋体" w:hAnsi="宋体"/>
                <w:color w:val="auto"/>
                <w:szCs w:val="21"/>
                <w:highlight w:val="none"/>
              </w:rPr>
            </w:pPr>
          </w:p>
        </w:tc>
        <w:tc>
          <w:tcPr>
            <w:tcW w:w="2018" w:type="dxa"/>
            <w:vAlign w:val="center"/>
          </w:tcPr>
          <w:p w14:paraId="380E9DF3">
            <w:pPr>
              <w:jc w:val="center"/>
              <w:rPr>
                <w:rFonts w:hint="eastAsia" w:ascii="宋体" w:hAnsi="宋体"/>
                <w:color w:val="auto"/>
                <w:szCs w:val="21"/>
                <w:highlight w:val="none"/>
              </w:rPr>
            </w:pPr>
          </w:p>
        </w:tc>
      </w:tr>
      <w:tr w14:paraId="08A0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020BDB9E">
            <w:pPr>
              <w:jc w:val="center"/>
              <w:rPr>
                <w:rFonts w:hint="eastAsia" w:ascii="宋体" w:hAnsi="宋体"/>
                <w:color w:val="auto"/>
                <w:szCs w:val="21"/>
                <w:highlight w:val="none"/>
              </w:rPr>
            </w:pPr>
            <w:r>
              <w:rPr>
                <w:rFonts w:hint="eastAsia" w:ascii="宋体" w:hAnsi="宋体"/>
                <w:color w:val="auto"/>
                <w:szCs w:val="21"/>
                <w:highlight w:val="none"/>
              </w:rPr>
              <w:t>2</w:t>
            </w:r>
          </w:p>
        </w:tc>
        <w:tc>
          <w:tcPr>
            <w:tcW w:w="6715" w:type="dxa"/>
            <w:vAlign w:val="center"/>
          </w:tcPr>
          <w:p w14:paraId="14B57391">
            <w:pPr>
              <w:rPr>
                <w:rFonts w:hint="eastAsia" w:ascii="宋体" w:hAnsi="宋体"/>
                <w:color w:val="auto"/>
                <w:szCs w:val="21"/>
                <w:highlight w:val="none"/>
              </w:rPr>
            </w:pPr>
          </w:p>
        </w:tc>
        <w:tc>
          <w:tcPr>
            <w:tcW w:w="726" w:type="dxa"/>
            <w:vAlign w:val="center"/>
          </w:tcPr>
          <w:p w14:paraId="6F9F10E4">
            <w:pPr>
              <w:jc w:val="center"/>
              <w:rPr>
                <w:rFonts w:hint="eastAsia" w:ascii="宋体" w:hAnsi="宋体"/>
                <w:color w:val="auto"/>
                <w:szCs w:val="21"/>
                <w:highlight w:val="none"/>
              </w:rPr>
            </w:pPr>
          </w:p>
        </w:tc>
        <w:tc>
          <w:tcPr>
            <w:tcW w:w="2018" w:type="dxa"/>
            <w:vAlign w:val="center"/>
          </w:tcPr>
          <w:p w14:paraId="6FBAC4C7">
            <w:pPr>
              <w:jc w:val="center"/>
              <w:rPr>
                <w:rFonts w:hint="eastAsia" w:ascii="宋体" w:hAnsi="宋体"/>
                <w:color w:val="auto"/>
                <w:szCs w:val="21"/>
                <w:highlight w:val="none"/>
              </w:rPr>
            </w:pPr>
          </w:p>
        </w:tc>
      </w:tr>
      <w:tr w14:paraId="5F1E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09BD1DE9">
            <w:pPr>
              <w:jc w:val="center"/>
              <w:rPr>
                <w:rFonts w:hint="eastAsia" w:ascii="宋体" w:hAnsi="宋体"/>
                <w:color w:val="auto"/>
                <w:szCs w:val="21"/>
                <w:highlight w:val="none"/>
              </w:rPr>
            </w:pPr>
            <w:r>
              <w:rPr>
                <w:rFonts w:hint="eastAsia" w:ascii="宋体" w:hAnsi="宋体"/>
                <w:color w:val="auto"/>
                <w:szCs w:val="21"/>
                <w:highlight w:val="none"/>
              </w:rPr>
              <w:t>3</w:t>
            </w:r>
          </w:p>
        </w:tc>
        <w:tc>
          <w:tcPr>
            <w:tcW w:w="6715" w:type="dxa"/>
            <w:vAlign w:val="center"/>
          </w:tcPr>
          <w:p w14:paraId="018FA5D2">
            <w:pPr>
              <w:rPr>
                <w:rFonts w:hint="eastAsia" w:ascii="宋体" w:hAnsi="宋体"/>
                <w:color w:val="auto"/>
                <w:szCs w:val="21"/>
                <w:highlight w:val="none"/>
              </w:rPr>
            </w:pPr>
          </w:p>
        </w:tc>
        <w:tc>
          <w:tcPr>
            <w:tcW w:w="726" w:type="dxa"/>
            <w:vAlign w:val="center"/>
          </w:tcPr>
          <w:p w14:paraId="17E90BB4">
            <w:pPr>
              <w:jc w:val="center"/>
              <w:rPr>
                <w:rFonts w:hint="eastAsia" w:ascii="宋体" w:hAnsi="宋体"/>
                <w:color w:val="auto"/>
                <w:szCs w:val="21"/>
                <w:highlight w:val="none"/>
              </w:rPr>
            </w:pPr>
          </w:p>
        </w:tc>
        <w:tc>
          <w:tcPr>
            <w:tcW w:w="2018" w:type="dxa"/>
            <w:vAlign w:val="center"/>
          </w:tcPr>
          <w:p w14:paraId="142AF26C">
            <w:pPr>
              <w:ind w:right="-35"/>
              <w:jc w:val="center"/>
              <w:rPr>
                <w:rFonts w:hint="eastAsia" w:ascii="宋体" w:hAnsi="宋体"/>
                <w:color w:val="auto"/>
                <w:szCs w:val="21"/>
                <w:highlight w:val="none"/>
              </w:rPr>
            </w:pPr>
          </w:p>
        </w:tc>
      </w:tr>
      <w:tr w14:paraId="71ED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Align w:val="center"/>
          </w:tcPr>
          <w:p w14:paraId="00645441">
            <w:pPr>
              <w:rPr>
                <w:rFonts w:hint="eastAsia" w:ascii="宋体" w:hAnsi="宋体"/>
                <w:color w:val="auto"/>
                <w:szCs w:val="21"/>
                <w:highlight w:val="none"/>
              </w:rPr>
            </w:pPr>
            <w:r>
              <w:rPr>
                <w:rFonts w:hint="eastAsia" w:ascii="宋体" w:hAnsi="宋体"/>
                <w:color w:val="auto"/>
                <w:szCs w:val="21"/>
                <w:highlight w:val="none"/>
              </w:rPr>
              <w:t xml:space="preserve">  4</w:t>
            </w:r>
          </w:p>
        </w:tc>
        <w:tc>
          <w:tcPr>
            <w:tcW w:w="6715" w:type="dxa"/>
            <w:vAlign w:val="center"/>
          </w:tcPr>
          <w:p w14:paraId="424538CC">
            <w:pPr>
              <w:rPr>
                <w:rFonts w:hint="eastAsia" w:ascii="宋体" w:hAnsi="宋体"/>
                <w:color w:val="auto"/>
                <w:szCs w:val="21"/>
                <w:highlight w:val="none"/>
              </w:rPr>
            </w:pPr>
          </w:p>
        </w:tc>
        <w:tc>
          <w:tcPr>
            <w:tcW w:w="726" w:type="dxa"/>
            <w:vAlign w:val="center"/>
          </w:tcPr>
          <w:p w14:paraId="7ACE813D">
            <w:pPr>
              <w:jc w:val="center"/>
              <w:rPr>
                <w:rFonts w:hint="eastAsia" w:ascii="宋体" w:hAnsi="宋体"/>
                <w:color w:val="auto"/>
                <w:szCs w:val="21"/>
                <w:highlight w:val="none"/>
              </w:rPr>
            </w:pPr>
          </w:p>
        </w:tc>
        <w:tc>
          <w:tcPr>
            <w:tcW w:w="2018" w:type="dxa"/>
            <w:vAlign w:val="center"/>
          </w:tcPr>
          <w:p w14:paraId="53C82BF5">
            <w:pPr>
              <w:ind w:right="-35"/>
              <w:jc w:val="center"/>
              <w:rPr>
                <w:rFonts w:hint="eastAsia" w:ascii="宋体" w:hAnsi="宋体"/>
                <w:color w:val="auto"/>
                <w:szCs w:val="21"/>
                <w:highlight w:val="none"/>
              </w:rPr>
            </w:pPr>
          </w:p>
        </w:tc>
      </w:tr>
      <w:tr w14:paraId="19F9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1" w:type="dxa"/>
            <w:vAlign w:val="center"/>
          </w:tcPr>
          <w:p w14:paraId="2D52B024">
            <w:pPr>
              <w:jc w:val="center"/>
              <w:rPr>
                <w:rFonts w:hint="eastAsia" w:ascii="宋体" w:hAnsi="宋体"/>
                <w:color w:val="auto"/>
                <w:szCs w:val="21"/>
                <w:highlight w:val="none"/>
              </w:rPr>
            </w:pPr>
            <w:r>
              <w:rPr>
                <w:rFonts w:hint="eastAsia" w:ascii="宋体" w:hAnsi="宋体"/>
                <w:color w:val="auto"/>
                <w:szCs w:val="21"/>
                <w:highlight w:val="none"/>
              </w:rPr>
              <w:t>5</w:t>
            </w:r>
          </w:p>
        </w:tc>
        <w:tc>
          <w:tcPr>
            <w:tcW w:w="6715" w:type="dxa"/>
          </w:tcPr>
          <w:p w14:paraId="33666110">
            <w:pPr>
              <w:rPr>
                <w:rFonts w:hint="eastAsia" w:ascii="宋体" w:hAnsi="宋体"/>
                <w:color w:val="auto"/>
                <w:szCs w:val="21"/>
                <w:highlight w:val="none"/>
              </w:rPr>
            </w:pPr>
          </w:p>
        </w:tc>
        <w:tc>
          <w:tcPr>
            <w:tcW w:w="726" w:type="dxa"/>
            <w:vAlign w:val="center"/>
          </w:tcPr>
          <w:p w14:paraId="123808A6">
            <w:pPr>
              <w:jc w:val="center"/>
              <w:rPr>
                <w:rFonts w:hint="eastAsia" w:ascii="宋体" w:hAnsi="宋体"/>
                <w:color w:val="auto"/>
                <w:szCs w:val="21"/>
                <w:highlight w:val="none"/>
              </w:rPr>
            </w:pPr>
          </w:p>
        </w:tc>
        <w:tc>
          <w:tcPr>
            <w:tcW w:w="2018" w:type="dxa"/>
            <w:vAlign w:val="center"/>
          </w:tcPr>
          <w:p w14:paraId="112135E0">
            <w:pPr>
              <w:ind w:right="-35"/>
              <w:jc w:val="center"/>
              <w:rPr>
                <w:rFonts w:hint="eastAsia" w:ascii="宋体" w:hAnsi="宋体"/>
                <w:color w:val="auto"/>
                <w:szCs w:val="21"/>
                <w:highlight w:val="none"/>
              </w:rPr>
            </w:pPr>
          </w:p>
        </w:tc>
      </w:tr>
      <w:tr w14:paraId="640A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81" w:type="dxa"/>
            <w:vAlign w:val="center"/>
          </w:tcPr>
          <w:p w14:paraId="4BB64D3A">
            <w:pPr>
              <w:jc w:val="center"/>
              <w:rPr>
                <w:rFonts w:hint="eastAsia" w:ascii="宋体" w:hAnsi="宋体"/>
                <w:color w:val="auto"/>
                <w:szCs w:val="21"/>
                <w:highlight w:val="none"/>
              </w:rPr>
            </w:pPr>
            <w:r>
              <w:rPr>
                <w:rFonts w:hint="eastAsia" w:ascii="宋体" w:hAnsi="宋体"/>
                <w:color w:val="auto"/>
                <w:szCs w:val="21"/>
                <w:highlight w:val="none"/>
              </w:rPr>
              <w:t>……</w:t>
            </w:r>
          </w:p>
        </w:tc>
        <w:tc>
          <w:tcPr>
            <w:tcW w:w="6715" w:type="dxa"/>
          </w:tcPr>
          <w:p w14:paraId="10E2C00C">
            <w:pPr>
              <w:rPr>
                <w:rFonts w:hint="eastAsia" w:ascii="宋体" w:hAnsi="宋体"/>
                <w:color w:val="auto"/>
                <w:szCs w:val="21"/>
                <w:highlight w:val="none"/>
              </w:rPr>
            </w:pPr>
          </w:p>
        </w:tc>
        <w:tc>
          <w:tcPr>
            <w:tcW w:w="726" w:type="dxa"/>
            <w:vAlign w:val="center"/>
          </w:tcPr>
          <w:p w14:paraId="1CE481D3">
            <w:pPr>
              <w:jc w:val="center"/>
              <w:rPr>
                <w:rFonts w:hint="eastAsia" w:ascii="宋体" w:hAnsi="宋体"/>
                <w:color w:val="auto"/>
                <w:szCs w:val="21"/>
                <w:highlight w:val="none"/>
              </w:rPr>
            </w:pPr>
          </w:p>
        </w:tc>
        <w:tc>
          <w:tcPr>
            <w:tcW w:w="2018" w:type="dxa"/>
            <w:vAlign w:val="center"/>
          </w:tcPr>
          <w:p w14:paraId="6F991D66">
            <w:pPr>
              <w:ind w:right="-35"/>
              <w:jc w:val="center"/>
              <w:rPr>
                <w:rFonts w:hint="eastAsia" w:ascii="宋体" w:hAnsi="宋体"/>
                <w:color w:val="auto"/>
                <w:szCs w:val="21"/>
                <w:highlight w:val="none"/>
              </w:rPr>
            </w:pPr>
          </w:p>
        </w:tc>
      </w:tr>
    </w:tbl>
    <w:p w14:paraId="117C2FF7">
      <w:pPr>
        <w:rPr>
          <w:rFonts w:hint="eastAsia" w:ascii="宋体" w:hAnsi="宋体"/>
          <w:color w:val="auto"/>
          <w:szCs w:val="21"/>
          <w:highlight w:val="none"/>
          <w:lang w:val="en-GB"/>
        </w:rPr>
      </w:pPr>
      <w:r>
        <w:rPr>
          <w:rFonts w:hint="eastAsia" w:ascii="宋体" w:hAnsi="宋体"/>
          <w:color w:val="auto"/>
          <w:szCs w:val="21"/>
          <w:highlight w:val="none"/>
          <w:lang w:val="en-GB"/>
        </w:rPr>
        <w:t xml:space="preserve">注： </w:t>
      </w:r>
    </w:p>
    <w:p w14:paraId="7AAEDBEA">
      <w:pPr>
        <w:rPr>
          <w:rFonts w:hint="eastAsia" w:ascii="宋体" w:hAnsi="宋体"/>
          <w:color w:val="auto"/>
          <w:szCs w:val="21"/>
          <w:highlight w:val="none"/>
          <w:lang w:val="en-GB"/>
        </w:rPr>
      </w:pPr>
      <w:r>
        <w:rPr>
          <w:rFonts w:hint="eastAsia" w:ascii="宋体" w:hAnsi="宋体"/>
          <w:color w:val="auto"/>
          <w:szCs w:val="21"/>
          <w:highlight w:val="none"/>
          <w:lang w:val="en-GB"/>
        </w:rPr>
        <w:t>1.</w:t>
      </w:r>
      <w:r>
        <w:rPr>
          <w:rFonts w:hint="eastAsia" w:ascii="宋体" w:hAnsi="宋体"/>
          <w:color w:val="auto"/>
          <w:szCs w:val="21"/>
          <w:highlight w:val="none"/>
        </w:rPr>
        <w:t>对</w:t>
      </w:r>
      <w:r>
        <w:rPr>
          <w:rFonts w:hint="eastAsia" w:ascii="宋体" w:hAnsi="宋体"/>
          <w:color w:val="auto"/>
          <w:szCs w:val="21"/>
          <w:highlight w:val="none"/>
          <w:lang w:val="en-GB"/>
        </w:rPr>
        <w:t>于上述要求，如投标人完全响应，则请在“是否响应”栏内打“√”，对空白或打“×”视为偏离，请在“偏离说明”栏内扼要说明偏离情况。</w:t>
      </w:r>
    </w:p>
    <w:p w14:paraId="56924160">
      <w:pPr>
        <w:rPr>
          <w:rFonts w:hint="eastAsia" w:ascii="宋体" w:hAnsi="宋体"/>
          <w:color w:val="auto"/>
          <w:szCs w:val="21"/>
          <w:highlight w:val="none"/>
          <w:lang w:val="en-GB"/>
        </w:rPr>
      </w:pPr>
      <w:r>
        <w:rPr>
          <w:rFonts w:hint="eastAsia" w:ascii="宋体" w:hAnsi="宋体"/>
          <w:color w:val="auto"/>
          <w:szCs w:val="21"/>
          <w:highlight w:val="none"/>
          <w:lang w:val="en-GB"/>
        </w:rPr>
        <w:t>2.本表内容不得擅自修改。</w:t>
      </w:r>
    </w:p>
    <w:p w14:paraId="23D7AACF">
      <w:pPr>
        <w:adjustRightInd w:val="0"/>
        <w:snapToGrid w:val="0"/>
        <w:spacing w:line="300" w:lineRule="auto"/>
        <w:rPr>
          <w:rFonts w:hint="eastAsia" w:ascii="宋体" w:hAnsi="宋体"/>
          <w:color w:val="auto"/>
          <w:szCs w:val="21"/>
          <w:highlight w:val="none"/>
        </w:rPr>
      </w:pPr>
    </w:p>
    <w:p w14:paraId="3122ABBC">
      <w:pPr>
        <w:adjustRightInd w:val="0"/>
        <w:snapToGrid w:val="0"/>
        <w:spacing w:line="300" w:lineRule="auto"/>
        <w:rPr>
          <w:rFonts w:hint="eastAsia" w:ascii="宋体" w:hAnsi="宋体"/>
          <w:color w:val="auto"/>
          <w:szCs w:val="21"/>
          <w:highlight w:val="none"/>
        </w:rPr>
      </w:pPr>
    </w:p>
    <w:p w14:paraId="4BE4A499">
      <w:pPr>
        <w:adjustRightInd w:val="0"/>
        <w:snapToGrid w:val="0"/>
        <w:spacing w:line="300" w:lineRule="auto"/>
        <w:rPr>
          <w:rFonts w:hint="eastAsia" w:ascii="宋体" w:hAnsi="宋体"/>
          <w:color w:val="auto"/>
          <w:szCs w:val="21"/>
          <w:highlight w:val="none"/>
        </w:rPr>
      </w:pPr>
    </w:p>
    <w:p w14:paraId="3BAA7D21">
      <w:pPr>
        <w:adjustRightInd w:val="0"/>
        <w:snapToGrid w:val="0"/>
        <w:spacing w:line="300" w:lineRule="auto"/>
        <w:rPr>
          <w:rFonts w:hint="eastAsia" w:ascii="宋体" w:hAnsi="宋体"/>
          <w:color w:val="auto"/>
          <w:szCs w:val="21"/>
          <w:highlight w:val="none"/>
        </w:rPr>
      </w:pPr>
      <w:r>
        <w:rPr>
          <w:rFonts w:hint="eastAsia" w:ascii="宋体" w:hAnsi="宋体"/>
          <w:color w:val="auto"/>
          <w:szCs w:val="21"/>
          <w:highlight w:val="none"/>
        </w:rPr>
        <w:t>投标人法定代表人/负责人（或法定代表人/负责人授权代表）签字：</w:t>
      </w:r>
    </w:p>
    <w:p w14:paraId="02098741">
      <w:pPr>
        <w:adjustRightInd w:val="0"/>
        <w:snapToGrid w:val="0"/>
        <w:spacing w:line="300" w:lineRule="auto"/>
        <w:rPr>
          <w:rFonts w:hint="eastAsia" w:ascii="宋体" w:hAnsi="宋体"/>
          <w:color w:val="auto"/>
          <w:szCs w:val="21"/>
          <w:highlight w:val="none"/>
          <w:u w:val="single"/>
        </w:rPr>
      </w:pPr>
      <w:r>
        <w:rPr>
          <w:rFonts w:hint="eastAsia" w:ascii="宋体" w:hAnsi="宋体"/>
          <w:color w:val="auto"/>
          <w:szCs w:val="21"/>
          <w:highlight w:val="none"/>
        </w:rPr>
        <w:t>投标人名称（加盖公章）：</w:t>
      </w:r>
    </w:p>
    <w:p w14:paraId="34BF98A3">
      <w:pPr>
        <w:adjustRightInd w:val="0"/>
        <w:snapToGrid w:val="0"/>
        <w:spacing w:line="300" w:lineRule="auto"/>
        <w:rPr>
          <w:rFonts w:hint="eastAsia" w:ascii="宋体" w:hAnsi="宋体"/>
          <w:color w:val="auto"/>
          <w:szCs w:val="21"/>
          <w:highlight w:val="none"/>
        </w:rPr>
      </w:pPr>
      <w:r>
        <w:rPr>
          <w:rFonts w:hint="eastAsia" w:ascii="宋体" w:hAnsi="宋体"/>
          <w:color w:val="auto"/>
          <w:szCs w:val="21"/>
          <w:highlight w:val="none"/>
        </w:rPr>
        <w:t>日期：年 月 日</w:t>
      </w:r>
    </w:p>
    <w:p w14:paraId="392E4126">
      <w:pPr>
        <w:rPr>
          <w:rFonts w:hint="eastAsia" w:ascii="宋体" w:hAnsi="宋体"/>
          <w:color w:val="auto"/>
          <w:szCs w:val="21"/>
          <w:highlight w:val="none"/>
        </w:rPr>
      </w:pPr>
    </w:p>
    <w:p w14:paraId="54B6076B">
      <w:pPr>
        <w:adjustRightInd w:val="0"/>
        <w:snapToGrid w:val="0"/>
        <w:rPr>
          <w:rFonts w:hint="eastAsia" w:ascii="宋体" w:hAnsi="宋体"/>
          <w:b/>
          <w:color w:val="auto"/>
          <w:sz w:val="32"/>
          <w:szCs w:val="32"/>
          <w:highlight w:val="none"/>
        </w:rPr>
      </w:pPr>
      <w:r>
        <w:rPr>
          <w:rFonts w:ascii="宋体" w:hAnsi="宋体"/>
          <w:color w:val="auto"/>
          <w:szCs w:val="21"/>
          <w:highlight w:val="none"/>
        </w:rPr>
        <w:br w:type="page"/>
      </w:r>
      <w:bookmarkStart w:id="35" w:name="_Toc202252036"/>
      <w:bookmarkStart w:id="36" w:name="_Toc202251077"/>
      <w:bookmarkStart w:id="37" w:name="_Toc202819880"/>
      <w:bookmarkStart w:id="38" w:name="_Toc202816998"/>
      <w:bookmarkStart w:id="39" w:name="_Toc202251702"/>
      <w:bookmarkStart w:id="40" w:name="_Toc202820353"/>
      <w:bookmarkStart w:id="41" w:name="_Toc202254107"/>
    </w:p>
    <w:p w14:paraId="28BF1BF8">
      <w:pPr>
        <w:pStyle w:val="91"/>
        <w:jc w:val="center"/>
        <w:rPr>
          <w:rFonts w:hint="eastAsia" w:ascii="宋体" w:hAnsi="宋体"/>
          <w:b/>
          <w:color w:val="auto"/>
          <w:sz w:val="32"/>
          <w:szCs w:val="32"/>
          <w:highlight w:val="none"/>
        </w:rPr>
      </w:pPr>
      <w:r>
        <w:rPr>
          <w:rFonts w:hint="eastAsia" w:ascii="宋体" w:hAnsi="宋体"/>
          <w:b/>
          <w:color w:val="auto"/>
          <w:sz w:val="32"/>
          <w:szCs w:val="32"/>
          <w:highlight w:val="none"/>
        </w:rPr>
        <w:t>五、服务</w:t>
      </w:r>
      <w:bookmarkEnd w:id="35"/>
      <w:bookmarkEnd w:id="36"/>
      <w:bookmarkEnd w:id="37"/>
      <w:bookmarkEnd w:id="38"/>
      <w:bookmarkEnd w:id="39"/>
      <w:bookmarkEnd w:id="40"/>
      <w:bookmarkEnd w:id="41"/>
      <w:r>
        <w:rPr>
          <w:rFonts w:hint="eastAsia" w:ascii="宋体" w:hAnsi="宋体"/>
          <w:b/>
          <w:color w:val="auto"/>
          <w:sz w:val="32"/>
          <w:szCs w:val="32"/>
          <w:highlight w:val="none"/>
        </w:rPr>
        <w:t>部分</w:t>
      </w:r>
    </w:p>
    <w:p w14:paraId="2958E47B">
      <w:pPr>
        <w:rPr>
          <w:rFonts w:hint="eastAsia" w:ascii="宋体" w:hAnsi="宋体"/>
          <w:b/>
          <w:color w:val="auto"/>
          <w:sz w:val="24"/>
          <w:highlight w:val="none"/>
        </w:rPr>
      </w:pPr>
      <w:r>
        <w:rPr>
          <w:rFonts w:hint="eastAsia" w:ascii="宋体" w:hAnsi="宋体"/>
          <w:b/>
          <w:color w:val="auto"/>
          <w:sz w:val="24"/>
          <w:highlight w:val="none"/>
        </w:rPr>
        <w:t>5.1服务内容一览表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5135"/>
        <w:gridCol w:w="1806"/>
      </w:tblGrid>
      <w:tr w14:paraId="5637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41150F37">
            <w:pPr>
              <w:spacing w:line="480" w:lineRule="exact"/>
              <w:jc w:val="center"/>
              <w:rPr>
                <w:rFonts w:hint="eastAsia" w:ascii="宋体" w:hAnsi="宋体"/>
                <w:color w:val="auto"/>
                <w:sz w:val="24"/>
                <w:highlight w:val="none"/>
              </w:rPr>
            </w:pPr>
            <w:r>
              <w:rPr>
                <w:rFonts w:hint="eastAsia" w:ascii="宋体" w:hAnsi="宋体"/>
                <w:color w:val="auto"/>
                <w:sz w:val="24"/>
                <w:highlight w:val="none"/>
              </w:rPr>
              <w:t>服务名称/数量</w:t>
            </w:r>
          </w:p>
        </w:tc>
        <w:tc>
          <w:tcPr>
            <w:tcW w:w="5135" w:type="dxa"/>
          </w:tcPr>
          <w:p w14:paraId="448C7435">
            <w:pPr>
              <w:spacing w:line="480" w:lineRule="exact"/>
              <w:jc w:val="center"/>
              <w:rPr>
                <w:rFonts w:hint="eastAsia" w:ascii="宋体" w:hAnsi="宋体"/>
                <w:color w:val="auto"/>
                <w:sz w:val="24"/>
                <w:highlight w:val="none"/>
              </w:rPr>
            </w:pPr>
            <w:r>
              <w:rPr>
                <w:rFonts w:hint="eastAsia" w:ascii="宋体" w:hAnsi="宋体"/>
                <w:color w:val="auto"/>
                <w:sz w:val="24"/>
                <w:highlight w:val="none"/>
              </w:rPr>
              <w:t>服务内容</w:t>
            </w:r>
          </w:p>
        </w:tc>
        <w:tc>
          <w:tcPr>
            <w:tcW w:w="1806" w:type="dxa"/>
          </w:tcPr>
          <w:p w14:paraId="3DE8F703">
            <w:pPr>
              <w:spacing w:line="480" w:lineRule="exact"/>
              <w:jc w:val="center"/>
              <w:rPr>
                <w:rFonts w:hint="eastAsia" w:ascii="宋体" w:hAnsi="宋体"/>
                <w:color w:val="auto"/>
                <w:sz w:val="24"/>
                <w:highlight w:val="none"/>
              </w:rPr>
            </w:pPr>
            <w:r>
              <w:rPr>
                <w:rFonts w:hint="eastAsia" w:ascii="宋体" w:hAnsi="宋体"/>
                <w:color w:val="auto"/>
                <w:sz w:val="24"/>
                <w:highlight w:val="none"/>
              </w:rPr>
              <w:t>备注</w:t>
            </w:r>
          </w:p>
        </w:tc>
      </w:tr>
      <w:tr w14:paraId="659A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1C685ABE">
            <w:pPr>
              <w:spacing w:line="480" w:lineRule="exact"/>
              <w:rPr>
                <w:rFonts w:hint="eastAsia" w:ascii="宋体" w:hAnsi="宋体"/>
                <w:color w:val="auto"/>
                <w:szCs w:val="21"/>
                <w:highlight w:val="none"/>
              </w:rPr>
            </w:pPr>
          </w:p>
        </w:tc>
        <w:tc>
          <w:tcPr>
            <w:tcW w:w="5135" w:type="dxa"/>
          </w:tcPr>
          <w:p w14:paraId="3A3879F5">
            <w:pPr>
              <w:spacing w:line="480" w:lineRule="exact"/>
              <w:rPr>
                <w:rFonts w:hint="eastAsia" w:ascii="宋体" w:hAnsi="宋体"/>
                <w:color w:val="auto"/>
                <w:szCs w:val="21"/>
                <w:highlight w:val="none"/>
              </w:rPr>
            </w:pPr>
          </w:p>
        </w:tc>
        <w:tc>
          <w:tcPr>
            <w:tcW w:w="1806" w:type="dxa"/>
          </w:tcPr>
          <w:p w14:paraId="277A2E76">
            <w:pPr>
              <w:spacing w:line="480" w:lineRule="exact"/>
              <w:rPr>
                <w:rFonts w:hint="eastAsia" w:ascii="宋体" w:hAnsi="宋体"/>
                <w:color w:val="auto"/>
                <w:szCs w:val="21"/>
                <w:highlight w:val="none"/>
              </w:rPr>
            </w:pPr>
          </w:p>
        </w:tc>
      </w:tr>
      <w:tr w14:paraId="1EB7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0DAB4856">
            <w:pPr>
              <w:spacing w:line="480" w:lineRule="exact"/>
              <w:rPr>
                <w:rFonts w:hint="eastAsia" w:ascii="宋体" w:hAnsi="宋体"/>
                <w:color w:val="auto"/>
                <w:szCs w:val="21"/>
                <w:highlight w:val="none"/>
              </w:rPr>
            </w:pPr>
          </w:p>
        </w:tc>
        <w:tc>
          <w:tcPr>
            <w:tcW w:w="5135" w:type="dxa"/>
          </w:tcPr>
          <w:p w14:paraId="068DB451">
            <w:pPr>
              <w:spacing w:line="480" w:lineRule="exact"/>
              <w:rPr>
                <w:rFonts w:hint="eastAsia" w:ascii="宋体" w:hAnsi="宋体"/>
                <w:color w:val="auto"/>
                <w:szCs w:val="21"/>
                <w:highlight w:val="none"/>
              </w:rPr>
            </w:pPr>
          </w:p>
        </w:tc>
        <w:tc>
          <w:tcPr>
            <w:tcW w:w="1806" w:type="dxa"/>
          </w:tcPr>
          <w:p w14:paraId="752C5DB4">
            <w:pPr>
              <w:spacing w:line="480" w:lineRule="exact"/>
              <w:rPr>
                <w:rFonts w:hint="eastAsia" w:ascii="宋体" w:hAnsi="宋体"/>
                <w:color w:val="auto"/>
                <w:szCs w:val="21"/>
                <w:highlight w:val="none"/>
              </w:rPr>
            </w:pPr>
          </w:p>
        </w:tc>
      </w:tr>
      <w:tr w14:paraId="4A29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0EFAE89C">
            <w:pPr>
              <w:spacing w:line="480" w:lineRule="exact"/>
              <w:rPr>
                <w:rFonts w:hint="eastAsia" w:ascii="宋体" w:hAnsi="宋体"/>
                <w:color w:val="auto"/>
                <w:szCs w:val="21"/>
                <w:highlight w:val="none"/>
              </w:rPr>
            </w:pPr>
          </w:p>
        </w:tc>
        <w:tc>
          <w:tcPr>
            <w:tcW w:w="5135" w:type="dxa"/>
          </w:tcPr>
          <w:p w14:paraId="5F5DDEAC">
            <w:pPr>
              <w:spacing w:line="480" w:lineRule="exact"/>
              <w:rPr>
                <w:rFonts w:hint="eastAsia" w:ascii="宋体" w:hAnsi="宋体"/>
                <w:color w:val="auto"/>
                <w:szCs w:val="21"/>
                <w:highlight w:val="none"/>
              </w:rPr>
            </w:pPr>
          </w:p>
        </w:tc>
        <w:tc>
          <w:tcPr>
            <w:tcW w:w="1806" w:type="dxa"/>
          </w:tcPr>
          <w:p w14:paraId="4E139733">
            <w:pPr>
              <w:spacing w:line="480" w:lineRule="exact"/>
              <w:rPr>
                <w:rFonts w:hint="eastAsia" w:ascii="宋体" w:hAnsi="宋体"/>
                <w:color w:val="auto"/>
                <w:szCs w:val="21"/>
                <w:highlight w:val="none"/>
              </w:rPr>
            </w:pPr>
          </w:p>
        </w:tc>
      </w:tr>
      <w:tr w14:paraId="7A98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5D939D23">
            <w:pPr>
              <w:spacing w:line="480" w:lineRule="exact"/>
              <w:rPr>
                <w:rFonts w:hint="eastAsia" w:ascii="宋体" w:hAnsi="宋体"/>
                <w:color w:val="auto"/>
                <w:szCs w:val="21"/>
                <w:highlight w:val="none"/>
              </w:rPr>
            </w:pPr>
          </w:p>
        </w:tc>
        <w:tc>
          <w:tcPr>
            <w:tcW w:w="5135" w:type="dxa"/>
          </w:tcPr>
          <w:p w14:paraId="4B6F218C">
            <w:pPr>
              <w:spacing w:line="480" w:lineRule="exact"/>
              <w:rPr>
                <w:rFonts w:hint="eastAsia" w:ascii="宋体" w:hAnsi="宋体"/>
                <w:color w:val="auto"/>
                <w:szCs w:val="21"/>
                <w:highlight w:val="none"/>
              </w:rPr>
            </w:pPr>
          </w:p>
        </w:tc>
        <w:tc>
          <w:tcPr>
            <w:tcW w:w="1806" w:type="dxa"/>
          </w:tcPr>
          <w:p w14:paraId="1C4AAE77">
            <w:pPr>
              <w:spacing w:line="480" w:lineRule="exact"/>
              <w:rPr>
                <w:rFonts w:hint="eastAsia" w:ascii="宋体" w:hAnsi="宋体"/>
                <w:color w:val="auto"/>
                <w:szCs w:val="21"/>
                <w:highlight w:val="none"/>
              </w:rPr>
            </w:pPr>
          </w:p>
        </w:tc>
      </w:tr>
      <w:tr w14:paraId="2E48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6A6A0B2F">
            <w:pPr>
              <w:spacing w:line="480" w:lineRule="exact"/>
              <w:rPr>
                <w:rFonts w:hint="eastAsia" w:ascii="宋体" w:hAnsi="宋体"/>
                <w:color w:val="auto"/>
                <w:szCs w:val="21"/>
                <w:highlight w:val="none"/>
              </w:rPr>
            </w:pPr>
          </w:p>
        </w:tc>
        <w:tc>
          <w:tcPr>
            <w:tcW w:w="5135" w:type="dxa"/>
          </w:tcPr>
          <w:p w14:paraId="70BADE34">
            <w:pPr>
              <w:spacing w:line="480" w:lineRule="exact"/>
              <w:rPr>
                <w:rFonts w:hint="eastAsia" w:ascii="宋体" w:hAnsi="宋体"/>
                <w:color w:val="auto"/>
                <w:szCs w:val="21"/>
                <w:highlight w:val="none"/>
              </w:rPr>
            </w:pPr>
          </w:p>
        </w:tc>
        <w:tc>
          <w:tcPr>
            <w:tcW w:w="1806" w:type="dxa"/>
          </w:tcPr>
          <w:p w14:paraId="54BBEFF5">
            <w:pPr>
              <w:spacing w:line="480" w:lineRule="exact"/>
              <w:rPr>
                <w:rFonts w:hint="eastAsia" w:ascii="宋体" w:hAnsi="宋体"/>
                <w:color w:val="auto"/>
                <w:szCs w:val="21"/>
                <w:highlight w:val="none"/>
              </w:rPr>
            </w:pPr>
          </w:p>
        </w:tc>
      </w:tr>
      <w:tr w14:paraId="4980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6124143C">
            <w:pPr>
              <w:spacing w:line="480" w:lineRule="exact"/>
              <w:rPr>
                <w:rFonts w:hint="eastAsia" w:ascii="宋体" w:hAnsi="宋体"/>
                <w:color w:val="auto"/>
                <w:szCs w:val="21"/>
                <w:highlight w:val="none"/>
              </w:rPr>
            </w:pPr>
          </w:p>
        </w:tc>
        <w:tc>
          <w:tcPr>
            <w:tcW w:w="5135" w:type="dxa"/>
          </w:tcPr>
          <w:p w14:paraId="745162EF">
            <w:pPr>
              <w:spacing w:line="480" w:lineRule="exact"/>
              <w:rPr>
                <w:rFonts w:hint="eastAsia" w:ascii="宋体" w:hAnsi="宋体"/>
                <w:color w:val="auto"/>
                <w:szCs w:val="21"/>
                <w:highlight w:val="none"/>
              </w:rPr>
            </w:pPr>
          </w:p>
        </w:tc>
        <w:tc>
          <w:tcPr>
            <w:tcW w:w="1806" w:type="dxa"/>
          </w:tcPr>
          <w:p w14:paraId="2FEB32DD">
            <w:pPr>
              <w:spacing w:line="480" w:lineRule="exact"/>
              <w:rPr>
                <w:rFonts w:hint="eastAsia" w:ascii="宋体" w:hAnsi="宋体"/>
                <w:color w:val="auto"/>
                <w:szCs w:val="21"/>
                <w:highlight w:val="none"/>
              </w:rPr>
            </w:pPr>
          </w:p>
        </w:tc>
      </w:tr>
      <w:tr w14:paraId="732D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45AF5D55">
            <w:pPr>
              <w:spacing w:line="480" w:lineRule="exact"/>
              <w:rPr>
                <w:rFonts w:hint="eastAsia" w:ascii="宋体" w:hAnsi="宋体"/>
                <w:color w:val="auto"/>
                <w:szCs w:val="21"/>
                <w:highlight w:val="none"/>
              </w:rPr>
            </w:pPr>
          </w:p>
        </w:tc>
        <w:tc>
          <w:tcPr>
            <w:tcW w:w="5135" w:type="dxa"/>
          </w:tcPr>
          <w:p w14:paraId="27CD7183">
            <w:pPr>
              <w:spacing w:line="480" w:lineRule="exact"/>
              <w:rPr>
                <w:rFonts w:hint="eastAsia" w:ascii="宋体" w:hAnsi="宋体"/>
                <w:color w:val="auto"/>
                <w:szCs w:val="21"/>
                <w:highlight w:val="none"/>
              </w:rPr>
            </w:pPr>
          </w:p>
        </w:tc>
        <w:tc>
          <w:tcPr>
            <w:tcW w:w="1806" w:type="dxa"/>
          </w:tcPr>
          <w:p w14:paraId="2014B25E">
            <w:pPr>
              <w:spacing w:line="480" w:lineRule="exact"/>
              <w:rPr>
                <w:rFonts w:hint="eastAsia" w:ascii="宋体" w:hAnsi="宋体"/>
                <w:color w:val="auto"/>
                <w:szCs w:val="21"/>
                <w:highlight w:val="none"/>
              </w:rPr>
            </w:pPr>
          </w:p>
        </w:tc>
      </w:tr>
      <w:tr w14:paraId="0DB6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185D5127">
            <w:pPr>
              <w:spacing w:line="480" w:lineRule="exact"/>
              <w:rPr>
                <w:rFonts w:hint="eastAsia" w:ascii="宋体" w:hAnsi="宋体"/>
                <w:color w:val="auto"/>
                <w:szCs w:val="21"/>
                <w:highlight w:val="none"/>
              </w:rPr>
            </w:pPr>
          </w:p>
        </w:tc>
        <w:tc>
          <w:tcPr>
            <w:tcW w:w="5135" w:type="dxa"/>
          </w:tcPr>
          <w:p w14:paraId="23AF149C">
            <w:pPr>
              <w:spacing w:line="480" w:lineRule="exact"/>
              <w:rPr>
                <w:rFonts w:hint="eastAsia" w:ascii="宋体" w:hAnsi="宋体"/>
                <w:color w:val="auto"/>
                <w:szCs w:val="21"/>
                <w:highlight w:val="none"/>
              </w:rPr>
            </w:pPr>
          </w:p>
        </w:tc>
        <w:tc>
          <w:tcPr>
            <w:tcW w:w="1806" w:type="dxa"/>
          </w:tcPr>
          <w:p w14:paraId="445735D6">
            <w:pPr>
              <w:spacing w:line="480" w:lineRule="exact"/>
              <w:rPr>
                <w:rFonts w:hint="eastAsia" w:ascii="宋体" w:hAnsi="宋体"/>
                <w:color w:val="auto"/>
                <w:szCs w:val="21"/>
                <w:highlight w:val="none"/>
              </w:rPr>
            </w:pPr>
          </w:p>
        </w:tc>
      </w:tr>
      <w:tr w14:paraId="5175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19F6E1E0">
            <w:pPr>
              <w:spacing w:line="480" w:lineRule="exact"/>
              <w:rPr>
                <w:rFonts w:hint="eastAsia" w:ascii="宋体" w:hAnsi="宋体"/>
                <w:color w:val="auto"/>
                <w:szCs w:val="21"/>
                <w:highlight w:val="none"/>
              </w:rPr>
            </w:pPr>
          </w:p>
        </w:tc>
        <w:tc>
          <w:tcPr>
            <w:tcW w:w="5135" w:type="dxa"/>
          </w:tcPr>
          <w:p w14:paraId="42CE2B25">
            <w:pPr>
              <w:spacing w:line="480" w:lineRule="exact"/>
              <w:rPr>
                <w:rFonts w:hint="eastAsia" w:ascii="宋体" w:hAnsi="宋体"/>
                <w:color w:val="auto"/>
                <w:szCs w:val="21"/>
                <w:highlight w:val="none"/>
              </w:rPr>
            </w:pPr>
          </w:p>
        </w:tc>
        <w:tc>
          <w:tcPr>
            <w:tcW w:w="1806" w:type="dxa"/>
          </w:tcPr>
          <w:p w14:paraId="58384C05">
            <w:pPr>
              <w:spacing w:line="480" w:lineRule="exact"/>
              <w:rPr>
                <w:rFonts w:hint="eastAsia" w:ascii="宋体" w:hAnsi="宋体"/>
                <w:color w:val="auto"/>
                <w:szCs w:val="21"/>
                <w:highlight w:val="none"/>
              </w:rPr>
            </w:pPr>
          </w:p>
        </w:tc>
      </w:tr>
      <w:tr w14:paraId="60FE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381BB643">
            <w:pPr>
              <w:spacing w:line="480" w:lineRule="exact"/>
              <w:rPr>
                <w:rFonts w:hint="eastAsia" w:ascii="宋体" w:hAnsi="宋体"/>
                <w:color w:val="auto"/>
                <w:szCs w:val="21"/>
                <w:highlight w:val="none"/>
              </w:rPr>
            </w:pPr>
          </w:p>
        </w:tc>
        <w:tc>
          <w:tcPr>
            <w:tcW w:w="5135" w:type="dxa"/>
          </w:tcPr>
          <w:p w14:paraId="7DE90E05">
            <w:pPr>
              <w:spacing w:line="480" w:lineRule="exact"/>
              <w:rPr>
                <w:rFonts w:hint="eastAsia" w:ascii="宋体" w:hAnsi="宋体"/>
                <w:color w:val="auto"/>
                <w:szCs w:val="21"/>
                <w:highlight w:val="none"/>
              </w:rPr>
            </w:pPr>
          </w:p>
        </w:tc>
        <w:tc>
          <w:tcPr>
            <w:tcW w:w="1806" w:type="dxa"/>
          </w:tcPr>
          <w:p w14:paraId="11901700">
            <w:pPr>
              <w:spacing w:line="480" w:lineRule="exact"/>
              <w:rPr>
                <w:rFonts w:hint="eastAsia" w:ascii="宋体" w:hAnsi="宋体"/>
                <w:color w:val="auto"/>
                <w:szCs w:val="21"/>
                <w:highlight w:val="none"/>
              </w:rPr>
            </w:pPr>
          </w:p>
        </w:tc>
      </w:tr>
      <w:tr w14:paraId="498E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15B77630">
            <w:pPr>
              <w:spacing w:line="480" w:lineRule="exact"/>
              <w:rPr>
                <w:rFonts w:hint="eastAsia" w:ascii="宋体" w:hAnsi="宋体"/>
                <w:color w:val="auto"/>
                <w:szCs w:val="21"/>
                <w:highlight w:val="none"/>
              </w:rPr>
            </w:pPr>
          </w:p>
        </w:tc>
        <w:tc>
          <w:tcPr>
            <w:tcW w:w="5135" w:type="dxa"/>
          </w:tcPr>
          <w:p w14:paraId="3769CD0E">
            <w:pPr>
              <w:spacing w:line="480" w:lineRule="exact"/>
              <w:rPr>
                <w:rFonts w:hint="eastAsia" w:ascii="宋体" w:hAnsi="宋体"/>
                <w:color w:val="auto"/>
                <w:szCs w:val="21"/>
                <w:highlight w:val="none"/>
              </w:rPr>
            </w:pPr>
          </w:p>
        </w:tc>
        <w:tc>
          <w:tcPr>
            <w:tcW w:w="1806" w:type="dxa"/>
          </w:tcPr>
          <w:p w14:paraId="0668D448">
            <w:pPr>
              <w:spacing w:line="480" w:lineRule="exact"/>
              <w:rPr>
                <w:rFonts w:hint="eastAsia" w:ascii="宋体" w:hAnsi="宋体"/>
                <w:color w:val="auto"/>
                <w:szCs w:val="21"/>
                <w:highlight w:val="none"/>
              </w:rPr>
            </w:pPr>
          </w:p>
        </w:tc>
      </w:tr>
      <w:tr w14:paraId="56CA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0C76D05E">
            <w:pPr>
              <w:spacing w:line="480" w:lineRule="exact"/>
              <w:rPr>
                <w:rFonts w:hint="eastAsia" w:ascii="宋体" w:hAnsi="宋体"/>
                <w:color w:val="auto"/>
                <w:szCs w:val="21"/>
                <w:highlight w:val="none"/>
              </w:rPr>
            </w:pPr>
          </w:p>
        </w:tc>
        <w:tc>
          <w:tcPr>
            <w:tcW w:w="5135" w:type="dxa"/>
          </w:tcPr>
          <w:p w14:paraId="1F536AE7">
            <w:pPr>
              <w:spacing w:line="480" w:lineRule="exact"/>
              <w:rPr>
                <w:rFonts w:hint="eastAsia" w:ascii="宋体" w:hAnsi="宋体"/>
                <w:color w:val="auto"/>
                <w:szCs w:val="21"/>
                <w:highlight w:val="none"/>
              </w:rPr>
            </w:pPr>
          </w:p>
        </w:tc>
        <w:tc>
          <w:tcPr>
            <w:tcW w:w="1806" w:type="dxa"/>
          </w:tcPr>
          <w:p w14:paraId="567220AA">
            <w:pPr>
              <w:spacing w:line="480" w:lineRule="exact"/>
              <w:rPr>
                <w:rFonts w:hint="eastAsia" w:ascii="宋体" w:hAnsi="宋体"/>
                <w:color w:val="auto"/>
                <w:szCs w:val="21"/>
                <w:highlight w:val="none"/>
              </w:rPr>
            </w:pPr>
          </w:p>
        </w:tc>
      </w:tr>
      <w:tr w14:paraId="4ECA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364BF6E0">
            <w:pPr>
              <w:spacing w:line="480" w:lineRule="exact"/>
              <w:rPr>
                <w:rFonts w:hint="eastAsia" w:ascii="宋体" w:hAnsi="宋体"/>
                <w:color w:val="auto"/>
                <w:szCs w:val="21"/>
                <w:highlight w:val="none"/>
              </w:rPr>
            </w:pPr>
          </w:p>
        </w:tc>
        <w:tc>
          <w:tcPr>
            <w:tcW w:w="5135" w:type="dxa"/>
          </w:tcPr>
          <w:p w14:paraId="157786C3">
            <w:pPr>
              <w:spacing w:line="480" w:lineRule="exact"/>
              <w:rPr>
                <w:rFonts w:hint="eastAsia" w:ascii="宋体" w:hAnsi="宋体"/>
                <w:color w:val="auto"/>
                <w:szCs w:val="21"/>
                <w:highlight w:val="none"/>
              </w:rPr>
            </w:pPr>
          </w:p>
        </w:tc>
        <w:tc>
          <w:tcPr>
            <w:tcW w:w="1806" w:type="dxa"/>
          </w:tcPr>
          <w:p w14:paraId="4102EDCA">
            <w:pPr>
              <w:spacing w:line="480" w:lineRule="exact"/>
              <w:rPr>
                <w:rFonts w:hint="eastAsia" w:ascii="宋体" w:hAnsi="宋体"/>
                <w:color w:val="auto"/>
                <w:szCs w:val="21"/>
                <w:highlight w:val="none"/>
              </w:rPr>
            </w:pPr>
          </w:p>
        </w:tc>
      </w:tr>
    </w:tbl>
    <w:p w14:paraId="1E981F86">
      <w:pPr>
        <w:rPr>
          <w:rFonts w:hint="eastAsia" w:ascii="宋体" w:hAnsi="宋体"/>
          <w:color w:val="auto"/>
          <w:sz w:val="24"/>
          <w:highlight w:val="none"/>
        </w:rPr>
      </w:pPr>
    </w:p>
    <w:p w14:paraId="3152A992">
      <w:pPr>
        <w:rPr>
          <w:rFonts w:hint="eastAsia" w:ascii="宋体" w:hAnsi="宋体"/>
          <w:color w:val="auto"/>
          <w:sz w:val="24"/>
          <w:highlight w:val="none"/>
        </w:rPr>
      </w:pPr>
    </w:p>
    <w:p w14:paraId="0C892644">
      <w:pPr>
        <w:adjustRightInd w:val="0"/>
        <w:snapToGrid w:val="0"/>
        <w:rPr>
          <w:rFonts w:hint="eastAsia" w:ascii="宋体" w:hAnsi="宋体"/>
          <w:color w:val="auto"/>
          <w:sz w:val="24"/>
          <w:highlight w:val="none"/>
        </w:rPr>
      </w:pPr>
      <w:r>
        <w:rPr>
          <w:rFonts w:hint="eastAsia" w:ascii="宋体" w:hAnsi="宋体"/>
          <w:color w:val="auto"/>
          <w:sz w:val="24"/>
          <w:highlight w:val="none"/>
        </w:rPr>
        <w:t>投标人法定代表人/负责人（或法定代表人/负责人授权代表）签字：</w:t>
      </w:r>
    </w:p>
    <w:p w14:paraId="6DA0320F">
      <w:pPr>
        <w:adjustRightInd w:val="0"/>
        <w:snapToGrid w:val="0"/>
        <w:rPr>
          <w:rFonts w:hint="eastAsia" w:ascii="宋体" w:hAnsi="宋体"/>
          <w:color w:val="auto"/>
          <w:sz w:val="24"/>
          <w:highlight w:val="none"/>
          <w:u w:val="single"/>
        </w:rPr>
      </w:pPr>
      <w:r>
        <w:rPr>
          <w:rFonts w:hint="eastAsia" w:ascii="宋体" w:hAnsi="宋体"/>
          <w:color w:val="auto"/>
          <w:sz w:val="24"/>
          <w:highlight w:val="none"/>
        </w:rPr>
        <w:t>投标人名称（加盖公章）：</w:t>
      </w:r>
    </w:p>
    <w:p w14:paraId="4F9D6201">
      <w:pPr>
        <w:rPr>
          <w:rFonts w:hint="eastAsia" w:ascii="宋体" w:hAnsi="宋体"/>
          <w:color w:val="auto"/>
          <w:sz w:val="24"/>
          <w:highlight w:val="none"/>
        </w:rPr>
      </w:pPr>
      <w:r>
        <w:rPr>
          <w:rFonts w:hint="eastAsia" w:ascii="宋体" w:hAnsi="宋体"/>
          <w:color w:val="auto"/>
          <w:sz w:val="24"/>
          <w:highlight w:val="none"/>
        </w:rPr>
        <w:t>日期：   年   月   日</w:t>
      </w:r>
    </w:p>
    <w:p w14:paraId="37737E88">
      <w:pPr>
        <w:rPr>
          <w:rFonts w:hint="eastAsia" w:ascii="宋体" w:hAnsi="宋体"/>
          <w:b/>
          <w:color w:val="auto"/>
          <w:sz w:val="24"/>
          <w:highlight w:val="none"/>
        </w:rPr>
      </w:pPr>
      <w:r>
        <w:rPr>
          <w:rFonts w:ascii="宋体" w:hAnsi="宋体"/>
          <w:b/>
          <w:color w:val="auto"/>
          <w:sz w:val="28"/>
          <w:szCs w:val="28"/>
          <w:highlight w:val="none"/>
        </w:rPr>
        <w:br w:type="page"/>
      </w:r>
      <w:r>
        <w:rPr>
          <w:rFonts w:hint="eastAsia" w:ascii="宋体" w:hAnsi="宋体"/>
          <w:b/>
          <w:color w:val="auto"/>
          <w:sz w:val="24"/>
          <w:highlight w:val="none"/>
        </w:rPr>
        <w:t>5.2服务条款响应表</w:t>
      </w:r>
    </w:p>
    <w:p w14:paraId="5EEE79EF">
      <w:pPr>
        <w:pStyle w:val="91"/>
        <w:rPr>
          <w:rFonts w:hint="eastAsia" w:ascii="宋体" w:hAnsi="宋体"/>
          <w:b/>
          <w:color w:val="auto"/>
          <w:szCs w:val="24"/>
          <w:highlight w:val="none"/>
        </w:rPr>
      </w:pPr>
      <w:r>
        <w:rPr>
          <w:rFonts w:hint="eastAsia" w:ascii="宋体" w:hAnsi="宋体"/>
          <w:b/>
          <w:color w:val="auto"/>
          <w:szCs w:val="24"/>
          <w:highlight w:val="none"/>
        </w:rPr>
        <w:t>（1）实质性响应服务条款（“★”项）响应表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3FB8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225ADDA2">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716" w:type="dxa"/>
            <w:vAlign w:val="center"/>
          </w:tcPr>
          <w:p w14:paraId="2D8CF8ED">
            <w:pPr>
              <w:jc w:val="center"/>
              <w:rPr>
                <w:rFonts w:hint="eastAsia" w:ascii="宋体" w:hAnsi="宋体"/>
                <w:b/>
                <w:color w:val="auto"/>
                <w:szCs w:val="21"/>
                <w:highlight w:val="none"/>
              </w:rPr>
            </w:pPr>
            <w:r>
              <w:rPr>
                <w:rFonts w:hint="eastAsia" w:ascii="宋体" w:hAnsi="宋体"/>
                <w:b/>
                <w:color w:val="auto"/>
                <w:szCs w:val="21"/>
                <w:highlight w:val="none"/>
              </w:rPr>
              <w:t>招标规格/要求</w:t>
            </w:r>
          </w:p>
        </w:tc>
        <w:tc>
          <w:tcPr>
            <w:tcW w:w="3207" w:type="dxa"/>
            <w:vAlign w:val="center"/>
          </w:tcPr>
          <w:p w14:paraId="69F43D1D">
            <w:pPr>
              <w:jc w:val="center"/>
              <w:rPr>
                <w:rFonts w:hint="eastAsia" w:ascii="宋体" w:hAnsi="宋体"/>
                <w:b/>
                <w:color w:val="auto"/>
                <w:szCs w:val="21"/>
                <w:highlight w:val="none"/>
              </w:rPr>
            </w:pPr>
            <w:r>
              <w:rPr>
                <w:rFonts w:hint="eastAsia" w:ascii="宋体" w:hAnsi="宋体"/>
                <w:b/>
                <w:color w:val="auto"/>
                <w:szCs w:val="21"/>
                <w:highlight w:val="none"/>
              </w:rPr>
              <w:t>投标实际参数</w:t>
            </w:r>
          </w:p>
          <w:p w14:paraId="49CB5EC8">
            <w:pPr>
              <w:jc w:val="center"/>
              <w:rPr>
                <w:rFonts w:hint="eastAsia" w:ascii="宋体" w:hAnsi="宋体"/>
                <w:b/>
                <w:color w:val="auto"/>
                <w:szCs w:val="21"/>
                <w:highlight w:val="none"/>
              </w:rPr>
            </w:pPr>
            <w:r>
              <w:rPr>
                <w:rFonts w:hint="eastAsia" w:ascii="宋体" w:hAnsi="宋体"/>
                <w:b/>
                <w:bCs/>
                <w:color w:val="auto"/>
                <w:szCs w:val="21"/>
                <w:highlight w:val="none"/>
              </w:rPr>
              <w:t>(投标人应按投标货物/服务实际数据填写，不能照抄招标要求)</w:t>
            </w:r>
          </w:p>
        </w:tc>
        <w:tc>
          <w:tcPr>
            <w:tcW w:w="1890" w:type="dxa"/>
            <w:vAlign w:val="center"/>
          </w:tcPr>
          <w:p w14:paraId="6AC3074F">
            <w:pPr>
              <w:jc w:val="center"/>
              <w:rPr>
                <w:rFonts w:hint="eastAsia" w:ascii="宋体" w:hAnsi="宋体"/>
                <w:b/>
                <w:color w:val="auto"/>
                <w:szCs w:val="21"/>
                <w:highlight w:val="none"/>
              </w:rPr>
            </w:pPr>
            <w:r>
              <w:rPr>
                <w:rFonts w:hint="eastAsia" w:ascii="宋体" w:hAnsi="宋体"/>
                <w:b/>
                <w:color w:val="auto"/>
                <w:szCs w:val="21"/>
                <w:highlight w:val="none"/>
              </w:rPr>
              <w:t>是否偏离（无偏离/正偏离/负偏离）</w:t>
            </w:r>
          </w:p>
        </w:tc>
        <w:tc>
          <w:tcPr>
            <w:tcW w:w="1157" w:type="dxa"/>
            <w:vAlign w:val="center"/>
          </w:tcPr>
          <w:p w14:paraId="3FEA57BC">
            <w:pPr>
              <w:jc w:val="center"/>
              <w:rPr>
                <w:rFonts w:hint="eastAsia" w:ascii="宋体" w:hAnsi="宋体"/>
                <w:b/>
                <w:color w:val="auto"/>
                <w:szCs w:val="21"/>
                <w:highlight w:val="none"/>
              </w:rPr>
            </w:pPr>
            <w:r>
              <w:rPr>
                <w:rFonts w:hint="eastAsia" w:ascii="宋体" w:hAnsi="宋体"/>
                <w:b/>
                <w:color w:val="auto"/>
                <w:szCs w:val="21"/>
                <w:highlight w:val="none"/>
              </w:rPr>
              <w:t>偏离简述</w:t>
            </w:r>
          </w:p>
        </w:tc>
      </w:tr>
      <w:tr w14:paraId="3051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3F7D4CE">
            <w:pPr>
              <w:jc w:val="center"/>
              <w:rPr>
                <w:rFonts w:hint="eastAsia" w:ascii="宋体" w:hAnsi="宋体"/>
                <w:color w:val="auto"/>
                <w:szCs w:val="21"/>
                <w:highlight w:val="none"/>
              </w:rPr>
            </w:pPr>
            <w:r>
              <w:rPr>
                <w:rFonts w:hint="eastAsia" w:ascii="宋体" w:hAnsi="宋体"/>
                <w:color w:val="auto"/>
                <w:szCs w:val="21"/>
                <w:highlight w:val="none"/>
              </w:rPr>
              <w:t>1</w:t>
            </w:r>
          </w:p>
        </w:tc>
        <w:tc>
          <w:tcPr>
            <w:tcW w:w="1716" w:type="dxa"/>
          </w:tcPr>
          <w:p w14:paraId="3E9C7960">
            <w:pPr>
              <w:jc w:val="center"/>
              <w:rPr>
                <w:rFonts w:hint="eastAsia" w:ascii="宋体" w:hAnsi="宋体"/>
                <w:color w:val="auto"/>
                <w:szCs w:val="21"/>
                <w:highlight w:val="none"/>
              </w:rPr>
            </w:pPr>
          </w:p>
        </w:tc>
        <w:tc>
          <w:tcPr>
            <w:tcW w:w="3207" w:type="dxa"/>
          </w:tcPr>
          <w:p w14:paraId="23E57034">
            <w:pPr>
              <w:rPr>
                <w:rFonts w:hint="eastAsia" w:ascii="宋体" w:hAnsi="宋体"/>
                <w:color w:val="auto"/>
                <w:szCs w:val="21"/>
                <w:highlight w:val="none"/>
              </w:rPr>
            </w:pPr>
          </w:p>
        </w:tc>
        <w:tc>
          <w:tcPr>
            <w:tcW w:w="1890" w:type="dxa"/>
          </w:tcPr>
          <w:p w14:paraId="2337E4CF">
            <w:pPr>
              <w:rPr>
                <w:rFonts w:hint="eastAsia" w:ascii="宋体" w:hAnsi="宋体"/>
                <w:color w:val="auto"/>
                <w:szCs w:val="21"/>
                <w:highlight w:val="none"/>
              </w:rPr>
            </w:pPr>
          </w:p>
        </w:tc>
        <w:tc>
          <w:tcPr>
            <w:tcW w:w="1157" w:type="dxa"/>
          </w:tcPr>
          <w:p w14:paraId="55A2F24B">
            <w:pPr>
              <w:rPr>
                <w:rFonts w:hint="eastAsia" w:ascii="宋体" w:hAnsi="宋体"/>
                <w:color w:val="auto"/>
                <w:szCs w:val="21"/>
                <w:highlight w:val="none"/>
              </w:rPr>
            </w:pPr>
          </w:p>
        </w:tc>
      </w:tr>
      <w:tr w14:paraId="1A23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2DD3F75">
            <w:pPr>
              <w:jc w:val="center"/>
              <w:rPr>
                <w:rFonts w:hint="eastAsia" w:ascii="宋体" w:hAnsi="宋体"/>
                <w:color w:val="auto"/>
                <w:szCs w:val="21"/>
                <w:highlight w:val="none"/>
              </w:rPr>
            </w:pPr>
            <w:r>
              <w:rPr>
                <w:rFonts w:hint="eastAsia" w:ascii="宋体" w:hAnsi="宋体"/>
                <w:color w:val="auto"/>
                <w:szCs w:val="21"/>
                <w:highlight w:val="none"/>
              </w:rPr>
              <w:t>2</w:t>
            </w:r>
          </w:p>
        </w:tc>
        <w:tc>
          <w:tcPr>
            <w:tcW w:w="1716" w:type="dxa"/>
          </w:tcPr>
          <w:p w14:paraId="10DF2816">
            <w:pPr>
              <w:jc w:val="center"/>
              <w:rPr>
                <w:rFonts w:hint="eastAsia" w:ascii="宋体" w:hAnsi="宋体"/>
                <w:color w:val="auto"/>
                <w:szCs w:val="21"/>
                <w:highlight w:val="none"/>
              </w:rPr>
            </w:pPr>
          </w:p>
        </w:tc>
        <w:tc>
          <w:tcPr>
            <w:tcW w:w="3207" w:type="dxa"/>
          </w:tcPr>
          <w:p w14:paraId="3D085DC3">
            <w:pPr>
              <w:rPr>
                <w:rFonts w:hint="eastAsia" w:ascii="宋体" w:hAnsi="宋体"/>
                <w:color w:val="auto"/>
                <w:szCs w:val="21"/>
                <w:highlight w:val="none"/>
              </w:rPr>
            </w:pPr>
          </w:p>
        </w:tc>
        <w:tc>
          <w:tcPr>
            <w:tcW w:w="1890" w:type="dxa"/>
          </w:tcPr>
          <w:p w14:paraId="3A718473">
            <w:pPr>
              <w:rPr>
                <w:rFonts w:hint="eastAsia" w:ascii="宋体" w:hAnsi="宋体"/>
                <w:color w:val="auto"/>
                <w:szCs w:val="21"/>
                <w:highlight w:val="none"/>
              </w:rPr>
            </w:pPr>
          </w:p>
        </w:tc>
        <w:tc>
          <w:tcPr>
            <w:tcW w:w="1157" w:type="dxa"/>
          </w:tcPr>
          <w:p w14:paraId="09131993">
            <w:pPr>
              <w:rPr>
                <w:rFonts w:hint="eastAsia" w:ascii="宋体" w:hAnsi="宋体"/>
                <w:color w:val="auto"/>
                <w:szCs w:val="21"/>
                <w:highlight w:val="none"/>
              </w:rPr>
            </w:pPr>
          </w:p>
        </w:tc>
      </w:tr>
      <w:tr w14:paraId="573F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C69703D">
            <w:pPr>
              <w:jc w:val="center"/>
              <w:rPr>
                <w:rFonts w:hint="eastAsia" w:ascii="宋体" w:hAnsi="宋体"/>
                <w:color w:val="auto"/>
                <w:szCs w:val="21"/>
                <w:highlight w:val="none"/>
              </w:rPr>
            </w:pPr>
            <w:r>
              <w:rPr>
                <w:rFonts w:hint="eastAsia" w:ascii="宋体" w:hAnsi="宋体"/>
                <w:color w:val="auto"/>
                <w:szCs w:val="21"/>
                <w:highlight w:val="none"/>
              </w:rPr>
              <w:t>3</w:t>
            </w:r>
          </w:p>
        </w:tc>
        <w:tc>
          <w:tcPr>
            <w:tcW w:w="1716" w:type="dxa"/>
          </w:tcPr>
          <w:p w14:paraId="59AC671D">
            <w:pPr>
              <w:jc w:val="center"/>
              <w:rPr>
                <w:rFonts w:hint="eastAsia" w:ascii="宋体" w:hAnsi="宋体"/>
                <w:color w:val="auto"/>
                <w:szCs w:val="21"/>
                <w:highlight w:val="none"/>
              </w:rPr>
            </w:pPr>
          </w:p>
        </w:tc>
        <w:tc>
          <w:tcPr>
            <w:tcW w:w="3207" w:type="dxa"/>
          </w:tcPr>
          <w:p w14:paraId="212DF7D3">
            <w:pPr>
              <w:rPr>
                <w:rFonts w:hint="eastAsia" w:ascii="宋体" w:hAnsi="宋体"/>
                <w:color w:val="auto"/>
                <w:szCs w:val="21"/>
                <w:highlight w:val="none"/>
              </w:rPr>
            </w:pPr>
          </w:p>
        </w:tc>
        <w:tc>
          <w:tcPr>
            <w:tcW w:w="1890" w:type="dxa"/>
          </w:tcPr>
          <w:p w14:paraId="255C4428">
            <w:pPr>
              <w:rPr>
                <w:rFonts w:hint="eastAsia" w:ascii="宋体" w:hAnsi="宋体"/>
                <w:color w:val="auto"/>
                <w:szCs w:val="21"/>
                <w:highlight w:val="none"/>
              </w:rPr>
            </w:pPr>
          </w:p>
        </w:tc>
        <w:tc>
          <w:tcPr>
            <w:tcW w:w="1157" w:type="dxa"/>
          </w:tcPr>
          <w:p w14:paraId="057FDA67">
            <w:pPr>
              <w:rPr>
                <w:rFonts w:hint="eastAsia" w:ascii="宋体" w:hAnsi="宋体"/>
                <w:color w:val="auto"/>
                <w:szCs w:val="21"/>
                <w:highlight w:val="none"/>
              </w:rPr>
            </w:pPr>
          </w:p>
        </w:tc>
      </w:tr>
      <w:tr w14:paraId="616D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8CFB5AF">
            <w:pPr>
              <w:jc w:val="center"/>
              <w:rPr>
                <w:rFonts w:hint="eastAsia" w:ascii="宋体" w:hAnsi="宋体"/>
                <w:color w:val="auto"/>
                <w:szCs w:val="21"/>
                <w:highlight w:val="none"/>
              </w:rPr>
            </w:pPr>
            <w:r>
              <w:rPr>
                <w:rFonts w:hint="eastAsia" w:ascii="宋体" w:hAnsi="宋体"/>
                <w:color w:val="auto"/>
                <w:szCs w:val="21"/>
                <w:highlight w:val="none"/>
              </w:rPr>
              <w:t>4</w:t>
            </w:r>
          </w:p>
        </w:tc>
        <w:tc>
          <w:tcPr>
            <w:tcW w:w="1716" w:type="dxa"/>
          </w:tcPr>
          <w:p w14:paraId="1993A881">
            <w:pPr>
              <w:jc w:val="center"/>
              <w:rPr>
                <w:rFonts w:hint="eastAsia" w:ascii="宋体" w:hAnsi="宋体"/>
                <w:color w:val="auto"/>
                <w:szCs w:val="21"/>
                <w:highlight w:val="none"/>
              </w:rPr>
            </w:pPr>
          </w:p>
        </w:tc>
        <w:tc>
          <w:tcPr>
            <w:tcW w:w="3207" w:type="dxa"/>
          </w:tcPr>
          <w:p w14:paraId="15E6C4F3">
            <w:pPr>
              <w:rPr>
                <w:rFonts w:hint="eastAsia" w:ascii="宋体" w:hAnsi="宋体"/>
                <w:color w:val="auto"/>
                <w:szCs w:val="21"/>
                <w:highlight w:val="none"/>
              </w:rPr>
            </w:pPr>
          </w:p>
        </w:tc>
        <w:tc>
          <w:tcPr>
            <w:tcW w:w="1890" w:type="dxa"/>
          </w:tcPr>
          <w:p w14:paraId="74B6F288">
            <w:pPr>
              <w:rPr>
                <w:rFonts w:hint="eastAsia" w:ascii="宋体" w:hAnsi="宋体"/>
                <w:color w:val="auto"/>
                <w:szCs w:val="21"/>
                <w:highlight w:val="none"/>
              </w:rPr>
            </w:pPr>
          </w:p>
        </w:tc>
        <w:tc>
          <w:tcPr>
            <w:tcW w:w="1157" w:type="dxa"/>
          </w:tcPr>
          <w:p w14:paraId="174BC9F4">
            <w:pPr>
              <w:rPr>
                <w:rFonts w:hint="eastAsia" w:ascii="宋体" w:hAnsi="宋体"/>
                <w:color w:val="auto"/>
                <w:szCs w:val="21"/>
                <w:highlight w:val="none"/>
              </w:rPr>
            </w:pPr>
          </w:p>
        </w:tc>
      </w:tr>
      <w:tr w14:paraId="21AF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C3B7D74">
            <w:pPr>
              <w:jc w:val="center"/>
              <w:rPr>
                <w:rFonts w:hint="eastAsia" w:ascii="宋体" w:hAnsi="宋体"/>
                <w:color w:val="auto"/>
                <w:szCs w:val="21"/>
                <w:highlight w:val="none"/>
              </w:rPr>
            </w:pPr>
            <w:r>
              <w:rPr>
                <w:rFonts w:hint="eastAsia" w:ascii="宋体" w:hAnsi="宋体"/>
                <w:color w:val="auto"/>
                <w:szCs w:val="21"/>
                <w:highlight w:val="none"/>
              </w:rPr>
              <w:t>5</w:t>
            </w:r>
          </w:p>
        </w:tc>
        <w:tc>
          <w:tcPr>
            <w:tcW w:w="1716" w:type="dxa"/>
          </w:tcPr>
          <w:p w14:paraId="30CA0701">
            <w:pPr>
              <w:jc w:val="center"/>
              <w:rPr>
                <w:rFonts w:hint="eastAsia" w:ascii="宋体" w:hAnsi="宋体"/>
                <w:color w:val="auto"/>
                <w:szCs w:val="21"/>
                <w:highlight w:val="none"/>
              </w:rPr>
            </w:pPr>
          </w:p>
        </w:tc>
        <w:tc>
          <w:tcPr>
            <w:tcW w:w="3207" w:type="dxa"/>
          </w:tcPr>
          <w:p w14:paraId="13185B01">
            <w:pPr>
              <w:rPr>
                <w:rFonts w:hint="eastAsia" w:ascii="宋体" w:hAnsi="宋体"/>
                <w:color w:val="auto"/>
                <w:szCs w:val="21"/>
                <w:highlight w:val="none"/>
              </w:rPr>
            </w:pPr>
          </w:p>
        </w:tc>
        <w:tc>
          <w:tcPr>
            <w:tcW w:w="1890" w:type="dxa"/>
          </w:tcPr>
          <w:p w14:paraId="798EB663">
            <w:pPr>
              <w:rPr>
                <w:rFonts w:hint="eastAsia" w:ascii="宋体" w:hAnsi="宋体"/>
                <w:color w:val="auto"/>
                <w:szCs w:val="21"/>
                <w:highlight w:val="none"/>
              </w:rPr>
            </w:pPr>
          </w:p>
        </w:tc>
        <w:tc>
          <w:tcPr>
            <w:tcW w:w="1157" w:type="dxa"/>
          </w:tcPr>
          <w:p w14:paraId="3AC3D217">
            <w:pPr>
              <w:rPr>
                <w:rFonts w:hint="eastAsia" w:ascii="宋体" w:hAnsi="宋体"/>
                <w:color w:val="auto"/>
                <w:szCs w:val="21"/>
                <w:highlight w:val="none"/>
              </w:rPr>
            </w:pPr>
          </w:p>
        </w:tc>
      </w:tr>
      <w:tr w14:paraId="0B16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7AE3F807">
            <w:pPr>
              <w:jc w:val="center"/>
              <w:rPr>
                <w:rFonts w:hint="eastAsia" w:ascii="宋体" w:hAnsi="宋体"/>
                <w:color w:val="auto"/>
                <w:szCs w:val="21"/>
                <w:highlight w:val="none"/>
              </w:rPr>
            </w:pPr>
            <w:r>
              <w:rPr>
                <w:rFonts w:hint="eastAsia" w:ascii="宋体" w:hAnsi="宋体"/>
                <w:color w:val="auto"/>
                <w:szCs w:val="21"/>
                <w:highlight w:val="none"/>
              </w:rPr>
              <w:t>6</w:t>
            </w:r>
          </w:p>
        </w:tc>
        <w:tc>
          <w:tcPr>
            <w:tcW w:w="1716" w:type="dxa"/>
          </w:tcPr>
          <w:p w14:paraId="6A95B2A4">
            <w:pPr>
              <w:jc w:val="center"/>
              <w:rPr>
                <w:rFonts w:hint="eastAsia" w:ascii="宋体" w:hAnsi="宋体"/>
                <w:color w:val="auto"/>
                <w:szCs w:val="21"/>
                <w:highlight w:val="none"/>
              </w:rPr>
            </w:pPr>
          </w:p>
        </w:tc>
        <w:tc>
          <w:tcPr>
            <w:tcW w:w="3207" w:type="dxa"/>
          </w:tcPr>
          <w:p w14:paraId="78F5E03A">
            <w:pPr>
              <w:rPr>
                <w:rFonts w:hint="eastAsia" w:ascii="宋体" w:hAnsi="宋体"/>
                <w:color w:val="auto"/>
                <w:szCs w:val="21"/>
                <w:highlight w:val="none"/>
              </w:rPr>
            </w:pPr>
          </w:p>
        </w:tc>
        <w:tc>
          <w:tcPr>
            <w:tcW w:w="1890" w:type="dxa"/>
          </w:tcPr>
          <w:p w14:paraId="7524AC4D">
            <w:pPr>
              <w:rPr>
                <w:rFonts w:hint="eastAsia" w:ascii="宋体" w:hAnsi="宋体"/>
                <w:color w:val="auto"/>
                <w:szCs w:val="21"/>
                <w:highlight w:val="none"/>
              </w:rPr>
            </w:pPr>
          </w:p>
        </w:tc>
        <w:tc>
          <w:tcPr>
            <w:tcW w:w="1157" w:type="dxa"/>
          </w:tcPr>
          <w:p w14:paraId="106E930F">
            <w:pPr>
              <w:rPr>
                <w:rFonts w:hint="eastAsia" w:ascii="宋体" w:hAnsi="宋体"/>
                <w:color w:val="auto"/>
                <w:szCs w:val="21"/>
                <w:highlight w:val="none"/>
              </w:rPr>
            </w:pPr>
          </w:p>
        </w:tc>
      </w:tr>
      <w:tr w14:paraId="6F0D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3CDA26C">
            <w:pPr>
              <w:jc w:val="center"/>
              <w:rPr>
                <w:rFonts w:hint="eastAsia" w:ascii="宋体" w:hAnsi="宋体"/>
                <w:color w:val="auto"/>
                <w:szCs w:val="21"/>
                <w:highlight w:val="none"/>
              </w:rPr>
            </w:pPr>
            <w:r>
              <w:rPr>
                <w:rFonts w:hint="eastAsia" w:ascii="宋体" w:hAnsi="宋体"/>
                <w:color w:val="auto"/>
                <w:szCs w:val="21"/>
                <w:highlight w:val="none"/>
              </w:rPr>
              <w:t>7</w:t>
            </w:r>
          </w:p>
        </w:tc>
        <w:tc>
          <w:tcPr>
            <w:tcW w:w="1716" w:type="dxa"/>
          </w:tcPr>
          <w:p w14:paraId="1BF23B4E">
            <w:pPr>
              <w:jc w:val="center"/>
              <w:rPr>
                <w:rFonts w:hint="eastAsia" w:ascii="宋体" w:hAnsi="宋体"/>
                <w:color w:val="auto"/>
                <w:szCs w:val="21"/>
                <w:highlight w:val="none"/>
              </w:rPr>
            </w:pPr>
          </w:p>
        </w:tc>
        <w:tc>
          <w:tcPr>
            <w:tcW w:w="3207" w:type="dxa"/>
          </w:tcPr>
          <w:p w14:paraId="669AFA57">
            <w:pPr>
              <w:rPr>
                <w:rFonts w:hint="eastAsia" w:ascii="宋体" w:hAnsi="宋体"/>
                <w:color w:val="auto"/>
                <w:szCs w:val="21"/>
                <w:highlight w:val="none"/>
              </w:rPr>
            </w:pPr>
          </w:p>
        </w:tc>
        <w:tc>
          <w:tcPr>
            <w:tcW w:w="1890" w:type="dxa"/>
          </w:tcPr>
          <w:p w14:paraId="0D692FD9">
            <w:pPr>
              <w:rPr>
                <w:rFonts w:hint="eastAsia" w:ascii="宋体" w:hAnsi="宋体"/>
                <w:color w:val="auto"/>
                <w:szCs w:val="21"/>
                <w:highlight w:val="none"/>
              </w:rPr>
            </w:pPr>
          </w:p>
        </w:tc>
        <w:tc>
          <w:tcPr>
            <w:tcW w:w="1157" w:type="dxa"/>
          </w:tcPr>
          <w:p w14:paraId="790C825C">
            <w:pPr>
              <w:rPr>
                <w:rFonts w:hint="eastAsia" w:ascii="宋体" w:hAnsi="宋体"/>
                <w:color w:val="auto"/>
                <w:szCs w:val="21"/>
                <w:highlight w:val="none"/>
              </w:rPr>
            </w:pPr>
          </w:p>
        </w:tc>
      </w:tr>
      <w:tr w14:paraId="1C1D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C68BED6">
            <w:pPr>
              <w:jc w:val="center"/>
              <w:rPr>
                <w:rFonts w:hint="eastAsia" w:ascii="宋体" w:hAnsi="宋体"/>
                <w:color w:val="auto"/>
                <w:szCs w:val="21"/>
                <w:highlight w:val="none"/>
              </w:rPr>
            </w:pPr>
            <w:r>
              <w:rPr>
                <w:rFonts w:hint="eastAsia" w:ascii="宋体" w:hAnsi="宋体"/>
                <w:color w:val="auto"/>
                <w:szCs w:val="21"/>
                <w:highlight w:val="none"/>
              </w:rPr>
              <w:t>8</w:t>
            </w:r>
          </w:p>
        </w:tc>
        <w:tc>
          <w:tcPr>
            <w:tcW w:w="1716" w:type="dxa"/>
          </w:tcPr>
          <w:p w14:paraId="5C83D60A">
            <w:pPr>
              <w:jc w:val="center"/>
              <w:rPr>
                <w:rFonts w:hint="eastAsia" w:ascii="宋体" w:hAnsi="宋体"/>
                <w:color w:val="auto"/>
                <w:szCs w:val="21"/>
                <w:highlight w:val="none"/>
              </w:rPr>
            </w:pPr>
          </w:p>
        </w:tc>
        <w:tc>
          <w:tcPr>
            <w:tcW w:w="3207" w:type="dxa"/>
          </w:tcPr>
          <w:p w14:paraId="41422EDB">
            <w:pPr>
              <w:rPr>
                <w:rFonts w:hint="eastAsia" w:ascii="宋体" w:hAnsi="宋体"/>
                <w:color w:val="auto"/>
                <w:szCs w:val="21"/>
                <w:highlight w:val="none"/>
              </w:rPr>
            </w:pPr>
          </w:p>
        </w:tc>
        <w:tc>
          <w:tcPr>
            <w:tcW w:w="1890" w:type="dxa"/>
          </w:tcPr>
          <w:p w14:paraId="2BA8E511">
            <w:pPr>
              <w:rPr>
                <w:rFonts w:hint="eastAsia" w:ascii="宋体" w:hAnsi="宋体"/>
                <w:color w:val="auto"/>
                <w:szCs w:val="21"/>
                <w:highlight w:val="none"/>
              </w:rPr>
            </w:pPr>
          </w:p>
        </w:tc>
        <w:tc>
          <w:tcPr>
            <w:tcW w:w="1157" w:type="dxa"/>
          </w:tcPr>
          <w:p w14:paraId="61C86C02">
            <w:pPr>
              <w:rPr>
                <w:rFonts w:hint="eastAsia" w:ascii="宋体" w:hAnsi="宋体"/>
                <w:color w:val="auto"/>
                <w:szCs w:val="21"/>
                <w:highlight w:val="none"/>
              </w:rPr>
            </w:pPr>
          </w:p>
        </w:tc>
      </w:tr>
      <w:tr w14:paraId="1FC9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7FE7326">
            <w:pPr>
              <w:jc w:val="center"/>
              <w:rPr>
                <w:rFonts w:hint="eastAsia" w:ascii="宋体" w:hAnsi="宋体"/>
                <w:color w:val="auto"/>
                <w:szCs w:val="21"/>
                <w:highlight w:val="none"/>
              </w:rPr>
            </w:pPr>
            <w:r>
              <w:rPr>
                <w:rFonts w:hint="eastAsia" w:ascii="宋体" w:hAnsi="宋体"/>
                <w:color w:val="auto"/>
                <w:szCs w:val="21"/>
                <w:highlight w:val="none"/>
              </w:rPr>
              <w:t>…</w:t>
            </w:r>
          </w:p>
        </w:tc>
        <w:tc>
          <w:tcPr>
            <w:tcW w:w="1716" w:type="dxa"/>
          </w:tcPr>
          <w:p w14:paraId="3FBC6753">
            <w:pPr>
              <w:jc w:val="center"/>
              <w:rPr>
                <w:rFonts w:hint="eastAsia" w:ascii="宋体" w:hAnsi="宋体"/>
                <w:color w:val="auto"/>
                <w:szCs w:val="21"/>
                <w:highlight w:val="none"/>
              </w:rPr>
            </w:pPr>
          </w:p>
        </w:tc>
        <w:tc>
          <w:tcPr>
            <w:tcW w:w="3207" w:type="dxa"/>
          </w:tcPr>
          <w:p w14:paraId="335F8CEE">
            <w:pPr>
              <w:rPr>
                <w:rFonts w:hint="eastAsia" w:ascii="宋体" w:hAnsi="宋体"/>
                <w:color w:val="auto"/>
                <w:szCs w:val="21"/>
                <w:highlight w:val="none"/>
              </w:rPr>
            </w:pPr>
          </w:p>
        </w:tc>
        <w:tc>
          <w:tcPr>
            <w:tcW w:w="1890" w:type="dxa"/>
          </w:tcPr>
          <w:p w14:paraId="07A13E55">
            <w:pPr>
              <w:rPr>
                <w:rFonts w:hint="eastAsia" w:ascii="宋体" w:hAnsi="宋体"/>
                <w:color w:val="auto"/>
                <w:szCs w:val="21"/>
                <w:highlight w:val="none"/>
              </w:rPr>
            </w:pPr>
          </w:p>
        </w:tc>
        <w:tc>
          <w:tcPr>
            <w:tcW w:w="1157" w:type="dxa"/>
          </w:tcPr>
          <w:p w14:paraId="30C81F0A">
            <w:pPr>
              <w:rPr>
                <w:rFonts w:hint="eastAsia" w:ascii="宋体" w:hAnsi="宋体"/>
                <w:color w:val="auto"/>
                <w:szCs w:val="21"/>
                <w:highlight w:val="none"/>
              </w:rPr>
            </w:pPr>
          </w:p>
        </w:tc>
      </w:tr>
    </w:tbl>
    <w:p w14:paraId="5400A931">
      <w:pPr>
        <w:ind w:left="2" w:hanging="2"/>
        <w:rPr>
          <w:rFonts w:hint="eastAsia" w:ascii="宋体" w:hAnsi="宋体"/>
          <w:color w:val="auto"/>
          <w:sz w:val="24"/>
          <w:highlight w:val="none"/>
        </w:rPr>
      </w:pPr>
      <w:r>
        <w:rPr>
          <w:rFonts w:hint="eastAsia" w:ascii="宋体" w:hAnsi="宋体"/>
          <w:color w:val="auto"/>
          <w:sz w:val="24"/>
          <w:highlight w:val="none"/>
        </w:rPr>
        <w:t>注：</w:t>
      </w:r>
    </w:p>
    <w:p w14:paraId="2BBFA7D5">
      <w:pPr>
        <w:ind w:left="2" w:leftChars="1" w:firstLine="315" w:firstLineChars="150"/>
        <w:rPr>
          <w:rFonts w:hint="eastAsia" w:ascii="宋体" w:hAnsi="宋体"/>
          <w:color w:val="auto"/>
          <w:szCs w:val="21"/>
          <w:highlight w:val="none"/>
        </w:rPr>
      </w:pPr>
      <w:r>
        <w:rPr>
          <w:rFonts w:hint="eastAsia" w:ascii="宋体" w:hAnsi="宋体"/>
          <w:color w:val="auto"/>
          <w:szCs w:val="21"/>
          <w:highlight w:val="none"/>
        </w:rPr>
        <w:t>1.投标人必须对应招标文件“用户需求书”的“★” 项内容逐条响应。如有缺漏，缺漏项视同不符合招标要求。打“★” 项为不可负偏离(劣于)的重要项。</w:t>
      </w:r>
    </w:p>
    <w:p w14:paraId="4DE7979D">
      <w:pPr>
        <w:ind w:left="2" w:leftChars="1" w:firstLine="315" w:firstLineChars="150"/>
        <w:rPr>
          <w:rFonts w:hint="eastAsia" w:ascii="宋体" w:hAnsi="宋体"/>
          <w:color w:val="auto"/>
          <w:szCs w:val="21"/>
          <w:highlight w:val="none"/>
        </w:rPr>
      </w:pPr>
      <w:r>
        <w:rPr>
          <w:rFonts w:hint="eastAsia" w:ascii="宋体" w:hAnsi="宋体"/>
          <w:color w:val="auto"/>
          <w:szCs w:val="21"/>
          <w:highlight w:val="none"/>
        </w:rPr>
        <w:t>2.投标人响应采购需求应具体、明确，含糊不清、不确切或伪造、变造证明材料的，按照不完全响应或者完全不响应处理。构成提供虚假材料的，移送监管部门查处。</w:t>
      </w:r>
    </w:p>
    <w:p w14:paraId="6EDD8E33">
      <w:pPr>
        <w:ind w:left="2" w:leftChars="1" w:firstLine="315" w:firstLineChars="150"/>
        <w:rPr>
          <w:rFonts w:hint="eastAsia" w:ascii="宋体" w:hAnsi="宋体"/>
          <w:color w:val="auto"/>
          <w:szCs w:val="21"/>
          <w:highlight w:val="none"/>
        </w:rPr>
      </w:pPr>
      <w:r>
        <w:rPr>
          <w:rFonts w:hint="eastAsia" w:ascii="宋体" w:hAnsi="宋体"/>
          <w:color w:val="auto"/>
          <w:szCs w:val="21"/>
          <w:highlight w:val="none"/>
        </w:rPr>
        <w:t>3.本表内容不得擅自修改。</w:t>
      </w:r>
    </w:p>
    <w:p w14:paraId="593FF31C">
      <w:pPr>
        <w:ind w:firstLine="315" w:firstLineChars="150"/>
        <w:rPr>
          <w:rFonts w:hint="eastAsia" w:ascii="宋体" w:hAnsi="宋体"/>
          <w:color w:val="auto"/>
          <w:szCs w:val="21"/>
          <w:highlight w:val="none"/>
          <w:u w:val="single"/>
          <w:lang w:val="en-GB"/>
        </w:rPr>
      </w:pPr>
      <w:r>
        <w:rPr>
          <w:rFonts w:hint="eastAsia" w:ascii="宋体" w:hAnsi="宋体"/>
          <w:color w:val="auto"/>
          <w:szCs w:val="21"/>
          <w:highlight w:val="none"/>
          <w:u w:val="single"/>
          <w:lang w:val="en-GB"/>
        </w:rPr>
        <w:t>4.当招标文件中服务要求未设置“★”项服务条款时，应在此表中第一行直接填写：本项目未设置“★”项服务条款。</w:t>
      </w:r>
      <w:r>
        <w:rPr>
          <w:rFonts w:hint="eastAsia" w:ascii="宋体" w:hAnsi="宋体"/>
          <w:color w:val="auto"/>
          <w:szCs w:val="21"/>
          <w:highlight w:val="none"/>
          <w:u w:val="single"/>
          <w:lang w:val="en-GB"/>
        </w:rPr>
        <w:tab/>
      </w:r>
    </w:p>
    <w:p w14:paraId="500893C4">
      <w:pPr>
        <w:adjustRightInd w:val="0"/>
        <w:snapToGrid w:val="0"/>
        <w:spacing w:line="300" w:lineRule="auto"/>
        <w:ind w:firstLine="537" w:firstLineChars="224"/>
        <w:rPr>
          <w:rFonts w:hint="eastAsia" w:ascii="宋体" w:hAnsi="宋体"/>
          <w:color w:val="auto"/>
          <w:sz w:val="24"/>
          <w:highlight w:val="none"/>
        </w:rPr>
      </w:pPr>
    </w:p>
    <w:p w14:paraId="7F0401C7">
      <w:pPr>
        <w:adjustRightInd w:val="0"/>
        <w:snapToGrid w:val="0"/>
        <w:spacing w:line="300" w:lineRule="auto"/>
        <w:ind w:firstLine="537" w:firstLineChars="224"/>
        <w:rPr>
          <w:rFonts w:hint="eastAsia" w:ascii="宋体" w:hAnsi="宋体"/>
          <w:color w:val="auto"/>
          <w:sz w:val="24"/>
          <w:highlight w:val="none"/>
        </w:rPr>
      </w:pPr>
      <w:r>
        <w:rPr>
          <w:rFonts w:hint="eastAsia" w:ascii="宋体" w:hAnsi="宋体"/>
          <w:color w:val="auto"/>
          <w:sz w:val="24"/>
          <w:highlight w:val="none"/>
        </w:rPr>
        <w:t>投标人法定代表人/负责人（或法定代表人/负责人授权代表）签字：</w:t>
      </w:r>
    </w:p>
    <w:p w14:paraId="7CC097B6">
      <w:pPr>
        <w:adjustRightInd w:val="0"/>
        <w:snapToGrid w:val="0"/>
        <w:spacing w:line="30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投标人名称（加盖公章）：</w:t>
      </w:r>
    </w:p>
    <w:p w14:paraId="5486763B">
      <w:pPr>
        <w:ind w:left="2" w:firstLine="537" w:firstLineChars="224"/>
        <w:rPr>
          <w:rFonts w:hint="eastAsia" w:ascii="宋体" w:hAnsi="宋体"/>
          <w:color w:val="auto"/>
          <w:sz w:val="24"/>
          <w:highlight w:val="none"/>
        </w:rPr>
      </w:pPr>
      <w:r>
        <w:rPr>
          <w:rFonts w:hint="eastAsia" w:ascii="宋体" w:hAnsi="宋体"/>
          <w:color w:val="auto"/>
          <w:sz w:val="24"/>
          <w:highlight w:val="none"/>
        </w:rPr>
        <w:t>日期：   年   月   日</w:t>
      </w:r>
    </w:p>
    <w:p w14:paraId="46077815">
      <w:pPr>
        <w:jc w:val="center"/>
        <w:rPr>
          <w:rFonts w:hint="eastAsia" w:ascii="宋体" w:hAnsi="宋体"/>
          <w:b/>
          <w:color w:val="auto"/>
          <w:sz w:val="28"/>
          <w:szCs w:val="28"/>
          <w:highlight w:val="none"/>
        </w:rPr>
      </w:pPr>
    </w:p>
    <w:p w14:paraId="2EFE5FBC">
      <w:pPr>
        <w:jc w:val="center"/>
        <w:rPr>
          <w:rFonts w:hint="eastAsia" w:ascii="宋体" w:hAnsi="宋体"/>
          <w:b/>
          <w:color w:val="auto"/>
          <w:szCs w:val="21"/>
          <w:highlight w:val="none"/>
        </w:rPr>
      </w:pPr>
    </w:p>
    <w:p w14:paraId="7ADFB8F0">
      <w:pPr>
        <w:jc w:val="center"/>
        <w:rPr>
          <w:rFonts w:hint="eastAsia" w:ascii="宋体" w:hAnsi="宋体"/>
          <w:b/>
          <w:color w:val="auto"/>
          <w:szCs w:val="21"/>
          <w:highlight w:val="none"/>
        </w:rPr>
      </w:pPr>
    </w:p>
    <w:p w14:paraId="638C6377">
      <w:pPr>
        <w:jc w:val="center"/>
        <w:rPr>
          <w:rFonts w:hint="eastAsia" w:ascii="宋体" w:hAnsi="宋体"/>
          <w:b/>
          <w:color w:val="auto"/>
          <w:szCs w:val="21"/>
          <w:highlight w:val="none"/>
        </w:rPr>
      </w:pPr>
    </w:p>
    <w:p w14:paraId="75493BF4">
      <w:pPr>
        <w:jc w:val="center"/>
        <w:rPr>
          <w:rFonts w:hint="eastAsia" w:ascii="宋体" w:hAnsi="宋体"/>
          <w:b/>
          <w:color w:val="auto"/>
          <w:szCs w:val="21"/>
          <w:highlight w:val="none"/>
        </w:rPr>
      </w:pPr>
    </w:p>
    <w:p w14:paraId="30F7F407">
      <w:pPr>
        <w:jc w:val="center"/>
        <w:rPr>
          <w:rFonts w:hint="eastAsia" w:ascii="宋体" w:hAnsi="宋体"/>
          <w:b/>
          <w:color w:val="auto"/>
          <w:szCs w:val="21"/>
          <w:highlight w:val="none"/>
        </w:rPr>
      </w:pPr>
    </w:p>
    <w:p w14:paraId="2896C8FB">
      <w:pPr>
        <w:jc w:val="center"/>
        <w:rPr>
          <w:rFonts w:hint="eastAsia" w:ascii="宋体" w:hAnsi="宋体"/>
          <w:b/>
          <w:color w:val="auto"/>
          <w:szCs w:val="21"/>
          <w:highlight w:val="none"/>
        </w:rPr>
      </w:pPr>
    </w:p>
    <w:p w14:paraId="6DC016F9">
      <w:pPr>
        <w:jc w:val="center"/>
        <w:rPr>
          <w:rFonts w:hint="eastAsia" w:ascii="宋体" w:hAnsi="宋体"/>
          <w:b/>
          <w:color w:val="auto"/>
          <w:szCs w:val="21"/>
          <w:highlight w:val="none"/>
        </w:rPr>
      </w:pPr>
    </w:p>
    <w:p w14:paraId="0836A82F">
      <w:pPr>
        <w:pStyle w:val="91"/>
        <w:rPr>
          <w:rFonts w:hint="eastAsia" w:ascii="宋体" w:hAnsi="宋体"/>
          <w:b/>
          <w:color w:val="auto"/>
          <w:szCs w:val="24"/>
          <w:highlight w:val="none"/>
        </w:rPr>
      </w:pPr>
      <w:r>
        <w:rPr>
          <w:rFonts w:ascii="宋体" w:hAnsi="宋体"/>
          <w:b/>
          <w:color w:val="auto"/>
          <w:szCs w:val="21"/>
          <w:highlight w:val="none"/>
        </w:rPr>
        <w:br w:type="page"/>
      </w:r>
      <w:r>
        <w:rPr>
          <w:rFonts w:hint="eastAsia" w:ascii="宋体" w:hAnsi="宋体"/>
          <w:b/>
          <w:color w:val="auto"/>
          <w:szCs w:val="21"/>
          <w:highlight w:val="none"/>
        </w:rPr>
        <w:t>（2）</w:t>
      </w:r>
      <w:r>
        <w:rPr>
          <w:rFonts w:hint="eastAsia" w:ascii="宋体" w:hAnsi="宋体"/>
          <w:b/>
          <w:color w:val="auto"/>
          <w:szCs w:val="24"/>
          <w:highlight w:val="none"/>
        </w:rPr>
        <w:t>非实质性服务条款响应表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10CD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7BC373D6">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716" w:type="dxa"/>
            <w:vAlign w:val="center"/>
          </w:tcPr>
          <w:p w14:paraId="4617EF46">
            <w:pPr>
              <w:jc w:val="center"/>
              <w:rPr>
                <w:rFonts w:hint="eastAsia" w:ascii="宋体" w:hAnsi="宋体"/>
                <w:b/>
                <w:color w:val="auto"/>
                <w:szCs w:val="21"/>
                <w:highlight w:val="none"/>
              </w:rPr>
            </w:pPr>
            <w:r>
              <w:rPr>
                <w:rFonts w:hint="eastAsia" w:ascii="宋体" w:hAnsi="宋体"/>
                <w:b/>
                <w:color w:val="auto"/>
                <w:szCs w:val="21"/>
                <w:highlight w:val="none"/>
              </w:rPr>
              <w:t>招标规格/要求</w:t>
            </w:r>
          </w:p>
        </w:tc>
        <w:tc>
          <w:tcPr>
            <w:tcW w:w="3207" w:type="dxa"/>
            <w:vAlign w:val="center"/>
          </w:tcPr>
          <w:p w14:paraId="0410D022">
            <w:pPr>
              <w:jc w:val="center"/>
              <w:rPr>
                <w:rFonts w:hint="eastAsia" w:ascii="宋体" w:hAnsi="宋体"/>
                <w:b/>
                <w:color w:val="auto"/>
                <w:szCs w:val="21"/>
                <w:highlight w:val="none"/>
              </w:rPr>
            </w:pPr>
            <w:r>
              <w:rPr>
                <w:rFonts w:hint="eastAsia" w:ascii="宋体" w:hAnsi="宋体"/>
                <w:b/>
                <w:color w:val="auto"/>
                <w:szCs w:val="21"/>
                <w:highlight w:val="none"/>
              </w:rPr>
              <w:t>投标实际参数</w:t>
            </w:r>
          </w:p>
          <w:p w14:paraId="0D21C3FF">
            <w:pPr>
              <w:jc w:val="center"/>
              <w:rPr>
                <w:rFonts w:hint="eastAsia" w:ascii="宋体" w:hAnsi="宋体"/>
                <w:b/>
                <w:color w:val="auto"/>
                <w:szCs w:val="21"/>
                <w:highlight w:val="none"/>
              </w:rPr>
            </w:pPr>
            <w:r>
              <w:rPr>
                <w:rFonts w:hint="eastAsia" w:ascii="宋体" w:hAnsi="宋体"/>
                <w:b/>
                <w:bCs/>
                <w:color w:val="auto"/>
                <w:szCs w:val="21"/>
                <w:highlight w:val="none"/>
              </w:rPr>
              <w:t>(投标人应按投标货物/服务实际数据填写，不能照抄招标要求)</w:t>
            </w:r>
          </w:p>
        </w:tc>
        <w:tc>
          <w:tcPr>
            <w:tcW w:w="1890" w:type="dxa"/>
            <w:vAlign w:val="center"/>
          </w:tcPr>
          <w:p w14:paraId="7215C5DF">
            <w:pPr>
              <w:jc w:val="center"/>
              <w:rPr>
                <w:rFonts w:hint="eastAsia" w:ascii="宋体" w:hAnsi="宋体"/>
                <w:b/>
                <w:color w:val="auto"/>
                <w:szCs w:val="21"/>
                <w:highlight w:val="none"/>
              </w:rPr>
            </w:pPr>
            <w:r>
              <w:rPr>
                <w:rFonts w:hint="eastAsia" w:ascii="宋体" w:hAnsi="宋体"/>
                <w:b/>
                <w:color w:val="auto"/>
                <w:szCs w:val="21"/>
                <w:highlight w:val="none"/>
              </w:rPr>
              <w:t>是否偏离（无偏离/正偏离/负偏离）</w:t>
            </w:r>
          </w:p>
        </w:tc>
        <w:tc>
          <w:tcPr>
            <w:tcW w:w="1157" w:type="dxa"/>
            <w:vAlign w:val="center"/>
          </w:tcPr>
          <w:p w14:paraId="54253770">
            <w:pPr>
              <w:jc w:val="center"/>
              <w:rPr>
                <w:rFonts w:hint="eastAsia" w:ascii="宋体" w:hAnsi="宋体"/>
                <w:b/>
                <w:color w:val="auto"/>
                <w:szCs w:val="21"/>
                <w:highlight w:val="none"/>
              </w:rPr>
            </w:pPr>
            <w:r>
              <w:rPr>
                <w:rFonts w:hint="eastAsia" w:ascii="宋体" w:hAnsi="宋体"/>
                <w:b/>
                <w:color w:val="auto"/>
                <w:szCs w:val="21"/>
                <w:highlight w:val="none"/>
              </w:rPr>
              <w:t>偏离简述</w:t>
            </w:r>
          </w:p>
        </w:tc>
      </w:tr>
      <w:tr w14:paraId="229D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DE17853">
            <w:pPr>
              <w:jc w:val="center"/>
              <w:rPr>
                <w:rFonts w:hint="eastAsia" w:ascii="宋体" w:hAnsi="宋体"/>
                <w:color w:val="auto"/>
                <w:szCs w:val="21"/>
                <w:highlight w:val="none"/>
              </w:rPr>
            </w:pPr>
            <w:r>
              <w:rPr>
                <w:rFonts w:hint="eastAsia" w:ascii="宋体" w:hAnsi="宋体"/>
                <w:color w:val="auto"/>
                <w:szCs w:val="21"/>
                <w:highlight w:val="none"/>
              </w:rPr>
              <w:t>1</w:t>
            </w:r>
          </w:p>
        </w:tc>
        <w:tc>
          <w:tcPr>
            <w:tcW w:w="1716" w:type="dxa"/>
          </w:tcPr>
          <w:p w14:paraId="0CABD415">
            <w:pPr>
              <w:jc w:val="center"/>
              <w:rPr>
                <w:rFonts w:hint="eastAsia" w:ascii="宋体" w:hAnsi="宋体"/>
                <w:color w:val="auto"/>
                <w:szCs w:val="21"/>
                <w:highlight w:val="none"/>
              </w:rPr>
            </w:pPr>
          </w:p>
        </w:tc>
        <w:tc>
          <w:tcPr>
            <w:tcW w:w="3207" w:type="dxa"/>
          </w:tcPr>
          <w:p w14:paraId="112DDAE9">
            <w:pPr>
              <w:rPr>
                <w:rFonts w:hint="eastAsia" w:ascii="宋体" w:hAnsi="宋体"/>
                <w:color w:val="auto"/>
                <w:szCs w:val="21"/>
                <w:highlight w:val="none"/>
              </w:rPr>
            </w:pPr>
          </w:p>
        </w:tc>
        <w:tc>
          <w:tcPr>
            <w:tcW w:w="1890" w:type="dxa"/>
          </w:tcPr>
          <w:p w14:paraId="145AED1C">
            <w:pPr>
              <w:rPr>
                <w:rFonts w:hint="eastAsia" w:ascii="宋体" w:hAnsi="宋体"/>
                <w:color w:val="auto"/>
                <w:szCs w:val="21"/>
                <w:highlight w:val="none"/>
              </w:rPr>
            </w:pPr>
          </w:p>
        </w:tc>
        <w:tc>
          <w:tcPr>
            <w:tcW w:w="1157" w:type="dxa"/>
          </w:tcPr>
          <w:p w14:paraId="095CACC7">
            <w:pPr>
              <w:rPr>
                <w:rFonts w:hint="eastAsia" w:ascii="宋体" w:hAnsi="宋体"/>
                <w:color w:val="auto"/>
                <w:szCs w:val="21"/>
                <w:highlight w:val="none"/>
              </w:rPr>
            </w:pPr>
          </w:p>
        </w:tc>
      </w:tr>
      <w:tr w14:paraId="3AA0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0BEB793">
            <w:pPr>
              <w:jc w:val="center"/>
              <w:rPr>
                <w:rFonts w:hint="eastAsia" w:ascii="宋体" w:hAnsi="宋体"/>
                <w:color w:val="auto"/>
                <w:szCs w:val="21"/>
                <w:highlight w:val="none"/>
              </w:rPr>
            </w:pPr>
            <w:r>
              <w:rPr>
                <w:rFonts w:hint="eastAsia" w:ascii="宋体" w:hAnsi="宋体"/>
                <w:color w:val="auto"/>
                <w:szCs w:val="21"/>
                <w:highlight w:val="none"/>
              </w:rPr>
              <w:t>2</w:t>
            </w:r>
          </w:p>
        </w:tc>
        <w:tc>
          <w:tcPr>
            <w:tcW w:w="1716" w:type="dxa"/>
          </w:tcPr>
          <w:p w14:paraId="6C0F11CD">
            <w:pPr>
              <w:jc w:val="center"/>
              <w:rPr>
                <w:rFonts w:hint="eastAsia" w:ascii="宋体" w:hAnsi="宋体"/>
                <w:color w:val="auto"/>
                <w:szCs w:val="21"/>
                <w:highlight w:val="none"/>
              </w:rPr>
            </w:pPr>
          </w:p>
        </w:tc>
        <w:tc>
          <w:tcPr>
            <w:tcW w:w="3207" w:type="dxa"/>
          </w:tcPr>
          <w:p w14:paraId="2D8F04CD">
            <w:pPr>
              <w:rPr>
                <w:rFonts w:hint="eastAsia" w:ascii="宋体" w:hAnsi="宋体"/>
                <w:color w:val="auto"/>
                <w:szCs w:val="21"/>
                <w:highlight w:val="none"/>
              </w:rPr>
            </w:pPr>
          </w:p>
        </w:tc>
        <w:tc>
          <w:tcPr>
            <w:tcW w:w="1890" w:type="dxa"/>
          </w:tcPr>
          <w:p w14:paraId="4A63CEDE">
            <w:pPr>
              <w:rPr>
                <w:rFonts w:hint="eastAsia" w:ascii="宋体" w:hAnsi="宋体"/>
                <w:color w:val="auto"/>
                <w:szCs w:val="21"/>
                <w:highlight w:val="none"/>
              </w:rPr>
            </w:pPr>
          </w:p>
        </w:tc>
        <w:tc>
          <w:tcPr>
            <w:tcW w:w="1157" w:type="dxa"/>
          </w:tcPr>
          <w:p w14:paraId="1AD1BB12">
            <w:pPr>
              <w:rPr>
                <w:rFonts w:hint="eastAsia" w:ascii="宋体" w:hAnsi="宋体"/>
                <w:color w:val="auto"/>
                <w:szCs w:val="21"/>
                <w:highlight w:val="none"/>
              </w:rPr>
            </w:pPr>
          </w:p>
        </w:tc>
      </w:tr>
      <w:tr w14:paraId="5FE8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C23E307">
            <w:pPr>
              <w:jc w:val="center"/>
              <w:rPr>
                <w:rFonts w:hint="eastAsia" w:ascii="宋体" w:hAnsi="宋体"/>
                <w:color w:val="auto"/>
                <w:szCs w:val="21"/>
                <w:highlight w:val="none"/>
              </w:rPr>
            </w:pPr>
            <w:r>
              <w:rPr>
                <w:rFonts w:hint="eastAsia" w:ascii="宋体" w:hAnsi="宋体"/>
                <w:color w:val="auto"/>
                <w:szCs w:val="21"/>
                <w:highlight w:val="none"/>
              </w:rPr>
              <w:t>3</w:t>
            </w:r>
          </w:p>
        </w:tc>
        <w:tc>
          <w:tcPr>
            <w:tcW w:w="1716" w:type="dxa"/>
          </w:tcPr>
          <w:p w14:paraId="661908E5">
            <w:pPr>
              <w:jc w:val="center"/>
              <w:rPr>
                <w:rFonts w:hint="eastAsia" w:ascii="宋体" w:hAnsi="宋体"/>
                <w:color w:val="auto"/>
                <w:szCs w:val="21"/>
                <w:highlight w:val="none"/>
              </w:rPr>
            </w:pPr>
          </w:p>
        </w:tc>
        <w:tc>
          <w:tcPr>
            <w:tcW w:w="3207" w:type="dxa"/>
          </w:tcPr>
          <w:p w14:paraId="7EE8B904">
            <w:pPr>
              <w:rPr>
                <w:rFonts w:hint="eastAsia" w:ascii="宋体" w:hAnsi="宋体"/>
                <w:color w:val="auto"/>
                <w:szCs w:val="21"/>
                <w:highlight w:val="none"/>
              </w:rPr>
            </w:pPr>
          </w:p>
        </w:tc>
        <w:tc>
          <w:tcPr>
            <w:tcW w:w="1890" w:type="dxa"/>
          </w:tcPr>
          <w:p w14:paraId="3110751C">
            <w:pPr>
              <w:rPr>
                <w:rFonts w:hint="eastAsia" w:ascii="宋体" w:hAnsi="宋体"/>
                <w:color w:val="auto"/>
                <w:szCs w:val="21"/>
                <w:highlight w:val="none"/>
              </w:rPr>
            </w:pPr>
          </w:p>
        </w:tc>
        <w:tc>
          <w:tcPr>
            <w:tcW w:w="1157" w:type="dxa"/>
          </w:tcPr>
          <w:p w14:paraId="01C54BF5">
            <w:pPr>
              <w:rPr>
                <w:rFonts w:hint="eastAsia" w:ascii="宋体" w:hAnsi="宋体"/>
                <w:color w:val="auto"/>
                <w:szCs w:val="21"/>
                <w:highlight w:val="none"/>
              </w:rPr>
            </w:pPr>
          </w:p>
        </w:tc>
      </w:tr>
      <w:tr w14:paraId="1F1B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24A1505">
            <w:pPr>
              <w:jc w:val="center"/>
              <w:rPr>
                <w:rFonts w:hint="eastAsia" w:ascii="宋体" w:hAnsi="宋体"/>
                <w:color w:val="auto"/>
                <w:szCs w:val="21"/>
                <w:highlight w:val="none"/>
              </w:rPr>
            </w:pPr>
            <w:r>
              <w:rPr>
                <w:rFonts w:hint="eastAsia" w:ascii="宋体" w:hAnsi="宋体"/>
                <w:color w:val="auto"/>
                <w:szCs w:val="21"/>
                <w:highlight w:val="none"/>
              </w:rPr>
              <w:t>4</w:t>
            </w:r>
          </w:p>
        </w:tc>
        <w:tc>
          <w:tcPr>
            <w:tcW w:w="1716" w:type="dxa"/>
          </w:tcPr>
          <w:p w14:paraId="39F0C89A">
            <w:pPr>
              <w:jc w:val="center"/>
              <w:rPr>
                <w:rFonts w:hint="eastAsia" w:ascii="宋体" w:hAnsi="宋体"/>
                <w:color w:val="auto"/>
                <w:szCs w:val="21"/>
                <w:highlight w:val="none"/>
              </w:rPr>
            </w:pPr>
          </w:p>
        </w:tc>
        <w:tc>
          <w:tcPr>
            <w:tcW w:w="3207" w:type="dxa"/>
          </w:tcPr>
          <w:p w14:paraId="199F28CD">
            <w:pPr>
              <w:rPr>
                <w:rFonts w:hint="eastAsia" w:ascii="宋体" w:hAnsi="宋体"/>
                <w:color w:val="auto"/>
                <w:szCs w:val="21"/>
                <w:highlight w:val="none"/>
              </w:rPr>
            </w:pPr>
          </w:p>
        </w:tc>
        <w:tc>
          <w:tcPr>
            <w:tcW w:w="1890" w:type="dxa"/>
          </w:tcPr>
          <w:p w14:paraId="083964E9">
            <w:pPr>
              <w:rPr>
                <w:rFonts w:hint="eastAsia" w:ascii="宋体" w:hAnsi="宋体"/>
                <w:color w:val="auto"/>
                <w:szCs w:val="21"/>
                <w:highlight w:val="none"/>
              </w:rPr>
            </w:pPr>
          </w:p>
        </w:tc>
        <w:tc>
          <w:tcPr>
            <w:tcW w:w="1157" w:type="dxa"/>
          </w:tcPr>
          <w:p w14:paraId="572CA4FE">
            <w:pPr>
              <w:rPr>
                <w:rFonts w:hint="eastAsia" w:ascii="宋体" w:hAnsi="宋体"/>
                <w:color w:val="auto"/>
                <w:szCs w:val="21"/>
                <w:highlight w:val="none"/>
              </w:rPr>
            </w:pPr>
          </w:p>
        </w:tc>
      </w:tr>
      <w:tr w14:paraId="1ADC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3C35F15">
            <w:pPr>
              <w:jc w:val="center"/>
              <w:rPr>
                <w:rFonts w:hint="eastAsia" w:ascii="宋体" w:hAnsi="宋体"/>
                <w:color w:val="auto"/>
                <w:szCs w:val="21"/>
                <w:highlight w:val="none"/>
              </w:rPr>
            </w:pPr>
            <w:r>
              <w:rPr>
                <w:rFonts w:hint="eastAsia" w:ascii="宋体" w:hAnsi="宋体"/>
                <w:color w:val="auto"/>
                <w:szCs w:val="21"/>
                <w:highlight w:val="none"/>
              </w:rPr>
              <w:t>5</w:t>
            </w:r>
          </w:p>
        </w:tc>
        <w:tc>
          <w:tcPr>
            <w:tcW w:w="1716" w:type="dxa"/>
          </w:tcPr>
          <w:p w14:paraId="766FD93A">
            <w:pPr>
              <w:jc w:val="center"/>
              <w:rPr>
                <w:rFonts w:hint="eastAsia" w:ascii="宋体" w:hAnsi="宋体"/>
                <w:color w:val="auto"/>
                <w:szCs w:val="21"/>
                <w:highlight w:val="none"/>
              </w:rPr>
            </w:pPr>
          </w:p>
        </w:tc>
        <w:tc>
          <w:tcPr>
            <w:tcW w:w="3207" w:type="dxa"/>
          </w:tcPr>
          <w:p w14:paraId="4168FF60">
            <w:pPr>
              <w:rPr>
                <w:rFonts w:hint="eastAsia" w:ascii="宋体" w:hAnsi="宋体"/>
                <w:color w:val="auto"/>
                <w:szCs w:val="21"/>
                <w:highlight w:val="none"/>
              </w:rPr>
            </w:pPr>
          </w:p>
        </w:tc>
        <w:tc>
          <w:tcPr>
            <w:tcW w:w="1890" w:type="dxa"/>
          </w:tcPr>
          <w:p w14:paraId="2DC6C460">
            <w:pPr>
              <w:rPr>
                <w:rFonts w:hint="eastAsia" w:ascii="宋体" w:hAnsi="宋体"/>
                <w:color w:val="auto"/>
                <w:szCs w:val="21"/>
                <w:highlight w:val="none"/>
              </w:rPr>
            </w:pPr>
          </w:p>
        </w:tc>
        <w:tc>
          <w:tcPr>
            <w:tcW w:w="1157" w:type="dxa"/>
          </w:tcPr>
          <w:p w14:paraId="7300D89B">
            <w:pPr>
              <w:rPr>
                <w:rFonts w:hint="eastAsia" w:ascii="宋体" w:hAnsi="宋体"/>
                <w:color w:val="auto"/>
                <w:szCs w:val="21"/>
                <w:highlight w:val="none"/>
              </w:rPr>
            </w:pPr>
          </w:p>
        </w:tc>
      </w:tr>
      <w:tr w14:paraId="71D2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7BA6002">
            <w:pPr>
              <w:jc w:val="center"/>
              <w:rPr>
                <w:rFonts w:hint="eastAsia" w:ascii="宋体" w:hAnsi="宋体"/>
                <w:color w:val="auto"/>
                <w:szCs w:val="21"/>
                <w:highlight w:val="none"/>
              </w:rPr>
            </w:pPr>
            <w:r>
              <w:rPr>
                <w:rFonts w:hint="eastAsia" w:ascii="宋体" w:hAnsi="宋体"/>
                <w:color w:val="auto"/>
                <w:szCs w:val="21"/>
                <w:highlight w:val="none"/>
              </w:rPr>
              <w:t>6</w:t>
            </w:r>
          </w:p>
        </w:tc>
        <w:tc>
          <w:tcPr>
            <w:tcW w:w="1716" w:type="dxa"/>
          </w:tcPr>
          <w:p w14:paraId="2DA62945">
            <w:pPr>
              <w:jc w:val="center"/>
              <w:rPr>
                <w:rFonts w:hint="eastAsia" w:ascii="宋体" w:hAnsi="宋体"/>
                <w:color w:val="auto"/>
                <w:szCs w:val="21"/>
                <w:highlight w:val="none"/>
              </w:rPr>
            </w:pPr>
          </w:p>
        </w:tc>
        <w:tc>
          <w:tcPr>
            <w:tcW w:w="3207" w:type="dxa"/>
          </w:tcPr>
          <w:p w14:paraId="4B9539AE">
            <w:pPr>
              <w:rPr>
                <w:rFonts w:hint="eastAsia" w:ascii="宋体" w:hAnsi="宋体"/>
                <w:color w:val="auto"/>
                <w:szCs w:val="21"/>
                <w:highlight w:val="none"/>
              </w:rPr>
            </w:pPr>
          </w:p>
        </w:tc>
        <w:tc>
          <w:tcPr>
            <w:tcW w:w="1890" w:type="dxa"/>
          </w:tcPr>
          <w:p w14:paraId="2910BA86">
            <w:pPr>
              <w:rPr>
                <w:rFonts w:hint="eastAsia" w:ascii="宋体" w:hAnsi="宋体"/>
                <w:color w:val="auto"/>
                <w:szCs w:val="21"/>
                <w:highlight w:val="none"/>
              </w:rPr>
            </w:pPr>
          </w:p>
        </w:tc>
        <w:tc>
          <w:tcPr>
            <w:tcW w:w="1157" w:type="dxa"/>
          </w:tcPr>
          <w:p w14:paraId="52D077C5">
            <w:pPr>
              <w:rPr>
                <w:rFonts w:hint="eastAsia" w:ascii="宋体" w:hAnsi="宋体"/>
                <w:color w:val="auto"/>
                <w:szCs w:val="21"/>
                <w:highlight w:val="none"/>
              </w:rPr>
            </w:pPr>
          </w:p>
        </w:tc>
      </w:tr>
      <w:tr w14:paraId="1F2E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0AE4A51">
            <w:pPr>
              <w:jc w:val="center"/>
              <w:rPr>
                <w:rFonts w:hint="eastAsia" w:ascii="宋体" w:hAnsi="宋体"/>
                <w:color w:val="auto"/>
                <w:szCs w:val="21"/>
                <w:highlight w:val="none"/>
              </w:rPr>
            </w:pPr>
            <w:r>
              <w:rPr>
                <w:rFonts w:hint="eastAsia" w:ascii="宋体" w:hAnsi="宋体"/>
                <w:color w:val="auto"/>
                <w:szCs w:val="21"/>
                <w:highlight w:val="none"/>
              </w:rPr>
              <w:t>7</w:t>
            </w:r>
          </w:p>
        </w:tc>
        <w:tc>
          <w:tcPr>
            <w:tcW w:w="1716" w:type="dxa"/>
          </w:tcPr>
          <w:p w14:paraId="73467101">
            <w:pPr>
              <w:jc w:val="center"/>
              <w:rPr>
                <w:rFonts w:hint="eastAsia" w:ascii="宋体" w:hAnsi="宋体"/>
                <w:color w:val="auto"/>
                <w:szCs w:val="21"/>
                <w:highlight w:val="none"/>
              </w:rPr>
            </w:pPr>
          </w:p>
        </w:tc>
        <w:tc>
          <w:tcPr>
            <w:tcW w:w="3207" w:type="dxa"/>
          </w:tcPr>
          <w:p w14:paraId="7BDBBB31">
            <w:pPr>
              <w:rPr>
                <w:rFonts w:hint="eastAsia" w:ascii="宋体" w:hAnsi="宋体"/>
                <w:color w:val="auto"/>
                <w:szCs w:val="21"/>
                <w:highlight w:val="none"/>
              </w:rPr>
            </w:pPr>
          </w:p>
        </w:tc>
        <w:tc>
          <w:tcPr>
            <w:tcW w:w="1890" w:type="dxa"/>
          </w:tcPr>
          <w:p w14:paraId="31D5FD45">
            <w:pPr>
              <w:rPr>
                <w:rFonts w:hint="eastAsia" w:ascii="宋体" w:hAnsi="宋体"/>
                <w:color w:val="auto"/>
                <w:szCs w:val="21"/>
                <w:highlight w:val="none"/>
              </w:rPr>
            </w:pPr>
          </w:p>
        </w:tc>
        <w:tc>
          <w:tcPr>
            <w:tcW w:w="1157" w:type="dxa"/>
          </w:tcPr>
          <w:p w14:paraId="1C8A98DF">
            <w:pPr>
              <w:rPr>
                <w:rFonts w:hint="eastAsia" w:ascii="宋体" w:hAnsi="宋体"/>
                <w:color w:val="auto"/>
                <w:szCs w:val="21"/>
                <w:highlight w:val="none"/>
              </w:rPr>
            </w:pPr>
          </w:p>
        </w:tc>
      </w:tr>
      <w:tr w14:paraId="0DEF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19CFF675">
            <w:pPr>
              <w:jc w:val="center"/>
              <w:rPr>
                <w:rFonts w:hint="eastAsia" w:ascii="宋体" w:hAnsi="宋体"/>
                <w:color w:val="auto"/>
                <w:szCs w:val="21"/>
                <w:highlight w:val="none"/>
              </w:rPr>
            </w:pPr>
            <w:r>
              <w:rPr>
                <w:rFonts w:hint="eastAsia" w:ascii="宋体" w:hAnsi="宋体"/>
                <w:color w:val="auto"/>
                <w:szCs w:val="21"/>
                <w:highlight w:val="none"/>
              </w:rPr>
              <w:t>8</w:t>
            </w:r>
          </w:p>
        </w:tc>
        <w:tc>
          <w:tcPr>
            <w:tcW w:w="1716" w:type="dxa"/>
          </w:tcPr>
          <w:p w14:paraId="67955D83">
            <w:pPr>
              <w:jc w:val="center"/>
              <w:rPr>
                <w:rFonts w:hint="eastAsia" w:ascii="宋体" w:hAnsi="宋体"/>
                <w:color w:val="auto"/>
                <w:szCs w:val="21"/>
                <w:highlight w:val="none"/>
              </w:rPr>
            </w:pPr>
          </w:p>
        </w:tc>
        <w:tc>
          <w:tcPr>
            <w:tcW w:w="3207" w:type="dxa"/>
          </w:tcPr>
          <w:p w14:paraId="5B697A4B">
            <w:pPr>
              <w:rPr>
                <w:rFonts w:hint="eastAsia" w:ascii="宋体" w:hAnsi="宋体"/>
                <w:color w:val="auto"/>
                <w:szCs w:val="21"/>
                <w:highlight w:val="none"/>
              </w:rPr>
            </w:pPr>
          </w:p>
        </w:tc>
        <w:tc>
          <w:tcPr>
            <w:tcW w:w="1890" w:type="dxa"/>
          </w:tcPr>
          <w:p w14:paraId="7C9E680E">
            <w:pPr>
              <w:rPr>
                <w:rFonts w:hint="eastAsia" w:ascii="宋体" w:hAnsi="宋体"/>
                <w:color w:val="auto"/>
                <w:szCs w:val="21"/>
                <w:highlight w:val="none"/>
              </w:rPr>
            </w:pPr>
          </w:p>
        </w:tc>
        <w:tc>
          <w:tcPr>
            <w:tcW w:w="1157" w:type="dxa"/>
          </w:tcPr>
          <w:p w14:paraId="533AAD85">
            <w:pPr>
              <w:rPr>
                <w:rFonts w:hint="eastAsia" w:ascii="宋体" w:hAnsi="宋体"/>
                <w:color w:val="auto"/>
                <w:szCs w:val="21"/>
                <w:highlight w:val="none"/>
              </w:rPr>
            </w:pPr>
          </w:p>
        </w:tc>
      </w:tr>
      <w:tr w14:paraId="51F3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897561F">
            <w:pPr>
              <w:jc w:val="center"/>
              <w:rPr>
                <w:rFonts w:hint="eastAsia" w:ascii="宋体" w:hAnsi="宋体"/>
                <w:color w:val="auto"/>
                <w:szCs w:val="21"/>
                <w:highlight w:val="none"/>
              </w:rPr>
            </w:pPr>
            <w:r>
              <w:rPr>
                <w:rFonts w:hint="eastAsia" w:ascii="宋体" w:hAnsi="宋体"/>
                <w:color w:val="auto"/>
                <w:szCs w:val="21"/>
                <w:highlight w:val="none"/>
              </w:rPr>
              <w:t>…</w:t>
            </w:r>
          </w:p>
        </w:tc>
        <w:tc>
          <w:tcPr>
            <w:tcW w:w="1716" w:type="dxa"/>
          </w:tcPr>
          <w:p w14:paraId="7EE3C6CD">
            <w:pPr>
              <w:jc w:val="center"/>
              <w:rPr>
                <w:rFonts w:hint="eastAsia" w:ascii="宋体" w:hAnsi="宋体"/>
                <w:color w:val="auto"/>
                <w:szCs w:val="21"/>
                <w:highlight w:val="none"/>
              </w:rPr>
            </w:pPr>
          </w:p>
        </w:tc>
        <w:tc>
          <w:tcPr>
            <w:tcW w:w="3207" w:type="dxa"/>
          </w:tcPr>
          <w:p w14:paraId="587A0867">
            <w:pPr>
              <w:rPr>
                <w:rFonts w:hint="eastAsia" w:ascii="宋体" w:hAnsi="宋体"/>
                <w:color w:val="auto"/>
                <w:szCs w:val="21"/>
                <w:highlight w:val="none"/>
              </w:rPr>
            </w:pPr>
          </w:p>
        </w:tc>
        <w:tc>
          <w:tcPr>
            <w:tcW w:w="1890" w:type="dxa"/>
          </w:tcPr>
          <w:p w14:paraId="57E16205">
            <w:pPr>
              <w:rPr>
                <w:rFonts w:hint="eastAsia" w:ascii="宋体" w:hAnsi="宋体"/>
                <w:color w:val="auto"/>
                <w:szCs w:val="21"/>
                <w:highlight w:val="none"/>
              </w:rPr>
            </w:pPr>
          </w:p>
        </w:tc>
        <w:tc>
          <w:tcPr>
            <w:tcW w:w="1157" w:type="dxa"/>
          </w:tcPr>
          <w:p w14:paraId="0A60880A">
            <w:pPr>
              <w:rPr>
                <w:rFonts w:hint="eastAsia" w:ascii="宋体" w:hAnsi="宋体"/>
                <w:color w:val="auto"/>
                <w:szCs w:val="21"/>
                <w:highlight w:val="none"/>
              </w:rPr>
            </w:pPr>
          </w:p>
        </w:tc>
      </w:tr>
    </w:tbl>
    <w:p w14:paraId="39F468EE">
      <w:pPr>
        <w:rPr>
          <w:rFonts w:hint="eastAsia" w:ascii="宋体" w:hAnsi="宋体"/>
          <w:color w:val="auto"/>
          <w:szCs w:val="21"/>
          <w:highlight w:val="none"/>
        </w:rPr>
      </w:pPr>
    </w:p>
    <w:p w14:paraId="10C3A847">
      <w:pPr>
        <w:rPr>
          <w:rFonts w:hint="eastAsia" w:ascii="宋体" w:hAnsi="宋体"/>
          <w:color w:val="auto"/>
          <w:sz w:val="24"/>
          <w:highlight w:val="none"/>
        </w:rPr>
      </w:pPr>
      <w:r>
        <w:rPr>
          <w:rFonts w:hint="eastAsia" w:ascii="宋体" w:hAnsi="宋体"/>
          <w:color w:val="auto"/>
          <w:sz w:val="24"/>
          <w:highlight w:val="none"/>
        </w:rPr>
        <w:t>注：</w:t>
      </w:r>
    </w:p>
    <w:p w14:paraId="0B34DCF3">
      <w:pPr>
        <w:ind w:firstLine="480" w:firstLineChars="200"/>
        <w:rPr>
          <w:rFonts w:hint="eastAsia" w:ascii="宋体" w:hAnsi="宋体"/>
          <w:color w:val="auto"/>
          <w:sz w:val="24"/>
          <w:highlight w:val="none"/>
        </w:rPr>
      </w:pPr>
      <w:r>
        <w:rPr>
          <w:rFonts w:hint="eastAsia" w:ascii="宋体" w:hAnsi="宋体"/>
          <w:color w:val="auto"/>
          <w:sz w:val="24"/>
          <w:highlight w:val="none"/>
        </w:rPr>
        <w:t>1.投标人必须对应招标文件“用户需求书”的内容逐条响应。如有缺漏，缺漏项视同不符合招标要求。</w:t>
      </w:r>
    </w:p>
    <w:p w14:paraId="38215E82">
      <w:pPr>
        <w:ind w:firstLine="480" w:firstLineChars="200"/>
        <w:rPr>
          <w:rFonts w:hint="eastAsia" w:ascii="宋体" w:hAnsi="宋体"/>
          <w:color w:val="auto"/>
          <w:sz w:val="24"/>
          <w:highlight w:val="none"/>
        </w:rPr>
      </w:pPr>
      <w:r>
        <w:rPr>
          <w:rFonts w:hint="eastAsia" w:ascii="宋体" w:hAnsi="宋体"/>
          <w:color w:val="auto"/>
          <w:sz w:val="24"/>
          <w:highlight w:val="none"/>
        </w:rPr>
        <w:t>2.投标人响应招标需求应具体、明确，含糊不清、不确切或伪造、变造证明材料的，按照不完全响应或者完全不响应处理。构成提供虚假材料的，移送监管部门查处。</w:t>
      </w:r>
    </w:p>
    <w:p w14:paraId="12161A0C">
      <w:pPr>
        <w:ind w:firstLine="480" w:firstLineChars="200"/>
        <w:rPr>
          <w:rFonts w:hint="eastAsia" w:ascii="宋体" w:hAnsi="宋体"/>
          <w:color w:val="auto"/>
          <w:sz w:val="24"/>
          <w:highlight w:val="none"/>
        </w:rPr>
      </w:pPr>
      <w:r>
        <w:rPr>
          <w:rFonts w:hint="eastAsia" w:ascii="宋体" w:hAnsi="宋体"/>
          <w:color w:val="auto"/>
          <w:sz w:val="24"/>
          <w:highlight w:val="none"/>
        </w:rPr>
        <w:t>3.本表内容不得擅自修改。</w:t>
      </w:r>
    </w:p>
    <w:p w14:paraId="01366DC2">
      <w:pPr>
        <w:adjustRightInd w:val="0"/>
        <w:snapToGrid w:val="0"/>
        <w:rPr>
          <w:rFonts w:hint="eastAsia" w:ascii="宋体" w:hAnsi="宋体"/>
          <w:color w:val="auto"/>
          <w:sz w:val="24"/>
          <w:highlight w:val="none"/>
        </w:rPr>
      </w:pPr>
    </w:p>
    <w:p w14:paraId="2AEF9614">
      <w:pPr>
        <w:adjustRightInd w:val="0"/>
        <w:snapToGrid w:val="0"/>
        <w:rPr>
          <w:rFonts w:hint="eastAsia" w:ascii="宋体" w:hAnsi="宋体"/>
          <w:color w:val="auto"/>
          <w:sz w:val="24"/>
          <w:highlight w:val="none"/>
        </w:rPr>
      </w:pPr>
    </w:p>
    <w:p w14:paraId="3F52B0B6">
      <w:pPr>
        <w:adjustRightInd w:val="0"/>
        <w:snapToGrid w:val="0"/>
        <w:rPr>
          <w:rFonts w:hint="eastAsia" w:ascii="宋体" w:hAnsi="宋体"/>
          <w:color w:val="auto"/>
          <w:sz w:val="24"/>
          <w:highlight w:val="none"/>
        </w:rPr>
      </w:pPr>
      <w:r>
        <w:rPr>
          <w:rFonts w:hint="eastAsia" w:ascii="宋体" w:hAnsi="宋体"/>
          <w:color w:val="auto"/>
          <w:sz w:val="24"/>
          <w:highlight w:val="none"/>
        </w:rPr>
        <w:t>投标人法定代表人/负责人（或法定代表人/负责人授权代表）签字：</w:t>
      </w:r>
    </w:p>
    <w:p w14:paraId="49F40CE5">
      <w:pPr>
        <w:adjustRightInd w:val="0"/>
        <w:snapToGrid w:val="0"/>
        <w:rPr>
          <w:rFonts w:hint="eastAsia" w:ascii="宋体" w:hAnsi="宋体"/>
          <w:color w:val="auto"/>
          <w:sz w:val="24"/>
          <w:highlight w:val="none"/>
          <w:u w:val="single"/>
        </w:rPr>
      </w:pPr>
      <w:r>
        <w:rPr>
          <w:rFonts w:hint="eastAsia" w:ascii="宋体" w:hAnsi="宋体"/>
          <w:color w:val="auto"/>
          <w:sz w:val="24"/>
          <w:highlight w:val="none"/>
        </w:rPr>
        <w:t>投标人名称（加盖公章）：</w:t>
      </w:r>
    </w:p>
    <w:p w14:paraId="24B1405D">
      <w:pPr>
        <w:rPr>
          <w:rFonts w:hint="eastAsia" w:ascii="宋体" w:hAnsi="宋体"/>
          <w:color w:val="auto"/>
          <w:sz w:val="24"/>
          <w:highlight w:val="none"/>
        </w:rPr>
      </w:pPr>
      <w:r>
        <w:rPr>
          <w:rFonts w:hint="eastAsia" w:ascii="宋体" w:hAnsi="宋体"/>
          <w:color w:val="auto"/>
          <w:sz w:val="24"/>
          <w:highlight w:val="none"/>
        </w:rPr>
        <w:t>日期：   年   月   日</w:t>
      </w:r>
    </w:p>
    <w:p w14:paraId="6B06F6EE">
      <w:pPr>
        <w:rPr>
          <w:rFonts w:hint="eastAsia" w:ascii="宋体" w:hAnsi="宋体"/>
          <w:color w:val="auto"/>
          <w:highlight w:val="none"/>
        </w:rPr>
      </w:pPr>
    </w:p>
    <w:p w14:paraId="36A4F144">
      <w:pPr>
        <w:rPr>
          <w:rFonts w:hint="eastAsia" w:ascii="宋体" w:hAnsi="宋体"/>
          <w:color w:val="auto"/>
          <w:highlight w:val="none"/>
        </w:rPr>
      </w:pPr>
    </w:p>
    <w:p w14:paraId="49C7B61C">
      <w:pPr>
        <w:rPr>
          <w:rFonts w:hint="eastAsia" w:ascii="宋体" w:hAnsi="宋体"/>
          <w:color w:val="auto"/>
          <w:highlight w:val="none"/>
        </w:rPr>
      </w:pPr>
    </w:p>
    <w:p w14:paraId="4A37EF83">
      <w:pPr>
        <w:rPr>
          <w:rFonts w:hint="eastAsia" w:ascii="宋体" w:hAnsi="宋体"/>
          <w:color w:val="auto"/>
          <w:highlight w:val="none"/>
        </w:rPr>
      </w:pPr>
    </w:p>
    <w:p w14:paraId="0DDC857C">
      <w:pPr>
        <w:rPr>
          <w:rFonts w:hint="eastAsia" w:ascii="宋体" w:hAnsi="宋体"/>
          <w:color w:val="auto"/>
          <w:highlight w:val="none"/>
        </w:rPr>
      </w:pPr>
    </w:p>
    <w:p w14:paraId="35861915">
      <w:pPr>
        <w:rPr>
          <w:rFonts w:hint="eastAsia" w:ascii="宋体" w:hAnsi="宋体"/>
          <w:color w:val="auto"/>
          <w:highlight w:val="none"/>
        </w:rPr>
      </w:pPr>
    </w:p>
    <w:p w14:paraId="5CDDC455">
      <w:pPr>
        <w:rPr>
          <w:rFonts w:hint="eastAsia" w:ascii="宋体" w:hAnsi="宋体"/>
          <w:color w:val="auto"/>
          <w:highlight w:val="none"/>
        </w:rPr>
      </w:pPr>
    </w:p>
    <w:p w14:paraId="77B931A4">
      <w:pPr>
        <w:rPr>
          <w:rFonts w:hint="eastAsia" w:ascii="宋体" w:hAnsi="宋体"/>
          <w:color w:val="auto"/>
          <w:highlight w:val="none"/>
        </w:rPr>
      </w:pPr>
    </w:p>
    <w:p w14:paraId="2F67E1C7">
      <w:pPr>
        <w:rPr>
          <w:rFonts w:hint="eastAsia" w:ascii="宋体" w:hAnsi="宋体"/>
          <w:color w:val="auto"/>
          <w:highlight w:val="none"/>
        </w:rPr>
      </w:pPr>
    </w:p>
    <w:p w14:paraId="01A89E05">
      <w:pPr>
        <w:rPr>
          <w:rFonts w:hint="eastAsia" w:ascii="宋体" w:hAnsi="宋体"/>
          <w:color w:val="auto"/>
          <w:sz w:val="28"/>
          <w:szCs w:val="28"/>
          <w:highlight w:val="none"/>
        </w:rPr>
      </w:pPr>
      <w:bookmarkStart w:id="42" w:name="_Toc202816999"/>
      <w:bookmarkStart w:id="43" w:name="_Toc202820354"/>
      <w:bookmarkStart w:id="44" w:name="_Toc202819881"/>
    </w:p>
    <w:bookmarkEnd w:id="42"/>
    <w:bookmarkEnd w:id="43"/>
    <w:bookmarkEnd w:id="44"/>
    <w:p w14:paraId="64E2EB58">
      <w:pPr>
        <w:pStyle w:val="91"/>
        <w:jc w:val="center"/>
        <w:rPr>
          <w:rFonts w:hint="eastAsia" w:ascii="宋体" w:hAnsi="宋体"/>
          <w:b/>
          <w:color w:val="auto"/>
          <w:sz w:val="28"/>
          <w:szCs w:val="28"/>
          <w:highlight w:val="none"/>
        </w:rPr>
      </w:pPr>
      <w:bookmarkStart w:id="45" w:name="_Toc202251703"/>
      <w:bookmarkStart w:id="46" w:name="_Toc202817000"/>
      <w:bookmarkStart w:id="47" w:name="_Toc202820355"/>
      <w:bookmarkStart w:id="48" w:name="_Toc202819882"/>
      <w:bookmarkStart w:id="49" w:name="_Toc202252037"/>
      <w:bookmarkStart w:id="50" w:name="_Toc202254108"/>
      <w:bookmarkStart w:id="51" w:name="_Toc202251078"/>
      <w:r>
        <w:rPr>
          <w:rFonts w:ascii="宋体" w:hAnsi="宋体"/>
          <w:b/>
          <w:color w:val="auto"/>
          <w:sz w:val="28"/>
          <w:szCs w:val="28"/>
          <w:highlight w:val="none"/>
        </w:rPr>
        <w:br w:type="page"/>
      </w:r>
      <w:r>
        <w:rPr>
          <w:rFonts w:hint="eastAsia" w:ascii="宋体" w:hAnsi="宋体"/>
          <w:b/>
          <w:color w:val="auto"/>
          <w:sz w:val="28"/>
          <w:szCs w:val="28"/>
          <w:highlight w:val="none"/>
        </w:rPr>
        <w:t>六、价格</w:t>
      </w:r>
      <w:bookmarkEnd w:id="45"/>
      <w:bookmarkEnd w:id="46"/>
      <w:bookmarkEnd w:id="47"/>
      <w:bookmarkEnd w:id="48"/>
      <w:bookmarkEnd w:id="49"/>
      <w:bookmarkEnd w:id="50"/>
      <w:bookmarkEnd w:id="51"/>
      <w:r>
        <w:rPr>
          <w:rFonts w:hint="eastAsia" w:ascii="宋体" w:hAnsi="宋体"/>
          <w:b/>
          <w:color w:val="auto"/>
          <w:sz w:val="28"/>
          <w:szCs w:val="28"/>
          <w:highlight w:val="none"/>
        </w:rPr>
        <w:t>部分</w:t>
      </w:r>
    </w:p>
    <w:p w14:paraId="2ADABEAF">
      <w:pPr>
        <w:rPr>
          <w:rFonts w:hint="eastAsia" w:ascii="宋体" w:hAnsi="宋体"/>
          <w:b/>
          <w:color w:val="auto"/>
          <w:sz w:val="24"/>
          <w:highlight w:val="none"/>
        </w:rPr>
      </w:pPr>
      <w:r>
        <w:rPr>
          <w:rFonts w:hint="eastAsia" w:ascii="宋体" w:hAnsi="宋体"/>
          <w:b/>
          <w:color w:val="auto"/>
          <w:sz w:val="24"/>
          <w:highlight w:val="none"/>
        </w:rPr>
        <w:t>6.1开标一览表</w:t>
      </w:r>
    </w:p>
    <w:p w14:paraId="11AD3CAE">
      <w:pPr>
        <w:tabs>
          <w:tab w:val="left" w:pos="8364"/>
        </w:tabs>
        <w:snapToGrid w:val="0"/>
        <w:ind w:right="-58"/>
        <w:rPr>
          <w:color w:val="auto"/>
          <w:highlight w:val="none"/>
        </w:rPr>
      </w:pPr>
      <w:r>
        <w:rPr>
          <w:rFonts w:hint="eastAsia"/>
          <w:color w:val="auto"/>
          <w:highlight w:val="none"/>
        </w:rPr>
        <w:t>投标人名称：</w:t>
      </w:r>
    </w:p>
    <w:p w14:paraId="14C31CCC">
      <w:pPr>
        <w:tabs>
          <w:tab w:val="left" w:pos="8364"/>
        </w:tabs>
        <w:snapToGrid w:val="0"/>
        <w:ind w:right="-58"/>
        <w:rPr>
          <w:rFonts w:hint="default" w:eastAsia="宋体"/>
          <w:color w:val="auto"/>
          <w:highlight w:val="none"/>
          <w:lang w:val="en-US" w:eastAsia="zh-CN"/>
        </w:rPr>
      </w:pPr>
      <w:r>
        <w:rPr>
          <w:rFonts w:hint="eastAsia"/>
          <w:color w:val="auto"/>
          <w:highlight w:val="none"/>
          <w:lang w:val="en-US" w:eastAsia="zh-CN"/>
        </w:rPr>
        <w:t>项目名称：</w:t>
      </w:r>
    </w:p>
    <w:p w14:paraId="6E5BAE1C">
      <w:pPr>
        <w:tabs>
          <w:tab w:val="left" w:pos="8364"/>
        </w:tabs>
        <w:snapToGrid w:val="0"/>
        <w:ind w:right="-58"/>
        <w:rPr>
          <w:color w:val="auto"/>
          <w:highlight w:val="none"/>
        </w:rPr>
      </w:pPr>
      <w:r>
        <w:rPr>
          <w:rFonts w:hint="eastAsia"/>
          <w:color w:val="auto"/>
          <w:highlight w:val="none"/>
        </w:rPr>
        <w:t>招标编号：</w:t>
      </w:r>
    </w:p>
    <w:tbl>
      <w:tblPr>
        <w:tblStyle w:val="37"/>
        <w:tblW w:w="8192" w:type="dxa"/>
        <w:tblInd w:w="-77" w:type="dxa"/>
        <w:tblLayout w:type="fixed"/>
        <w:tblCellMar>
          <w:top w:w="0" w:type="dxa"/>
          <w:left w:w="28" w:type="dxa"/>
          <w:bottom w:w="0" w:type="dxa"/>
          <w:right w:w="28" w:type="dxa"/>
        </w:tblCellMar>
      </w:tblPr>
      <w:tblGrid>
        <w:gridCol w:w="645"/>
        <w:gridCol w:w="1455"/>
        <w:gridCol w:w="1920"/>
        <w:gridCol w:w="1046"/>
        <w:gridCol w:w="3126"/>
      </w:tblGrid>
      <w:tr w14:paraId="11D8171F">
        <w:tblPrEx>
          <w:tblCellMar>
            <w:top w:w="0" w:type="dxa"/>
            <w:left w:w="28" w:type="dxa"/>
            <w:bottom w:w="0" w:type="dxa"/>
            <w:right w:w="28" w:type="dxa"/>
          </w:tblCellMar>
        </w:tblPrEx>
        <w:trPr>
          <w:cantSplit/>
          <w:trHeight w:val="862" w:hRule="atLeast"/>
        </w:trPr>
        <w:tc>
          <w:tcPr>
            <w:tcW w:w="645" w:type="dxa"/>
            <w:tcBorders>
              <w:top w:val="single" w:color="auto" w:sz="8" w:space="0"/>
              <w:left w:val="single" w:color="auto" w:sz="8" w:space="0"/>
              <w:bottom w:val="single" w:color="auto" w:sz="8" w:space="0"/>
              <w:right w:val="single" w:color="auto" w:sz="8" w:space="0"/>
            </w:tcBorders>
            <w:vAlign w:val="center"/>
          </w:tcPr>
          <w:p w14:paraId="5E4A1DFA">
            <w:pPr>
              <w:tabs>
                <w:tab w:val="left" w:pos="8364"/>
              </w:tabs>
              <w:snapToGrid w:val="0"/>
              <w:spacing w:line="240" w:lineRule="atLeast"/>
              <w:ind w:right="-58"/>
              <w:jc w:val="center"/>
              <w:rPr>
                <w:rFonts w:hint="eastAsia" w:ascii="宋体" w:hAnsi="宋体"/>
                <w:b/>
                <w:color w:val="auto"/>
                <w:highlight w:val="none"/>
              </w:rPr>
            </w:pPr>
          </w:p>
          <w:p w14:paraId="5CB1AB60">
            <w:pPr>
              <w:tabs>
                <w:tab w:val="left" w:pos="8364"/>
              </w:tabs>
              <w:snapToGrid w:val="0"/>
              <w:spacing w:line="240" w:lineRule="atLeast"/>
              <w:ind w:right="-58"/>
              <w:jc w:val="center"/>
              <w:rPr>
                <w:rFonts w:hint="eastAsia" w:ascii="宋体" w:hAnsi="宋体"/>
                <w:b/>
                <w:color w:val="auto"/>
                <w:highlight w:val="none"/>
              </w:rPr>
            </w:pPr>
            <w:r>
              <w:rPr>
                <w:rFonts w:hint="eastAsia" w:ascii="宋体" w:hAnsi="宋体"/>
                <w:b/>
                <w:color w:val="auto"/>
                <w:highlight w:val="none"/>
              </w:rPr>
              <w:t>序号</w:t>
            </w:r>
          </w:p>
        </w:tc>
        <w:tc>
          <w:tcPr>
            <w:tcW w:w="1455" w:type="dxa"/>
            <w:tcBorders>
              <w:top w:val="single" w:color="auto" w:sz="8" w:space="0"/>
              <w:left w:val="single" w:color="auto" w:sz="8" w:space="0"/>
              <w:bottom w:val="single" w:color="auto" w:sz="8" w:space="0"/>
              <w:right w:val="single" w:color="auto" w:sz="8" w:space="0"/>
            </w:tcBorders>
            <w:vAlign w:val="center"/>
          </w:tcPr>
          <w:p w14:paraId="2E07A4C8">
            <w:pPr>
              <w:tabs>
                <w:tab w:val="left" w:pos="8364"/>
              </w:tabs>
              <w:snapToGrid w:val="0"/>
              <w:spacing w:line="240" w:lineRule="atLeast"/>
              <w:ind w:right="-58"/>
              <w:jc w:val="center"/>
              <w:rPr>
                <w:rFonts w:hint="eastAsia" w:ascii="宋体" w:hAnsi="宋体"/>
                <w:b/>
                <w:color w:val="auto"/>
                <w:highlight w:val="none"/>
              </w:rPr>
            </w:pPr>
          </w:p>
          <w:p w14:paraId="5C749527">
            <w:pPr>
              <w:tabs>
                <w:tab w:val="left" w:pos="8364"/>
              </w:tabs>
              <w:snapToGrid w:val="0"/>
              <w:spacing w:line="240" w:lineRule="atLeast"/>
              <w:ind w:right="-58"/>
              <w:jc w:val="center"/>
              <w:rPr>
                <w:rFonts w:hint="eastAsia" w:ascii="宋体" w:hAnsi="宋体"/>
                <w:b/>
                <w:color w:val="auto"/>
                <w:highlight w:val="none"/>
              </w:rPr>
            </w:pPr>
            <w:r>
              <w:rPr>
                <w:rFonts w:hint="eastAsia" w:ascii="宋体" w:hAnsi="宋体"/>
                <w:b/>
                <w:color w:val="auto"/>
                <w:highlight w:val="none"/>
              </w:rPr>
              <w:t>内容</w:t>
            </w:r>
          </w:p>
        </w:tc>
        <w:tc>
          <w:tcPr>
            <w:tcW w:w="1920" w:type="dxa"/>
            <w:tcBorders>
              <w:top w:val="single" w:color="auto" w:sz="8" w:space="0"/>
              <w:left w:val="single" w:color="auto" w:sz="8" w:space="0"/>
              <w:bottom w:val="single" w:color="auto" w:sz="8" w:space="0"/>
              <w:right w:val="single" w:color="auto" w:sz="8" w:space="0"/>
            </w:tcBorders>
            <w:vAlign w:val="center"/>
          </w:tcPr>
          <w:p w14:paraId="19BE1E19">
            <w:pPr>
              <w:tabs>
                <w:tab w:val="left" w:pos="8364"/>
              </w:tabs>
              <w:snapToGrid w:val="0"/>
              <w:spacing w:line="240" w:lineRule="atLeast"/>
              <w:ind w:right="-58"/>
              <w:jc w:val="center"/>
              <w:rPr>
                <w:rFonts w:hint="eastAsia" w:ascii="宋体" w:hAnsi="宋体"/>
                <w:b/>
                <w:color w:val="auto"/>
                <w:highlight w:val="none"/>
              </w:rPr>
            </w:pPr>
            <w:r>
              <w:rPr>
                <w:rFonts w:hint="eastAsia" w:ascii="宋体" w:hAnsi="宋体"/>
                <w:b/>
                <w:color w:val="auto"/>
                <w:highlight w:val="none"/>
              </w:rPr>
              <w:t>服务内容</w:t>
            </w:r>
          </w:p>
        </w:tc>
        <w:tc>
          <w:tcPr>
            <w:tcW w:w="1046" w:type="dxa"/>
            <w:tcBorders>
              <w:top w:val="single" w:color="auto" w:sz="8" w:space="0"/>
              <w:left w:val="single" w:color="auto" w:sz="8" w:space="0"/>
              <w:bottom w:val="single" w:color="auto" w:sz="8" w:space="0"/>
              <w:right w:val="single" w:color="auto" w:sz="8" w:space="0"/>
            </w:tcBorders>
            <w:vAlign w:val="center"/>
          </w:tcPr>
          <w:p w14:paraId="2B122A2C">
            <w:pPr>
              <w:tabs>
                <w:tab w:val="left" w:pos="8364"/>
              </w:tabs>
              <w:snapToGrid w:val="0"/>
              <w:spacing w:line="240" w:lineRule="atLeast"/>
              <w:ind w:right="-58"/>
              <w:jc w:val="center"/>
              <w:rPr>
                <w:rFonts w:hint="eastAsia" w:ascii="宋体" w:hAnsi="宋体" w:eastAsia="宋体"/>
                <w:b/>
                <w:color w:val="auto"/>
                <w:highlight w:val="none"/>
                <w:lang w:val="en-US" w:eastAsia="zh-CN"/>
              </w:rPr>
            </w:pPr>
            <w:r>
              <w:rPr>
                <w:rFonts w:hint="eastAsia" w:ascii="宋体" w:hAnsi="宋体"/>
                <w:b/>
                <w:color w:val="auto"/>
                <w:highlight w:val="none"/>
                <w:lang w:val="en-US" w:eastAsia="zh-CN"/>
              </w:rPr>
              <w:t>数量</w:t>
            </w:r>
          </w:p>
        </w:tc>
        <w:tc>
          <w:tcPr>
            <w:tcW w:w="3126" w:type="dxa"/>
            <w:tcBorders>
              <w:top w:val="single" w:color="auto" w:sz="8" w:space="0"/>
              <w:left w:val="single" w:color="auto" w:sz="8" w:space="0"/>
              <w:bottom w:val="single" w:color="auto" w:sz="8" w:space="0"/>
              <w:right w:val="single" w:color="auto" w:sz="8" w:space="0"/>
            </w:tcBorders>
            <w:vAlign w:val="center"/>
          </w:tcPr>
          <w:p w14:paraId="61C9853D">
            <w:pPr>
              <w:tabs>
                <w:tab w:val="left" w:pos="8364"/>
              </w:tabs>
              <w:snapToGrid w:val="0"/>
              <w:spacing w:line="240" w:lineRule="atLeast"/>
              <w:ind w:right="-58"/>
              <w:jc w:val="center"/>
              <w:rPr>
                <w:rFonts w:hint="eastAsia" w:ascii="宋体" w:hAnsi="宋体"/>
                <w:b/>
                <w:color w:val="auto"/>
                <w:highlight w:val="none"/>
              </w:rPr>
            </w:pPr>
            <w:r>
              <w:rPr>
                <w:rFonts w:hint="eastAsia" w:ascii="宋体" w:hAnsi="宋体"/>
                <w:b/>
                <w:bCs/>
                <w:color w:val="auto"/>
                <w:highlight w:val="none"/>
              </w:rPr>
              <w:t>投标报价（人民币）</w:t>
            </w:r>
          </w:p>
        </w:tc>
      </w:tr>
      <w:tr w14:paraId="180C6FF8">
        <w:tblPrEx>
          <w:tblCellMar>
            <w:top w:w="0" w:type="dxa"/>
            <w:left w:w="28" w:type="dxa"/>
            <w:bottom w:w="0" w:type="dxa"/>
            <w:right w:w="28" w:type="dxa"/>
          </w:tblCellMar>
        </w:tblPrEx>
        <w:trPr>
          <w:cantSplit/>
          <w:trHeight w:val="1214" w:hRule="atLeast"/>
        </w:trPr>
        <w:tc>
          <w:tcPr>
            <w:tcW w:w="645" w:type="dxa"/>
            <w:tcBorders>
              <w:top w:val="single" w:color="auto" w:sz="8" w:space="0"/>
              <w:left w:val="single" w:color="auto" w:sz="8" w:space="0"/>
              <w:bottom w:val="single" w:color="auto" w:sz="8" w:space="0"/>
              <w:right w:val="single" w:color="auto" w:sz="8" w:space="0"/>
            </w:tcBorders>
            <w:vAlign w:val="center"/>
          </w:tcPr>
          <w:p w14:paraId="63163D2D">
            <w:pPr>
              <w:tabs>
                <w:tab w:val="left" w:pos="8364"/>
              </w:tabs>
              <w:snapToGrid w:val="0"/>
              <w:spacing w:line="240" w:lineRule="atLeast"/>
              <w:ind w:right="-58"/>
              <w:jc w:val="center"/>
              <w:rPr>
                <w:rFonts w:hint="eastAsia" w:ascii="宋体" w:hAnsi="宋体"/>
                <w:b/>
                <w:color w:val="auto"/>
                <w:highlight w:val="none"/>
              </w:rPr>
            </w:pPr>
            <w:r>
              <w:rPr>
                <w:rFonts w:hint="eastAsia" w:ascii="宋体" w:hAnsi="宋体"/>
                <w:b/>
                <w:color w:val="auto"/>
                <w:highlight w:val="none"/>
              </w:rPr>
              <w:t>1</w:t>
            </w:r>
          </w:p>
        </w:tc>
        <w:tc>
          <w:tcPr>
            <w:tcW w:w="1455" w:type="dxa"/>
            <w:tcBorders>
              <w:top w:val="single" w:color="auto" w:sz="8" w:space="0"/>
              <w:left w:val="single" w:color="auto" w:sz="8" w:space="0"/>
              <w:right w:val="single" w:color="auto" w:sz="8" w:space="0"/>
            </w:tcBorders>
            <w:vAlign w:val="center"/>
          </w:tcPr>
          <w:p w14:paraId="15DCEFEC">
            <w:pPr>
              <w:jc w:val="center"/>
              <w:rPr>
                <w:rFonts w:hint="eastAsia" w:ascii="宋体" w:hAnsi="宋体"/>
                <w:b/>
                <w:color w:val="auto"/>
                <w:highlight w:val="none"/>
              </w:rPr>
            </w:pP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报价</w:t>
            </w:r>
          </w:p>
        </w:tc>
        <w:tc>
          <w:tcPr>
            <w:tcW w:w="1920" w:type="dxa"/>
            <w:vMerge w:val="restart"/>
            <w:tcBorders>
              <w:top w:val="single" w:color="auto" w:sz="8" w:space="0"/>
              <w:left w:val="single" w:color="auto" w:sz="8" w:space="0"/>
              <w:right w:val="single" w:color="auto" w:sz="8" w:space="0"/>
            </w:tcBorders>
            <w:vAlign w:val="center"/>
          </w:tcPr>
          <w:p w14:paraId="62A5AD9A">
            <w:pPr>
              <w:jc w:val="center"/>
              <w:rPr>
                <w:rFonts w:hint="default" w:ascii="宋体" w:hAnsi="宋体" w:eastAsia="宋体"/>
                <w:color w:val="auto"/>
                <w:sz w:val="24"/>
                <w:highlight w:val="none"/>
                <w:lang w:val="en-US" w:eastAsia="zh-CN"/>
              </w:rPr>
            </w:pPr>
            <w:r>
              <w:rPr>
                <w:rFonts w:hint="eastAsia" w:ascii="宋体" w:hAnsi="宋体" w:cs="宋体"/>
                <w:bCs/>
                <w:color w:val="auto"/>
                <w:szCs w:val="21"/>
                <w:highlight w:val="none"/>
                <w:lang w:val="en-US" w:eastAsia="zh-CN"/>
              </w:rPr>
              <w:t>物业管理服务</w:t>
            </w:r>
          </w:p>
        </w:tc>
        <w:tc>
          <w:tcPr>
            <w:tcW w:w="1046" w:type="dxa"/>
            <w:vMerge w:val="restart"/>
            <w:tcBorders>
              <w:top w:val="single" w:color="auto" w:sz="8" w:space="0"/>
              <w:left w:val="single" w:color="auto" w:sz="8" w:space="0"/>
              <w:right w:val="single" w:color="auto" w:sz="8" w:space="0"/>
            </w:tcBorders>
            <w:vAlign w:val="center"/>
          </w:tcPr>
          <w:p w14:paraId="288891A5">
            <w:pPr>
              <w:jc w:val="center"/>
              <w:rPr>
                <w:rFonts w:hint="eastAsia" w:ascii="宋体" w:hAnsi="宋体" w:eastAsia="宋体"/>
                <w:bCs/>
                <w:color w:val="auto"/>
                <w:highlight w:val="none"/>
                <w:lang w:val="en-US" w:eastAsia="zh-CN"/>
              </w:rPr>
            </w:pPr>
            <w:r>
              <w:rPr>
                <w:rFonts w:hint="eastAsia" w:ascii="宋体" w:hAnsi="宋体"/>
                <w:bCs/>
                <w:color w:val="auto"/>
                <w:highlight w:val="none"/>
              </w:rPr>
              <w:t>1</w:t>
            </w:r>
            <w:r>
              <w:rPr>
                <w:rFonts w:hint="eastAsia" w:ascii="宋体" w:hAnsi="宋体"/>
                <w:bCs/>
                <w:color w:val="auto"/>
                <w:highlight w:val="none"/>
                <w:lang w:val="en-US" w:eastAsia="zh-CN"/>
              </w:rPr>
              <w:t>项</w:t>
            </w:r>
          </w:p>
        </w:tc>
        <w:tc>
          <w:tcPr>
            <w:tcW w:w="3126" w:type="dxa"/>
            <w:tcBorders>
              <w:top w:val="single" w:color="auto" w:sz="8" w:space="0"/>
              <w:left w:val="single" w:color="auto" w:sz="8" w:space="0"/>
              <w:bottom w:val="single" w:color="auto" w:sz="8" w:space="0"/>
              <w:right w:val="single" w:color="auto" w:sz="8" w:space="0"/>
            </w:tcBorders>
            <w:vAlign w:val="center"/>
          </w:tcPr>
          <w:p w14:paraId="067C4880">
            <w:pPr>
              <w:tabs>
                <w:tab w:val="left" w:pos="8364"/>
              </w:tabs>
              <w:snapToGrid w:val="0"/>
              <w:spacing w:line="240" w:lineRule="atLeast"/>
              <w:ind w:right="-58"/>
              <w:rPr>
                <w:rFonts w:hint="default" w:ascii="宋体" w:hAnsi="宋体"/>
                <w:bCs/>
                <w:color w:val="auto"/>
                <w:szCs w:val="21"/>
                <w:highlight w:val="none"/>
                <w:u w:val="none"/>
                <w:lang w:val="en-US" w:eastAsia="zh-CN"/>
              </w:rPr>
            </w:pPr>
            <w:r>
              <w:rPr>
                <w:rFonts w:hint="eastAsia" w:ascii="宋体" w:hAnsi="宋体"/>
                <w:bCs/>
                <w:color w:val="auto"/>
                <w:szCs w:val="21"/>
                <w:highlight w:val="none"/>
              </w:rPr>
              <w:t>大写：</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none"/>
                <w:lang w:val="en-US" w:eastAsia="zh-CN"/>
              </w:rPr>
              <w:t>/年</w:t>
            </w:r>
          </w:p>
          <w:p w14:paraId="48420300">
            <w:pPr>
              <w:tabs>
                <w:tab w:val="left" w:pos="8364"/>
              </w:tabs>
              <w:snapToGrid w:val="0"/>
              <w:spacing w:line="240" w:lineRule="atLeast"/>
              <w:ind w:right="-58"/>
              <w:rPr>
                <w:color w:val="auto"/>
                <w:highlight w:val="none"/>
              </w:rPr>
            </w:pPr>
            <w:r>
              <w:rPr>
                <w:rFonts w:hint="eastAsia" w:ascii="宋体" w:hAnsi="宋体"/>
                <w:bCs/>
                <w:color w:val="auto"/>
                <w:szCs w:val="21"/>
                <w:highlight w:val="none"/>
              </w:rPr>
              <w:t>小写：</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none"/>
                <w:lang w:val="en-US" w:eastAsia="zh-CN"/>
              </w:rPr>
              <w:t>/年</w:t>
            </w:r>
          </w:p>
        </w:tc>
      </w:tr>
      <w:tr w14:paraId="3249A3CB">
        <w:tblPrEx>
          <w:tblCellMar>
            <w:top w:w="0" w:type="dxa"/>
            <w:left w:w="28" w:type="dxa"/>
            <w:bottom w:w="0" w:type="dxa"/>
            <w:right w:w="28" w:type="dxa"/>
          </w:tblCellMar>
        </w:tblPrEx>
        <w:trPr>
          <w:cantSplit/>
          <w:trHeight w:val="1214" w:hRule="atLeast"/>
        </w:trPr>
        <w:tc>
          <w:tcPr>
            <w:tcW w:w="645" w:type="dxa"/>
            <w:tcBorders>
              <w:top w:val="single" w:color="auto" w:sz="8" w:space="0"/>
              <w:left w:val="single" w:color="auto" w:sz="8" w:space="0"/>
              <w:bottom w:val="single" w:color="auto" w:sz="8" w:space="0"/>
              <w:right w:val="single" w:color="auto" w:sz="8" w:space="0"/>
            </w:tcBorders>
            <w:vAlign w:val="center"/>
          </w:tcPr>
          <w:p w14:paraId="7463CD2F">
            <w:pPr>
              <w:tabs>
                <w:tab w:val="left" w:pos="8364"/>
              </w:tabs>
              <w:snapToGrid w:val="0"/>
              <w:spacing w:line="240" w:lineRule="atLeast"/>
              <w:ind w:right="-58"/>
              <w:jc w:val="center"/>
              <w:rPr>
                <w:rFonts w:hint="eastAsia" w:ascii="宋体" w:hAnsi="宋体" w:eastAsia="宋体"/>
                <w:b/>
                <w:color w:val="auto"/>
                <w:highlight w:val="none"/>
                <w:lang w:val="en-US" w:eastAsia="zh-CN"/>
              </w:rPr>
            </w:pPr>
            <w:r>
              <w:rPr>
                <w:rFonts w:hint="eastAsia" w:ascii="宋体" w:hAnsi="宋体"/>
                <w:b/>
                <w:color w:val="auto"/>
                <w:highlight w:val="none"/>
                <w:lang w:val="en-US" w:eastAsia="zh-CN"/>
              </w:rPr>
              <w:t>2</w:t>
            </w:r>
          </w:p>
        </w:tc>
        <w:tc>
          <w:tcPr>
            <w:tcW w:w="1455" w:type="dxa"/>
            <w:tcBorders>
              <w:top w:val="single" w:color="auto" w:sz="8" w:space="0"/>
              <w:left w:val="single" w:color="auto" w:sz="8" w:space="0"/>
              <w:right w:val="single" w:color="auto" w:sz="8" w:space="0"/>
            </w:tcBorders>
            <w:vAlign w:val="center"/>
          </w:tcPr>
          <w:p w14:paraId="0035776D">
            <w:pPr>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投标总</w:t>
            </w:r>
            <w:r>
              <w:rPr>
                <w:rFonts w:hint="eastAsia" w:ascii="宋体" w:hAnsi="宋体" w:cs="宋体"/>
                <w:bCs/>
                <w:color w:val="auto"/>
                <w:szCs w:val="21"/>
                <w:highlight w:val="none"/>
              </w:rPr>
              <w:t>报价</w:t>
            </w:r>
          </w:p>
        </w:tc>
        <w:tc>
          <w:tcPr>
            <w:tcW w:w="1920" w:type="dxa"/>
            <w:vMerge w:val="continue"/>
            <w:tcBorders>
              <w:left w:val="single" w:color="auto" w:sz="8" w:space="0"/>
              <w:bottom w:val="single" w:color="auto" w:sz="8" w:space="0"/>
              <w:right w:val="single" w:color="auto" w:sz="8" w:space="0"/>
            </w:tcBorders>
            <w:vAlign w:val="center"/>
          </w:tcPr>
          <w:p w14:paraId="1555E421">
            <w:pPr>
              <w:jc w:val="center"/>
              <w:rPr>
                <w:rFonts w:hint="eastAsia" w:ascii="宋体" w:hAnsi="宋体" w:cs="宋体"/>
                <w:bCs/>
                <w:color w:val="auto"/>
                <w:szCs w:val="21"/>
                <w:highlight w:val="none"/>
                <w:lang w:val="en-US" w:eastAsia="zh-CN"/>
              </w:rPr>
            </w:pPr>
          </w:p>
        </w:tc>
        <w:tc>
          <w:tcPr>
            <w:tcW w:w="1046" w:type="dxa"/>
            <w:vMerge w:val="continue"/>
            <w:tcBorders>
              <w:left w:val="single" w:color="auto" w:sz="8" w:space="0"/>
              <w:bottom w:val="single" w:color="auto" w:sz="8" w:space="0"/>
              <w:right w:val="single" w:color="auto" w:sz="8" w:space="0"/>
            </w:tcBorders>
            <w:vAlign w:val="center"/>
          </w:tcPr>
          <w:p w14:paraId="2E4A205D">
            <w:pPr>
              <w:jc w:val="center"/>
              <w:rPr>
                <w:rFonts w:hint="eastAsia" w:ascii="宋体" w:hAnsi="宋体"/>
                <w:bCs/>
                <w:color w:val="auto"/>
                <w:highlight w:val="none"/>
              </w:rPr>
            </w:pPr>
          </w:p>
        </w:tc>
        <w:tc>
          <w:tcPr>
            <w:tcW w:w="3126" w:type="dxa"/>
            <w:tcBorders>
              <w:top w:val="single" w:color="auto" w:sz="8" w:space="0"/>
              <w:left w:val="single" w:color="auto" w:sz="8" w:space="0"/>
              <w:bottom w:val="single" w:color="auto" w:sz="8" w:space="0"/>
              <w:right w:val="single" w:color="auto" w:sz="8" w:space="0"/>
            </w:tcBorders>
            <w:vAlign w:val="center"/>
          </w:tcPr>
          <w:p w14:paraId="4DE18CBA">
            <w:pPr>
              <w:tabs>
                <w:tab w:val="left" w:pos="8364"/>
              </w:tabs>
              <w:snapToGrid w:val="0"/>
              <w:spacing w:line="240" w:lineRule="atLeast"/>
              <w:ind w:right="-58"/>
              <w:rPr>
                <w:rFonts w:hint="default" w:ascii="宋体" w:hAnsi="宋体"/>
                <w:bCs/>
                <w:color w:val="auto"/>
                <w:szCs w:val="21"/>
                <w:highlight w:val="none"/>
                <w:u w:val="none"/>
                <w:lang w:val="en-US" w:eastAsia="zh-CN"/>
              </w:rPr>
            </w:pPr>
            <w:r>
              <w:rPr>
                <w:rFonts w:hint="eastAsia" w:ascii="宋体" w:hAnsi="宋体"/>
                <w:bCs/>
                <w:color w:val="auto"/>
                <w:szCs w:val="21"/>
                <w:highlight w:val="none"/>
              </w:rPr>
              <w:t>大写：</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none"/>
                <w:lang w:val="en-US" w:eastAsia="zh-CN"/>
              </w:rPr>
              <w:t>/2年</w:t>
            </w:r>
          </w:p>
          <w:p w14:paraId="5BF8A45E">
            <w:pPr>
              <w:pStyle w:val="17"/>
              <w:rPr>
                <w:color w:val="auto"/>
                <w:highlight w:val="none"/>
              </w:rPr>
            </w:pPr>
            <w:r>
              <w:rPr>
                <w:rFonts w:hint="eastAsia" w:ascii="宋体" w:hAnsi="宋体"/>
                <w:bCs/>
                <w:color w:val="auto"/>
                <w:szCs w:val="21"/>
                <w:highlight w:val="none"/>
              </w:rPr>
              <w:t>小写：</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none"/>
                <w:lang w:val="en-US" w:eastAsia="zh-CN"/>
              </w:rPr>
              <w:t>/</w:t>
            </w:r>
            <w:r>
              <w:rPr>
                <w:rFonts w:hint="eastAsia" w:hAnsi="宋体"/>
                <w:bCs/>
                <w:color w:val="auto"/>
                <w:szCs w:val="21"/>
                <w:highlight w:val="none"/>
                <w:u w:val="none"/>
                <w:lang w:val="en-US" w:eastAsia="zh-CN"/>
              </w:rPr>
              <w:t>2</w:t>
            </w:r>
            <w:r>
              <w:rPr>
                <w:rFonts w:hint="eastAsia" w:ascii="宋体" w:hAnsi="宋体"/>
                <w:bCs/>
                <w:color w:val="auto"/>
                <w:szCs w:val="21"/>
                <w:highlight w:val="none"/>
                <w:u w:val="none"/>
                <w:lang w:val="en-US" w:eastAsia="zh-CN"/>
              </w:rPr>
              <w:t>年</w:t>
            </w:r>
          </w:p>
        </w:tc>
      </w:tr>
      <w:tr w14:paraId="054A2E4C">
        <w:tblPrEx>
          <w:tblCellMar>
            <w:top w:w="0" w:type="dxa"/>
            <w:left w:w="28" w:type="dxa"/>
            <w:bottom w:w="0" w:type="dxa"/>
            <w:right w:w="28" w:type="dxa"/>
          </w:tblCellMar>
        </w:tblPrEx>
        <w:trPr>
          <w:cantSplit/>
          <w:trHeight w:val="792" w:hRule="atLeast"/>
        </w:trPr>
        <w:tc>
          <w:tcPr>
            <w:tcW w:w="645" w:type="dxa"/>
            <w:tcBorders>
              <w:top w:val="single" w:color="auto" w:sz="8" w:space="0"/>
              <w:left w:val="single" w:color="auto" w:sz="8" w:space="0"/>
              <w:bottom w:val="single" w:color="auto" w:sz="8" w:space="0"/>
              <w:right w:val="single" w:color="auto" w:sz="8" w:space="0"/>
            </w:tcBorders>
            <w:vAlign w:val="center"/>
          </w:tcPr>
          <w:p w14:paraId="6BD349C6">
            <w:pPr>
              <w:tabs>
                <w:tab w:val="left" w:pos="8364"/>
              </w:tabs>
              <w:snapToGrid w:val="0"/>
              <w:spacing w:line="240" w:lineRule="atLeast"/>
              <w:ind w:right="-58"/>
              <w:jc w:val="center"/>
              <w:rPr>
                <w:rFonts w:hint="eastAsia" w:ascii="宋体" w:hAnsi="宋体" w:eastAsia="宋体"/>
                <w:b/>
                <w:color w:val="auto"/>
                <w:highlight w:val="none"/>
                <w:lang w:val="en-US" w:eastAsia="zh-CN"/>
              </w:rPr>
            </w:pPr>
            <w:r>
              <w:rPr>
                <w:rFonts w:hint="eastAsia" w:ascii="宋体" w:hAnsi="宋体"/>
                <w:b/>
                <w:color w:val="auto"/>
                <w:highlight w:val="none"/>
                <w:lang w:val="en-US" w:eastAsia="zh-CN"/>
              </w:rPr>
              <w:t>3</w:t>
            </w:r>
          </w:p>
        </w:tc>
        <w:tc>
          <w:tcPr>
            <w:tcW w:w="1455" w:type="dxa"/>
            <w:tcBorders>
              <w:top w:val="single" w:color="auto" w:sz="8" w:space="0"/>
              <w:left w:val="single" w:color="auto" w:sz="8" w:space="0"/>
              <w:bottom w:val="single" w:color="auto" w:sz="8" w:space="0"/>
              <w:right w:val="single" w:color="auto" w:sz="8" w:space="0"/>
            </w:tcBorders>
            <w:vAlign w:val="center"/>
          </w:tcPr>
          <w:p w14:paraId="06CE0077">
            <w:pPr>
              <w:tabs>
                <w:tab w:val="left" w:pos="8364"/>
              </w:tabs>
              <w:snapToGrid w:val="0"/>
              <w:spacing w:line="240" w:lineRule="atLeast"/>
              <w:ind w:right="-58"/>
              <w:jc w:val="center"/>
              <w:rPr>
                <w:rFonts w:hint="eastAsia" w:ascii="宋体" w:hAnsi="宋体"/>
                <w:b w:val="0"/>
                <w:bCs/>
                <w:color w:val="auto"/>
                <w:highlight w:val="none"/>
              </w:rPr>
            </w:pPr>
            <w:r>
              <w:rPr>
                <w:rFonts w:hint="eastAsia" w:ascii="宋体" w:hAnsi="宋体"/>
                <w:b w:val="0"/>
                <w:bCs/>
                <w:color w:val="auto"/>
                <w:highlight w:val="none"/>
              </w:rPr>
              <w:t>有效期</w:t>
            </w:r>
          </w:p>
        </w:tc>
        <w:tc>
          <w:tcPr>
            <w:tcW w:w="6092" w:type="dxa"/>
            <w:gridSpan w:val="3"/>
            <w:tcBorders>
              <w:top w:val="single" w:color="auto" w:sz="8" w:space="0"/>
              <w:left w:val="single" w:color="auto" w:sz="8" w:space="0"/>
              <w:bottom w:val="single" w:color="auto" w:sz="8" w:space="0"/>
              <w:right w:val="single" w:color="auto" w:sz="8" w:space="0"/>
            </w:tcBorders>
            <w:vAlign w:val="center"/>
          </w:tcPr>
          <w:p w14:paraId="13AD115B">
            <w:pPr>
              <w:tabs>
                <w:tab w:val="left" w:pos="8364"/>
              </w:tabs>
              <w:snapToGrid w:val="0"/>
              <w:spacing w:line="240" w:lineRule="atLeast"/>
              <w:ind w:right="-58"/>
              <w:jc w:val="center"/>
              <w:rPr>
                <w:rFonts w:hint="eastAsia" w:ascii="宋体" w:hAnsi="宋体"/>
                <w:b w:val="0"/>
                <w:bCs/>
                <w:color w:val="auto"/>
                <w:highlight w:val="none"/>
              </w:rPr>
            </w:pPr>
            <w:r>
              <w:rPr>
                <w:rFonts w:hint="eastAsia" w:ascii="宋体" w:hAnsi="宋体"/>
                <w:b w:val="0"/>
                <w:bCs/>
                <w:color w:val="auto"/>
                <w:highlight w:val="none"/>
              </w:rPr>
              <w:t>自提交投标文件截止之日起90日</w:t>
            </w:r>
          </w:p>
        </w:tc>
      </w:tr>
    </w:tbl>
    <w:p w14:paraId="1E208033">
      <w:pPr>
        <w:spacing w:line="280" w:lineRule="exact"/>
        <w:rPr>
          <w:rFonts w:hint="eastAsia" w:ascii="宋体" w:hAnsi="宋体"/>
          <w:color w:val="auto"/>
          <w:szCs w:val="21"/>
          <w:highlight w:val="none"/>
        </w:rPr>
      </w:pPr>
      <w:r>
        <w:rPr>
          <w:rFonts w:hint="eastAsia" w:ascii="宋体" w:hAnsi="宋体"/>
          <w:color w:val="auto"/>
          <w:szCs w:val="21"/>
          <w:highlight w:val="none"/>
        </w:rPr>
        <w:t>注：1.投标人须按要求填写所有信息，不得随意更改本表格式。</w:t>
      </w:r>
    </w:p>
    <w:p w14:paraId="237D0592">
      <w:pPr>
        <w:spacing w:line="280" w:lineRule="exact"/>
        <w:ind w:firstLine="420" w:firstLineChars="200"/>
        <w:rPr>
          <w:rStyle w:val="50"/>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s="宋体"/>
          <w:bCs/>
          <w:color w:val="auto"/>
          <w:spacing w:val="6"/>
          <w:szCs w:val="21"/>
          <w:highlight w:val="none"/>
        </w:rPr>
        <w:t>投标报价应包括</w:t>
      </w:r>
      <w:r>
        <w:rPr>
          <w:rFonts w:hint="eastAsia"/>
          <w:color w:val="auto"/>
          <w:szCs w:val="21"/>
          <w:highlight w:val="none"/>
        </w:rPr>
        <w:t>完成用户需求书全部内容所需的一切含税费用：即包括但不限于各种人工费用、物料费用、管理费用、不可预见费、税费、利润</w:t>
      </w:r>
      <w:r>
        <w:rPr>
          <w:rFonts w:hint="eastAsia" w:ascii="宋体" w:hAnsi="宋体" w:cs="宋体"/>
          <w:bCs/>
          <w:color w:val="auto"/>
          <w:spacing w:val="6"/>
          <w:szCs w:val="21"/>
          <w:highlight w:val="none"/>
        </w:rPr>
        <w:t>及其他合同实施过程中的所有费用</w:t>
      </w:r>
      <w:r>
        <w:rPr>
          <w:rFonts w:hint="eastAsia"/>
          <w:color w:val="auto"/>
          <w:szCs w:val="21"/>
          <w:highlight w:val="none"/>
        </w:rPr>
        <w:t>。</w:t>
      </w:r>
    </w:p>
    <w:p w14:paraId="173D0B17">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3.此表是投标文件的必要文件，是投标文件的组成部分，作为唱标之用。</w:t>
      </w:r>
    </w:p>
    <w:p w14:paraId="255D2860">
      <w:pPr>
        <w:spacing w:line="280" w:lineRule="exact"/>
        <w:ind w:firstLine="420" w:firstLineChars="200"/>
        <w:rPr>
          <w:rFonts w:hint="eastAsia" w:ascii="宋体" w:hAnsi="宋体"/>
          <w:color w:val="auto"/>
          <w:szCs w:val="21"/>
          <w:highlight w:val="none"/>
        </w:rPr>
      </w:pPr>
    </w:p>
    <w:p w14:paraId="247C0CB5">
      <w:pPr>
        <w:wordWrap/>
        <w:adjustRightInd w:val="0"/>
        <w:snapToGrid w:val="0"/>
        <w:jc w:val="left"/>
        <w:rPr>
          <w:rFonts w:hint="eastAsia" w:ascii="宋体" w:hAnsi="宋体"/>
          <w:color w:val="auto"/>
          <w:szCs w:val="21"/>
          <w:highlight w:val="none"/>
        </w:rPr>
      </w:pPr>
    </w:p>
    <w:p w14:paraId="6702959C">
      <w:pPr>
        <w:wordWrap/>
        <w:adjustRightInd w:val="0"/>
        <w:snapToGrid w:val="0"/>
        <w:jc w:val="left"/>
        <w:rPr>
          <w:rFonts w:hint="eastAsia" w:ascii="宋体" w:hAnsi="宋体"/>
          <w:color w:val="auto"/>
          <w:szCs w:val="21"/>
          <w:highlight w:val="none"/>
        </w:rPr>
      </w:pPr>
      <w:r>
        <w:rPr>
          <w:rFonts w:hint="eastAsia" w:ascii="宋体" w:hAnsi="宋体"/>
          <w:color w:val="auto"/>
          <w:szCs w:val="21"/>
          <w:highlight w:val="none"/>
        </w:rPr>
        <w:t xml:space="preserve">投标人法定代表人/负责人（或法定代表人/负责人授权代表）签字：      </w:t>
      </w:r>
    </w:p>
    <w:p w14:paraId="68AC8A1E">
      <w:pPr>
        <w:wordWrap/>
        <w:adjustRightInd w:val="0"/>
        <w:snapToGrid w:val="0"/>
        <w:jc w:val="left"/>
        <w:rPr>
          <w:rFonts w:hint="eastAsia" w:ascii="宋体" w:hAnsi="宋体"/>
          <w:color w:val="auto"/>
          <w:szCs w:val="21"/>
          <w:highlight w:val="none"/>
        </w:rPr>
      </w:pPr>
    </w:p>
    <w:p w14:paraId="2D4FB442">
      <w:pPr>
        <w:wordWrap/>
        <w:adjustRightInd w:val="0"/>
        <w:snapToGrid w:val="0"/>
        <w:jc w:val="left"/>
        <w:rPr>
          <w:rFonts w:hint="eastAsia" w:ascii="宋体" w:hAnsi="宋体"/>
          <w:color w:val="auto"/>
          <w:szCs w:val="21"/>
          <w:highlight w:val="none"/>
          <w:u w:val="single"/>
        </w:rPr>
      </w:pPr>
      <w:r>
        <w:rPr>
          <w:rFonts w:hint="eastAsia" w:ascii="宋体" w:hAnsi="宋体"/>
          <w:color w:val="auto"/>
          <w:szCs w:val="21"/>
          <w:highlight w:val="none"/>
        </w:rPr>
        <w:t xml:space="preserve">投标人名称（加盖公章）：      </w:t>
      </w:r>
    </w:p>
    <w:p w14:paraId="5B98394C">
      <w:pPr>
        <w:wordWrap/>
        <w:jc w:val="left"/>
        <w:rPr>
          <w:rFonts w:hint="eastAsia" w:ascii="宋体" w:hAnsi="宋体"/>
          <w:color w:val="auto"/>
          <w:szCs w:val="21"/>
          <w:highlight w:val="none"/>
        </w:rPr>
      </w:pPr>
    </w:p>
    <w:p w14:paraId="12522436">
      <w:pPr>
        <w:wordWrap/>
        <w:jc w:val="left"/>
        <w:rPr>
          <w:rFonts w:hint="eastAsia" w:ascii="宋体" w:hAnsi="宋体"/>
          <w:color w:val="auto"/>
          <w:szCs w:val="21"/>
          <w:highlight w:val="none"/>
        </w:rPr>
      </w:pPr>
      <w:r>
        <w:rPr>
          <w:rFonts w:hint="eastAsia" w:ascii="宋体" w:hAnsi="宋体"/>
          <w:color w:val="auto"/>
          <w:szCs w:val="21"/>
          <w:highlight w:val="none"/>
        </w:rPr>
        <w:t xml:space="preserve">日期：   年   月   日         </w:t>
      </w:r>
    </w:p>
    <w:p w14:paraId="3E8C4747">
      <w:pPr>
        <w:rPr>
          <w:rFonts w:hint="eastAsia" w:ascii="宋体" w:hAnsi="宋体"/>
          <w:color w:val="auto"/>
          <w:sz w:val="28"/>
          <w:szCs w:val="28"/>
          <w:highlight w:val="none"/>
        </w:rPr>
      </w:pPr>
      <w:r>
        <w:rPr>
          <w:rFonts w:hint="eastAsia" w:ascii="宋体" w:hAnsi="宋体"/>
          <w:color w:val="auto"/>
          <w:sz w:val="28"/>
          <w:szCs w:val="28"/>
          <w:highlight w:val="none"/>
        </w:rPr>
        <w:br w:type="page"/>
      </w:r>
    </w:p>
    <w:p w14:paraId="1F616CBF">
      <w:pPr>
        <w:spacing w:line="360" w:lineRule="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.2投标明细报价表</w:t>
      </w:r>
    </w:p>
    <w:p w14:paraId="1A656EB1">
      <w:pPr>
        <w:tabs>
          <w:tab w:val="left" w:pos="8364"/>
        </w:tabs>
        <w:snapToGrid w:val="0"/>
        <w:ind w:right="-58"/>
        <w:rPr>
          <w:color w:val="auto"/>
          <w:szCs w:val="21"/>
          <w:highlight w:val="none"/>
        </w:rPr>
      </w:pPr>
      <w:r>
        <w:rPr>
          <w:rFonts w:hint="eastAsia"/>
          <w:color w:val="auto"/>
          <w:szCs w:val="21"/>
          <w:highlight w:val="none"/>
        </w:rPr>
        <w:t>投标人名称：</w:t>
      </w:r>
    </w:p>
    <w:p w14:paraId="162BEF51">
      <w:pPr>
        <w:tabs>
          <w:tab w:val="left" w:pos="8364"/>
        </w:tabs>
        <w:snapToGrid w:val="0"/>
        <w:ind w:right="-58"/>
        <w:rPr>
          <w:color w:val="auto"/>
          <w:szCs w:val="21"/>
          <w:highlight w:val="none"/>
        </w:rPr>
      </w:pPr>
      <w:r>
        <w:rPr>
          <w:rFonts w:hint="eastAsia"/>
          <w:color w:val="auto"/>
          <w:szCs w:val="21"/>
          <w:highlight w:val="none"/>
        </w:rPr>
        <w:t>项目名称：</w:t>
      </w:r>
    </w:p>
    <w:p w14:paraId="0BB634FF">
      <w:pPr>
        <w:rPr>
          <w:rFonts w:hint="eastAsia" w:ascii="宋体" w:hAnsi="宋体"/>
          <w:color w:val="auto"/>
          <w:szCs w:val="21"/>
          <w:highlight w:val="none"/>
        </w:rPr>
      </w:pPr>
      <w:r>
        <w:rPr>
          <w:rFonts w:hint="eastAsia"/>
          <w:color w:val="auto"/>
          <w:szCs w:val="21"/>
          <w:highlight w:val="none"/>
        </w:rPr>
        <w:t>项目编号：</w:t>
      </w:r>
    </w:p>
    <w:p w14:paraId="42500DBF">
      <w:pPr>
        <w:adjustRightInd w:val="0"/>
        <w:snapToGrid w:val="0"/>
        <w:spacing w:line="300" w:lineRule="auto"/>
        <w:jc w:val="right"/>
        <w:rPr>
          <w:rFonts w:ascii="宋体" w:hAnsi="宋体"/>
          <w:color w:val="auto"/>
          <w:highlight w:val="none"/>
        </w:rPr>
      </w:pPr>
      <w:r>
        <w:rPr>
          <w:rFonts w:hint="eastAsia" w:ascii="宋体" w:hAnsi="宋体"/>
          <w:color w:val="auto"/>
          <w:highlight w:val="none"/>
        </w:rPr>
        <w:t>【价格单位：（人民币）元】</w:t>
      </w:r>
    </w:p>
    <w:tbl>
      <w:tblPr>
        <w:tblStyle w:val="37"/>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884"/>
        <w:gridCol w:w="1620"/>
        <w:gridCol w:w="1022"/>
        <w:gridCol w:w="1459"/>
      </w:tblGrid>
      <w:tr w14:paraId="4E35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373E4F4C">
            <w:pPr>
              <w:pStyle w:val="17"/>
              <w:spacing w:line="360" w:lineRule="auto"/>
              <w:jc w:val="center"/>
              <w:rPr>
                <w:rFonts w:hAnsi="宋体" w:cs="Times New Roman"/>
                <w:color w:val="auto"/>
                <w:highlight w:val="none"/>
              </w:rPr>
            </w:pPr>
            <w:r>
              <w:rPr>
                <w:rFonts w:hint="eastAsia" w:hAnsi="宋体" w:cs="Times New Roman"/>
                <w:color w:val="auto"/>
                <w:highlight w:val="none"/>
              </w:rPr>
              <w:t>序号</w:t>
            </w:r>
          </w:p>
        </w:tc>
        <w:tc>
          <w:tcPr>
            <w:tcW w:w="3884" w:type="dxa"/>
            <w:tcBorders>
              <w:top w:val="single" w:color="auto" w:sz="4" w:space="0"/>
              <w:left w:val="nil"/>
              <w:bottom w:val="single" w:color="auto" w:sz="4" w:space="0"/>
              <w:right w:val="single" w:color="auto" w:sz="4" w:space="0"/>
            </w:tcBorders>
            <w:noWrap w:val="0"/>
            <w:vAlign w:val="center"/>
          </w:tcPr>
          <w:p w14:paraId="0B096EB8">
            <w:pPr>
              <w:pStyle w:val="17"/>
              <w:spacing w:line="360" w:lineRule="auto"/>
              <w:jc w:val="center"/>
              <w:rPr>
                <w:rFonts w:hAnsi="宋体" w:cs="Times New Roman"/>
                <w:color w:val="auto"/>
                <w:highlight w:val="none"/>
              </w:rPr>
            </w:pPr>
            <w:r>
              <w:rPr>
                <w:rFonts w:hint="eastAsia" w:hAnsi="宋体" w:cs="Times New Roman"/>
                <w:color w:val="auto"/>
                <w:highlight w:val="none"/>
              </w:rPr>
              <w:t>服务内容</w:t>
            </w:r>
          </w:p>
        </w:tc>
        <w:tc>
          <w:tcPr>
            <w:tcW w:w="1620" w:type="dxa"/>
            <w:tcBorders>
              <w:top w:val="single" w:color="auto" w:sz="4" w:space="0"/>
              <w:left w:val="nil"/>
              <w:bottom w:val="single" w:color="auto" w:sz="4" w:space="0"/>
              <w:right w:val="single" w:color="auto" w:sz="4" w:space="0"/>
            </w:tcBorders>
            <w:noWrap w:val="0"/>
            <w:vAlign w:val="center"/>
          </w:tcPr>
          <w:p w14:paraId="446A5FF4">
            <w:pPr>
              <w:pStyle w:val="17"/>
              <w:spacing w:line="360" w:lineRule="auto"/>
              <w:jc w:val="center"/>
              <w:rPr>
                <w:rFonts w:hAnsi="宋体" w:cs="Times New Roman"/>
                <w:color w:val="auto"/>
                <w:highlight w:val="none"/>
              </w:rPr>
            </w:pPr>
            <w:r>
              <w:rPr>
                <w:rFonts w:hint="eastAsia" w:hAnsi="宋体" w:cs="Times New Roman"/>
                <w:color w:val="auto"/>
                <w:highlight w:val="none"/>
              </w:rPr>
              <w:t>单价</w:t>
            </w:r>
          </w:p>
        </w:tc>
        <w:tc>
          <w:tcPr>
            <w:tcW w:w="1022" w:type="dxa"/>
            <w:tcBorders>
              <w:top w:val="single" w:color="auto" w:sz="4" w:space="0"/>
              <w:left w:val="nil"/>
              <w:bottom w:val="single" w:color="auto" w:sz="4" w:space="0"/>
              <w:right w:val="single" w:color="auto" w:sz="4" w:space="0"/>
            </w:tcBorders>
            <w:noWrap w:val="0"/>
            <w:vAlign w:val="center"/>
          </w:tcPr>
          <w:p w14:paraId="6E25D2DA">
            <w:pPr>
              <w:pStyle w:val="17"/>
              <w:spacing w:line="360" w:lineRule="auto"/>
              <w:jc w:val="center"/>
              <w:rPr>
                <w:rFonts w:hAnsi="宋体" w:cs="Times New Roman"/>
                <w:color w:val="auto"/>
                <w:highlight w:val="none"/>
              </w:rPr>
            </w:pPr>
            <w:r>
              <w:rPr>
                <w:rFonts w:hint="eastAsia" w:hAnsi="宋体" w:cs="Times New Roman"/>
                <w:color w:val="auto"/>
                <w:highlight w:val="none"/>
              </w:rPr>
              <w:t>数量</w:t>
            </w:r>
          </w:p>
        </w:tc>
        <w:tc>
          <w:tcPr>
            <w:tcW w:w="1459" w:type="dxa"/>
            <w:tcBorders>
              <w:top w:val="single" w:color="auto" w:sz="4" w:space="0"/>
              <w:left w:val="nil"/>
              <w:bottom w:val="single" w:color="auto" w:sz="4" w:space="0"/>
              <w:right w:val="single" w:color="auto" w:sz="4" w:space="0"/>
            </w:tcBorders>
            <w:noWrap w:val="0"/>
            <w:vAlign w:val="center"/>
          </w:tcPr>
          <w:p w14:paraId="61A5F852">
            <w:pPr>
              <w:pStyle w:val="17"/>
              <w:spacing w:line="360" w:lineRule="auto"/>
              <w:jc w:val="center"/>
              <w:rPr>
                <w:rFonts w:hAnsi="宋体" w:cs="Times New Roman"/>
                <w:color w:val="auto"/>
                <w:highlight w:val="none"/>
              </w:rPr>
            </w:pPr>
            <w:r>
              <w:rPr>
                <w:rFonts w:hint="eastAsia" w:hAnsi="宋体" w:cs="Times New Roman"/>
                <w:color w:val="auto"/>
                <w:highlight w:val="none"/>
              </w:rPr>
              <w:t>总价</w:t>
            </w:r>
          </w:p>
          <w:p w14:paraId="21D42D3F">
            <w:pPr>
              <w:pStyle w:val="17"/>
              <w:spacing w:line="360" w:lineRule="auto"/>
              <w:jc w:val="center"/>
              <w:rPr>
                <w:rFonts w:hAnsi="宋体" w:cs="Times New Roman"/>
                <w:color w:val="auto"/>
                <w:highlight w:val="none"/>
              </w:rPr>
            </w:pPr>
            <w:r>
              <w:rPr>
                <w:rFonts w:hint="eastAsia" w:hAnsi="宋体" w:cs="Times New Roman"/>
                <w:color w:val="auto"/>
                <w:highlight w:val="none"/>
              </w:rPr>
              <w:t>（金额）</w:t>
            </w:r>
          </w:p>
        </w:tc>
      </w:tr>
      <w:tr w14:paraId="585D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46636769">
            <w:pPr>
              <w:pStyle w:val="17"/>
              <w:spacing w:line="360" w:lineRule="auto"/>
              <w:rPr>
                <w:rFonts w:hAnsi="宋体" w:cs="Times New Roman"/>
                <w:color w:val="auto"/>
                <w:highlight w:val="none"/>
              </w:rPr>
            </w:pPr>
            <w:r>
              <w:rPr>
                <w:rFonts w:hint="eastAsia" w:hAnsi="宋体" w:cs="Times New Roman"/>
                <w:color w:val="auto"/>
                <w:highlight w:val="none"/>
              </w:rPr>
              <w:t>1</w:t>
            </w:r>
          </w:p>
        </w:tc>
        <w:tc>
          <w:tcPr>
            <w:tcW w:w="3884" w:type="dxa"/>
            <w:tcBorders>
              <w:top w:val="single" w:color="auto" w:sz="4" w:space="0"/>
              <w:left w:val="nil"/>
              <w:bottom w:val="single" w:color="auto" w:sz="4" w:space="0"/>
              <w:right w:val="single" w:color="auto" w:sz="4" w:space="0"/>
            </w:tcBorders>
            <w:noWrap w:val="0"/>
            <w:vAlign w:val="center"/>
          </w:tcPr>
          <w:p w14:paraId="6E84B88D">
            <w:pPr>
              <w:autoSpaceDE w:val="0"/>
              <w:autoSpaceDN w:val="0"/>
              <w:adjustRightInd w:val="0"/>
              <w:rPr>
                <w:rFonts w:ascii="宋体" w:hAnsi="宋体" w:cs="Courier New"/>
                <w:color w:val="auto"/>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79354FAD">
            <w:pPr>
              <w:pStyle w:val="17"/>
              <w:spacing w:line="360" w:lineRule="auto"/>
              <w:rPr>
                <w:rFonts w:hAnsi="宋体" w:cs="Times New Roman"/>
                <w:color w:val="auto"/>
                <w:highlight w:val="none"/>
                <w:u w:val="single"/>
              </w:rPr>
            </w:pPr>
          </w:p>
        </w:tc>
        <w:tc>
          <w:tcPr>
            <w:tcW w:w="1022" w:type="dxa"/>
            <w:tcBorders>
              <w:top w:val="single" w:color="auto" w:sz="4" w:space="0"/>
              <w:left w:val="nil"/>
              <w:bottom w:val="single" w:color="auto" w:sz="4" w:space="0"/>
              <w:right w:val="single" w:color="auto" w:sz="4" w:space="0"/>
            </w:tcBorders>
            <w:noWrap w:val="0"/>
            <w:vAlign w:val="center"/>
          </w:tcPr>
          <w:p w14:paraId="5C809D12">
            <w:pPr>
              <w:pStyle w:val="17"/>
              <w:spacing w:line="360" w:lineRule="auto"/>
              <w:rPr>
                <w:rFonts w:hAnsi="宋体" w:cs="Times New Roman"/>
                <w:color w:val="auto"/>
                <w:highlight w:val="none"/>
                <w:u w:val="single"/>
              </w:rPr>
            </w:pPr>
          </w:p>
        </w:tc>
        <w:tc>
          <w:tcPr>
            <w:tcW w:w="1459" w:type="dxa"/>
            <w:tcBorders>
              <w:top w:val="single" w:color="auto" w:sz="4" w:space="0"/>
              <w:left w:val="nil"/>
              <w:bottom w:val="single" w:color="auto" w:sz="4" w:space="0"/>
              <w:right w:val="single" w:color="auto" w:sz="4" w:space="0"/>
            </w:tcBorders>
            <w:noWrap w:val="0"/>
            <w:vAlign w:val="center"/>
          </w:tcPr>
          <w:p w14:paraId="364FA7F1">
            <w:pPr>
              <w:pStyle w:val="17"/>
              <w:spacing w:line="360" w:lineRule="auto"/>
              <w:rPr>
                <w:rFonts w:hAnsi="宋体" w:cs="Times New Roman"/>
                <w:color w:val="auto"/>
                <w:highlight w:val="none"/>
              </w:rPr>
            </w:pPr>
          </w:p>
        </w:tc>
      </w:tr>
      <w:tr w14:paraId="58B5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426C4C64">
            <w:pPr>
              <w:pStyle w:val="17"/>
              <w:spacing w:line="360" w:lineRule="auto"/>
              <w:rPr>
                <w:rFonts w:hAnsi="宋体" w:cs="Times New Roman"/>
                <w:color w:val="auto"/>
                <w:highlight w:val="none"/>
              </w:rPr>
            </w:pPr>
            <w:r>
              <w:rPr>
                <w:rFonts w:hint="eastAsia" w:hAnsi="宋体" w:cs="Times New Roman"/>
                <w:color w:val="auto"/>
                <w:highlight w:val="none"/>
              </w:rPr>
              <w:t>2</w:t>
            </w:r>
          </w:p>
        </w:tc>
        <w:tc>
          <w:tcPr>
            <w:tcW w:w="3884" w:type="dxa"/>
            <w:tcBorders>
              <w:top w:val="single" w:color="auto" w:sz="4" w:space="0"/>
              <w:left w:val="nil"/>
              <w:bottom w:val="single" w:color="auto" w:sz="4" w:space="0"/>
              <w:right w:val="single" w:color="auto" w:sz="4" w:space="0"/>
            </w:tcBorders>
            <w:noWrap w:val="0"/>
            <w:vAlign w:val="center"/>
          </w:tcPr>
          <w:p w14:paraId="1F6D40B6">
            <w:pPr>
              <w:autoSpaceDE w:val="0"/>
              <w:autoSpaceDN w:val="0"/>
              <w:adjustRightInd w:val="0"/>
              <w:rPr>
                <w:rFonts w:ascii="宋体" w:hAnsi="宋体" w:cs="Courier New"/>
                <w:color w:val="auto"/>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3F20D1EB">
            <w:pPr>
              <w:pStyle w:val="17"/>
              <w:spacing w:line="360" w:lineRule="auto"/>
              <w:rPr>
                <w:rFonts w:hAnsi="宋体" w:cs="Times New Roman"/>
                <w:color w:val="auto"/>
                <w:highlight w:val="none"/>
                <w:u w:val="single"/>
              </w:rPr>
            </w:pPr>
          </w:p>
        </w:tc>
        <w:tc>
          <w:tcPr>
            <w:tcW w:w="1022" w:type="dxa"/>
            <w:tcBorders>
              <w:top w:val="single" w:color="auto" w:sz="4" w:space="0"/>
              <w:left w:val="nil"/>
              <w:bottom w:val="single" w:color="auto" w:sz="4" w:space="0"/>
              <w:right w:val="single" w:color="auto" w:sz="4" w:space="0"/>
            </w:tcBorders>
            <w:noWrap w:val="0"/>
            <w:vAlign w:val="center"/>
          </w:tcPr>
          <w:p w14:paraId="47A50726">
            <w:pPr>
              <w:pStyle w:val="17"/>
              <w:spacing w:line="360" w:lineRule="auto"/>
              <w:rPr>
                <w:rFonts w:hAnsi="宋体" w:cs="Times New Roman"/>
                <w:color w:val="auto"/>
                <w:highlight w:val="none"/>
                <w:u w:val="single"/>
              </w:rPr>
            </w:pPr>
          </w:p>
        </w:tc>
        <w:tc>
          <w:tcPr>
            <w:tcW w:w="1459" w:type="dxa"/>
            <w:tcBorders>
              <w:top w:val="single" w:color="auto" w:sz="4" w:space="0"/>
              <w:left w:val="nil"/>
              <w:bottom w:val="single" w:color="auto" w:sz="4" w:space="0"/>
              <w:right w:val="single" w:color="auto" w:sz="4" w:space="0"/>
            </w:tcBorders>
            <w:noWrap w:val="0"/>
            <w:vAlign w:val="center"/>
          </w:tcPr>
          <w:p w14:paraId="4514B17A">
            <w:pPr>
              <w:pStyle w:val="17"/>
              <w:spacing w:line="360" w:lineRule="auto"/>
              <w:rPr>
                <w:rFonts w:hAnsi="宋体" w:cs="Times New Roman"/>
                <w:color w:val="auto"/>
                <w:highlight w:val="none"/>
              </w:rPr>
            </w:pPr>
          </w:p>
        </w:tc>
      </w:tr>
      <w:tr w14:paraId="0374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6A7CE1B9">
            <w:pPr>
              <w:pStyle w:val="17"/>
              <w:spacing w:line="360" w:lineRule="auto"/>
              <w:rPr>
                <w:rFonts w:hAnsi="宋体" w:cs="Times New Roman"/>
                <w:color w:val="auto"/>
                <w:highlight w:val="none"/>
              </w:rPr>
            </w:pPr>
            <w:r>
              <w:rPr>
                <w:rFonts w:hint="eastAsia" w:hAnsi="宋体" w:cs="Times New Roman"/>
                <w:color w:val="auto"/>
                <w:highlight w:val="none"/>
              </w:rPr>
              <w:t>3</w:t>
            </w:r>
          </w:p>
        </w:tc>
        <w:tc>
          <w:tcPr>
            <w:tcW w:w="3884" w:type="dxa"/>
            <w:tcBorders>
              <w:top w:val="single" w:color="auto" w:sz="4" w:space="0"/>
              <w:left w:val="nil"/>
              <w:bottom w:val="single" w:color="auto" w:sz="4" w:space="0"/>
              <w:right w:val="single" w:color="auto" w:sz="4" w:space="0"/>
            </w:tcBorders>
            <w:noWrap w:val="0"/>
            <w:vAlign w:val="center"/>
          </w:tcPr>
          <w:p w14:paraId="1AE9431C">
            <w:pPr>
              <w:autoSpaceDE w:val="0"/>
              <w:autoSpaceDN w:val="0"/>
              <w:adjustRightInd w:val="0"/>
              <w:rPr>
                <w:rFonts w:ascii="宋体" w:hAnsi="宋体" w:cs="Courier New"/>
                <w:color w:val="auto"/>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6D382374">
            <w:pPr>
              <w:rPr>
                <w:rFonts w:ascii="宋体" w:hAnsi="宋体" w:cs="Courier New"/>
                <w:color w:val="auto"/>
                <w:szCs w:val="21"/>
                <w:highlight w:val="none"/>
              </w:rPr>
            </w:pPr>
          </w:p>
        </w:tc>
        <w:tc>
          <w:tcPr>
            <w:tcW w:w="1022" w:type="dxa"/>
            <w:tcBorders>
              <w:top w:val="single" w:color="auto" w:sz="4" w:space="0"/>
              <w:left w:val="nil"/>
              <w:bottom w:val="single" w:color="auto" w:sz="4" w:space="0"/>
              <w:right w:val="single" w:color="auto" w:sz="4" w:space="0"/>
            </w:tcBorders>
            <w:noWrap w:val="0"/>
            <w:vAlign w:val="center"/>
          </w:tcPr>
          <w:p w14:paraId="2D58A8C5">
            <w:pPr>
              <w:pStyle w:val="17"/>
              <w:spacing w:line="360" w:lineRule="auto"/>
              <w:rPr>
                <w:rFonts w:hAnsi="宋体" w:cs="Times New Roman"/>
                <w:color w:val="auto"/>
                <w:highlight w:val="none"/>
                <w:u w:val="single"/>
              </w:rPr>
            </w:pPr>
          </w:p>
        </w:tc>
        <w:tc>
          <w:tcPr>
            <w:tcW w:w="1459" w:type="dxa"/>
            <w:tcBorders>
              <w:top w:val="single" w:color="auto" w:sz="4" w:space="0"/>
              <w:left w:val="nil"/>
              <w:bottom w:val="single" w:color="auto" w:sz="4" w:space="0"/>
              <w:right w:val="single" w:color="auto" w:sz="4" w:space="0"/>
            </w:tcBorders>
            <w:noWrap w:val="0"/>
            <w:vAlign w:val="center"/>
          </w:tcPr>
          <w:p w14:paraId="02202390">
            <w:pPr>
              <w:pStyle w:val="17"/>
              <w:spacing w:line="360" w:lineRule="auto"/>
              <w:rPr>
                <w:rFonts w:hAnsi="宋体" w:cs="Times New Roman"/>
                <w:color w:val="auto"/>
                <w:highlight w:val="none"/>
              </w:rPr>
            </w:pPr>
          </w:p>
        </w:tc>
      </w:tr>
      <w:tr w14:paraId="7604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6205FE2A">
            <w:pPr>
              <w:pStyle w:val="17"/>
              <w:spacing w:line="360" w:lineRule="auto"/>
              <w:rPr>
                <w:rFonts w:hAnsi="宋体" w:cs="Times New Roman"/>
                <w:color w:val="auto"/>
                <w:highlight w:val="none"/>
              </w:rPr>
            </w:pPr>
            <w:r>
              <w:rPr>
                <w:rFonts w:hint="eastAsia" w:hAnsi="宋体" w:cs="Times New Roman"/>
                <w:color w:val="auto"/>
                <w:highlight w:val="none"/>
              </w:rPr>
              <w:t>4</w:t>
            </w:r>
          </w:p>
        </w:tc>
        <w:tc>
          <w:tcPr>
            <w:tcW w:w="3884" w:type="dxa"/>
            <w:tcBorders>
              <w:top w:val="single" w:color="auto" w:sz="4" w:space="0"/>
              <w:left w:val="nil"/>
              <w:bottom w:val="single" w:color="auto" w:sz="4" w:space="0"/>
              <w:right w:val="single" w:color="auto" w:sz="4" w:space="0"/>
            </w:tcBorders>
            <w:noWrap w:val="0"/>
            <w:vAlign w:val="center"/>
          </w:tcPr>
          <w:p w14:paraId="1F899C10">
            <w:pPr>
              <w:autoSpaceDE w:val="0"/>
              <w:autoSpaceDN w:val="0"/>
              <w:adjustRightInd w:val="0"/>
              <w:rPr>
                <w:rFonts w:ascii="宋体" w:hAnsi="宋体" w:cs="Courier New"/>
                <w:color w:val="auto"/>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02BDDE1A">
            <w:pPr>
              <w:pStyle w:val="17"/>
              <w:spacing w:line="360" w:lineRule="auto"/>
              <w:rPr>
                <w:rFonts w:hAnsi="宋体" w:cs="Times New Roman"/>
                <w:color w:val="auto"/>
                <w:highlight w:val="none"/>
                <w:u w:val="single"/>
              </w:rPr>
            </w:pPr>
          </w:p>
        </w:tc>
        <w:tc>
          <w:tcPr>
            <w:tcW w:w="1022" w:type="dxa"/>
            <w:tcBorders>
              <w:top w:val="single" w:color="auto" w:sz="4" w:space="0"/>
              <w:left w:val="nil"/>
              <w:bottom w:val="single" w:color="auto" w:sz="4" w:space="0"/>
              <w:right w:val="single" w:color="auto" w:sz="4" w:space="0"/>
            </w:tcBorders>
            <w:noWrap w:val="0"/>
            <w:vAlign w:val="center"/>
          </w:tcPr>
          <w:p w14:paraId="1164614E">
            <w:pPr>
              <w:pStyle w:val="17"/>
              <w:spacing w:line="360" w:lineRule="auto"/>
              <w:rPr>
                <w:rFonts w:hAnsi="宋体" w:cs="Times New Roman"/>
                <w:color w:val="auto"/>
                <w:highlight w:val="none"/>
                <w:u w:val="single"/>
              </w:rPr>
            </w:pPr>
          </w:p>
        </w:tc>
        <w:tc>
          <w:tcPr>
            <w:tcW w:w="1459" w:type="dxa"/>
            <w:tcBorders>
              <w:top w:val="single" w:color="auto" w:sz="4" w:space="0"/>
              <w:left w:val="nil"/>
              <w:bottom w:val="single" w:color="auto" w:sz="4" w:space="0"/>
              <w:right w:val="single" w:color="auto" w:sz="4" w:space="0"/>
            </w:tcBorders>
            <w:noWrap w:val="0"/>
            <w:vAlign w:val="center"/>
          </w:tcPr>
          <w:p w14:paraId="447909C8">
            <w:pPr>
              <w:pStyle w:val="17"/>
              <w:spacing w:line="360" w:lineRule="auto"/>
              <w:rPr>
                <w:rFonts w:hAnsi="宋体" w:cs="Times New Roman"/>
                <w:color w:val="auto"/>
                <w:highlight w:val="none"/>
              </w:rPr>
            </w:pPr>
          </w:p>
        </w:tc>
      </w:tr>
      <w:tr w14:paraId="6376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65B86B88">
            <w:pPr>
              <w:pStyle w:val="17"/>
              <w:spacing w:line="360" w:lineRule="auto"/>
              <w:rPr>
                <w:rFonts w:hAnsi="宋体" w:cs="Times New Roman"/>
                <w:color w:val="auto"/>
                <w:highlight w:val="none"/>
              </w:rPr>
            </w:pPr>
            <w:r>
              <w:rPr>
                <w:rFonts w:hint="eastAsia" w:hAnsi="宋体" w:cs="Times New Roman"/>
                <w:color w:val="auto"/>
                <w:highlight w:val="none"/>
              </w:rPr>
              <w:t>5</w:t>
            </w:r>
          </w:p>
        </w:tc>
        <w:tc>
          <w:tcPr>
            <w:tcW w:w="3884" w:type="dxa"/>
            <w:tcBorders>
              <w:top w:val="single" w:color="auto" w:sz="4" w:space="0"/>
              <w:left w:val="nil"/>
              <w:bottom w:val="single" w:color="auto" w:sz="4" w:space="0"/>
              <w:right w:val="single" w:color="auto" w:sz="4" w:space="0"/>
            </w:tcBorders>
            <w:noWrap w:val="0"/>
            <w:vAlign w:val="center"/>
          </w:tcPr>
          <w:p w14:paraId="2907E414">
            <w:pPr>
              <w:autoSpaceDE w:val="0"/>
              <w:autoSpaceDN w:val="0"/>
              <w:adjustRightInd w:val="0"/>
              <w:rPr>
                <w:rFonts w:ascii="宋体" w:hAnsi="宋体" w:cs="Courier New"/>
                <w:color w:val="auto"/>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571A14FF">
            <w:pPr>
              <w:pStyle w:val="17"/>
              <w:spacing w:line="360" w:lineRule="auto"/>
              <w:rPr>
                <w:rFonts w:hAnsi="宋体" w:cs="Times New Roman"/>
                <w:color w:val="auto"/>
                <w:highlight w:val="none"/>
                <w:u w:val="single"/>
              </w:rPr>
            </w:pPr>
          </w:p>
        </w:tc>
        <w:tc>
          <w:tcPr>
            <w:tcW w:w="1022" w:type="dxa"/>
            <w:tcBorders>
              <w:top w:val="single" w:color="auto" w:sz="4" w:space="0"/>
              <w:left w:val="nil"/>
              <w:bottom w:val="single" w:color="auto" w:sz="4" w:space="0"/>
              <w:right w:val="single" w:color="auto" w:sz="4" w:space="0"/>
            </w:tcBorders>
            <w:noWrap w:val="0"/>
            <w:vAlign w:val="center"/>
          </w:tcPr>
          <w:p w14:paraId="1C78C792">
            <w:pPr>
              <w:pStyle w:val="17"/>
              <w:spacing w:line="360" w:lineRule="auto"/>
              <w:rPr>
                <w:rFonts w:hAnsi="宋体" w:cs="Times New Roman"/>
                <w:color w:val="auto"/>
                <w:highlight w:val="none"/>
                <w:u w:val="single"/>
              </w:rPr>
            </w:pPr>
          </w:p>
        </w:tc>
        <w:tc>
          <w:tcPr>
            <w:tcW w:w="1459" w:type="dxa"/>
            <w:tcBorders>
              <w:top w:val="single" w:color="auto" w:sz="4" w:space="0"/>
              <w:left w:val="nil"/>
              <w:bottom w:val="single" w:color="auto" w:sz="4" w:space="0"/>
              <w:right w:val="single" w:color="auto" w:sz="4" w:space="0"/>
            </w:tcBorders>
            <w:noWrap w:val="0"/>
            <w:vAlign w:val="center"/>
          </w:tcPr>
          <w:p w14:paraId="563287AD">
            <w:pPr>
              <w:pStyle w:val="17"/>
              <w:spacing w:line="360" w:lineRule="auto"/>
              <w:rPr>
                <w:rFonts w:hAnsi="宋体" w:cs="Times New Roman"/>
                <w:color w:val="auto"/>
                <w:highlight w:val="none"/>
              </w:rPr>
            </w:pPr>
          </w:p>
        </w:tc>
      </w:tr>
      <w:tr w14:paraId="1563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07DD3F0D">
            <w:pPr>
              <w:pStyle w:val="17"/>
              <w:spacing w:line="360" w:lineRule="auto"/>
              <w:rPr>
                <w:rFonts w:hAnsi="宋体" w:cs="Times New Roman"/>
                <w:color w:val="auto"/>
                <w:highlight w:val="none"/>
              </w:rPr>
            </w:pPr>
            <w:r>
              <w:rPr>
                <w:rFonts w:hint="eastAsia" w:hAnsi="宋体" w:cs="Times New Roman"/>
                <w:color w:val="auto"/>
                <w:highlight w:val="none"/>
              </w:rPr>
              <w:t>6</w:t>
            </w:r>
          </w:p>
        </w:tc>
        <w:tc>
          <w:tcPr>
            <w:tcW w:w="3884" w:type="dxa"/>
            <w:tcBorders>
              <w:top w:val="single" w:color="auto" w:sz="4" w:space="0"/>
              <w:left w:val="nil"/>
              <w:bottom w:val="single" w:color="auto" w:sz="4" w:space="0"/>
              <w:right w:val="single" w:color="auto" w:sz="4" w:space="0"/>
            </w:tcBorders>
            <w:noWrap w:val="0"/>
            <w:vAlign w:val="center"/>
          </w:tcPr>
          <w:p w14:paraId="6FBF2B0C">
            <w:pPr>
              <w:autoSpaceDE w:val="0"/>
              <w:autoSpaceDN w:val="0"/>
              <w:adjustRightInd w:val="0"/>
              <w:rPr>
                <w:rFonts w:ascii="宋体" w:hAnsi="宋体" w:cs="Courier New"/>
                <w:color w:val="auto"/>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1CB8A997">
            <w:pPr>
              <w:pStyle w:val="17"/>
              <w:spacing w:line="360" w:lineRule="auto"/>
              <w:rPr>
                <w:rFonts w:hAnsi="宋体" w:cs="Times New Roman"/>
                <w:color w:val="auto"/>
                <w:highlight w:val="none"/>
                <w:u w:val="single"/>
              </w:rPr>
            </w:pPr>
          </w:p>
        </w:tc>
        <w:tc>
          <w:tcPr>
            <w:tcW w:w="1022" w:type="dxa"/>
            <w:tcBorders>
              <w:top w:val="single" w:color="auto" w:sz="4" w:space="0"/>
              <w:left w:val="nil"/>
              <w:bottom w:val="single" w:color="auto" w:sz="4" w:space="0"/>
              <w:right w:val="single" w:color="auto" w:sz="4" w:space="0"/>
            </w:tcBorders>
            <w:noWrap w:val="0"/>
            <w:vAlign w:val="center"/>
          </w:tcPr>
          <w:p w14:paraId="6B75D04A">
            <w:pPr>
              <w:pStyle w:val="17"/>
              <w:spacing w:line="360" w:lineRule="auto"/>
              <w:rPr>
                <w:rFonts w:hAnsi="宋体" w:cs="Times New Roman"/>
                <w:color w:val="auto"/>
                <w:highlight w:val="none"/>
                <w:u w:val="single"/>
              </w:rPr>
            </w:pPr>
          </w:p>
        </w:tc>
        <w:tc>
          <w:tcPr>
            <w:tcW w:w="1459" w:type="dxa"/>
            <w:tcBorders>
              <w:top w:val="single" w:color="auto" w:sz="4" w:space="0"/>
              <w:left w:val="nil"/>
              <w:bottom w:val="single" w:color="auto" w:sz="4" w:space="0"/>
              <w:right w:val="single" w:color="auto" w:sz="4" w:space="0"/>
            </w:tcBorders>
            <w:noWrap w:val="0"/>
            <w:vAlign w:val="center"/>
          </w:tcPr>
          <w:p w14:paraId="5DA231D3">
            <w:pPr>
              <w:pStyle w:val="17"/>
              <w:spacing w:line="360" w:lineRule="auto"/>
              <w:rPr>
                <w:rFonts w:hAnsi="宋体" w:cs="Times New Roman"/>
                <w:color w:val="auto"/>
                <w:highlight w:val="none"/>
              </w:rPr>
            </w:pPr>
          </w:p>
        </w:tc>
      </w:tr>
      <w:tr w14:paraId="134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47F3B056">
            <w:pPr>
              <w:pStyle w:val="17"/>
              <w:spacing w:line="360" w:lineRule="auto"/>
              <w:rPr>
                <w:rFonts w:hAnsi="宋体" w:cs="Times New Roman"/>
                <w:color w:val="auto"/>
                <w:highlight w:val="none"/>
              </w:rPr>
            </w:pPr>
            <w:r>
              <w:rPr>
                <w:rFonts w:hint="eastAsia" w:hAnsi="宋体" w:cs="Times New Roman"/>
                <w:color w:val="auto"/>
                <w:highlight w:val="none"/>
              </w:rPr>
              <w:t>7</w:t>
            </w:r>
          </w:p>
        </w:tc>
        <w:tc>
          <w:tcPr>
            <w:tcW w:w="3884" w:type="dxa"/>
            <w:tcBorders>
              <w:top w:val="single" w:color="auto" w:sz="4" w:space="0"/>
              <w:left w:val="nil"/>
              <w:bottom w:val="single" w:color="auto" w:sz="4" w:space="0"/>
              <w:right w:val="single" w:color="auto" w:sz="4" w:space="0"/>
            </w:tcBorders>
            <w:noWrap w:val="0"/>
            <w:vAlign w:val="center"/>
          </w:tcPr>
          <w:p w14:paraId="08183B86">
            <w:pPr>
              <w:autoSpaceDE w:val="0"/>
              <w:autoSpaceDN w:val="0"/>
              <w:adjustRightInd w:val="0"/>
              <w:rPr>
                <w:rFonts w:ascii="宋体" w:hAnsi="宋体" w:cs="Courier New"/>
                <w:color w:val="auto"/>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4C3EB485">
            <w:pPr>
              <w:pStyle w:val="17"/>
              <w:spacing w:line="360" w:lineRule="auto"/>
              <w:rPr>
                <w:rFonts w:hAnsi="宋体" w:cs="Times New Roman"/>
                <w:color w:val="auto"/>
                <w:highlight w:val="none"/>
                <w:u w:val="single"/>
              </w:rPr>
            </w:pPr>
          </w:p>
        </w:tc>
        <w:tc>
          <w:tcPr>
            <w:tcW w:w="1022" w:type="dxa"/>
            <w:tcBorders>
              <w:top w:val="single" w:color="auto" w:sz="4" w:space="0"/>
              <w:left w:val="nil"/>
              <w:bottom w:val="single" w:color="auto" w:sz="4" w:space="0"/>
              <w:right w:val="single" w:color="auto" w:sz="4" w:space="0"/>
            </w:tcBorders>
            <w:noWrap w:val="0"/>
            <w:vAlign w:val="center"/>
          </w:tcPr>
          <w:p w14:paraId="77D611BA">
            <w:pPr>
              <w:pStyle w:val="17"/>
              <w:spacing w:line="360" w:lineRule="auto"/>
              <w:rPr>
                <w:rFonts w:hAnsi="宋体" w:cs="Times New Roman"/>
                <w:color w:val="auto"/>
                <w:highlight w:val="none"/>
                <w:u w:val="single"/>
              </w:rPr>
            </w:pPr>
          </w:p>
        </w:tc>
        <w:tc>
          <w:tcPr>
            <w:tcW w:w="1459" w:type="dxa"/>
            <w:tcBorders>
              <w:top w:val="single" w:color="auto" w:sz="4" w:space="0"/>
              <w:left w:val="nil"/>
              <w:bottom w:val="single" w:color="auto" w:sz="4" w:space="0"/>
              <w:right w:val="single" w:color="auto" w:sz="4" w:space="0"/>
            </w:tcBorders>
            <w:noWrap w:val="0"/>
            <w:vAlign w:val="center"/>
          </w:tcPr>
          <w:p w14:paraId="4F6A1069">
            <w:pPr>
              <w:pStyle w:val="17"/>
              <w:spacing w:line="360" w:lineRule="auto"/>
              <w:rPr>
                <w:rFonts w:hAnsi="宋体" w:cs="Times New Roman"/>
                <w:color w:val="auto"/>
                <w:highlight w:val="none"/>
              </w:rPr>
            </w:pPr>
          </w:p>
        </w:tc>
      </w:tr>
      <w:tr w14:paraId="1FA3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57DFF192">
            <w:pPr>
              <w:pStyle w:val="17"/>
              <w:spacing w:line="360" w:lineRule="auto"/>
              <w:rPr>
                <w:rFonts w:hAnsi="宋体" w:cs="Times New Roman"/>
                <w:color w:val="auto"/>
                <w:highlight w:val="none"/>
              </w:rPr>
            </w:pPr>
            <w:r>
              <w:rPr>
                <w:rFonts w:hint="eastAsia" w:hAnsi="宋体" w:cs="Times New Roman"/>
                <w:color w:val="auto"/>
                <w:highlight w:val="none"/>
              </w:rPr>
              <w:t>8</w:t>
            </w:r>
          </w:p>
        </w:tc>
        <w:tc>
          <w:tcPr>
            <w:tcW w:w="3884" w:type="dxa"/>
            <w:tcBorders>
              <w:top w:val="single" w:color="auto" w:sz="4" w:space="0"/>
              <w:left w:val="nil"/>
              <w:bottom w:val="single" w:color="auto" w:sz="4" w:space="0"/>
              <w:right w:val="single" w:color="auto" w:sz="4" w:space="0"/>
            </w:tcBorders>
            <w:noWrap w:val="0"/>
            <w:vAlign w:val="center"/>
          </w:tcPr>
          <w:p w14:paraId="44548640">
            <w:pPr>
              <w:autoSpaceDE w:val="0"/>
              <w:autoSpaceDN w:val="0"/>
              <w:adjustRightInd w:val="0"/>
              <w:rPr>
                <w:rFonts w:ascii="宋体" w:hAnsi="宋体" w:cs="Courier New"/>
                <w:color w:val="auto"/>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5308CA17">
            <w:pPr>
              <w:pStyle w:val="17"/>
              <w:spacing w:line="360" w:lineRule="auto"/>
              <w:rPr>
                <w:rFonts w:hAnsi="宋体" w:cs="Times New Roman"/>
                <w:color w:val="auto"/>
                <w:highlight w:val="none"/>
                <w:u w:val="single"/>
              </w:rPr>
            </w:pPr>
          </w:p>
        </w:tc>
        <w:tc>
          <w:tcPr>
            <w:tcW w:w="1022" w:type="dxa"/>
            <w:tcBorders>
              <w:top w:val="single" w:color="auto" w:sz="4" w:space="0"/>
              <w:left w:val="nil"/>
              <w:bottom w:val="single" w:color="auto" w:sz="4" w:space="0"/>
              <w:right w:val="single" w:color="auto" w:sz="4" w:space="0"/>
            </w:tcBorders>
            <w:noWrap w:val="0"/>
            <w:vAlign w:val="center"/>
          </w:tcPr>
          <w:p w14:paraId="25149689">
            <w:pPr>
              <w:pStyle w:val="17"/>
              <w:spacing w:line="360" w:lineRule="auto"/>
              <w:rPr>
                <w:rFonts w:hAnsi="宋体" w:cs="Times New Roman"/>
                <w:color w:val="auto"/>
                <w:highlight w:val="none"/>
                <w:u w:val="single"/>
              </w:rPr>
            </w:pPr>
          </w:p>
        </w:tc>
        <w:tc>
          <w:tcPr>
            <w:tcW w:w="1459" w:type="dxa"/>
            <w:tcBorders>
              <w:top w:val="single" w:color="auto" w:sz="4" w:space="0"/>
              <w:left w:val="nil"/>
              <w:bottom w:val="single" w:color="auto" w:sz="4" w:space="0"/>
              <w:right w:val="single" w:color="auto" w:sz="4" w:space="0"/>
            </w:tcBorders>
            <w:noWrap w:val="0"/>
            <w:vAlign w:val="center"/>
          </w:tcPr>
          <w:p w14:paraId="4611F67A">
            <w:pPr>
              <w:pStyle w:val="17"/>
              <w:spacing w:line="360" w:lineRule="auto"/>
              <w:rPr>
                <w:rFonts w:hAnsi="宋体" w:cs="Times New Roman"/>
                <w:color w:val="auto"/>
                <w:highlight w:val="none"/>
              </w:rPr>
            </w:pPr>
          </w:p>
        </w:tc>
      </w:tr>
      <w:tr w14:paraId="52AD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092A95BD">
            <w:pPr>
              <w:pStyle w:val="17"/>
              <w:spacing w:line="360" w:lineRule="auto"/>
              <w:rPr>
                <w:rFonts w:hAnsi="宋体" w:cs="Times New Roman"/>
                <w:color w:val="auto"/>
                <w:highlight w:val="none"/>
              </w:rPr>
            </w:pPr>
            <w:r>
              <w:rPr>
                <w:rFonts w:hint="eastAsia" w:hAnsi="宋体" w:cs="Times New Roman"/>
                <w:color w:val="auto"/>
                <w:highlight w:val="none"/>
              </w:rPr>
              <w:t>9</w:t>
            </w:r>
          </w:p>
        </w:tc>
        <w:tc>
          <w:tcPr>
            <w:tcW w:w="3884" w:type="dxa"/>
            <w:tcBorders>
              <w:top w:val="single" w:color="auto" w:sz="4" w:space="0"/>
              <w:left w:val="nil"/>
              <w:bottom w:val="single" w:color="auto" w:sz="4" w:space="0"/>
              <w:right w:val="single" w:color="auto" w:sz="4" w:space="0"/>
            </w:tcBorders>
            <w:noWrap w:val="0"/>
            <w:vAlign w:val="center"/>
          </w:tcPr>
          <w:p w14:paraId="77BF2208">
            <w:pPr>
              <w:autoSpaceDE w:val="0"/>
              <w:autoSpaceDN w:val="0"/>
              <w:adjustRightInd w:val="0"/>
              <w:rPr>
                <w:rFonts w:ascii="宋体" w:hAnsi="宋体" w:cs="Courier New"/>
                <w:color w:val="auto"/>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23049C9A">
            <w:pPr>
              <w:pStyle w:val="17"/>
              <w:spacing w:line="360" w:lineRule="auto"/>
              <w:rPr>
                <w:rFonts w:hAnsi="宋体" w:cs="Times New Roman"/>
                <w:color w:val="auto"/>
                <w:highlight w:val="none"/>
                <w:u w:val="single"/>
              </w:rPr>
            </w:pPr>
          </w:p>
        </w:tc>
        <w:tc>
          <w:tcPr>
            <w:tcW w:w="1022" w:type="dxa"/>
            <w:tcBorders>
              <w:top w:val="single" w:color="auto" w:sz="4" w:space="0"/>
              <w:left w:val="nil"/>
              <w:bottom w:val="single" w:color="auto" w:sz="4" w:space="0"/>
              <w:right w:val="single" w:color="auto" w:sz="4" w:space="0"/>
            </w:tcBorders>
            <w:noWrap w:val="0"/>
            <w:vAlign w:val="center"/>
          </w:tcPr>
          <w:p w14:paraId="0E54CF27">
            <w:pPr>
              <w:pStyle w:val="17"/>
              <w:spacing w:line="360" w:lineRule="auto"/>
              <w:rPr>
                <w:rFonts w:hAnsi="宋体" w:cs="Times New Roman"/>
                <w:color w:val="auto"/>
                <w:highlight w:val="none"/>
                <w:u w:val="single"/>
              </w:rPr>
            </w:pPr>
          </w:p>
        </w:tc>
        <w:tc>
          <w:tcPr>
            <w:tcW w:w="1459" w:type="dxa"/>
            <w:tcBorders>
              <w:top w:val="single" w:color="auto" w:sz="4" w:space="0"/>
              <w:left w:val="nil"/>
              <w:bottom w:val="single" w:color="auto" w:sz="4" w:space="0"/>
              <w:right w:val="single" w:color="auto" w:sz="4" w:space="0"/>
            </w:tcBorders>
            <w:noWrap w:val="0"/>
            <w:vAlign w:val="center"/>
          </w:tcPr>
          <w:p w14:paraId="69E24E02">
            <w:pPr>
              <w:pStyle w:val="17"/>
              <w:spacing w:line="360" w:lineRule="auto"/>
              <w:rPr>
                <w:rFonts w:hAnsi="宋体" w:cs="Times New Roman"/>
                <w:color w:val="auto"/>
                <w:highlight w:val="none"/>
              </w:rPr>
            </w:pPr>
          </w:p>
        </w:tc>
      </w:tr>
      <w:tr w14:paraId="188F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709" w:type="dxa"/>
            <w:gridSpan w:val="5"/>
            <w:tcBorders>
              <w:top w:val="single" w:color="auto" w:sz="4" w:space="0"/>
              <w:left w:val="single" w:color="auto" w:sz="4" w:space="0"/>
              <w:bottom w:val="single" w:color="auto" w:sz="4" w:space="0"/>
              <w:right w:val="single" w:color="auto" w:sz="4" w:space="0"/>
            </w:tcBorders>
            <w:noWrap w:val="0"/>
            <w:vAlign w:val="center"/>
          </w:tcPr>
          <w:p w14:paraId="1E3D3EEF">
            <w:pPr>
              <w:pStyle w:val="17"/>
              <w:ind w:left="630" w:hanging="630"/>
              <w:rPr>
                <w:rFonts w:hAnsi="宋体" w:cs="Times New Roman"/>
                <w:color w:val="auto"/>
                <w:highlight w:val="none"/>
              </w:rPr>
            </w:pPr>
            <w:r>
              <w:rPr>
                <w:rFonts w:hint="eastAsia" w:hAnsi="宋体" w:cs="Times New Roman"/>
                <w:color w:val="auto"/>
                <w:highlight w:val="none"/>
              </w:rPr>
              <w:t>总计：</w:t>
            </w:r>
          </w:p>
        </w:tc>
      </w:tr>
    </w:tbl>
    <w:p w14:paraId="608F37DF">
      <w:pPr>
        <w:pStyle w:val="17"/>
        <w:ind w:left="630" w:hanging="630"/>
        <w:rPr>
          <w:rFonts w:ascii="Times New Roman" w:hAnsi="Times New Roman" w:cs="Times New Roman"/>
          <w:color w:val="auto"/>
          <w:highlight w:val="none"/>
        </w:rPr>
      </w:pPr>
      <w:r>
        <w:rPr>
          <w:rFonts w:hint="eastAsia" w:hAnsi="宋体" w:cs="Times New Roman"/>
          <w:color w:val="auto"/>
          <w:highlight w:val="none"/>
        </w:rPr>
        <w:t>注：</w:t>
      </w:r>
    </w:p>
    <w:p w14:paraId="19E30836">
      <w:pPr>
        <w:rPr>
          <w:rFonts w:ascii="宋体" w:hAnsi="宋体" w:cs="Courier New"/>
          <w:color w:val="auto"/>
          <w:highlight w:val="none"/>
        </w:rPr>
      </w:pPr>
      <w:r>
        <w:rPr>
          <w:rFonts w:hint="eastAsia" w:ascii="宋体" w:hAnsi="宋体"/>
          <w:color w:val="auto"/>
          <w:highlight w:val="none"/>
        </w:rPr>
        <w:t>1）此表为服务费投标报价之明细表，如果单价与总价不符时，以单价为准，修正总价。</w:t>
      </w:r>
    </w:p>
    <w:p w14:paraId="320BB740">
      <w:pPr>
        <w:jc w:val="left"/>
        <w:rPr>
          <w:rFonts w:ascii="宋体" w:hAnsi="宋体"/>
          <w:b/>
          <w:color w:val="auto"/>
          <w:sz w:val="24"/>
          <w:highlight w:val="none"/>
        </w:rPr>
      </w:pPr>
      <w:r>
        <w:rPr>
          <w:rFonts w:hint="eastAsia" w:ascii="宋体" w:hAnsi="宋体"/>
          <w:color w:val="auto"/>
          <w:highlight w:val="none"/>
        </w:rPr>
        <w:t>2）</w:t>
      </w:r>
      <w:r>
        <w:rPr>
          <w:rFonts w:hint="eastAsia" w:ascii="宋体" w:hAnsi="宋体" w:cs="宋体"/>
          <w:bCs/>
          <w:color w:val="auto"/>
          <w:spacing w:val="6"/>
          <w:szCs w:val="21"/>
          <w:highlight w:val="none"/>
        </w:rPr>
        <w:t>投标报价应包括</w:t>
      </w:r>
      <w:r>
        <w:rPr>
          <w:rFonts w:hint="eastAsia"/>
          <w:color w:val="auto"/>
          <w:szCs w:val="21"/>
          <w:highlight w:val="none"/>
        </w:rPr>
        <w:t>完成用户需求书全部内容所需的一切含税费用：即包括但不限于各种人工费用、物料费用、管理费用、不可预见费、税费、利润</w:t>
      </w:r>
      <w:r>
        <w:rPr>
          <w:rFonts w:hint="eastAsia" w:ascii="宋体" w:hAnsi="宋体" w:cs="宋体"/>
          <w:bCs/>
          <w:color w:val="auto"/>
          <w:spacing w:val="6"/>
          <w:szCs w:val="21"/>
          <w:highlight w:val="none"/>
        </w:rPr>
        <w:t>及其他合同实施过程中的所有费用</w:t>
      </w:r>
      <w:r>
        <w:rPr>
          <w:rFonts w:hint="eastAsia"/>
          <w:color w:val="auto"/>
          <w:szCs w:val="21"/>
          <w:highlight w:val="none"/>
        </w:rPr>
        <w:t>。</w:t>
      </w:r>
      <w:r>
        <w:rPr>
          <w:rFonts w:hint="eastAsia" w:ascii="宋体" w:hAnsi="宋体"/>
          <w:color w:val="auto"/>
          <w:highlight w:val="none"/>
        </w:rPr>
        <w:t>投标人漏报或不报部分的费用已包括在已报的分项报价中不予支付。</w:t>
      </w:r>
    </w:p>
    <w:p w14:paraId="4E3D4352">
      <w:pPr>
        <w:adjustRightInd w:val="0"/>
        <w:snapToGrid w:val="0"/>
        <w:spacing w:line="300" w:lineRule="auto"/>
        <w:rPr>
          <w:rFonts w:hint="eastAsia" w:ascii="宋体" w:hAnsi="宋体"/>
          <w:color w:val="auto"/>
          <w:sz w:val="28"/>
          <w:szCs w:val="28"/>
          <w:highlight w:val="none"/>
        </w:rPr>
      </w:pPr>
    </w:p>
    <w:p w14:paraId="1A96F429">
      <w:pPr>
        <w:pStyle w:val="12"/>
        <w:rPr>
          <w:rFonts w:hint="eastAsia" w:ascii="宋体" w:hAnsi="宋体"/>
          <w:color w:val="auto"/>
          <w:sz w:val="28"/>
          <w:szCs w:val="28"/>
          <w:highlight w:val="none"/>
        </w:rPr>
      </w:pPr>
    </w:p>
    <w:p w14:paraId="3B5475A0">
      <w:pPr>
        <w:wordWrap/>
        <w:adjustRightInd w:val="0"/>
        <w:snapToGrid w:val="0"/>
        <w:jc w:val="left"/>
        <w:rPr>
          <w:rFonts w:hint="eastAsia" w:ascii="宋体" w:hAnsi="宋体"/>
          <w:color w:val="auto"/>
          <w:szCs w:val="21"/>
          <w:highlight w:val="none"/>
        </w:rPr>
      </w:pPr>
      <w:r>
        <w:rPr>
          <w:rFonts w:hint="eastAsia" w:ascii="宋体" w:hAnsi="宋体"/>
          <w:color w:val="auto"/>
          <w:szCs w:val="21"/>
          <w:highlight w:val="none"/>
        </w:rPr>
        <w:t xml:space="preserve">投标人法定代表人/负责人（或法定代表人/负责人授权代表）签字：      </w:t>
      </w:r>
    </w:p>
    <w:p w14:paraId="3597696A">
      <w:pPr>
        <w:wordWrap/>
        <w:adjustRightInd w:val="0"/>
        <w:snapToGrid w:val="0"/>
        <w:jc w:val="left"/>
        <w:rPr>
          <w:rFonts w:hint="eastAsia" w:ascii="宋体" w:hAnsi="宋体"/>
          <w:color w:val="auto"/>
          <w:szCs w:val="21"/>
          <w:highlight w:val="none"/>
        </w:rPr>
      </w:pPr>
    </w:p>
    <w:p w14:paraId="187500F8">
      <w:pPr>
        <w:wordWrap/>
        <w:adjustRightInd w:val="0"/>
        <w:snapToGrid w:val="0"/>
        <w:jc w:val="left"/>
        <w:rPr>
          <w:rFonts w:hint="eastAsia" w:ascii="宋体" w:hAnsi="宋体"/>
          <w:color w:val="auto"/>
          <w:szCs w:val="21"/>
          <w:highlight w:val="none"/>
          <w:u w:val="single"/>
        </w:rPr>
      </w:pPr>
      <w:r>
        <w:rPr>
          <w:rFonts w:hint="eastAsia" w:ascii="宋体" w:hAnsi="宋体"/>
          <w:color w:val="auto"/>
          <w:szCs w:val="21"/>
          <w:highlight w:val="none"/>
        </w:rPr>
        <w:t xml:space="preserve">投标人名称（加盖公章）：      </w:t>
      </w:r>
    </w:p>
    <w:p w14:paraId="6701C276">
      <w:pPr>
        <w:wordWrap/>
        <w:jc w:val="left"/>
        <w:rPr>
          <w:rFonts w:hint="eastAsia" w:ascii="宋体" w:hAnsi="宋体"/>
          <w:color w:val="auto"/>
          <w:szCs w:val="21"/>
          <w:highlight w:val="none"/>
        </w:rPr>
      </w:pPr>
    </w:p>
    <w:p w14:paraId="56B0FD4B">
      <w:pPr>
        <w:rPr>
          <w:rFonts w:hint="eastAsia"/>
          <w:color w:val="auto"/>
          <w:highlight w:val="none"/>
        </w:rPr>
      </w:pPr>
      <w:r>
        <w:rPr>
          <w:rFonts w:hint="eastAsia" w:ascii="宋体" w:hAnsi="宋体"/>
          <w:color w:val="auto"/>
          <w:szCs w:val="21"/>
          <w:highlight w:val="none"/>
        </w:rPr>
        <w:t xml:space="preserve">日期：   年   月   日 </w:t>
      </w:r>
    </w:p>
    <w:p w14:paraId="4926FAD7">
      <w:pPr>
        <w:rPr>
          <w:color w:val="auto"/>
          <w:highlight w:val="none"/>
        </w:rPr>
      </w:pPr>
    </w:p>
    <w:p w14:paraId="2CD05AF5">
      <w:pPr>
        <w:rPr>
          <w:color w:val="auto"/>
          <w:highlight w:val="none"/>
        </w:rPr>
      </w:pPr>
    </w:p>
    <w:sectPr>
      <w:footerReference r:id="rId8" w:type="default"/>
      <w:pgSz w:w="11906" w:h="16838"/>
      <w:pgMar w:top="1440" w:right="1803" w:bottom="1440" w:left="180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3B0EC2-D494-41F8-873E-531C1C838690}"/>
  </w:font>
  <w:font w:name="黑体">
    <w:panose1 w:val="02010609060101010101"/>
    <w:charset w:val="86"/>
    <w:family w:val="auto"/>
    <w:pitch w:val="default"/>
    <w:sig w:usb0="800002BF" w:usb1="38CF7CFA" w:usb2="00000016" w:usb3="00000000" w:csb0="00040001" w:csb1="00000000"/>
    <w:embedRegular r:id="rId2" w:fontKey="{5ED1C019-293C-4B80-B07F-83D60C1FC9AB}"/>
  </w:font>
  <w:font w:name="Courier New">
    <w:panose1 w:val="02070309020205020404"/>
    <w:charset w:val="01"/>
    <w:family w:val="modern"/>
    <w:pitch w:val="default"/>
    <w:sig w:usb0="E0002EFF" w:usb1="C0007843" w:usb2="00000009" w:usb3="00000000" w:csb0="400001FF" w:csb1="FFFF0000"/>
    <w:embedRegular r:id="rId3" w:fontKey="{F1812636-F79E-4EF8-817D-85156FE9327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D6740E99-1D1E-4668-BE98-6738F15153DF}"/>
  </w:font>
  <w:font w:name="微软雅黑">
    <w:panose1 w:val="020B0503020204020204"/>
    <w:charset w:val="86"/>
    <w:family w:val="swiss"/>
    <w:pitch w:val="default"/>
    <w:sig w:usb0="80000287" w:usb1="2ACF3C50" w:usb2="00000016" w:usb3="00000000" w:csb0="0004001F" w:csb1="00000000"/>
    <w:embedRegular r:id="rId5" w:fontKey="{4CA9A657-9DB8-4C27-9130-D8403D136561}"/>
  </w:font>
  <w:font w:name="仿宋_GB2312">
    <w:panose1 w:val="02010609030101010101"/>
    <w:charset w:val="86"/>
    <w:family w:val="modern"/>
    <w:pitch w:val="default"/>
    <w:sig w:usb0="00000001" w:usb1="080E0000" w:usb2="00000000" w:usb3="00000000" w:csb0="00040000" w:csb1="00000000"/>
    <w:embedRegular r:id="rId6" w:fontKey="{EA0AA0F9-11B4-460F-AA2F-39CC44385BFA}"/>
  </w:font>
  <w:font w:name="仿宋">
    <w:panose1 w:val="02010609060101010101"/>
    <w:charset w:val="86"/>
    <w:family w:val="auto"/>
    <w:pitch w:val="default"/>
    <w:sig w:usb0="800002BF" w:usb1="38CF7CFA" w:usb2="00000016" w:usb3="00000000" w:csb0="00040001" w:csb1="00000000"/>
    <w:embedRegular r:id="rId7" w:fontKey="{98DC00D8-D93B-4104-9101-F19AD1F5CFD2}"/>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阿里巴巴普惠体 Heavy">
    <w:altName w:val="宋体"/>
    <w:panose1 w:val="00000000000000000000"/>
    <w:charset w:val="86"/>
    <w:family w:val="roman"/>
    <w:pitch w:val="default"/>
    <w:sig w:usb0="00000000" w:usb1="00000000" w:usb2="0000001E" w:usb3="00000000" w:csb0="0004009F" w:csb1="00000000"/>
    <w:embedRegular r:id="rId8" w:fontKey="{7661A609-D857-4D76-85F8-7362067BF339}"/>
  </w:font>
  <w:font w:name="阿里巴巴普惠体 Light">
    <w:altName w:val="宋体"/>
    <w:panose1 w:val="00000000000000000000"/>
    <w:charset w:val="86"/>
    <w:family w:val="roman"/>
    <w:pitch w:val="default"/>
    <w:sig w:usb0="00000000" w:usb1="00000000" w:usb2="0000001E" w:usb3="00000000" w:csb0="0004009F" w:csb1="00000000"/>
    <w:embedRegular r:id="rId9" w:fontKey="{192925B2-0043-4BC9-A419-B3CE98F5A064}"/>
  </w:font>
  <w:font w:name="华文中宋">
    <w:panose1 w:val="02010600040101010101"/>
    <w:charset w:val="86"/>
    <w:family w:val="auto"/>
    <w:pitch w:val="default"/>
    <w:sig w:usb0="00000287" w:usb1="080F0000" w:usb2="00000000" w:usb3="00000000" w:csb0="0004009F" w:csb1="DFD70000"/>
    <w:embedRegular r:id="rId10" w:fontKey="{A5F9F795-CC67-4AA2-A53F-59D3FC1DADC7}"/>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813E6">
    <w:pPr>
      <w:pStyle w:val="21"/>
      <w:ind w:right="360"/>
    </w:pPr>
    <w:r>
      <w:rPr>
        <w:kern w:val="0"/>
        <w:sz w:val="20"/>
        <w:szCs w:val="21"/>
      </w:rPr>
      <mc:AlternateContent>
        <mc:Choice Requires="wps">
          <w:drawing>
            <wp:anchor distT="0" distB="0" distL="114300" distR="114300" simplePos="0" relativeHeight="251663360"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6"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14:paraId="09176445">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432pt;margin-top:-4.2pt;height:23.4pt;width:90pt;z-index:251663360;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UqFA9YAAAAKAQAADwAAAAAAAAABACAAAAAi&#10;AAAAZHJzL2Rvd25yZXYueG1sUEsBAhQAFAAAAAgAh07iQFlXNQIMAgAAIwQAAA4AAAAAAAAAAQAg&#10;AAAAJQEAAGRycy9lMm9Eb2MueG1sUEsFBgAAAAAGAAYAWQEAAKMFAAAAAA==&#10;">
              <v:fill on="f" focussize="0,0"/>
              <v:stroke on="f"/>
              <v:imagedata o:title=""/>
              <o:lock v:ext="edit" aspectratio="f"/>
              <v:textbox>
                <w:txbxContent>
                  <w:p w14:paraId="09176445">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FC1F">
    <w:pPr>
      <w:pStyle w:val="21"/>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14:paraId="6DB55165">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EAF0">
    <w:pPr>
      <w:pStyle w:val="2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92D3">
    <w:pPr>
      <w:pStyle w:val="21"/>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CCD68">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FCCD68">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B1FC">
    <w:pPr>
      <w:pStyle w:val="22"/>
      <w:tabs>
        <w:tab w:val="left" w:pos="1350"/>
        <w:tab w:val="clear" w:pos="4153"/>
        <w:tab w:val="clear" w:pos="83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718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99"/>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2CEEF1D"/>
    <w:multiLevelType w:val="singleLevel"/>
    <w:tmpl w:val="22CEEF1D"/>
    <w:lvl w:ilvl="0" w:tentative="0">
      <w:start w:val="1"/>
      <w:numFmt w:val="decimal"/>
      <w:lvlText w:val="(%1)"/>
      <w:lvlJc w:val="left"/>
      <w:pPr>
        <w:tabs>
          <w:tab w:val="left" w:pos="312"/>
        </w:tabs>
      </w:pPr>
    </w:lvl>
  </w:abstractNum>
  <w:abstractNum w:abstractNumId="2">
    <w:nsid w:val="49849039"/>
    <w:multiLevelType w:val="singleLevel"/>
    <w:tmpl w:val="49849039"/>
    <w:lvl w:ilvl="0" w:tentative="0">
      <w:start w:val="1"/>
      <w:numFmt w:val="decimal"/>
      <w:suff w:val="nothing"/>
      <w:lvlText w:val="（%1）"/>
      <w:lvlJc w:val="left"/>
    </w:lvl>
  </w:abstractNum>
  <w:abstractNum w:abstractNumId="3">
    <w:nsid w:val="5C1565D0"/>
    <w:multiLevelType w:val="multilevel"/>
    <w:tmpl w:val="5C1565D0"/>
    <w:lvl w:ilvl="0" w:tentative="0">
      <w:start w:val="1"/>
      <w:numFmt w:val="bullet"/>
      <w:pStyle w:val="56"/>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abstractNum w:abstractNumId="4">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99AA369"/>
    <w:multiLevelType w:val="singleLevel"/>
    <w:tmpl w:val="799AA369"/>
    <w:lvl w:ilvl="0" w:tentative="0">
      <w:start w:val="1"/>
      <w:numFmt w:val="decimal"/>
      <w:suff w:val="nothing"/>
      <w:lvlText w:val="（%1）"/>
      <w:lvlJc w:val="left"/>
    </w:lvl>
  </w:abstractNum>
  <w:num w:numId="1">
    <w:abstractNumId w:val="3"/>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lNTRlZjk2YTU4YWEyMDQyNmRlYzQ4MTFhNzJhNjkifQ=="/>
  </w:docVars>
  <w:rsids>
    <w:rsidRoot w:val="00172A27"/>
    <w:rsid w:val="000004A9"/>
    <w:rsid w:val="000008E5"/>
    <w:rsid w:val="00000C1A"/>
    <w:rsid w:val="00000E0A"/>
    <w:rsid w:val="00001167"/>
    <w:rsid w:val="00001FE8"/>
    <w:rsid w:val="000041FB"/>
    <w:rsid w:val="00004870"/>
    <w:rsid w:val="00004C31"/>
    <w:rsid w:val="00005E7A"/>
    <w:rsid w:val="00006EBB"/>
    <w:rsid w:val="0001057F"/>
    <w:rsid w:val="00010793"/>
    <w:rsid w:val="00010896"/>
    <w:rsid w:val="000109C1"/>
    <w:rsid w:val="00011B1F"/>
    <w:rsid w:val="0001282C"/>
    <w:rsid w:val="00012AA9"/>
    <w:rsid w:val="0001319A"/>
    <w:rsid w:val="000136E5"/>
    <w:rsid w:val="000139CE"/>
    <w:rsid w:val="000145F4"/>
    <w:rsid w:val="0001478E"/>
    <w:rsid w:val="000150DE"/>
    <w:rsid w:val="00015A98"/>
    <w:rsid w:val="00015CD5"/>
    <w:rsid w:val="0001744B"/>
    <w:rsid w:val="00021BD9"/>
    <w:rsid w:val="00021FB5"/>
    <w:rsid w:val="00023279"/>
    <w:rsid w:val="00023830"/>
    <w:rsid w:val="00024860"/>
    <w:rsid w:val="00025FDF"/>
    <w:rsid w:val="000266EF"/>
    <w:rsid w:val="00026CDE"/>
    <w:rsid w:val="0003063D"/>
    <w:rsid w:val="00032027"/>
    <w:rsid w:val="00032B42"/>
    <w:rsid w:val="00032E2D"/>
    <w:rsid w:val="00032E7B"/>
    <w:rsid w:val="000330EA"/>
    <w:rsid w:val="00033371"/>
    <w:rsid w:val="0003507D"/>
    <w:rsid w:val="00037323"/>
    <w:rsid w:val="000377A1"/>
    <w:rsid w:val="00040B02"/>
    <w:rsid w:val="00040E0A"/>
    <w:rsid w:val="00041103"/>
    <w:rsid w:val="00043E20"/>
    <w:rsid w:val="000458CD"/>
    <w:rsid w:val="00047158"/>
    <w:rsid w:val="00047339"/>
    <w:rsid w:val="000473E3"/>
    <w:rsid w:val="00047857"/>
    <w:rsid w:val="00050573"/>
    <w:rsid w:val="0005134E"/>
    <w:rsid w:val="0005244F"/>
    <w:rsid w:val="000530EC"/>
    <w:rsid w:val="00053920"/>
    <w:rsid w:val="00060030"/>
    <w:rsid w:val="00061296"/>
    <w:rsid w:val="000617B2"/>
    <w:rsid w:val="00061F05"/>
    <w:rsid w:val="000620EF"/>
    <w:rsid w:val="0006379A"/>
    <w:rsid w:val="00064268"/>
    <w:rsid w:val="0006452E"/>
    <w:rsid w:val="00064E19"/>
    <w:rsid w:val="00064E50"/>
    <w:rsid w:val="00065135"/>
    <w:rsid w:val="00065CD9"/>
    <w:rsid w:val="00065EA9"/>
    <w:rsid w:val="00070A99"/>
    <w:rsid w:val="00070E70"/>
    <w:rsid w:val="0007159D"/>
    <w:rsid w:val="00072B02"/>
    <w:rsid w:val="00072EC1"/>
    <w:rsid w:val="00073169"/>
    <w:rsid w:val="00074525"/>
    <w:rsid w:val="0007457A"/>
    <w:rsid w:val="00074CD3"/>
    <w:rsid w:val="000763A5"/>
    <w:rsid w:val="000763F5"/>
    <w:rsid w:val="0007739A"/>
    <w:rsid w:val="000808A8"/>
    <w:rsid w:val="00080CBD"/>
    <w:rsid w:val="00081256"/>
    <w:rsid w:val="00081676"/>
    <w:rsid w:val="00083A60"/>
    <w:rsid w:val="000865D9"/>
    <w:rsid w:val="000873BE"/>
    <w:rsid w:val="0009015D"/>
    <w:rsid w:val="00091411"/>
    <w:rsid w:val="00091C56"/>
    <w:rsid w:val="00091FC0"/>
    <w:rsid w:val="00092772"/>
    <w:rsid w:val="0009412E"/>
    <w:rsid w:val="00094D0F"/>
    <w:rsid w:val="000960A6"/>
    <w:rsid w:val="000A025A"/>
    <w:rsid w:val="000A096A"/>
    <w:rsid w:val="000A09B2"/>
    <w:rsid w:val="000A1A04"/>
    <w:rsid w:val="000A2211"/>
    <w:rsid w:val="000A24B9"/>
    <w:rsid w:val="000A267A"/>
    <w:rsid w:val="000A2968"/>
    <w:rsid w:val="000A30A7"/>
    <w:rsid w:val="000A3247"/>
    <w:rsid w:val="000A37DA"/>
    <w:rsid w:val="000A4F7A"/>
    <w:rsid w:val="000A5D1B"/>
    <w:rsid w:val="000A7153"/>
    <w:rsid w:val="000A7CB5"/>
    <w:rsid w:val="000B0104"/>
    <w:rsid w:val="000B018B"/>
    <w:rsid w:val="000B063C"/>
    <w:rsid w:val="000B0CEC"/>
    <w:rsid w:val="000B16AA"/>
    <w:rsid w:val="000B19E5"/>
    <w:rsid w:val="000B2A07"/>
    <w:rsid w:val="000B3CF1"/>
    <w:rsid w:val="000B44BB"/>
    <w:rsid w:val="000B57E9"/>
    <w:rsid w:val="000B7185"/>
    <w:rsid w:val="000C165F"/>
    <w:rsid w:val="000C1920"/>
    <w:rsid w:val="000C2A07"/>
    <w:rsid w:val="000C2B40"/>
    <w:rsid w:val="000C4A04"/>
    <w:rsid w:val="000C50DF"/>
    <w:rsid w:val="000C624F"/>
    <w:rsid w:val="000C762B"/>
    <w:rsid w:val="000C78C6"/>
    <w:rsid w:val="000C7BF8"/>
    <w:rsid w:val="000D08D8"/>
    <w:rsid w:val="000D0B9A"/>
    <w:rsid w:val="000D1880"/>
    <w:rsid w:val="000D2321"/>
    <w:rsid w:val="000D29E5"/>
    <w:rsid w:val="000D3FBA"/>
    <w:rsid w:val="000D41ED"/>
    <w:rsid w:val="000D48C3"/>
    <w:rsid w:val="000D5DCE"/>
    <w:rsid w:val="000D6CA6"/>
    <w:rsid w:val="000D6E2F"/>
    <w:rsid w:val="000E040B"/>
    <w:rsid w:val="000E3045"/>
    <w:rsid w:val="000E59E2"/>
    <w:rsid w:val="000E7CBB"/>
    <w:rsid w:val="000F05CA"/>
    <w:rsid w:val="000F0A13"/>
    <w:rsid w:val="000F0F19"/>
    <w:rsid w:val="000F139F"/>
    <w:rsid w:val="000F2FFC"/>
    <w:rsid w:val="000F37C3"/>
    <w:rsid w:val="000F3B33"/>
    <w:rsid w:val="000F5501"/>
    <w:rsid w:val="000F67BA"/>
    <w:rsid w:val="000F6BFB"/>
    <w:rsid w:val="000F7021"/>
    <w:rsid w:val="000F7040"/>
    <w:rsid w:val="00100A3C"/>
    <w:rsid w:val="001044D8"/>
    <w:rsid w:val="00104BC1"/>
    <w:rsid w:val="00105DDE"/>
    <w:rsid w:val="001065B9"/>
    <w:rsid w:val="00107BD3"/>
    <w:rsid w:val="00110798"/>
    <w:rsid w:val="001111A0"/>
    <w:rsid w:val="00113EA1"/>
    <w:rsid w:val="001143E5"/>
    <w:rsid w:val="001146DE"/>
    <w:rsid w:val="00114801"/>
    <w:rsid w:val="001151E8"/>
    <w:rsid w:val="001158E1"/>
    <w:rsid w:val="00115D4A"/>
    <w:rsid w:val="0011655D"/>
    <w:rsid w:val="001172D1"/>
    <w:rsid w:val="001172FD"/>
    <w:rsid w:val="00120080"/>
    <w:rsid w:val="001218EE"/>
    <w:rsid w:val="0012412E"/>
    <w:rsid w:val="001250EF"/>
    <w:rsid w:val="001259D6"/>
    <w:rsid w:val="00125F83"/>
    <w:rsid w:val="00126122"/>
    <w:rsid w:val="0012674F"/>
    <w:rsid w:val="001278AA"/>
    <w:rsid w:val="001304E0"/>
    <w:rsid w:val="001324D1"/>
    <w:rsid w:val="00132EFA"/>
    <w:rsid w:val="00134018"/>
    <w:rsid w:val="001350CF"/>
    <w:rsid w:val="00135647"/>
    <w:rsid w:val="0013569D"/>
    <w:rsid w:val="00135AC5"/>
    <w:rsid w:val="001370C2"/>
    <w:rsid w:val="00140C09"/>
    <w:rsid w:val="00140F81"/>
    <w:rsid w:val="0014152D"/>
    <w:rsid w:val="00141A7D"/>
    <w:rsid w:val="00141B5D"/>
    <w:rsid w:val="001431B3"/>
    <w:rsid w:val="001433B9"/>
    <w:rsid w:val="00143FBF"/>
    <w:rsid w:val="00144846"/>
    <w:rsid w:val="00144D40"/>
    <w:rsid w:val="00145418"/>
    <w:rsid w:val="00146272"/>
    <w:rsid w:val="00146A5D"/>
    <w:rsid w:val="00150A25"/>
    <w:rsid w:val="00153354"/>
    <w:rsid w:val="00155367"/>
    <w:rsid w:val="001562A5"/>
    <w:rsid w:val="0015655B"/>
    <w:rsid w:val="0015660D"/>
    <w:rsid w:val="0016104B"/>
    <w:rsid w:val="00161821"/>
    <w:rsid w:val="00161E99"/>
    <w:rsid w:val="00165D39"/>
    <w:rsid w:val="001667BE"/>
    <w:rsid w:val="00167226"/>
    <w:rsid w:val="00167B7F"/>
    <w:rsid w:val="00167E7E"/>
    <w:rsid w:val="001701A8"/>
    <w:rsid w:val="001708BA"/>
    <w:rsid w:val="00171AAE"/>
    <w:rsid w:val="00171D37"/>
    <w:rsid w:val="001724C2"/>
    <w:rsid w:val="00172A27"/>
    <w:rsid w:val="00172A3C"/>
    <w:rsid w:val="00172D08"/>
    <w:rsid w:val="0017436D"/>
    <w:rsid w:val="001773FB"/>
    <w:rsid w:val="00180A87"/>
    <w:rsid w:val="00181299"/>
    <w:rsid w:val="001823A1"/>
    <w:rsid w:val="001849A5"/>
    <w:rsid w:val="00186157"/>
    <w:rsid w:val="0018620F"/>
    <w:rsid w:val="001878B0"/>
    <w:rsid w:val="00187C30"/>
    <w:rsid w:val="00187C52"/>
    <w:rsid w:val="00190264"/>
    <w:rsid w:val="00190C79"/>
    <w:rsid w:val="00190E7D"/>
    <w:rsid w:val="001911BC"/>
    <w:rsid w:val="00192EC2"/>
    <w:rsid w:val="00193836"/>
    <w:rsid w:val="00194297"/>
    <w:rsid w:val="001943F5"/>
    <w:rsid w:val="00194E67"/>
    <w:rsid w:val="00195A25"/>
    <w:rsid w:val="00196EC4"/>
    <w:rsid w:val="001970F2"/>
    <w:rsid w:val="001972D0"/>
    <w:rsid w:val="001A2575"/>
    <w:rsid w:val="001A2A16"/>
    <w:rsid w:val="001A32B1"/>
    <w:rsid w:val="001A33B5"/>
    <w:rsid w:val="001A4894"/>
    <w:rsid w:val="001A501C"/>
    <w:rsid w:val="001A545F"/>
    <w:rsid w:val="001A562B"/>
    <w:rsid w:val="001A697A"/>
    <w:rsid w:val="001A7AAF"/>
    <w:rsid w:val="001A7BF3"/>
    <w:rsid w:val="001B0737"/>
    <w:rsid w:val="001B0964"/>
    <w:rsid w:val="001B1ECC"/>
    <w:rsid w:val="001B29E6"/>
    <w:rsid w:val="001B3E82"/>
    <w:rsid w:val="001B5C73"/>
    <w:rsid w:val="001B6418"/>
    <w:rsid w:val="001B68EA"/>
    <w:rsid w:val="001B759A"/>
    <w:rsid w:val="001C03BD"/>
    <w:rsid w:val="001C0F6F"/>
    <w:rsid w:val="001C12A9"/>
    <w:rsid w:val="001C1703"/>
    <w:rsid w:val="001C2592"/>
    <w:rsid w:val="001C3317"/>
    <w:rsid w:val="001C4212"/>
    <w:rsid w:val="001C45F2"/>
    <w:rsid w:val="001C4607"/>
    <w:rsid w:val="001C48A0"/>
    <w:rsid w:val="001C4F33"/>
    <w:rsid w:val="001C6ADD"/>
    <w:rsid w:val="001C6E7A"/>
    <w:rsid w:val="001C72BA"/>
    <w:rsid w:val="001C7C88"/>
    <w:rsid w:val="001C7CB8"/>
    <w:rsid w:val="001D04D2"/>
    <w:rsid w:val="001D1982"/>
    <w:rsid w:val="001D2ECA"/>
    <w:rsid w:val="001D35A3"/>
    <w:rsid w:val="001D3617"/>
    <w:rsid w:val="001D407C"/>
    <w:rsid w:val="001D574E"/>
    <w:rsid w:val="001D6C40"/>
    <w:rsid w:val="001D6D22"/>
    <w:rsid w:val="001D73D3"/>
    <w:rsid w:val="001E050E"/>
    <w:rsid w:val="001E0A63"/>
    <w:rsid w:val="001E19B4"/>
    <w:rsid w:val="001E2FA0"/>
    <w:rsid w:val="001E384E"/>
    <w:rsid w:val="001E4149"/>
    <w:rsid w:val="001E4417"/>
    <w:rsid w:val="001E44DD"/>
    <w:rsid w:val="001E52EF"/>
    <w:rsid w:val="001E5687"/>
    <w:rsid w:val="001E59BB"/>
    <w:rsid w:val="001F0079"/>
    <w:rsid w:val="001F10E6"/>
    <w:rsid w:val="001F271A"/>
    <w:rsid w:val="001F2E33"/>
    <w:rsid w:val="001F35CF"/>
    <w:rsid w:val="001F3E4A"/>
    <w:rsid w:val="00200FEA"/>
    <w:rsid w:val="00201800"/>
    <w:rsid w:val="00201BD6"/>
    <w:rsid w:val="002028A5"/>
    <w:rsid w:val="002035D3"/>
    <w:rsid w:val="002045EA"/>
    <w:rsid w:val="00204C9C"/>
    <w:rsid w:val="0020645F"/>
    <w:rsid w:val="0020704B"/>
    <w:rsid w:val="00207B48"/>
    <w:rsid w:val="002114DF"/>
    <w:rsid w:val="00211920"/>
    <w:rsid w:val="00213853"/>
    <w:rsid w:val="00213CE5"/>
    <w:rsid w:val="002140BA"/>
    <w:rsid w:val="002143BE"/>
    <w:rsid w:val="00214475"/>
    <w:rsid w:val="00215582"/>
    <w:rsid w:val="00215790"/>
    <w:rsid w:val="00215EFC"/>
    <w:rsid w:val="00215FC2"/>
    <w:rsid w:val="002173AB"/>
    <w:rsid w:val="00217911"/>
    <w:rsid w:val="00217E7D"/>
    <w:rsid w:val="002208EE"/>
    <w:rsid w:val="00220CB2"/>
    <w:rsid w:val="0022151A"/>
    <w:rsid w:val="00221A7D"/>
    <w:rsid w:val="0022234F"/>
    <w:rsid w:val="00222523"/>
    <w:rsid w:val="0022302C"/>
    <w:rsid w:val="00223D5F"/>
    <w:rsid w:val="00224C6E"/>
    <w:rsid w:val="0022564B"/>
    <w:rsid w:val="00227553"/>
    <w:rsid w:val="00227E58"/>
    <w:rsid w:val="00230EDC"/>
    <w:rsid w:val="002315DB"/>
    <w:rsid w:val="00231807"/>
    <w:rsid w:val="00231B98"/>
    <w:rsid w:val="00233027"/>
    <w:rsid w:val="00233260"/>
    <w:rsid w:val="00235DBB"/>
    <w:rsid w:val="002365DA"/>
    <w:rsid w:val="00236671"/>
    <w:rsid w:val="00236915"/>
    <w:rsid w:val="00237021"/>
    <w:rsid w:val="002408B2"/>
    <w:rsid w:val="0024114F"/>
    <w:rsid w:val="00243634"/>
    <w:rsid w:val="00244320"/>
    <w:rsid w:val="00244993"/>
    <w:rsid w:val="00250225"/>
    <w:rsid w:val="0025043D"/>
    <w:rsid w:val="00250710"/>
    <w:rsid w:val="00250D3D"/>
    <w:rsid w:val="00251F9F"/>
    <w:rsid w:val="00252DC2"/>
    <w:rsid w:val="00253185"/>
    <w:rsid w:val="00254601"/>
    <w:rsid w:val="00255967"/>
    <w:rsid w:val="0025689A"/>
    <w:rsid w:val="00256F7A"/>
    <w:rsid w:val="0025759F"/>
    <w:rsid w:val="0025768A"/>
    <w:rsid w:val="00260FDD"/>
    <w:rsid w:val="0026100A"/>
    <w:rsid w:val="00261409"/>
    <w:rsid w:val="00262269"/>
    <w:rsid w:val="0026348D"/>
    <w:rsid w:val="002665F9"/>
    <w:rsid w:val="002674CE"/>
    <w:rsid w:val="00267890"/>
    <w:rsid w:val="0027192C"/>
    <w:rsid w:val="00271D71"/>
    <w:rsid w:val="002726F2"/>
    <w:rsid w:val="00272E14"/>
    <w:rsid w:val="002730E3"/>
    <w:rsid w:val="002741D1"/>
    <w:rsid w:val="00275BE5"/>
    <w:rsid w:val="002774E0"/>
    <w:rsid w:val="0027760E"/>
    <w:rsid w:val="00277B6F"/>
    <w:rsid w:val="0028020B"/>
    <w:rsid w:val="002806EA"/>
    <w:rsid w:val="00280F94"/>
    <w:rsid w:val="0028107D"/>
    <w:rsid w:val="00282008"/>
    <w:rsid w:val="002822B1"/>
    <w:rsid w:val="00282427"/>
    <w:rsid w:val="00282794"/>
    <w:rsid w:val="00282C2B"/>
    <w:rsid w:val="0028313E"/>
    <w:rsid w:val="0028436A"/>
    <w:rsid w:val="0028464F"/>
    <w:rsid w:val="002846B3"/>
    <w:rsid w:val="00284EC9"/>
    <w:rsid w:val="00284F49"/>
    <w:rsid w:val="0028508F"/>
    <w:rsid w:val="00286966"/>
    <w:rsid w:val="00286EF4"/>
    <w:rsid w:val="0028743C"/>
    <w:rsid w:val="00287C16"/>
    <w:rsid w:val="00287D7C"/>
    <w:rsid w:val="00290D17"/>
    <w:rsid w:val="00291EC1"/>
    <w:rsid w:val="002924DD"/>
    <w:rsid w:val="00292FC6"/>
    <w:rsid w:val="002931EF"/>
    <w:rsid w:val="00297260"/>
    <w:rsid w:val="002A03D1"/>
    <w:rsid w:val="002A04C4"/>
    <w:rsid w:val="002A0EAA"/>
    <w:rsid w:val="002A13F8"/>
    <w:rsid w:val="002A22DA"/>
    <w:rsid w:val="002A3788"/>
    <w:rsid w:val="002A4D71"/>
    <w:rsid w:val="002A5323"/>
    <w:rsid w:val="002A590B"/>
    <w:rsid w:val="002A640E"/>
    <w:rsid w:val="002A6519"/>
    <w:rsid w:val="002A6DF0"/>
    <w:rsid w:val="002A7642"/>
    <w:rsid w:val="002B001A"/>
    <w:rsid w:val="002B0185"/>
    <w:rsid w:val="002B12DC"/>
    <w:rsid w:val="002B1D45"/>
    <w:rsid w:val="002B237F"/>
    <w:rsid w:val="002B2427"/>
    <w:rsid w:val="002B2BD6"/>
    <w:rsid w:val="002B33D3"/>
    <w:rsid w:val="002B36B0"/>
    <w:rsid w:val="002B3DB5"/>
    <w:rsid w:val="002B51DF"/>
    <w:rsid w:val="002B583C"/>
    <w:rsid w:val="002B731F"/>
    <w:rsid w:val="002B7C6D"/>
    <w:rsid w:val="002B7F7E"/>
    <w:rsid w:val="002B7FA4"/>
    <w:rsid w:val="002C0204"/>
    <w:rsid w:val="002C1802"/>
    <w:rsid w:val="002C25E2"/>
    <w:rsid w:val="002C285F"/>
    <w:rsid w:val="002C298F"/>
    <w:rsid w:val="002C4E83"/>
    <w:rsid w:val="002C5390"/>
    <w:rsid w:val="002C54F9"/>
    <w:rsid w:val="002C618B"/>
    <w:rsid w:val="002C7667"/>
    <w:rsid w:val="002C7B36"/>
    <w:rsid w:val="002D0A38"/>
    <w:rsid w:val="002D0AA9"/>
    <w:rsid w:val="002D1746"/>
    <w:rsid w:val="002D17F2"/>
    <w:rsid w:val="002D1DCA"/>
    <w:rsid w:val="002D3461"/>
    <w:rsid w:val="002D4027"/>
    <w:rsid w:val="002D465F"/>
    <w:rsid w:val="002D4ADB"/>
    <w:rsid w:val="002D556A"/>
    <w:rsid w:val="002D57C5"/>
    <w:rsid w:val="002D660E"/>
    <w:rsid w:val="002D68E5"/>
    <w:rsid w:val="002D7814"/>
    <w:rsid w:val="002E0089"/>
    <w:rsid w:val="002E1935"/>
    <w:rsid w:val="002E32D7"/>
    <w:rsid w:val="002E4718"/>
    <w:rsid w:val="002E4A86"/>
    <w:rsid w:val="002E53F4"/>
    <w:rsid w:val="002E698F"/>
    <w:rsid w:val="002E7381"/>
    <w:rsid w:val="002F0607"/>
    <w:rsid w:val="002F0962"/>
    <w:rsid w:val="002F1AC5"/>
    <w:rsid w:val="002F2146"/>
    <w:rsid w:val="002F381B"/>
    <w:rsid w:val="002F3AA8"/>
    <w:rsid w:val="002F42CE"/>
    <w:rsid w:val="002F5477"/>
    <w:rsid w:val="002F687B"/>
    <w:rsid w:val="002F72F6"/>
    <w:rsid w:val="002F734E"/>
    <w:rsid w:val="002F77E4"/>
    <w:rsid w:val="002F7B5B"/>
    <w:rsid w:val="00300095"/>
    <w:rsid w:val="003009D8"/>
    <w:rsid w:val="00300A96"/>
    <w:rsid w:val="0030281D"/>
    <w:rsid w:val="00302CF3"/>
    <w:rsid w:val="00304B53"/>
    <w:rsid w:val="00304F34"/>
    <w:rsid w:val="00305588"/>
    <w:rsid w:val="003055A2"/>
    <w:rsid w:val="00305BA1"/>
    <w:rsid w:val="003069FD"/>
    <w:rsid w:val="00311F73"/>
    <w:rsid w:val="00313FAA"/>
    <w:rsid w:val="00314374"/>
    <w:rsid w:val="00314BBA"/>
    <w:rsid w:val="00316D38"/>
    <w:rsid w:val="003175BA"/>
    <w:rsid w:val="00317CCA"/>
    <w:rsid w:val="00320EDA"/>
    <w:rsid w:val="00321518"/>
    <w:rsid w:val="00321D0A"/>
    <w:rsid w:val="00321ECE"/>
    <w:rsid w:val="003232C7"/>
    <w:rsid w:val="00323595"/>
    <w:rsid w:val="00323D51"/>
    <w:rsid w:val="00323D73"/>
    <w:rsid w:val="00323F1C"/>
    <w:rsid w:val="00325DD8"/>
    <w:rsid w:val="00326F9B"/>
    <w:rsid w:val="00330002"/>
    <w:rsid w:val="00330CF7"/>
    <w:rsid w:val="003323EF"/>
    <w:rsid w:val="00332612"/>
    <w:rsid w:val="00333DEB"/>
    <w:rsid w:val="00333FEB"/>
    <w:rsid w:val="003365A0"/>
    <w:rsid w:val="00337069"/>
    <w:rsid w:val="003373EE"/>
    <w:rsid w:val="00337B00"/>
    <w:rsid w:val="00337EAC"/>
    <w:rsid w:val="003402A7"/>
    <w:rsid w:val="00340C89"/>
    <w:rsid w:val="00341CB2"/>
    <w:rsid w:val="00341F13"/>
    <w:rsid w:val="00343113"/>
    <w:rsid w:val="003439D0"/>
    <w:rsid w:val="00343E20"/>
    <w:rsid w:val="003448F4"/>
    <w:rsid w:val="00344E7E"/>
    <w:rsid w:val="0034518B"/>
    <w:rsid w:val="00345261"/>
    <w:rsid w:val="00345E72"/>
    <w:rsid w:val="003465B7"/>
    <w:rsid w:val="00346D29"/>
    <w:rsid w:val="00347B32"/>
    <w:rsid w:val="00350AE3"/>
    <w:rsid w:val="00351B3A"/>
    <w:rsid w:val="00351ED1"/>
    <w:rsid w:val="00351F37"/>
    <w:rsid w:val="00352147"/>
    <w:rsid w:val="00352F55"/>
    <w:rsid w:val="003545FA"/>
    <w:rsid w:val="0035466C"/>
    <w:rsid w:val="00356020"/>
    <w:rsid w:val="00360A10"/>
    <w:rsid w:val="00360D9A"/>
    <w:rsid w:val="0036167A"/>
    <w:rsid w:val="00361DAD"/>
    <w:rsid w:val="003626D2"/>
    <w:rsid w:val="003628CD"/>
    <w:rsid w:val="00363538"/>
    <w:rsid w:val="00364A8D"/>
    <w:rsid w:val="00366246"/>
    <w:rsid w:val="00366EC0"/>
    <w:rsid w:val="0036714A"/>
    <w:rsid w:val="003674AF"/>
    <w:rsid w:val="00370653"/>
    <w:rsid w:val="00370FC2"/>
    <w:rsid w:val="00371815"/>
    <w:rsid w:val="003718E1"/>
    <w:rsid w:val="00371F43"/>
    <w:rsid w:val="003730D0"/>
    <w:rsid w:val="00373E4D"/>
    <w:rsid w:val="00374019"/>
    <w:rsid w:val="00374786"/>
    <w:rsid w:val="003753D7"/>
    <w:rsid w:val="003754CE"/>
    <w:rsid w:val="003766AB"/>
    <w:rsid w:val="00376FFF"/>
    <w:rsid w:val="0037791E"/>
    <w:rsid w:val="0038098A"/>
    <w:rsid w:val="00381C32"/>
    <w:rsid w:val="003822DE"/>
    <w:rsid w:val="00383E5C"/>
    <w:rsid w:val="00383EBE"/>
    <w:rsid w:val="00383FA4"/>
    <w:rsid w:val="003857BF"/>
    <w:rsid w:val="00387C14"/>
    <w:rsid w:val="0039210D"/>
    <w:rsid w:val="00392613"/>
    <w:rsid w:val="00392876"/>
    <w:rsid w:val="00395014"/>
    <w:rsid w:val="003959EB"/>
    <w:rsid w:val="00396E5B"/>
    <w:rsid w:val="003973E3"/>
    <w:rsid w:val="00397BF2"/>
    <w:rsid w:val="00397F79"/>
    <w:rsid w:val="003A008A"/>
    <w:rsid w:val="003A0292"/>
    <w:rsid w:val="003A0F25"/>
    <w:rsid w:val="003A0F84"/>
    <w:rsid w:val="003A0FBE"/>
    <w:rsid w:val="003A1494"/>
    <w:rsid w:val="003A1E0D"/>
    <w:rsid w:val="003A2859"/>
    <w:rsid w:val="003A2B17"/>
    <w:rsid w:val="003A3ABE"/>
    <w:rsid w:val="003A49FC"/>
    <w:rsid w:val="003A535A"/>
    <w:rsid w:val="003A6D70"/>
    <w:rsid w:val="003A73CB"/>
    <w:rsid w:val="003A7DB4"/>
    <w:rsid w:val="003B2801"/>
    <w:rsid w:val="003B29CA"/>
    <w:rsid w:val="003B3857"/>
    <w:rsid w:val="003B48AC"/>
    <w:rsid w:val="003B5A09"/>
    <w:rsid w:val="003C005C"/>
    <w:rsid w:val="003C0F7F"/>
    <w:rsid w:val="003C2BB7"/>
    <w:rsid w:val="003C2D8A"/>
    <w:rsid w:val="003C2E84"/>
    <w:rsid w:val="003C3AB8"/>
    <w:rsid w:val="003C470F"/>
    <w:rsid w:val="003C5152"/>
    <w:rsid w:val="003C5F78"/>
    <w:rsid w:val="003C61FA"/>
    <w:rsid w:val="003C7B90"/>
    <w:rsid w:val="003D1465"/>
    <w:rsid w:val="003D360A"/>
    <w:rsid w:val="003D363F"/>
    <w:rsid w:val="003D3AD6"/>
    <w:rsid w:val="003D5C11"/>
    <w:rsid w:val="003D6C52"/>
    <w:rsid w:val="003D6EA0"/>
    <w:rsid w:val="003D6FC5"/>
    <w:rsid w:val="003E0922"/>
    <w:rsid w:val="003E0F42"/>
    <w:rsid w:val="003E14DE"/>
    <w:rsid w:val="003E1717"/>
    <w:rsid w:val="003E1ADC"/>
    <w:rsid w:val="003E324D"/>
    <w:rsid w:val="003E4885"/>
    <w:rsid w:val="003E4D8B"/>
    <w:rsid w:val="003E54CB"/>
    <w:rsid w:val="003E61FB"/>
    <w:rsid w:val="003E626F"/>
    <w:rsid w:val="003E629B"/>
    <w:rsid w:val="003E6987"/>
    <w:rsid w:val="003E6EF4"/>
    <w:rsid w:val="003E776C"/>
    <w:rsid w:val="003E798A"/>
    <w:rsid w:val="003E7B57"/>
    <w:rsid w:val="003F018F"/>
    <w:rsid w:val="003F0C00"/>
    <w:rsid w:val="003F240C"/>
    <w:rsid w:val="003F2A5F"/>
    <w:rsid w:val="003F37BB"/>
    <w:rsid w:val="003F3860"/>
    <w:rsid w:val="003F46B0"/>
    <w:rsid w:val="003F5F59"/>
    <w:rsid w:val="003F6A06"/>
    <w:rsid w:val="003F6F47"/>
    <w:rsid w:val="003F77B3"/>
    <w:rsid w:val="003F7DE1"/>
    <w:rsid w:val="0040061F"/>
    <w:rsid w:val="00400B38"/>
    <w:rsid w:val="004010AA"/>
    <w:rsid w:val="00402E9D"/>
    <w:rsid w:val="00402F44"/>
    <w:rsid w:val="004030FC"/>
    <w:rsid w:val="00404C6C"/>
    <w:rsid w:val="00404E43"/>
    <w:rsid w:val="00406587"/>
    <w:rsid w:val="00410F20"/>
    <w:rsid w:val="004110DC"/>
    <w:rsid w:val="004140D3"/>
    <w:rsid w:val="00414297"/>
    <w:rsid w:val="004142D4"/>
    <w:rsid w:val="004164A9"/>
    <w:rsid w:val="004179D7"/>
    <w:rsid w:val="00420F22"/>
    <w:rsid w:val="004216C2"/>
    <w:rsid w:val="00422609"/>
    <w:rsid w:val="00423995"/>
    <w:rsid w:val="00423E5E"/>
    <w:rsid w:val="004241C4"/>
    <w:rsid w:val="004245E6"/>
    <w:rsid w:val="00425197"/>
    <w:rsid w:val="00425831"/>
    <w:rsid w:val="0043088B"/>
    <w:rsid w:val="004312F0"/>
    <w:rsid w:val="004313A1"/>
    <w:rsid w:val="00432E20"/>
    <w:rsid w:val="00435183"/>
    <w:rsid w:val="00435405"/>
    <w:rsid w:val="00435443"/>
    <w:rsid w:val="004356F6"/>
    <w:rsid w:val="00437649"/>
    <w:rsid w:val="004408EB"/>
    <w:rsid w:val="0044096F"/>
    <w:rsid w:val="00440E69"/>
    <w:rsid w:val="004427DF"/>
    <w:rsid w:val="0044304C"/>
    <w:rsid w:val="00443A9A"/>
    <w:rsid w:val="0044497F"/>
    <w:rsid w:val="004469F9"/>
    <w:rsid w:val="00447353"/>
    <w:rsid w:val="004502D6"/>
    <w:rsid w:val="004515B7"/>
    <w:rsid w:val="004523D7"/>
    <w:rsid w:val="004528DF"/>
    <w:rsid w:val="0045366D"/>
    <w:rsid w:val="004540BA"/>
    <w:rsid w:val="004548DC"/>
    <w:rsid w:val="00455C3B"/>
    <w:rsid w:val="004565A6"/>
    <w:rsid w:val="004576FF"/>
    <w:rsid w:val="00461585"/>
    <w:rsid w:val="0046263C"/>
    <w:rsid w:val="00462A5B"/>
    <w:rsid w:val="00464B3D"/>
    <w:rsid w:val="004653C4"/>
    <w:rsid w:val="00465449"/>
    <w:rsid w:val="00465ADF"/>
    <w:rsid w:val="004674D4"/>
    <w:rsid w:val="004703C2"/>
    <w:rsid w:val="00470738"/>
    <w:rsid w:val="00470C60"/>
    <w:rsid w:val="00471895"/>
    <w:rsid w:val="00471AC7"/>
    <w:rsid w:val="00472570"/>
    <w:rsid w:val="004732F0"/>
    <w:rsid w:val="00473ADD"/>
    <w:rsid w:val="00473DFA"/>
    <w:rsid w:val="004747DB"/>
    <w:rsid w:val="00475651"/>
    <w:rsid w:val="00476EF8"/>
    <w:rsid w:val="004770DC"/>
    <w:rsid w:val="004772D1"/>
    <w:rsid w:val="00477EFE"/>
    <w:rsid w:val="00481FDF"/>
    <w:rsid w:val="00482A5A"/>
    <w:rsid w:val="00483E4F"/>
    <w:rsid w:val="00484A61"/>
    <w:rsid w:val="00484B43"/>
    <w:rsid w:val="004869E3"/>
    <w:rsid w:val="00487632"/>
    <w:rsid w:val="00490564"/>
    <w:rsid w:val="00490EAD"/>
    <w:rsid w:val="0049285C"/>
    <w:rsid w:val="00492C67"/>
    <w:rsid w:val="00493E60"/>
    <w:rsid w:val="00493EA2"/>
    <w:rsid w:val="00494E17"/>
    <w:rsid w:val="00495103"/>
    <w:rsid w:val="00496B25"/>
    <w:rsid w:val="004A0530"/>
    <w:rsid w:val="004A1455"/>
    <w:rsid w:val="004A16AC"/>
    <w:rsid w:val="004A1E87"/>
    <w:rsid w:val="004A1FE1"/>
    <w:rsid w:val="004A2F8D"/>
    <w:rsid w:val="004A3880"/>
    <w:rsid w:val="004A38A6"/>
    <w:rsid w:val="004A557D"/>
    <w:rsid w:val="004A5C82"/>
    <w:rsid w:val="004A5DE8"/>
    <w:rsid w:val="004A622A"/>
    <w:rsid w:val="004A6BBE"/>
    <w:rsid w:val="004A6F4B"/>
    <w:rsid w:val="004A756A"/>
    <w:rsid w:val="004B0E6D"/>
    <w:rsid w:val="004B1D7A"/>
    <w:rsid w:val="004B2673"/>
    <w:rsid w:val="004B2AB2"/>
    <w:rsid w:val="004B2D3C"/>
    <w:rsid w:val="004B3C33"/>
    <w:rsid w:val="004B4058"/>
    <w:rsid w:val="004B577C"/>
    <w:rsid w:val="004B57E6"/>
    <w:rsid w:val="004B5A42"/>
    <w:rsid w:val="004B5CE2"/>
    <w:rsid w:val="004B773F"/>
    <w:rsid w:val="004C0528"/>
    <w:rsid w:val="004C0BAF"/>
    <w:rsid w:val="004C0F6E"/>
    <w:rsid w:val="004C1BFA"/>
    <w:rsid w:val="004C1CFE"/>
    <w:rsid w:val="004C1E85"/>
    <w:rsid w:val="004C224E"/>
    <w:rsid w:val="004C2B48"/>
    <w:rsid w:val="004C2B8E"/>
    <w:rsid w:val="004C30BE"/>
    <w:rsid w:val="004C37A3"/>
    <w:rsid w:val="004C3BBC"/>
    <w:rsid w:val="004C44DC"/>
    <w:rsid w:val="004C495F"/>
    <w:rsid w:val="004C628F"/>
    <w:rsid w:val="004C6E94"/>
    <w:rsid w:val="004D0258"/>
    <w:rsid w:val="004D1B99"/>
    <w:rsid w:val="004D2451"/>
    <w:rsid w:val="004D2640"/>
    <w:rsid w:val="004D2AE8"/>
    <w:rsid w:val="004D34E6"/>
    <w:rsid w:val="004D5895"/>
    <w:rsid w:val="004D5C76"/>
    <w:rsid w:val="004D6B9F"/>
    <w:rsid w:val="004D7BBF"/>
    <w:rsid w:val="004E1ED5"/>
    <w:rsid w:val="004E4A6A"/>
    <w:rsid w:val="004E4BF9"/>
    <w:rsid w:val="004E565D"/>
    <w:rsid w:val="004E5C60"/>
    <w:rsid w:val="004E60D7"/>
    <w:rsid w:val="004E7037"/>
    <w:rsid w:val="004E7048"/>
    <w:rsid w:val="004F07F9"/>
    <w:rsid w:val="004F0B3B"/>
    <w:rsid w:val="004F0BC3"/>
    <w:rsid w:val="004F0E6E"/>
    <w:rsid w:val="004F198A"/>
    <w:rsid w:val="004F1D7C"/>
    <w:rsid w:val="004F29C3"/>
    <w:rsid w:val="004F2FBB"/>
    <w:rsid w:val="004F31D9"/>
    <w:rsid w:val="004F3447"/>
    <w:rsid w:val="004F4C84"/>
    <w:rsid w:val="004F4F17"/>
    <w:rsid w:val="004F5893"/>
    <w:rsid w:val="004F590A"/>
    <w:rsid w:val="004F62FB"/>
    <w:rsid w:val="005007FA"/>
    <w:rsid w:val="005008BD"/>
    <w:rsid w:val="005009F9"/>
    <w:rsid w:val="00501516"/>
    <w:rsid w:val="00502849"/>
    <w:rsid w:val="00503303"/>
    <w:rsid w:val="00503846"/>
    <w:rsid w:val="00504A73"/>
    <w:rsid w:val="00504BAB"/>
    <w:rsid w:val="005053F1"/>
    <w:rsid w:val="0050648F"/>
    <w:rsid w:val="00506B21"/>
    <w:rsid w:val="0050720C"/>
    <w:rsid w:val="00507357"/>
    <w:rsid w:val="00507E4C"/>
    <w:rsid w:val="00510737"/>
    <w:rsid w:val="00510B63"/>
    <w:rsid w:val="0051185D"/>
    <w:rsid w:val="005119CF"/>
    <w:rsid w:val="00512569"/>
    <w:rsid w:val="00512B54"/>
    <w:rsid w:val="00512BB5"/>
    <w:rsid w:val="00512EEC"/>
    <w:rsid w:val="005144AB"/>
    <w:rsid w:val="005146B5"/>
    <w:rsid w:val="00514865"/>
    <w:rsid w:val="00515868"/>
    <w:rsid w:val="00515956"/>
    <w:rsid w:val="00515B37"/>
    <w:rsid w:val="00516385"/>
    <w:rsid w:val="0051648A"/>
    <w:rsid w:val="00520227"/>
    <w:rsid w:val="00520391"/>
    <w:rsid w:val="00521041"/>
    <w:rsid w:val="0052112D"/>
    <w:rsid w:val="005228A3"/>
    <w:rsid w:val="005232A1"/>
    <w:rsid w:val="00523CBC"/>
    <w:rsid w:val="00523E7C"/>
    <w:rsid w:val="0052574F"/>
    <w:rsid w:val="00527915"/>
    <w:rsid w:val="00527CC7"/>
    <w:rsid w:val="005321EE"/>
    <w:rsid w:val="005336B8"/>
    <w:rsid w:val="00536BC0"/>
    <w:rsid w:val="00537E81"/>
    <w:rsid w:val="00542F69"/>
    <w:rsid w:val="0054335A"/>
    <w:rsid w:val="00543597"/>
    <w:rsid w:val="00543A8B"/>
    <w:rsid w:val="00544AFA"/>
    <w:rsid w:val="005453A9"/>
    <w:rsid w:val="00545746"/>
    <w:rsid w:val="00545F37"/>
    <w:rsid w:val="0054637B"/>
    <w:rsid w:val="0054702E"/>
    <w:rsid w:val="005479A6"/>
    <w:rsid w:val="0055069B"/>
    <w:rsid w:val="005509EA"/>
    <w:rsid w:val="00551194"/>
    <w:rsid w:val="00551EA9"/>
    <w:rsid w:val="00553A34"/>
    <w:rsid w:val="0055438E"/>
    <w:rsid w:val="00554DC5"/>
    <w:rsid w:val="005555D5"/>
    <w:rsid w:val="00557CAB"/>
    <w:rsid w:val="005600AD"/>
    <w:rsid w:val="00560593"/>
    <w:rsid w:val="00560790"/>
    <w:rsid w:val="00560BBD"/>
    <w:rsid w:val="00560D00"/>
    <w:rsid w:val="00560E1C"/>
    <w:rsid w:val="00561B91"/>
    <w:rsid w:val="00561DE1"/>
    <w:rsid w:val="0056210C"/>
    <w:rsid w:val="00562231"/>
    <w:rsid w:val="00562984"/>
    <w:rsid w:val="00564E5D"/>
    <w:rsid w:val="00565436"/>
    <w:rsid w:val="005654BC"/>
    <w:rsid w:val="005656A7"/>
    <w:rsid w:val="005658C0"/>
    <w:rsid w:val="00565A76"/>
    <w:rsid w:val="005669EA"/>
    <w:rsid w:val="00566CDC"/>
    <w:rsid w:val="0056705C"/>
    <w:rsid w:val="00567931"/>
    <w:rsid w:val="005701D9"/>
    <w:rsid w:val="00572A83"/>
    <w:rsid w:val="00572B28"/>
    <w:rsid w:val="00572E5D"/>
    <w:rsid w:val="00573188"/>
    <w:rsid w:val="00573432"/>
    <w:rsid w:val="0057441C"/>
    <w:rsid w:val="005748DC"/>
    <w:rsid w:val="005753D5"/>
    <w:rsid w:val="00580F65"/>
    <w:rsid w:val="00580F71"/>
    <w:rsid w:val="00582040"/>
    <w:rsid w:val="00582045"/>
    <w:rsid w:val="0058310F"/>
    <w:rsid w:val="00583575"/>
    <w:rsid w:val="005835E1"/>
    <w:rsid w:val="00583980"/>
    <w:rsid w:val="00584CF7"/>
    <w:rsid w:val="00584F19"/>
    <w:rsid w:val="00585490"/>
    <w:rsid w:val="00585C8C"/>
    <w:rsid w:val="00585F67"/>
    <w:rsid w:val="00586635"/>
    <w:rsid w:val="00586AE4"/>
    <w:rsid w:val="0059021E"/>
    <w:rsid w:val="00591ACD"/>
    <w:rsid w:val="005925D8"/>
    <w:rsid w:val="0059281C"/>
    <w:rsid w:val="0059350A"/>
    <w:rsid w:val="00593B6C"/>
    <w:rsid w:val="00594D14"/>
    <w:rsid w:val="005954C4"/>
    <w:rsid w:val="00595552"/>
    <w:rsid w:val="00595C98"/>
    <w:rsid w:val="0059786C"/>
    <w:rsid w:val="005A0416"/>
    <w:rsid w:val="005A0F89"/>
    <w:rsid w:val="005A1E0B"/>
    <w:rsid w:val="005A4EED"/>
    <w:rsid w:val="005A5685"/>
    <w:rsid w:val="005A732B"/>
    <w:rsid w:val="005B071C"/>
    <w:rsid w:val="005B0BD0"/>
    <w:rsid w:val="005B1235"/>
    <w:rsid w:val="005B2F76"/>
    <w:rsid w:val="005B3D83"/>
    <w:rsid w:val="005B4B98"/>
    <w:rsid w:val="005B5FD6"/>
    <w:rsid w:val="005B69D0"/>
    <w:rsid w:val="005B6E45"/>
    <w:rsid w:val="005C12A1"/>
    <w:rsid w:val="005C1FD1"/>
    <w:rsid w:val="005C2134"/>
    <w:rsid w:val="005C228B"/>
    <w:rsid w:val="005C44A6"/>
    <w:rsid w:val="005C47FE"/>
    <w:rsid w:val="005C4A1C"/>
    <w:rsid w:val="005C4FAB"/>
    <w:rsid w:val="005C5014"/>
    <w:rsid w:val="005C51C7"/>
    <w:rsid w:val="005C64BF"/>
    <w:rsid w:val="005C6E20"/>
    <w:rsid w:val="005D02AB"/>
    <w:rsid w:val="005D1492"/>
    <w:rsid w:val="005D15ED"/>
    <w:rsid w:val="005D2005"/>
    <w:rsid w:val="005D54FE"/>
    <w:rsid w:val="005D62ED"/>
    <w:rsid w:val="005D6B08"/>
    <w:rsid w:val="005D6C60"/>
    <w:rsid w:val="005D6F06"/>
    <w:rsid w:val="005D7626"/>
    <w:rsid w:val="005D772C"/>
    <w:rsid w:val="005E00A0"/>
    <w:rsid w:val="005E0BD8"/>
    <w:rsid w:val="005E1629"/>
    <w:rsid w:val="005E2328"/>
    <w:rsid w:val="005E5631"/>
    <w:rsid w:val="005E6182"/>
    <w:rsid w:val="005E72BE"/>
    <w:rsid w:val="005E7B72"/>
    <w:rsid w:val="005F046F"/>
    <w:rsid w:val="005F0FC8"/>
    <w:rsid w:val="005F1910"/>
    <w:rsid w:val="005F1D19"/>
    <w:rsid w:val="005F2ECA"/>
    <w:rsid w:val="005F2F4C"/>
    <w:rsid w:val="005F38C5"/>
    <w:rsid w:val="005F3F97"/>
    <w:rsid w:val="005F5143"/>
    <w:rsid w:val="005F5BAC"/>
    <w:rsid w:val="005F608B"/>
    <w:rsid w:val="005F658E"/>
    <w:rsid w:val="005F767C"/>
    <w:rsid w:val="00600690"/>
    <w:rsid w:val="006006B0"/>
    <w:rsid w:val="00600724"/>
    <w:rsid w:val="00600D29"/>
    <w:rsid w:val="006017EA"/>
    <w:rsid w:val="00601852"/>
    <w:rsid w:val="0060290C"/>
    <w:rsid w:val="006032FC"/>
    <w:rsid w:val="006039E2"/>
    <w:rsid w:val="006041DB"/>
    <w:rsid w:val="006058E2"/>
    <w:rsid w:val="0060599C"/>
    <w:rsid w:val="006077E6"/>
    <w:rsid w:val="00610AB4"/>
    <w:rsid w:val="00611C1C"/>
    <w:rsid w:val="00612038"/>
    <w:rsid w:val="0061218C"/>
    <w:rsid w:val="006129E7"/>
    <w:rsid w:val="00612A59"/>
    <w:rsid w:val="00613D42"/>
    <w:rsid w:val="00613EF0"/>
    <w:rsid w:val="006158BA"/>
    <w:rsid w:val="006158E4"/>
    <w:rsid w:val="006159FC"/>
    <w:rsid w:val="00615DC3"/>
    <w:rsid w:val="006178AE"/>
    <w:rsid w:val="00620C89"/>
    <w:rsid w:val="00621070"/>
    <w:rsid w:val="006217DD"/>
    <w:rsid w:val="00621BFF"/>
    <w:rsid w:val="0062364F"/>
    <w:rsid w:val="00624312"/>
    <w:rsid w:val="00624362"/>
    <w:rsid w:val="006246FC"/>
    <w:rsid w:val="006277C4"/>
    <w:rsid w:val="00627F78"/>
    <w:rsid w:val="00630591"/>
    <w:rsid w:val="00630983"/>
    <w:rsid w:val="00631E7A"/>
    <w:rsid w:val="006340A5"/>
    <w:rsid w:val="00634250"/>
    <w:rsid w:val="00634267"/>
    <w:rsid w:val="00634D5C"/>
    <w:rsid w:val="0063542E"/>
    <w:rsid w:val="00635478"/>
    <w:rsid w:val="006357E3"/>
    <w:rsid w:val="006377F6"/>
    <w:rsid w:val="006400FF"/>
    <w:rsid w:val="006419BB"/>
    <w:rsid w:val="00641F90"/>
    <w:rsid w:val="006435F1"/>
    <w:rsid w:val="0064607F"/>
    <w:rsid w:val="00646292"/>
    <w:rsid w:val="0064634F"/>
    <w:rsid w:val="006466F8"/>
    <w:rsid w:val="006467D9"/>
    <w:rsid w:val="00647684"/>
    <w:rsid w:val="0064768F"/>
    <w:rsid w:val="00647ACD"/>
    <w:rsid w:val="006501EE"/>
    <w:rsid w:val="006513CB"/>
    <w:rsid w:val="006518D0"/>
    <w:rsid w:val="00652015"/>
    <w:rsid w:val="00652B88"/>
    <w:rsid w:val="00652D35"/>
    <w:rsid w:val="006531D8"/>
    <w:rsid w:val="006536C0"/>
    <w:rsid w:val="00653B6C"/>
    <w:rsid w:val="00653F2C"/>
    <w:rsid w:val="00654757"/>
    <w:rsid w:val="00654B2E"/>
    <w:rsid w:val="00655885"/>
    <w:rsid w:val="00655DDF"/>
    <w:rsid w:val="00657B46"/>
    <w:rsid w:val="00657DC3"/>
    <w:rsid w:val="00657E69"/>
    <w:rsid w:val="00661ECD"/>
    <w:rsid w:val="00661FA4"/>
    <w:rsid w:val="0066357C"/>
    <w:rsid w:val="00663BCC"/>
    <w:rsid w:val="006640FB"/>
    <w:rsid w:val="006642E4"/>
    <w:rsid w:val="00664C60"/>
    <w:rsid w:val="00667A5D"/>
    <w:rsid w:val="00670508"/>
    <w:rsid w:val="00670EE6"/>
    <w:rsid w:val="00671F54"/>
    <w:rsid w:val="00672B92"/>
    <w:rsid w:val="00672D0C"/>
    <w:rsid w:val="00674A74"/>
    <w:rsid w:val="00675565"/>
    <w:rsid w:val="00675636"/>
    <w:rsid w:val="00676609"/>
    <w:rsid w:val="0067795C"/>
    <w:rsid w:val="006779DB"/>
    <w:rsid w:val="0068024E"/>
    <w:rsid w:val="00680E12"/>
    <w:rsid w:val="00681202"/>
    <w:rsid w:val="006812C4"/>
    <w:rsid w:val="00681AE4"/>
    <w:rsid w:val="006837D6"/>
    <w:rsid w:val="006843A0"/>
    <w:rsid w:val="00685FC8"/>
    <w:rsid w:val="006863C6"/>
    <w:rsid w:val="00686D71"/>
    <w:rsid w:val="00686FE9"/>
    <w:rsid w:val="006906DB"/>
    <w:rsid w:val="00691634"/>
    <w:rsid w:val="00692C34"/>
    <w:rsid w:val="006940DC"/>
    <w:rsid w:val="0069413B"/>
    <w:rsid w:val="0069456C"/>
    <w:rsid w:val="00694C80"/>
    <w:rsid w:val="00695185"/>
    <w:rsid w:val="00695B52"/>
    <w:rsid w:val="00696023"/>
    <w:rsid w:val="006A22D6"/>
    <w:rsid w:val="006A276E"/>
    <w:rsid w:val="006A2D84"/>
    <w:rsid w:val="006A3095"/>
    <w:rsid w:val="006A488E"/>
    <w:rsid w:val="006A48E7"/>
    <w:rsid w:val="006A549E"/>
    <w:rsid w:val="006A5D4E"/>
    <w:rsid w:val="006A696D"/>
    <w:rsid w:val="006A6A36"/>
    <w:rsid w:val="006A72B2"/>
    <w:rsid w:val="006A76E3"/>
    <w:rsid w:val="006B08B2"/>
    <w:rsid w:val="006B1CE0"/>
    <w:rsid w:val="006B1F7F"/>
    <w:rsid w:val="006B26E5"/>
    <w:rsid w:val="006B3518"/>
    <w:rsid w:val="006B39FE"/>
    <w:rsid w:val="006B4476"/>
    <w:rsid w:val="006B44B4"/>
    <w:rsid w:val="006B4F81"/>
    <w:rsid w:val="006B4F86"/>
    <w:rsid w:val="006B6181"/>
    <w:rsid w:val="006B61DB"/>
    <w:rsid w:val="006B7773"/>
    <w:rsid w:val="006B77B8"/>
    <w:rsid w:val="006B784C"/>
    <w:rsid w:val="006C0F85"/>
    <w:rsid w:val="006C10BB"/>
    <w:rsid w:val="006C3524"/>
    <w:rsid w:val="006C4BDC"/>
    <w:rsid w:val="006C54B3"/>
    <w:rsid w:val="006C5E7C"/>
    <w:rsid w:val="006C6031"/>
    <w:rsid w:val="006C62DD"/>
    <w:rsid w:val="006C7053"/>
    <w:rsid w:val="006C74FC"/>
    <w:rsid w:val="006C7A6C"/>
    <w:rsid w:val="006D18BA"/>
    <w:rsid w:val="006D27AA"/>
    <w:rsid w:val="006D3F51"/>
    <w:rsid w:val="006D517A"/>
    <w:rsid w:val="006D5B41"/>
    <w:rsid w:val="006D6689"/>
    <w:rsid w:val="006D66D3"/>
    <w:rsid w:val="006D6BFB"/>
    <w:rsid w:val="006D7002"/>
    <w:rsid w:val="006E15E7"/>
    <w:rsid w:val="006E16B0"/>
    <w:rsid w:val="006E1CBF"/>
    <w:rsid w:val="006E37F4"/>
    <w:rsid w:val="006E40F6"/>
    <w:rsid w:val="006E5CA0"/>
    <w:rsid w:val="006E77B2"/>
    <w:rsid w:val="006E77FA"/>
    <w:rsid w:val="006F0195"/>
    <w:rsid w:val="006F0C41"/>
    <w:rsid w:val="006F15E4"/>
    <w:rsid w:val="006F16F8"/>
    <w:rsid w:val="006F178E"/>
    <w:rsid w:val="006F18F0"/>
    <w:rsid w:val="006F1B71"/>
    <w:rsid w:val="006F1D66"/>
    <w:rsid w:val="006F1D93"/>
    <w:rsid w:val="006F2E09"/>
    <w:rsid w:val="006F3D7A"/>
    <w:rsid w:val="006F3E3F"/>
    <w:rsid w:val="006F3EA4"/>
    <w:rsid w:val="006F536D"/>
    <w:rsid w:val="006F56FE"/>
    <w:rsid w:val="006F5AF1"/>
    <w:rsid w:val="006F6086"/>
    <w:rsid w:val="006F656D"/>
    <w:rsid w:val="006F6F71"/>
    <w:rsid w:val="006F759B"/>
    <w:rsid w:val="006F7647"/>
    <w:rsid w:val="006F7FF0"/>
    <w:rsid w:val="00701D2B"/>
    <w:rsid w:val="007021AC"/>
    <w:rsid w:val="00702A5A"/>
    <w:rsid w:val="007030C5"/>
    <w:rsid w:val="007031A1"/>
    <w:rsid w:val="00703AEB"/>
    <w:rsid w:val="007064F0"/>
    <w:rsid w:val="007064F7"/>
    <w:rsid w:val="00706F35"/>
    <w:rsid w:val="00707B26"/>
    <w:rsid w:val="007118EB"/>
    <w:rsid w:val="00711C86"/>
    <w:rsid w:val="00711CBA"/>
    <w:rsid w:val="007128FF"/>
    <w:rsid w:val="00712BBD"/>
    <w:rsid w:val="007130E1"/>
    <w:rsid w:val="00713474"/>
    <w:rsid w:val="007145E3"/>
    <w:rsid w:val="00716A5E"/>
    <w:rsid w:val="00716E5A"/>
    <w:rsid w:val="00717B5F"/>
    <w:rsid w:val="0072268F"/>
    <w:rsid w:val="0072424F"/>
    <w:rsid w:val="007247AF"/>
    <w:rsid w:val="00725232"/>
    <w:rsid w:val="00725F97"/>
    <w:rsid w:val="007273BF"/>
    <w:rsid w:val="00727C7E"/>
    <w:rsid w:val="00727D33"/>
    <w:rsid w:val="00731292"/>
    <w:rsid w:val="00731F98"/>
    <w:rsid w:val="0073288F"/>
    <w:rsid w:val="00734253"/>
    <w:rsid w:val="00734327"/>
    <w:rsid w:val="00736C26"/>
    <w:rsid w:val="0073705A"/>
    <w:rsid w:val="0073731C"/>
    <w:rsid w:val="00737601"/>
    <w:rsid w:val="00740D5E"/>
    <w:rsid w:val="00741498"/>
    <w:rsid w:val="0074163B"/>
    <w:rsid w:val="00742ED8"/>
    <w:rsid w:val="00743162"/>
    <w:rsid w:val="007435EB"/>
    <w:rsid w:val="0074413E"/>
    <w:rsid w:val="00744486"/>
    <w:rsid w:val="00744FE3"/>
    <w:rsid w:val="007453F0"/>
    <w:rsid w:val="00746787"/>
    <w:rsid w:val="0074710A"/>
    <w:rsid w:val="00750BA4"/>
    <w:rsid w:val="00750CB7"/>
    <w:rsid w:val="00752092"/>
    <w:rsid w:val="00752EC6"/>
    <w:rsid w:val="00752F89"/>
    <w:rsid w:val="00753FF8"/>
    <w:rsid w:val="007544A4"/>
    <w:rsid w:val="00755749"/>
    <w:rsid w:val="007557A0"/>
    <w:rsid w:val="00756D49"/>
    <w:rsid w:val="00760A32"/>
    <w:rsid w:val="007610FE"/>
    <w:rsid w:val="007615BD"/>
    <w:rsid w:val="00763E57"/>
    <w:rsid w:val="007642AD"/>
    <w:rsid w:val="007644DF"/>
    <w:rsid w:val="007653BB"/>
    <w:rsid w:val="00765BB6"/>
    <w:rsid w:val="00766863"/>
    <w:rsid w:val="00767D49"/>
    <w:rsid w:val="00767FB0"/>
    <w:rsid w:val="00770D47"/>
    <w:rsid w:val="007711A1"/>
    <w:rsid w:val="00771511"/>
    <w:rsid w:val="007721AF"/>
    <w:rsid w:val="0077235F"/>
    <w:rsid w:val="007725D5"/>
    <w:rsid w:val="007731FE"/>
    <w:rsid w:val="0077432C"/>
    <w:rsid w:val="00775327"/>
    <w:rsid w:val="00775A57"/>
    <w:rsid w:val="007768E7"/>
    <w:rsid w:val="00777016"/>
    <w:rsid w:val="00777080"/>
    <w:rsid w:val="007775D1"/>
    <w:rsid w:val="0077773D"/>
    <w:rsid w:val="00777868"/>
    <w:rsid w:val="0077789E"/>
    <w:rsid w:val="00777B3D"/>
    <w:rsid w:val="00780257"/>
    <w:rsid w:val="00780A52"/>
    <w:rsid w:val="00781E73"/>
    <w:rsid w:val="0078237C"/>
    <w:rsid w:val="00782389"/>
    <w:rsid w:val="007826CA"/>
    <w:rsid w:val="00782EBF"/>
    <w:rsid w:val="00783AB3"/>
    <w:rsid w:val="00783EBC"/>
    <w:rsid w:val="0078450E"/>
    <w:rsid w:val="007851B1"/>
    <w:rsid w:val="007855C3"/>
    <w:rsid w:val="00785AFC"/>
    <w:rsid w:val="00785C09"/>
    <w:rsid w:val="00785C37"/>
    <w:rsid w:val="0078740D"/>
    <w:rsid w:val="00787712"/>
    <w:rsid w:val="00787F73"/>
    <w:rsid w:val="007909B2"/>
    <w:rsid w:val="007913B9"/>
    <w:rsid w:val="00791AFF"/>
    <w:rsid w:val="007923FC"/>
    <w:rsid w:val="00792EEA"/>
    <w:rsid w:val="007950DD"/>
    <w:rsid w:val="007963FE"/>
    <w:rsid w:val="00796DDE"/>
    <w:rsid w:val="00797167"/>
    <w:rsid w:val="007A0D53"/>
    <w:rsid w:val="007A0FBD"/>
    <w:rsid w:val="007A1BB7"/>
    <w:rsid w:val="007A2A0D"/>
    <w:rsid w:val="007A2D76"/>
    <w:rsid w:val="007A2F47"/>
    <w:rsid w:val="007A5B9A"/>
    <w:rsid w:val="007A5EF2"/>
    <w:rsid w:val="007B2257"/>
    <w:rsid w:val="007B495A"/>
    <w:rsid w:val="007B595B"/>
    <w:rsid w:val="007B6C03"/>
    <w:rsid w:val="007B7EAD"/>
    <w:rsid w:val="007C000B"/>
    <w:rsid w:val="007C208B"/>
    <w:rsid w:val="007C28C2"/>
    <w:rsid w:val="007C3B5F"/>
    <w:rsid w:val="007C3C24"/>
    <w:rsid w:val="007C5258"/>
    <w:rsid w:val="007C53D4"/>
    <w:rsid w:val="007C5F0F"/>
    <w:rsid w:val="007C6C1A"/>
    <w:rsid w:val="007D0417"/>
    <w:rsid w:val="007D0820"/>
    <w:rsid w:val="007D17C4"/>
    <w:rsid w:val="007D29B9"/>
    <w:rsid w:val="007D3777"/>
    <w:rsid w:val="007D3C32"/>
    <w:rsid w:val="007D5236"/>
    <w:rsid w:val="007D6A79"/>
    <w:rsid w:val="007D6F97"/>
    <w:rsid w:val="007D73E5"/>
    <w:rsid w:val="007E2800"/>
    <w:rsid w:val="007E4B31"/>
    <w:rsid w:val="007E7425"/>
    <w:rsid w:val="007E78A9"/>
    <w:rsid w:val="007E7A8E"/>
    <w:rsid w:val="007F01DB"/>
    <w:rsid w:val="007F0261"/>
    <w:rsid w:val="007F0EA1"/>
    <w:rsid w:val="007F1F92"/>
    <w:rsid w:val="007F2A1A"/>
    <w:rsid w:val="007F3DFD"/>
    <w:rsid w:val="007F4ED1"/>
    <w:rsid w:val="007F7288"/>
    <w:rsid w:val="007F7C50"/>
    <w:rsid w:val="007F7CDD"/>
    <w:rsid w:val="0080035E"/>
    <w:rsid w:val="00800BD9"/>
    <w:rsid w:val="008013FF"/>
    <w:rsid w:val="008025FA"/>
    <w:rsid w:val="0080281B"/>
    <w:rsid w:val="00802C1E"/>
    <w:rsid w:val="00802D39"/>
    <w:rsid w:val="00803E43"/>
    <w:rsid w:val="008044E2"/>
    <w:rsid w:val="0080569F"/>
    <w:rsid w:val="008063AC"/>
    <w:rsid w:val="00807B89"/>
    <w:rsid w:val="008104CE"/>
    <w:rsid w:val="00810C30"/>
    <w:rsid w:val="008118A6"/>
    <w:rsid w:val="00811E18"/>
    <w:rsid w:val="0081228A"/>
    <w:rsid w:val="008124A0"/>
    <w:rsid w:val="0081274A"/>
    <w:rsid w:val="00813F3D"/>
    <w:rsid w:val="00815499"/>
    <w:rsid w:val="008161D5"/>
    <w:rsid w:val="00817EA1"/>
    <w:rsid w:val="00821033"/>
    <w:rsid w:val="008214B2"/>
    <w:rsid w:val="0082208C"/>
    <w:rsid w:val="00822FD2"/>
    <w:rsid w:val="008230CE"/>
    <w:rsid w:val="008232D3"/>
    <w:rsid w:val="00823A1E"/>
    <w:rsid w:val="00823E0B"/>
    <w:rsid w:val="00824409"/>
    <w:rsid w:val="0082502D"/>
    <w:rsid w:val="0082653A"/>
    <w:rsid w:val="0083020B"/>
    <w:rsid w:val="008306D0"/>
    <w:rsid w:val="0083117E"/>
    <w:rsid w:val="00831836"/>
    <w:rsid w:val="008322B9"/>
    <w:rsid w:val="00832C67"/>
    <w:rsid w:val="00832E68"/>
    <w:rsid w:val="0083310A"/>
    <w:rsid w:val="00833279"/>
    <w:rsid w:val="0083419B"/>
    <w:rsid w:val="0083682E"/>
    <w:rsid w:val="008374EE"/>
    <w:rsid w:val="008400B7"/>
    <w:rsid w:val="00841AB4"/>
    <w:rsid w:val="00843059"/>
    <w:rsid w:val="008430D1"/>
    <w:rsid w:val="0084351F"/>
    <w:rsid w:val="00843D98"/>
    <w:rsid w:val="008442AF"/>
    <w:rsid w:val="00844B5C"/>
    <w:rsid w:val="00844F44"/>
    <w:rsid w:val="00845442"/>
    <w:rsid w:val="0084607A"/>
    <w:rsid w:val="008479E2"/>
    <w:rsid w:val="00850316"/>
    <w:rsid w:val="00850A58"/>
    <w:rsid w:val="0085219E"/>
    <w:rsid w:val="0085374E"/>
    <w:rsid w:val="008546F0"/>
    <w:rsid w:val="00856C12"/>
    <w:rsid w:val="0086069F"/>
    <w:rsid w:val="00860850"/>
    <w:rsid w:val="00861477"/>
    <w:rsid w:val="00861AE4"/>
    <w:rsid w:val="00861E7B"/>
    <w:rsid w:val="00862346"/>
    <w:rsid w:val="0086301C"/>
    <w:rsid w:val="00863D61"/>
    <w:rsid w:val="00866E00"/>
    <w:rsid w:val="008712AF"/>
    <w:rsid w:val="0087254C"/>
    <w:rsid w:val="00872AD3"/>
    <w:rsid w:val="00873AF8"/>
    <w:rsid w:val="00873E69"/>
    <w:rsid w:val="008740DB"/>
    <w:rsid w:val="008741BB"/>
    <w:rsid w:val="00874393"/>
    <w:rsid w:val="0087486C"/>
    <w:rsid w:val="008749E6"/>
    <w:rsid w:val="00875C7C"/>
    <w:rsid w:val="00876348"/>
    <w:rsid w:val="00876501"/>
    <w:rsid w:val="008770A5"/>
    <w:rsid w:val="00877892"/>
    <w:rsid w:val="008802C7"/>
    <w:rsid w:val="00883ABA"/>
    <w:rsid w:val="00884BF2"/>
    <w:rsid w:val="008859BB"/>
    <w:rsid w:val="00885AEB"/>
    <w:rsid w:val="00885C57"/>
    <w:rsid w:val="008872BA"/>
    <w:rsid w:val="008872F4"/>
    <w:rsid w:val="008876D2"/>
    <w:rsid w:val="00887C45"/>
    <w:rsid w:val="0089142A"/>
    <w:rsid w:val="008933A7"/>
    <w:rsid w:val="00893C20"/>
    <w:rsid w:val="008948DE"/>
    <w:rsid w:val="00894B97"/>
    <w:rsid w:val="0089572F"/>
    <w:rsid w:val="00896B78"/>
    <w:rsid w:val="00896C0E"/>
    <w:rsid w:val="00896DC3"/>
    <w:rsid w:val="008971D4"/>
    <w:rsid w:val="008972F2"/>
    <w:rsid w:val="008A1198"/>
    <w:rsid w:val="008A1967"/>
    <w:rsid w:val="008A25F9"/>
    <w:rsid w:val="008A27A8"/>
    <w:rsid w:val="008A2CCD"/>
    <w:rsid w:val="008A3A76"/>
    <w:rsid w:val="008A4372"/>
    <w:rsid w:val="008A44DC"/>
    <w:rsid w:val="008A626D"/>
    <w:rsid w:val="008A65FE"/>
    <w:rsid w:val="008A7B72"/>
    <w:rsid w:val="008A7C30"/>
    <w:rsid w:val="008B0825"/>
    <w:rsid w:val="008B0FB0"/>
    <w:rsid w:val="008B1642"/>
    <w:rsid w:val="008B4B95"/>
    <w:rsid w:val="008B5DA2"/>
    <w:rsid w:val="008B7166"/>
    <w:rsid w:val="008B7790"/>
    <w:rsid w:val="008B7AFB"/>
    <w:rsid w:val="008C1E7C"/>
    <w:rsid w:val="008C20F3"/>
    <w:rsid w:val="008C341B"/>
    <w:rsid w:val="008C38A3"/>
    <w:rsid w:val="008C60E4"/>
    <w:rsid w:val="008C6106"/>
    <w:rsid w:val="008C6908"/>
    <w:rsid w:val="008C78D1"/>
    <w:rsid w:val="008D0698"/>
    <w:rsid w:val="008D0844"/>
    <w:rsid w:val="008D114C"/>
    <w:rsid w:val="008D12BA"/>
    <w:rsid w:val="008D137B"/>
    <w:rsid w:val="008D15BB"/>
    <w:rsid w:val="008D17E5"/>
    <w:rsid w:val="008D1F95"/>
    <w:rsid w:val="008D3361"/>
    <w:rsid w:val="008D3B0E"/>
    <w:rsid w:val="008D53ED"/>
    <w:rsid w:val="008D6F74"/>
    <w:rsid w:val="008D720A"/>
    <w:rsid w:val="008D7476"/>
    <w:rsid w:val="008D74D4"/>
    <w:rsid w:val="008E17C5"/>
    <w:rsid w:val="008E2428"/>
    <w:rsid w:val="008E2791"/>
    <w:rsid w:val="008E2F5E"/>
    <w:rsid w:val="008E3113"/>
    <w:rsid w:val="008E5945"/>
    <w:rsid w:val="008E5CCF"/>
    <w:rsid w:val="008E6534"/>
    <w:rsid w:val="008E6A9F"/>
    <w:rsid w:val="008E771A"/>
    <w:rsid w:val="008E7F37"/>
    <w:rsid w:val="008F0430"/>
    <w:rsid w:val="008F045A"/>
    <w:rsid w:val="008F08E0"/>
    <w:rsid w:val="008F1592"/>
    <w:rsid w:val="008F169A"/>
    <w:rsid w:val="008F4E7E"/>
    <w:rsid w:val="008F50E3"/>
    <w:rsid w:val="008F53F5"/>
    <w:rsid w:val="008F5421"/>
    <w:rsid w:val="008F689A"/>
    <w:rsid w:val="008F7D19"/>
    <w:rsid w:val="0090076E"/>
    <w:rsid w:val="00900FF4"/>
    <w:rsid w:val="0090136D"/>
    <w:rsid w:val="00903701"/>
    <w:rsid w:val="00903CAA"/>
    <w:rsid w:val="00904CA7"/>
    <w:rsid w:val="00906078"/>
    <w:rsid w:val="009065A2"/>
    <w:rsid w:val="00907087"/>
    <w:rsid w:val="00907142"/>
    <w:rsid w:val="00907758"/>
    <w:rsid w:val="00907F4D"/>
    <w:rsid w:val="0091027F"/>
    <w:rsid w:val="009118EC"/>
    <w:rsid w:val="00911E56"/>
    <w:rsid w:val="00911F46"/>
    <w:rsid w:val="00912454"/>
    <w:rsid w:val="00912889"/>
    <w:rsid w:val="00913271"/>
    <w:rsid w:val="00913B2D"/>
    <w:rsid w:val="00914D60"/>
    <w:rsid w:val="00915C96"/>
    <w:rsid w:val="00915F98"/>
    <w:rsid w:val="00916651"/>
    <w:rsid w:val="009167F3"/>
    <w:rsid w:val="00917A9B"/>
    <w:rsid w:val="0092020A"/>
    <w:rsid w:val="0092042E"/>
    <w:rsid w:val="009205A1"/>
    <w:rsid w:val="00921764"/>
    <w:rsid w:val="00921852"/>
    <w:rsid w:val="00922A3E"/>
    <w:rsid w:val="00923853"/>
    <w:rsid w:val="00924047"/>
    <w:rsid w:val="009245A0"/>
    <w:rsid w:val="009245FC"/>
    <w:rsid w:val="009249FC"/>
    <w:rsid w:val="00925881"/>
    <w:rsid w:val="0092616C"/>
    <w:rsid w:val="009266D0"/>
    <w:rsid w:val="0092766E"/>
    <w:rsid w:val="0093023D"/>
    <w:rsid w:val="009304F5"/>
    <w:rsid w:val="00931B39"/>
    <w:rsid w:val="00931CAA"/>
    <w:rsid w:val="00934AA7"/>
    <w:rsid w:val="00934CE8"/>
    <w:rsid w:val="00936061"/>
    <w:rsid w:val="009363DB"/>
    <w:rsid w:val="0093650B"/>
    <w:rsid w:val="00936766"/>
    <w:rsid w:val="00936DD5"/>
    <w:rsid w:val="00937FA2"/>
    <w:rsid w:val="009418CE"/>
    <w:rsid w:val="00942BF8"/>
    <w:rsid w:val="0094343A"/>
    <w:rsid w:val="009448FF"/>
    <w:rsid w:val="00944B77"/>
    <w:rsid w:val="00944F05"/>
    <w:rsid w:val="00945ACB"/>
    <w:rsid w:val="00947C4C"/>
    <w:rsid w:val="009503E4"/>
    <w:rsid w:val="00950A1F"/>
    <w:rsid w:val="0095228F"/>
    <w:rsid w:val="00953755"/>
    <w:rsid w:val="009554A4"/>
    <w:rsid w:val="00955723"/>
    <w:rsid w:val="00955FCE"/>
    <w:rsid w:val="009606D9"/>
    <w:rsid w:val="009657A8"/>
    <w:rsid w:val="00965DC1"/>
    <w:rsid w:val="009663DC"/>
    <w:rsid w:val="0096645E"/>
    <w:rsid w:val="00967221"/>
    <w:rsid w:val="009673A5"/>
    <w:rsid w:val="009701B1"/>
    <w:rsid w:val="009707EF"/>
    <w:rsid w:val="009717C2"/>
    <w:rsid w:val="0097207A"/>
    <w:rsid w:val="00972564"/>
    <w:rsid w:val="009727F0"/>
    <w:rsid w:val="00973219"/>
    <w:rsid w:val="00973F8B"/>
    <w:rsid w:val="0097444B"/>
    <w:rsid w:val="00974C3F"/>
    <w:rsid w:val="00975990"/>
    <w:rsid w:val="00975BB4"/>
    <w:rsid w:val="00975F43"/>
    <w:rsid w:val="00977301"/>
    <w:rsid w:val="009830F8"/>
    <w:rsid w:val="009832DA"/>
    <w:rsid w:val="009833EC"/>
    <w:rsid w:val="0098483D"/>
    <w:rsid w:val="00984A56"/>
    <w:rsid w:val="00985810"/>
    <w:rsid w:val="00985954"/>
    <w:rsid w:val="00985E15"/>
    <w:rsid w:val="00986384"/>
    <w:rsid w:val="00987CC1"/>
    <w:rsid w:val="00990A67"/>
    <w:rsid w:val="00990B66"/>
    <w:rsid w:val="00990FEF"/>
    <w:rsid w:val="00992008"/>
    <w:rsid w:val="0099294D"/>
    <w:rsid w:val="00993867"/>
    <w:rsid w:val="00994CE0"/>
    <w:rsid w:val="00995774"/>
    <w:rsid w:val="0099595D"/>
    <w:rsid w:val="00996052"/>
    <w:rsid w:val="00996682"/>
    <w:rsid w:val="00997AE2"/>
    <w:rsid w:val="00997D99"/>
    <w:rsid w:val="009A0D63"/>
    <w:rsid w:val="009A0D78"/>
    <w:rsid w:val="009A1483"/>
    <w:rsid w:val="009A1AE4"/>
    <w:rsid w:val="009A238B"/>
    <w:rsid w:val="009A23E5"/>
    <w:rsid w:val="009A23FF"/>
    <w:rsid w:val="009A2514"/>
    <w:rsid w:val="009A3767"/>
    <w:rsid w:val="009A3F7E"/>
    <w:rsid w:val="009A7045"/>
    <w:rsid w:val="009A7DCA"/>
    <w:rsid w:val="009B0C33"/>
    <w:rsid w:val="009B0F5C"/>
    <w:rsid w:val="009B1490"/>
    <w:rsid w:val="009B2120"/>
    <w:rsid w:val="009B2AB5"/>
    <w:rsid w:val="009B40AE"/>
    <w:rsid w:val="009B6DE0"/>
    <w:rsid w:val="009B71F7"/>
    <w:rsid w:val="009C02EF"/>
    <w:rsid w:val="009C11AD"/>
    <w:rsid w:val="009C1A01"/>
    <w:rsid w:val="009C1FF3"/>
    <w:rsid w:val="009C3070"/>
    <w:rsid w:val="009C50E0"/>
    <w:rsid w:val="009C6659"/>
    <w:rsid w:val="009C6726"/>
    <w:rsid w:val="009C766A"/>
    <w:rsid w:val="009C79F0"/>
    <w:rsid w:val="009C7A31"/>
    <w:rsid w:val="009D082F"/>
    <w:rsid w:val="009D10A4"/>
    <w:rsid w:val="009D2F5D"/>
    <w:rsid w:val="009D32AD"/>
    <w:rsid w:val="009D4365"/>
    <w:rsid w:val="009D49E3"/>
    <w:rsid w:val="009D579C"/>
    <w:rsid w:val="009D57E6"/>
    <w:rsid w:val="009D5878"/>
    <w:rsid w:val="009D5B39"/>
    <w:rsid w:val="009D5E51"/>
    <w:rsid w:val="009D7671"/>
    <w:rsid w:val="009D7AB0"/>
    <w:rsid w:val="009D7F34"/>
    <w:rsid w:val="009E07E3"/>
    <w:rsid w:val="009E22A1"/>
    <w:rsid w:val="009E2E1C"/>
    <w:rsid w:val="009E43F5"/>
    <w:rsid w:val="009E52D3"/>
    <w:rsid w:val="009E5E9B"/>
    <w:rsid w:val="009E68C3"/>
    <w:rsid w:val="009E79F4"/>
    <w:rsid w:val="009F002B"/>
    <w:rsid w:val="009F0C78"/>
    <w:rsid w:val="009F2251"/>
    <w:rsid w:val="009F2531"/>
    <w:rsid w:val="009F2779"/>
    <w:rsid w:val="009F34F3"/>
    <w:rsid w:val="009F412C"/>
    <w:rsid w:val="009F4844"/>
    <w:rsid w:val="009F5A0D"/>
    <w:rsid w:val="009F5A99"/>
    <w:rsid w:val="009F5F24"/>
    <w:rsid w:val="009F61FA"/>
    <w:rsid w:val="009F6A4F"/>
    <w:rsid w:val="009F7F5E"/>
    <w:rsid w:val="00A025BC"/>
    <w:rsid w:val="00A02DAE"/>
    <w:rsid w:val="00A03110"/>
    <w:rsid w:val="00A032F0"/>
    <w:rsid w:val="00A04971"/>
    <w:rsid w:val="00A06450"/>
    <w:rsid w:val="00A10266"/>
    <w:rsid w:val="00A10B45"/>
    <w:rsid w:val="00A10DF5"/>
    <w:rsid w:val="00A119C6"/>
    <w:rsid w:val="00A12B8F"/>
    <w:rsid w:val="00A1345F"/>
    <w:rsid w:val="00A1357A"/>
    <w:rsid w:val="00A13A19"/>
    <w:rsid w:val="00A1441C"/>
    <w:rsid w:val="00A16390"/>
    <w:rsid w:val="00A169AC"/>
    <w:rsid w:val="00A16E46"/>
    <w:rsid w:val="00A2186A"/>
    <w:rsid w:val="00A218BB"/>
    <w:rsid w:val="00A22B17"/>
    <w:rsid w:val="00A22E50"/>
    <w:rsid w:val="00A24105"/>
    <w:rsid w:val="00A2481F"/>
    <w:rsid w:val="00A25582"/>
    <w:rsid w:val="00A26339"/>
    <w:rsid w:val="00A264C6"/>
    <w:rsid w:val="00A26FBA"/>
    <w:rsid w:val="00A27B74"/>
    <w:rsid w:val="00A301A8"/>
    <w:rsid w:val="00A309B5"/>
    <w:rsid w:val="00A32731"/>
    <w:rsid w:val="00A3282B"/>
    <w:rsid w:val="00A32A8B"/>
    <w:rsid w:val="00A33410"/>
    <w:rsid w:val="00A335A8"/>
    <w:rsid w:val="00A341EE"/>
    <w:rsid w:val="00A34E73"/>
    <w:rsid w:val="00A36292"/>
    <w:rsid w:val="00A3698D"/>
    <w:rsid w:val="00A36C39"/>
    <w:rsid w:val="00A36DB6"/>
    <w:rsid w:val="00A40069"/>
    <w:rsid w:val="00A40170"/>
    <w:rsid w:val="00A40A97"/>
    <w:rsid w:val="00A41170"/>
    <w:rsid w:val="00A41CFA"/>
    <w:rsid w:val="00A42BC3"/>
    <w:rsid w:val="00A43077"/>
    <w:rsid w:val="00A43603"/>
    <w:rsid w:val="00A436C3"/>
    <w:rsid w:val="00A4388F"/>
    <w:rsid w:val="00A44805"/>
    <w:rsid w:val="00A44CC5"/>
    <w:rsid w:val="00A46543"/>
    <w:rsid w:val="00A504B9"/>
    <w:rsid w:val="00A52075"/>
    <w:rsid w:val="00A53087"/>
    <w:rsid w:val="00A53127"/>
    <w:rsid w:val="00A53200"/>
    <w:rsid w:val="00A538E8"/>
    <w:rsid w:val="00A53DD3"/>
    <w:rsid w:val="00A53F7B"/>
    <w:rsid w:val="00A55492"/>
    <w:rsid w:val="00A56127"/>
    <w:rsid w:val="00A565FE"/>
    <w:rsid w:val="00A56A36"/>
    <w:rsid w:val="00A56C89"/>
    <w:rsid w:val="00A57104"/>
    <w:rsid w:val="00A57925"/>
    <w:rsid w:val="00A57CD5"/>
    <w:rsid w:val="00A61B9D"/>
    <w:rsid w:val="00A620F5"/>
    <w:rsid w:val="00A62332"/>
    <w:rsid w:val="00A62689"/>
    <w:rsid w:val="00A62863"/>
    <w:rsid w:val="00A62C3F"/>
    <w:rsid w:val="00A64968"/>
    <w:rsid w:val="00A65317"/>
    <w:rsid w:val="00A65BEA"/>
    <w:rsid w:val="00A6619D"/>
    <w:rsid w:val="00A666C8"/>
    <w:rsid w:val="00A66FED"/>
    <w:rsid w:val="00A6729C"/>
    <w:rsid w:val="00A675C7"/>
    <w:rsid w:val="00A675C8"/>
    <w:rsid w:val="00A6766F"/>
    <w:rsid w:val="00A67A3D"/>
    <w:rsid w:val="00A712BC"/>
    <w:rsid w:val="00A71967"/>
    <w:rsid w:val="00A7240F"/>
    <w:rsid w:val="00A72469"/>
    <w:rsid w:val="00A7253D"/>
    <w:rsid w:val="00A75036"/>
    <w:rsid w:val="00A7636B"/>
    <w:rsid w:val="00A779F2"/>
    <w:rsid w:val="00A77C94"/>
    <w:rsid w:val="00A8169A"/>
    <w:rsid w:val="00A819E0"/>
    <w:rsid w:val="00A8270B"/>
    <w:rsid w:val="00A82DA1"/>
    <w:rsid w:val="00A8484D"/>
    <w:rsid w:val="00A85EF6"/>
    <w:rsid w:val="00A86076"/>
    <w:rsid w:val="00A863F1"/>
    <w:rsid w:val="00A86ACF"/>
    <w:rsid w:val="00A86DD3"/>
    <w:rsid w:val="00A904D4"/>
    <w:rsid w:val="00A9116B"/>
    <w:rsid w:val="00A9363C"/>
    <w:rsid w:val="00A94373"/>
    <w:rsid w:val="00A950EC"/>
    <w:rsid w:val="00A954DB"/>
    <w:rsid w:val="00A95C16"/>
    <w:rsid w:val="00AA03FB"/>
    <w:rsid w:val="00AA056F"/>
    <w:rsid w:val="00AA0939"/>
    <w:rsid w:val="00AA1414"/>
    <w:rsid w:val="00AA4380"/>
    <w:rsid w:val="00AA5A4D"/>
    <w:rsid w:val="00AA682E"/>
    <w:rsid w:val="00AA704C"/>
    <w:rsid w:val="00AA78CF"/>
    <w:rsid w:val="00AB0308"/>
    <w:rsid w:val="00AB0FA1"/>
    <w:rsid w:val="00AB1943"/>
    <w:rsid w:val="00AB216A"/>
    <w:rsid w:val="00AB21A3"/>
    <w:rsid w:val="00AB2F6F"/>
    <w:rsid w:val="00AB343C"/>
    <w:rsid w:val="00AB3838"/>
    <w:rsid w:val="00AB3E91"/>
    <w:rsid w:val="00AB4759"/>
    <w:rsid w:val="00AB50DD"/>
    <w:rsid w:val="00AB5555"/>
    <w:rsid w:val="00AB7556"/>
    <w:rsid w:val="00AB75E4"/>
    <w:rsid w:val="00AC00F3"/>
    <w:rsid w:val="00AC082F"/>
    <w:rsid w:val="00AC08FA"/>
    <w:rsid w:val="00AC11DA"/>
    <w:rsid w:val="00AC125A"/>
    <w:rsid w:val="00AC2162"/>
    <w:rsid w:val="00AC2950"/>
    <w:rsid w:val="00AC35B6"/>
    <w:rsid w:val="00AC5174"/>
    <w:rsid w:val="00AC5B6B"/>
    <w:rsid w:val="00AC64AB"/>
    <w:rsid w:val="00AC6A22"/>
    <w:rsid w:val="00AC6D57"/>
    <w:rsid w:val="00AC7094"/>
    <w:rsid w:val="00AC7B45"/>
    <w:rsid w:val="00AD0109"/>
    <w:rsid w:val="00AD01F1"/>
    <w:rsid w:val="00AD0744"/>
    <w:rsid w:val="00AD1122"/>
    <w:rsid w:val="00AD233A"/>
    <w:rsid w:val="00AD25AF"/>
    <w:rsid w:val="00AD2C85"/>
    <w:rsid w:val="00AD3414"/>
    <w:rsid w:val="00AD3B9E"/>
    <w:rsid w:val="00AD4C51"/>
    <w:rsid w:val="00AD63FF"/>
    <w:rsid w:val="00AD6C8B"/>
    <w:rsid w:val="00AE06AF"/>
    <w:rsid w:val="00AE0E35"/>
    <w:rsid w:val="00AE115C"/>
    <w:rsid w:val="00AE1A52"/>
    <w:rsid w:val="00AE1BA8"/>
    <w:rsid w:val="00AE258C"/>
    <w:rsid w:val="00AE34E5"/>
    <w:rsid w:val="00AE3799"/>
    <w:rsid w:val="00AE3B90"/>
    <w:rsid w:val="00AE3D2D"/>
    <w:rsid w:val="00AE3FA7"/>
    <w:rsid w:val="00AE4293"/>
    <w:rsid w:val="00AE64EE"/>
    <w:rsid w:val="00AE6931"/>
    <w:rsid w:val="00AF03DE"/>
    <w:rsid w:val="00AF11E0"/>
    <w:rsid w:val="00AF1D90"/>
    <w:rsid w:val="00AF28DE"/>
    <w:rsid w:val="00AF2B1A"/>
    <w:rsid w:val="00AF3C6C"/>
    <w:rsid w:val="00AF4C48"/>
    <w:rsid w:val="00AF573A"/>
    <w:rsid w:val="00AF5F61"/>
    <w:rsid w:val="00AF6738"/>
    <w:rsid w:val="00AF67FF"/>
    <w:rsid w:val="00AF6E05"/>
    <w:rsid w:val="00B008A6"/>
    <w:rsid w:val="00B01601"/>
    <w:rsid w:val="00B02C06"/>
    <w:rsid w:val="00B0413B"/>
    <w:rsid w:val="00B04F66"/>
    <w:rsid w:val="00B05F92"/>
    <w:rsid w:val="00B06F27"/>
    <w:rsid w:val="00B07205"/>
    <w:rsid w:val="00B073BF"/>
    <w:rsid w:val="00B10290"/>
    <w:rsid w:val="00B10354"/>
    <w:rsid w:val="00B106A3"/>
    <w:rsid w:val="00B129A4"/>
    <w:rsid w:val="00B12FF1"/>
    <w:rsid w:val="00B1310E"/>
    <w:rsid w:val="00B13D2C"/>
    <w:rsid w:val="00B13F75"/>
    <w:rsid w:val="00B13F99"/>
    <w:rsid w:val="00B16DAE"/>
    <w:rsid w:val="00B216F1"/>
    <w:rsid w:val="00B22126"/>
    <w:rsid w:val="00B2272D"/>
    <w:rsid w:val="00B22FF2"/>
    <w:rsid w:val="00B2319D"/>
    <w:rsid w:val="00B2369B"/>
    <w:rsid w:val="00B23BCA"/>
    <w:rsid w:val="00B259CE"/>
    <w:rsid w:val="00B262E9"/>
    <w:rsid w:val="00B262EB"/>
    <w:rsid w:val="00B266EC"/>
    <w:rsid w:val="00B27664"/>
    <w:rsid w:val="00B3145E"/>
    <w:rsid w:val="00B3148F"/>
    <w:rsid w:val="00B325D2"/>
    <w:rsid w:val="00B33647"/>
    <w:rsid w:val="00B342CA"/>
    <w:rsid w:val="00B343AF"/>
    <w:rsid w:val="00B351E4"/>
    <w:rsid w:val="00B35658"/>
    <w:rsid w:val="00B36DA9"/>
    <w:rsid w:val="00B3782A"/>
    <w:rsid w:val="00B3799E"/>
    <w:rsid w:val="00B400D2"/>
    <w:rsid w:val="00B4041D"/>
    <w:rsid w:val="00B40E57"/>
    <w:rsid w:val="00B41EFD"/>
    <w:rsid w:val="00B41F51"/>
    <w:rsid w:val="00B421EA"/>
    <w:rsid w:val="00B424F7"/>
    <w:rsid w:val="00B429C8"/>
    <w:rsid w:val="00B44525"/>
    <w:rsid w:val="00B451DD"/>
    <w:rsid w:val="00B45846"/>
    <w:rsid w:val="00B464C5"/>
    <w:rsid w:val="00B510EF"/>
    <w:rsid w:val="00B512C8"/>
    <w:rsid w:val="00B53073"/>
    <w:rsid w:val="00B5331A"/>
    <w:rsid w:val="00B535D0"/>
    <w:rsid w:val="00B536C2"/>
    <w:rsid w:val="00B55DDC"/>
    <w:rsid w:val="00B56380"/>
    <w:rsid w:val="00B56930"/>
    <w:rsid w:val="00B56A04"/>
    <w:rsid w:val="00B56CFC"/>
    <w:rsid w:val="00B57412"/>
    <w:rsid w:val="00B57801"/>
    <w:rsid w:val="00B57F60"/>
    <w:rsid w:val="00B6279E"/>
    <w:rsid w:val="00B62CF2"/>
    <w:rsid w:val="00B64AAF"/>
    <w:rsid w:val="00B64E97"/>
    <w:rsid w:val="00B674B2"/>
    <w:rsid w:val="00B67D13"/>
    <w:rsid w:val="00B70624"/>
    <w:rsid w:val="00B71F5E"/>
    <w:rsid w:val="00B726AE"/>
    <w:rsid w:val="00B7274F"/>
    <w:rsid w:val="00B72811"/>
    <w:rsid w:val="00B73BD9"/>
    <w:rsid w:val="00B7505D"/>
    <w:rsid w:val="00B75E57"/>
    <w:rsid w:val="00B77979"/>
    <w:rsid w:val="00B808B5"/>
    <w:rsid w:val="00B817FA"/>
    <w:rsid w:val="00B819E0"/>
    <w:rsid w:val="00B8226F"/>
    <w:rsid w:val="00B83022"/>
    <w:rsid w:val="00B8404D"/>
    <w:rsid w:val="00B84FDA"/>
    <w:rsid w:val="00B8545C"/>
    <w:rsid w:val="00B85C99"/>
    <w:rsid w:val="00B85CB1"/>
    <w:rsid w:val="00B86C80"/>
    <w:rsid w:val="00B87D28"/>
    <w:rsid w:val="00B90DD3"/>
    <w:rsid w:val="00B914FF"/>
    <w:rsid w:val="00B927A0"/>
    <w:rsid w:val="00B9390C"/>
    <w:rsid w:val="00B93D49"/>
    <w:rsid w:val="00B94EBA"/>
    <w:rsid w:val="00B95329"/>
    <w:rsid w:val="00B963D7"/>
    <w:rsid w:val="00B97293"/>
    <w:rsid w:val="00B97E10"/>
    <w:rsid w:val="00BA024C"/>
    <w:rsid w:val="00BA06D9"/>
    <w:rsid w:val="00BA1835"/>
    <w:rsid w:val="00BA49BD"/>
    <w:rsid w:val="00BA663C"/>
    <w:rsid w:val="00BA67F2"/>
    <w:rsid w:val="00BA7816"/>
    <w:rsid w:val="00BB00A7"/>
    <w:rsid w:val="00BB0F9D"/>
    <w:rsid w:val="00BB18C3"/>
    <w:rsid w:val="00BB2236"/>
    <w:rsid w:val="00BB2F1E"/>
    <w:rsid w:val="00BB45D1"/>
    <w:rsid w:val="00BB493C"/>
    <w:rsid w:val="00BB4F1A"/>
    <w:rsid w:val="00BB5221"/>
    <w:rsid w:val="00BB5657"/>
    <w:rsid w:val="00BB5793"/>
    <w:rsid w:val="00BB658C"/>
    <w:rsid w:val="00BB75F8"/>
    <w:rsid w:val="00BB7C61"/>
    <w:rsid w:val="00BC0662"/>
    <w:rsid w:val="00BC0F38"/>
    <w:rsid w:val="00BC18E0"/>
    <w:rsid w:val="00BC2DB4"/>
    <w:rsid w:val="00BC3833"/>
    <w:rsid w:val="00BC3959"/>
    <w:rsid w:val="00BC6E49"/>
    <w:rsid w:val="00BC726F"/>
    <w:rsid w:val="00BC7A93"/>
    <w:rsid w:val="00BD00B0"/>
    <w:rsid w:val="00BD0A40"/>
    <w:rsid w:val="00BD3FEF"/>
    <w:rsid w:val="00BD47D5"/>
    <w:rsid w:val="00BD4CC7"/>
    <w:rsid w:val="00BD595D"/>
    <w:rsid w:val="00BD75EB"/>
    <w:rsid w:val="00BD7A8A"/>
    <w:rsid w:val="00BE00B4"/>
    <w:rsid w:val="00BE012E"/>
    <w:rsid w:val="00BE02DF"/>
    <w:rsid w:val="00BE1478"/>
    <w:rsid w:val="00BE1855"/>
    <w:rsid w:val="00BE298A"/>
    <w:rsid w:val="00BE2CC0"/>
    <w:rsid w:val="00BE303E"/>
    <w:rsid w:val="00BE501D"/>
    <w:rsid w:val="00BE5998"/>
    <w:rsid w:val="00BE696D"/>
    <w:rsid w:val="00BE6BA8"/>
    <w:rsid w:val="00BE6FB8"/>
    <w:rsid w:val="00BF0EA8"/>
    <w:rsid w:val="00BF4397"/>
    <w:rsid w:val="00BF48BD"/>
    <w:rsid w:val="00BF562F"/>
    <w:rsid w:val="00BF5718"/>
    <w:rsid w:val="00BF6FE5"/>
    <w:rsid w:val="00BF70AB"/>
    <w:rsid w:val="00C0072F"/>
    <w:rsid w:val="00C0137D"/>
    <w:rsid w:val="00C02280"/>
    <w:rsid w:val="00C024E6"/>
    <w:rsid w:val="00C02F4A"/>
    <w:rsid w:val="00C02F7F"/>
    <w:rsid w:val="00C0355C"/>
    <w:rsid w:val="00C035B0"/>
    <w:rsid w:val="00C040C3"/>
    <w:rsid w:val="00C04128"/>
    <w:rsid w:val="00C05359"/>
    <w:rsid w:val="00C06282"/>
    <w:rsid w:val="00C07080"/>
    <w:rsid w:val="00C07F83"/>
    <w:rsid w:val="00C10C5E"/>
    <w:rsid w:val="00C12C00"/>
    <w:rsid w:val="00C13AD1"/>
    <w:rsid w:val="00C13C96"/>
    <w:rsid w:val="00C1426E"/>
    <w:rsid w:val="00C144C6"/>
    <w:rsid w:val="00C149E0"/>
    <w:rsid w:val="00C16650"/>
    <w:rsid w:val="00C1747D"/>
    <w:rsid w:val="00C17F69"/>
    <w:rsid w:val="00C20242"/>
    <w:rsid w:val="00C20FE0"/>
    <w:rsid w:val="00C21525"/>
    <w:rsid w:val="00C228B3"/>
    <w:rsid w:val="00C23C13"/>
    <w:rsid w:val="00C2417C"/>
    <w:rsid w:val="00C244E3"/>
    <w:rsid w:val="00C24854"/>
    <w:rsid w:val="00C257EA"/>
    <w:rsid w:val="00C25DE2"/>
    <w:rsid w:val="00C26805"/>
    <w:rsid w:val="00C26BF7"/>
    <w:rsid w:val="00C3085A"/>
    <w:rsid w:val="00C30A85"/>
    <w:rsid w:val="00C32632"/>
    <w:rsid w:val="00C35F63"/>
    <w:rsid w:val="00C36192"/>
    <w:rsid w:val="00C361D9"/>
    <w:rsid w:val="00C363D9"/>
    <w:rsid w:val="00C36564"/>
    <w:rsid w:val="00C36654"/>
    <w:rsid w:val="00C3698B"/>
    <w:rsid w:val="00C375F6"/>
    <w:rsid w:val="00C37A7E"/>
    <w:rsid w:val="00C40060"/>
    <w:rsid w:val="00C42FD0"/>
    <w:rsid w:val="00C4374C"/>
    <w:rsid w:val="00C44961"/>
    <w:rsid w:val="00C44DE7"/>
    <w:rsid w:val="00C45100"/>
    <w:rsid w:val="00C50612"/>
    <w:rsid w:val="00C5175E"/>
    <w:rsid w:val="00C5539F"/>
    <w:rsid w:val="00C55EC9"/>
    <w:rsid w:val="00C56116"/>
    <w:rsid w:val="00C56C28"/>
    <w:rsid w:val="00C56E0F"/>
    <w:rsid w:val="00C57C94"/>
    <w:rsid w:val="00C57D90"/>
    <w:rsid w:val="00C6156A"/>
    <w:rsid w:val="00C619A4"/>
    <w:rsid w:val="00C61DE6"/>
    <w:rsid w:val="00C623B6"/>
    <w:rsid w:val="00C63891"/>
    <w:rsid w:val="00C639B7"/>
    <w:rsid w:val="00C6492E"/>
    <w:rsid w:val="00C64E21"/>
    <w:rsid w:val="00C64ED7"/>
    <w:rsid w:val="00C65046"/>
    <w:rsid w:val="00C65631"/>
    <w:rsid w:val="00C66248"/>
    <w:rsid w:val="00C66DE9"/>
    <w:rsid w:val="00C670A8"/>
    <w:rsid w:val="00C672FF"/>
    <w:rsid w:val="00C71F22"/>
    <w:rsid w:val="00C7250D"/>
    <w:rsid w:val="00C727B5"/>
    <w:rsid w:val="00C72B59"/>
    <w:rsid w:val="00C7302C"/>
    <w:rsid w:val="00C73C48"/>
    <w:rsid w:val="00C73C61"/>
    <w:rsid w:val="00C74468"/>
    <w:rsid w:val="00C7513E"/>
    <w:rsid w:val="00C754E5"/>
    <w:rsid w:val="00C76C84"/>
    <w:rsid w:val="00C80239"/>
    <w:rsid w:val="00C80AEF"/>
    <w:rsid w:val="00C82171"/>
    <w:rsid w:val="00C829F1"/>
    <w:rsid w:val="00C82E03"/>
    <w:rsid w:val="00C8318A"/>
    <w:rsid w:val="00C8419F"/>
    <w:rsid w:val="00C85652"/>
    <w:rsid w:val="00C868DE"/>
    <w:rsid w:val="00C874DA"/>
    <w:rsid w:val="00C901F7"/>
    <w:rsid w:val="00C9079E"/>
    <w:rsid w:val="00C90B00"/>
    <w:rsid w:val="00C9172B"/>
    <w:rsid w:val="00C93941"/>
    <w:rsid w:val="00C94841"/>
    <w:rsid w:val="00CA1763"/>
    <w:rsid w:val="00CA31F0"/>
    <w:rsid w:val="00CA4BE4"/>
    <w:rsid w:val="00CA5D71"/>
    <w:rsid w:val="00CA6C05"/>
    <w:rsid w:val="00CB0709"/>
    <w:rsid w:val="00CB2945"/>
    <w:rsid w:val="00CB33E2"/>
    <w:rsid w:val="00CB3722"/>
    <w:rsid w:val="00CB3BB1"/>
    <w:rsid w:val="00CB46E8"/>
    <w:rsid w:val="00CB4791"/>
    <w:rsid w:val="00CB4CC7"/>
    <w:rsid w:val="00CB4CF5"/>
    <w:rsid w:val="00CB6AF3"/>
    <w:rsid w:val="00CB6DE1"/>
    <w:rsid w:val="00CB7D2A"/>
    <w:rsid w:val="00CC0539"/>
    <w:rsid w:val="00CC0985"/>
    <w:rsid w:val="00CC18D9"/>
    <w:rsid w:val="00CC1D57"/>
    <w:rsid w:val="00CC1E15"/>
    <w:rsid w:val="00CC2B18"/>
    <w:rsid w:val="00CC3EDC"/>
    <w:rsid w:val="00CC459E"/>
    <w:rsid w:val="00CC522E"/>
    <w:rsid w:val="00CC5517"/>
    <w:rsid w:val="00CC6769"/>
    <w:rsid w:val="00CC7AA2"/>
    <w:rsid w:val="00CC7D4A"/>
    <w:rsid w:val="00CC7DF4"/>
    <w:rsid w:val="00CD06A4"/>
    <w:rsid w:val="00CD1BAD"/>
    <w:rsid w:val="00CD2B1F"/>
    <w:rsid w:val="00CD4AF8"/>
    <w:rsid w:val="00CD5874"/>
    <w:rsid w:val="00CD59A4"/>
    <w:rsid w:val="00CD60BF"/>
    <w:rsid w:val="00CD68F3"/>
    <w:rsid w:val="00CD70BA"/>
    <w:rsid w:val="00CD79FC"/>
    <w:rsid w:val="00CE02CB"/>
    <w:rsid w:val="00CE1D7D"/>
    <w:rsid w:val="00CE1DA2"/>
    <w:rsid w:val="00CE2611"/>
    <w:rsid w:val="00CE2D87"/>
    <w:rsid w:val="00CE2FBB"/>
    <w:rsid w:val="00CE34DB"/>
    <w:rsid w:val="00CE3A0D"/>
    <w:rsid w:val="00CE3D70"/>
    <w:rsid w:val="00CE5EC4"/>
    <w:rsid w:val="00CE6B40"/>
    <w:rsid w:val="00CF0A05"/>
    <w:rsid w:val="00CF19E2"/>
    <w:rsid w:val="00CF1BC7"/>
    <w:rsid w:val="00CF1F22"/>
    <w:rsid w:val="00CF2711"/>
    <w:rsid w:val="00CF27CB"/>
    <w:rsid w:val="00CF3BE8"/>
    <w:rsid w:val="00CF4B21"/>
    <w:rsid w:val="00CF4B68"/>
    <w:rsid w:val="00CF4E3D"/>
    <w:rsid w:val="00CF5106"/>
    <w:rsid w:val="00CF6C7C"/>
    <w:rsid w:val="00CF76EB"/>
    <w:rsid w:val="00CF7A88"/>
    <w:rsid w:val="00CF7F3D"/>
    <w:rsid w:val="00D00C6C"/>
    <w:rsid w:val="00D00F30"/>
    <w:rsid w:val="00D018B3"/>
    <w:rsid w:val="00D01F0F"/>
    <w:rsid w:val="00D03509"/>
    <w:rsid w:val="00D03611"/>
    <w:rsid w:val="00D03CF6"/>
    <w:rsid w:val="00D0472B"/>
    <w:rsid w:val="00D051EB"/>
    <w:rsid w:val="00D0527D"/>
    <w:rsid w:val="00D055B4"/>
    <w:rsid w:val="00D05EF1"/>
    <w:rsid w:val="00D06249"/>
    <w:rsid w:val="00D07C63"/>
    <w:rsid w:val="00D07F63"/>
    <w:rsid w:val="00D07FBB"/>
    <w:rsid w:val="00D11496"/>
    <w:rsid w:val="00D11847"/>
    <w:rsid w:val="00D13905"/>
    <w:rsid w:val="00D14853"/>
    <w:rsid w:val="00D14A2E"/>
    <w:rsid w:val="00D158B5"/>
    <w:rsid w:val="00D15DCE"/>
    <w:rsid w:val="00D16819"/>
    <w:rsid w:val="00D17F18"/>
    <w:rsid w:val="00D211A2"/>
    <w:rsid w:val="00D215CD"/>
    <w:rsid w:val="00D23103"/>
    <w:rsid w:val="00D236EA"/>
    <w:rsid w:val="00D2433A"/>
    <w:rsid w:val="00D26BB3"/>
    <w:rsid w:val="00D2700D"/>
    <w:rsid w:val="00D27A57"/>
    <w:rsid w:val="00D31581"/>
    <w:rsid w:val="00D31DC3"/>
    <w:rsid w:val="00D31E56"/>
    <w:rsid w:val="00D329F6"/>
    <w:rsid w:val="00D33C72"/>
    <w:rsid w:val="00D34007"/>
    <w:rsid w:val="00D34C3B"/>
    <w:rsid w:val="00D37DEF"/>
    <w:rsid w:val="00D4048A"/>
    <w:rsid w:val="00D40BBA"/>
    <w:rsid w:val="00D41032"/>
    <w:rsid w:val="00D42303"/>
    <w:rsid w:val="00D424DF"/>
    <w:rsid w:val="00D42830"/>
    <w:rsid w:val="00D4349D"/>
    <w:rsid w:val="00D441F9"/>
    <w:rsid w:val="00D44EA4"/>
    <w:rsid w:val="00D45B72"/>
    <w:rsid w:val="00D46B2D"/>
    <w:rsid w:val="00D506AA"/>
    <w:rsid w:val="00D51122"/>
    <w:rsid w:val="00D51D51"/>
    <w:rsid w:val="00D52DA4"/>
    <w:rsid w:val="00D5382E"/>
    <w:rsid w:val="00D541D1"/>
    <w:rsid w:val="00D55725"/>
    <w:rsid w:val="00D55B3F"/>
    <w:rsid w:val="00D55B47"/>
    <w:rsid w:val="00D55DB4"/>
    <w:rsid w:val="00D56334"/>
    <w:rsid w:val="00D56C20"/>
    <w:rsid w:val="00D56F99"/>
    <w:rsid w:val="00D57069"/>
    <w:rsid w:val="00D616DE"/>
    <w:rsid w:val="00D61753"/>
    <w:rsid w:val="00D62A5D"/>
    <w:rsid w:val="00D62DD4"/>
    <w:rsid w:val="00D63589"/>
    <w:rsid w:val="00D641FE"/>
    <w:rsid w:val="00D649F8"/>
    <w:rsid w:val="00D64BF5"/>
    <w:rsid w:val="00D66718"/>
    <w:rsid w:val="00D66798"/>
    <w:rsid w:val="00D70F2E"/>
    <w:rsid w:val="00D7156B"/>
    <w:rsid w:val="00D72153"/>
    <w:rsid w:val="00D730E5"/>
    <w:rsid w:val="00D738BC"/>
    <w:rsid w:val="00D73A3F"/>
    <w:rsid w:val="00D74C3D"/>
    <w:rsid w:val="00D75705"/>
    <w:rsid w:val="00D77F55"/>
    <w:rsid w:val="00D81418"/>
    <w:rsid w:val="00D828B8"/>
    <w:rsid w:val="00D828C6"/>
    <w:rsid w:val="00D83ECD"/>
    <w:rsid w:val="00D841EF"/>
    <w:rsid w:val="00D85128"/>
    <w:rsid w:val="00D85CA0"/>
    <w:rsid w:val="00D867B1"/>
    <w:rsid w:val="00D86822"/>
    <w:rsid w:val="00D9013F"/>
    <w:rsid w:val="00D91B35"/>
    <w:rsid w:val="00D91E7F"/>
    <w:rsid w:val="00D92028"/>
    <w:rsid w:val="00D928C1"/>
    <w:rsid w:val="00D92F59"/>
    <w:rsid w:val="00D930FE"/>
    <w:rsid w:val="00D937E6"/>
    <w:rsid w:val="00D9388C"/>
    <w:rsid w:val="00D93E7F"/>
    <w:rsid w:val="00D941C4"/>
    <w:rsid w:val="00D95281"/>
    <w:rsid w:val="00D959AF"/>
    <w:rsid w:val="00D96600"/>
    <w:rsid w:val="00DA0D41"/>
    <w:rsid w:val="00DA3135"/>
    <w:rsid w:val="00DA32B6"/>
    <w:rsid w:val="00DA6EA7"/>
    <w:rsid w:val="00DA7C80"/>
    <w:rsid w:val="00DB0CA0"/>
    <w:rsid w:val="00DB3248"/>
    <w:rsid w:val="00DB3383"/>
    <w:rsid w:val="00DB35FC"/>
    <w:rsid w:val="00DB36A2"/>
    <w:rsid w:val="00DB4066"/>
    <w:rsid w:val="00DB58B4"/>
    <w:rsid w:val="00DB5B8A"/>
    <w:rsid w:val="00DB7CD7"/>
    <w:rsid w:val="00DC0076"/>
    <w:rsid w:val="00DC0857"/>
    <w:rsid w:val="00DC0E6B"/>
    <w:rsid w:val="00DC0F4D"/>
    <w:rsid w:val="00DC117D"/>
    <w:rsid w:val="00DC20CE"/>
    <w:rsid w:val="00DC274C"/>
    <w:rsid w:val="00DC2E34"/>
    <w:rsid w:val="00DC3627"/>
    <w:rsid w:val="00DC3F5E"/>
    <w:rsid w:val="00DC3F9F"/>
    <w:rsid w:val="00DC4E7A"/>
    <w:rsid w:val="00DC5B61"/>
    <w:rsid w:val="00DC76BD"/>
    <w:rsid w:val="00DD094D"/>
    <w:rsid w:val="00DD2CC9"/>
    <w:rsid w:val="00DD2EAC"/>
    <w:rsid w:val="00DD3B6B"/>
    <w:rsid w:val="00DD6562"/>
    <w:rsid w:val="00DD6782"/>
    <w:rsid w:val="00DD68E1"/>
    <w:rsid w:val="00DD764F"/>
    <w:rsid w:val="00DE0A28"/>
    <w:rsid w:val="00DE1B89"/>
    <w:rsid w:val="00DE1E21"/>
    <w:rsid w:val="00DE453A"/>
    <w:rsid w:val="00DE54E9"/>
    <w:rsid w:val="00DE66A5"/>
    <w:rsid w:val="00DE6708"/>
    <w:rsid w:val="00DE7D3C"/>
    <w:rsid w:val="00DF1333"/>
    <w:rsid w:val="00DF1AA0"/>
    <w:rsid w:val="00DF1FFD"/>
    <w:rsid w:val="00DF25AF"/>
    <w:rsid w:val="00DF2B25"/>
    <w:rsid w:val="00DF55AB"/>
    <w:rsid w:val="00DF5B55"/>
    <w:rsid w:val="00DF7F12"/>
    <w:rsid w:val="00E00076"/>
    <w:rsid w:val="00E02C66"/>
    <w:rsid w:val="00E03B8E"/>
    <w:rsid w:val="00E03D12"/>
    <w:rsid w:val="00E03E65"/>
    <w:rsid w:val="00E04BF4"/>
    <w:rsid w:val="00E04CD9"/>
    <w:rsid w:val="00E050E4"/>
    <w:rsid w:val="00E05F85"/>
    <w:rsid w:val="00E063FC"/>
    <w:rsid w:val="00E06EE5"/>
    <w:rsid w:val="00E073D6"/>
    <w:rsid w:val="00E07682"/>
    <w:rsid w:val="00E10BE0"/>
    <w:rsid w:val="00E11744"/>
    <w:rsid w:val="00E1220B"/>
    <w:rsid w:val="00E124CD"/>
    <w:rsid w:val="00E1378B"/>
    <w:rsid w:val="00E13D12"/>
    <w:rsid w:val="00E14246"/>
    <w:rsid w:val="00E1437D"/>
    <w:rsid w:val="00E14967"/>
    <w:rsid w:val="00E150B5"/>
    <w:rsid w:val="00E1639F"/>
    <w:rsid w:val="00E203F7"/>
    <w:rsid w:val="00E20633"/>
    <w:rsid w:val="00E20B05"/>
    <w:rsid w:val="00E21C97"/>
    <w:rsid w:val="00E2213D"/>
    <w:rsid w:val="00E22148"/>
    <w:rsid w:val="00E2322F"/>
    <w:rsid w:val="00E23BA7"/>
    <w:rsid w:val="00E23C04"/>
    <w:rsid w:val="00E2547F"/>
    <w:rsid w:val="00E255BA"/>
    <w:rsid w:val="00E25A66"/>
    <w:rsid w:val="00E25E7E"/>
    <w:rsid w:val="00E2600A"/>
    <w:rsid w:val="00E269DB"/>
    <w:rsid w:val="00E2704C"/>
    <w:rsid w:val="00E31D58"/>
    <w:rsid w:val="00E3223A"/>
    <w:rsid w:val="00E32581"/>
    <w:rsid w:val="00E32B8B"/>
    <w:rsid w:val="00E33AE9"/>
    <w:rsid w:val="00E341DA"/>
    <w:rsid w:val="00E36700"/>
    <w:rsid w:val="00E40ECE"/>
    <w:rsid w:val="00E41495"/>
    <w:rsid w:val="00E41E2B"/>
    <w:rsid w:val="00E41F2B"/>
    <w:rsid w:val="00E42339"/>
    <w:rsid w:val="00E42D74"/>
    <w:rsid w:val="00E443F8"/>
    <w:rsid w:val="00E45A9B"/>
    <w:rsid w:val="00E45CA0"/>
    <w:rsid w:val="00E47065"/>
    <w:rsid w:val="00E47D23"/>
    <w:rsid w:val="00E501B3"/>
    <w:rsid w:val="00E5044B"/>
    <w:rsid w:val="00E50ADD"/>
    <w:rsid w:val="00E519A3"/>
    <w:rsid w:val="00E51B55"/>
    <w:rsid w:val="00E521A0"/>
    <w:rsid w:val="00E521C0"/>
    <w:rsid w:val="00E54665"/>
    <w:rsid w:val="00E560A4"/>
    <w:rsid w:val="00E57CDF"/>
    <w:rsid w:val="00E611F4"/>
    <w:rsid w:val="00E617DB"/>
    <w:rsid w:val="00E626DD"/>
    <w:rsid w:val="00E626F5"/>
    <w:rsid w:val="00E633F6"/>
    <w:rsid w:val="00E64BD1"/>
    <w:rsid w:val="00E6549A"/>
    <w:rsid w:val="00E6599D"/>
    <w:rsid w:val="00E66473"/>
    <w:rsid w:val="00E666CB"/>
    <w:rsid w:val="00E668A3"/>
    <w:rsid w:val="00E67164"/>
    <w:rsid w:val="00E707FB"/>
    <w:rsid w:val="00E70DFB"/>
    <w:rsid w:val="00E75245"/>
    <w:rsid w:val="00E7599D"/>
    <w:rsid w:val="00E75B5D"/>
    <w:rsid w:val="00E7710C"/>
    <w:rsid w:val="00E772C0"/>
    <w:rsid w:val="00E775A7"/>
    <w:rsid w:val="00E80E77"/>
    <w:rsid w:val="00E817B1"/>
    <w:rsid w:val="00E82160"/>
    <w:rsid w:val="00E82336"/>
    <w:rsid w:val="00E829AA"/>
    <w:rsid w:val="00E82EB1"/>
    <w:rsid w:val="00E84280"/>
    <w:rsid w:val="00E851B0"/>
    <w:rsid w:val="00E86287"/>
    <w:rsid w:val="00E87F51"/>
    <w:rsid w:val="00E90977"/>
    <w:rsid w:val="00E911E7"/>
    <w:rsid w:val="00E94101"/>
    <w:rsid w:val="00E9427F"/>
    <w:rsid w:val="00E94BA2"/>
    <w:rsid w:val="00E9570A"/>
    <w:rsid w:val="00EA1724"/>
    <w:rsid w:val="00EA20AE"/>
    <w:rsid w:val="00EA2563"/>
    <w:rsid w:val="00EA25F9"/>
    <w:rsid w:val="00EA33E2"/>
    <w:rsid w:val="00EA3855"/>
    <w:rsid w:val="00EA3DB5"/>
    <w:rsid w:val="00EA4913"/>
    <w:rsid w:val="00EA5761"/>
    <w:rsid w:val="00EA7965"/>
    <w:rsid w:val="00EA7F70"/>
    <w:rsid w:val="00EB0306"/>
    <w:rsid w:val="00EB0B86"/>
    <w:rsid w:val="00EB1420"/>
    <w:rsid w:val="00EB1576"/>
    <w:rsid w:val="00EB19F0"/>
    <w:rsid w:val="00EB19FF"/>
    <w:rsid w:val="00EB2082"/>
    <w:rsid w:val="00EB220B"/>
    <w:rsid w:val="00EB2CB6"/>
    <w:rsid w:val="00EB2DB1"/>
    <w:rsid w:val="00EB5DDA"/>
    <w:rsid w:val="00EB7139"/>
    <w:rsid w:val="00EC331E"/>
    <w:rsid w:val="00EC37C0"/>
    <w:rsid w:val="00EC3BE1"/>
    <w:rsid w:val="00EC42AE"/>
    <w:rsid w:val="00EC58C6"/>
    <w:rsid w:val="00EC63EB"/>
    <w:rsid w:val="00EC6ACC"/>
    <w:rsid w:val="00EC751A"/>
    <w:rsid w:val="00EC7A8E"/>
    <w:rsid w:val="00ED1AC2"/>
    <w:rsid w:val="00ED38A0"/>
    <w:rsid w:val="00ED394C"/>
    <w:rsid w:val="00ED4233"/>
    <w:rsid w:val="00ED675B"/>
    <w:rsid w:val="00EE0486"/>
    <w:rsid w:val="00EE071E"/>
    <w:rsid w:val="00EE0B40"/>
    <w:rsid w:val="00EE198F"/>
    <w:rsid w:val="00EE3F2C"/>
    <w:rsid w:val="00EE49B1"/>
    <w:rsid w:val="00EE6CC2"/>
    <w:rsid w:val="00EE6D3B"/>
    <w:rsid w:val="00EE74C7"/>
    <w:rsid w:val="00EE7BE7"/>
    <w:rsid w:val="00EE7DF6"/>
    <w:rsid w:val="00EE7E68"/>
    <w:rsid w:val="00EF0197"/>
    <w:rsid w:val="00EF0C24"/>
    <w:rsid w:val="00EF0E4E"/>
    <w:rsid w:val="00EF1478"/>
    <w:rsid w:val="00EF2558"/>
    <w:rsid w:val="00EF5107"/>
    <w:rsid w:val="00EF7281"/>
    <w:rsid w:val="00EF73A5"/>
    <w:rsid w:val="00F00CBE"/>
    <w:rsid w:val="00F00E93"/>
    <w:rsid w:val="00F00F8E"/>
    <w:rsid w:val="00F0115B"/>
    <w:rsid w:val="00F013FE"/>
    <w:rsid w:val="00F02888"/>
    <w:rsid w:val="00F04F2A"/>
    <w:rsid w:val="00F05489"/>
    <w:rsid w:val="00F05BE0"/>
    <w:rsid w:val="00F06222"/>
    <w:rsid w:val="00F078DC"/>
    <w:rsid w:val="00F10A64"/>
    <w:rsid w:val="00F1141B"/>
    <w:rsid w:val="00F12842"/>
    <w:rsid w:val="00F130F1"/>
    <w:rsid w:val="00F13AB7"/>
    <w:rsid w:val="00F14248"/>
    <w:rsid w:val="00F15FD8"/>
    <w:rsid w:val="00F170C0"/>
    <w:rsid w:val="00F20A19"/>
    <w:rsid w:val="00F21738"/>
    <w:rsid w:val="00F21B5B"/>
    <w:rsid w:val="00F21E2C"/>
    <w:rsid w:val="00F22240"/>
    <w:rsid w:val="00F22A19"/>
    <w:rsid w:val="00F2325B"/>
    <w:rsid w:val="00F23838"/>
    <w:rsid w:val="00F241E5"/>
    <w:rsid w:val="00F24FBF"/>
    <w:rsid w:val="00F25656"/>
    <w:rsid w:val="00F261D5"/>
    <w:rsid w:val="00F261FB"/>
    <w:rsid w:val="00F26310"/>
    <w:rsid w:val="00F27E2B"/>
    <w:rsid w:val="00F27E60"/>
    <w:rsid w:val="00F30762"/>
    <w:rsid w:val="00F307B3"/>
    <w:rsid w:val="00F32E61"/>
    <w:rsid w:val="00F33AE6"/>
    <w:rsid w:val="00F34BD0"/>
    <w:rsid w:val="00F35CC8"/>
    <w:rsid w:val="00F377A4"/>
    <w:rsid w:val="00F405C0"/>
    <w:rsid w:val="00F409BA"/>
    <w:rsid w:val="00F41D90"/>
    <w:rsid w:val="00F43C56"/>
    <w:rsid w:val="00F44197"/>
    <w:rsid w:val="00F459C7"/>
    <w:rsid w:val="00F45D69"/>
    <w:rsid w:val="00F46797"/>
    <w:rsid w:val="00F47072"/>
    <w:rsid w:val="00F479F3"/>
    <w:rsid w:val="00F505D7"/>
    <w:rsid w:val="00F507F4"/>
    <w:rsid w:val="00F50888"/>
    <w:rsid w:val="00F51A99"/>
    <w:rsid w:val="00F51BFF"/>
    <w:rsid w:val="00F5315D"/>
    <w:rsid w:val="00F5399D"/>
    <w:rsid w:val="00F53B0D"/>
    <w:rsid w:val="00F53B6E"/>
    <w:rsid w:val="00F555FC"/>
    <w:rsid w:val="00F56346"/>
    <w:rsid w:val="00F566DE"/>
    <w:rsid w:val="00F56F7A"/>
    <w:rsid w:val="00F601E6"/>
    <w:rsid w:val="00F60841"/>
    <w:rsid w:val="00F609D6"/>
    <w:rsid w:val="00F61C76"/>
    <w:rsid w:val="00F61CD2"/>
    <w:rsid w:val="00F62787"/>
    <w:rsid w:val="00F62854"/>
    <w:rsid w:val="00F62A18"/>
    <w:rsid w:val="00F62B75"/>
    <w:rsid w:val="00F644BE"/>
    <w:rsid w:val="00F65077"/>
    <w:rsid w:val="00F651CA"/>
    <w:rsid w:val="00F658CC"/>
    <w:rsid w:val="00F65DF5"/>
    <w:rsid w:val="00F66B96"/>
    <w:rsid w:val="00F66FA5"/>
    <w:rsid w:val="00F67DD9"/>
    <w:rsid w:val="00F700F3"/>
    <w:rsid w:val="00F70FF3"/>
    <w:rsid w:val="00F71210"/>
    <w:rsid w:val="00F712CE"/>
    <w:rsid w:val="00F71838"/>
    <w:rsid w:val="00F728EF"/>
    <w:rsid w:val="00F72F75"/>
    <w:rsid w:val="00F7459C"/>
    <w:rsid w:val="00F74D2E"/>
    <w:rsid w:val="00F7501A"/>
    <w:rsid w:val="00F755F9"/>
    <w:rsid w:val="00F808DA"/>
    <w:rsid w:val="00F80AF3"/>
    <w:rsid w:val="00F80B76"/>
    <w:rsid w:val="00F8110A"/>
    <w:rsid w:val="00F834B8"/>
    <w:rsid w:val="00F83910"/>
    <w:rsid w:val="00F83996"/>
    <w:rsid w:val="00F83ACE"/>
    <w:rsid w:val="00F83D42"/>
    <w:rsid w:val="00F849B8"/>
    <w:rsid w:val="00F84C8C"/>
    <w:rsid w:val="00F855BD"/>
    <w:rsid w:val="00F857CC"/>
    <w:rsid w:val="00F85F3D"/>
    <w:rsid w:val="00F90CE2"/>
    <w:rsid w:val="00F92101"/>
    <w:rsid w:val="00F93196"/>
    <w:rsid w:val="00F9361F"/>
    <w:rsid w:val="00F94487"/>
    <w:rsid w:val="00F944C6"/>
    <w:rsid w:val="00F94942"/>
    <w:rsid w:val="00F94A9B"/>
    <w:rsid w:val="00F94BAF"/>
    <w:rsid w:val="00F95921"/>
    <w:rsid w:val="00F95C70"/>
    <w:rsid w:val="00F97C73"/>
    <w:rsid w:val="00FA05B4"/>
    <w:rsid w:val="00FA13CE"/>
    <w:rsid w:val="00FA156B"/>
    <w:rsid w:val="00FA1DB1"/>
    <w:rsid w:val="00FA2830"/>
    <w:rsid w:val="00FA2BC9"/>
    <w:rsid w:val="00FA2EB0"/>
    <w:rsid w:val="00FA4B5E"/>
    <w:rsid w:val="00FA5A9F"/>
    <w:rsid w:val="00FA688A"/>
    <w:rsid w:val="00FA74B0"/>
    <w:rsid w:val="00FA7A41"/>
    <w:rsid w:val="00FA7D08"/>
    <w:rsid w:val="00FB0C7D"/>
    <w:rsid w:val="00FB1483"/>
    <w:rsid w:val="00FB251A"/>
    <w:rsid w:val="00FB2D2B"/>
    <w:rsid w:val="00FB357E"/>
    <w:rsid w:val="00FB36CE"/>
    <w:rsid w:val="00FB5D3E"/>
    <w:rsid w:val="00FB61BF"/>
    <w:rsid w:val="00FB6B89"/>
    <w:rsid w:val="00FB76B6"/>
    <w:rsid w:val="00FB7BFE"/>
    <w:rsid w:val="00FC04D7"/>
    <w:rsid w:val="00FC0BAF"/>
    <w:rsid w:val="00FC2056"/>
    <w:rsid w:val="00FC2316"/>
    <w:rsid w:val="00FC2418"/>
    <w:rsid w:val="00FC46F5"/>
    <w:rsid w:val="00FC4B61"/>
    <w:rsid w:val="00FC6599"/>
    <w:rsid w:val="00FC7817"/>
    <w:rsid w:val="00FD0DF6"/>
    <w:rsid w:val="00FD0F51"/>
    <w:rsid w:val="00FD1732"/>
    <w:rsid w:val="00FD1FD7"/>
    <w:rsid w:val="00FD2F37"/>
    <w:rsid w:val="00FD4BB2"/>
    <w:rsid w:val="00FD52D2"/>
    <w:rsid w:val="00FD552F"/>
    <w:rsid w:val="00FD5D88"/>
    <w:rsid w:val="00FE0128"/>
    <w:rsid w:val="00FE10E4"/>
    <w:rsid w:val="00FE1237"/>
    <w:rsid w:val="00FE30ED"/>
    <w:rsid w:val="00FE33EB"/>
    <w:rsid w:val="00FE34DC"/>
    <w:rsid w:val="00FE361C"/>
    <w:rsid w:val="00FE3A5F"/>
    <w:rsid w:val="00FE433F"/>
    <w:rsid w:val="00FE44FE"/>
    <w:rsid w:val="00FE5405"/>
    <w:rsid w:val="00FE5448"/>
    <w:rsid w:val="00FE5DA5"/>
    <w:rsid w:val="00FE5E54"/>
    <w:rsid w:val="00FE6102"/>
    <w:rsid w:val="00FE6D0A"/>
    <w:rsid w:val="00FE7019"/>
    <w:rsid w:val="00FE7A5B"/>
    <w:rsid w:val="00FF0507"/>
    <w:rsid w:val="00FF0A47"/>
    <w:rsid w:val="00FF0D50"/>
    <w:rsid w:val="00FF178A"/>
    <w:rsid w:val="00FF1956"/>
    <w:rsid w:val="00FF1E17"/>
    <w:rsid w:val="00FF1EB4"/>
    <w:rsid w:val="00FF26FF"/>
    <w:rsid w:val="00FF2813"/>
    <w:rsid w:val="00FF2FC2"/>
    <w:rsid w:val="00FF3B74"/>
    <w:rsid w:val="00FF45C2"/>
    <w:rsid w:val="00FF4D78"/>
    <w:rsid w:val="00FF4F9A"/>
    <w:rsid w:val="00FF5A60"/>
    <w:rsid w:val="00FF65BD"/>
    <w:rsid w:val="00FF6988"/>
    <w:rsid w:val="00FF6E83"/>
    <w:rsid w:val="00FF7575"/>
    <w:rsid w:val="00FF7A07"/>
    <w:rsid w:val="00FF7DD0"/>
    <w:rsid w:val="011975C8"/>
    <w:rsid w:val="011C1448"/>
    <w:rsid w:val="013B7545"/>
    <w:rsid w:val="016D3CCF"/>
    <w:rsid w:val="01874FD0"/>
    <w:rsid w:val="01B17E66"/>
    <w:rsid w:val="01C73B2F"/>
    <w:rsid w:val="03094A24"/>
    <w:rsid w:val="039327F4"/>
    <w:rsid w:val="03F87036"/>
    <w:rsid w:val="045F7637"/>
    <w:rsid w:val="04A72A21"/>
    <w:rsid w:val="04E01B3A"/>
    <w:rsid w:val="04F217BD"/>
    <w:rsid w:val="051508DD"/>
    <w:rsid w:val="056D4879"/>
    <w:rsid w:val="05C87CA2"/>
    <w:rsid w:val="05F27A4D"/>
    <w:rsid w:val="064A4D56"/>
    <w:rsid w:val="064F2365"/>
    <w:rsid w:val="069F2DC2"/>
    <w:rsid w:val="06BF7DC5"/>
    <w:rsid w:val="076E6805"/>
    <w:rsid w:val="08297BEC"/>
    <w:rsid w:val="082B19D5"/>
    <w:rsid w:val="08880820"/>
    <w:rsid w:val="088C572C"/>
    <w:rsid w:val="088E38EA"/>
    <w:rsid w:val="089C3E67"/>
    <w:rsid w:val="08E30990"/>
    <w:rsid w:val="090351AB"/>
    <w:rsid w:val="091E4F7D"/>
    <w:rsid w:val="092D6169"/>
    <w:rsid w:val="095B7627"/>
    <w:rsid w:val="0A2D3970"/>
    <w:rsid w:val="0A406EF3"/>
    <w:rsid w:val="0A487AF9"/>
    <w:rsid w:val="0AA124B7"/>
    <w:rsid w:val="0AC1704E"/>
    <w:rsid w:val="0AC575D6"/>
    <w:rsid w:val="0B446AEB"/>
    <w:rsid w:val="0B484249"/>
    <w:rsid w:val="0B537119"/>
    <w:rsid w:val="0B8D5D5A"/>
    <w:rsid w:val="0BA75A6D"/>
    <w:rsid w:val="0BB569FC"/>
    <w:rsid w:val="0BCC05E3"/>
    <w:rsid w:val="0CDE513A"/>
    <w:rsid w:val="0CE666CA"/>
    <w:rsid w:val="0CE720A9"/>
    <w:rsid w:val="0CF602B9"/>
    <w:rsid w:val="0D1A5D96"/>
    <w:rsid w:val="0D2B6A8E"/>
    <w:rsid w:val="0D4A2E23"/>
    <w:rsid w:val="0E730B71"/>
    <w:rsid w:val="0E95386C"/>
    <w:rsid w:val="0EC82423"/>
    <w:rsid w:val="0EFE0D4D"/>
    <w:rsid w:val="0FDD7B92"/>
    <w:rsid w:val="0FF41449"/>
    <w:rsid w:val="105C5C34"/>
    <w:rsid w:val="10663F5D"/>
    <w:rsid w:val="10C21139"/>
    <w:rsid w:val="10D2374C"/>
    <w:rsid w:val="112C002F"/>
    <w:rsid w:val="11606E4B"/>
    <w:rsid w:val="117A14B8"/>
    <w:rsid w:val="11867CA8"/>
    <w:rsid w:val="11B245AE"/>
    <w:rsid w:val="12345CA8"/>
    <w:rsid w:val="12A07878"/>
    <w:rsid w:val="12CA20DA"/>
    <w:rsid w:val="132F76F0"/>
    <w:rsid w:val="134363D0"/>
    <w:rsid w:val="13482EF0"/>
    <w:rsid w:val="13A813CF"/>
    <w:rsid w:val="13E16B2F"/>
    <w:rsid w:val="141D5E0F"/>
    <w:rsid w:val="145370A3"/>
    <w:rsid w:val="145F4E5F"/>
    <w:rsid w:val="1461426A"/>
    <w:rsid w:val="147F5B72"/>
    <w:rsid w:val="14EF3100"/>
    <w:rsid w:val="14F80C0E"/>
    <w:rsid w:val="1633058C"/>
    <w:rsid w:val="166F7EAA"/>
    <w:rsid w:val="16B91885"/>
    <w:rsid w:val="17212C40"/>
    <w:rsid w:val="17332009"/>
    <w:rsid w:val="173C031A"/>
    <w:rsid w:val="185145F5"/>
    <w:rsid w:val="18634697"/>
    <w:rsid w:val="188D26C7"/>
    <w:rsid w:val="18F91D28"/>
    <w:rsid w:val="19C713F4"/>
    <w:rsid w:val="19DE65BB"/>
    <w:rsid w:val="19E33C00"/>
    <w:rsid w:val="19E815E6"/>
    <w:rsid w:val="1AE82F3F"/>
    <w:rsid w:val="1AEA2E6E"/>
    <w:rsid w:val="1AF70925"/>
    <w:rsid w:val="1B023051"/>
    <w:rsid w:val="1B1C2AD4"/>
    <w:rsid w:val="1B6D6A6C"/>
    <w:rsid w:val="1B8A5A8B"/>
    <w:rsid w:val="1BEB6903"/>
    <w:rsid w:val="1BF105C9"/>
    <w:rsid w:val="1C753775"/>
    <w:rsid w:val="1CA072EE"/>
    <w:rsid w:val="1CBF0DA2"/>
    <w:rsid w:val="1D303D06"/>
    <w:rsid w:val="1D8D7376"/>
    <w:rsid w:val="1DAB5993"/>
    <w:rsid w:val="1EC87150"/>
    <w:rsid w:val="1ED02267"/>
    <w:rsid w:val="1EE238C7"/>
    <w:rsid w:val="1EFD3FE4"/>
    <w:rsid w:val="1F1F3A24"/>
    <w:rsid w:val="1F9553A1"/>
    <w:rsid w:val="1F9F033C"/>
    <w:rsid w:val="1FFA7E6B"/>
    <w:rsid w:val="216E7C66"/>
    <w:rsid w:val="21A94176"/>
    <w:rsid w:val="21C544B0"/>
    <w:rsid w:val="21D72128"/>
    <w:rsid w:val="21DD7105"/>
    <w:rsid w:val="21FB04CE"/>
    <w:rsid w:val="227B3EF9"/>
    <w:rsid w:val="22942DC7"/>
    <w:rsid w:val="22BE348E"/>
    <w:rsid w:val="23720241"/>
    <w:rsid w:val="23844FC0"/>
    <w:rsid w:val="23897D08"/>
    <w:rsid w:val="23FA0B8E"/>
    <w:rsid w:val="244C072C"/>
    <w:rsid w:val="247D5A64"/>
    <w:rsid w:val="248D40F9"/>
    <w:rsid w:val="24EC2AA6"/>
    <w:rsid w:val="25551DB6"/>
    <w:rsid w:val="25595CE4"/>
    <w:rsid w:val="25781DDC"/>
    <w:rsid w:val="258B383C"/>
    <w:rsid w:val="25A634D3"/>
    <w:rsid w:val="26132456"/>
    <w:rsid w:val="262B1E0F"/>
    <w:rsid w:val="2640261F"/>
    <w:rsid w:val="268153A1"/>
    <w:rsid w:val="26B7240F"/>
    <w:rsid w:val="26F30F14"/>
    <w:rsid w:val="270E1B1F"/>
    <w:rsid w:val="27D7735A"/>
    <w:rsid w:val="28140CDB"/>
    <w:rsid w:val="282D72D4"/>
    <w:rsid w:val="283E3DB1"/>
    <w:rsid w:val="285602E0"/>
    <w:rsid w:val="286A2C24"/>
    <w:rsid w:val="290E1FFC"/>
    <w:rsid w:val="294D4016"/>
    <w:rsid w:val="29BD59D2"/>
    <w:rsid w:val="29DB74F7"/>
    <w:rsid w:val="29E835C7"/>
    <w:rsid w:val="29F86394"/>
    <w:rsid w:val="29FA2A3E"/>
    <w:rsid w:val="2A1B2AA6"/>
    <w:rsid w:val="2A375D41"/>
    <w:rsid w:val="2A895E30"/>
    <w:rsid w:val="2A9200E2"/>
    <w:rsid w:val="2ABE74F8"/>
    <w:rsid w:val="2AD05FC8"/>
    <w:rsid w:val="2ADE5AFD"/>
    <w:rsid w:val="2B0A5A62"/>
    <w:rsid w:val="2B7319D4"/>
    <w:rsid w:val="2BD12EC2"/>
    <w:rsid w:val="2BDF324C"/>
    <w:rsid w:val="2BE75D46"/>
    <w:rsid w:val="2C095B3D"/>
    <w:rsid w:val="2C5362FE"/>
    <w:rsid w:val="2C673566"/>
    <w:rsid w:val="2C892A75"/>
    <w:rsid w:val="2CAA6919"/>
    <w:rsid w:val="2D9D6F52"/>
    <w:rsid w:val="2DD1348D"/>
    <w:rsid w:val="2DED519B"/>
    <w:rsid w:val="2E280F18"/>
    <w:rsid w:val="2E4C35FA"/>
    <w:rsid w:val="2ED41C1C"/>
    <w:rsid w:val="2EE86AC4"/>
    <w:rsid w:val="2EF03056"/>
    <w:rsid w:val="2F383732"/>
    <w:rsid w:val="2F5D4CA2"/>
    <w:rsid w:val="2F8C0E25"/>
    <w:rsid w:val="2F9015C3"/>
    <w:rsid w:val="2F945794"/>
    <w:rsid w:val="2F9F13D6"/>
    <w:rsid w:val="2FA567A5"/>
    <w:rsid w:val="2FBB5F90"/>
    <w:rsid w:val="3025663B"/>
    <w:rsid w:val="304F0BC6"/>
    <w:rsid w:val="305E058B"/>
    <w:rsid w:val="30640189"/>
    <w:rsid w:val="30FE4D2F"/>
    <w:rsid w:val="31732E43"/>
    <w:rsid w:val="319045C2"/>
    <w:rsid w:val="31BB10AF"/>
    <w:rsid w:val="32062009"/>
    <w:rsid w:val="33AA0CF9"/>
    <w:rsid w:val="33B7593F"/>
    <w:rsid w:val="33D9561C"/>
    <w:rsid w:val="33F939CB"/>
    <w:rsid w:val="34323EAE"/>
    <w:rsid w:val="34761214"/>
    <w:rsid w:val="34BA2367"/>
    <w:rsid w:val="34BE0D63"/>
    <w:rsid w:val="351855FF"/>
    <w:rsid w:val="358E3777"/>
    <w:rsid w:val="359B10B4"/>
    <w:rsid w:val="35AC0633"/>
    <w:rsid w:val="35F46BE3"/>
    <w:rsid w:val="3673754F"/>
    <w:rsid w:val="36952DAC"/>
    <w:rsid w:val="37604CEB"/>
    <w:rsid w:val="379426EC"/>
    <w:rsid w:val="37B07132"/>
    <w:rsid w:val="38444167"/>
    <w:rsid w:val="38DC3A13"/>
    <w:rsid w:val="3A136BA5"/>
    <w:rsid w:val="3A902C5C"/>
    <w:rsid w:val="3AF31DBB"/>
    <w:rsid w:val="3B7264C6"/>
    <w:rsid w:val="3B8263AA"/>
    <w:rsid w:val="3B934228"/>
    <w:rsid w:val="3C361BFD"/>
    <w:rsid w:val="3C5A62F4"/>
    <w:rsid w:val="3C6C1FFC"/>
    <w:rsid w:val="3C774BA3"/>
    <w:rsid w:val="3CB70FA0"/>
    <w:rsid w:val="3D377609"/>
    <w:rsid w:val="3D477897"/>
    <w:rsid w:val="3D4A7809"/>
    <w:rsid w:val="3D4A7DEC"/>
    <w:rsid w:val="3D8E6003"/>
    <w:rsid w:val="3E470277"/>
    <w:rsid w:val="3E4923E8"/>
    <w:rsid w:val="3E8C2EB0"/>
    <w:rsid w:val="3FAFA867"/>
    <w:rsid w:val="401A7666"/>
    <w:rsid w:val="404863C7"/>
    <w:rsid w:val="40A967C9"/>
    <w:rsid w:val="40DB3373"/>
    <w:rsid w:val="40EC1686"/>
    <w:rsid w:val="41227B14"/>
    <w:rsid w:val="41A56B66"/>
    <w:rsid w:val="41C23B47"/>
    <w:rsid w:val="427735BA"/>
    <w:rsid w:val="427D5E63"/>
    <w:rsid w:val="42CD5027"/>
    <w:rsid w:val="43071F56"/>
    <w:rsid w:val="431A038E"/>
    <w:rsid w:val="43B76DA7"/>
    <w:rsid w:val="443E3C98"/>
    <w:rsid w:val="444B3975"/>
    <w:rsid w:val="449A478B"/>
    <w:rsid w:val="44B91141"/>
    <w:rsid w:val="45671117"/>
    <w:rsid w:val="457E4526"/>
    <w:rsid w:val="46130617"/>
    <w:rsid w:val="469320D3"/>
    <w:rsid w:val="46993BA7"/>
    <w:rsid w:val="469A7ECB"/>
    <w:rsid w:val="46A02E31"/>
    <w:rsid w:val="47167CBC"/>
    <w:rsid w:val="473B3CB2"/>
    <w:rsid w:val="47744565"/>
    <w:rsid w:val="48256D81"/>
    <w:rsid w:val="48315815"/>
    <w:rsid w:val="48632753"/>
    <w:rsid w:val="48983B2B"/>
    <w:rsid w:val="48E62C44"/>
    <w:rsid w:val="48ED64D6"/>
    <w:rsid w:val="490948F4"/>
    <w:rsid w:val="498133E0"/>
    <w:rsid w:val="49C24450"/>
    <w:rsid w:val="49EC5776"/>
    <w:rsid w:val="4A4E75A8"/>
    <w:rsid w:val="4A7D1521"/>
    <w:rsid w:val="4A804A5C"/>
    <w:rsid w:val="4AD81E57"/>
    <w:rsid w:val="4AE47C47"/>
    <w:rsid w:val="4B0A3CE8"/>
    <w:rsid w:val="4B7122DD"/>
    <w:rsid w:val="4B8218B1"/>
    <w:rsid w:val="4B904E59"/>
    <w:rsid w:val="4BB70146"/>
    <w:rsid w:val="4BD95228"/>
    <w:rsid w:val="4C264391"/>
    <w:rsid w:val="4C4C5224"/>
    <w:rsid w:val="4C556A06"/>
    <w:rsid w:val="4CAD69F9"/>
    <w:rsid w:val="4CAF5AEE"/>
    <w:rsid w:val="4CD22B27"/>
    <w:rsid w:val="4CD869B8"/>
    <w:rsid w:val="4D0B0449"/>
    <w:rsid w:val="4D194385"/>
    <w:rsid w:val="4D1B2B1C"/>
    <w:rsid w:val="4D647B9D"/>
    <w:rsid w:val="4DD22137"/>
    <w:rsid w:val="4E191136"/>
    <w:rsid w:val="4E30647F"/>
    <w:rsid w:val="4E7B1295"/>
    <w:rsid w:val="4ED43961"/>
    <w:rsid w:val="4F1A1AE9"/>
    <w:rsid w:val="4F995BCA"/>
    <w:rsid w:val="4FB70494"/>
    <w:rsid w:val="4FF139AE"/>
    <w:rsid w:val="50117282"/>
    <w:rsid w:val="506005EC"/>
    <w:rsid w:val="50877A47"/>
    <w:rsid w:val="50A8345E"/>
    <w:rsid w:val="50BB74E4"/>
    <w:rsid w:val="50F1619A"/>
    <w:rsid w:val="50FA10E8"/>
    <w:rsid w:val="51660B3B"/>
    <w:rsid w:val="51767005"/>
    <w:rsid w:val="51B73973"/>
    <w:rsid w:val="5209326F"/>
    <w:rsid w:val="524B0F22"/>
    <w:rsid w:val="528B11D0"/>
    <w:rsid w:val="52C23F57"/>
    <w:rsid w:val="532D43A3"/>
    <w:rsid w:val="533C30F0"/>
    <w:rsid w:val="54164BBC"/>
    <w:rsid w:val="54625FBF"/>
    <w:rsid w:val="556C0E92"/>
    <w:rsid w:val="557F42DE"/>
    <w:rsid w:val="56680617"/>
    <w:rsid w:val="566F79A4"/>
    <w:rsid w:val="56A90293"/>
    <w:rsid w:val="571F34FB"/>
    <w:rsid w:val="573C68BB"/>
    <w:rsid w:val="575423F4"/>
    <w:rsid w:val="57552E22"/>
    <w:rsid w:val="575E69C2"/>
    <w:rsid w:val="57BB7870"/>
    <w:rsid w:val="57C11EBF"/>
    <w:rsid w:val="57DB44F4"/>
    <w:rsid w:val="580C5702"/>
    <w:rsid w:val="581F4981"/>
    <w:rsid w:val="582E04CE"/>
    <w:rsid w:val="582E421D"/>
    <w:rsid w:val="58316882"/>
    <w:rsid w:val="585D31E3"/>
    <w:rsid w:val="594013EC"/>
    <w:rsid w:val="59907A7D"/>
    <w:rsid w:val="5A2C317E"/>
    <w:rsid w:val="5A335284"/>
    <w:rsid w:val="5A443547"/>
    <w:rsid w:val="5B571748"/>
    <w:rsid w:val="5B630BEF"/>
    <w:rsid w:val="5C1A0837"/>
    <w:rsid w:val="5C273AAC"/>
    <w:rsid w:val="5D034B34"/>
    <w:rsid w:val="5D681792"/>
    <w:rsid w:val="5DC05CC1"/>
    <w:rsid w:val="5E320B59"/>
    <w:rsid w:val="5E6076C8"/>
    <w:rsid w:val="5EA72DC8"/>
    <w:rsid w:val="5ED41880"/>
    <w:rsid w:val="5EF5558D"/>
    <w:rsid w:val="5F130DFE"/>
    <w:rsid w:val="5F9060FF"/>
    <w:rsid w:val="5FCF56DB"/>
    <w:rsid w:val="5FDF3C55"/>
    <w:rsid w:val="602C4360"/>
    <w:rsid w:val="60784B89"/>
    <w:rsid w:val="609C0D9A"/>
    <w:rsid w:val="609D61A9"/>
    <w:rsid w:val="60BE6A70"/>
    <w:rsid w:val="61180E75"/>
    <w:rsid w:val="61581B1D"/>
    <w:rsid w:val="61815F7A"/>
    <w:rsid w:val="61A260DB"/>
    <w:rsid w:val="61E87AE1"/>
    <w:rsid w:val="61EC1254"/>
    <w:rsid w:val="621E117F"/>
    <w:rsid w:val="62420F29"/>
    <w:rsid w:val="625C2101"/>
    <w:rsid w:val="626E734D"/>
    <w:rsid w:val="62954CB2"/>
    <w:rsid w:val="633018A4"/>
    <w:rsid w:val="635E4BF7"/>
    <w:rsid w:val="63926328"/>
    <w:rsid w:val="63F63E55"/>
    <w:rsid w:val="64DE2339"/>
    <w:rsid w:val="65153B83"/>
    <w:rsid w:val="653B54EF"/>
    <w:rsid w:val="6562740E"/>
    <w:rsid w:val="65776A90"/>
    <w:rsid w:val="66DC040F"/>
    <w:rsid w:val="66EB236F"/>
    <w:rsid w:val="66EF7FE2"/>
    <w:rsid w:val="67022D65"/>
    <w:rsid w:val="677605C4"/>
    <w:rsid w:val="67BC4C2E"/>
    <w:rsid w:val="67D85E8A"/>
    <w:rsid w:val="67DE103B"/>
    <w:rsid w:val="698E2580"/>
    <w:rsid w:val="69BF6709"/>
    <w:rsid w:val="6A103FBA"/>
    <w:rsid w:val="6A1C624D"/>
    <w:rsid w:val="6A2B6FEE"/>
    <w:rsid w:val="6AAD774C"/>
    <w:rsid w:val="6B1F7C3A"/>
    <w:rsid w:val="6B5B0B88"/>
    <w:rsid w:val="6BF81335"/>
    <w:rsid w:val="6C4471AC"/>
    <w:rsid w:val="6CBB54D7"/>
    <w:rsid w:val="6CC3732A"/>
    <w:rsid w:val="6CC84EE5"/>
    <w:rsid w:val="6D0D1A0E"/>
    <w:rsid w:val="6D151A83"/>
    <w:rsid w:val="6D2B2E81"/>
    <w:rsid w:val="6DB56B11"/>
    <w:rsid w:val="6DCE1E60"/>
    <w:rsid w:val="6E3D3621"/>
    <w:rsid w:val="6E4A7F46"/>
    <w:rsid w:val="6F10768A"/>
    <w:rsid w:val="6F1A4757"/>
    <w:rsid w:val="6F4C4545"/>
    <w:rsid w:val="6FD3055E"/>
    <w:rsid w:val="705D4A5A"/>
    <w:rsid w:val="707D3CC8"/>
    <w:rsid w:val="714914EA"/>
    <w:rsid w:val="71520337"/>
    <w:rsid w:val="71680EFA"/>
    <w:rsid w:val="71896E1D"/>
    <w:rsid w:val="71EC60C0"/>
    <w:rsid w:val="7262F311"/>
    <w:rsid w:val="72852A7C"/>
    <w:rsid w:val="72856E75"/>
    <w:rsid w:val="72C43282"/>
    <w:rsid w:val="73463ECB"/>
    <w:rsid w:val="739A4F92"/>
    <w:rsid w:val="74950DE3"/>
    <w:rsid w:val="75466405"/>
    <w:rsid w:val="7557346C"/>
    <w:rsid w:val="7583163B"/>
    <w:rsid w:val="75832799"/>
    <w:rsid w:val="75876DE8"/>
    <w:rsid w:val="759807C6"/>
    <w:rsid w:val="75E01633"/>
    <w:rsid w:val="761300FF"/>
    <w:rsid w:val="76C53A1F"/>
    <w:rsid w:val="76E73B04"/>
    <w:rsid w:val="76F13A9E"/>
    <w:rsid w:val="76F668AC"/>
    <w:rsid w:val="770124E5"/>
    <w:rsid w:val="77AF0290"/>
    <w:rsid w:val="77B02D01"/>
    <w:rsid w:val="77EA751B"/>
    <w:rsid w:val="78C25456"/>
    <w:rsid w:val="792E2CB2"/>
    <w:rsid w:val="794D1916"/>
    <w:rsid w:val="7A3F14D3"/>
    <w:rsid w:val="7A4776B9"/>
    <w:rsid w:val="7AC611D1"/>
    <w:rsid w:val="7AE83BB3"/>
    <w:rsid w:val="7B5B428C"/>
    <w:rsid w:val="7B694335"/>
    <w:rsid w:val="7B8F09CF"/>
    <w:rsid w:val="7BDFB2FB"/>
    <w:rsid w:val="7C010A7F"/>
    <w:rsid w:val="7C433637"/>
    <w:rsid w:val="7C90342C"/>
    <w:rsid w:val="7CE65D3E"/>
    <w:rsid w:val="7D173C1C"/>
    <w:rsid w:val="7DB525C7"/>
    <w:rsid w:val="7DD40812"/>
    <w:rsid w:val="7DE30BE9"/>
    <w:rsid w:val="7DE93666"/>
    <w:rsid w:val="7DFBDB61"/>
    <w:rsid w:val="7E4D25AA"/>
    <w:rsid w:val="7E596AA8"/>
    <w:rsid w:val="7E676FEC"/>
    <w:rsid w:val="7E684474"/>
    <w:rsid w:val="7E7836FF"/>
    <w:rsid w:val="7E852685"/>
    <w:rsid w:val="7F201277"/>
    <w:rsid w:val="7F814C20"/>
    <w:rsid w:val="7FFBEBAE"/>
    <w:rsid w:val="B5ED30C9"/>
    <w:rsid w:val="B69A21AF"/>
    <w:rsid w:val="D5C7F78F"/>
    <w:rsid w:val="DBE518CA"/>
    <w:rsid w:val="DF3F8B70"/>
    <w:rsid w:val="F0ED24A8"/>
    <w:rsid w:val="FABFA1DB"/>
    <w:rsid w:val="FDFBB5CE"/>
    <w:rsid w:val="FFAD0853"/>
    <w:rsid w:val="FFFF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1"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2"/>
    <w:qFormat/>
    <w:uiPriority w:val="0"/>
    <w:pPr>
      <w:keepNext/>
      <w:keepLines/>
      <w:spacing w:before="260" w:after="260" w:line="416" w:lineRule="auto"/>
      <w:outlineLvl w:val="2"/>
    </w:pPr>
    <w:rPr>
      <w:b/>
      <w:bCs/>
      <w:sz w:val="32"/>
      <w:szCs w:val="32"/>
    </w:rPr>
  </w:style>
  <w:style w:type="paragraph" w:styleId="5">
    <w:name w:val="heading 4"/>
    <w:basedOn w:val="1"/>
    <w:next w:val="1"/>
    <w:link w:val="67"/>
    <w:qFormat/>
    <w:uiPriority w:val="0"/>
    <w:pPr>
      <w:keepNext/>
      <w:keepLines/>
      <w:spacing w:before="280" w:after="290" w:line="376" w:lineRule="auto"/>
      <w:outlineLvl w:val="3"/>
    </w:pPr>
    <w:rPr>
      <w:rFonts w:ascii="Arial" w:hAnsi="Arial" w:eastAsia="黑体"/>
      <w:b/>
      <w:bCs/>
      <w:sz w:val="28"/>
      <w:szCs w:val="28"/>
    </w:rPr>
  </w:style>
  <w:style w:type="paragraph" w:styleId="6">
    <w:name w:val="heading 8"/>
    <w:basedOn w:val="1"/>
    <w:next w:val="1"/>
    <w:unhideWhenUsed/>
    <w:qFormat/>
    <w:uiPriority w:val="1"/>
    <w:pPr>
      <w:ind w:left="213"/>
      <w:outlineLvl w:val="7"/>
    </w:pPr>
    <w:rPr>
      <w:rFonts w:hint="eastAsia" w:ascii="微软雅黑" w:hAnsi="微软雅黑" w:eastAsia="微软雅黑"/>
      <w:b/>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Normal Indent"/>
    <w:basedOn w:val="1"/>
    <w:link w:val="5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link w:val="47"/>
    <w:qFormat/>
    <w:uiPriority w:val="0"/>
    <w:pPr>
      <w:jc w:val="left"/>
    </w:pPr>
    <w:rPr>
      <w:szCs w:val="21"/>
    </w:rPr>
  </w:style>
  <w:style w:type="paragraph" w:styleId="11">
    <w:name w:val="Body Text 3"/>
    <w:basedOn w:val="1"/>
    <w:link w:val="57"/>
    <w:qFormat/>
    <w:uiPriority w:val="0"/>
    <w:pPr>
      <w:spacing w:after="120"/>
    </w:pPr>
    <w:rPr>
      <w:sz w:val="16"/>
      <w:szCs w:val="16"/>
    </w:rPr>
  </w:style>
  <w:style w:type="paragraph" w:styleId="12">
    <w:name w:val="Body Text"/>
    <w:basedOn w:val="1"/>
    <w:next w:val="1"/>
    <w:link w:val="105"/>
    <w:qFormat/>
    <w:uiPriority w:val="1"/>
    <w:pPr>
      <w:spacing w:line="360" w:lineRule="auto"/>
    </w:pPr>
    <w:rPr>
      <w:szCs w:val="20"/>
    </w:rPr>
  </w:style>
  <w:style w:type="paragraph" w:styleId="13">
    <w:name w:val="Body Text Indent"/>
    <w:basedOn w:val="1"/>
    <w:link w:val="52"/>
    <w:qFormat/>
    <w:uiPriority w:val="0"/>
    <w:pPr>
      <w:ind w:firstLine="830" w:firstLineChars="352"/>
    </w:pPr>
    <w:rPr>
      <w:rFonts w:ascii="仿宋_GB2312" w:eastAsia="仿宋_GB2312"/>
      <w:sz w:val="32"/>
      <w:szCs w:val="20"/>
    </w:rPr>
  </w:style>
  <w:style w:type="paragraph" w:styleId="14">
    <w:name w:val="Block Text"/>
    <w:basedOn w:val="1"/>
    <w:qFormat/>
    <w:uiPriority w:val="0"/>
    <w:pPr>
      <w:spacing w:line="360" w:lineRule="auto"/>
      <w:ind w:left="-85" w:right="-244" w:firstLine="435"/>
    </w:p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semiHidden/>
    <w:qFormat/>
    <w:uiPriority w:val="0"/>
    <w:pPr>
      <w:tabs>
        <w:tab w:val="left" w:pos="900"/>
        <w:tab w:val="left" w:pos="1080"/>
      </w:tabs>
      <w:ind w:left="840" w:leftChars="400"/>
    </w:pPr>
    <w:rPr>
      <w:rFonts w:ascii="宋体" w:hAnsi="宋体"/>
      <w:i/>
      <w:iCs/>
    </w:rPr>
  </w:style>
  <w:style w:type="paragraph" w:styleId="17">
    <w:name w:val="Plain Text"/>
    <w:basedOn w:val="1"/>
    <w:link w:val="71"/>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Body Text Indent 2"/>
    <w:basedOn w:val="1"/>
    <w:link w:val="61"/>
    <w:qFormat/>
    <w:uiPriority w:val="0"/>
    <w:pPr>
      <w:spacing w:after="120" w:line="480" w:lineRule="auto"/>
      <w:ind w:left="420" w:leftChars="200"/>
    </w:pPr>
  </w:style>
  <w:style w:type="paragraph" w:styleId="20">
    <w:name w:val="Balloon Text"/>
    <w:basedOn w:val="1"/>
    <w:link w:val="58"/>
    <w:semiHidden/>
    <w:qFormat/>
    <w:uiPriority w:val="0"/>
    <w:rPr>
      <w:sz w:val="18"/>
      <w:szCs w:val="18"/>
    </w:rPr>
  </w:style>
  <w:style w:type="paragraph" w:styleId="21">
    <w:name w:val="footer"/>
    <w:basedOn w:val="1"/>
    <w:link w:val="60"/>
    <w:qFormat/>
    <w:uiPriority w:val="99"/>
    <w:pPr>
      <w:tabs>
        <w:tab w:val="center" w:pos="4153"/>
        <w:tab w:val="right" w:pos="8306"/>
      </w:tabs>
      <w:snapToGrid w:val="0"/>
      <w:jc w:val="left"/>
    </w:pPr>
    <w:rPr>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0"/>
  </w:style>
  <w:style w:type="paragraph" w:styleId="24">
    <w:name w:val="toc 4"/>
    <w:basedOn w:val="1"/>
    <w:next w:val="1"/>
    <w:unhideWhenUsed/>
    <w:qFormat/>
    <w:uiPriority w:val="0"/>
    <w:pPr>
      <w:ind w:left="630"/>
      <w:jc w:val="left"/>
    </w:pPr>
    <w:rPr>
      <w:rFonts w:ascii="Calibri" w:hAnsi="Calibri"/>
      <w:sz w:val="18"/>
      <w:szCs w:val="18"/>
    </w:rPr>
  </w:style>
  <w:style w:type="paragraph" w:styleId="25">
    <w:name w:val="index heading"/>
    <w:basedOn w:val="1"/>
    <w:next w:val="26"/>
    <w:semiHidden/>
    <w:qFormat/>
    <w:uiPriority w:val="0"/>
    <w:rPr>
      <w:szCs w:val="20"/>
    </w:rPr>
  </w:style>
  <w:style w:type="paragraph" w:styleId="26">
    <w:name w:val="index 1"/>
    <w:basedOn w:val="1"/>
    <w:next w:val="1"/>
    <w:semiHidden/>
    <w:qFormat/>
    <w:uiPriority w:val="0"/>
    <w:pPr>
      <w:tabs>
        <w:tab w:val="left" w:pos="7740"/>
      </w:tabs>
      <w:jc w:val="center"/>
    </w:pPr>
    <w:rPr>
      <w:rFonts w:ascii="仿宋" w:hAnsi="仿宋" w:eastAsia="仿宋"/>
      <w:b/>
      <w:sz w:val="28"/>
      <w:szCs w:val="28"/>
    </w:rPr>
  </w:style>
  <w:style w:type="paragraph" w:styleId="27">
    <w:name w:val="toc 6"/>
    <w:basedOn w:val="1"/>
    <w:next w:val="1"/>
    <w:unhideWhenUsed/>
    <w:qFormat/>
    <w:uiPriority w:val="0"/>
    <w:pPr>
      <w:ind w:left="1050"/>
      <w:jc w:val="left"/>
    </w:pPr>
    <w:rPr>
      <w:rFonts w:ascii="Calibri" w:hAnsi="Calibri"/>
      <w:sz w:val="18"/>
      <w:szCs w:val="18"/>
    </w:rPr>
  </w:style>
  <w:style w:type="paragraph" w:styleId="28">
    <w:name w:val="Body Text Indent 3"/>
    <w:basedOn w:val="1"/>
    <w:link w:val="66"/>
    <w:qFormat/>
    <w:uiPriority w:val="0"/>
    <w:pPr>
      <w:spacing w:line="360" w:lineRule="auto"/>
      <w:ind w:firstLine="420" w:firstLineChars="200"/>
    </w:pPr>
    <w:rPr>
      <w:szCs w:val="20"/>
    </w:rPr>
  </w:style>
  <w:style w:type="paragraph" w:styleId="29">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0">
    <w:name w:val="toc 9"/>
    <w:basedOn w:val="1"/>
    <w:next w:val="1"/>
    <w:unhideWhenUsed/>
    <w:qFormat/>
    <w:uiPriority w:val="0"/>
    <w:pPr>
      <w:ind w:left="1680"/>
      <w:jc w:val="left"/>
    </w:pPr>
    <w:rPr>
      <w:rFonts w:ascii="Calibri" w:hAnsi="Calibri"/>
      <w:sz w:val="18"/>
      <w:szCs w:val="18"/>
    </w:rPr>
  </w:style>
  <w:style w:type="paragraph" w:styleId="31">
    <w:name w:val="Body Text 2"/>
    <w:basedOn w:val="1"/>
    <w:qFormat/>
    <w:uiPriority w:val="0"/>
    <w:pPr>
      <w:spacing w:after="120" w:line="480" w:lineRule="auto"/>
    </w:pPr>
  </w:style>
  <w:style w:type="paragraph" w:styleId="32">
    <w:name w:val="HTML Preformatted"/>
    <w:basedOn w:val="1"/>
    <w:link w:val="62"/>
    <w:qFormat/>
    <w:uiPriority w:val="0"/>
    <w:rPr>
      <w:rFonts w:ascii="Courier New" w:hAnsi="Courier New"/>
      <w:sz w:val="20"/>
      <w:szCs w:val="20"/>
    </w:rPr>
  </w:style>
  <w:style w:type="paragraph" w:styleId="33">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4">
    <w:name w:val="Title"/>
    <w:basedOn w:val="1"/>
    <w:link w:val="54"/>
    <w:qFormat/>
    <w:uiPriority w:val="0"/>
    <w:pPr>
      <w:spacing w:before="240" w:after="60"/>
      <w:jc w:val="center"/>
      <w:outlineLvl w:val="0"/>
    </w:pPr>
    <w:rPr>
      <w:rFonts w:ascii="Arial" w:hAnsi="Arial"/>
      <w:b/>
      <w:bCs/>
      <w:sz w:val="32"/>
      <w:szCs w:val="32"/>
    </w:rPr>
  </w:style>
  <w:style w:type="paragraph" w:styleId="35">
    <w:name w:val="annotation subject"/>
    <w:basedOn w:val="10"/>
    <w:next w:val="10"/>
    <w:link w:val="70"/>
    <w:semiHidden/>
    <w:qFormat/>
    <w:uiPriority w:val="0"/>
    <w:rPr>
      <w:b/>
      <w:bCs/>
    </w:rPr>
  </w:style>
  <w:style w:type="paragraph" w:styleId="36">
    <w:name w:val="Body Text First Indent"/>
    <w:basedOn w:val="12"/>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ahoma" w:hAnsi="Tahoma" w:eastAsia="宋体"/>
      <w:b/>
      <w:bCs/>
      <w:spacing w:val="10"/>
      <w:kern w:val="2"/>
      <w:sz w:val="24"/>
      <w:szCs w:val="24"/>
      <w:lang w:val="en-US" w:eastAsia="zh-CN" w:bidi="ar-SA"/>
    </w:rPr>
  </w:style>
  <w:style w:type="character" w:styleId="41">
    <w:name w:val="page number"/>
    <w:qFormat/>
    <w:uiPriority w:val="0"/>
    <w:rPr>
      <w:rFonts w:eastAsia="宋体"/>
      <w:kern w:val="2"/>
      <w:sz w:val="24"/>
      <w:szCs w:val="24"/>
      <w:lang w:val="en-US" w:eastAsia="zh-CN" w:bidi="ar-SA"/>
    </w:rPr>
  </w:style>
  <w:style w:type="character" w:styleId="42">
    <w:name w:val="FollowedHyperlink"/>
    <w:basedOn w:val="39"/>
    <w:qFormat/>
    <w:uiPriority w:val="0"/>
    <w:rPr>
      <w:rFonts w:hint="eastAsia" w:ascii="微软雅黑" w:hAnsi="微软雅黑" w:eastAsia="微软雅黑" w:cs="微软雅黑"/>
      <w:color w:val="02396F"/>
      <w:u w:val="single"/>
    </w:rPr>
  </w:style>
  <w:style w:type="character" w:styleId="43">
    <w:name w:val="Hyperlink"/>
    <w:qFormat/>
    <w:uiPriority w:val="0"/>
    <w:rPr>
      <w:rFonts w:eastAsia="宋体"/>
      <w:color w:val="0000FF"/>
      <w:kern w:val="2"/>
      <w:sz w:val="24"/>
      <w:szCs w:val="24"/>
      <w:u w:val="single"/>
      <w:lang w:val="en-US" w:eastAsia="zh-CN" w:bidi="ar-SA"/>
    </w:rPr>
  </w:style>
  <w:style w:type="character" w:styleId="44">
    <w:name w:val="annotation reference"/>
    <w:qFormat/>
    <w:uiPriority w:val="0"/>
    <w:rPr>
      <w:rFonts w:eastAsia="宋体"/>
      <w:kern w:val="2"/>
      <w:sz w:val="21"/>
      <w:szCs w:val="21"/>
      <w:lang w:val="en-US" w:eastAsia="zh-CN" w:bidi="ar-SA"/>
    </w:rPr>
  </w:style>
  <w:style w:type="character" w:customStyle="1" w:styleId="45">
    <w:name w:val="标题 2 Char"/>
    <w:qFormat/>
    <w:uiPriority w:val="0"/>
    <w:rPr>
      <w:rFonts w:ascii="Arial" w:hAnsi="Arial" w:eastAsia="黑体"/>
      <w:b/>
      <w:bCs/>
      <w:kern w:val="2"/>
      <w:sz w:val="32"/>
      <w:szCs w:val="32"/>
      <w:lang w:val="en-US" w:eastAsia="zh-CN" w:bidi="ar-SA"/>
    </w:rPr>
  </w:style>
  <w:style w:type="paragraph" w:customStyle="1" w:styleId="46">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character" w:customStyle="1" w:styleId="47">
    <w:name w:val="批注文字 字符"/>
    <w:link w:val="10"/>
    <w:qFormat/>
    <w:uiPriority w:val="99"/>
    <w:rPr>
      <w:kern w:val="2"/>
      <w:sz w:val="21"/>
      <w:szCs w:val="24"/>
    </w:rPr>
  </w:style>
  <w:style w:type="character" w:customStyle="1" w:styleId="48">
    <w:name w:val="正文文本首行缩进 字符"/>
    <w:link w:val="49"/>
    <w:qFormat/>
    <w:uiPriority w:val="0"/>
    <w:rPr>
      <w:kern w:val="2"/>
      <w:sz w:val="21"/>
      <w:szCs w:val="24"/>
    </w:rPr>
  </w:style>
  <w:style w:type="paragraph" w:customStyle="1" w:styleId="49">
    <w:name w:val="正文文本首行缩进1"/>
    <w:basedOn w:val="12"/>
    <w:link w:val="48"/>
    <w:qFormat/>
    <w:uiPriority w:val="0"/>
    <w:pPr>
      <w:spacing w:after="120" w:line="240" w:lineRule="auto"/>
      <w:ind w:firstLine="420" w:firstLineChars="100"/>
    </w:pPr>
    <w:rPr>
      <w:szCs w:val="24"/>
    </w:rPr>
  </w:style>
  <w:style w:type="character" w:customStyle="1" w:styleId="50">
    <w:name w:val="ca-12"/>
    <w:qFormat/>
    <w:uiPriority w:val="0"/>
    <w:rPr>
      <w:rFonts w:eastAsia="宋体" w:cs="Times New Roman"/>
      <w:kern w:val="2"/>
      <w:sz w:val="24"/>
      <w:szCs w:val="24"/>
      <w:lang w:val="en-US" w:eastAsia="zh-CN" w:bidi="ar-SA"/>
    </w:rPr>
  </w:style>
  <w:style w:type="character" w:customStyle="1" w:styleId="51">
    <w:name w:val="正文缩进 字符"/>
    <w:link w:val="8"/>
    <w:qFormat/>
    <w:uiPriority w:val="0"/>
    <w:rPr>
      <w:rFonts w:eastAsia="宋体"/>
      <w:kern w:val="2"/>
      <w:sz w:val="21"/>
      <w:szCs w:val="24"/>
      <w:lang w:val="en-US" w:eastAsia="zh-CN" w:bidi="ar-SA"/>
    </w:rPr>
  </w:style>
  <w:style w:type="character" w:customStyle="1" w:styleId="52">
    <w:name w:val="正文文本缩进 字符"/>
    <w:link w:val="13"/>
    <w:qFormat/>
    <w:locked/>
    <w:uiPriority w:val="0"/>
    <w:rPr>
      <w:rFonts w:ascii="仿宋_GB2312" w:eastAsia="仿宋_GB2312"/>
      <w:kern w:val="2"/>
      <w:sz w:val="32"/>
      <w:lang w:val="en-US" w:eastAsia="zh-CN" w:bidi="ar-SA"/>
    </w:rPr>
  </w:style>
  <w:style w:type="character" w:customStyle="1" w:styleId="53">
    <w:name w:val="标题 1 字符"/>
    <w:link w:val="2"/>
    <w:qFormat/>
    <w:uiPriority w:val="0"/>
    <w:rPr>
      <w:b/>
      <w:bCs/>
      <w:kern w:val="44"/>
      <w:sz w:val="44"/>
      <w:szCs w:val="44"/>
    </w:rPr>
  </w:style>
  <w:style w:type="character" w:customStyle="1" w:styleId="54">
    <w:name w:val="标题 字符"/>
    <w:link w:val="34"/>
    <w:qFormat/>
    <w:uiPriority w:val="0"/>
    <w:rPr>
      <w:rFonts w:ascii="Arial" w:hAnsi="Arial" w:cs="Arial"/>
      <w:b/>
      <w:bCs/>
      <w:kern w:val="2"/>
      <w:sz w:val="32"/>
      <w:szCs w:val="32"/>
    </w:rPr>
  </w:style>
  <w:style w:type="character" w:customStyle="1" w:styleId="55">
    <w:name w:val="列题 Char"/>
    <w:link w:val="56"/>
    <w:qFormat/>
    <w:uiPriority w:val="0"/>
    <w:rPr>
      <w:rFonts w:ascii="Calibri" w:hAnsi="Calibri" w:eastAsia="仿宋"/>
      <w:b/>
      <w:kern w:val="2"/>
      <w:sz w:val="28"/>
      <w:szCs w:val="22"/>
    </w:rPr>
  </w:style>
  <w:style w:type="paragraph" w:customStyle="1" w:styleId="56">
    <w:name w:val="列题"/>
    <w:basedOn w:val="1"/>
    <w:link w:val="55"/>
    <w:qFormat/>
    <w:uiPriority w:val="0"/>
    <w:pPr>
      <w:numPr>
        <w:ilvl w:val="0"/>
        <w:numId w:val="1"/>
      </w:numPr>
      <w:spacing w:line="360" w:lineRule="auto"/>
    </w:pPr>
    <w:rPr>
      <w:rFonts w:ascii="Calibri" w:hAnsi="Calibri" w:eastAsia="仿宋"/>
      <w:b/>
      <w:sz w:val="28"/>
      <w:szCs w:val="22"/>
    </w:rPr>
  </w:style>
  <w:style w:type="character" w:customStyle="1" w:styleId="57">
    <w:name w:val="正文文本 3 字符"/>
    <w:link w:val="11"/>
    <w:qFormat/>
    <w:uiPriority w:val="0"/>
    <w:rPr>
      <w:kern w:val="2"/>
      <w:sz w:val="16"/>
      <w:szCs w:val="16"/>
    </w:rPr>
  </w:style>
  <w:style w:type="character" w:customStyle="1" w:styleId="58">
    <w:name w:val="批注框文本 字符"/>
    <w:link w:val="20"/>
    <w:semiHidden/>
    <w:qFormat/>
    <w:uiPriority w:val="0"/>
    <w:rPr>
      <w:kern w:val="2"/>
      <w:sz w:val="18"/>
      <w:szCs w:val="18"/>
    </w:rPr>
  </w:style>
  <w:style w:type="character" w:customStyle="1" w:styleId="59">
    <w:name w:val="label1"/>
    <w:qFormat/>
    <w:uiPriority w:val="0"/>
    <w:rPr>
      <w:rFonts w:hint="eastAsia" w:ascii="微软雅黑" w:hAnsi="微软雅黑" w:eastAsia="微软雅黑"/>
      <w:b/>
      <w:bCs/>
      <w:color w:val="545454"/>
      <w:sz w:val="18"/>
      <w:szCs w:val="18"/>
    </w:rPr>
  </w:style>
  <w:style w:type="character" w:customStyle="1" w:styleId="60">
    <w:name w:val="页脚 字符"/>
    <w:link w:val="21"/>
    <w:qFormat/>
    <w:uiPriority w:val="99"/>
    <w:rPr>
      <w:rFonts w:eastAsia="宋体"/>
      <w:kern w:val="2"/>
      <w:sz w:val="18"/>
      <w:szCs w:val="18"/>
      <w:lang w:val="en-US" w:eastAsia="zh-CN" w:bidi="ar-SA"/>
    </w:rPr>
  </w:style>
  <w:style w:type="character" w:customStyle="1" w:styleId="61">
    <w:name w:val="正文文本缩进 2 字符"/>
    <w:link w:val="19"/>
    <w:qFormat/>
    <w:uiPriority w:val="0"/>
    <w:rPr>
      <w:kern w:val="2"/>
      <w:sz w:val="21"/>
      <w:szCs w:val="24"/>
    </w:rPr>
  </w:style>
  <w:style w:type="character" w:customStyle="1" w:styleId="62">
    <w:name w:val="HTML 预设格式 字符"/>
    <w:link w:val="32"/>
    <w:qFormat/>
    <w:uiPriority w:val="0"/>
    <w:rPr>
      <w:rFonts w:ascii="Courier New" w:hAnsi="Courier New" w:cs="Courier New"/>
      <w:kern w:val="2"/>
    </w:rPr>
  </w:style>
  <w:style w:type="character" w:customStyle="1" w:styleId="63">
    <w:name w:val="页眉 字符"/>
    <w:link w:val="22"/>
    <w:qFormat/>
    <w:locked/>
    <w:uiPriority w:val="99"/>
    <w:rPr>
      <w:rFonts w:eastAsia="宋体"/>
      <w:kern w:val="2"/>
      <w:sz w:val="18"/>
      <w:szCs w:val="18"/>
      <w:lang w:val="en-US" w:eastAsia="zh-CN" w:bidi="ar-SA"/>
    </w:rPr>
  </w:style>
  <w:style w:type="character" w:customStyle="1" w:styleId="64">
    <w:name w:val="纯文本 Char1"/>
    <w:qFormat/>
    <w:uiPriority w:val="0"/>
    <w:rPr>
      <w:rFonts w:ascii="宋体" w:hAnsi="Courier New" w:cs="Courier New"/>
      <w:kern w:val="2"/>
      <w:sz w:val="21"/>
      <w:szCs w:val="21"/>
    </w:rPr>
  </w:style>
  <w:style w:type="character" w:customStyle="1" w:styleId="65">
    <w:name w:val="f Char"/>
    <w:qFormat/>
    <w:uiPriority w:val="0"/>
    <w:rPr>
      <w:rFonts w:eastAsia="宋体"/>
      <w:kern w:val="2"/>
      <w:sz w:val="18"/>
      <w:lang w:val="en-US" w:eastAsia="zh-CN" w:bidi="ar-SA"/>
    </w:rPr>
  </w:style>
  <w:style w:type="character" w:customStyle="1" w:styleId="66">
    <w:name w:val="正文文本缩进 3 字符"/>
    <w:link w:val="28"/>
    <w:qFormat/>
    <w:uiPriority w:val="0"/>
    <w:rPr>
      <w:kern w:val="2"/>
      <w:sz w:val="21"/>
    </w:rPr>
  </w:style>
  <w:style w:type="character" w:customStyle="1" w:styleId="67">
    <w:name w:val="标题 4 字符"/>
    <w:link w:val="5"/>
    <w:qFormat/>
    <w:uiPriority w:val="0"/>
    <w:rPr>
      <w:rFonts w:ascii="Arial" w:hAnsi="Arial" w:eastAsia="黑体"/>
      <w:b/>
      <w:bCs/>
      <w:kern w:val="2"/>
      <w:sz w:val="28"/>
      <w:szCs w:val="28"/>
    </w:rPr>
  </w:style>
  <w:style w:type="character" w:customStyle="1" w:styleId="68">
    <w:name w:val="列出段落 Char"/>
    <w:link w:val="69"/>
    <w:qFormat/>
    <w:uiPriority w:val="34"/>
    <w:rPr>
      <w:rFonts w:ascii="Calibri" w:hAnsi="Calibri"/>
      <w:kern w:val="2"/>
      <w:sz w:val="21"/>
      <w:szCs w:val="22"/>
    </w:rPr>
  </w:style>
  <w:style w:type="paragraph" w:customStyle="1" w:styleId="69">
    <w:name w:val="列出段落2"/>
    <w:basedOn w:val="1"/>
    <w:link w:val="68"/>
    <w:qFormat/>
    <w:uiPriority w:val="34"/>
    <w:pPr>
      <w:ind w:firstLine="420" w:firstLineChars="200"/>
      <w:jc w:val="center"/>
    </w:pPr>
    <w:rPr>
      <w:rFonts w:ascii="Calibri" w:hAnsi="Calibri"/>
      <w:szCs w:val="22"/>
    </w:rPr>
  </w:style>
  <w:style w:type="character" w:customStyle="1" w:styleId="70">
    <w:name w:val="批注主题 字符"/>
    <w:link w:val="35"/>
    <w:semiHidden/>
    <w:qFormat/>
    <w:uiPriority w:val="0"/>
    <w:rPr>
      <w:b/>
      <w:bCs/>
      <w:kern w:val="2"/>
      <w:sz w:val="21"/>
      <w:szCs w:val="24"/>
    </w:rPr>
  </w:style>
  <w:style w:type="character" w:customStyle="1" w:styleId="71">
    <w:name w:val="纯文本 字符"/>
    <w:link w:val="17"/>
    <w:qFormat/>
    <w:uiPriority w:val="0"/>
    <w:rPr>
      <w:rFonts w:ascii="宋体" w:hAnsi="Courier New" w:eastAsia="宋体" w:cs="Courier New"/>
      <w:kern w:val="2"/>
      <w:sz w:val="21"/>
      <w:szCs w:val="21"/>
      <w:lang w:val="en-US" w:eastAsia="zh-CN" w:bidi="ar-SA"/>
    </w:rPr>
  </w:style>
  <w:style w:type="character" w:customStyle="1" w:styleId="72">
    <w:name w:val="标题 3 字符"/>
    <w:link w:val="4"/>
    <w:qFormat/>
    <w:uiPriority w:val="0"/>
    <w:rPr>
      <w:rFonts w:eastAsia="宋体"/>
      <w:b/>
      <w:bCs/>
      <w:kern w:val="2"/>
      <w:sz w:val="32"/>
      <w:szCs w:val="32"/>
      <w:lang w:val="en-US" w:eastAsia="zh-CN" w:bidi="ar-SA"/>
    </w:rPr>
  </w:style>
  <w:style w:type="paragraph" w:customStyle="1" w:styleId="73">
    <w:name w:val="默认段落字体 Para Char"/>
    <w:basedOn w:val="1"/>
    <w:qFormat/>
    <w:uiPriority w:val="0"/>
    <w:rPr>
      <w:rFonts w:ascii="宋体" w:hAnsi="宋体"/>
      <w:b/>
      <w:sz w:val="28"/>
      <w:szCs w:val="28"/>
    </w:rPr>
  </w:style>
  <w:style w:type="paragraph" w:customStyle="1" w:styleId="74">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6">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79">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80">
    <w:name w:val="Zchn Zchn"/>
    <w:basedOn w:val="1"/>
    <w:qFormat/>
    <w:uiPriority w:val="0"/>
    <w:rPr>
      <w:rFonts w:ascii="Tahoma" w:hAnsi="Tahoma"/>
      <w:sz w:val="24"/>
      <w:szCs w:val="20"/>
    </w:rPr>
  </w:style>
  <w:style w:type="paragraph" w:customStyle="1" w:styleId="81">
    <w:name w:val="Char Char2 Char"/>
    <w:basedOn w:val="1"/>
    <w:qFormat/>
    <w:uiPriority w:val="0"/>
    <w:rPr>
      <w:rFonts w:ascii="宋体" w:hAnsi="宋体"/>
      <w:b/>
      <w:sz w:val="28"/>
      <w:szCs w:val="28"/>
    </w:rPr>
  </w:style>
  <w:style w:type="paragraph" w:customStyle="1" w:styleId="82">
    <w:name w:val="Char Char1"/>
    <w:basedOn w:val="1"/>
    <w:qFormat/>
    <w:uiPriority w:val="0"/>
    <w:rPr>
      <w:rFonts w:ascii="宋体" w:hAnsi="宋体"/>
      <w:b/>
      <w:sz w:val="28"/>
      <w:szCs w:val="28"/>
    </w:rPr>
  </w:style>
  <w:style w:type="paragraph" w:customStyle="1" w:styleId="83">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84">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85">
    <w:name w:val="题注5"/>
    <w:basedOn w:val="1"/>
    <w:next w:val="9"/>
    <w:qFormat/>
    <w:uiPriority w:val="0"/>
    <w:pPr>
      <w:jc w:val="center"/>
    </w:pPr>
    <w:rPr>
      <w:b/>
      <w:color w:val="000000"/>
      <w:sz w:val="24"/>
      <w:szCs w:val="21"/>
    </w:rPr>
  </w:style>
  <w:style w:type="paragraph" w:customStyle="1" w:styleId="86">
    <w:name w:val="办公自动化专用标题"/>
    <w:basedOn w:val="34"/>
    <w:qFormat/>
    <w:uiPriority w:val="0"/>
    <w:pPr>
      <w:spacing w:line="560" w:lineRule="atLeast"/>
    </w:pPr>
    <w:rPr>
      <w:rFonts w:ascii="宋体"/>
      <w:bCs w:val="0"/>
      <w:sz w:val="44"/>
      <w:szCs w:val="20"/>
    </w:rPr>
  </w:style>
  <w:style w:type="paragraph" w:customStyle="1" w:styleId="87">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88">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8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0">
    <w:name w:val="列出段落1"/>
    <w:basedOn w:val="1"/>
    <w:qFormat/>
    <w:uiPriority w:val="0"/>
    <w:pPr>
      <w:ind w:firstLine="420" w:firstLineChars="200"/>
    </w:pPr>
    <w:rPr>
      <w:szCs w:val="21"/>
    </w:rPr>
  </w:style>
  <w:style w:type="paragraph" w:customStyle="1" w:styleId="91">
    <w:name w:val="表格文字"/>
    <w:basedOn w:val="1"/>
    <w:qFormat/>
    <w:uiPriority w:val="0"/>
    <w:pPr>
      <w:spacing w:before="25" w:after="25"/>
      <w:jc w:val="left"/>
    </w:pPr>
    <w:rPr>
      <w:bCs/>
      <w:spacing w:val="10"/>
      <w:kern w:val="0"/>
      <w:sz w:val="24"/>
      <w:szCs w:val="20"/>
    </w:rPr>
  </w:style>
  <w:style w:type="paragraph" w:customStyle="1" w:styleId="92">
    <w:name w:val="题注4"/>
    <w:basedOn w:val="1"/>
    <w:next w:val="9"/>
    <w:qFormat/>
    <w:uiPriority w:val="0"/>
    <w:pPr>
      <w:ind w:left="-132" w:leftChars="-64" w:right="-105" w:rightChars="-50" w:hanging="2"/>
      <w:jc w:val="center"/>
    </w:pPr>
    <w:rPr>
      <w:b/>
      <w:color w:val="FF0000"/>
      <w:szCs w:val="21"/>
      <w:lang w:val="en-GB"/>
    </w:rPr>
  </w:style>
  <w:style w:type="paragraph" w:customStyle="1" w:styleId="93">
    <w:name w:val="Char Char Char Char"/>
    <w:basedOn w:val="1"/>
    <w:qFormat/>
    <w:uiPriority w:val="0"/>
    <w:pPr>
      <w:tabs>
        <w:tab w:val="left" w:pos="780"/>
      </w:tabs>
      <w:ind w:left="780" w:hanging="360"/>
    </w:pPr>
    <w:rPr>
      <w:sz w:val="24"/>
    </w:rPr>
  </w:style>
  <w:style w:type="paragraph" w:customStyle="1" w:styleId="94">
    <w:name w:val="中等深浅网格 21"/>
    <w:qFormat/>
    <w:uiPriority w:val="0"/>
    <w:rPr>
      <w:rFonts w:ascii="Calibri" w:hAnsi="Calibri" w:eastAsia="宋体" w:cs="Calibri"/>
      <w:sz w:val="22"/>
      <w:szCs w:val="22"/>
      <w:lang w:val="en-US" w:eastAsia="en-US" w:bidi="ar-SA"/>
    </w:rPr>
  </w:style>
  <w:style w:type="paragraph" w:customStyle="1" w:styleId="95">
    <w:name w:val="Char Char Char Char Char Char Char"/>
    <w:basedOn w:val="1"/>
    <w:qFormat/>
    <w:uiPriority w:val="0"/>
    <w:pPr>
      <w:tabs>
        <w:tab w:val="left" w:pos="425"/>
      </w:tabs>
      <w:ind w:left="425" w:hanging="425"/>
    </w:pPr>
    <w:rPr>
      <w:rFonts w:eastAsia="仿宋_GB2312"/>
      <w:kern w:val="24"/>
      <w:sz w:val="24"/>
    </w:rPr>
  </w:style>
  <w:style w:type="paragraph" w:customStyle="1" w:styleId="96">
    <w:name w:val="List Paragraph1"/>
    <w:basedOn w:val="1"/>
    <w:qFormat/>
    <w:uiPriority w:val="0"/>
    <w:pPr>
      <w:ind w:firstLine="420" w:firstLineChars="200"/>
    </w:pPr>
    <w:rPr>
      <w:rFonts w:ascii="Calibri" w:hAnsi="Calibri"/>
      <w:szCs w:val="22"/>
    </w:rPr>
  </w:style>
  <w:style w:type="paragraph" w:customStyle="1" w:styleId="97">
    <w:name w:val="彩色列表 - 强调文字颜色 11"/>
    <w:basedOn w:val="1"/>
    <w:qFormat/>
    <w:uiPriority w:val="34"/>
    <w:pPr>
      <w:ind w:firstLine="420" w:firstLineChars="200"/>
    </w:pPr>
  </w:style>
  <w:style w:type="paragraph" w:customStyle="1" w:styleId="98">
    <w:name w:val="Char Char1 Char Char Char Char Char Char Char Char Char Char Char Char Char Char Char Char Char Char1 Char"/>
    <w:basedOn w:val="1"/>
    <w:qFormat/>
    <w:uiPriority w:val="0"/>
    <w:rPr>
      <w:rFonts w:ascii="Tahoma" w:hAnsi="Tahoma"/>
      <w:sz w:val="24"/>
    </w:rPr>
  </w:style>
  <w:style w:type="paragraph" w:customStyle="1" w:styleId="99">
    <w:name w:val="Char Char2 Char Char Char"/>
    <w:basedOn w:val="1"/>
    <w:qFormat/>
    <w:uiPriority w:val="0"/>
    <w:pPr>
      <w:numPr>
        <w:ilvl w:val="0"/>
        <w:numId w:val="2"/>
      </w:numPr>
    </w:pPr>
    <w:rPr>
      <w:sz w:val="24"/>
    </w:rPr>
  </w:style>
  <w:style w:type="paragraph" w:customStyle="1" w:styleId="100">
    <w:name w:val="Char Char Char"/>
    <w:basedOn w:val="1"/>
    <w:qFormat/>
    <w:uiPriority w:val="0"/>
    <w:rPr>
      <w:rFonts w:ascii="Tahoma" w:hAnsi="Tahoma"/>
      <w:sz w:val="24"/>
      <w:szCs w:val="20"/>
    </w:rPr>
  </w:style>
  <w:style w:type="paragraph" w:customStyle="1" w:styleId="10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2">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03">
    <w:name w:val="网格型1"/>
    <w:basedOn w:val="3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4">
    <w:name w:val="Table Normal"/>
    <w:qFormat/>
    <w:uiPriority w:val="0"/>
    <w:tblPr>
      <w:tblCellMar>
        <w:top w:w="0" w:type="dxa"/>
        <w:left w:w="0" w:type="dxa"/>
        <w:bottom w:w="0" w:type="dxa"/>
        <w:right w:w="0" w:type="dxa"/>
      </w:tblCellMar>
    </w:tblPr>
  </w:style>
  <w:style w:type="character" w:customStyle="1" w:styleId="105">
    <w:name w:val="正文文本 字符"/>
    <w:basedOn w:val="39"/>
    <w:link w:val="12"/>
    <w:qFormat/>
    <w:uiPriority w:val="99"/>
    <w:rPr>
      <w:kern w:val="2"/>
      <w:sz w:val="21"/>
    </w:rPr>
  </w:style>
  <w:style w:type="paragraph" w:customStyle="1" w:styleId="10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0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null3"/>
    <w:basedOn w:val="1"/>
    <w:qFormat/>
    <w:uiPriority w:val="0"/>
    <w:pPr>
      <w:widowControl/>
      <w:jc w:val="left"/>
    </w:pPr>
    <w:rPr>
      <w:rFonts w:ascii="Calibri" w:hAnsi="Calibri"/>
      <w:kern w:val="0"/>
      <w:sz w:val="20"/>
      <w:szCs w:val="20"/>
    </w:rPr>
  </w:style>
  <w:style w:type="paragraph" w:customStyle="1" w:styleId="109">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qFormat/>
    <w:uiPriority w:val="1"/>
    <w:pPr>
      <w:autoSpaceDE w:val="0"/>
      <w:autoSpaceDN w:val="0"/>
      <w:adjustRightInd w:val="0"/>
      <w:jc w:val="left"/>
    </w:pPr>
    <w:rPr>
      <w:rFonts w:ascii="宋体" w:cs="宋体"/>
      <w:kern w:val="0"/>
      <w:sz w:val="24"/>
      <w14:ligatures w14:val="standardContextual"/>
    </w:rPr>
  </w:style>
  <w:style w:type="paragraph" w:styleId="113">
    <w:name w:val="List Paragraph"/>
    <w:basedOn w:val="1"/>
    <w:qFormat/>
    <w:uiPriority w:val="1"/>
    <w:pPr>
      <w:autoSpaceDE w:val="0"/>
      <w:autoSpaceDN w:val="0"/>
      <w:adjustRightInd w:val="0"/>
      <w:ind w:left="1177" w:hanging="530"/>
      <w:jc w:val="left"/>
    </w:pPr>
    <w:rPr>
      <w:rFonts w:ascii="宋体" w:cs="宋体"/>
      <w:kern w:val="0"/>
      <w:sz w:val="24"/>
      <w14:ligatures w14:val="standardContextual"/>
    </w:rPr>
  </w:style>
  <w:style w:type="table" w:customStyle="1" w:styleId="114">
    <w:name w:val="网格型2"/>
    <w:basedOn w:val="37"/>
    <w:qFormat/>
    <w:uiPriority w:val="39"/>
    <w:rPr>
      <w:rFonts w:ascii="等线" w:hAnsi="等线" w:eastAsia="等线"/>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5">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公文正文"/>
    <w:basedOn w:val="113"/>
    <w:qFormat/>
    <w:uiPriority w:val="99"/>
    <w:pPr>
      <w:tabs>
        <w:tab w:val="left" w:pos="567"/>
      </w:tabs>
      <w:spacing w:line="560" w:lineRule="atLeast"/>
      <w:ind w:firstLine="200"/>
      <w:textAlignment w:val="baseline"/>
    </w:pPr>
    <w:rPr>
      <w:rFonts w:eastAsia="仿宋_GB2312"/>
      <w:sz w:val="32"/>
      <w:szCs w:val="20"/>
    </w:rPr>
  </w:style>
  <w:style w:type="paragraph" w:customStyle="1" w:styleId="118">
    <w:name w:val="样式 样式 样式 样式 样式 样式 样式 正文首行缩进 2 + 左  0 字符 首行缩进:  1.71 字符 + 首行缩进:  ..."/>
    <w:basedOn w:val="1"/>
    <w:qFormat/>
    <w:uiPriority w:val="0"/>
    <w:pPr>
      <w:spacing w:after="120" w:line="360" w:lineRule="auto"/>
      <w:ind w:firstLine="200" w:firstLineChars="200"/>
    </w:pPr>
    <w:rPr>
      <w:kern w:val="28"/>
      <w:sz w:val="24"/>
      <w:szCs w:val="20"/>
    </w:rPr>
  </w:style>
  <w:style w:type="paragraph" w:customStyle="1" w:styleId="119">
    <w:name w:val="纯文本1"/>
    <w:basedOn w:val="1"/>
    <w:qFormat/>
    <w:uiPriority w:val="99"/>
    <w:rPr>
      <w:rFonts w:ascii="宋体" w:hAnsi="Courier New" w:eastAsia="微软雅黑" w:cs="Courier New"/>
      <w:kern w:val="0"/>
      <w:sz w:val="22"/>
      <w:szCs w:val="21"/>
    </w:rPr>
  </w:style>
  <w:style w:type="paragraph" w:customStyle="1" w:styleId="120">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121">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12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23">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paragraph" w:customStyle="1" w:styleId="125">
    <w:name w:val="Heading 6"/>
    <w:basedOn w:val="1"/>
    <w:qFormat/>
    <w:uiPriority w:val="1"/>
    <w:pPr>
      <w:ind w:left="460"/>
      <w:outlineLvl w:val="6"/>
    </w:pPr>
    <w:rPr>
      <w:b/>
      <w:bCs/>
      <w:sz w:val="21"/>
      <w:szCs w:val="21"/>
    </w:rPr>
  </w:style>
  <w:style w:type="paragraph" w:customStyle="1" w:styleId="126">
    <w:name w:val="正文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7">
    <w:name w:val="Table Text"/>
    <w:basedOn w:val="1"/>
    <w:semiHidden/>
    <w:qFormat/>
    <w:uiPriority w:val="0"/>
    <w:rPr>
      <w:rFonts w:ascii="宋体" w:hAnsi="宋体" w:eastAsia="宋体" w:cs="宋体"/>
      <w:sz w:val="21"/>
      <w:szCs w:val="21"/>
      <w:lang w:val="en-US" w:eastAsia="en-US" w:bidi="ar-SA"/>
    </w:rPr>
  </w:style>
  <w:style w:type="character" w:customStyle="1" w:styleId="128">
    <w:name w:val="cfdate"/>
    <w:basedOn w:val="39"/>
    <w:qFormat/>
    <w:uiPriority w:val="0"/>
    <w:rPr>
      <w:color w:val="333333"/>
      <w:sz w:val="18"/>
      <w:szCs w:val="18"/>
    </w:rPr>
  </w:style>
  <w:style w:type="character" w:customStyle="1" w:styleId="129">
    <w:name w:val="prev"/>
    <w:basedOn w:val="39"/>
    <w:qFormat/>
    <w:uiPriority w:val="0"/>
    <w:rPr>
      <w:rFonts w:ascii="微软雅黑" w:hAnsi="微软雅黑" w:eastAsia="微软雅黑" w:cs="微软雅黑"/>
      <w:sz w:val="21"/>
      <w:szCs w:val="21"/>
    </w:rPr>
  </w:style>
  <w:style w:type="character" w:customStyle="1" w:styleId="130">
    <w:name w:val="prev1"/>
    <w:basedOn w:val="39"/>
    <w:qFormat/>
    <w:uiPriority w:val="0"/>
    <w:rPr>
      <w:color w:val="888888"/>
    </w:rPr>
  </w:style>
  <w:style w:type="character" w:customStyle="1" w:styleId="131">
    <w:name w:val="redfilefwwh"/>
    <w:basedOn w:val="39"/>
    <w:qFormat/>
    <w:uiPriority w:val="0"/>
    <w:rPr>
      <w:color w:val="BA2636"/>
      <w:sz w:val="18"/>
      <w:szCs w:val="18"/>
    </w:rPr>
  </w:style>
  <w:style w:type="character" w:customStyle="1" w:styleId="132">
    <w:name w:val="redfilenumber"/>
    <w:basedOn w:val="39"/>
    <w:qFormat/>
    <w:uiPriority w:val="0"/>
    <w:rPr>
      <w:color w:val="BA2636"/>
      <w:sz w:val="18"/>
      <w:szCs w:val="18"/>
    </w:rPr>
  </w:style>
  <w:style w:type="character" w:customStyle="1" w:styleId="133">
    <w:name w:val="gjfg"/>
    <w:basedOn w:val="39"/>
    <w:qFormat/>
    <w:uiPriority w:val="0"/>
  </w:style>
  <w:style w:type="character" w:customStyle="1" w:styleId="134">
    <w:name w:val="next"/>
    <w:basedOn w:val="39"/>
    <w:qFormat/>
    <w:uiPriority w:val="0"/>
    <w:rPr>
      <w:rFonts w:hint="eastAsia" w:ascii="微软雅黑" w:hAnsi="微软雅黑" w:eastAsia="微软雅黑" w:cs="微软雅黑"/>
      <w:sz w:val="21"/>
      <w:szCs w:val="21"/>
    </w:rPr>
  </w:style>
  <w:style w:type="character" w:customStyle="1" w:styleId="135">
    <w:name w:val="next1"/>
    <w:basedOn w:val="39"/>
    <w:qFormat/>
    <w:uiPriority w:val="0"/>
    <w:rPr>
      <w:color w:val="888888"/>
    </w:rPr>
  </w:style>
  <w:style w:type="character" w:customStyle="1" w:styleId="136">
    <w:name w:val="displayarti"/>
    <w:basedOn w:val="39"/>
    <w:qFormat/>
    <w:uiPriority w:val="0"/>
    <w:rPr>
      <w:color w:val="FFFFFF"/>
      <w:shd w:val="clear" w:fill="A00000"/>
    </w:rPr>
  </w:style>
  <w:style w:type="character" w:customStyle="1" w:styleId="137">
    <w:name w:val="qxdate"/>
    <w:basedOn w:val="39"/>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100</Pages>
  <Words>5959</Words>
  <Characters>6582</Characters>
  <Lines>1</Lines>
  <Paragraphs>1</Paragraphs>
  <TotalTime>0</TotalTime>
  <ScaleCrop>false</ScaleCrop>
  <LinksUpToDate>false</LinksUpToDate>
  <CharactersWithSpaces>6732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2022-09-01T17:25:00Z</dcterms:created>
  <dc:creator>cm</dc:creator>
  <cp:keywords>2018.4.19</cp:keywords>
  <cp:lastModifiedBy>国义</cp:lastModifiedBy>
  <cp:lastPrinted>2024-10-12T15:24:00Z</cp:lastPrinted>
  <dcterms:modified xsi:type="dcterms:W3CDTF">2026-02-12T08:06:28Z</dcterms:modified>
  <dc:title>公开招标货物政府采购项目--招标文件范本2018.4.0版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0F495AE4125247DE92EE97FBA06A2A47_13</vt:lpwstr>
  </property>
  <property fmtid="{D5CDD505-2E9C-101B-9397-08002B2CF9AE}" pid="4" name="KSOTemplateDocerSaveRecord">
    <vt:lpwstr>eyJoZGlkIjoiZGQ4MDQ5M2FkMTlhM2IwYTFiZjQ1YmUyOWViMWMyMTUiLCJ1c2VySWQiOiIzODI2ODQzNDkifQ==</vt:lpwstr>
  </property>
</Properties>
</file>