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按差额定率累进法计算</w:t>
      </w:r>
      <w:bookmarkStart w:id="0" w:name="_GoBack"/>
      <w:bookmarkEnd w:id="0"/>
      <w:r>
        <w:rPr>
          <w:rFonts w:hint="eastAsia" w:hAnsi="宋体"/>
          <w:sz w:val="24"/>
          <w:szCs w:val="24"/>
        </w:rPr>
        <w:t>，以</w:t>
      </w:r>
      <w:r>
        <w:rPr>
          <w:rFonts w:hint="eastAsia" w:hAnsi="宋体"/>
          <w:sz w:val="24"/>
          <w:szCs w:val="24"/>
          <w:lang w:eastAsia="zh-CN"/>
        </w:rPr>
        <w:t>采购预算</w:t>
      </w:r>
      <w:r>
        <w:rPr>
          <w:rFonts w:hint="eastAsia" w:hAnsi="宋体"/>
          <w:sz w:val="24"/>
          <w:szCs w:val="24"/>
        </w:rPr>
        <w:t>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CD9720F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2025-08-18T07:24:38Z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