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440501-2025-02189</w:t>
      </w:r>
    </w:p>
    <w:p>
      <w:pPr>
        <w:pStyle w:val="null3"/>
        <w:jc w:val="center"/>
        <w:outlineLvl w:val="3"/>
      </w:pPr>
      <w:r>
        <w:rPr>
          <w:sz w:val="24"/>
          <w:b/>
        </w:rPr>
        <w:t>采购项目编号：</w:t>
      </w:r>
      <w:r>
        <w:rPr>
          <w:sz w:val="24"/>
          <w:b/>
        </w:rPr>
        <w:t>0724-2531ST396820</w:t>
      </w:r>
    </w:p>
    <w:p>
      <w:pPr>
        <w:pStyle w:val="null3"/>
        <w:jc w:val="center"/>
        <w:outlineLvl w:val="3"/>
      </w:pPr>
      <w:r>
        <w:rPr>
          <w:sz w:val="24"/>
          <w:b/>
        </w:rPr>
        <w:t>项目名称：</w:t>
      </w:r>
      <w:r>
        <w:rPr>
          <w:sz w:val="24"/>
          <w:b/>
        </w:rPr>
        <w:t>汕头市第四人民医院经颅磁刺激仪采购招标项目</w:t>
      </w:r>
    </w:p>
    <w:p>
      <w:pPr>
        <w:pStyle w:val="null3"/>
        <w:jc w:val="center"/>
        <w:outlineLvl w:val="3"/>
      </w:pPr>
      <w:r>
        <w:rPr>
          <w:sz w:val="24"/>
          <w:b/>
        </w:rPr>
        <w:t>采购人：</w:t>
      </w:r>
      <w:r>
        <w:rPr>
          <w:sz w:val="24"/>
          <w:b/>
        </w:rPr>
        <w:t>汕头市第四人民医院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汕头市第四人民医院</w:t>
      </w:r>
      <w:r>
        <w:rPr/>
        <w:t>的委托，采用</w:t>
      </w:r>
      <w:r>
        <w:rPr/>
        <w:t>公开招标</w:t>
      </w:r>
      <w:r>
        <w:rPr/>
        <w:t>方式组织采购</w:t>
      </w:r>
      <w:r>
        <w:rPr/>
        <w:t>汕头市第四人民医院经颅磁刺激仪采购招标项目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汕头市第四人民医院经颅磁刺激仪采购招标项目</w:t>
      </w:r>
    </w:p>
    <w:p>
      <w:pPr>
        <w:pStyle w:val="null3"/>
        <w:ind w:firstLine="480"/>
      </w:pPr>
      <w:r>
        <w:rPr/>
        <w:t>采购计划编号：</w:t>
      </w:r>
      <w:r>
        <w:rPr/>
        <w:t>440501-2025-02189</w:t>
      </w:r>
    </w:p>
    <w:p>
      <w:pPr>
        <w:pStyle w:val="null3"/>
        <w:ind w:firstLine="480"/>
      </w:pPr>
      <w:r>
        <w:rPr/>
        <w:t>采购项目编号：</w:t>
      </w:r>
      <w:r>
        <w:rPr/>
        <w:t>0724-2531ST396820</w:t>
      </w:r>
    </w:p>
    <w:p>
      <w:pPr>
        <w:pStyle w:val="null3"/>
        <w:ind w:firstLine="480"/>
      </w:pPr>
      <w:r>
        <w:rPr/>
        <w:t>采购方式：</w:t>
      </w:r>
      <w:r>
        <w:rPr/>
        <w:t>公开招标</w:t>
      </w:r>
    </w:p>
    <w:p>
      <w:pPr>
        <w:pStyle w:val="null3"/>
        <w:ind w:firstLine="480"/>
      </w:pPr>
      <w:r>
        <w:rPr/>
        <w:t>预算金额：</w:t>
      </w:r>
      <w:r>
        <w:rPr/>
        <w:t>2,360,000.00</w:t>
      </w:r>
      <w:r>
        <w:rPr/>
        <w:t>元</w:t>
      </w:r>
    </w:p>
    <w:p>
      <w:pPr>
        <w:pStyle w:val="null3"/>
        <w:outlineLvl w:val="3"/>
      </w:pPr>
      <w:r>
        <w:rPr>
          <w:sz w:val="24"/>
          <w:b/>
        </w:rPr>
        <w:t>2.项目内容及需求情况（采购项目技术规格、参数及要求）</w:t>
      </w:r>
    </w:p>
    <w:p>
      <w:pPr>
        <w:pStyle w:val="null3"/>
      </w:pPr>
      <w:r>
        <w:rPr/>
        <w:t>采购包1(经颅磁刺激仪):</w:t>
      </w:r>
    </w:p>
    <w:p>
      <w:pPr>
        <w:pStyle w:val="null3"/>
      </w:pPr>
      <w:r>
        <w:rPr/>
        <w:t>采购包预算金额：2,360,000.00元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经颅磁刺激仪</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采购包1（经颅磁刺激仪）：</w:t>
      </w:r>
      <w:r>
        <w:rPr/>
        <w:t>本项目不属于专门面向中小企业采购的项目。</w:t>
      </w:r>
    </w:p>
    <w:p>
      <w:pPr>
        <w:pStyle w:val="null3"/>
        <w:outlineLvl w:val="3"/>
      </w:pPr>
      <w:r>
        <w:rPr>
          <w:sz w:val="24"/>
          <w:b/>
        </w:rPr>
        <w:t>3.本项目特定的资格要求：</w:t>
      </w:r>
    </w:p>
    <w:p>
      <w:pPr>
        <w:pStyle w:val="null3"/>
      </w:pPr>
      <w:r>
        <w:rPr/>
        <w:t>采购包1（经颅磁刺激仪）：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汕头市第四人民医院</w:t>
      </w:r>
    </w:p>
    <w:p>
      <w:pPr>
        <w:pStyle w:val="null3"/>
        <w:ind w:firstLine="480"/>
      </w:pPr>
      <w:r>
        <w:rPr/>
        <w:t xml:space="preserve"> 地址：</w:t>
      </w:r>
      <w:r>
        <w:rPr/>
        <w:t>汕头市金平区金湖路50号</w:t>
      </w:r>
    </w:p>
    <w:p>
      <w:pPr>
        <w:pStyle w:val="null3"/>
        <w:ind w:firstLine="480"/>
      </w:pPr>
      <w:r>
        <w:rPr/>
        <w:t xml:space="preserve"> 联系方式：</w:t>
      </w:r>
      <w:r>
        <w:rPr/>
        <w:t>0754-88201786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1．项目标的及最高采购限价</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940"/>
        <w:gridCol w:w="1125"/>
        <w:gridCol w:w="2370"/>
      </w:tblGrid>
      <w:tr>
        <w:tc>
          <w:tcPr>
            <w:tcW w:type="dxa" w:w="2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最高采购限价</w:t>
            </w:r>
          </w:p>
        </w:tc>
      </w:tr>
      <w:tr>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经颅磁刺激仪</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4台</w:t>
            </w:r>
          </w:p>
        </w:tc>
        <w:tc>
          <w:tcPr>
            <w:tcW w:type="dxa" w:w="2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236万元</w:t>
            </w:r>
          </w:p>
        </w:tc>
      </w:tr>
    </w:tbl>
    <w:p>
      <w:pPr>
        <w:pStyle w:val="null3"/>
        <w:ind w:firstLine="420"/>
        <w:jc w:val="both"/>
      </w:pPr>
      <w:r>
        <w:rPr>
          <w:sz w:val="21"/>
          <w:color w:val="000000"/>
        </w:rPr>
        <w:t>详细技术规范以用户需求书为准。投标人必须对本项目的全部内容进行投标报价，如有缺漏或超出最高采购限价，将导致投标无效。</w:t>
      </w:r>
    </w:p>
    <w:p>
      <w:pPr>
        <w:pStyle w:val="null3"/>
        <w:ind w:firstLine="420"/>
        <w:jc w:val="both"/>
      </w:pPr>
      <w:r>
        <w:rPr>
          <w:sz w:val="21"/>
          <w:color w:val="000000"/>
        </w:rPr>
        <w:t>本项目采购</w:t>
      </w:r>
      <w:r>
        <w:rPr>
          <w:sz w:val="21"/>
          <w:color w:val="000000"/>
        </w:rPr>
        <w:t>本国设备。</w:t>
      </w:r>
    </w:p>
    <w:p>
      <w:pPr>
        <w:pStyle w:val="null3"/>
        <w:ind w:firstLine="420"/>
        <w:jc w:val="both"/>
      </w:pPr>
      <w:r>
        <w:rPr>
          <w:sz w:val="21"/>
          <w:color w:val="000000"/>
        </w:rPr>
        <w:t>2．交货时间：采购人指定时间</w:t>
      </w:r>
    </w:p>
    <w:p>
      <w:pPr>
        <w:pStyle w:val="null3"/>
        <w:ind w:firstLine="420"/>
        <w:jc w:val="both"/>
      </w:pPr>
      <w:r>
        <w:rPr>
          <w:sz w:val="21"/>
          <w:color w:val="000000"/>
        </w:rPr>
        <w:t>3．交货地点：采购人指定地点</w:t>
      </w:r>
    </w:p>
    <w:p>
      <w:pPr>
        <w:pStyle w:val="null3"/>
        <w:ind w:firstLine="420"/>
        <w:jc w:val="both"/>
      </w:pPr>
      <w:r>
        <w:rPr>
          <w:sz w:val="21"/>
          <w:color w:val="000000"/>
        </w:rPr>
        <w:t>4.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ind w:firstLine="420"/>
        <w:jc w:val="both"/>
      </w:pPr>
      <w:r>
        <w:rPr>
          <w:sz w:val="21"/>
          <w:color w:val="000000"/>
        </w:rPr>
        <w:t xml:space="preserve">5. </w:t>
      </w:r>
      <w:r>
        <w:rPr>
          <w:sz w:val="21"/>
          <w:color w:val="000000"/>
        </w:rPr>
        <w:t>供应商提供《中小企业声明函》内容不实的，属于“隐瞒真实情况，提供虚假资料的”情形，依照《中华人民共和国政府采购法》及其实施条例等有关法律法规规定追究相应责任。</w:t>
      </w:r>
    </w:p>
    <w:p>
      <w:pPr>
        <w:pStyle w:val="null3"/>
      </w:pPr>
      <w:r>
        <w:rPr/>
        <w:t>采购包1（经颅磁刺激仪）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合同签订后30日内到货。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1期：支付比例100%,设备到货验收，安装调试至能正常使用后，凭投标人发票及加盖公章的验收报告，采购人于三十天内支付合同总金额的95%，验收合格后一年后支付剩余5%的尾款。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对采购人的服务通知，投标人在接报后1小时内响应，4小时内到达现场，48小时内处理完毕。若在48小时内仍未能有效解决，投标人须免费提供相同的设备予采购人临时使用。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免费质保期三年或以上，提供现场安装培训。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经颅磁刺激仪</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590,000.00</w:t>
            </w:r>
          </w:p>
        </w:tc>
        <w:tc>
          <w:tcPr>
            <w:tcW w:type="dxa" w:w="831"/>
          </w:tcPr>
          <w:p>
            <w:pPr>
              <w:pStyle w:val="null3"/>
              <w:jc w:val="right"/>
            </w:pPr>
            <w:r>
              <w:rPr/>
              <w:t>2,360,000.00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经颅磁刺激仪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★总体要求：所投产品应提供医疗器械注册证明材料。</w:t>
            </w:r>
          </w:p>
        </w:tc>
      </w:tr>
      <w:tr>
        <w:tc>
          <w:tcPr>
            <w:tcW w:type="dxa" w:w="2076"/>
          </w:tcPr>
          <w:p/>
        </w:tc>
        <w:tc>
          <w:tcPr>
            <w:tcW w:type="dxa" w:w="415"/>
          </w:tcPr>
          <w:p>
            <w:pPr>
              <w:pStyle w:val="null3"/>
            </w:pPr>
            <w:r>
              <w:rPr/>
              <w:t>2</w:t>
            </w:r>
          </w:p>
        </w:tc>
        <w:tc>
          <w:tcPr>
            <w:tcW w:type="dxa" w:w="5814"/>
          </w:tcPr>
          <w:p>
            <w:pPr>
              <w:pStyle w:val="null3"/>
            </w:pPr>
            <w:r>
              <w:rPr/>
              <w:t>1.主机：</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1.1.▲一体式主机，脉冲源、冷却系统高度集成于同一外壳内；刺激主机及冷却系统分别固定安装于台车。（提供相关证明材料）</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1.2.▲冷却系统：液态内循环冷却系统，非静态液冷或外循环液冷（提供相关证明材料）。</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1.3.▲操作系统：工作站内置管理软件，可由一台终端工作站进行设备操作，支持脱离磁刺激主机独立使用。（提供相关证明材料）</w:t>
            </w:r>
          </w:p>
        </w:tc>
      </w:tr>
      <w:tr>
        <w:tc>
          <w:tcPr>
            <w:tcW w:type="dxa" w:w="2076"/>
          </w:tcPr>
          <w:p/>
        </w:tc>
        <w:tc>
          <w:tcPr>
            <w:tcW w:type="dxa" w:w="415"/>
          </w:tcPr>
          <w:p>
            <w:pPr>
              <w:pStyle w:val="null3"/>
            </w:pPr>
            <w:r>
              <w:rPr/>
              <w:t>6</w:t>
            </w:r>
          </w:p>
        </w:tc>
        <w:tc>
          <w:tcPr>
            <w:tcW w:type="dxa" w:w="5814"/>
          </w:tcPr>
          <w:p>
            <w:pPr>
              <w:pStyle w:val="null3"/>
            </w:pPr>
            <w:r>
              <w:rPr/>
              <w:t>1.4.刺激线圈最大磁感应强度：≥6T</w:t>
            </w:r>
          </w:p>
        </w:tc>
      </w:tr>
      <w:tr>
        <w:tc>
          <w:tcPr>
            <w:tcW w:type="dxa" w:w="2076"/>
          </w:tcPr>
          <w:p/>
        </w:tc>
        <w:tc>
          <w:tcPr>
            <w:tcW w:type="dxa" w:w="415"/>
          </w:tcPr>
          <w:p>
            <w:pPr>
              <w:pStyle w:val="null3"/>
            </w:pPr>
            <w:r>
              <w:rPr/>
              <w:t>7</w:t>
            </w:r>
          </w:p>
        </w:tc>
        <w:tc>
          <w:tcPr>
            <w:tcW w:type="dxa" w:w="5814"/>
          </w:tcPr>
          <w:p>
            <w:pPr>
              <w:pStyle w:val="null3"/>
            </w:pPr>
            <w:r>
              <w:rPr/>
              <w:t>1.5.磁感应强度稳定输出允差：≤±5%</w:t>
            </w:r>
          </w:p>
        </w:tc>
      </w:tr>
      <w:tr>
        <w:tc>
          <w:tcPr>
            <w:tcW w:type="dxa" w:w="2076"/>
          </w:tcPr>
          <w:p/>
        </w:tc>
        <w:tc>
          <w:tcPr>
            <w:tcW w:type="dxa" w:w="415"/>
          </w:tcPr>
          <w:p>
            <w:pPr>
              <w:pStyle w:val="null3"/>
            </w:pPr>
            <w:r>
              <w:rPr/>
              <w:t>8</w:t>
            </w:r>
          </w:p>
        </w:tc>
        <w:tc>
          <w:tcPr>
            <w:tcW w:type="dxa" w:w="5814"/>
          </w:tcPr>
          <w:p>
            <w:pPr>
              <w:pStyle w:val="null3"/>
            </w:pPr>
            <w:r>
              <w:rPr/>
              <w:t>1.6.磁感应强度的最大变化率：40KT/s-70KT/s</w:t>
            </w:r>
          </w:p>
        </w:tc>
      </w:tr>
      <w:tr>
        <w:tc>
          <w:tcPr>
            <w:tcW w:type="dxa" w:w="2076"/>
          </w:tcPr>
          <w:p/>
        </w:tc>
        <w:tc>
          <w:tcPr>
            <w:tcW w:type="dxa" w:w="415"/>
          </w:tcPr>
          <w:p>
            <w:pPr>
              <w:pStyle w:val="null3"/>
            </w:pPr>
            <w:r>
              <w:rPr/>
              <w:t>9</w:t>
            </w:r>
          </w:p>
        </w:tc>
        <w:tc>
          <w:tcPr>
            <w:tcW w:type="dxa" w:w="5814"/>
          </w:tcPr>
          <w:p>
            <w:pPr>
              <w:pStyle w:val="null3"/>
            </w:pPr>
            <w:r>
              <w:rPr/>
              <w:t>1.7.脉冲上升时间：60μs±20μs</w:t>
            </w:r>
          </w:p>
        </w:tc>
      </w:tr>
      <w:tr>
        <w:tc>
          <w:tcPr>
            <w:tcW w:type="dxa" w:w="2076"/>
          </w:tcPr>
          <w:p/>
        </w:tc>
        <w:tc>
          <w:tcPr>
            <w:tcW w:type="dxa" w:w="415"/>
          </w:tcPr>
          <w:p>
            <w:pPr>
              <w:pStyle w:val="null3"/>
            </w:pPr>
            <w:r>
              <w:rPr/>
              <w:t>10</w:t>
            </w:r>
          </w:p>
        </w:tc>
        <w:tc>
          <w:tcPr>
            <w:tcW w:type="dxa" w:w="5814"/>
          </w:tcPr>
          <w:p>
            <w:pPr>
              <w:pStyle w:val="null3"/>
            </w:pPr>
            <w:r>
              <w:rPr/>
              <w:t>1.8.输出脉冲宽度：340μs±40μs</w:t>
            </w:r>
          </w:p>
        </w:tc>
      </w:tr>
      <w:tr>
        <w:tc>
          <w:tcPr>
            <w:tcW w:type="dxa" w:w="2076"/>
          </w:tcPr>
          <w:p/>
        </w:tc>
        <w:tc>
          <w:tcPr>
            <w:tcW w:type="dxa" w:w="415"/>
          </w:tcPr>
          <w:p>
            <w:pPr>
              <w:pStyle w:val="null3"/>
            </w:pPr>
            <w:r>
              <w:rPr/>
              <w:t>11</w:t>
            </w:r>
          </w:p>
        </w:tc>
        <w:tc>
          <w:tcPr>
            <w:tcW w:type="dxa" w:w="5814"/>
          </w:tcPr>
          <w:p>
            <w:pPr>
              <w:pStyle w:val="null3"/>
            </w:pPr>
            <w:r>
              <w:rPr/>
              <w:t>1.9.输出脉冲频率：0.1Hz～100Hz且连续可调</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1.10.▲脉冲频率允差值：≤±2%（提供相关证明材料）</w:t>
            </w:r>
          </w:p>
        </w:tc>
      </w:tr>
      <w:tr>
        <w:tc>
          <w:tcPr>
            <w:tcW w:type="dxa" w:w="2076"/>
          </w:tcPr>
          <w:p/>
        </w:tc>
        <w:tc>
          <w:tcPr>
            <w:tcW w:type="dxa" w:w="415"/>
          </w:tcPr>
          <w:p>
            <w:pPr>
              <w:pStyle w:val="null3"/>
            </w:pPr>
            <w:r>
              <w:rPr/>
              <w:t>13</w:t>
            </w:r>
          </w:p>
        </w:tc>
        <w:tc>
          <w:tcPr>
            <w:tcW w:type="dxa" w:w="5814"/>
          </w:tcPr>
          <w:p>
            <w:pPr>
              <w:pStyle w:val="null3"/>
            </w:pPr>
            <w:r>
              <w:rPr/>
              <w:t>2.安全预警：</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2.1.▲设备功率≥7.0KVA。</w:t>
            </w:r>
          </w:p>
        </w:tc>
      </w:tr>
      <w:tr>
        <w:tc>
          <w:tcPr>
            <w:tcW w:type="dxa" w:w="2076"/>
          </w:tcPr>
          <w:p/>
        </w:tc>
        <w:tc>
          <w:tcPr>
            <w:tcW w:type="dxa" w:w="415"/>
          </w:tcPr>
          <w:p>
            <w:pPr>
              <w:pStyle w:val="null3"/>
            </w:pPr>
            <w:r>
              <w:rPr/>
              <w:t>15</w:t>
            </w:r>
          </w:p>
        </w:tc>
        <w:tc>
          <w:tcPr>
            <w:tcW w:type="dxa" w:w="5814"/>
          </w:tcPr>
          <w:p>
            <w:pPr>
              <w:pStyle w:val="null3"/>
            </w:pPr>
            <w:r>
              <w:rPr/>
              <w:t>2.2.线圈温度≤41℃，当冷却系统发生故障时，应有提示或停止磁场输出。</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2.3.▲设备可以监控脉冲放电开关、恒温模块、脉冲储能器件温度。当冷却系统发生故障时，应有提示或停止磁场输出。（提供相关证明材料）</w:t>
            </w:r>
          </w:p>
        </w:tc>
      </w:tr>
      <w:tr>
        <w:tc>
          <w:tcPr>
            <w:tcW w:type="dxa" w:w="2076"/>
          </w:tcPr>
          <w:p/>
        </w:tc>
        <w:tc>
          <w:tcPr>
            <w:tcW w:type="dxa" w:w="415"/>
          </w:tcPr>
          <w:p>
            <w:pPr>
              <w:pStyle w:val="null3"/>
            </w:pPr>
            <w:r>
              <w:rPr/>
              <w:t>17</w:t>
            </w:r>
          </w:p>
        </w:tc>
        <w:tc>
          <w:tcPr>
            <w:tcW w:type="dxa" w:w="5814"/>
          </w:tcPr>
          <w:p>
            <w:pPr>
              <w:pStyle w:val="null3"/>
            </w:pPr>
            <w:r>
              <w:rPr/>
              <w:t>2.4.在设备工作过程中，可以手动停止，也可以通过设备面板上的停止开关，使仪器停止输出。</w:t>
            </w:r>
          </w:p>
        </w:tc>
      </w:tr>
      <w:tr>
        <w:tc>
          <w:tcPr>
            <w:tcW w:type="dxa" w:w="2076"/>
          </w:tcPr>
          <w:p/>
        </w:tc>
        <w:tc>
          <w:tcPr>
            <w:tcW w:type="dxa" w:w="415"/>
          </w:tcPr>
          <w:p>
            <w:pPr>
              <w:pStyle w:val="null3"/>
            </w:pPr>
            <w:r>
              <w:rPr/>
              <w:t>18</w:t>
            </w:r>
          </w:p>
        </w:tc>
        <w:tc>
          <w:tcPr>
            <w:tcW w:type="dxa" w:w="5814"/>
          </w:tcPr>
          <w:p>
            <w:pPr>
              <w:pStyle w:val="null3"/>
            </w:pPr>
            <w:r>
              <w:rPr/>
              <w:t>2.5.可记录电容放电次数，当电容放电次数达到上限时有提示功能。</w:t>
            </w:r>
          </w:p>
        </w:tc>
      </w:tr>
      <w:tr>
        <w:tc>
          <w:tcPr>
            <w:tcW w:type="dxa" w:w="2076"/>
          </w:tcPr>
          <w:p/>
        </w:tc>
        <w:tc>
          <w:tcPr>
            <w:tcW w:type="dxa" w:w="415"/>
          </w:tcPr>
          <w:p>
            <w:pPr>
              <w:pStyle w:val="null3"/>
            </w:pPr>
            <w:r>
              <w:rPr/>
              <w:t>19</w:t>
            </w:r>
          </w:p>
        </w:tc>
        <w:tc>
          <w:tcPr>
            <w:tcW w:type="dxa" w:w="5814"/>
          </w:tcPr>
          <w:p>
            <w:pPr>
              <w:pStyle w:val="null3"/>
            </w:pPr>
            <w:r>
              <w:rPr/>
              <w:t>3.刺激线圈：</w:t>
            </w:r>
          </w:p>
        </w:tc>
      </w:tr>
      <w:tr>
        <w:tc>
          <w:tcPr>
            <w:tcW w:type="dxa" w:w="2076"/>
          </w:tcPr>
          <w:p/>
        </w:tc>
        <w:tc>
          <w:tcPr>
            <w:tcW w:type="dxa" w:w="415"/>
          </w:tcPr>
          <w:p>
            <w:pPr>
              <w:pStyle w:val="null3"/>
            </w:pPr>
            <w:r>
              <w:rPr/>
              <w:t>20</w:t>
            </w:r>
          </w:p>
        </w:tc>
        <w:tc>
          <w:tcPr>
            <w:tcW w:type="dxa" w:w="5814"/>
          </w:tcPr>
          <w:p>
            <w:pPr>
              <w:pStyle w:val="null3"/>
            </w:pPr>
            <w:r>
              <w:rPr/>
              <w:t>3.1. 配备圆形或8字形线圈，线圈拍能实现双面双向刺激</w:t>
            </w:r>
          </w:p>
        </w:tc>
      </w:tr>
      <w:tr>
        <w:tc>
          <w:tcPr>
            <w:tcW w:type="dxa" w:w="2076"/>
          </w:tcPr>
          <w:p/>
        </w:tc>
        <w:tc>
          <w:tcPr>
            <w:tcW w:type="dxa" w:w="415"/>
          </w:tcPr>
          <w:p>
            <w:pPr>
              <w:pStyle w:val="null3"/>
            </w:pPr>
            <w:r>
              <w:rPr/>
              <w:t>21</w:t>
            </w:r>
          </w:p>
        </w:tc>
        <w:tc>
          <w:tcPr>
            <w:tcW w:type="dxa" w:w="5814"/>
          </w:tcPr>
          <w:p>
            <w:pPr>
              <w:pStyle w:val="null3"/>
            </w:pPr>
            <w:r>
              <w:rPr/>
              <w:t>3.2.线圈全封闭一体式工艺，无孔设计，加工一次成型</w:t>
            </w:r>
          </w:p>
        </w:tc>
      </w:tr>
      <w:tr>
        <w:tc>
          <w:tcPr>
            <w:tcW w:type="dxa" w:w="2076"/>
          </w:tcPr>
          <w:p/>
        </w:tc>
        <w:tc>
          <w:tcPr>
            <w:tcW w:type="dxa" w:w="415"/>
          </w:tcPr>
          <w:p>
            <w:pPr>
              <w:pStyle w:val="null3"/>
            </w:pPr>
            <w:r>
              <w:rPr/>
              <w:t>22</w:t>
            </w:r>
          </w:p>
        </w:tc>
        <w:tc>
          <w:tcPr>
            <w:tcW w:type="dxa" w:w="5814"/>
          </w:tcPr>
          <w:p>
            <w:pPr>
              <w:pStyle w:val="null3"/>
            </w:pPr>
            <w:r>
              <w:rPr/>
              <w:t>3.3.可扩展临床用线圈拍：刺激线圈≥2个，由使用单位任选，如包括但不限于圆形，8字形、双锥（蝶）形、儿童型；</w:t>
            </w:r>
          </w:p>
        </w:tc>
      </w:tr>
      <w:tr>
        <w:tc>
          <w:tcPr>
            <w:tcW w:type="dxa" w:w="2076"/>
          </w:tcPr>
          <w:p/>
        </w:tc>
        <w:tc>
          <w:tcPr>
            <w:tcW w:type="dxa" w:w="415"/>
          </w:tcPr>
          <w:p>
            <w:pPr>
              <w:pStyle w:val="null3"/>
            </w:pPr>
            <w:r>
              <w:rPr/>
              <w:t>23</w:t>
            </w:r>
          </w:p>
        </w:tc>
        <w:tc>
          <w:tcPr>
            <w:tcW w:type="dxa" w:w="5814"/>
          </w:tcPr>
          <w:p>
            <w:pPr>
              <w:pStyle w:val="null3"/>
            </w:pPr>
            <w:r>
              <w:rPr/>
              <w:t>3.4.可扩展科研用线圈拍：包括但不限于凹面型、动物型、盔式深部型、红光功能型；</w:t>
            </w:r>
          </w:p>
        </w:tc>
      </w:tr>
      <w:tr>
        <w:tc>
          <w:tcPr>
            <w:tcW w:type="dxa" w:w="2076"/>
          </w:tcPr>
          <w:p/>
        </w:tc>
        <w:tc>
          <w:tcPr>
            <w:tcW w:type="dxa" w:w="415"/>
          </w:tcPr>
          <w:p>
            <w:pPr>
              <w:pStyle w:val="null3"/>
            </w:pPr>
            <w:r>
              <w:rPr/>
              <w:t>24</w:t>
            </w:r>
          </w:p>
        </w:tc>
        <w:tc>
          <w:tcPr>
            <w:tcW w:type="dxa" w:w="5814"/>
          </w:tcPr>
          <w:p>
            <w:pPr>
              <w:pStyle w:val="null3"/>
            </w:pPr>
            <w:r>
              <w:rPr/>
              <w:t>3.5.插拔线圈时，出于安全性和稳定性考虑，设备具有电动吸液和电动排液功能。</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4.▲提供管理平台，可以与医院HIS或Pacs系统进行对接，配置中文管理界面，管理软件平台可实现科室常用设备接入，包括经颅磁刺激仪、经颅直流电刺激仪、近红外脑功能成像装置等且不限品牌。并具备指纹录入与识别、监控和运维能力，包括软硬件监控、容量评估、风险分析、健康检查、错误告警等。</w:t>
            </w:r>
          </w:p>
        </w:tc>
      </w:tr>
      <w:tr>
        <w:tc>
          <w:tcPr>
            <w:tcW w:type="dxa" w:w="2076"/>
          </w:tcPr>
          <w:p/>
        </w:tc>
        <w:tc>
          <w:tcPr>
            <w:tcW w:type="dxa" w:w="415"/>
          </w:tcPr>
          <w:p>
            <w:pPr>
              <w:pStyle w:val="null3"/>
            </w:pPr>
            <w:r>
              <w:rPr/>
              <w:t>26</w:t>
            </w:r>
          </w:p>
        </w:tc>
        <w:tc>
          <w:tcPr>
            <w:tcW w:type="dxa" w:w="5814"/>
          </w:tcPr>
          <w:p>
            <w:pPr>
              <w:pStyle w:val="null3"/>
            </w:pPr>
            <w:r>
              <w:rPr/>
              <w:t>5.软件功能：</w:t>
            </w:r>
          </w:p>
        </w:tc>
      </w:tr>
      <w:tr>
        <w:tc>
          <w:tcPr>
            <w:tcW w:type="dxa" w:w="2076"/>
          </w:tcPr>
          <w:p/>
        </w:tc>
        <w:tc>
          <w:tcPr>
            <w:tcW w:type="dxa" w:w="415"/>
          </w:tcPr>
          <w:p>
            <w:pPr>
              <w:pStyle w:val="null3"/>
            </w:pPr>
            <w:r>
              <w:rPr/>
              <w:t>27</w:t>
            </w:r>
          </w:p>
        </w:tc>
        <w:tc>
          <w:tcPr>
            <w:tcW w:type="dxa" w:w="5814"/>
          </w:tcPr>
          <w:p>
            <w:pPr>
              <w:pStyle w:val="null3"/>
            </w:pPr>
            <w:r>
              <w:rPr/>
              <w:t>5.1.系统可建立和储存患者的一般信息。包括但不限于：姓名、性别、出生年月日、检查日期、门诊号或住院号、就诊科室等。</w:t>
            </w:r>
          </w:p>
        </w:tc>
      </w:tr>
      <w:tr>
        <w:tc>
          <w:tcPr>
            <w:tcW w:type="dxa" w:w="2076"/>
          </w:tcPr>
          <w:p/>
        </w:tc>
        <w:tc>
          <w:tcPr>
            <w:tcW w:type="dxa" w:w="415"/>
          </w:tcPr>
          <w:p>
            <w:pPr>
              <w:pStyle w:val="null3"/>
            </w:pPr>
            <w:r>
              <w:rPr/>
              <w:t>28</w:t>
            </w:r>
          </w:p>
        </w:tc>
        <w:tc>
          <w:tcPr>
            <w:tcW w:type="dxa" w:w="5814"/>
          </w:tcPr>
          <w:p>
            <w:pPr>
              <w:pStyle w:val="null3"/>
            </w:pPr>
            <w:r>
              <w:rPr/>
              <w:t>5.2.软件上可以实时显示线圈温度。</w:t>
            </w:r>
          </w:p>
        </w:tc>
      </w:tr>
      <w:tr>
        <w:tc>
          <w:tcPr>
            <w:tcW w:type="dxa" w:w="2076"/>
          </w:tcPr>
          <w:p/>
        </w:tc>
        <w:tc>
          <w:tcPr>
            <w:tcW w:type="dxa" w:w="415"/>
          </w:tcPr>
          <w:p>
            <w:pPr>
              <w:pStyle w:val="null3"/>
            </w:pPr>
            <w:r>
              <w:rPr/>
              <w:t>29</w:t>
            </w:r>
          </w:p>
        </w:tc>
        <w:tc>
          <w:tcPr>
            <w:tcW w:type="dxa" w:w="5814"/>
          </w:tcPr>
          <w:p>
            <w:pPr>
              <w:pStyle w:val="null3"/>
            </w:pPr>
            <w:r>
              <w:rPr/>
              <w:t>5.3.可根据病人姓名查找相关储存资料调出回放。</w:t>
            </w:r>
          </w:p>
        </w:tc>
      </w:tr>
      <w:tr>
        <w:tc>
          <w:tcPr>
            <w:tcW w:type="dxa" w:w="2076"/>
          </w:tcPr>
          <w:p/>
        </w:tc>
        <w:tc>
          <w:tcPr>
            <w:tcW w:type="dxa" w:w="415"/>
          </w:tcPr>
          <w:p>
            <w:pPr>
              <w:pStyle w:val="null3"/>
            </w:pPr>
            <w:r>
              <w:rPr/>
              <w:t>30</w:t>
            </w:r>
          </w:p>
        </w:tc>
        <w:tc>
          <w:tcPr>
            <w:tcW w:type="dxa" w:w="5814"/>
          </w:tcPr>
          <w:p>
            <w:pPr>
              <w:pStyle w:val="null3"/>
            </w:pPr>
            <w:r>
              <w:rPr/>
              <w:t>5.4.可统计呈现每个患者的治疗记录，可以将记录存为文档，方便复制和粘贴到硬盘、U盘等其他存储设备。</w:t>
            </w:r>
          </w:p>
        </w:tc>
      </w:tr>
      <w:tr>
        <w:tc>
          <w:tcPr>
            <w:tcW w:type="dxa" w:w="2076"/>
          </w:tcPr>
          <w:p/>
        </w:tc>
        <w:tc>
          <w:tcPr>
            <w:tcW w:type="dxa" w:w="415"/>
          </w:tcPr>
          <w:p>
            <w:pPr>
              <w:pStyle w:val="null3"/>
            </w:pPr>
            <w:r>
              <w:rPr/>
              <w:t>31</w:t>
            </w:r>
          </w:p>
        </w:tc>
        <w:tc>
          <w:tcPr>
            <w:tcW w:type="dxa" w:w="5814"/>
          </w:tcPr>
          <w:p>
            <w:pPr>
              <w:pStyle w:val="null3"/>
            </w:pPr>
            <w:r>
              <w:rPr/>
              <w:t>6.检测模式：</w:t>
            </w:r>
          </w:p>
        </w:tc>
      </w:tr>
      <w:tr>
        <w:tc>
          <w:tcPr>
            <w:tcW w:type="dxa" w:w="2076"/>
          </w:tcPr>
          <w:p/>
        </w:tc>
        <w:tc>
          <w:tcPr>
            <w:tcW w:type="dxa" w:w="415"/>
          </w:tcPr>
          <w:p>
            <w:pPr>
              <w:pStyle w:val="null3"/>
            </w:pPr>
            <w:r>
              <w:rPr/>
              <w:t>32</w:t>
            </w:r>
          </w:p>
        </w:tc>
        <w:tc>
          <w:tcPr>
            <w:tcW w:type="dxa" w:w="5814"/>
          </w:tcPr>
          <w:p>
            <w:pPr>
              <w:pStyle w:val="null3"/>
            </w:pPr>
            <w:r>
              <w:rPr/>
              <w:t>6.1.检测项目：支持运动阈值、运动诱发电位、中枢神经传导时间、静息期检测等检测功能。</w:t>
            </w:r>
          </w:p>
        </w:tc>
      </w:tr>
      <w:tr>
        <w:tc>
          <w:tcPr>
            <w:tcW w:type="dxa" w:w="2076"/>
          </w:tcPr>
          <w:p/>
        </w:tc>
        <w:tc>
          <w:tcPr>
            <w:tcW w:type="dxa" w:w="415"/>
          </w:tcPr>
          <w:p>
            <w:pPr>
              <w:pStyle w:val="null3"/>
            </w:pPr>
            <w:r>
              <w:rPr/>
              <w:t>33</w:t>
            </w:r>
          </w:p>
        </w:tc>
        <w:tc>
          <w:tcPr>
            <w:tcW w:type="dxa" w:w="5814"/>
          </w:tcPr>
          <w:p>
            <w:pPr>
              <w:pStyle w:val="null3"/>
            </w:pPr>
            <w:r>
              <w:rPr/>
              <w:t>6.2.检测记录：运动阈值与治疗方案自动记忆功能，可对保存文档中波形与数据进行复现。</w:t>
            </w:r>
          </w:p>
        </w:tc>
      </w:tr>
      <w:tr>
        <w:tc>
          <w:tcPr>
            <w:tcW w:type="dxa" w:w="2076"/>
          </w:tcPr>
          <w:p/>
        </w:tc>
        <w:tc>
          <w:tcPr>
            <w:tcW w:type="dxa" w:w="415"/>
          </w:tcPr>
          <w:p>
            <w:pPr>
              <w:pStyle w:val="null3"/>
            </w:pPr>
            <w:r>
              <w:rPr/>
              <w:t>34</w:t>
            </w:r>
          </w:p>
        </w:tc>
        <w:tc>
          <w:tcPr>
            <w:tcW w:type="dxa" w:w="5814"/>
          </w:tcPr>
          <w:p>
            <w:pPr>
              <w:pStyle w:val="null3"/>
            </w:pPr>
            <w:r>
              <w:rPr/>
              <w:t>6.3.具备自动计算神经传导时间功能。</w:t>
            </w:r>
          </w:p>
        </w:tc>
      </w:tr>
      <w:tr>
        <w:tc>
          <w:tcPr>
            <w:tcW w:type="dxa" w:w="2076"/>
          </w:tcPr>
          <w:p/>
        </w:tc>
        <w:tc>
          <w:tcPr>
            <w:tcW w:type="dxa" w:w="415"/>
          </w:tcPr>
          <w:p>
            <w:pPr>
              <w:pStyle w:val="null3"/>
            </w:pPr>
            <w:r>
              <w:rPr/>
              <w:t>35</w:t>
            </w:r>
          </w:p>
        </w:tc>
        <w:tc>
          <w:tcPr>
            <w:tcW w:type="dxa" w:w="5814"/>
          </w:tcPr>
          <w:p>
            <w:pPr>
              <w:pStyle w:val="null3"/>
            </w:pPr>
            <w:r>
              <w:rPr/>
              <w:t>6.4.具备运动诱发电位，用于捕捉肌电信号，可以在显示器上显示波形。</w:t>
            </w:r>
          </w:p>
        </w:tc>
      </w:tr>
      <w:tr>
        <w:tc>
          <w:tcPr>
            <w:tcW w:type="dxa" w:w="2076"/>
          </w:tcPr>
          <w:p/>
        </w:tc>
        <w:tc>
          <w:tcPr>
            <w:tcW w:type="dxa" w:w="415"/>
          </w:tcPr>
          <w:p>
            <w:pPr>
              <w:pStyle w:val="null3"/>
            </w:pPr>
            <w:r>
              <w:rPr/>
              <w:t>36</w:t>
            </w:r>
          </w:p>
        </w:tc>
        <w:tc>
          <w:tcPr>
            <w:tcW w:type="dxa" w:w="5814"/>
          </w:tcPr>
          <w:p>
            <w:pPr>
              <w:pStyle w:val="null3"/>
            </w:pPr>
            <w:r>
              <w:rPr/>
              <w:t>6.4.1.通道数：两通道。</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6.4.2.▲采样率：≥100KHz（提供相关证明材料）</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6.4.3.▲传输方式：集成内置式MEP模块，非无线传输，无需充电或换电，确保信号稳定使用方便。</w:t>
            </w:r>
          </w:p>
        </w:tc>
      </w:tr>
      <w:tr>
        <w:tc>
          <w:tcPr>
            <w:tcW w:type="dxa" w:w="2076"/>
          </w:tcPr>
          <w:p/>
        </w:tc>
        <w:tc>
          <w:tcPr>
            <w:tcW w:type="dxa" w:w="415"/>
          </w:tcPr>
          <w:p>
            <w:pPr>
              <w:pStyle w:val="null3"/>
            </w:pPr>
            <w:r>
              <w:rPr/>
              <w:t>39</w:t>
            </w:r>
          </w:p>
        </w:tc>
        <w:tc>
          <w:tcPr>
            <w:tcW w:type="dxa" w:w="5814"/>
          </w:tcPr>
          <w:p>
            <w:pPr>
              <w:pStyle w:val="null3"/>
            </w:pPr>
            <w:r>
              <w:rPr/>
              <w:t>6.4.4.最小分辨率：≤0.1μV，频率测量范围：1Hz～35KHz。</w:t>
            </w:r>
          </w:p>
        </w:tc>
      </w:tr>
      <w:tr>
        <w:tc>
          <w:tcPr>
            <w:tcW w:type="dxa" w:w="2076"/>
          </w:tcPr>
          <w:p/>
        </w:tc>
        <w:tc>
          <w:tcPr>
            <w:tcW w:type="dxa" w:w="415"/>
          </w:tcPr>
          <w:p>
            <w:pPr>
              <w:pStyle w:val="null3"/>
            </w:pPr>
            <w:r>
              <w:rPr/>
              <w:t>40</w:t>
            </w:r>
          </w:p>
        </w:tc>
        <w:tc>
          <w:tcPr>
            <w:tcW w:type="dxa" w:w="5814"/>
          </w:tcPr>
          <w:p>
            <w:pPr>
              <w:pStyle w:val="null3"/>
            </w:pPr>
            <w:r>
              <w:rPr/>
              <w:t>6.4.5. 运动诱发电位灵敏度：操作软件上调节灵敏度，要求软件在1μV/div～10mV/div 范围可调</w:t>
            </w:r>
          </w:p>
        </w:tc>
      </w:tr>
      <w:tr>
        <w:tc>
          <w:tcPr>
            <w:tcW w:type="dxa" w:w="2076"/>
          </w:tcPr>
          <w:p/>
        </w:tc>
        <w:tc>
          <w:tcPr>
            <w:tcW w:type="dxa" w:w="415"/>
          </w:tcPr>
          <w:p>
            <w:pPr>
              <w:pStyle w:val="null3"/>
            </w:pPr>
            <w:r>
              <w:rPr/>
              <w:t>41</w:t>
            </w:r>
          </w:p>
        </w:tc>
        <w:tc>
          <w:tcPr>
            <w:tcW w:type="dxa" w:w="5814"/>
          </w:tcPr>
          <w:p>
            <w:pPr>
              <w:pStyle w:val="null3"/>
            </w:pPr>
            <w:r>
              <w:rPr/>
              <w:t>6.4.6. 运动诱发电位扫描时程：操作软件上调节扫描时程，要求软件在0.5ms/div～100ms/div范围可调</w:t>
            </w:r>
          </w:p>
        </w:tc>
      </w:tr>
      <w:tr>
        <w:tc>
          <w:tcPr>
            <w:tcW w:type="dxa" w:w="2076"/>
          </w:tcPr>
          <w:p/>
        </w:tc>
        <w:tc>
          <w:tcPr>
            <w:tcW w:type="dxa" w:w="415"/>
          </w:tcPr>
          <w:p>
            <w:pPr>
              <w:pStyle w:val="null3"/>
            </w:pPr>
            <w:r>
              <w:rPr/>
              <w:t>42</w:t>
            </w:r>
          </w:p>
        </w:tc>
        <w:tc>
          <w:tcPr>
            <w:tcW w:type="dxa" w:w="5814"/>
          </w:tcPr>
          <w:p>
            <w:pPr>
              <w:pStyle w:val="null3"/>
            </w:pPr>
            <w:r>
              <w:rPr/>
              <w:t>7.刺激模式</w:t>
            </w:r>
          </w:p>
        </w:tc>
      </w:tr>
      <w:tr>
        <w:tc>
          <w:tcPr>
            <w:tcW w:type="dxa" w:w="2076"/>
          </w:tcPr>
          <w:p/>
        </w:tc>
        <w:tc>
          <w:tcPr>
            <w:tcW w:type="dxa" w:w="415"/>
          </w:tcPr>
          <w:p>
            <w:pPr>
              <w:pStyle w:val="null3"/>
            </w:pPr>
            <w:r>
              <w:rPr/>
              <w:t>43</w:t>
            </w:r>
          </w:p>
        </w:tc>
        <w:tc>
          <w:tcPr>
            <w:tcW w:type="dxa" w:w="5814"/>
          </w:tcPr>
          <w:p>
            <w:pPr>
              <w:pStyle w:val="null3"/>
            </w:pPr>
            <w:r>
              <w:rPr/>
              <w:t>7.1.单脉冲、重复脉冲、复合刺激、成对脉冲输出等多种刺激模式自由调整。</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7.2.▲支持双人同时治疗，双人的刺激频率、刺激强度、刺激时间和刺激间隔可完全独立调节，并且无强制关联关系，两线圈可同时输出脉冲。（提供相关证明材料）</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7.3.▲支持双线圈成对刺激，成对脉冲最小时间间隔≤0.2ms，双线圈成对脉冲时间间隔范围-25000ms～25000ms内可调，步长1ms。</w:t>
            </w:r>
          </w:p>
        </w:tc>
      </w:tr>
      <w:tr>
        <w:tc>
          <w:tcPr>
            <w:tcW w:type="dxa" w:w="2076"/>
          </w:tcPr>
          <w:p/>
        </w:tc>
        <w:tc>
          <w:tcPr>
            <w:tcW w:type="dxa" w:w="415"/>
          </w:tcPr>
          <w:p>
            <w:pPr>
              <w:pStyle w:val="null3"/>
            </w:pPr>
            <w:r>
              <w:rPr/>
              <w:t>46</w:t>
            </w:r>
          </w:p>
        </w:tc>
        <w:tc>
          <w:tcPr>
            <w:tcW w:type="dxa" w:w="5814"/>
          </w:tcPr>
          <w:p>
            <w:pPr>
              <w:pStyle w:val="null3"/>
            </w:pPr>
            <w:r>
              <w:rPr/>
              <w:t>7.4.定时时间按照方案的需要设置，在预定时间（方案的总时间）到达后设备自动终止磁场输出，允差：≤10%。</w:t>
            </w:r>
          </w:p>
        </w:tc>
      </w:tr>
      <w:tr>
        <w:tc>
          <w:tcPr>
            <w:tcW w:type="dxa" w:w="2076"/>
          </w:tcPr>
          <w:p/>
        </w:tc>
        <w:tc>
          <w:tcPr>
            <w:tcW w:type="dxa" w:w="415"/>
          </w:tcPr>
          <w:p>
            <w:pPr>
              <w:pStyle w:val="null3"/>
            </w:pPr>
            <w:r>
              <w:rPr/>
              <w:t>47</w:t>
            </w:r>
          </w:p>
        </w:tc>
        <w:tc>
          <w:tcPr>
            <w:tcW w:type="dxa" w:w="5814"/>
          </w:tcPr>
          <w:p>
            <w:pPr>
              <w:pStyle w:val="null3"/>
            </w:pPr>
            <w:r>
              <w:rPr/>
              <w:t>7.5.内置多种专家方案，可供临床选择，支持刺激方案自定义，设置刺激时间、输出频率、刺激间歇、刺激强度、刺激数量等。</w:t>
            </w:r>
          </w:p>
        </w:tc>
      </w:tr>
      <w:tr>
        <w:tc>
          <w:tcPr>
            <w:tcW w:type="dxa" w:w="2076"/>
          </w:tcPr>
          <w:p/>
        </w:tc>
        <w:tc>
          <w:tcPr>
            <w:tcW w:type="dxa" w:w="415"/>
          </w:tcPr>
          <w:p>
            <w:pPr>
              <w:pStyle w:val="null3"/>
            </w:pPr>
            <w:r>
              <w:rPr/>
              <w:t>48</w:t>
            </w:r>
          </w:p>
        </w:tc>
        <w:tc>
          <w:tcPr>
            <w:tcW w:type="dxa" w:w="5814"/>
          </w:tcPr>
          <w:p>
            <w:pPr>
              <w:pStyle w:val="null3"/>
            </w:pPr>
            <w:r>
              <w:rPr/>
              <w:t>7.6.能显示阈值强度、以百分比表示相对输出强度，显示刺激序列、刺激时间、刺激数量。</w:t>
            </w:r>
          </w:p>
        </w:tc>
      </w:tr>
      <w:tr>
        <w:tc>
          <w:tcPr>
            <w:tcW w:type="dxa" w:w="2076"/>
          </w:tcPr>
          <w:p/>
        </w:tc>
        <w:tc>
          <w:tcPr>
            <w:tcW w:type="dxa" w:w="415"/>
          </w:tcPr>
          <w:p>
            <w:pPr>
              <w:pStyle w:val="null3"/>
            </w:pPr>
            <w:r>
              <w:rPr/>
              <w:t>49</w:t>
            </w:r>
          </w:p>
        </w:tc>
        <w:tc>
          <w:tcPr>
            <w:tcW w:type="dxa" w:w="5814"/>
          </w:tcPr>
          <w:p>
            <w:pPr>
              <w:pStyle w:val="null3"/>
            </w:pPr>
            <w:r>
              <w:rPr/>
              <w:t>7.7.治疗方案提供详细图文描述，配合定位帽标识，刺激部位360度呈现，提供精准靶点指导。</w:t>
            </w:r>
          </w:p>
        </w:tc>
      </w:tr>
      <w:tr>
        <w:tc>
          <w:tcPr>
            <w:tcW w:type="dxa" w:w="2076"/>
          </w:tcPr>
          <w:p/>
        </w:tc>
        <w:tc>
          <w:tcPr>
            <w:tcW w:type="dxa" w:w="415"/>
          </w:tcPr>
          <w:p>
            <w:pPr>
              <w:pStyle w:val="null3"/>
            </w:pPr>
            <w:r>
              <w:rPr/>
              <w:t>50</w:t>
            </w:r>
          </w:p>
        </w:tc>
        <w:tc>
          <w:tcPr>
            <w:tcW w:type="dxa" w:w="5814"/>
          </w:tcPr>
          <w:p>
            <w:pPr>
              <w:pStyle w:val="null3"/>
            </w:pPr>
            <w:r>
              <w:rPr/>
              <w:t>8.操作软件上调节触发输入延时时间，软件在0-250ms范围可调，步长0.1ms。</w:t>
            </w:r>
          </w:p>
        </w:tc>
      </w:tr>
      <w:tr>
        <w:tc>
          <w:tcPr>
            <w:tcW w:type="dxa" w:w="2076"/>
          </w:tcPr>
          <w:p/>
        </w:tc>
        <w:tc>
          <w:tcPr>
            <w:tcW w:type="dxa" w:w="415"/>
          </w:tcPr>
          <w:p>
            <w:pPr>
              <w:pStyle w:val="null3"/>
            </w:pPr>
            <w:r>
              <w:rPr/>
              <w:t>51</w:t>
            </w:r>
          </w:p>
        </w:tc>
        <w:tc>
          <w:tcPr>
            <w:tcW w:type="dxa" w:w="5814"/>
          </w:tcPr>
          <w:p>
            <w:pPr>
              <w:pStyle w:val="null3"/>
            </w:pPr>
            <w:r>
              <w:rPr/>
              <w:t>9.操作软件上调节触发输出延时时间，软件在-250-250ms范围可调，步长0.1ms。</w:t>
            </w:r>
          </w:p>
        </w:tc>
      </w:tr>
      <w:tr>
        <w:tc>
          <w:tcPr>
            <w:tcW w:type="dxa" w:w="2076"/>
          </w:tcPr>
          <w:p>
            <w:pPr>
              <w:pStyle w:val="null3"/>
            </w:pPr>
            <w:r>
              <w:rPr/>
              <w:t>▲</w:t>
            </w:r>
          </w:p>
        </w:tc>
        <w:tc>
          <w:tcPr>
            <w:tcW w:type="dxa" w:w="415"/>
          </w:tcPr>
          <w:p>
            <w:pPr>
              <w:pStyle w:val="null3"/>
            </w:pPr>
            <w:r>
              <w:rPr/>
              <w:t>52</w:t>
            </w:r>
          </w:p>
        </w:tc>
        <w:tc>
          <w:tcPr>
            <w:tcW w:type="dxa" w:w="5814"/>
          </w:tcPr>
          <w:p>
            <w:pPr>
              <w:pStyle w:val="null3"/>
            </w:pPr>
            <w:r>
              <w:rPr/>
              <w:t>10.▲支持扩展经颅磁刺激随动导航系统（提供相关证明材料）</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11.▲开放式的技术平台，可与经颅直流电刺激仪、导航系统、近红外脑功能成像装置等设备兼容。不限于自身品牌。（提供相关证明材料）</w:t>
            </w:r>
          </w:p>
        </w:tc>
      </w:tr>
      <w:tr>
        <w:tc>
          <w:tcPr>
            <w:tcW w:type="dxa" w:w="2076"/>
          </w:tcPr>
          <w:p/>
        </w:tc>
        <w:tc>
          <w:tcPr>
            <w:tcW w:type="dxa" w:w="415"/>
          </w:tcPr>
          <w:p>
            <w:pPr>
              <w:pStyle w:val="null3"/>
            </w:pPr>
            <w:r>
              <w:rPr/>
              <w:t>54</w:t>
            </w:r>
          </w:p>
        </w:tc>
        <w:tc>
          <w:tcPr>
            <w:tcW w:type="dxa" w:w="5814"/>
          </w:tcPr>
          <w:p>
            <w:pPr>
              <w:pStyle w:val="null3"/>
            </w:pPr>
            <w:r>
              <w:rPr/>
              <w:t>12.设备使用年限：≥10年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汕头市第四人民医院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采购包1(经颅磁刺激仪)：综合评分法,是指投标文件满足招标文件全部实质性要求，且按照评审因素的量化指标评审得分最高的投标人为中标候选人的评标方法。（最低报价不是中标的唯一依据。）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采购包1（经颅磁刺激仪）：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采购包1（经颅磁刺激仪）：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采购包1（经颅磁刺激仪）：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采购包1(经颅磁刺激仪):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(26.0分)</w:t>
            </w:r>
          </w:p>
        </w:tc>
        <w:tc>
          <w:tcPr>
            <w:tcW w:type="dxa" w:w="5076"/>
          </w:tcPr>
          <w:p>
            <w:pPr>
              <w:pStyle w:val="null3"/>
              <w:jc w:val="left"/>
            </w:pPr>
            <w:r>
              <w:rPr/>
              <w:t>所投产品完全满足或优于用户需求书中带▲重点技术参数（共13项）要求的，得26分；每一项带▲重点技术参数负偏离扣2分，有13项负偏离得0分。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所投产品对用户需求书中不带▲号的一般技术参数的响应情况 (20.0分)</w:t>
            </w:r>
          </w:p>
        </w:tc>
        <w:tc>
          <w:tcPr>
            <w:tcW w:type="dxa" w:w="5076"/>
          </w:tcPr>
          <w:p>
            <w:pPr>
              <w:pStyle w:val="null3"/>
              <w:jc w:val="left"/>
            </w:pPr>
            <w:r>
              <w:rPr/>
              <w:t>所投产品完全满足或优于用户需求书中不带▲号的一般技术参数（共40项）要求的，得20分；每一项不带▲号的一般技术参数负偏离扣0.5分，有40项负偏离得0分。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（1）投标人针对本项目有明确具体的计划安排、对每个标的设备的运输过程有针对性保障手段、设备到场时的专人安装调试有明确的安排措施，得5分； （2）投标人针对本项目有明确的计划安排、对设备的运输过程有基本的保障手段、设备到场时的专人安装调试有基本的安排措施，得3分；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3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4分； （2）投标人针对本项目为采购人提供有专人指导和简单上手的设备操作培训课程安排，有简单的课程及培训内容安排，对设备的操作过程中注意事项有基本操作指引，得2分；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(5.0分)</w:t>
            </w:r>
          </w:p>
        </w:tc>
        <w:tc>
          <w:tcPr>
            <w:tcW w:type="dxa" w:w="5076"/>
          </w:tcPr>
          <w:p>
            <w:pPr>
              <w:pStyle w:val="null3"/>
              <w:jc w:val="left"/>
            </w:pPr>
            <w:r>
              <w:rPr/>
              <w:t>2022年1月至今投标人的同类产品业绩，每提供一份有效的合同复印件得1分，最高得5分。 注：需提供合同关键页复印件，以合同的签订日期为准，不提供或专家无法认定的不得分。</w:t>
            </w:r>
          </w:p>
        </w:tc>
      </w:tr>
      <w:tr>
        <w:tc>
          <w:tcPr>
            <w:tcW w:type="dxa" w:w="922"/>
            <w:gridSpan w:val="2"/>
            <w:vMerge/>
          </w:tcPr>
          <w:p/>
        </w:tc>
        <w:tc>
          <w:tcPr>
            <w:tcW w:type="dxa" w:w="2307"/>
          </w:tcPr>
          <w:p>
            <w:pPr>
              <w:pStyle w:val="null3"/>
              <w:jc w:val="left"/>
            </w:pPr>
            <w:r>
              <w:rPr/>
              <w:t>使用用户评价 (5.0分)</w:t>
            </w:r>
          </w:p>
        </w:tc>
        <w:tc>
          <w:tcPr>
            <w:tcW w:type="dxa" w:w="5076"/>
          </w:tcPr>
          <w:p>
            <w:pPr>
              <w:pStyle w:val="null3"/>
              <w:jc w:val="left"/>
            </w:pPr>
            <w:r>
              <w:rPr/>
              <w:t>2022年1月至今所投产品厂家的同类产品用户评价，每提供一个有效的使用用户评价材料得1分，最高得5分，要求评价为“满意”“优良”或类似正面评价并加盖用户印章。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color w:val="000000"/>
        </w:rPr>
        <w:t>甲    方：</w:t>
      </w:r>
      <w:r>
        <w:rPr>
          <w:sz w:val="21"/>
          <w:b/>
          <w:color w:val="000000"/>
          <w:u w:val="single"/>
        </w:rPr>
        <w:t xml:space="preserve">                  </w:t>
      </w:r>
    </w:p>
    <w:p>
      <w:pPr>
        <w:pStyle w:val="null3"/>
        <w:jc w:val="both"/>
      </w:pPr>
      <w:r>
        <w:rPr>
          <w:sz w:val="21"/>
          <w:color w:val="000000"/>
        </w:rPr>
        <w:t>电    话：           　   传  真：           地  址：</w:t>
      </w:r>
    </w:p>
    <w:p>
      <w:pPr>
        <w:pStyle w:val="null3"/>
        <w:jc w:val="both"/>
      </w:pPr>
      <w:r>
        <w:rPr>
          <w:sz w:val="21"/>
          <w:b/>
          <w:color w:val="000000"/>
        </w:rPr>
        <w:t>乙    方：</w:t>
      </w:r>
      <w:r>
        <w:rPr>
          <w:sz w:val="21"/>
          <w:b/>
          <w:color w:val="000000"/>
          <w:u w:val="single"/>
        </w:rPr>
        <w:t xml:space="preserve">                   </w:t>
      </w:r>
    </w:p>
    <w:p>
      <w:pPr>
        <w:pStyle w:val="null3"/>
        <w:jc w:val="both"/>
      </w:pPr>
      <w:r>
        <w:rPr>
          <w:sz w:val="21"/>
          <w:color w:val="000000"/>
        </w:rPr>
        <w:t xml:space="preserve">电    话：                传  真：           地  址：  </w:t>
      </w:r>
    </w:p>
    <w:p>
      <w:pPr>
        <w:pStyle w:val="null3"/>
        <w:jc w:val="both"/>
      </w:pPr>
      <w:r>
        <w:rPr>
          <w:sz w:val="21"/>
          <w:color w:val="000000"/>
        </w:rPr>
        <w:t xml:space="preserve">项目名称：                                   采购编号：  </w:t>
      </w:r>
    </w:p>
    <w:p>
      <w:pPr>
        <w:pStyle w:val="null3"/>
        <w:jc w:val="both"/>
      </w:pPr>
      <w:r>
        <w:rPr>
          <w:sz w:val="21"/>
          <w:color w:val="000000"/>
        </w:rPr>
        <w:t xml:space="preserve">           </w:t>
      </w:r>
    </w:p>
    <w:p>
      <w:pPr>
        <w:pStyle w:val="null3"/>
        <w:jc w:val="both"/>
      </w:pPr>
      <w:r>
        <w:rPr>
          <w:sz w:val="21"/>
        </w:rPr>
        <w:t xml:space="preserve">    </w:t>
      </w:r>
      <w:r>
        <w:rPr>
          <w:sz w:val="21"/>
          <w:color w:val="000000"/>
        </w:rPr>
        <w:t xml:space="preserve">根据 </w:t>
      </w:r>
      <w:r>
        <w:rPr>
          <w:sz w:val="21"/>
          <w:color w:val="000000"/>
          <w:u w:val="single"/>
        </w:rPr>
        <w:t xml:space="preserve">              项目</w:t>
      </w:r>
      <w:r>
        <w:rPr>
          <w:sz w:val="21"/>
          <w:color w:val="000000"/>
        </w:rPr>
        <w:t>的采购结果，按照《中华人民共和国政府采购法》、《中华人民共和国民法典》 的规定，</w:t>
      </w:r>
      <w:r>
        <w:rPr>
          <w:sz w:val="21"/>
          <w:color w:val="000000"/>
        </w:rPr>
        <w:t>经双方协商，</w:t>
      </w:r>
      <w:r>
        <w:rPr>
          <w:sz w:val="21"/>
          <w:color w:val="000000"/>
        </w:rPr>
        <w:t>本着平等互利和诚实信用的原则，</w:t>
      </w:r>
      <w:r>
        <w:rPr>
          <w:sz w:val="21"/>
          <w:color w:val="000000"/>
        </w:rPr>
        <w:t>一致同意签订本合同如下。</w:t>
      </w:r>
    </w:p>
    <w:p>
      <w:pPr>
        <w:pStyle w:val="null3"/>
        <w:numPr>
          <w:ilvl w:val="0"/>
          <w:numId w:val="1"/>
        </w:numPr>
        <w:jc w:val="both"/>
      </w:pPr>
      <w:r>
        <w:rPr>
          <w:sz w:val="21"/>
          <w:b/>
          <w:color w:val="000000"/>
        </w:rPr>
        <w:t>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5"/>
        <w:gridCol w:w="1045"/>
        <w:gridCol w:w="3176"/>
        <w:gridCol w:w="814"/>
        <w:gridCol w:w="814"/>
        <w:gridCol w:w="977"/>
        <w:gridCol w:w="814"/>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序号</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商品名称</w:t>
            </w:r>
          </w:p>
        </w:tc>
        <w:tc>
          <w:tcPr>
            <w:tcW w:type="dxa" w:w="31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数量</w:t>
            </w:r>
          </w:p>
        </w:tc>
        <w:tc>
          <w:tcPr>
            <w:tcW w:type="dxa" w:w="9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单价(元)</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金额(元)</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 xml:space="preserve">  </w:t>
            </w:r>
            <w:r>
              <w:rPr>
                <w:sz w:val="21"/>
                <w:color w:val="000000"/>
              </w:rPr>
              <w:t xml:space="preserve">合计总额：￥       元；    大写：        </w:t>
            </w:r>
          </w:p>
        </w:tc>
      </w:tr>
    </w:tbl>
    <w:p>
      <w:pPr>
        <w:pStyle w:val="null3"/>
        <w:ind w:firstLine="420"/>
        <w:jc w:val="both"/>
      </w:pPr>
      <w:r>
        <w:rPr>
          <w:sz w:val="21"/>
          <w:color w:val="000000"/>
        </w:rPr>
        <w:t>合同总额包括乙方设计、安装、随机零配件、标配工具、运输保险、调试、培训、质保期服务、各项税费及合同实施过程中不可预见费用等。</w:t>
      </w:r>
    </w:p>
    <w:p>
      <w:pPr>
        <w:pStyle w:val="null3"/>
        <w:ind w:firstLine="420"/>
        <w:jc w:val="both"/>
      </w:pPr>
      <w:r>
        <w:rPr>
          <w:sz w:val="21"/>
          <w:color w:val="000000"/>
        </w:rPr>
        <w:t>注：货物名称内容必须与投标文件中货物名称内容一致。</w:t>
      </w:r>
    </w:p>
    <w:p>
      <w:pPr>
        <w:pStyle w:val="null3"/>
        <w:jc w:val="both"/>
      </w:pPr>
      <w:r>
        <w:rPr>
          <w:sz w:val="21"/>
          <w:b/>
          <w:color w:val="000000"/>
        </w:rPr>
        <w:t>二、合同金额为</w:t>
      </w:r>
      <w:r>
        <w:rPr>
          <w:sz w:val="21"/>
          <w:color w:val="000000"/>
        </w:rPr>
        <w:t>（大写）：</w:t>
      </w:r>
      <w:r>
        <w:rPr>
          <w:sz w:val="21"/>
          <w:color w:val="000000"/>
          <w:u w:val="single"/>
        </w:rPr>
        <w:t xml:space="preserve">          </w:t>
      </w:r>
      <w:r>
        <w:rPr>
          <w:sz w:val="21"/>
          <w:color w:val="000000"/>
        </w:rPr>
        <w:t>元（￥</w:t>
      </w:r>
      <w:r>
        <w:rPr>
          <w:sz w:val="21"/>
          <w:color w:val="000000"/>
          <w:u w:val="single"/>
        </w:rPr>
        <w:t xml:space="preserve">        </w:t>
      </w:r>
      <w:r>
        <w:rPr>
          <w:sz w:val="21"/>
          <w:color w:val="000000"/>
        </w:rPr>
        <w:t>元）人民币。</w:t>
      </w:r>
    </w:p>
    <w:p>
      <w:pPr>
        <w:pStyle w:val="null3"/>
        <w:jc w:val="both"/>
      </w:pPr>
      <w:r>
        <w:rPr>
          <w:sz w:val="21"/>
          <w:b/>
          <w:color w:val="000000"/>
        </w:rPr>
        <w:t>三、设备要求</w:t>
      </w:r>
    </w:p>
    <w:p>
      <w:pPr>
        <w:pStyle w:val="null3"/>
        <w:ind w:left="210"/>
        <w:jc w:val="both"/>
      </w:pPr>
      <w:r>
        <w:rPr>
          <w:sz w:val="21"/>
          <w:color w:val="000000"/>
        </w:rPr>
        <w:t>1.</w:t>
      </w:r>
      <w:r>
        <w:rPr>
          <w:sz w:val="21"/>
          <w:color w:val="000000"/>
        </w:rPr>
        <w:t>货物为原制造商制造的全新产品，整机无污染，无侵权行为、表面无划损、无任何缺陷隐患，在中国境内可依常规安全合法使用。</w:t>
      </w:r>
    </w:p>
    <w:p>
      <w:pPr>
        <w:pStyle w:val="null3"/>
        <w:jc w:val="both"/>
      </w:pPr>
      <w:r>
        <w:rPr>
          <w:sz w:val="21"/>
          <w:color w:val="000000"/>
        </w:rPr>
        <w:t>2.</w:t>
      </w:r>
      <w:r>
        <w:rPr>
          <w:sz w:val="21"/>
          <w:color w:val="000000"/>
        </w:rPr>
        <w:t>交付验收标准</w:t>
      </w:r>
      <w:r>
        <w:rPr>
          <w:sz w:val="21"/>
          <w:color w:val="000000"/>
        </w:rPr>
        <w:t>依次序对照适用标准为：</w:t>
      </w:r>
      <w:r>
        <w:rPr>
          <w:sz w:val="21"/>
          <w:color w:val="000000"/>
        </w:rPr>
        <w:t xml:space="preserve">①符合中华人民共和国国家安全质量标准、环保标准或行业标准；②符合采购文件和响应承诺中甲方认可的合理最佳配置、参数及各项要求；③货物来源国官方标准。   </w:t>
      </w:r>
    </w:p>
    <w:p>
      <w:pPr>
        <w:pStyle w:val="null3"/>
        <w:jc w:val="both"/>
      </w:pPr>
      <w:r>
        <w:rPr>
          <w:sz w:val="21"/>
          <w:color w:val="000000"/>
        </w:rPr>
        <w:t>3.</w:t>
      </w:r>
      <w:r>
        <w:rPr>
          <w:sz w:val="21"/>
          <w:color w:val="000000"/>
        </w:rPr>
        <w:t>进口产品必须具备原产地证明和商检局的检验证明及合法进货渠道证明。</w:t>
      </w:r>
    </w:p>
    <w:p>
      <w:pPr>
        <w:pStyle w:val="null3"/>
        <w:jc w:val="both"/>
      </w:pPr>
      <w:r>
        <w:rPr>
          <w:sz w:val="21"/>
          <w:color w:val="000000"/>
        </w:rPr>
        <w:t>4.</w:t>
      </w:r>
      <w:r>
        <w:rPr>
          <w:sz w:val="21"/>
          <w:color w:val="000000"/>
        </w:rPr>
        <w:t>货物为原厂商未启封全新包装，具出厂合格证，序列号、包装箱号与出厂批号一致，并可追索查阅。</w:t>
      </w:r>
    </w:p>
    <w:p>
      <w:pPr>
        <w:pStyle w:val="null3"/>
        <w:ind w:left="210"/>
        <w:jc w:val="both"/>
      </w:pPr>
      <w:r>
        <w:rPr>
          <w:sz w:val="21"/>
          <w:color w:val="000000"/>
        </w:rPr>
        <w:t>5.</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b/>
          <w:color w:val="000000"/>
        </w:rPr>
        <w:t>四、交货期、交货方式及交货地点</w:t>
      </w:r>
    </w:p>
    <w:p>
      <w:pPr>
        <w:pStyle w:val="null3"/>
        <w:jc w:val="both"/>
      </w:pPr>
      <w:r>
        <w:rPr>
          <w:sz w:val="21"/>
          <w:color w:val="000000"/>
        </w:rPr>
        <w:t>1.</w:t>
      </w:r>
      <w:r>
        <w:rPr>
          <w:sz w:val="21"/>
          <w:color w:val="000000"/>
        </w:rPr>
        <w:t>交货期：</w:t>
      </w:r>
    </w:p>
    <w:p>
      <w:pPr>
        <w:pStyle w:val="null3"/>
        <w:jc w:val="both"/>
      </w:pPr>
      <w:r>
        <w:rPr>
          <w:sz w:val="21"/>
          <w:color w:val="000000"/>
        </w:rPr>
        <w:t>2.</w:t>
      </w:r>
      <w:r>
        <w:rPr>
          <w:sz w:val="21"/>
          <w:color w:val="000000"/>
        </w:rPr>
        <w:t>交货方式：</w:t>
      </w:r>
    </w:p>
    <w:p>
      <w:pPr>
        <w:pStyle w:val="null3"/>
        <w:jc w:val="both"/>
      </w:pPr>
      <w:r>
        <w:rPr>
          <w:sz w:val="21"/>
          <w:color w:val="000000"/>
        </w:rPr>
        <w:t>3.</w:t>
      </w:r>
      <w:r>
        <w:rPr>
          <w:sz w:val="21"/>
          <w:color w:val="000000"/>
        </w:rPr>
        <w:t>交货地点：</w:t>
      </w:r>
    </w:p>
    <w:p>
      <w:pPr>
        <w:pStyle w:val="null3"/>
        <w:jc w:val="both"/>
      </w:pPr>
      <w:r>
        <w:rPr>
          <w:sz w:val="21"/>
          <w:b/>
          <w:color w:val="000000"/>
        </w:rPr>
        <w:t>五、付款方式</w:t>
      </w:r>
    </w:p>
    <w:p>
      <w:pPr>
        <w:pStyle w:val="null3"/>
        <w:jc w:val="both"/>
      </w:pPr>
      <w:r>
        <w:rPr>
          <w:sz w:val="21"/>
          <w:color w:val="000000"/>
        </w:rPr>
        <w:t>设备到货验收，安装调试至能正常使用后，凭乙方发票及加盖公章的验收报告，甲方于三十天内支付合同总金额的95%，验收合格后一年后支付剩余5%的尾款。</w:t>
      </w:r>
    </w:p>
    <w:p>
      <w:pPr>
        <w:pStyle w:val="null3"/>
        <w:jc w:val="both"/>
      </w:pPr>
      <w:r>
        <w:rPr>
          <w:sz w:val="21"/>
          <w:b/>
          <w:color w:val="000000"/>
        </w:rPr>
        <w:t>六、质保期及售后服务要求</w:t>
      </w:r>
    </w:p>
    <w:p>
      <w:pPr>
        <w:pStyle w:val="null3"/>
        <w:jc w:val="both"/>
      </w:pPr>
      <w:r>
        <w:rPr>
          <w:sz w:val="21"/>
          <w:color w:val="000000"/>
        </w:rPr>
        <w:t xml:space="preserve">1. </w:t>
      </w:r>
      <w:r>
        <w:rPr>
          <w:sz w:val="21"/>
          <w:color w:val="000000"/>
        </w:rPr>
        <w:t>本合同的售后服务为生产厂家负责, 质量保证期（简称“质保期”）为</w:t>
      </w:r>
      <w:r>
        <w:rPr>
          <w:sz w:val="21"/>
          <w:color w:val="000000"/>
          <w:u w:val="single"/>
        </w:rPr>
        <w:t xml:space="preserve">     </w:t>
      </w:r>
      <w:r>
        <w:rPr>
          <w:sz w:val="21"/>
          <w:color w:val="000000"/>
        </w:rPr>
        <w:t xml:space="preserve">年，从合同设备安装及验收合格之日算起，质保期内乙方对所供货物实行包修、包换、包退、包维护保养，期满后可同时提供终身 </w:t>
      </w:r>
      <w:r>
        <w:rPr>
          <w:sz w:val="21"/>
          <w:color w:val="000000"/>
          <w:u w:val="single"/>
        </w:rPr>
        <w:t>(免费/有偿)</w:t>
      </w:r>
      <w:r>
        <w:rPr>
          <w:sz w:val="21"/>
          <w:color w:val="000000"/>
        </w:rPr>
        <w:t xml:space="preserve"> 维修保养服务。</w:t>
      </w:r>
    </w:p>
    <w:p>
      <w:pPr>
        <w:pStyle w:val="null3"/>
        <w:jc w:val="both"/>
      </w:pPr>
      <w:r>
        <w:rPr>
          <w:sz w:val="21"/>
          <w:color w:val="000000"/>
        </w:rPr>
        <w:t>2.</w:t>
      </w:r>
      <w:r>
        <w:rPr>
          <w:sz w:val="21"/>
          <w:color w:val="000000"/>
        </w:rPr>
        <w:t>质保期内，如设备或零部件因非人为因素出现故障而造成短期停用时，则质保期和免费维修期相应顺延。如停用时间累计超过</w:t>
      </w:r>
      <w:r>
        <w:rPr>
          <w:sz w:val="21"/>
          <w:color w:val="000000"/>
          <w:u w:val="single"/>
        </w:rPr>
        <w:t xml:space="preserve">   </w:t>
      </w:r>
      <w:r>
        <w:rPr>
          <w:sz w:val="21"/>
          <w:color w:val="000000"/>
        </w:rPr>
        <w:t>天则质保期重新计算。</w:t>
      </w:r>
    </w:p>
    <w:p>
      <w:pPr>
        <w:pStyle w:val="null3"/>
        <w:jc w:val="both"/>
      </w:pPr>
      <w:r>
        <w:rPr>
          <w:sz w:val="21"/>
          <w:color w:val="000000"/>
        </w:rPr>
        <w:t>3.</w:t>
      </w:r>
      <w:r>
        <w:rPr>
          <w:sz w:val="21"/>
          <w:color w:val="000000"/>
        </w:rPr>
        <w:t>对甲方的服务通知，乙方在接报后</w:t>
      </w:r>
      <w:r>
        <w:rPr>
          <w:sz w:val="21"/>
          <w:color w:val="000000"/>
          <w:u w:val="single"/>
        </w:rPr>
        <w:t xml:space="preserve">   </w:t>
      </w:r>
      <w:r>
        <w:rPr>
          <w:sz w:val="21"/>
          <w:color w:val="000000"/>
        </w:rPr>
        <w:t>小时内响应，</w:t>
      </w:r>
      <w:r>
        <w:rPr>
          <w:sz w:val="21"/>
          <w:color w:val="000000"/>
          <w:u w:val="single"/>
        </w:rPr>
        <w:t xml:space="preserve">   </w:t>
      </w:r>
      <w:r>
        <w:rPr>
          <w:sz w:val="21"/>
          <w:color w:val="000000"/>
        </w:rPr>
        <w:t>小时内到达现场，</w:t>
      </w:r>
      <w:r>
        <w:rPr>
          <w:sz w:val="21"/>
          <w:color w:val="000000"/>
          <w:u w:val="single"/>
        </w:rPr>
        <w:t xml:space="preserve">   </w:t>
      </w:r>
      <w:r>
        <w:rPr>
          <w:sz w:val="21"/>
          <w:color w:val="000000"/>
        </w:rPr>
        <w:t>小时内处理完毕。若在48小时内仍未能有效解决，乙方须免费提供相同的设备予甲方临时使用。</w:t>
      </w:r>
    </w:p>
    <w:p>
      <w:pPr>
        <w:pStyle w:val="null3"/>
        <w:jc w:val="both"/>
      </w:pPr>
      <w:r>
        <w:rPr>
          <w:sz w:val="21"/>
          <w:b/>
          <w:color w:val="000000"/>
        </w:rPr>
        <w:t>七、安装与调试:</w:t>
      </w:r>
      <w:r>
        <w:rPr>
          <w:sz w:val="21"/>
          <w:color w:val="000000"/>
        </w:rPr>
        <w:t>乙方必须依照采购文件的要求和报价文件的承诺，将设备、系统安装并调试至正常运行的最佳状态。</w:t>
      </w:r>
    </w:p>
    <w:p>
      <w:pPr>
        <w:pStyle w:val="null3"/>
        <w:jc w:val="both"/>
      </w:pPr>
      <w:r>
        <w:rPr>
          <w:sz w:val="21"/>
          <w:b/>
          <w:color w:val="000000"/>
        </w:rPr>
        <w:t>八、验收：</w:t>
      </w:r>
    </w:p>
    <w:p>
      <w:pPr>
        <w:pStyle w:val="null3"/>
        <w:jc w:val="both"/>
      </w:pPr>
      <w:r>
        <w:rPr>
          <w:sz w:val="21"/>
          <w:color w:val="000000"/>
        </w:rPr>
        <w:t>1</w:t>
      </w:r>
      <w:r>
        <w:rPr>
          <w:sz w:val="21"/>
          <w:color w:val="000000"/>
        </w:rPr>
        <w:t>）货物若有国家标准按照国家标准验收，若无国家标准按行业标准验收，为原制造商制造的全新产品，整机无污染，无侵权行为、表面无划损、无任何缺陷隐患，在中国境内可依常规安全合法使用。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color w:val="000000"/>
        </w:rPr>
        <w:t>2</w:t>
      </w:r>
      <w:r>
        <w:rPr>
          <w:sz w:val="21"/>
          <w:color w:val="000000"/>
        </w:rPr>
        <w:t>）进口产品必须具备原产地证明和商检局的检验证明及合法进货渠道证明。评审小组在各投标人的报价有限期内有权要求投标人提供进口货物的报关单。</w:t>
      </w:r>
    </w:p>
    <w:p>
      <w:pPr>
        <w:pStyle w:val="null3"/>
        <w:jc w:val="both"/>
      </w:pPr>
      <w:r>
        <w:rPr>
          <w:sz w:val="21"/>
          <w:color w:val="000000"/>
        </w:rPr>
        <w:t>3</w:t>
      </w:r>
      <w:r>
        <w:rPr>
          <w:sz w:val="21"/>
          <w:color w:val="000000"/>
        </w:rPr>
        <w:t>）货物为原厂商未启封全新包装，具出厂合格证，序列号、包装箱号与出厂批号一致，并可追索查阅。所有随设备的附件必须齐全。</w:t>
      </w:r>
    </w:p>
    <w:p>
      <w:pPr>
        <w:pStyle w:val="null3"/>
        <w:jc w:val="both"/>
      </w:pPr>
      <w:r>
        <w:rPr>
          <w:sz w:val="21"/>
          <w:color w:val="000000"/>
        </w:rPr>
        <w:t>4</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color w:val="000000"/>
        </w:rPr>
        <w:t>5</w:t>
      </w:r>
      <w:r>
        <w:rPr>
          <w:sz w:val="21"/>
          <w:color w:val="000000"/>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color w:val="000000"/>
        </w:rPr>
        <w:t>九、</w:t>
      </w:r>
      <w:r>
        <w:rPr>
          <w:sz w:val="21"/>
          <w:b/>
          <w:color w:val="000000"/>
        </w:rPr>
        <w:t>违约责任与赔偿损失</w:t>
      </w:r>
    </w:p>
    <w:p>
      <w:pPr>
        <w:pStyle w:val="null3"/>
        <w:jc w:val="both"/>
      </w:pPr>
      <w:r>
        <w:rPr>
          <w:sz w:val="21"/>
          <w:color w:val="000000"/>
        </w:rPr>
        <w:t xml:space="preserve">1) </w:t>
      </w:r>
      <w:r>
        <w:rPr>
          <w:sz w:val="21"/>
          <w:color w:val="000000"/>
        </w:rPr>
        <w:t>乙方交付的货物、工程/提供的服务不符合采购文件、报价文件或本合同规定的，甲方有权拒收，并且乙方须向甲方支付本合同总价5%的违约金。</w:t>
      </w:r>
    </w:p>
    <w:p>
      <w:pPr>
        <w:pStyle w:val="null3"/>
        <w:ind w:right="210"/>
        <w:jc w:val="both"/>
      </w:pPr>
      <w:r>
        <w:rPr>
          <w:sz w:val="21"/>
          <w:color w:val="000000"/>
        </w:rPr>
        <w:t xml:space="preserve">2) </w:t>
      </w:r>
      <w:r>
        <w:rPr>
          <w:sz w:val="21"/>
          <w:color w:val="000000"/>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1"/>
          <w:color w:val="000000"/>
        </w:rPr>
        <w:t xml:space="preserve">3) </w:t>
      </w:r>
      <w:r>
        <w:rPr>
          <w:sz w:val="21"/>
          <w:color w:val="000000"/>
        </w:rPr>
        <w:t>甲方无正当理由拒收货物/接受服务，甲方向乙方偿付本合同总价5%的违约金。甲方逾期付款的，每日按当期未付款项的3‰向乙方偿付违约金。</w:t>
      </w:r>
    </w:p>
    <w:p>
      <w:pPr>
        <w:pStyle w:val="null3"/>
        <w:jc w:val="both"/>
      </w:pPr>
      <w:r>
        <w:rPr>
          <w:sz w:val="21"/>
          <w:color w:val="000000"/>
        </w:rPr>
        <w:t xml:space="preserve">4) </w:t>
      </w:r>
      <w:r>
        <w:rPr>
          <w:sz w:val="21"/>
          <w:color w:val="000000"/>
        </w:rPr>
        <w:t>其它违约责任按《</w:t>
      </w:r>
      <w:r>
        <w:rPr>
          <w:sz w:val="21"/>
          <w:color w:val="000000"/>
        </w:rPr>
        <w:t>中华人民共和国民法典》处理。</w:t>
      </w:r>
    </w:p>
    <w:p>
      <w:pPr>
        <w:pStyle w:val="null3"/>
        <w:jc w:val="both"/>
      </w:pPr>
      <w:r>
        <w:rPr>
          <w:sz w:val="21"/>
          <w:b/>
          <w:color w:val="000000"/>
        </w:rPr>
        <w:t>十、争议的解决</w:t>
      </w:r>
    </w:p>
    <w:p>
      <w:pPr>
        <w:pStyle w:val="null3"/>
        <w:jc w:val="both"/>
      </w:pPr>
      <w:r>
        <w:rPr>
          <w:sz w:val="21"/>
          <w:color w:val="000000"/>
        </w:rPr>
        <w:t>1)</w:t>
      </w:r>
      <w:r>
        <w:rPr>
          <w:sz w:val="21"/>
          <w:color w:val="000000"/>
        </w:rPr>
        <w:t>合同执行过程中发生的任何争议，如双方不能通过友好协商解决，按相关法律法规处理。</w:t>
      </w:r>
    </w:p>
    <w:p>
      <w:pPr>
        <w:pStyle w:val="null3"/>
        <w:jc w:val="both"/>
      </w:pPr>
      <w:r>
        <w:rPr>
          <w:sz w:val="21"/>
          <w:b/>
          <w:color w:val="000000"/>
        </w:rPr>
        <w:t>十一、不可抗力：</w:t>
      </w:r>
      <w:r>
        <w:rPr>
          <w:sz w:val="21"/>
          <w:color w:val="000000"/>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十二、税费：</w:t>
      </w:r>
      <w:r>
        <w:rPr>
          <w:sz w:val="21"/>
          <w:color w:val="000000"/>
        </w:rPr>
        <w:t>在中国境内、外发生的与本合同执行有关的一切税费均由乙方负担。</w:t>
      </w:r>
    </w:p>
    <w:p>
      <w:pPr>
        <w:pStyle w:val="null3"/>
        <w:jc w:val="both"/>
      </w:pPr>
      <w:r>
        <w:rPr>
          <w:sz w:val="21"/>
          <w:b/>
          <w:color w:val="000000"/>
        </w:rPr>
        <w:t>十三、其它</w:t>
      </w:r>
    </w:p>
    <w:p>
      <w:pPr>
        <w:pStyle w:val="null3"/>
        <w:jc w:val="both"/>
      </w:pPr>
      <w:r>
        <w:rPr>
          <w:sz w:val="21"/>
          <w:color w:val="000000"/>
        </w:rPr>
        <w:t xml:space="preserve">1) </w:t>
      </w:r>
      <w:r>
        <w:rPr>
          <w:sz w:val="21"/>
          <w:color w:val="000000"/>
        </w:rPr>
        <w:t>本合同所有附件、采购文件、投标文件、中标通知书均为合同的有效组成部分，与本合同具有同等法律效力。</w:t>
      </w:r>
    </w:p>
    <w:p>
      <w:pPr>
        <w:pStyle w:val="null3"/>
        <w:jc w:val="both"/>
      </w:pPr>
      <w:r>
        <w:rPr>
          <w:sz w:val="21"/>
          <w:color w:val="000000"/>
        </w:rPr>
        <w:t xml:space="preserve">2) </w:t>
      </w:r>
      <w:r>
        <w:rPr>
          <w:sz w:val="21"/>
          <w:color w:val="000000"/>
        </w:rPr>
        <w:t>在执行本合同的过程中，所有经双方签署确认的文件（包括会议纪要、补充协议、往来信函）即成为本合同的有效组成部分。</w:t>
      </w:r>
    </w:p>
    <w:p>
      <w:pPr>
        <w:pStyle w:val="null3"/>
        <w:jc w:val="both"/>
      </w:pPr>
      <w:r>
        <w:rPr>
          <w:sz w:val="21"/>
          <w:color w:val="000000"/>
        </w:rPr>
        <w:t xml:space="preserve">3) </w:t>
      </w:r>
      <w:r>
        <w:rPr>
          <w:sz w:val="21"/>
          <w:color w:val="000000"/>
        </w:rPr>
        <w:t>如一方地址、电话、传真号码有变更，应在变更当日内书面通知对方，否则，应承担相应责任。</w:t>
      </w:r>
    </w:p>
    <w:p>
      <w:pPr>
        <w:pStyle w:val="null3"/>
        <w:jc w:val="both"/>
      </w:pPr>
      <w:r>
        <w:rPr>
          <w:sz w:val="21"/>
          <w:color w:val="000000"/>
        </w:rPr>
        <w:t xml:space="preserve">4) </w:t>
      </w:r>
      <w:r>
        <w:rPr>
          <w:sz w:val="21"/>
          <w:color w:val="000000"/>
        </w:rPr>
        <w:t>除甲方事先书面同意外，乙方不得部分或全部转让其应履行的合同项下的义务。</w:t>
      </w:r>
    </w:p>
    <w:p>
      <w:pPr>
        <w:pStyle w:val="null3"/>
        <w:jc w:val="both"/>
      </w:pPr>
      <w:r>
        <w:rPr>
          <w:sz w:val="21"/>
          <w:b/>
          <w:color w:val="000000"/>
        </w:rPr>
        <w:t>十四、合同生效：</w:t>
      </w:r>
    </w:p>
    <w:p>
      <w:pPr>
        <w:pStyle w:val="null3"/>
        <w:jc w:val="both"/>
      </w:pPr>
      <w:r>
        <w:rPr>
          <w:sz w:val="21"/>
          <w:color w:val="000000"/>
        </w:rPr>
        <w:t>1</w:t>
      </w:r>
      <w:r>
        <w:rPr>
          <w:sz w:val="21"/>
          <w:color w:val="000000"/>
        </w:rPr>
        <w:t>）本合同在甲乙双方法人代表或其授权代表签字盖章后生效。</w:t>
      </w:r>
    </w:p>
    <w:p>
      <w:pPr>
        <w:pStyle w:val="null3"/>
        <w:jc w:val="both"/>
      </w:pPr>
      <w:r>
        <w:rPr>
          <w:sz w:val="21"/>
          <w:color w:val="000000"/>
        </w:rPr>
        <w:t>2</w:t>
      </w:r>
      <w:r>
        <w:rPr>
          <w:sz w:val="21"/>
          <w:color w:val="000000"/>
        </w:rPr>
        <w:t>）</w:t>
      </w:r>
      <w:r>
        <w:rPr>
          <w:sz w:val="21"/>
          <w:color w:val="000000"/>
        </w:rPr>
        <w:t>合同一式四份</w:t>
      </w:r>
      <w:r>
        <w:rPr>
          <w:sz w:val="21"/>
          <w:color w:val="000000"/>
        </w:rPr>
        <w:t>。</w:t>
      </w:r>
    </w:p>
    <w:p>
      <w:pPr>
        <w:pStyle w:val="null3"/>
        <w:jc w:val="both"/>
      </w:pPr>
      <w:r>
        <w:rPr>
          <w:sz w:val="21"/>
          <w:b/>
          <w:color w:val="000000"/>
        </w:rPr>
        <w:t>甲方（盖章）：                                乙方（盖章）：</w:t>
      </w:r>
    </w:p>
    <w:p>
      <w:pPr>
        <w:pStyle w:val="null3"/>
        <w:jc w:val="both"/>
      </w:pPr>
      <w:r>
        <w:rPr>
          <w:sz w:val="21"/>
          <w:b/>
          <w:color w:val="000000"/>
        </w:rPr>
        <w:t>代表：                                        代表：</w:t>
      </w:r>
    </w:p>
    <w:p>
      <w:pPr>
        <w:pStyle w:val="null3"/>
        <w:jc w:val="both"/>
      </w:pPr>
      <w:r>
        <w:rPr>
          <w:sz w:val="21"/>
          <w:color w:val="000000"/>
        </w:rPr>
        <w:t>签定地点：</w:t>
      </w:r>
    </w:p>
    <w:p>
      <w:pPr>
        <w:pStyle w:val="null3"/>
        <w:jc w:val="both"/>
      </w:pPr>
      <w:r>
        <w:rPr>
          <w:sz w:val="21"/>
          <w:color w:val="000000"/>
        </w:rPr>
        <w:t>签定日期：   年     月    日                  签定日期：   年     月     日</w:t>
      </w:r>
    </w:p>
    <w:p>
      <w:pPr>
        <w:pStyle w:val="null3"/>
        <w:ind w:firstLine="4830"/>
        <w:jc w:val="both"/>
      </w:pPr>
      <w:r>
        <w:rPr>
          <w:sz w:val="21"/>
          <w:color w:val="000000"/>
        </w:rPr>
        <w:t>开户名称：</w:t>
      </w:r>
    </w:p>
    <w:p>
      <w:pPr>
        <w:pStyle w:val="null3"/>
        <w:ind w:firstLine="4830"/>
        <w:jc w:val="both"/>
      </w:pPr>
      <w:r>
        <w:rPr>
          <w:sz w:val="21"/>
          <w:color w:val="000000"/>
        </w:rPr>
        <w:t>银行账号：</w:t>
      </w:r>
    </w:p>
    <w:p>
      <w:pPr>
        <w:pStyle w:val="null3"/>
        <w:ind w:firstLine="4830"/>
        <w:jc w:val="both"/>
      </w:pPr>
      <w:r>
        <w:rPr>
          <w:sz w:val="21"/>
          <w:color w:val="000000"/>
        </w:rPr>
        <w:t>开 户 行：</w:t>
      </w:r>
    </w:p>
    <w:p>
      <w:pPr>
        <w:pStyle w:val="null3"/>
        <w:ind w:firstLine="483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440501-2025-02189</w:t>
      </w:r>
    </w:p>
    <w:p>
      <w:pPr>
        <w:pStyle w:val="null3"/>
        <w:jc w:val="center"/>
        <w:outlineLvl w:val="3"/>
      </w:pPr>
      <w:r>
        <w:rPr>
          <w:sz w:val="24"/>
          <w:b/>
        </w:rPr>
        <w:t>采购项目编号：</w:t>
      </w:r>
      <w:r>
        <w:rPr>
          <w:sz w:val="24"/>
          <w:b/>
        </w:rPr>
        <w:t>0724-2531ST396820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汕头市第四人民医院经颅磁刺激仪采购招标项目</w:t>
      </w:r>
      <w:r>
        <w:rPr>
          <w:u w:val="single"/>
        </w:rPr>
        <w:t>”</w:t>
      </w:r>
      <w:r>
        <w:rPr/>
        <w:t>项目的招标[采购项目编号为：</w:t>
      </w:r>
      <w:r>
        <w:rPr>
          <w:u w:val="single"/>
        </w:rPr>
        <w:t>0724-2531ST396820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汕头市第四人民医院经颅磁刺激仪采购招标项目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汕头市第四人民医院经颅磁刺激仪采购招标项目</w:t>
      </w:r>
      <w:r>
        <w:rPr/>
        <w:t>”项目采购[采购项目编号为</w:t>
      </w:r>
      <w:r>
        <w:rPr/>
        <w:t>0724-2531ST396820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汕头市第四人民医院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汕头市第四人民医院经颅磁刺激仪采购招标项目</w:t>
      </w:r>
      <w:r>
        <w:rPr/>
        <w:t>招标中获中标（采购项目编号：</w:t>
      </w:r>
      <w:r>
        <w:rPr/>
        <w:t>0724-2531ST396820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汕头市第四人民医院经颅磁刺激仪采购招标项目</w:t>
      </w:r>
      <w:r>
        <w:rPr/>
        <w:t>”项目（采购项目编号：</w:t>
      </w:r>
      <w:r>
        <w:rPr/>
        <w:t>0724-2531ST396820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