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440401-2026-00562</w:t>
      </w:r>
    </w:p>
    <w:p>
      <w:pPr>
        <w:pStyle w:val="null3"/>
        <w:jc w:val="center"/>
        <w:outlineLvl w:val="3"/>
      </w:pPr>
      <w:r>
        <w:rPr>
          <w:sz w:val="24"/>
          <w:b/>
        </w:rPr>
        <w:t>采购项目编号：</w:t>
      </w:r>
      <w:r>
        <w:rPr>
          <w:sz w:val="24"/>
          <w:b/>
        </w:rPr>
        <w:t>0724-2610ZH420898</w:t>
      </w:r>
    </w:p>
    <w:p>
      <w:pPr>
        <w:pStyle w:val="null3"/>
        <w:jc w:val="center"/>
        <w:outlineLvl w:val="3"/>
      </w:pPr>
      <w:r>
        <w:rPr>
          <w:sz w:val="24"/>
          <w:b/>
        </w:rPr>
        <w:t>项目名称：</w:t>
      </w:r>
      <w:r>
        <w:rPr>
          <w:sz w:val="24"/>
          <w:b/>
        </w:rPr>
        <w:t>珠海市中西医结合医院数字化乳腺机、全身骨密度仪采购项目</w:t>
      </w:r>
    </w:p>
    <w:p>
      <w:pPr>
        <w:pStyle w:val="null3"/>
        <w:jc w:val="center"/>
        <w:outlineLvl w:val="3"/>
      </w:pPr>
      <w:r>
        <w:rPr>
          <w:sz w:val="24"/>
          <w:b/>
        </w:rPr>
        <w:t>采购人：</w:t>
      </w:r>
      <w:r>
        <w:rPr>
          <w:sz w:val="24"/>
          <w:b/>
        </w:rPr>
        <w:t>珠海市中西医结合医院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珠海市中西医结合医院</w:t>
      </w:r>
      <w:r>
        <w:rPr/>
        <w:t>的委托，采用</w:t>
      </w:r>
      <w:r>
        <w:rPr/>
        <w:t>公开招标</w:t>
      </w:r>
      <w:r>
        <w:rPr/>
        <w:t>方式组织采购</w:t>
      </w:r>
      <w:r>
        <w:rPr/>
        <w:t>珠海市中西医结合医院数字化乳腺机、全身骨密度仪采购项目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珠海市中西医结合医院数字化乳腺机、全身骨密度仪采购项目</w:t>
      </w:r>
    </w:p>
    <w:p>
      <w:pPr>
        <w:pStyle w:val="null3"/>
        <w:ind w:firstLine="480"/>
      </w:pPr>
      <w:r>
        <w:rPr/>
        <w:t>采购计划编号：</w:t>
      </w:r>
      <w:r>
        <w:rPr/>
        <w:t>440401-2026-00562</w:t>
      </w:r>
    </w:p>
    <w:p>
      <w:pPr>
        <w:pStyle w:val="null3"/>
        <w:ind w:firstLine="480"/>
      </w:pPr>
      <w:r>
        <w:rPr/>
        <w:t>采购项目编号：</w:t>
      </w:r>
      <w:r>
        <w:rPr/>
        <w:t>0724-2610ZH420898</w:t>
      </w:r>
    </w:p>
    <w:p>
      <w:pPr>
        <w:pStyle w:val="null3"/>
        <w:ind w:firstLine="480"/>
      </w:pPr>
      <w:r>
        <w:rPr/>
        <w:t>采购方式：</w:t>
      </w:r>
      <w:r>
        <w:rPr/>
        <w:t>公开招标</w:t>
      </w:r>
    </w:p>
    <w:p>
      <w:pPr>
        <w:pStyle w:val="null3"/>
        <w:ind w:firstLine="480"/>
      </w:pPr>
      <w:r>
        <w:rPr/>
        <w:t>预算金额：</w:t>
      </w:r>
      <w:r>
        <w:rPr/>
        <w:t>5,450,000.00</w:t>
      </w:r>
      <w:r>
        <w:rPr/>
        <w:t>元</w:t>
      </w:r>
    </w:p>
    <w:p>
      <w:pPr>
        <w:pStyle w:val="null3"/>
        <w:outlineLvl w:val="3"/>
      </w:pPr>
      <w:r>
        <w:rPr>
          <w:sz w:val="24"/>
          <w:b/>
        </w:rPr>
        <w:t>2.项目内容及需求情况（采购项目技术规格、参数及要求）</w:t>
      </w:r>
    </w:p>
    <w:p>
      <w:pPr>
        <w:pStyle w:val="null3"/>
      </w:pPr>
      <w:r>
        <w:rPr/>
        <w:t>采购包1(数字化乳腺机):</w:t>
      </w:r>
    </w:p>
    <w:p>
      <w:pPr>
        <w:pStyle w:val="null3"/>
      </w:pPr>
      <w:r>
        <w:rPr/>
        <w:t>采购包预算金额：3,500,000.00元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数字化乳腺机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采购包2(全身骨密度仪):</w:t>
      </w:r>
    </w:p>
    <w:p>
      <w:pPr>
        <w:pStyle w:val="null3"/>
      </w:pPr>
      <w:r>
        <w:rPr/>
        <w:t>采购包预算金额：1,950,000.00元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 X 线诊断设备</w:t>
            </w:r>
          </w:p>
        </w:tc>
        <w:tc>
          <w:tcPr>
            <w:tcW w:type="dxa" w:w="2136"/>
          </w:tcPr>
          <w:p>
            <w:pPr>
              <w:pStyle w:val="null3"/>
            </w:pPr>
            <w:r>
              <w:rPr/>
              <w:t>全身骨密度仪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w:t>
      </w:r>
    </w:p>
    <w:p>
      <w:pPr>
        <w:pStyle w:val="null3"/>
      </w:pPr>
      <w:r>
        <w:rPr/>
        <w:t>3）具有良好的商业信誉和健全的财务会计制度：提供《资格条件承诺函》。</w:t>
      </w:r>
    </w:p>
    <w:p>
      <w:pPr>
        <w:pStyle w:val="null3"/>
      </w:pPr>
      <w:r>
        <w:rPr/>
        <w:t>4）履行合同所必需的设备和专业技术能力：提供《资格条件承诺函》。</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p>
      <w:pPr>
        <w:pStyle w:val="null3"/>
        <w:outlineLvl w:val="3"/>
      </w:pPr>
      <w:r>
        <w:rPr>
          <w:sz w:val="24"/>
          <w:b/>
        </w:rPr>
        <w:t>2.落实政府采购政策需满足的资格要求：</w:t>
      </w:r>
    </w:p>
    <w:p>
      <w:pPr>
        <w:pStyle w:val="null3"/>
        <w:jc w:val="left"/>
      </w:pPr>
      <w:r>
        <w:rPr/>
        <w:t>采购包1（数字化乳腺机）：</w:t>
      </w:r>
      <w:r>
        <w:rPr/>
        <w:t>本项目属于非专门面向中小企业采购的项目。（本项目采购标的所属行业：“工业”）</w:t>
      </w:r>
    </w:p>
    <w:p>
      <w:pPr>
        <w:pStyle w:val="null3"/>
        <w:jc w:val="left"/>
      </w:pPr>
      <w:r>
        <w:rPr/>
        <w:t>采购包2（全身骨密度仪）：</w:t>
      </w:r>
      <w:r>
        <w:rPr/>
        <w:t>本项目属于非专门面向中小企业采购的项目。（本项目采购标的所属行业：“工业”）</w:t>
      </w:r>
    </w:p>
    <w:p>
      <w:pPr>
        <w:pStyle w:val="null3"/>
        <w:outlineLvl w:val="3"/>
      </w:pPr>
      <w:r>
        <w:rPr>
          <w:sz w:val="24"/>
          <w:b/>
        </w:rPr>
        <w:t>3.本项目特定的资格要求：</w:t>
      </w:r>
    </w:p>
    <w:p>
      <w:pPr>
        <w:pStyle w:val="null3"/>
      </w:pPr>
      <w:r>
        <w:rPr/>
        <w:t>采购包1（数字化乳腺机）：</w:t>
      </w:r>
    </w:p>
    <w:p>
      <w:pPr>
        <w:pStyle w:val="null3"/>
      </w:pPr>
      <w:r>
        <w:rPr/>
        <w:t>1)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5)本项目不接受联合体投标，不允许中标后转包、分包项目。</w:t>
      </w:r>
    </w:p>
    <w:p>
      <w:pPr>
        <w:pStyle w:val="null3"/>
      </w:pPr>
      <w:r>
        <w:rPr/>
        <w:t>采购包2（全身骨密度仪）：</w:t>
      </w:r>
    </w:p>
    <w:p>
      <w:pPr>
        <w:pStyle w:val="null3"/>
      </w:pPr>
      <w:r>
        <w:rPr/>
        <w:t>1)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5)本项目不接受联合体投标，不允许中标后转包、分包项目。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珠海市中西医结合医院</w:t>
      </w:r>
    </w:p>
    <w:p>
      <w:pPr>
        <w:pStyle w:val="null3"/>
        <w:ind w:firstLine="480"/>
      </w:pPr>
      <w:r>
        <w:rPr/>
        <w:t xml:space="preserve"> 地址：</w:t>
      </w:r>
      <w:r>
        <w:rPr/>
        <w:t>拱北粤华路208号</w:t>
      </w:r>
    </w:p>
    <w:p>
      <w:pPr>
        <w:pStyle w:val="null3"/>
        <w:ind w:firstLine="480"/>
      </w:pPr>
      <w:r>
        <w:rPr/>
        <w:t xml:space="preserve"> 联系方式：</w:t>
      </w:r>
      <w:r>
        <w:rPr/>
        <w:t>0756-8136637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郑双茵、余力、陈敏娜、邓锦英</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shd w:fill="FFFFFF" w:val="clear"/>
        </w:rPr>
        <w:t>（一）项目标的及采购限价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549"/>
        <w:gridCol w:w="1365"/>
        <w:gridCol w:w="689"/>
        <w:gridCol w:w="1442"/>
        <w:gridCol w:w="1480"/>
        <w:gridCol w:w="1416"/>
        <w:gridCol w:w="1365"/>
      </w:tblGrid>
      <w:tr>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1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预算单价（元）</w:t>
            </w:r>
          </w:p>
        </w:tc>
        <w:tc>
          <w:tcPr>
            <w:tcW w:type="dxa" w:w="1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预算总价（元）</w:t>
            </w:r>
          </w:p>
        </w:tc>
        <w:tc>
          <w:tcPr>
            <w:tcW w:type="dxa" w:w="1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单价上限（元）</w:t>
            </w:r>
          </w:p>
        </w:tc>
        <w:tc>
          <w:tcPr>
            <w:tcW w:type="dxa" w:w="1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总价上限（元）</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数字化乳腺机</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¥3,500,000.00</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¥3,500,000.00</w:t>
            </w: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¥2,800,000.00</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¥2,800,000.00</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全身骨密度仪</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¥1,950,000.00</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¥1,950,000.00</w:t>
            </w: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¥1,200,000.00</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¥1,200,000.00</w:t>
            </w:r>
          </w:p>
        </w:tc>
      </w:tr>
    </w:tbl>
    <w:p>
      <w:pPr>
        <w:pStyle w:val="null3"/>
        <w:jc w:val="left"/>
      </w:pPr>
      <w:r>
        <w:rPr>
          <w:sz w:val="20"/>
          <w:shd w:fill="FFFFFF" w:val="clear"/>
        </w:rPr>
        <w:t>注：</w:t>
      </w:r>
    </w:p>
    <w:p>
      <w:pPr>
        <w:pStyle w:val="null3"/>
        <w:jc w:val="left"/>
      </w:pPr>
      <w:r>
        <w:rPr>
          <w:sz w:val="20"/>
          <w:shd w:fill="FFFFFF" w:val="clear"/>
        </w:rPr>
        <w:t>1</w:t>
      </w:r>
      <w:r>
        <w:rPr>
          <w:sz w:val="20"/>
          <w:shd w:fill="FFFFFF" w:val="clear"/>
        </w:rPr>
        <w:t>）</w:t>
      </w:r>
      <w:r>
        <w:rPr>
          <w:sz w:val="20"/>
          <w:shd w:fill="FFFFFF" w:val="clear"/>
        </w:rPr>
        <w:t>投标供应商应对所有采购标的物</w:t>
      </w:r>
      <w:r>
        <w:rPr>
          <w:sz w:val="20"/>
          <w:shd w:fill="FFFFFF" w:val="clear"/>
        </w:rPr>
        <w:t>（包号）</w:t>
      </w:r>
      <w:r>
        <w:rPr>
          <w:sz w:val="20"/>
          <w:shd w:fill="FFFFFF" w:val="clear"/>
        </w:rPr>
        <w:t>进行报价，不允许只对部分采购标的物进行报价，否则按投标无效处理。</w:t>
      </w:r>
    </w:p>
    <w:p>
      <w:pPr>
        <w:pStyle w:val="null3"/>
        <w:jc w:val="left"/>
      </w:pPr>
      <w:r>
        <w:rPr>
          <w:sz w:val="20"/>
          <w:shd w:fill="FFFFFF" w:val="clear"/>
        </w:rPr>
        <w:t>2</w:t>
      </w:r>
      <w:r>
        <w:rPr>
          <w:sz w:val="20"/>
          <w:shd w:fill="FFFFFF" w:val="clear"/>
        </w:rPr>
        <w:t>）投标供应商递交的报价不得高于招标文件中规定的最高限价，否则按投标无效处理。</w:t>
      </w:r>
    </w:p>
    <w:p>
      <w:pPr>
        <w:pStyle w:val="null3"/>
        <w:jc w:val="left"/>
      </w:pPr>
      <w:r>
        <w:rPr>
          <w:sz w:val="20"/>
          <w:shd w:fill="FFFFFF" w:val="clear"/>
        </w:rPr>
        <w:t>（</w:t>
      </w:r>
      <w:r>
        <w:rPr>
          <w:sz w:val="20"/>
          <w:shd w:fill="FFFFFF" w:val="clear"/>
        </w:rPr>
        <w:t>二</w:t>
      </w:r>
      <w:r>
        <w:rPr>
          <w:sz w:val="20"/>
          <w:shd w:fill="FFFFFF" w:val="clear"/>
        </w:rPr>
        <w:t>）主要商务要求响应要求：</w:t>
      </w:r>
    </w:p>
    <w:p>
      <w:pPr>
        <w:pStyle w:val="null3"/>
        <w:jc w:val="left"/>
      </w:pPr>
      <w:r>
        <w:rPr>
          <w:sz w:val="20"/>
          <w:shd w:fill="FFFFFF" w:val="clear"/>
        </w:rPr>
        <w:t>1</w:t>
      </w:r>
      <w:r>
        <w:rPr>
          <w:sz w:val="20"/>
          <w:shd w:fill="FFFFFF" w:val="clear"/>
        </w:rPr>
        <w:t>）对于“主要商务要求”中条款响应，投标（响应）文件中须提供《商务条件响应表》并加盖投标（响应）供应商公章，如果“主要商务要求”中要求提供证明材料的，还应提供相应证明材料，否则视为不满足采购文件要求。</w:t>
      </w:r>
    </w:p>
    <w:p>
      <w:pPr>
        <w:pStyle w:val="null3"/>
        <w:jc w:val="left"/>
      </w:pPr>
      <w:r>
        <w:rPr>
          <w:sz w:val="20"/>
          <w:shd w:fill="FFFFFF" w:val="clear"/>
        </w:rPr>
        <w:t>2</w:t>
      </w:r>
      <w:r>
        <w:rPr>
          <w:sz w:val="20"/>
          <w:shd w:fill="FFFFFF" w:val="clear"/>
        </w:rPr>
        <w:t>）投标（响应）供应商应当依据“主要商务要求”逐项填写《商务条件响应表》，如有缺失视为不满足采购文件要求。</w:t>
      </w:r>
    </w:p>
    <w:p>
      <w:pPr>
        <w:pStyle w:val="null3"/>
        <w:jc w:val="left"/>
      </w:pPr>
      <w:r>
        <w:rPr>
          <w:sz w:val="20"/>
          <w:shd w:fill="FFFFFF" w:val="clear"/>
        </w:rPr>
        <w:t>（</w:t>
      </w:r>
      <w:r>
        <w:rPr>
          <w:sz w:val="20"/>
          <w:shd w:fill="FFFFFF" w:val="clear"/>
        </w:rPr>
        <w:t>三</w:t>
      </w:r>
      <w:r>
        <w:rPr>
          <w:sz w:val="20"/>
          <w:shd w:fill="FFFFFF" w:val="clear"/>
        </w:rPr>
        <w:t>）技术（参数）要求响应要求：</w:t>
      </w:r>
    </w:p>
    <w:p>
      <w:pPr>
        <w:pStyle w:val="null3"/>
        <w:jc w:val="left"/>
      </w:pPr>
      <w:r>
        <w:rPr>
          <w:sz w:val="20"/>
          <w:shd w:fill="FFFFFF" w:val="clear"/>
        </w:rPr>
        <w:t>1</w:t>
      </w:r>
      <w:r>
        <w:rPr>
          <w:sz w:val="20"/>
          <w:shd w:fill="FFFFFF" w:val="clear"/>
        </w:rPr>
        <w:t>）投标（响应）供应商应对“具体技术（参数）要求”中的“★”条款逐条进行响应，若有一项带“★”的条款未响应或不满足，将视为非实质性响应采购文件要求，导致投标（响应）无效。</w:t>
      </w:r>
    </w:p>
    <w:p>
      <w:pPr>
        <w:pStyle w:val="null3"/>
        <w:jc w:val="left"/>
      </w:pPr>
      <w:r>
        <w:rPr>
          <w:sz w:val="20"/>
          <w:shd w:fill="FFFFFF" w:val="clear"/>
        </w:rPr>
        <w:t>2</w:t>
      </w:r>
      <w:r>
        <w:rPr>
          <w:sz w:val="20"/>
          <w:shd w:fill="FFFFFF" w:val="clear"/>
        </w:rPr>
        <w:t>）投标（响应）供应商应对“具体技术（参数）要求”中的“▲”条款逐条进行响应，应尽可能全部满足，若有部分“▲”条款未响应或不满足则会被扣分，但不会导致投标（响应）无效。</w:t>
      </w:r>
    </w:p>
    <w:p>
      <w:pPr>
        <w:pStyle w:val="null3"/>
        <w:jc w:val="left"/>
      </w:pPr>
      <w:r>
        <w:rPr>
          <w:sz w:val="20"/>
          <w:shd w:fill="FFFFFF" w:val="clear"/>
        </w:rPr>
        <w:t>3</w:t>
      </w:r>
      <w:r>
        <w:rPr>
          <w:sz w:val="20"/>
          <w:shd w:fill="FFFFFF" w:val="clear"/>
        </w:rPr>
        <w:t>）投标（响应）供应商应对“具体技术（参数）要求”中的非“★、▲”一般条款逐条进行响应，应尽可能全部满足，若有部分非“★、▲”一般条款未响应或不满足则会被扣分，但不会导致投标（响应）无效。</w:t>
      </w:r>
    </w:p>
    <w:p>
      <w:pPr>
        <w:pStyle w:val="null3"/>
        <w:jc w:val="left"/>
      </w:pPr>
      <w:r>
        <w:rPr>
          <w:sz w:val="20"/>
          <w:shd w:fill="FFFFFF" w:val="clear"/>
        </w:rPr>
        <w:t>4</w:t>
      </w:r>
      <w:r>
        <w:rPr>
          <w:sz w:val="20"/>
          <w:shd w:fill="FFFFFF" w:val="clear"/>
        </w:rPr>
        <w:t>）对于“具体技术（参数）要求”中条款响应，投标（响应）文件中须提供“采购需求”中所需资料或标的物生产厂家对外公开发行的彩页或白皮书或第三方出具的检测报告或生产厂家盖章的技术资料证明函作为响应依据，否则视作不满足要求。（若响应依据为英文版，请同时提供中文版，且以中文文本为准）。</w:t>
      </w:r>
    </w:p>
    <w:p>
      <w:pPr>
        <w:pStyle w:val="null3"/>
        <w:jc w:val="left"/>
      </w:pPr>
      <w:r>
        <w:rPr>
          <w:sz w:val="20"/>
          <w:shd w:fill="FFFFFF" w:val="clear"/>
        </w:rPr>
        <w:t>5</w:t>
      </w:r>
      <w:r>
        <w:rPr>
          <w:sz w:val="20"/>
          <w:shd w:fill="FFFFFF" w:val="clear"/>
        </w:rPr>
        <w:t>）投标（响应）供应商应当依据“具体技术（参数）要求”逐项填写《技术和服务要求响应表》，如有缺失视为不满足采购文件要求。</w:t>
      </w:r>
    </w:p>
    <w:p>
      <w:pPr>
        <w:pStyle w:val="null3"/>
        <w:jc w:val="left"/>
      </w:pPr>
      <w:r>
        <w:rPr>
          <w:sz w:val="20"/>
          <w:shd w:fill="FFFFFF" w:val="clear"/>
        </w:rPr>
        <w:t>6</w:t>
      </w:r>
      <w:r>
        <w:rPr>
          <w:sz w:val="20"/>
          <w:shd w:fill="FFFFFF" w:val="clear"/>
        </w:rPr>
        <w:t>）投标（响应）供应商须对“具体技术（参数）要求”响应依据的真实性承担法律责任。</w:t>
      </w:r>
    </w:p>
    <w:p>
      <w:pPr>
        <w:pStyle w:val="null3"/>
        <w:jc w:val="left"/>
      </w:pPr>
      <w:r>
        <w:rPr>
          <w:sz w:val="20"/>
          <w:shd w:fill="FFFFFF" w:val="clear"/>
        </w:rPr>
        <w:t>（</w:t>
      </w:r>
      <w:r>
        <w:rPr>
          <w:sz w:val="20"/>
          <w:shd w:fill="FFFFFF" w:val="clear"/>
        </w:rPr>
        <w:t>四</w:t>
      </w:r>
      <w:r>
        <w:rPr>
          <w:sz w:val="20"/>
          <w:shd w:fill="FFFFFF" w:val="clear"/>
        </w:rPr>
        <w:t>）合同分包要求：本项目不得转包及分包。</w:t>
      </w:r>
    </w:p>
    <w:p>
      <w:pPr>
        <w:pStyle w:val="null3"/>
        <w:jc w:val="left"/>
      </w:pPr>
      <w:r>
        <w:rPr>
          <w:sz w:val="20"/>
          <w:shd w:fill="FFFFFF" w:val="clear"/>
        </w:rPr>
        <w:t>（</w:t>
      </w:r>
      <w:r>
        <w:rPr>
          <w:sz w:val="20"/>
          <w:shd w:fill="FFFFFF" w:val="clear"/>
        </w:rPr>
        <w:t>五</w:t>
      </w:r>
      <w:r>
        <w:rPr>
          <w:sz w:val="20"/>
          <w:shd w:fill="FFFFFF" w:val="clear"/>
        </w:rPr>
        <w:t>）落实政策：</w:t>
      </w:r>
    </w:p>
    <w:p>
      <w:pPr>
        <w:pStyle w:val="null3"/>
        <w:jc w:val="left"/>
      </w:pPr>
      <w:r>
        <w:rPr>
          <w:sz w:val="20"/>
          <w:shd w:fill="FFFFFF" w:val="clear"/>
        </w:rPr>
        <w:t>1）《政府采购促进中小企业发展管理办法》（财库〔2020〕46号）；</w:t>
      </w:r>
    </w:p>
    <w:p>
      <w:pPr>
        <w:pStyle w:val="null3"/>
        <w:jc w:val="left"/>
      </w:pPr>
      <w:r>
        <w:rPr>
          <w:sz w:val="20"/>
          <w:shd w:fill="FFFFFF" w:val="clear"/>
        </w:rPr>
        <w:t>2）《三部门联合发布关于促进残疾人就业政府采购政策的通知》财库〔2017〕141号；</w:t>
      </w:r>
    </w:p>
    <w:p>
      <w:pPr>
        <w:pStyle w:val="null3"/>
        <w:jc w:val="left"/>
      </w:pPr>
      <w:r>
        <w:rPr>
          <w:sz w:val="20"/>
          <w:shd w:fill="FFFFFF" w:val="clear"/>
        </w:rPr>
        <w:t>3）《关于政府采购支持监狱企业发展有关问题的通知》财库〔2014〕68号；</w:t>
      </w:r>
    </w:p>
    <w:p>
      <w:pPr>
        <w:pStyle w:val="null3"/>
        <w:jc w:val="left"/>
      </w:pPr>
      <w:r>
        <w:rPr>
          <w:sz w:val="20"/>
          <w:shd w:fill="FFFFFF" w:val="clear"/>
        </w:rPr>
        <w:t>4）中标（成交）后货物的包装必须按《商品包装政府采购需求标准（试行）》、《快递包装政府采购需求标准（试行）》要求执行，货物的包装是否符合上述标准作为本项目验收标准之一，若中标（成交）供应商不履行的，采购人有权拒绝验收，并追究中标（成交）供应商的违约责任。</w:t>
      </w:r>
    </w:p>
    <w:p>
      <w:pPr>
        <w:pStyle w:val="null3"/>
        <w:jc w:val="left"/>
      </w:pPr>
      <w:r>
        <w:rPr>
          <w:sz w:val="20"/>
          <w:shd w:fill="FFFFFF" w:val="clear"/>
        </w:rPr>
        <w:t>5）节能产品的优先采购和强制采购以财政部、发展改革委、生态环境部等部门公布的最新《节能产品政府采购品目清单》中所列产品及相关规定为准。投标（响应</w:t>
      </w:r>
      <w:r>
        <w:rPr>
          <w:sz w:val="20"/>
          <w:shd w:fill="FFFFFF" w:val="clear"/>
        </w:rPr>
        <w:t>）</w:t>
      </w:r>
      <w:r>
        <w:rPr>
          <w:sz w:val="20"/>
          <w:shd w:fill="FFFFFF" w:val="clear"/>
        </w:rPr>
        <w:t>产品涉及到节能产品的，投标（响应）供应商必须在投标（响应</w:t>
      </w:r>
      <w:r>
        <w:rPr>
          <w:sz w:val="20"/>
          <w:shd w:fill="FFFFFF" w:val="clear"/>
        </w:rPr>
        <w:t>）</w:t>
      </w:r>
      <w:r>
        <w:rPr>
          <w:sz w:val="20"/>
          <w:shd w:fill="FFFFFF" w:val="clear"/>
        </w:rPr>
        <w:t>文件中明确列明具体产品的名称并提供国家确定的认证机构出具的处于有效期之内的节能产品认证证书。若标的物属于强制采购产品类别的，投标（响应）供应商不按要求提供节能产品认证证书的，按投标无效处理。</w:t>
      </w:r>
    </w:p>
    <w:p>
      <w:pPr>
        <w:pStyle w:val="null3"/>
        <w:jc w:val="left"/>
      </w:pPr>
      <w:r>
        <w:rPr>
          <w:sz w:val="20"/>
          <w:shd w:fill="FFFFFF" w:val="clear"/>
        </w:rPr>
        <w:t>6）《关于环境标志产品政府采购实施的意见》（财库〔2006〕90号），环境标志产品的优先采购以财政部、发展改革委、生态环境部等部门公布的最新《环境标志产品政府采购品目清单》所列产品为准。投标产品涉及环境标志产品的，投标供应商需在投标文件中明确列明具体产品的名称并提供国家确定的认证机构出具的处于有效期之内的环境标志产品认证证书。</w:t>
      </w:r>
    </w:p>
    <w:p>
      <w:pPr>
        <w:pStyle w:val="null3"/>
        <w:jc w:val="left"/>
      </w:pPr>
      <w:r>
        <w:rPr>
          <w:sz w:val="20"/>
          <w:shd w:fill="FFFFFF" w:val="clear"/>
        </w:rPr>
        <w:t>7）《国务院办公厅关于在政府采购中实施本国产品标准及相关政策的通知》（国办发〔2025〕34号）及《财政部关于贯彻落实《国务院办公厅关于在政府采购中实施本国产品标准及相关政策的通知&gt;的意见》（财库〔2025〕30号）等相关规定。投标供应商提供的标的物符合本国产品标准的，应当在投标文件中出具《关于符合本国产品标准的声明函》或财政部会同有关部门规定的有关证明文件</w:t>
      </w:r>
      <w:r>
        <w:rPr>
          <w:sz w:val="20"/>
          <w:shd w:fill="FFFFFF" w:val="clear"/>
        </w:rPr>
        <w:t>；</w:t>
      </w:r>
      <w:r>
        <w:rPr>
          <w:sz w:val="20"/>
          <w:shd w:fill="FFFFFF" w:val="clear"/>
        </w:rPr>
        <w:t>当采购项目或者采购包中含有多种产品的，供应商还应当提供《关于本国产品比例的承诺函》。政府采购活动中既有本国产品又有非本国产品参与竞争的，依法对本国产品给予价格评审优惠，对本国产品的报价给予</w:t>
      </w:r>
      <w:r>
        <w:rPr>
          <w:sz w:val="20"/>
          <w:shd w:fill="FFFFFF" w:val="clear"/>
        </w:rPr>
        <w:t>20%的价格扣除，用扣除后的价格参与评审。</w:t>
      </w:r>
    </w:p>
    <w:p>
      <w:pPr>
        <w:pStyle w:val="null3"/>
      </w:pPr>
      <w:r>
        <w:rPr>
          <w:sz w:val="20"/>
          <w:shd w:fill="FFFFFF" w:val="clear"/>
        </w:rPr>
        <w:t>（</w:t>
      </w:r>
      <w:r>
        <w:rPr>
          <w:sz w:val="20"/>
          <w:shd w:fill="FFFFFF" w:val="clear"/>
        </w:rPr>
        <w:t>六</w:t>
      </w:r>
      <w:r>
        <w:rPr>
          <w:sz w:val="20"/>
          <w:shd w:fill="FFFFFF" w:val="clear"/>
        </w:rPr>
        <w:t>）项目属性：货物项目</w:t>
      </w:r>
    </w:p>
    <w:p>
      <w:pPr>
        <w:pStyle w:val="null3"/>
      </w:pPr>
      <w:r>
        <w:rPr/>
        <w:t>采购包1（数字化乳腺机）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货物交付正常使用6个月后，中标人应向采购人书面申请组织验收。中标人应在货物交付运输前5个日历日内书面通知采购人到货日期。</w:t>
            </w:r>
          </w:p>
        </w:tc>
      </w:tr>
      <w:tr>
        <w:tc>
          <w:tcPr>
            <w:tcW w:type="dxa" w:w="4153"/>
          </w:tcPr>
          <w:p>
            <w:pPr>
              <w:pStyle w:val="null3"/>
            </w:pPr>
            <w:r>
              <w:rPr/>
              <w:t>标的提供的地点</w:t>
            </w:r>
          </w:p>
        </w:tc>
        <w:tc>
          <w:tcPr>
            <w:tcW w:type="dxa" w:w="4153"/>
          </w:tcPr>
          <w:p>
            <w:pPr>
              <w:pStyle w:val="null3"/>
            </w:pPr>
            <w:r>
              <w:rPr/>
              <w:t>珠海市中西医结合医院。</w:t>
            </w:r>
          </w:p>
        </w:tc>
      </w:tr>
      <w:tr>
        <w:tc>
          <w:tcPr>
            <w:tcW w:type="dxa" w:w="4153"/>
          </w:tcPr>
          <w:p>
            <w:pPr>
              <w:pStyle w:val="null3"/>
            </w:pPr>
            <w:r>
              <w:rPr/>
              <w:t>付款方式</w:t>
            </w:r>
          </w:p>
        </w:tc>
        <w:tc>
          <w:tcPr>
            <w:tcW w:type="dxa" w:w="4153"/>
          </w:tcPr>
          <w:p>
            <w:pPr>
              <w:pStyle w:val="null3"/>
            </w:pPr>
            <w:r>
              <w:rPr/>
              <w:t>1期：支付比例50%,合同签订后，中标供应商向采购人提供合法有效的全额发票，采购人收到发票后15日内向中标供应商支付合同总额的50%作为预付款（以财政资金支付要求或上级支付要求为准）</w:t>
            </w:r>
          </w:p>
          <w:p>
            <w:pPr>
              <w:pStyle w:val="null3"/>
            </w:pPr>
            <w:r>
              <w:rPr/>
              <w:t>2期：支付比例30%,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w:t>
            </w:r>
          </w:p>
          <w:p>
            <w:pPr>
              <w:pStyle w:val="null3"/>
            </w:pPr>
            <w:r>
              <w:rPr/>
              <w:t>3期：支付比例20%,1.采购人书面确认验收合格12个月后，设备无重大质量问题，采购人向中标供应商支付合同总额20%的剩余货款。 （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 2.支付条件：（1）验收合格。（2）中标人应当于采购人支付价款前提供相应金额的合法收款发票，否则，采购人有权拒绝支付且不承担任何责任。 3.中标人凭以下有效文件与采购人结算： （1）合同； （2）中标人开具的完税发票； （3）验收调试报告（加盖采购人公章）； （4）成交通知书（复印件加盖中标人公章）。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1期：1.验收标准：按本合同的有关规定和采购文件要求进行验收，验收标准不得低于中华人民共和国国家标准、环保标准、行业标准、地方标准、货物生产商的产品质量标准、有关部门制定的相关技术。 2.验收方式：货物安装调试完毕后应将货物交付给采购人正常使用，货物经采购人正常使用6个月后，中标人应向采购人申请组织验收，采购人在一个月内组织各部门进行验收。正常使用期间若未能正常使用，中标人应无条件进行更换、维修，正常使用期应重新计算。验收内容包括但不限于货物功能、性能及各项技术参数指标。（具体验收条款详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采购标的物资质要求</w:t>
            </w:r>
          </w:p>
        </w:tc>
        <w:tc>
          <w:tcPr>
            <w:tcW w:type="dxa" w:w="2076"/>
          </w:tcPr>
          <w:p>
            <w:pPr>
              <w:pStyle w:val="null3"/>
              <w:jc w:val="left"/>
            </w:pPr>
            <w:r>
              <w:rPr/>
              <w:t>投标（响应）供应商提供的标的物属于第二类、第三类医疗器械的，必须在投标（响应）文件中提供《医疗器械注册证》；若提供的标的物不属于上述情况的，则提供声明函（格式自拟）加盖公章，否则视为投标（响应）无效。（请在投标文件中标识该条款证明文件所在页码: 页）</w:t>
            </w:r>
          </w:p>
        </w:tc>
      </w:tr>
      <w:tr>
        <w:tc>
          <w:tcPr>
            <w:tcW w:type="dxa" w:w="2076"/>
          </w:tcPr>
          <w:p/>
        </w:tc>
        <w:tc>
          <w:tcPr>
            <w:tcW w:type="dxa" w:w="2076"/>
          </w:tcPr>
          <w:p>
            <w:pPr>
              <w:pStyle w:val="null3"/>
              <w:jc w:val="center"/>
            </w:pPr>
            <w:r>
              <w:rPr/>
              <w:t>2</w:t>
            </w:r>
          </w:p>
        </w:tc>
        <w:tc>
          <w:tcPr>
            <w:tcW w:type="dxa" w:w="2076"/>
          </w:tcPr>
          <w:p>
            <w:pPr>
              <w:pStyle w:val="null3"/>
              <w:jc w:val="left"/>
            </w:pPr>
            <w:r>
              <w:rPr/>
              <w:t>包装与运输、保险要求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整机原厂质量保证期≥3年，自货物经采购人验收合格并签字确认之日起计。若国家对本项目所涉及的质量保证期的规定高于本项目的要求，应按国家的规定执行。货物在质量保证期内中标供应商提供相应的培训服务、包换、包退、包修服务、升级及检修服务并提供终身服务。 （2）中标供应商在合同签订前应针对本项目的中标设备与厂家签订质保协议，质量保证期不少于投标文件的承诺，质保协议作为合同附件。中标供应商中标后不按要求与厂家签订质保协议的，视为自动放弃中标权利。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（5）售后服务保障方案：投标人应有售后服务保障方案，包括但不限于质保期内及质保期满后的售后服务方案、零配件供应方案、紧急响应方案等内容。 （6）软件质量保证期内提供升级，保证数据的安全性；费用包含在本项目报价内。 （7）提供技术培训，包含但不限于现场技术培训、操作应用培训等；保证使用人员正常操作设备的各种功能，培训时间不限于新装机环节，同时质保期内安排使用科室工作人员6人次，培训地点需是厂家培训基地或有同型号设备的医院或者省级及以上专题学术会议；培训时间视采购人安排确定；相关费用包含在本项目报价内。 （8）日常使用期间，即使无故障，中标供应商也能定期做机器的常规检查和整机保养，检测运行状态，及时发现隐患，使设备处于最佳使用状态。 （9）根据国家计量器具检定管理办法，如属计量检定设备中标人需提供计量检定机构出具的有效校准证书。 （10）中标人承担连接医院现有信息端口费用。 （11）货物及其配件为原厂商未启封全新包装，具出厂合格证，序列号、包箱号与出批号一致，并可追溯查阅。中标人应向采购人提供本合同所涉货物合法来源的证明。 （12）国产产品出厂日期距合同签订日期须在六个月内，进口产品出厂日期距合同签订日期须在十二个月内，否则采购人有权拒收并令中标人 按要求进行更换，中标人承担进行更换的所有费用，未按时更换产生的一切责任由中标人承担。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供货安装、调试、试运行要求</w:t>
            </w:r>
          </w:p>
        </w:tc>
        <w:tc>
          <w:tcPr>
            <w:tcW w:type="dxa" w:w="2076"/>
          </w:tcPr>
          <w:p>
            <w:pPr>
              <w:pStyle w:val="null3"/>
              <w:jc w:val="left"/>
            </w:pPr>
            <w:r>
              <w:rPr/>
              <w:t>（1）设备的供货培训安排：投标人应有供货培训方案，包括但不限于货物的调配、人员组织安排、人员培训安排等内容。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报价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采购人不再另付其他任何费用。 （2）中标供应商负责招标文件对中标供应商要求的一切事宜及责任。包括货物供货、运输（含现场二次运输）、保管、安装调试、验收、售后服务等。</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数字化乳腺机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3,500,000.00</w:t>
            </w:r>
          </w:p>
        </w:tc>
        <w:tc>
          <w:tcPr>
            <w:tcW w:type="dxa" w:w="831"/>
          </w:tcPr>
          <w:p>
            <w:pPr>
              <w:pStyle w:val="null3"/>
              <w:jc w:val="right"/>
            </w:pPr>
            <w:r>
              <w:rPr/>
              <w:t>3,500,000.00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数字化乳腺机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一、技术参数要求</w:t>
            </w:r>
          </w:p>
        </w:tc>
      </w:tr>
      <w:tr>
        <w:tc>
          <w:tcPr>
            <w:tcW w:type="dxa" w:w="2076"/>
          </w:tcPr>
          <w:p/>
        </w:tc>
        <w:tc>
          <w:tcPr>
            <w:tcW w:type="dxa" w:w="415"/>
          </w:tcPr>
          <w:p>
            <w:pPr>
              <w:pStyle w:val="null3"/>
            </w:pPr>
            <w:r>
              <w:rPr/>
              <w:t>2</w:t>
            </w:r>
          </w:p>
        </w:tc>
        <w:tc>
          <w:tcPr>
            <w:tcW w:type="dxa" w:w="5814"/>
          </w:tcPr>
          <w:p>
            <w:pPr>
              <w:pStyle w:val="null3"/>
            </w:pPr>
            <w:r>
              <w:rPr/>
              <w:t>1.设备类型及其用途：数字乳腺X射线摄影系统，用于乳腺疾病筛查及诊断，对比增强摄影功能，具备断层摄影、断层引导下的活检定位。</w:t>
            </w:r>
          </w:p>
        </w:tc>
      </w:tr>
      <w:tr>
        <w:tc>
          <w:tcPr>
            <w:tcW w:type="dxa" w:w="2076"/>
          </w:tcPr>
          <w:p/>
        </w:tc>
        <w:tc>
          <w:tcPr>
            <w:tcW w:type="dxa" w:w="415"/>
          </w:tcPr>
          <w:p>
            <w:pPr>
              <w:pStyle w:val="null3"/>
            </w:pPr>
            <w:r>
              <w:rPr/>
              <w:t>3</w:t>
            </w:r>
          </w:p>
        </w:tc>
        <w:tc>
          <w:tcPr>
            <w:tcW w:type="dxa" w:w="5814"/>
          </w:tcPr>
          <w:p>
            <w:pPr>
              <w:pStyle w:val="null3"/>
            </w:pPr>
            <w:r>
              <w:rPr/>
              <w:t>2.配置及主要技术参数</w:t>
            </w:r>
          </w:p>
        </w:tc>
      </w:tr>
      <w:tr>
        <w:tc>
          <w:tcPr>
            <w:tcW w:type="dxa" w:w="2076"/>
          </w:tcPr>
          <w:p/>
        </w:tc>
        <w:tc>
          <w:tcPr>
            <w:tcW w:type="dxa" w:w="415"/>
          </w:tcPr>
          <w:p>
            <w:pPr>
              <w:pStyle w:val="null3"/>
            </w:pPr>
            <w:r>
              <w:rPr/>
              <w:t>4</w:t>
            </w:r>
          </w:p>
        </w:tc>
        <w:tc>
          <w:tcPr>
            <w:tcW w:type="dxa" w:w="5814"/>
          </w:tcPr>
          <w:p>
            <w:pPr>
              <w:pStyle w:val="null3"/>
            </w:pPr>
            <w:r>
              <w:rPr/>
              <w:t>2.1机架</w:t>
            </w:r>
          </w:p>
        </w:tc>
      </w:tr>
      <w:tr>
        <w:tc>
          <w:tcPr>
            <w:tcW w:type="dxa" w:w="2076"/>
          </w:tcPr>
          <w:p/>
        </w:tc>
        <w:tc>
          <w:tcPr>
            <w:tcW w:type="dxa" w:w="415"/>
          </w:tcPr>
          <w:p>
            <w:pPr>
              <w:pStyle w:val="null3"/>
            </w:pPr>
            <w:r>
              <w:rPr/>
              <w:t>5</w:t>
            </w:r>
          </w:p>
        </w:tc>
        <w:tc>
          <w:tcPr>
            <w:tcW w:type="dxa" w:w="5814"/>
          </w:tcPr>
          <w:p>
            <w:pPr>
              <w:pStyle w:val="null3"/>
            </w:pPr>
            <w:r>
              <w:rPr/>
              <w:t>2.1.1摄影臂：C型臂开放设计</w:t>
            </w:r>
          </w:p>
        </w:tc>
      </w:tr>
      <w:tr>
        <w:tc>
          <w:tcPr>
            <w:tcW w:type="dxa" w:w="2076"/>
          </w:tcPr>
          <w:p/>
        </w:tc>
        <w:tc>
          <w:tcPr>
            <w:tcW w:type="dxa" w:w="415"/>
          </w:tcPr>
          <w:p>
            <w:pPr>
              <w:pStyle w:val="null3"/>
            </w:pPr>
            <w:r>
              <w:rPr/>
              <w:t>6</w:t>
            </w:r>
          </w:p>
        </w:tc>
        <w:tc>
          <w:tcPr>
            <w:tcW w:type="dxa" w:w="5814"/>
          </w:tcPr>
          <w:p>
            <w:pPr>
              <w:pStyle w:val="null3"/>
            </w:pPr>
            <w:r>
              <w:rPr/>
              <w:t>2.1.2高压发生器整合于乳腺机机架中，以提升曝光间空间</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▲2.1.3具备MLO位摆位球管避让功能</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▲2.1.4 C臂旋转角度≥-178°至+178°</w:t>
            </w:r>
          </w:p>
        </w:tc>
      </w:tr>
      <w:tr>
        <w:tc>
          <w:tcPr>
            <w:tcW w:type="dxa" w:w="2076"/>
          </w:tcPr>
          <w:p/>
        </w:tc>
        <w:tc>
          <w:tcPr>
            <w:tcW w:type="dxa" w:w="415"/>
          </w:tcPr>
          <w:p>
            <w:pPr>
              <w:pStyle w:val="null3"/>
            </w:pPr>
            <w:r>
              <w:rPr/>
              <w:t>9</w:t>
            </w:r>
          </w:p>
        </w:tc>
        <w:tc>
          <w:tcPr>
            <w:tcW w:type="dxa" w:w="5814"/>
          </w:tcPr>
          <w:p>
            <w:pPr>
              <w:pStyle w:val="null3"/>
            </w:pPr>
            <w:r>
              <w:rPr/>
              <w:t>2.1.5机架升降最低高度≤68cm，机架升降最高高度≥140cm</w:t>
            </w:r>
          </w:p>
        </w:tc>
      </w:tr>
      <w:tr>
        <w:tc>
          <w:tcPr>
            <w:tcW w:type="dxa" w:w="2076"/>
          </w:tcPr>
          <w:p/>
        </w:tc>
        <w:tc>
          <w:tcPr>
            <w:tcW w:type="dxa" w:w="415"/>
          </w:tcPr>
          <w:p>
            <w:pPr>
              <w:pStyle w:val="null3"/>
            </w:pPr>
            <w:r>
              <w:rPr/>
              <w:t>10</w:t>
            </w:r>
          </w:p>
        </w:tc>
        <w:tc>
          <w:tcPr>
            <w:tcW w:type="dxa" w:w="5814"/>
          </w:tcPr>
          <w:p>
            <w:pPr>
              <w:pStyle w:val="null3"/>
            </w:pPr>
            <w:r>
              <w:rPr/>
              <w:t>2.1.6源像距≥65.5cm</w:t>
            </w:r>
          </w:p>
        </w:tc>
      </w:tr>
      <w:tr>
        <w:tc>
          <w:tcPr>
            <w:tcW w:type="dxa" w:w="2076"/>
          </w:tcPr>
          <w:p/>
        </w:tc>
        <w:tc>
          <w:tcPr>
            <w:tcW w:type="dxa" w:w="415"/>
          </w:tcPr>
          <w:p>
            <w:pPr>
              <w:pStyle w:val="null3"/>
            </w:pPr>
            <w:r>
              <w:rPr/>
              <w:t>11</w:t>
            </w:r>
          </w:p>
        </w:tc>
        <w:tc>
          <w:tcPr>
            <w:tcW w:type="dxa" w:w="5814"/>
          </w:tcPr>
          <w:p>
            <w:pPr>
              <w:pStyle w:val="null3"/>
            </w:pPr>
            <w:r>
              <w:rPr/>
              <w:t>2.1.7脚闸≥2个</w:t>
            </w:r>
          </w:p>
        </w:tc>
      </w:tr>
      <w:tr>
        <w:tc>
          <w:tcPr>
            <w:tcW w:type="dxa" w:w="2076"/>
          </w:tcPr>
          <w:p/>
        </w:tc>
        <w:tc>
          <w:tcPr>
            <w:tcW w:type="dxa" w:w="415"/>
          </w:tcPr>
          <w:p>
            <w:pPr>
              <w:pStyle w:val="null3"/>
            </w:pPr>
            <w:r>
              <w:rPr/>
              <w:t>12</w:t>
            </w:r>
          </w:p>
        </w:tc>
        <w:tc>
          <w:tcPr>
            <w:tcW w:type="dxa" w:w="5814"/>
          </w:tcPr>
          <w:p>
            <w:pPr>
              <w:pStyle w:val="null3"/>
            </w:pPr>
            <w:r>
              <w:rPr/>
              <w:t>2.2压迫系统</w:t>
            </w:r>
          </w:p>
        </w:tc>
      </w:tr>
      <w:tr>
        <w:tc>
          <w:tcPr>
            <w:tcW w:type="dxa" w:w="2076"/>
          </w:tcPr>
          <w:p/>
        </w:tc>
        <w:tc>
          <w:tcPr>
            <w:tcW w:type="dxa" w:w="415"/>
          </w:tcPr>
          <w:p>
            <w:pPr>
              <w:pStyle w:val="null3"/>
            </w:pPr>
            <w:r>
              <w:rPr/>
              <w:t>13</w:t>
            </w:r>
          </w:p>
        </w:tc>
        <w:tc>
          <w:tcPr>
            <w:tcW w:type="dxa" w:w="5814"/>
          </w:tcPr>
          <w:p>
            <w:pPr>
              <w:pStyle w:val="null3"/>
            </w:pPr>
            <w:r>
              <w:rPr/>
              <w:t>2.2.1压迫力度支持手动和电动压迫方式：支持</w:t>
            </w:r>
          </w:p>
        </w:tc>
      </w:tr>
      <w:tr>
        <w:tc>
          <w:tcPr>
            <w:tcW w:type="dxa" w:w="2076"/>
          </w:tcPr>
          <w:p/>
        </w:tc>
        <w:tc>
          <w:tcPr>
            <w:tcW w:type="dxa" w:w="415"/>
          </w:tcPr>
          <w:p>
            <w:pPr>
              <w:pStyle w:val="null3"/>
            </w:pPr>
            <w:r>
              <w:rPr/>
              <w:t>14</w:t>
            </w:r>
          </w:p>
        </w:tc>
        <w:tc>
          <w:tcPr>
            <w:tcW w:type="dxa" w:w="5814"/>
          </w:tcPr>
          <w:p>
            <w:pPr>
              <w:pStyle w:val="null3"/>
            </w:pPr>
            <w:r>
              <w:rPr/>
              <w:t>2.2.2电动最大压力 ≥190N</w:t>
            </w:r>
          </w:p>
        </w:tc>
      </w:tr>
      <w:tr>
        <w:tc>
          <w:tcPr>
            <w:tcW w:type="dxa" w:w="2076"/>
          </w:tcPr>
          <w:p/>
        </w:tc>
        <w:tc>
          <w:tcPr>
            <w:tcW w:type="dxa" w:w="415"/>
          </w:tcPr>
          <w:p>
            <w:pPr>
              <w:pStyle w:val="null3"/>
            </w:pPr>
            <w:r>
              <w:rPr/>
              <w:t>15</w:t>
            </w:r>
          </w:p>
        </w:tc>
        <w:tc>
          <w:tcPr>
            <w:tcW w:type="dxa" w:w="5814"/>
          </w:tcPr>
          <w:p>
            <w:pPr>
              <w:pStyle w:val="null3"/>
            </w:pPr>
            <w:r>
              <w:rPr/>
              <w:t>2.2.3手动最大压力≥260N</w:t>
            </w:r>
          </w:p>
        </w:tc>
      </w:tr>
      <w:tr>
        <w:tc>
          <w:tcPr>
            <w:tcW w:type="dxa" w:w="2076"/>
          </w:tcPr>
          <w:p/>
        </w:tc>
        <w:tc>
          <w:tcPr>
            <w:tcW w:type="dxa" w:w="415"/>
          </w:tcPr>
          <w:p>
            <w:pPr>
              <w:pStyle w:val="null3"/>
            </w:pPr>
            <w:r>
              <w:rPr/>
              <w:t>16</w:t>
            </w:r>
          </w:p>
        </w:tc>
        <w:tc>
          <w:tcPr>
            <w:tcW w:type="dxa" w:w="5814"/>
          </w:tcPr>
          <w:p>
            <w:pPr>
              <w:pStyle w:val="null3"/>
            </w:pPr>
            <w:r>
              <w:rPr/>
              <w:t>2.2.4具备自动解压功能</w:t>
            </w:r>
          </w:p>
        </w:tc>
      </w:tr>
      <w:tr>
        <w:tc>
          <w:tcPr>
            <w:tcW w:type="dxa" w:w="2076"/>
          </w:tcPr>
          <w:p/>
        </w:tc>
        <w:tc>
          <w:tcPr>
            <w:tcW w:type="dxa" w:w="415"/>
          </w:tcPr>
          <w:p>
            <w:pPr>
              <w:pStyle w:val="null3"/>
            </w:pPr>
            <w:r>
              <w:rPr/>
              <w:t>17</w:t>
            </w:r>
          </w:p>
        </w:tc>
        <w:tc>
          <w:tcPr>
            <w:tcW w:type="dxa" w:w="5814"/>
          </w:tcPr>
          <w:p>
            <w:pPr>
              <w:pStyle w:val="null3"/>
            </w:pPr>
            <w:r>
              <w:rPr/>
              <w:t>2.2.5压迫板数量：≥6块</w:t>
            </w:r>
          </w:p>
        </w:tc>
      </w:tr>
      <w:tr>
        <w:tc>
          <w:tcPr>
            <w:tcW w:type="dxa" w:w="2076"/>
          </w:tcPr>
          <w:p/>
        </w:tc>
        <w:tc>
          <w:tcPr>
            <w:tcW w:type="dxa" w:w="415"/>
          </w:tcPr>
          <w:p>
            <w:pPr>
              <w:pStyle w:val="null3"/>
            </w:pPr>
            <w:r>
              <w:rPr/>
              <w:t>18</w:t>
            </w:r>
          </w:p>
        </w:tc>
        <w:tc>
          <w:tcPr>
            <w:tcW w:type="dxa" w:w="5814"/>
          </w:tcPr>
          <w:p>
            <w:pPr>
              <w:pStyle w:val="null3"/>
            </w:pPr>
            <w:r>
              <w:rPr/>
              <w:t>2.2.6具备穿刺时水平进针压迫板：≥2块</w:t>
            </w:r>
          </w:p>
        </w:tc>
      </w:tr>
      <w:tr>
        <w:tc>
          <w:tcPr>
            <w:tcW w:type="dxa" w:w="2076"/>
          </w:tcPr>
          <w:p/>
        </w:tc>
        <w:tc>
          <w:tcPr>
            <w:tcW w:type="dxa" w:w="415"/>
          </w:tcPr>
          <w:p>
            <w:pPr>
              <w:pStyle w:val="null3"/>
            </w:pPr>
            <w:r>
              <w:rPr/>
              <w:t>19</w:t>
            </w:r>
          </w:p>
        </w:tc>
        <w:tc>
          <w:tcPr>
            <w:tcW w:type="dxa" w:w="5814"/>
          </w:tcPr>
          <w:p>
            <w:pPr>
              <w:pStyle w:val="null3"/>
            </w:pPr>
            <w:r>
              <w:rPr/>
              <w:t>2.3高压发生器</w:t>
            </w:r>
          </w:p>
        </w:tc>
      </w:tr>
      <w:tr>
        <w:tc>
          <w:tcPr>
            <w:tcW w:type="dxa" w:w="2076"/>
          </w:tcPr>
          <w:p/>
        </w:tc>
        <w:tc>
          <w:tcPr>
            <w:tcW w:type="dxa" w:w="415"/>
          </w:tcPr>
          <w:p>
            <w:pPr>
              <w:pStyle w:val="null3"/>
            </w:pPr>
            <w:r>
              <w:rPr/>
              <w:t>20</w:t>
            </w:r>
          </w:p>
        </w:tc>
        <w:tc>
          <w:tcPr>
            <w:tcW w:type="dxa" w:w="5814"/>
          </w:tcPr>
          <w:p>
            <w:pPr>
              <w:pStyle w:val="null3"/>
            </w:pPr>
            <w:r>
              <w:rPr/>
              <w:t>2.3.1功率≥5KW</w:t>
            </w:r>
          </w:p>
        </w:tc>
      </w:tr>
      <w:tr>
        <w:tc>
          <w:tcPr>
            <w:tcW w:type="dxa" w:w="2076"/>
          </w:tcPr>
          <w:p/>
        </w:tc>
        <w:tc>
          <w:tcPr>
            <w:tcW w:type="dxa" w:w="415"/>
          </w:tcPr>
          <w:p>
            <w:pPr>
              <w:pStyle w:val="null3"/>
            </w:pPr>
            <w:r>
              <w:rPr/>
              <w:t>21</w:t>
            </w:r>
          </w:p>
        </w:tc>
        <w:tc>
          <w:tcPr>
            <w:tcW w:type="dxa" w:w="5814"/>
          </w:tcPr>
          <w:p>
            <w:pPr>
              <w:pStyle w:val="null3"/>
            </w:pPr>
            <w:r>
              <w:rPr/>
              <w:t>2.3.2曝光mAs范围mAs:2mAs~600mAs</w:t>
            </w:r>
          </w:p>
        </w:tc>
      </w:tr>
      <w:tr>
        <w:tc>
          <w:tcPr>
            <w:tcW w:type="dxa" w:w="2076"/>
          </w:tcPr>
          <w:p/>
        </w:tc>
        <w:tc>
          <w:tcPr>
            <w:tcW w:type="dxa" w:w="415"/>
          </w:tcPr>
          <w:p>
            <w:pPr>
              <w:pStyle w:val="null3"/>
            </w:pPr>
            <w:r>
              <w:rPr/>
              <w:t>22</w:t>
            </w:r>
          </w:p>
        </w:tc>
        <w:tc>
          <w:tcPr>
            <w:tcW w:type="dxa" w:w="5814"/>
          </w:tcPr>
          <w:p>
            <w:pPr>
              <w:pStyle w:val="null3"/>
            </w:pPr>
            <w:r>
              <w:rPr/>
              <w:t>2.3.3最小曝光电压≤23KV</w:t>
            </w:r>
          </w:p>
        </w:tc>
      </w:tr>
      <w:tr>
        <w:tc>
          <w:tcPr>
            <w:tcW w:type="dxa" w:w="2076"/>
          </w:tcPr>
          <w:p/>
        </w:tc>
        <w:tc>
          <w:tcPr>
            <w:tcW w:type="dxa" w:w="415"/>
          </w:tcPr>
          <w:p>
            <w:pPr>
              <w:pStyle w:val="null3"/>
            </w:pPr>
            <w:r>
              <w:rPr/>
              <w:t>23</w:t>
            </w:r>
          </w:p>
        </w:tc>
        <w:tc>
          <w:tcPr>
            <w:tcW w:type="dxa" w:w="5814"/>
          </w:tcPr>
          <w:p>
            <w:pPr>
              <w:pStyle w:val="null3"/>
            </w:pPr>
            <w:r>
              <w:rPr/>
              <w:t>2.3.4最大曝光电压≥49KV</w:t>
            </w:r>
          </w:p>
        </w:tc>
      </w:tr>
      <w:tr>
        <w:tc>
          <w:tcPr>
            <w:tcW w:type="dxa" w:w="2076"/>
          </w:tcPr>
          <w:p/>
        </w:tc>
        <w:tc>
          <w:tcPr>
            <w:tcW w:type="dxa" w:w="415"/>
          </w:tcPr>
          <w:p>
            <w:pPr>
              <w:pStyle w:val="null3"/>
            </w:pPr>
            <w:r>
              <w:rPr/>
              <w:t>24</w:t>
            </w:r>
          </w:p>
        </w:tc>
        <w:tc>
          <w:tcPr>
            <w:tcW w:type="dxa" w:w="5814"/>
          </w:tcPr>
          <w:p>
            <w:pPr>
              <w:pStyle w:val="null3"/>
            </w:pPr>
            <w:r>
              <w:rPr/>
              <w:t>2.4球管</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▲2.4.1阳极热容量 ≥300KHU</w:t>
            </w:r>
          </w:p>
        </w:tc>
      </w:tr>
      <w:tr>
        <w:tc>
          <w:tcPr>
            <w:tcW w:type="dxa" w:w="2076"/>
          </w:tcPr>
          <w:p/>
        </w:tc>
        <w:tc>
          <w:tcPr>
            <w:tcW w:type="dxa" w:w="415"/>
          </w:tcPr>
          <w:p>
            <w:pPr>
              <w:pStyle w:val="null3"/>
            </w:pPr>
            <w:r>
              <w:rPr/>
              <w:t>26</w:t>
            </w:r>
          </w:p>
        </w:tc>
        <w:tc>
          <w:tcPr>
            <w:tcW w:type="dxa" w:w="5814"/>
          </w:tcPr>
          <w:p>
            <w:pPr>
              <w:pStyle w:val="null3"/>
            </w:pPr>
            <w:r>
              <w:rPr/>
              <w:t>2.4.2管电压 ≥42KV</w:t>
            </w:r>
          </w:p>
        </w:tc>
      </w:tr>
      <w:tr>
        <w:tc>
          <w:tcPr>
            <w:tcW w:type="dxa" w:w="2076"/>
          </w:tcPr>
          <w:p/>
        </w:tc>
        <w:tc>
          <w:tcPr>
            <w:tcW w:type="dxa" w:w="415"/>
          </w:tcPr>
          <w:p>
            <w:pPr>
              <w:pStyle w:val="null3"/>
            </w:pPr>
            <w:r>
              <w:rPr/>
              <w:t>27</w:t>
            </w:r>
          </w:p>
        </w:tc>
        <w:tc>
          <w:tcPr>
            <w:tcW w:type="dxa" w:w="5814"/>
          </w:tcPr>
          <w:p>
            <w:pPr>
              <w:pStyle w:val="null3"/>
            </w:pPr>
            <w:r>
              <w:rPr/>
              <w:t>2.4.3球管大/小焦点尺寸：≤0.3mm/≤0.1mm</w:t>
            </w:r>
          </w:p>
        </w:tc>
      </w:tr>
      <w:tr>
        <w:tc>
          <w:tcPr>
            <w:tcW w:type="dxa" w:w="2076"/>
          </w:tcPr>
          <w:p/>
        </w:tc>
        <w:tc>
          <w:tcPr>
            <w:tcW w:type="dxa" w:w="415"/>
          </w:tcPr>
          <w:p>
            <w:pPr>
              <w:pStyle w:val="null3"/>
            </w:pPr>
            <w:r>
              <w:rPr/>
              <w:t>28</w:t>
            </w:r>
          </w:p>
        </w:tc>
        <w:tc>
          <w:tcPr>
            <w:tcW w:type="dxa" w:w="5814"/>
          </w:tcPr>
          <w:p>
            <w:pPr>
              <w:pStyle w:val="null3"/>
            </w:pPr>
            <w:r>
              <w:rPr/>
              <w:t>2.4.4阳极靶面材料：钼靶</w:t>
            </w:r>
          </w:p>
        </w:tc>
      </w:tr>
      <w:tr>
        <w:tc>
          <w:tcPr>
            <w:tcW w:type="dxa" w:w="2076"/>
          </w:tcPr>
          <w:p/>
        </w:tc>
        <w:tc>
          <w:tcPr>
            <w:tcW w:type="dxa" w:w="415"/>
          </w:tcPr>
          <w:p>
            <w:pPr>
              <w:pStyle w:val="null3"/>
            </w:pPr>
            <w:r>
              <w:rPr/>
              <w:t>29</w:t>
            </w:r>
          </w:p>
        </w:tc>
        <w:tc>
          <w:tcPr>
            <w:tcW w:type="dxa" w:w="5814"/>
          </w:tcPr>
          <w:p>
            <w:pPr>
              <w:pStyle w:val="null3"/>
            </w:pPr>
            <w:r>
              <w:rPr/>
              <w:t>2.4.5球管阳极转速： ≥9000转</w:t>
            </w:r>
          </w:p>
        </w:tc>
      </w:tr>
      <w:tr>
        <w:tc>
          <w:tcPr>
            <w:tcW w:type="dxa" w:w="2076"/>
          </w:tcPr>
          <w:p/>
        </w:tc>
        <w:tc>
          <w:tcPr>
            <w:tcW w:type="dxa" w:w="415"/>
          </w:tcPr>
          <w:p>
            <w:pPr>
              <w:pStyle w:val="null3"/>
            </w:pPr>
            <w:r>
              <w:rPr/>
              <w:t>30</w:t>
            </w:r>
          </w:p>
        </w:tc>
        <w:tc>
          <w:tcPr>
            <w:tcW w:type="dxa" w:w="5814"/>
          </w:tcPr>
          <w:p>
            <w:pPr>
              <w:pStyle w:val="null3"/>
            </w:pPr>
            <w:r>
              <w:rPr/>
              <w:t>2.4.6球管冷却方式：风冷</w:t>
            </w:r>
          </w:p>
        </w:tc>
      </w:tr>
      <w:tr>
        <w:tc>
          <w:tcPr>
            <w:tcW w:type="dxa" w:w="2076"/>
          </w:tcPr>
          <w:p/>
        </w:tc>
        <w:tc>
          <w:tcPr>
            <w:tcW w:type="dxa" w:w="415"/>
          </w:tcPr>
          <w:p>
            <w:pPr>
              <w:pStyle w:val="null3"/>
            </w:pPr>
            <w:r>
              <w:rPr/>
              <w:t>31</w:t>
            </w:r>
          </w:p>
        </w:tc>
        <w:tc>
          <w:tcPr>
            <w:tcW w:type="dxa" w:w="5814"/>
          </w:tcPr>
          <w:p>
            <w:pPr>
              <w:pStyle w:val="null3"/>
            </w:pPr>
            <w:r>
              <w:rPr/>
              <w:t>2.4.7限束器类型：自动和手动</w:t>
            </w:r>
          </w:p>
        </w:tc>
      </w:tr>
      <w:tr>
        <w:tc>
          <w:tcPr>
            <w:tcW w:type="dxa" w:w="2076"/>
          </w:tcPr>
          <w:p/>
        </w:tc>
        <w:tc>
          <w:tcPr>
            <w:tcW w:type="dxa" w:w="415"/>
          </w:tcPr>
          <w:p>
            <w:pPr>
              <w:pStyle w:val="null3"/>
            </w:pPr>
            <w:r>
              <w:rPr/>
              <w:t>32</w:t>
            </w:r>
          </w:p>
        </w:tc>
        <w:tc>
          <w:tcPr>
            <w:tcW w:type="dxa" w:w="5814"/>
          </w:tcPr>
          <w:p>
            <w:pPr>
              <w:pStyle w:val="null3"/>
            </w:pPr>
            <w:r>
              <w:rPr/>
              <w:t>2.5平板探测器</w:t>
            </w:r>
          </w:p>
        </w:tc>
      </w:tr>
      <w:tr>
        <w:tc>
          <w:tcPr>
            <w:tcW w:type="dxa" w:w="2076"/>
          </w:tcPr>
          <w:p/>
        </w:tc>
        <w:tc>
          <w:tcPr>
            <w:tcW w:type="dxa" w:w="415"/>
          </w:tcPr>
          <w:p>
            <w:pPr>
              <w:pStyle w:val="null3"/>
            </w:pPr>
            <w:r>
              <w:rPr/>
              <w:t>33</w:t>
            </w:r>
          </w:p>
        </w:tc>
        <w:tc>
          <w:tcPr>
            <w:tcW w:type="dxa" w:w="5814"/>
          </w:tcPr>
          <w:p>
            <w:pPr>
              <w:pStyle w:val="null3"/>
            </w:pPr>
            <w:r>
              <w:rPr/>
              <w:t>2.5.1平板尺寸≥24cmx29cm</w:t>
            </w:r>
          </w:p>
        </w:tc>
      </w:tr>
      <w:tr>
        <w:tc>
          <w:tcPr>
            <w:tcW w:type="dxa" w:w="2076"/>
          </w:tcPr>
          <w:p/>
        </w:tc>
        <w:tc>
          <w:tcPr>
            <w:tcW w:type="dxa" w:w="415"/>
          </w:tcPr>
          <w:p>
            <w:pPr>
              <w:pStyle w:val="null3"/>
            </w:pPr>
            <w:r>
              <w:rPr/>
              <w:t>34</w:t>
            </w:r>
          </w:p>
        </w:tc>
        <w:tc>
          <w:tcPr>
            <w:tcW w:type="dxa" w:w="5814"/>
          </w:tcPr>
          <w:p>
            <w:pPr>
              <w:pStyle w:val="null3"/>
            </w:pPr>
            <w:r>
              <w:rPr/>
              <w:t>2.5.2像素尺寸≤100μm</w:t>
            </w:r>
          </w:p>
        </w:tc>
      </w:tr>
      <w:tr>
        <w:tc>
          <w:tcPr>
            <w:tcW w:type="dxa" w:w="2076"/>
          </w:tcPr>
          <w:p/>
        </w:tc>
        <w:tc>
          <w:tcPr>
            <w:tcW w:type="dxa" w:w="415"/>
          </w:tcPr>
          <w:p>
            <w:pPr>
              <w:pStyle w:val="null3"/>
            </w:pPr>
            <w:r>
              <w:rPr/>
              <w:t>35</w:t>
            </w:r>
          </w:p>
        </w:tc>
        <w:tc>
          <w:tcPr>
            <w:tcW w:type="dxa" w:w="5814"/>
          </w:tcPr>
          <w:p>
            <w:pPr>
              <w:pStyle w:val="null3"/>
            </w:pPr>
            <w:r>
              <w:rPr/>
              <w:t>2.5.3灰阶≥14 bits</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▲2.5.4探测器材料：非晶硅或单晶硅，不接受非晶硒材质</w:t>
            </w:r>
          </w:p>
        </w:tc>
      </w:tr>
      <w:tr>
        <w:tc>
          <w:tcPr>
            <w:tcW w:type="dxa" w:w="2076"/>
          </w:tcPr>
          <w:p/>
        </w:tc>
        <w:tc>
          <w:tcPr>
            <w:tcW w:type="dxa" w:w="415"/>
          </w:tcPr>
          <w:p>
            <w:pPr>
              <w:pStyle w:val="null3"/>
            </w:pPr>
            <w:r>
              <w:rPr/>
              <w:t>37</w:t>
            </w:r>
          </w:p>
        </w:tc>
        <w:tc>
          <w:tcPr>
            <w:tcW w:type="dxa" w:w="5814"/>
          </w:tcPr>
          <w:p>
            <w:pPr>
              <w:pStyle w:val="null3"/>
            </w:pPr>
            <w:r>
              <w:rPr/>
              <w:t>2.5.5采集矩阵≥2380x2800</w:t>
            </w:r>
          </w:p>
        </w:tc>
      </w:tr>
      <w:tr>
        <w:tc>
          <w:tcPr>
            <w:tcW w:type="dxa" w:w="2076"/>
          </w:tcPr>
          <w:p/>
        </w:tc>
        <w:tc>
          <w:tcPr>
            <w:tcW w:type="dxa" w:w="415"/>
          </w:tcPr>
          <w:p>
            <w:pPr>
              <w:pStyle w:val="null3"/>
            </w:pPr>
            <w:r>
              <w:rPr/>
              <w:t>38</w:t>
            </w:r>
          </w:p>
        </w:tc>
        <w:tc>
          <w:tcPr>
            <w:tcW w:type="dxa" w:w="5814"/>
          </w:tcPr>
          <w:p>
            <w:pPr>
              <w:pStyle w:val="null3"/>
            </w:pPr>
            <w:r>
              <w:rPr/>
              <w:t>2.6滤线栅</w:t>
            </w:r>
          </w:p>
        </w:tc>
      </w:tr>
      <w:tr>
        <w:tc>
          <w:tcPr>
            <w:tcW w:type="dxa" w:w="2076"/>
          </w:tcPr>
          <w:p/>
        </w:tc>
        <w:tc>
          <w:tcPr>
            <w:tcW w:type="dxa" w:w="415"/>
          </w:tcPr>
          <w:p>
            <w:pPr>
              <w:pStyle w:val="null3"/>
            </w:pPr>
            <w:r>
              <w:rPr/>
              <w:t>39</w:t>
            </w:r>
          </w:p>
        </w:tc>
        <w:tc>
          <w:tcPr>
            <w:tcW w:type="dxa" w:w="5814"/>
          </w:tcPr>
          <w:p>
            <w:pPr>
              <w:pStyle w:val="null3"/>
            </w:pPr>
            <w:r>
              <w:rPr/>
              <w:t>2.6.1滤线栅类型：物理活动滤线栅，非虚拟滤线栅、数字滤线栅</w:t>
            </w:r>
          </w:p>
        </w:tc>
      </w:tr>
      <w:tr>
        <w:tc>
          <w:tcPr>
            <w:tcW w:type="dxa" w:w="2076"/>
          </w:tcPr>
          <w:p/>
        </w:tc>
        <w:tc>
          <w:tcPr>
            <w:tcW w:type="dxa" w:w="415"/>
          </w:tcPr>
          <w:p>
            <w:pPr>
              <w:pStyle w:val="null3"/>
            </w:pPr>
            <w:r>
              <w:rPr/>
              <w:t>40</w:t>
            </w:r>
          </w:p>
        </w:tc>
        <w:tc>
          <w:tcPr>
            <w:tcW w:type="dxa" w:w="5814"/>
          </w:tcPr>
          <w:p>
            <w:pPr>
              <w:pStyle w:val="null3"/>
            </w:pPr>
            <w:r>
              <w:rPr/>
              <w:t>2.6.2栅密度≥36线/cm</w:t>
            </w:r>
          </w:p>
        </w:tc>
      </w:tr>
      <w:tr>
        <w:tc>
          <w:tcPr>
            <w:tcW w:type="dxa" w:w="2076"/>
          </w:tcPr>
          <w:p/>
        </w:tc>
        <w:tc>
          <w:tcPr>
            <w:tcW w:type="dxa" w:w="415"/>
          </w:tcPr>
          <w:p>
            <w:pPr>
              <w:pStyle w:val="null3"/>
            </w:pPr>
            <w:r>
              <w:rPr/>
              <w:t>41</w:t>
            </w:r>
          </w:p>
        </w:tc>
        <w:tc>
          <w:tcPr>
            <w:tcW w:type="dxa" w:w="5814"/>
          </w:tcPr>
          <w:p>
            <w:pPr>
              <w:pStyle w:val="null3"/>
            </w:pPr>
            <w:r>
              <w:rPr/>
              <w:t>2.6.3栅比≥5:1</w:t>
            </w:r>
          </w:p>
        </w:tc>
      </w:tr>
      <w:tr>
        <w:tc>
          <w:tcPr>
            <w:tcW w:type="dxa" w:w="2076"/>
          </w:tcPr>
          <w:p/>
        </w:tc>
        <w:tc>
          <w:tcPr>
            <w:tcW w:type="dxa" w:w="415"/>
          </w:tcPr>
          <w:p>
            <w:pPr>
              <w:pStyle w:val="null3"/>
            </w:pPr>
            <w:r>
              <w:rPr/>
              <w:t>42</w:t>
            </w:r>
          </w:p>
        </w:tc>
        <w:tc>
          <w:tcPr>
            <w:tcW w:type="dxa" w:w="5814"/>
          </w:tcPr>
          <w:p>
            <w:pPr>
              <w:pStyle w:val="null3"/>
            </w:pPr>
            <w:r>
              <w:rPr/>
              <w:t>2.7采集工作站</w:t>
            </w:r>
          </w:p>
        </w:tc>
      </w:tr>
      <w:tr>
        <w:tc>
          <w:tcPr>
            <w:tcW w:type="dxa" w:w="2076"/>
          </w:tcPr>
          <w:p/>
        </w:tc>
        <w:tc>
          <w:tcPr>
            <w:tcW w:type="dxa" w:w="415"/>
          </w:tcPr>
          <w:p>
            <w:pPr>
              <w:pStyle w:val="null3"/>
            </w:pPr>
            <w:r>
              <w:rPr/>
              <w:t>43</w:t>
            </w:r>
          </w:p>
        </w:tc>
        <w:tc>
          <w:tcPr>
            <w:tcW w:type="dxa" w:w="5814"/>
          </w:tcPr>
          <w:p>
            <w:pPr>
              <w:pStyle w:val="null3"/>
            </w:pPr>
            <w:r>
              <w:rPr/>
              <w:t>2.7.1CPU:Intel i7 8核或以上</w:t>
            </w:r>
          </w:p>
        </w:tc>
      </w:tr>
      <w:tr>
        <w:tc>
          <w:tcPr>
            <w:tcW w:type="dxa" w:w="2076"/>
          </w:tcPr>
          <w:p/>
        </w:tc>
        <w:tc>
          <w:tcPr>
            <w:tcW w:type="dxa" w:w="415"/>
          </w:tcPr>
          <w:p>
            <w:pPr>
              <w:pStyle w:val="null3"/>
            </w:pPr>
            <w:r>
              <w:rPr/>
              <w:t>44</w:t>
            </w:r>
          </w:p>
        </w:tc>
        <w:tc>
          <w:tcPr>
            <w:tcW w:type="dxa" w:w="5814"/>
          </w:tcPr>
          <w:p>
            <w:pPr>
              <w:pStyle w:val="null3"/>
            </w:pPr>
            <w:r>
              <w:rPr/>
              <w:t>2.7.2内存≥64GB</w:t>
            </w:r>
          </w:p>
        </w:tc>
      </w:tr>
      <w:tr>
        <w:tc>
          <w:tcPr>
            <w:tcW w:type="dxa" w:w="2076"/>
          </w:tcPr>
          <w:p/>
        </w:tc>
        <w:tc>
          <w:tcPr>
            <w:tcW w:type="dxa" w:w="415"/>
          </w:tcPr>
          <w:p>
            <w:pPr>
              <w:pStyle w:val="null3"/>
            </w:pPr>
            <w:r>
              <w:rPr/>
              <w:t>45</w:t>
            </w:r>
          </w:p>
        </w:tc>
        <w:tc>
          <w:tcPr>
            <w:tcW w:type="dxa" w:w="5814"/>
          </w:tcPr>
          <w:p>
            <w:pPr>
              <w:pStyle w:val="null3"/>
            </w:pPr>
            <w:r>
              <w:rPr/>
              <w:t>2.7.3硬盘容量≥2TB</w:t>
            </w:r>
          </w:p>
        </w:tc>
      </w:tr>
      <w:tr>
        <w:tc>
          <w:tcPr>
            <w:tcW w:type="dxa" w:w="2076"/>
          </w:tcPr>
          <w:p/>
        </w:tc>
        <w:tc>
          <w:tcPr>
            <w:tcW w:type="dxa" w:w="415"/>
          </w:tcPr>
          <w:p>
            <w:pPr>
              <w:pStyle w:val="null3"/>
            </w:pPr>
            <w:r>
              <w:rPr/>
              <w:t>46</w:t>
            </w:r>
          </w:p>
        </w:tc>
        <w:tc>
          <w:tcPr>
            <w:tcW w:type="dxa" w:w="5814"/>
          </w:tcPr>
          <w:p>
            <w:pPr>
              <w:pStyle w:val="null3"/>
            </w:pPr>
            <w:r>
              <w:rPr/>
              <w:t>2.7.4显示器:专业医用级彩色显示器，非普通民用电脑显示器,显示器亮度：≥1000Cd/㎡</w:t>
            </w:r>
          </w:p>
        </w:tc>
      </w:tr>
      <w:tr>
        <w:tc>
          <w:tcPr>
            <w:tcW w:type="dxa" w:w="2076"/>
          </w:tcPr>
          <w:p/>
        </w:tc>
        <w:tc>
          <w:tcPr>
            <w:tcW w:type="dxa" w:w="415"/>
          </w:tcPr>
          <w:p>
            <w:pPr>
              <w:pStyle w:val="null3"/>
            </w:pPr>
            <w:r>
              <w:rPr/>
              <w:t>47</w:t>
            </w:r>
          </w:p>
        </w:tc>
        <w:tc>
          <w:tcPr>
            <w:tcW w:type="dxa" w:w="5814"/>
          </w:tcPr>
          <w:p>
            <w:pPr>
              <w:pStyle w:val="null3"/>
            </w:pPr>
            <w:r>
              <w:rPr/>
              <w:t>2.7.5 支持DICOM工作列表</w:t>
            </w:r>
          </w:p>
        </w:tc>
      </w:tr>
      <w:tr>
        <w:tc>
          <w:tcPr>
            <w:tcW w:type="dxa" w:w="2076"/>
          </w:tcPr>
          <w:p/>
        </w:tc>
        <w:tc>
          <w:tcPr>
            <w:tcW w:type="dxa" w:w="415"/>
          </w:tcPr>
          <w:p>
            <w:pPr>
              <w:pStyle w:val="null3"/>
            </w:pPr>
            <w:r>
              <w:rPr/>
              <w:t>48</w:t>
            </w:r>
          </w:p>
        </w:tc>
        <w:tc>
          <w:tcPr>
            <w:tcW w:type="dxa" w:w="5814"/>
          </w:tcPr>
          <w:p>
            <w:pPr>
              <w:pStyle w:val="null3"/>
            </w:pPr>
            <w:r>
              <w:rPr/>
              <w:t>2.7.6 X射线控制台：具备；X射线控制台支持触控操作：具备；X射线控制台急停按钮：具备</w:t>
            </w:r>
          </w:p>
        </w:tc>
      </w:tr>
      <w:tr>
        <w:tc>
          <w:tcPr>
            <w:tcW w:type="dxa" w:w="2076"/>
          </w:tcPr>
          <w:p/>
        </w:tc>
        <w:tc>
          <w:tcPr>
            <w:tcW w:type="dxa" w:w="415"/>
          </w:tcPr>
          <w:p>
            <w:pPr>
              <w:pStyle w:val="null3"/>
            </w:pPr>
            <w:r>
              <w:rPr/>
              <w:t>49</w:t>
            </w:r>
          </w:p>
        </w:tc>
        <w:tc>
          <w:tcPr>
            <w:tcW w:type="dxa" w:w="5814"/>
          </w:tcPr>
          <w:p>
            <w:pPr>
              <w:pStyle w:val="null3"/>
            </w:pPr>
            <w:r>
              <w:rPr/>
              <w:t>2.7.7曝光后工作站显像时间：≤8s</w:t>
            </w:r>
          </w:p>
        </w:tc>
      </w:tr>
      <w:tr>
        <w:tc>
          <w:tcPr>
            <w:tcW w:type="dxa" w:w="2076"/>
          </w:tcPr>
          <w:p/>
        </w:tc>
        <w:tc>
          <w:tcPr>
            <w:tcW w:type="dxa" w:w="415"/>
          </w:tcPr>
          <w:p>
            <w:pPr>
              <w:pStyle w:val="null3"/>
            </w:pPr>
            <w:r>
              <w:rPr/>
              <w:t>50</w:t>
            </w:r>
          </w:p>
        </w:tc>
        <w:tc>
          <w:tcPr>
            <w:tcW w:type="dxa" w:w="5814"/>
          </w:tcPr>
          <w:p>
            <w:pPr>
              <w:pStyle w:val="null3"/>
            </w:pPr>
            <w:r>
              <w:rPr/>
              <w:t>2.7.8两次曝光间隔时间 ≤15s</w:t>
            </w:r>
          </w:p>
        </w:tc>
      </w:tr>
      <w:tr>
        <w:tc>
          <w:tcPr>
            <w:tcW w:type="dxa" w:w="2076"/>
          </w:tcPr>
          <w:p/>
        </w:tc>
        <w:tc>
          <w:tcPr>
            <w:tcW w:type="dxa" w:w="415"/>
          </w:tcPr>
          <w:p>
            <w:pPr>
              <w:pStyle w:val="null3"/>
            </w:pPr>
            <w:r>
              <w:rPr/>
              <w:t>51</w:t>
            </w:r>
          </w:p>
        </w:tc>
        <w:tc>
          <w:tcPr>
            <w:tcW w:type="dxa" w:w="5814"/>
          </w:tcPr>
          <w:p>
            <w:pPr>
              <w:pStyle w:val="null3"/>
            </w:pPr>
            <w:r>
              <w:rPr/>
              <w:t>2.8专业乳腺影像诊断工作站</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t>▲2.8.1乳腺影像诊断工作站：原厂乳腺影像诊断工作站，非第三方兼容影像诊断工作站</w:t>
            </w:r>
          </w:p>
        </w:tc>
      </w:tr>
      <w:tr>
        <w:tc>
          <w:tcPr>
            <w:tcW w:type="dxa" w:w="2076"/>
          </w:tcPr>
          <w:p/>
        </w:tc>
        <w:tc>
          <w:tcPr>
            <w:tcW w:type="dxa" w:w="415"/>
          </w:tcPr>
          <w:p>
            <w:pPr>
              <w:pStyle w:val="null3"/>
            </w:pPr>
            <w:r>
              <w:rPr/>
              <w:t>53</w:t>
            </w:r>
          </w:p>
        </w:tc>
        <w:tc>
          <w:tcPr>
            <w:tcW w:type="dxa" w:w="5814"/>
          </w:tcPr>
          <w:p>
            <w:pPr>
              <w:pStyle w:val="null3"/>
            </w:pPr>
            <w:r>
              <w:rPr/>
              <w:t>2.8.2内存≥64GB，硬盘容量≥2TB SSD，DICOM 3.0协议通讯:支持</w:t>
            </w:r>
          </w:p>
        </w:tc>
      </w:tr>
      <w:tr>
        <w:tc>
          <w:tcPr>
            <w:tcW w:type="dxa" w:w="2076"/>
          </w:tcPr>
          <w:p/>
        </w:tc>
        <w:tc>
          <w:tcPr>
            <w:tcW w:type="dxa" w:w="415"/>
          </w:tcPr>
          <w:p>
            <w:pPr>
              <w:pStyle w:val="null3"/>
            </w:pPr>
            <w:r>
              <w:rPr/>
              <w:t>54</w:t>
            </w:r>
          </w:p>
        </w:tc>
        <w:tc>
          <w:tcPr>
            <w:tcW w:type="dxa" w:w="5814"/>
          </w:tcPr>
          <w:p>
            <w:pPr>
              <w:pStyle w:val="null3"/>
            </w:pPr>
            <w:r>
              <w:rPr/>
              <w:t>2.8.3具备患者信息管理功能；乳腺专用多功能按键键盘；图像导出：支持；背光后处理：支持</w:t>
            </w:r>
          </w:p>
        </w:tc>
      </w:tr>
      <w:tr>
        <w:tc>
          <w:tcPr>
            <w:tcW w:type="dxa" w:w="2076"/>
          </w:tcPr>
          <w:p/>
        </w:tc>
        <w:tc>
          <w:tcPr>
            <w:tcW w:type="dxa" w:w="415"/>
          </w:tcPr>
          <w:p>
            <w:pPr>
              <w:pStyle w:val="null3"/>
            </w:pPr>
            <w:r>
              <w:rPr/>
              <w:t>55</w:t>
            </w:r>
          </w:p>
        </w:tc>
        <w:tc>
          <w:tcPr>
            <w:tcW w:type="dxa" w:w="5814"/>
          </w:tcPr>
          <w:p>
            <w:pPr>
              <w:pStyle w:val="null3"/>
            </w:pPr>
            <w:r>
              <w:rPr/>
              <w:t>2.8.4能兼容和显示其它品牌数字乳腺图像，能显示经过医院PACS网络及其他网络和设备传输的MR和B超等乳腺图像，供医生做乳腺综合分析</w:t>
            </w:r>
          </w:p>
        </w:tc>
      </w:tr>
      <w:tr>
        <w:tc>
          <w:tcPr>
            <w:tcW w:type="dxa" w:w="2076"/>
          </w:tcPr>
          <w:p/>
        </w:tc>
        <w:tc>
          <w:tcPr>
            <w:tcW w:type="dxa" w:w="415"/>
          </w:tcPr>
          <w:p>
            <w:pPr>
              <w:pStyle w:val="null3"/>
            </w:pPr>
            <w:r>
              <w:rPr/>
              <w:t>56</w:t>
            </w:r>
          </w:p>
        </w:tc>
        <w:tc>
          <w:tcPr>
            <w:tcW w:type="dxa" w:w="5814"/>
          </w:tcPr>
          <w:p>
            <w:pPr>
              <w:pStyle w:val="null3"/>
            </w:pPr>
            <w:r>
              <w:rPr/>
              <w:t>2.8.5具备致密型乳腺图像背光后处理功能，可显示致密型腺体</w:t>
            </w:r>
          </w:p>
        </w:tc>
      </w:tr>
      <w:tr>
        <w:tc>
          <w:tcPr>
            <w:tcW w:type="dxa" w:w="2076"/>
          </w:tcPr>
          <w:p/>
        </w:tc>
        <w:tc>
          <w:tcPr>
            <w:tcW w:type="dxa" w:w="415"/>
          </w:tcPr>
          <w:p>
            <w:pPr>
              <w:pStyle w:val="null3"/>
            </w:pPr>
            <w:r>
              <w:rPr/>
              <w:t>57</w:t>
            </w:r>
          </w:p>
        </w:tc>
        <w:tc>
          <w:tcPr>
            <w:tcW w:type="dxa" w:w="5814"/>
          </w:tcPr>
          <w:p>
            <w:pPr>
              <w:pStyle w:val="null3"/>
            </w:pPr>
            <w:r>
              <w:rPr/>
              <w:t>2.8.6具备病灶导航功能，点击合成二维图像上的病灶区，有相应的断层图像窗口跳至相应的断层层面以供诊断医生浏览</w:t>
            </w:r>
          </w:p>
        </w:tc>
      </w:tr>
      <w:tr>
        <w:tc>
          <w:tcPr>
            <w:tcW w:type="dxa" w:w="2076"/>
          </w:tcPr>
          <w:p/>
        </w:tc>
        <w:tc>
          <w:tcPr>
            <w:tcW w:type="dxa" w:w="415"/>
          </w:tcPr>
          <w:p>
            <w:pPr>
              <w:pStyle w:val="null3"/>
            </w:pPr>
            <w:r>
              <w:rPr/>
              <w:t>58</w:t>
            </w:r>
          </w:p>
        </w:tc>
        <w:tc>
          <w:tcPr>
            <w:tcW w:type="dxa" w:w="5814"/>
          </w:tcPr>
          <w:p>
            <w:pPr>
              <w:pStyle w:val="null3"/>
            </w:pPr>
            <w:r>
              <w:rPr/>
              <w:t>2.8.7具备病灶书签功能，可供诊断医生在合成二维图像上以书签形式标记病灶点</w:t>
            </w:r>
          </w:p>
        </w:tc>
      </w:tr>
      <w:tr>
        <w:tc>
          <w:tcPr>
            <w:tcW w:type="dxa" w:w="2076"/>
          </w:tcPr>
          <w:p/>
        </w:tc>
        <w:tc>
          <w:tcPr>
            <w:tcW w:type="dxa" w:w="415"/>
          </w:tcPr>
          <w:p>
            <w:pPr>
              <w:pStyle w:val="null3"/>
            </w:pPr>
            <w:r>
              <w:rPr/>
              <w:t>59</w:t>
            </w:r>
          </w:p>
        </w:tc>
        <w:tc>
          <w:tcPr>
            <w:tcW w:type="dxa" w:w="5814"/>
          </w:tcPr>
          <w:p>
            <w:pPr>
              <w:pStyle w:val="null3"/>
            </w:pPr>
            <w:r>
              <w:rPr/>
              <w:t>2.8.8具备病灶局部检视功能，可供诊断医生在感兴趣区域放置一个窗口，局部进行断层图像的浏览，且窗口大小可调节</w:t>
            </w:r>
          </w:p>
        </w:tc>
      </w:tr>
      <w:tr>
        <w:tc>
          <w:tcPr>
            <w:tcW w:type="dxa" w:w="2076"/>
          </w:tcPr>
          <w:p/>
        </w:tc>
        <w:tc>
          <w:tcPr>
            <w:tcW w:type="dxa" w:w="415"/>
          </w:tcPr>
          <w:p>
            <w:pPr>
              <w:pStyle w:val="null3"/>
            </w:pPr>
            <w:r>
              <w:rPr/>
              <w:t>60</w:t>
            </w:r>
          </w:p>
        </w:tc>
        <w:tc>
          <w:tcPr>
            <w:tcW w:type="dxa" w:w="5814"/>
          </w:tcPr>
          <w:p>
            <w:pPr>
              <w:pStyle w:val="null3"/>
            </w:pPr>
            <w:r>
              <w:rPr/>
              <w:t>2.9乳腺三维体层乳腺摄影功能</w:t>
            </w:r>
          </w:p>
        </w:tc>
      </w:tr>
      <w:tr>
        <w:tc>
          <w:tcPr>
            <w:tcW w:type="dxa" w:w="2076"/>
          </w:tcPr>
          <w:p/>
        </w:tc>
        <w:tc>
          <w:tcPr>
            <w:tcW w:type="dxa" w:w="415"/>
          </w:tcPr>
          <w:p>
            <w:pPr>
              <w:pStyle w:val="null3"/>
            </w:pPr>
            <w:r>
              <w:rPr/>
              <w:t>61</w:t>
            </w:r>
          </w:p>
        </w:tc>
        <w:tc>
          <w:tcPr>
            <w:tcW w:type="dxa" w:w="5814"/>
          </w:tcPr>
          <w:p>
            <w:pPr>
              <w:pStyle w:val="null3"/>
            </w:pPr>
            <w:r>
              <w:rPr/>
              <w:t>2.9.1乳腺三维体层乳腺摄影功能获得NMPA认证：具备</w:t>
            </w:r>
          </w:p>
        </w:tc>
      </w:tr>
      <w:tr>
        <w:tc>
          <w:tcPr>
            <w:tcW w:type="dxa" w:w="2076"/>
          </w:tcPr>
          <w:p/>
        </w:tc>
        <w:tc>
          <w:tcPr>
            <w:tcW w:type="dxa" w:w="415"/>
          </w:tcPr>
          <w:p>
            <w:pPr>
              <w:pStyle w:val="null3"/>
            </w:pPr>
            <w:r>
              <w:rPr/>
              <w:t>62</w:t>
            </w:r>
          </w:p>
        </w:tc>
        <w:tc>
          <w:tcPr>
            <w:tcW w:type="dxa" w:w="5814"/>
          </w:tcPr>
          <w:p>
            <w:pPr>
              <w:pStyle w:val="null3"/>
            </w:pPr>
            <w:r>
              <w:rPr/>
              <w:t>2.9.2具备DBT扫描专用防护面罩：具备，且外观需区别于该设备的2D摄影防护面罩</w:t>
            </w:r>
          </w:p>
        </w:tc>
      </w:tr>
      <w:tr>
        <w:tc>
          <w:tcPr>
            <w:tcW w:type="dxa" w:w="2076"/>
          </w:tcPr>
          <w:p/>
        </w:tc>
        <w:tc>
          <w:tcPr>
            <w:tcW w:type="dxa" w:w="415"/>
          </w:tcPr>
          <w:p>
            <w:pPr>
              <w:pStyle w:val="null3"/>
            </w:pPr>
            <w:r>
              <w:rPr/>
              <w:t>63</w:t>
            </w:r>
          </w:p>
        </w:tc>
        <w:tc>
          <w:tcPr>
            <w:tcW w:type="dxa" w:w="5814"/>
          </w:tcPr>
          <w:p>
            <w:pPr>
              <w:pStyle w:val="null3"/>
            </w:pPr>
            <w:r>
              <w:rPr/>
              <w:t>2.9.3断层摄影球管旋转角度: ≥20°</w:t>
            </w:r>
          </w:p>
        </w:tc>
      </w:tr>
      <w:tr>
        <w:tc>
          <w:tcPr>
            <w:tcW w:type="dxa" w:w="2076"/>
          </w:tcPr>
          <w:p/>
        </w:tc>
        <w:tc>
          <w:tcPr>
            <w:tcW w:type="dxa" w:w="415"/>
          </w:tcPr>
          <w:p>
            <w:pPr>
              <w:pStyle w:val="null3"/>
            </w:pPr>
            <w:r>
              <w:rPr/>
              <w:t>64</w:t>
            </w:r>
          </w:p>
        </w:tc>
        <w:tc>
          <w:tcPr>
            <w:tcW w:type="dxa" w:w="5814"/>
          </w:tcPr>
          <w:p>
            <w:pPr>
              <w:pStyle w:val="null3"/>
            </w:pPr>
            <w:r>
              <w:rPr/>
              <w:t>2.9.4断层采集曝光次数:≤13次</w:t>
            </w:r>
          </w:p>
        </w:tc>
      </w:tr>
      <w:tr>
        <w:tc>
          <w:tcPr>
            <w:tcW w:type="dxa" w:w="2076"/>
          </w:tcPr>
          <w:p>
            <w:pPr>
              <w:pStyle w:val="null3"/>
            </w:pPr>
            <w:r>
              <w:rPr/>
              <w:t>▲</w:t>
            </w:r>
          </w:p>
        </w:tc>
        <w:tc>
          <w:tcPr>
            <w:tcW w:type="dxa" w:w="415"/>
          </w:tcPr>
          <w:p>
            <w:pPr>
              <w:pStyle w:val="null3"/>
            </w:pPr>
            <w:r>
              <w:rPr/>
              <w:t>65</w:t>
            </w:r>
          </w:p>
        </w:tc>
        <w:tc>
          <w:tcPr>
            <w:tcW w:type="dxa" w:w="5814"/>
          </w:tcPr>
          <w:p>
            <w:pPr>
              <w:pStyle w:val="null3"/>
            </w:pPr>
            <w:r>
              <w:rPr/>
              <w:t>▲2.9.5三维体层摄影时，防护面罩不随机头运动而移动：具备</w:t>
            </w:r>
          </w:p>
        </w:tc>
      </w:tr>
      <w:tr>
        <w:tc>
          <w:tcPr>
            <w:tcW w:type="dxa" w:w="2076"/>
          </w:tcPr>
          <w:p>
            <w:pPr>
              <w:pStyle w:val="null3"/>
            </w:pPr>
            <w:r>
              <w:rPr/>
              <w:t>▲</w:t>
            </w:r>
          </w:p>
        </w:tc>
        <w:tc>
          <w:tcPr>
            <w:tcW w:type="dxa" w:w="415"/>
          </w:tcPr>
          <w:p>
            <w:pPr>
              <w:pStyle w:val="null3"/>
            </w:pPr>
            <w:r>
              <w:rPr/>
              <w:t>66</w:t>
            </w:r>
          </w:p>
        </w:tc>
        <w:tc>
          <w:tcPr>
            <w:tcW w:type="dxa" w:w="5814"/>
          </w:tcPr>
          <w:p>
            <w:pPr>
              <w:pStyle w:val="null3"/>
            </w:pPr>
            <w:r>
              <w:rPr/>
              <w:t>▲2.9.6可提供的断层图像的薄层重建，最小层间距≤0.5mm</w:t>
            </w:r>
          </w:p>
        </w:tc>
      </w:tr>
      <w:tr>
        <w:tc>
          <w:tcPr>
            <w:tcW w:type="dxa" w:w="2076"/>
          </w:tcPr>
          <w:p>
            <w:pPr>
              <w:pStyle w:val="null3"/>
            </w:pPr>
            <w:r>
              <w:rPr/>
              <w:t>▲</w:t>
            </w:r>
          </w:p>
        </w:tc>
        <w:tc>
          <w:tcPr>
            <w:tcW w:type="dxa" w:w="415"/>
          </w:tcPr>
          <w:p>
            <w:pPr>
              <w:pStyle w:val="null3"/>
            </w:pPr>
            <w:r>
              <w:rPr/>
              <w:t>67</w:t>
            </w:r>
          </w:p>
        </w:tc>
        <w:tc>
          <w:tcPr>
            <w:tcW w:type="dxa" w:w="5814"/>
          </w:tcPr>
          <w:p>
            <w:pPr>
              <w:pStyle w:val="null3"/>
            </w:pPr>
            <w:r>
              <w:rPr/>
              <w:t>▲2.9.7可提供断层图像的厚层显示，厚层重建≥5 mm</w:t>
            </w:r>
          </w:p>
        </w:tc>
      </w:tr>
      <w:tr>
        <w:tc>
          <w:tcPr>
            <w:tcW w:type="dxa" w:w="2076"/>
          </w:tcPr>
          <w:p/>
        </w:tc>
        <w:tc>
          <w:tcPr>
            <w:tcW w:type="dxa" w:w="415"/>
          </w:tcPr>
          <w:p>
            <w:pPr>
              <w:pStyle w:val="null3"/>
            </w:pPr>
            <w:r>
              <w:rPr/>
              <w:t>68</w:t>
            </w:r>
          </w:p>
        </w:tc>
        <w:tc>
          <w:tcPr>
            <w:tcW w:type="dxa" w:w="5814"/>
          </w:tcPr>
          <w:p>
            <w:pPr>
              <w:pStyle w:val="null3"/>
            </w:pPr>
            <w:r>
              <w:rPr/>
              <w:t>2.9.8支持通过三维断层图像自动融合出一张二维图像，替代传统二维图像：具备</w:t>
            </w:r>
          </w:p>
        </w:tc>
      </w:tr>
      <w:tr>
        <w:tc>
          <w:tcPr>
            <w:tcW w:type="dxa" w:w="2076"/>
          </w:tcPr>
          <w:p/>
        </w:tc>
        <w:tc>
          <w:tcPr>
            <w:tcW w:type="dxa" w:w="415"/>
          </w:tcPr>
          <w:p>
            <w:pPr>
              <w:pStyle w:val="null3"/>
            </w:pPr>
            <w:r>
              <w:rPr/>
              <w:t>69</w:t>
            </w:r>
          </w:p>
        </w:tc>
        <w:tc>
          <w:tcPr>
            <w:tcW w:type="dxa" w:w="5814"/>
          </w:tcPr>
          <w:p>
            <w:pPr>
              <w:pStyle w:val="null3"/>
            </w:pPr>
            <w:r>
              <w:rPr/>
              <w:t>2.9.9可在同一压迫位置下自动曝光获取三维体层图像和二维图像：具备</w:t>
            </w:r>
          </w:p>
        </w:tc>
      </w:tr>
      <w:tr>
        <w:tc>
          <w:tcPr>
            <w:tcW w:type="dxa" w:w="2076"/>
          </w:tcPr>
          <w:p>
            <w:pPr>
              <w:pStyle w:val="null3"/>
            </w:pPr>
            <w:r>
              <w:rPr/>
              <w:t>▲</w:t>
            </w:r>
          </w:p>
        </w:tc>
        <w:tc>
          <w:tcPr>
            <w:tcW w:type="dxa" w:w="415"/>
          </w:tcPr>
          <w:p>
            <w:pPr>
              <w:pStyle w:val="null3"/>
            </w:pPr>
            <w:r>
              <w:rPr/>
              <w:t>70</w:t>
            </w:r>
          </w:p>
        </w:tc>
        <w:tc>
          <w:tcPr>
            <w:tcW w:type="dxa" w:w="5814"/>
          </w:tcPr>
          <w:p>
            <w:pPr>
              <w:pStyle w:val="null3"/>
            </w:pPr>
            <w:r>
              <w:rPr/>
              <w:t>▲2.9.11曝光方式：步进式</w:t>
            </w:r>
          </w:p>
        </w:tc>
      </w:tr>
      <w:tr>
        <w:tc>
          <w:tcPr>
            <w:tcW w:type="dxa" w:w="2076"/>
          </w:tcPr>
          <w:p/>
        </w:tc>
        <w:tc>
          <w:tcPr>
            <w:tcW w:type="dxa" w:w="415"/>
          </w:tcPr>
          <w:p>
            <w:pPr>
              <w:pStyle w:val="null3"/>
            </w:pPr>
            <w:r>
              <w:rPr/>
              <w:t>71</w:t>
            </w:r>
          </w:p>
        </w:tc>
        <w:tc>
          <w:tcPr>
            <w:tcW w:type="dxa" w:w="5814"/>
          </w:tcPr>
          <w:p>
            <w:pPr>
              <w:pStyle w:val="null3"/>
            </w:pPr>
            <w:r>
              <w:rPr/>
              <w:t>2.10对比增强摄影功能</w:t>
            </w:r>
          </w:p>
        </w:tc>
      </w:tr>
      <w:tr>
        <w:tc>
          <w:tcPr>
            <w:tcW w:type="dxa" w:w="2076"/>
          </w:tcPr>
          <w:p/>
        </w:tc>
        <w:tc>
          <w:tcPr>
            <w:tcW w:type="dxa" w:w="415"/>
          </w:tcPr>
          <w:p>
            <w:pPr>
              <w:pStyle w:val="null3"/>
            </w:pPr>
            <w:r>
              <w:rPr/>
              <w:t>72</w:t>
            </w:r>
          </w:p>
        </w:tc>
        <w:tc>
          <w:tcPr>
            <w:tcW w:type="dxa" w:w="5814"/>
          </w:tcPr>
          <w:p>
            <w:pPr>
              <w:pStyle w:val="null3"/>
            </w:pPr>
            <w:r>
              <w:rPr/>
              <w:t>2.10.1具备对比增强摄影功能，且功能已获得了NMPA认证</w:t>
            </w:r>
          </w:p>
        </w:tc>
      </w:tr>
      <w:tr>
        <w:tc>
          <w:tcPr>
            <w:tcW w:type="dxa" w:w="2076"/>
          </w:tcPr>
          <w:p/>
        </w:tc>
        <w:tc>
          <w:tcPr>
            <w:tcW w:type="dxa" w:w="415"/>
          </w:tcPr>
          <w:p>
            <w:pPr>
              <w:pStyle w:val="null3"/>
            </w:pPr>
            <w:r>
              <w:rPr/>
              <w:t>73</w:t>
            </w:r>
          </w:p>
        </w:tc>
        <w:tc>
          <w:tcPr>
            <w:tcW w:type="dxa" w:w="5814"/>
          </w:tcPr>
          <w:p>
            <w:pPr>
              <w:pStyle w:val="null3"/>
            </w:pPr>
            <w:r>
              <w:rPr/>
              <w:t>2.10.2支持高压发生器低能、高能瞬切曝光</w:t>
            </w:r>
          </w:p>
        </w:tc>
      </w:tr>
      <w:tr>
        <w:tc>
          <w:tcPr>
            <w:tcW w:type="dxa" w:w="2076"/>
          </w:tcPr>
          <w:p/>
        </w:tc>
        <w:tc>
          <w:tcPr>
            <w:tcW w:type="dxa" w:w="415"/>
          </w:tcPr>
          <w:p>
            <w:pPr>
              <w:pStyle w:val="null3"/>
            </w:pPr>
            <w:r>
              <w:rPr/>
              <w:t>74</w:t>
            </w:r>
          </w:p>
        </w:tc>
        <w:tc>
          <w:tcPr>
            <w:tcW w:type="dxa" w:w="5814"/>
          </w:tcPr>
          <w:p>
            <w:pPr>
              <w:pStyle w:val="null3"/>
            </w:pPr>
            <w:r>
              <w:rPr/>
              <w:t>2.10.3采集工作站具备秒表功能，自动计算对比剂自注射开始后所经过的时间</w:t>
            </w:r>
          </w:p>
        </w:tc>
      </w:tr>
      <w:tr>
        <w:tc>
          <w:tcPr>
            <w:tcW w:type="dxa" w:w="2076"/>
          </w:tcPr>
          <w:p/>
        </w:tc>
        <w:tc>
          <w:tcPr>
            <w:tcW w:type="dxa" w:w="415"/>
          </w:tcPr>
          <w:p>
            <w:pPr>
              <w:pStyle w:val="null3"/>
            </w:pPr>
            <w:r>
              <w:rPr/>
              <w:t>75</w:t>
            </w:r>
          </w:p>
        </w:tc>
        <w:tc>
          <w:tcPr>
            <w:tcW w:type="dxa" w:w="5814"/>
          </w:tcPr>
          <w:p>
            <w:pPr>
              <w:pStyle w:val="null3"/>
            </w:pPr>
            <w:r>
              <w:rPr/>
              <w:t>2.10.4支持同一压迫下实现DBT和对比增强低能、高能的曝光</w:t>
            </w:r>
          </w:p>
        </w:tc>
      </w:tr>
      <w:tr>
        <w:tc>
          <w:tcPr>
            <w:tcW w:type="dxa" w:w="2076"/>
          </w:tcPr>
          <w:p/>
        </w:tc>
        <w:tc>
          <w:tcPr>
            <w:tcW w:type="dxa" w:w="415"/>
          </w:tcPr>
          <w:p>
            <w:pPr>
              <w:pStyle w:val="null3"/>
            </w:pPr>
            <w:r>
              <w:rPr/>
              <w:t>76</w:t>
            </w:r>
          </w:p>
        </w:tc>
        <w:tc>
          <w:tcPr>
            <w:tcW w:type="dxa" w:w="5814"/>
          </w:tcPr>
          <w:p>
            <w:pPr>
              <w:pStyle w:val="null3"/>
            </w:pPr>
            <w:r>
              <w:rPr/>
              <w:t>2.11断层引导下的活检定位：具备，且获得NMPA认证</w:t>
            </w:r>
          </w:p>
        </w:tc>
      </w:tr>
      <w:tr>
        <w:tc>
          <w:tcPr>
            <w:tcW w:type="dxa" w:w="2076"/>
          </w:tcPr>
          <w:p/>
        </w:tc>
        <w:tc>
          <w:tcPr>
            <w:tcW w:type="dxa" w:w="415"/>
          </w:tcPr>
          <w:p>
            <w:pPr>
              <w:pStyle w:val="null3"/>
            </w:pPr>
            <w:r>
              <w:rPr/>
              <w:t>77</w:t>
            </w:r>
          </w:p>
        </w:tc>
        <w:tc>
          <w:tcPr>
            <w:tcW w:type="dxa" w:w="5814"/>
          </w:tcPr>
          <w:p>
            <w:pPr>
              <w:pStyle w:val="null3"/>
            </w:pPr>
            <w:r>
              <w:rPr/>
              <w:t>2.11.1穿刺引导定位自动化：X、Y、Z轴一键自动到位，Z轴深度调整无需手动操作</w:t>
            </w:r>
          </w:p>
        </w:tc>
      </w:tr>
      <w:tr>
        <w:tc>
          <w:tcPr>
            <w:tcW w:type="dxa" w:w="2076"/>
          </w:tcPr>
          <w:p/>
        </w:tc>
        <w:tc>
          <w:tcPr>
            <w:tcW w:type="dxa" w:w="415"/>
          </w:tcPr>
          <w:p>
            <w:pPr>
              <w:pStyle w:val="null3"/>
            </w:pPr>
            <w:r>
              <w:rPr/>
              <w:t>78</w:t>
            </w:r>
          </w:p>
        </w:tc>
        <w:tc>
          <w:tcPr>
            <w:tcW w:type="dxa" w:w="5814"/>
          </w:tcPr>
          <w:p>
            <w:pPr>
              <w:pStyle w:val="null3"/>
            </w:pPr>
            <w:r>
              <w:rPr/>
              <w:t>2.11.2定位精度：±1mm</w:t>
            </w:r>
          </w:p>
        </w:tc>
      </w:tr>
      <w:tr>
        <w:tc>
          <w:tcPr>
            <w:tcW w:type="dxa" w:w="2076"/>
          </w:tcPr>
          <w:p>
            <w:pPr>
              <w:pStyle w:val="null3"/>
            </w:pPr>
            <w:r>
              <w:rPr/>
              <w:t>▲</w:t>
            </w:r>
          </w:p>
        </w:tc>
        <w:tc>
          <w:tcPr>
            <w:tcW w:type="dxa" w:w="415"/>
          </w:tcPr>
          <w:p>
            <w:pPr>
              <w:pStyle w:val="null3"/>
            </w:pPr>
            <w:r>
              <w:rPr/>
              <w:t>79</w:t>
            </w:r>
          </w:p>
        </w:tc>
        <w:tc>
          <w:tcPr>
            <w:tcW w:type="dxa" w:w="5814"/>
          </w:tcPr>
          <w:p>
            <w:pPr>
              <w:pStyle w:val="null3"/>
            </w:pPr>
            <w:r>
              <w:rPr/>
              <w:t>▲2.11.3穿刺针轴倾斜设计：倾斜角度≥10°</w:t>
            </w:r>
          </w:p>
        </w:tc>
      </w:tr>
      <w:tr>
        <w:tc>
          <w:tcPr>
            <w:tcW w:type="dxa" w:w="2076"/>
          </w:tcPr>
          <w:p/>
        </w:tc>
        <w:tc>
          <w:tcPr>
            <w:tcW w:type="dxa" w:w="415"/>
          </w:tcPr>
          <w:p>
            <w:pPr>
              <w:pStyle w:val="null3"/>
            </w:pPr>
            <w:r>
              <w:rPr/>
              <w:t>80</w:t>
            </w:r>
          </w:p>
        </w:tc>
        <w:tc>
          <w:tcPr>
            <w:tcW w:type="dxa" w:w="5814"/>
          </w:tcPr>
          <w:p>
            <w:pPr>
              <w:pStyle w:val="null3"/>
            </w:pPr>
            <w:r>
              <w:rPr/>
              <w:t>2.11.4 活检定位起始角度：≥90°</w:t>
            </w:r>
          </w:p>
        </w:tc>
      </w:tr>
      <w:tr>
        <w:tc>
          <w:tcPr>
            <w:tcW w:type="dxa" w:w="2076"/>
          </w:tcPr>
          <w:p/>
        </w:tc>
        <w:tc>
          <w:tcPr>
            <w:tcW w:type="dxa" w:w="415"/>
          </w:tcPr>
          <w:p>
            <w:pPr>
              <w:pStyle w:val="null3"/>
            </w:pPr>
            <w:r>
              <w:rPr/>
              <w:t>81</w:t>
            </w:r>
          </w:p>
        </w:tc>
        <w:tc>
          <w:tcPr>
            <w:tcW w:type="dxa" w:w="5814"/>
          </w:tcPr>
          <w:p>
            <w:pPr>
              <w:pStyle w:val="null3"/>
            </w:pPr>
            <w:r>
              <w:rPr>
                <w:sz w:val="21"/>
              </w:rPr>
              <w:t>2.11.5 活检操作面板：具备</w:t>
            </w:r>
            <w:r>
              <w:br/>
            </w:r>
            <w:r>
              <w:rPr>
                <w:sz w:val="21"/>
              </w:rPr>
              <w:t>活检操作面板支持触控：支持</w:t>
            </w:r>
          </w:p>
        </w:tc>
      </w:tr>
      <w:tr>
        <w:tc>
          <w:tcPr>
            <w:tcW w:type="dxa" w:w="2076"/>
          </w:tcPr>
          <w:p/>
        </w:tc>
        <w:tc>
          <w:tcPr>
            <w:tcW w:type="dxa" w:w="415"/>
          </w:tcPr>
          <w:p>
            <w:pPr>
              <w:pStyle w:val="null3"/>
            </w:pPr>
            <w:r>
              <w:rPr/>
              <w:t>82</w:t>
            </w:r>
          </w:p>
        </w:tc>
        <w:tc>
          <w:tcPr>
            <w:tcW w:type="dxa" w:w="5814"/>
          </w:tcPr>
          <w:p>
            <w:pPr>
              <w:pStyle w:val="null3"/>
            </w:pPr>
            <w:r>
              <w:rPr/>
              <w:t>2.11.6主流活检设备垂直和水平进针支撑适配器：提供至少2个品牌垂直和水平适配器</w:t>
            </w:r>
          </w:p>
        </w:tc>
      </w:tr>
      <w:tr>
        <w:tc>
          <w:tcPr>
            <w:tcW w:type="dxa" w:w="2076"/>
          </w:tcPr>
          <w:p>
            <w:pPr>
              <w:pStyle w:val="null3"/>
            </w:pPr>
            <w:r>
              <w:rPr/>
              <w:t>▲</w:t>
            </w:r>
          </w:p>
        </w:tc>
        <w:tc>
          <w:tcPr>
            <w:tcW w:type="dxa" w:w="415"/>
          </w:tcPr>
          <w:p>
            <w:pPr>
              <w:pStyle w:val="null3"/>
            </w:pPr>
            <w:r>
              <w:rPr/>
              <w:t>83</w:t>
            </w:r>
          </w:p>
        </w:tc>
        <w:tc>
          <w:tcPr>
            <w:tcW w:type="dxa" w:w="5814"/>
          </w:tcPr>
          <w:p>
            <w:pPr>
              <w:pStyle w:val="null3"/>
            </w:pPr>
            <w:r>
              <w:rPr/>
              <w:t>▲2.11.7主流活检设备垂直和水平进针适配器，提供至少2个品牌垂直和水平适配器</w:t>
            </w:r>
          </w:p>
        </w:tc>
      </w:tr>
      <w:tr>
        <w:tc>
          <w:tcPr>
            <w:tcW w:type="dxa" w:w="2076"/>
          </w:tcPr>
          <w:p/>
        </w:tc>
        <w:tc>
          <w:tcPr>
            <w:tcW w:type="dxa" w:w="415"/>
          </w:tcPr>
          <w:p>
            <w:pPr>
              <w:pStyle w:val="null3"/>
            </w:pPr>
            <w:r>
              <w:rPr/>
              <w:t>84</w:t>
            </w:r>
          </w:p>
        </w:tc>
        <w:tc>
          <w:tcPr>
            <w:tcW w:type="dxa" w:w="5814"/>
          </w:tcPr>
          <w:p>
            <w:pPr>
              <w:pStyle w:val="null3"/>
            </w:pPr>
            <w:r>
              <w:rPr/>
              <w:t>2.11.8 提供钩丝定位可消毒金属导引帽；提供核芯针活检可消毒金属导引帽</w:t>
            </w:r>
          </w:p>
        </w:tc>
      </w:tr>
      <w:tr>
        <w:tc>
          <w:tcPr>
            <w:tcW w:type="dxa" w:w="2076"/>
          </w:tcPr>
          <w:p/>
        </w:tc>
        <w:tc>
          <w:tcPr>
            <w:tcW w:type="dxa" w:w="415"/>
          </w:tcPr>
          <w:p>
            <w:pPr>
              <w:pStyle w:val="null3"/>
            </w:pPr>
            <w:r>
              <w:rPr/>
              <w:t>85</w:t>
            </w:r>
          </w:p>
        </w:tc>
        <w:tc>
          <w:tcPr>
            <w:tcW w:type="dxa" w:w="5814"/>
          </w:tcPr>
          <w:p>
            <w:pPr>
              <w:pStyle w:val="null3"/>
            </w:pPr>
            <w:r>
              <w:rPr/>
              <w:t>2.11.9.断层引导下的活检定位功能：具备，且体现在NMPA注册证适用范围一栏中</w:t>
            </w:r>
          </w:p>
        </w:tc>
      </w:tr>
      <w:tr>
        <w:tc>
          <w:tcPr>
            <w:tcW w:type="dxa" w:w="2076"/>
          </w:tcPr>
          <w:p>
            <w:pPr>
              <w:pStyle w:val="null3"/>
            </w:pPr>
            <w:r>
              <w:rPr/>
              <w:t>▲</w:t>
            </w:r>
          </w:p>
        </w:tc>
        <w:tc>
          <w:tcPr>
            <w:tcW w:type="dxa" w:w="415"/>
          </w:tcPr>
          <w:p>
            <w:pPr>
              <w:pStyle w:val="null3"/>
            </w:pPr>
            <w:r>
              <w:rPr/>
              <w:t>86</w:t>
            </w:r>
          </w:p>
        </w:tc>
        <w:tc>
          <w:tcPr>
            <w:tcW w:type="dxa" w:w="5814"/>
          </w:tcPr>
          <w:p>
            <w:pPr>
              <w:pStyle w:val="null3"/>
            </w:pPr>
            <w:r>
              <w:rPr/>
              <w:t>▲2.11.10 支持压迫板不解压条件下的标本摄影</w:t>
            </w:r>
          </w:p>
        </w:tc>
      </w:tr>
      <w:tr>
        <w:tc>
          <w:tcPr>
            <w:tcW w:type="dxa" w:w="2076"/>
          </w:tcPr>
          <w:p/>
        </w:tc>
        <w:tc>
          <w:tcPr>
            <w:tcW w:type="dxa" w:w="415"/>
          </w:tcPr>
          <w:p>
            <w:pPr>
              <w:pStyle w:val="null3"/>
            </w:pPr>
            <w:r>
              <w:rPr/>
              <w:t>87</w:t>
            </w:r>
          </w:p>
        </w:tc>
        <w:tc>
          <w:tcPr>
            <w:tcW w:type="dxa" w:w="5814"/>
          </w:tcPr>
          <w:p>
            <w:pPr>
              <w:pStyle w:val="null3"/>
            </w:pPr>
            <w:r>
              <w:rPr/>
              <w:t>2.11.11乳腺医生工作站（含5M彩色显示屏)</w:t>
            </w:r>
          </w:p>
        </w:tc>
      </w:tr>
      <w:tr>
        <w:tc>
          <w:tcPr>
            <w:tcW w:type="dxa" w:w="2076"/>
          </w:tcPr>
          <w:p/>
        </w:tc>
        <w:tc>
          <w:tcPr>
            <w:tcW w:type="dxa" w:w="415"/>
          </w:tcPr>
          <w:p>
            <w:pPr>
              <w:pStyle w:val="null3"/>
            </w:pPr>
            <w:r>
              <w:rPr/>
              <w:t>88</w:t>
            </w:r>
          </w:p>
        </w:tc>
        <w:tc>
          <w:tcPr>
            <w:tcW w:type="dxa" w:w="5814"/>
          </w:tcPr>
          <w:p>
            <w:pPr>
              <w:pStyle w:val="null3"/>
            </w:pPr>
            <w:r>
              <w:rPr/>
              <w:t>1）屏幕规格：尺寸≥21.3英寸，完全符合DICOM3.14标准。分辨率≥2560×2048，最大亮度≥1150 cd/㎡。</w:t>
            </w:r>
          </w:p>
        </w:tc>
      </w:tr>
      <w:tr>
        <w:tc>
          <w:tcPr>
            <w:tcW w:type="dxa" w:w="2076"/>
          </w:tcPr>
          <w:p/>
        </w:tc>
        <w:tc>
          <w:tcPr>
            <w:tcW w:type="dxa" w:w="415"/>
          </w:tcPr>
          <w:p>
            <w:pPr>
              <w:pStyle w:val="null3"/>
            </w:pPr>
            <w:r>
              <w:rPr/>
              <w:t>89</w:t>
            </w:r>
          </w:p>
        </w:tc>
        <w:tc>
          <w:tcPr>
            <w:tcW w:type="dxa" w:w="5814"/>
          </w:tcPr>
          <w:p>
            <w:pPr>
              <w:pStyle w:val="null3"/>
            </w:pPr>
            <w:r>
              <w:rPr/>
              <w:t>2）低蓝光：采用低蓝光技术，投标文件中提供认证证书，证书需包含所投产品型号。（请在投标文件中标识该条款证明文件所在页码</w:t>
            </w:r>
            <w:r>
              <w:rPr/>
              <w:t xml:space="preserve">: </w:t>
            </w:r>
            <w:r>
              <w:rPr/>
              <w:t>页）</w:t>
            </w:r>
          </w:p>
        </w:tc>
      </w:tr>
      <w:tr>
        <w:tc>
          <w:tcPr>
            <w:tcW w:type="dxa" w:w="2076"/>
          </w:tcPr>
          <w:p/>
        </w:tc>
        <w:tc>
          <w:tcPr>
            <w:tcW w:type="dxa" w:w="415"/>
          </w:tcPr>
          <w:p>
            <w:pPr>
              <w:pStyle w:val="null3"/>
            </w:pPr>
            <w:r>
              <w:rPr/>
              <w:t>90</w:t>
            </w:r>
          </w:p>
        </w:tc>
        <w:tc>
          <w:tcPr>
            <w:tcW w:type="dxa" w:w="5814"/>
          </w:tcPr>
          <w:p>
            <w:pPr>
              <w:pStyle w:val="null3"/>
            </w:pPr>
            <w:r>
              <w:rPr/>
              <w:t>3）医疗设备曲线：具备2路上行USB，4路下行USB接口，提供整机照片及USB接口的实物照片证明材料，支持KVM功能，投标文件中提供产品彩页及产品说明书等文件证明（并需对对应的参数进行标注）。（请在投标文件中标识该条款证明文件所在页码</w:t>
            </w:r>
            <w:r>
              <w:rPr/>
              <w:t xml:space="preserve">: </w:t>
            </w:r>
            <w:r>
              <w:rPr/>
              <w:t>页）</w:t>
            </w:r>
          </w:p>
        </w:tc>
      </w:tr>
      <w:tr>
        <w:tc>
          <w:tcPr>
            <w:tcW w:type="dxa" w:w="2076"/>
          </w:tcPr>
          <w:p/>
        </w:tc>
        <w:tc>
          <w:tcPr>
            <w:tcW w:type="dxa" w:w="415"/>
          </w:tcPr>
          <w:p>
            <w:pPr>
              <w:pStyle w:val="null3"/>
            </w:pPr>
            <w:r>
              <w:rPr/>
              <w:t>91</w:t>
            </w:r>
          </w:p>
        </w:tc>
        <w:tc>
          <w:tcPr>
            <w:tcW w:type="dxa" w:w="5814"/>
          </w:tcPr>
          <w:p>
            <w:pPr>
              <w:pStyle w:val="null3"/>
            </w:pPr>
            <w:r>
              <w:rPr/>
              <w:t>4）KVM功能：具备2路上行USB，4路下行USB接口，投标文件中提供整机照片及USB接口的实物照片证明材料，支持KVM功能，可同时连接两个工作站一键自动切换工作站内容，其它配套设备如鼠标键盘共用，投标文件中提供产品彩页及产品说明书等文件证明（并需对对应的参数进行标注）。（请在投标文件中标识该条款证明文件所在页码</w:t>
            </w:r>
            <w:r>
              <w:rPr/>
              <w:t xml:space="preserve">: </w:t>
            </w:r>
            <w:r>
              <w:rPr/>
              <w:t>页）</w:t>
            </w:r>
          </w:p>
        </w:tc>
      </w:tr>
      <w:tr>
        <w:tc>
          <w:tcPr>
            <w:tcW w:type="dxa" w:w="2076"/>
          </w:tcPr>
          <w:p/>
        </w:tc>
        <w:tc>
          <w:tcPr>
            <w:tcW w:type="dxa" w:w="415"/>
          </w:tcPr>
          <w:p>
            <w:pPr>
              <w:pStyle w:val="null3"/>
            </w:pPr>
            <w:r>
              <w:rPr/>
              <w:t>92</w:t>
            </w:r>
          </w:p>
        </w:tc>
        <w:tc>
          <w:tcPr>
            <w:tcW w:type="dxa" w:w="5814"/>
          </w:tcPr>
          <w:p>
            <w:pPr>
              <w:pStyle w:val="null3"/>
            </w:pPr>
            <w:r>
              <w:rPr/>
              <w:t>5）一键截屏功能：具有截屏控制功能，支持一键快捷启动，方便将典型影像案例及显示内容一截截屏保存，进行学术研究，教学等科研样本，投标文件中提供佐证资料。（请在投标文件中标识该条款证明文件所在页码</w:t>
            </w:r>
            <w:r>
              <w:rPr/>
              <w:t xml:space="preserve">: </w:t>
            </w:r>
            <w:r>
              <w:rPr/>
              <w:t>页）</w:t>
            </w:r>
          </w:p>
        </w:tc>
      </w:tr>
      <w:tr>
        <w:tc>
          <w:tcPr>
            <w:tcW w:type="dxa" w:w="2076"/>
          </w:tcPr>
          <w:p/>
        </w:tc>
        <w:tc>
          <w:tcPr>
            <w:tcW w:type="dxa" w:w="415"/>
          </w:tcPr>
          <w:p>
            <w:pPr>
              <w:pStyle w:val="null3"/>
            </w:pPr>
            <w:r>
              <w:rPr/>
              <w:t>93</w:t>
            </w:r>
          </w:p>
        </w:tc>
        <w:tc>
          <w:tcPr>
            <w:tcW w:type="dxa" w:w="5814"/>
          </w:tcPr>
          <w:p>
            <w:pPr>
              <w:pStyle w:val="null3"/>
            </w:pPr>
            <w:r>
              <w:rPr/>
              <w:t>6）质量管理软件支持对持久性检查，灰阶检查，校准等进行任务分派，可设置任务提醒或者自动运行；支持≥5种传感器选择，支持对内置传感器校准功能，保证前置传感器精准。投标文件中提供软件界面截图证明。（请在投标文件中标识该条款证明文件所在页码</w:t>
            </w:r>
            <w:r>
              <w:rPr/>
              <w:t xml:space="preserve">: </w:t>
            </w:r>
            <w:r>
              <w:rPr/>
              <w:t>页）</w:t>
            </w:r>
          </w:p>
        </w:tc>
      </w:tr>
      <w:tr>
        <w:tc>
          <w:tcPr>
            <w:tcW w:type="dxa" w:w="2076"/>
          </w:tcPr>
          <w:p/>
        </w:tc>
        <w:tc>
          <w:tcPr>
            <w:tcW w:type="dxa" w:w="415"/>
          </w:tcPr>
          <w:p>
            <w:pPr>
              <w:pStyle w:val="null3"/>
            </w:pPr>
            <w:r>
              <w:rPr/>
              <w:t>94</w:t>
            </w:r>
          </w:p>
        </w:tc>
        <w:tc>
          <w:tcPr>
            <w:tcW w:type="dxa" w:w="5814"/>
          </w:tcPr>
          <w:p>
            <w:pPr>
              <w:pStyle w:val="null3"/>
            </w:pPr>
            <w:r>
              <w:rPr/>
              <w:t>7）CCC认证：产品获得 CCC 强制认证，证书须含所投产品型号，且生产企业须与投标品牌为同一公司或其分/子公司，OEM产品无效。</w:t>
            </w:r>
          </w:p>
        </w:tc>
      </w:tr>
      <w:tr>
        <w:tc>
          <w:tcPr>
            <w:tcW w:type="dxa" w:w="2076"/>
          </w:tcPr>
          <w:p/>
        </w:tc>
        <w:tc>
          <w:tcPr>
            <w:tcW w:type="dxa" w:w="415"/>
          </w:tcPr>
          <w:p>
            <w:pPr>
              <w:pStyle w:val="null3"/>
            </w:pPr>
            <w:r>
              <w:rPr/>
              <w:t>95</w:t>
            </w:r>
          </w:p>
        </w:tc>
        <w:tc>
          <w:tcPr>
            <w:tcW w:type="dxa" w:w="5814"/>
          </w:tcPr>
          <w:p>
            <w:pPr>
              <w:pStyle w:val="null3"/>
            </w:pPr>
            <w:r>
              <w:rPr/>
              <w:t>8）工作站：CPU：Core i9 12代或以上，内存≥16GB DDR5；硬盘≥1T SSD M.2 2242 NVMe TLC +2TB SATA 3.5英寸；USB键盘鼠标；23.8寸 高清显示器。</w:t>
            </w:r>
          </w:p>
        </w:tc>
      </w:tr>
      <w:tr>
        <w:tc>
          <w:tcPr>
            <w:tcW w:type="dxa" w:w="2076"/>
          </w:tcPr>
          <w:p/>
        </w:tc>
        <w:tc>
          <w:tcPr>
            <w:tcW w:type="dxa" w:w="415"/>
          </w:tcPr>
          <w:p>
            <w:pPr>
              <w:pStyle w:val="null3"/>
            </w:pPr>
            <w:r>
              <w:rPr/>
              <w:t>96</w:t>
            </w:r>
          </w:p>
        </w:tc>
        <w:tc>
          <w:tcPr>
            <w:tcW w:type="dxa" w:w="5814"/>
          </w:tcPr>
          <w:p>
            <w:pPr>
              <w:pStyle w:val="null3"/>
            </w:pPr>
            <w:r>
              <w:rPr/>
              <w:t>3.设备使用期限满足以下要求：设备使用期限≥10年。（在投标文件中提供产品说明书和设备标签，须同时体现设备使用期限）（请在投标文件中标识该条款证明文件所在页码</w:t>
            </w:r>
            <w:r>
              <w:rPr/>
              <w:t xml:space="preserve">: </w:t>
            </w:r>
            <w:r>
              <w:rPr/>
              <w:t>页）</w:t>
            </w:r>
          </w:p>
        </w:tc>
      </w:tr>
      <w:tr>
        <w:tc>
          <w:tcPr>
            <w:tcW w:type="dxa" w:w="2076"/>
          </w:tcPr>
          <w:p>
            <w:pPr>
              <w:pStyle w:val="null3"/>
            </w:pPr>
            <w:r>
              <w:rPr/>
              <w:t>★</w:t>
            </w:r>
          </w:p>
        </w:tc>
        <w:tc>
          <w:tcPr>
            <w:tcW w:type="dxa" w:w="415"/>
          </w:tcPr>
          <w:p>
            <w:pPr>
              <w:pStyle w:val="null3"/>
            </w:pPr>
            <w:r>
              <w:rPr/>
              <w:t>97</w:t>
            </w:r>
          </w:p>
        </w:tc>
        <w:tc>
          <w:tcPr>
            <w:tcW w:type="dxa" w:w="5814"/>
          </w:tcPr>
          <w:p>
            <w:pPr>
              <w:pStyle w:val="null3"/>
            </w:pPr>
            <w:r>
              <w:rPr/>
              <w:t>★4.提供机房建设服务：包含机房建设等费用，交钥匙工程。</w:t>
            </w:r>
          </w:p>
        </w:tc>
      </w:tr>
      <w:tr>
        <w:tc>
          <w:tcPr>
            <w:tcW w:type="dxa" w:w="2076"/>
          </w:tcPr>
          <w:p>
            <w:pPr>
              <w:pStyle w:val="null3"/>
            </w:pPr>
            <w:r>
              <w:rPr/>
              <w:t>★</w:t>
            </w:r>
          </w:p>
        </w:tc>
        <w:tc>
          <w:tcPr>
            <w:tcW w:type="dxa" w:w="415"/>
          </w:tcPr>
          <w:p>
            <w:pPr>
              <w:pStyle w:val="null3"/>
            </w:pPr>
            <w:r>
              <w:rPr/>
              <w:t>98</w:t>
            </w:r>
          </w:p>
        </w:tc>
        <w:tc>
          <w:tcPr>
            <w:tcW w:type="dxa" w:w="5814"/>
          </w:tcPr>
          <w:p>
            <w:pPr>
              <w:pStyle w:val="null3"/>
            </w:pPr>
            <w:r>
              <w:rPr>
                <w:sz w:val="22"/>
              </w:rPr>
              <w:t>★</w:t>
            </w:r>
            <w:r>
              <w:rPr>
                <w:sz w:val="21"/>
                <w:b/>
              </w:rPr>
              <w:t>二、配置清单（整体配置）</w:t>
            </w:r>
          </w:p>
          <w:p>
            <w:pPr>
              <w:pStyle w:val="null3"/>
              <w:jc w:val="both"/>
            </w:pPr>
            <w:r>
              <w:rPr>
                <w:sz w:val="21"/>
              </w:rPr>
              <w:t>满足各项检查所需放射防护用具（需满足</w:t>
            </w:r>
            <w:r>
              <w:rPr>
                <w:sz w:val="21"/>
              </w:rPr>
              <w:t>GBZ130-2020放射诊断放射防护要求）</w:t>
            </w:r>
          </w:p>
          <w:p>
            <w:pPr>
              <w:pStyle w:val="null3"/>
              <w:jc w:val="both"/>
            </w:pPr>
            <w:r>
              <w:rPr>
                <w:sz w:val="21"/>
              </w:rPr>
              <w:t>1、主机：1台</w:t>
            </w:r>
          </w:p>
          <w:p>
            <w:pPr>
              <w:pStyle w:val="null3"/>
              <w:jc w:val="both"/>
            </w:pPr>
            <w:r>
              <w:rPr>
                <w:sz w:val="21"/>
              </w:rPr>
              <w:t>2、具备不同类型的质控模体；≥2套</w:t>
            </w:r>
          </w:p>
          <w:p>
            <w:pPr>
              <w:pStyle w:val="null3"/>
              <w:jc w:val="both"/>
            </w:pPr>
            <w:r>
              <w:rPr>
                <w:sz w:val="21"/>
              </w:rPr>
              <w:t>3、乳腺医生工作站（含5M彩色显示屏)；1套</w:t>
            </w:r>
          </w:p>
          <w:p>
            <w:pPr>
              <w:pStyle w:val="null3"/>
              <w:jc w:val="both"/>
            </w:pPr>
            <w:r>
              <w:rPr>
                <w:sz w:val="21"/>
              </w:rPr>
              <w:t>4、配备乳腺穿刺专用穿刺椅；2个</w:t>
            </w:r>
          </w:p>
          <w:p>
            <w:pPr>
              <w:pStyle w:val="null3"/>
              <w:jc w:val="both"/>
            </w:pPr>
            <w:r>
              <w:rPr>
                <w:sz w:val="21"/>
              </w:rPr>
              <w:t>5、配备乳腺穿刺专用穿刺床；1个</w:t>
            </w:r>
          </w:p>
          <w:p>
            <w:pPr>
              <w:pStyle w:val="null3"/>
              <w:jc w:val="both"/>
            </w:pPr>
            <w:r>
              <w:rPr>
                <w:sz w:val="21"/>
              </w:rPr>
              <w:t>6、高压注射器（通用耗材）；1台</w:t>
            </w:r>
          </w:p>
          <w:p>
            <w:pPr>
              <w:pStyle w:val="null3"/>
              <w:jc w:val="both"/>
            </w:pPr>
            <w:r>
              <w:rPr>
                <w:sz w:val="21"/>
              </w:rPr>
              <w:t>7、铅衣；3套</w:t>
            </w:r>
          </w:p>
          <w:p>
            <w:pPr>
              <w:pStyle w:val="null3"/>
              <w:jc w:val="both"/>
            </w:pPr>
            <w:r>
              <w:rPr>
                <w:sz w:val="21"/>
              </w:rPr>
              <w:t>8、铅帽；3套</w:t>
            </w:r>
          </w:p>
          <w:p>
            <w:pPr>
              <w:pStyle w:val="null3"/>
              <w:jc w:val="both"/>
            </w:pPr>
            <w:r>
              <w:rPr>
                <w:sz w:val="21"/>
              </w:rPr>
              <w:t>9、铅围脖；3套</w:t>
            </w:r>
          </w:p>
          <w:p>
            <w:pPr>
              <w:pStyle w:val="null3"/>
              <w:jc w:val="both"/>
            </w:pPr>
            <w:r>
              <w:rPr>
                <w:sz w:val="21"/>
              </w:rPr>
              <w:t>10、铅眼镜；3套</w:t>
            </w:r>
          </w:p>
          <w:p>
            <w:pPr>
              <w:pStyle w:val="null3"/>
              <w:jc w:val="both"/>
            </w:pPr>
            <w:r>
              <w:rPr>
                <w:sz w:val="21"/>
              </w:rPr>
              <w:t>11、铅衣架；3个</w:t>
            </w:r>
          </w:p>
          <w:p>
            <w:pPr>
              <w:pStyle w:val="null3"/>
            </w:pPr>
            <w:r>
              <w:rPr>
                <w:sz w:val="21"/>
              </w:rPr>
              <w:t>12、铅屏风；2个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采购包2（全身骨密度仪）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货物交付正常使用6个月后，中标人应向采购人书面申请组织验收。中标人应在货物交付运输前5个日历日内书面通知采购人到货日期。</w:t>
            </w:r>
          </w:p>
        </w:tc>
      </w:tr>
      <w:tr>
        <w:tc>
          <w:tcPr>
            <w:tcW w:type="dxa" w:w="4153"/>
          </w:tcPr>
          <w:p>
            <w:pPr>
              <w:pStyle w:val="null3"/>
            </w:pPr>
            <w:r>
              <w:rPr/>
              <w:t>标的提供的地点</w:t>
            </w:r>
          </w:p>
        </w:tc>
        <w:tc>
          <w:tcPr>
            <w:tcW w:type="dxa" w:w="4153"/>
          </w:tcPr>
          <w:p>
            <w:pPr>
              <w:pStyle w:val="null3"/>
            </w:pPr>
            <w:r>
              <w:rPr/>
              <w:t>珠海市中西医结合医院。</w:t>
            </w:r>
          </w:p>
        </w:tc>
      </w:tr>
      <w:tr>
        <w:tc>
          <w:tcPr>
            <w:tcW w:type="dxa" w:w="4153"/>
          </w:tcPr>
          <w:p>
            <w:pPr>
              <w:pStyle w:val="null3"/>
            </w:pPr>
            <w:r>
              <w:rPr/>
              <w:t>付款方式</w:t>
            </w:r>
          </w:p>
        </w:tc>
        <w:tc>
          <w:tcPr>
            <w:tcW w:type="dxa" w:w="4153"/>
          </w:tcPr>
          <w:p>
            <w:pPr>
              <w:pStyle w:val="null3"/>
            </w:pPr>
            <w:r>
              <w:rPr/>
              <w:t>1期：支付比例50%,合同签订后，中标供应商向采购人提供合法有效的全额发票，采购人收到发票后15日内向中标供应商支付合同总额的50%作为预付款（以财政资金支付要求或上级支付要求为准）</w:t>
            </w:r>
          </w:p>
          <w:p>
            <w:pPr>
              <w:pStyle w:val="null3"/>
            </w:pPr>
            <w:r>
              <w:rPr/>
              <w:t>2期：支付比例30%,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w:t>
            </w:r>
          </w:p>
          <w:p>
            <w:pPr>
              <w:pStyle w:val="null3"/>
            </w:pPr>
            <w:r>
              <w:rPr/>
              <w:t>3期：支付比例20%,1.采购人书面确认验收合格12个月后，设备无重大质量问题，采购人向中标供应商支付合同总额20%的剩余货款。 （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 2.支付条件：（1）验收合格。（2）中标人应当于采购人支付价款前提供相应金额的合法收款发票，否则，采购人有权拒绝支付且不承担任何责任。 3.中标人凭以下有效文件与采购人结算： （1）合同； （2）中标人开具的完税发票； （3）验收调试报告（加盖采购人公章）； （4）成交通知书（复印件加盖中标人公章）。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1期：1.验收标准：按本合同的有关规定和采购文件要求进行验收，验收标准不得低于中华人民共和国国家标准、环保标准、行业标准、地方标准、货物生产商的产品质量标准、有关部门制定的相关技术。 2.验收方式：货物安装调试完毕后应将货物交付给采购人正常使用，货物经采购人正常使用6个月后，中标人应向采购人申请组织验收，采购人在一个月内组织各部门进行验收。正常使用期间若未能正常使用，中标人应无条件进行更换、维修，正常使用期应重新计算。验收内容包括但不限于货物功能、性能及各项技术参数指标。（具体验收条款详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采购标的物资质要求</w:t>
            </w:r>
          </w:p>
        </w:tc>
        <w:tc>
          <w:tcPr>
            <w:tcW w:type="dxa" w:w="2076"/>
          </w:tcPr>
          <w:p>
            <w:pPr>
              <w:pStyle w:val="null3"/>
              <w:jc w:val="left"/>
            </w:pPr>
            <w:r>
              <w:rPr/>
              <w:t>投标（响应）供应商提供的标的物属于第二类、第三类医疗器械的，必须在投标（响应）文件中提供《医疗器械注册证》；若提供的标的物不属于上述情况的，则提供声明函（格式自拟）加盖公章，否则视为投标（响应）无效。（请在投标文件中标识该条款证明文件所在页码: 页）</w:t>
            </w:r>
          </w:p>
        </w:tc>
      </w:tr>
      <w:tr>
        <w:tc>
          <w:tcPr>
            <w:tcW w:type="dxa" w:w="2076"/>
          </w:tcPr>
          <w:p/>
        </w:tc>
        <w:tc>
          <w:tcPr>
            <w:tcW w:type="dxa" w:w="2076"/>
          </w:tcPr>
          <w:p>
            <w:pPr>
              <w:pStyle w:val="null3"/>
              <w:jc w:val="center"/>
            </w:pPr>
            <w:r>
              <w:rPr/>
              <w:t>2</w:t>
            </w:r>
          </w:p>
        </w:tc>
        <w:tc>
          <w:tcPr>
            <w:tcW w:type="dxa" w:w="2076"/>
          </w:tcPr>
          <w:p>
            <w:pPr>
              <w:pStyle w:val="null3"/>
              <w:jc w:val="left"/>
            </w:pPr>
            <w:r>
              <w:rPr/>
              <w:t>包装与运输、保险要求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整机原厂质量保证期≥3年，自货物经采购人验收合格并签字确认之日起计。若国家对本项目所涉及的质量保证期的规定高于本项目的要求，应按国家的规定执行。货物在质量保证期内中标供应商提供相应的培训服务、包换、包退、包修服务、升级及检修服务并提供终身服务。 （2）中标供应商在合同签订前应针对本项目的中标设备与厂家签订质保协议，质量保证期不少于投标文件的承诺，质保协议作为合同附件。中标供应商中标后不按要求与厂家签订质保协议的，视为自动放弃中标权利。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（5）售后服务保障方案：投标人应有售后服务保障方案，包括但不限于质保期内及质保期满后的售后服务方案、零配件供应方案、紧急响应方案等内容。 （6）软件质量保证期内提供升级，保证数据的安全性；费用包含在本项目报价内。 （7）提供技术培训，包含但不限于现场技术培训、操作应用培训等；保证使用人员正常操作设备的各种功能，培训时间不限于新装机环节，同时质保期内安排使用科室工作人员4人次，培训地点需是厂家培训基地或有同型号设备的医院或者省级及以上专题学术会议；培训时间视采购人安排确定；相关费用包含在本项目报价内。 （8）日常使用期间，即使无故障，中标供应商也能定期做机器的常规检查和整机保养，检测运行状态，及时发现隐患，使设备处于最佳使用状态。 （9）根据国家计量器具检定管理办法，如属计量检定设备中标人需提供计量检定机构出具的有效校准证书。 （10）中标人承担连接医院现有信息端口费用。 （11）货物及其配件为原厂商未启封全新包装，具出厂合格证，序列号、包箱号与出批号一致，并可追溯查阅。中标人应向采购人提供本合同所涉货物合法来源的证明。 （12）国产产品出厂日期距合同签订日期须在六个月内，进口产品出厂日期距合同签订日期须在十二个月内，否则采购人有权拒收并令中标人按要求进行更换，中标人承担进行更换的所有费用，未按时更换产生的一切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供货安装、调试、试运行要求</w:t>
            </w:r>
          </w:p>
        </w:tc>
        <w:tc>
          <w:tcPr>
            <w:tcW w:type="dxa" w:w="2076"/>
          </w:tcPr>
          <w:p>
            <w:pPr>
              <w:pStyle w:val="null3"/>
              <w:jc w:val="left"/>
            </w:pPr>
            <w:r>
              <w:rPr/>
              <w:t>（1）设备的供货培训安排：投标人应有供货培训方案，包括但不限于货物的调配、人员组织安排、人员培训安排等内容。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报价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采购人不再另付其他任何费用。 （2）中标供应商负责招标文件对中标供应商要求的一切事宜及责任。包括货物供货、运输（含现场二次运输）、保管、安装调试、验收、售后服务等。</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全身骨密度仪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1,950,000.00</w:t>
            </w:r>
          </w:p>
        </w:tc>
        <w:tc>
          <w:tcPr>
            <w:tcW w:type="dxa" w:w="831"/>
          </w:tcPr>
          <w:p>
            <w:pPr>
              <w:pStyle w:val="null3"/>
              <w:jc w:val="right"/>
            </w:pPr>
            <w:r>
              <w:rPr/>
              <w:t>1,950,000.00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全身骨密度仪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一、技术参数要求</w:t>
            </w:r>
          </w:p>
        </w:tc>
      </w:tr>
      <w:tr>
        <w:tc>
          <w:tcPr>
            <w:tcW w:type="dxa" w:w="2076"/>
          </w:tcPr>
          <w:p/>
        </w:tc>
        <w:tc>
          <w:tcPr>
            <w:tcW w:type="dxa" w:w="415"/>
          </w:tcPr>
          <w:p>
            <w:pPr>
              <w:pStyle w:val="null3"/>
            </w:pPr>
            <w:r>
              <w:rPr/>
              <w:t>2</w:t>
            </w:r>
          </w:p>
        </w:tc>
        <w:tc>
          <w:tcPr>
            <w:tcW w:type="dxa" w:w="5814"/>
          </w:tcPr>
          <w:p>
            <w:pPr>
              <w:pStyle w:val="null3"/>
            </w:pPr>
            <w:r>
              <w:rPr/>
              <w:t>1.扫描床</w:t>
            </w:r>
          </w:p>
        </w:tc>
      </w:tr>
      <w:tr>
        <w:tc>
          <w:tcPr>
            <w:tcW w:type="dxa" w:w="2076"/>
          </w:tcPr>
          <w:p/>
        </w:tc>
        <w:tc>
          <w:tcPr>
            <w:tcW w:type="dxa" w:w="415"/>
          </w:tcPr>
          <w:p>
            <w:pPr>
              <w:pStyle w:val="null3"/>
            </w:pPr>
            <w:r>
              <w:rPr/>
              <w:t>3</w:t>
            </w:r>
          </w:p>
        </w:tc>
        <w:tc>
          <w:tcPr>
            <w:tcW w:type="dxa" w:w="5814"/>
          </w:tcPr>
          <w:p>
            <w:pPr>
              <w:pStyle w:val="null3"/>
            </w:pPr>
            <w:r>
              <w:rPr/>
              <w:t>1.1固定式床面扫描床，适用于全身扫描</w:t>
            </w:r>
          </w:p>
        </w:tc>
      </w:tr>
      <w:tr>
        <w:tc>
          <w:tcPr>
            <w:tcW w:type="dxa" w:w="2076"/>
          </w:tcPr>
          <w:p/>
        </w:tc>
        <w:tc>
          <w:tcPr>
            <w:tcW w:type="dxa" w:w="415"/>
          </w:tcPr>
          <w:p>
            <w:pPr>
              <w:pStyle w:val="null3"/>
            </w:pPr>
            <w:r>
              <w:rPr/>
              <w:t>4</w:t>
            </w:r>
          </w:p>
        </w:tc>
        <w:tc>
          <w:tcPr>
            <w:tcW w:type="dxa" w:w="5814"/>
          </w:tcPr>
          <w:p>
            <w:pPr>
              <w:pStyle w:val="null3"/>
            </w:pPr>
            <w:r>
              <w:rPr/>
              <w:t>1.2长度≥280cm</w:t>
            </w:r>
          </w:p>
        </w:tc>
      </w:tr>
      <w:tr>
        <w:tc>
          <w:tcPr>
            <w:tcW w:type="dxa" w:w="2076"/>
          </w:tcPr>
          <w:p/>
        </w:tc>
        <w:tc>
          <w:tcPr>
            <w:tcW w:type="dxa" w:w="415"/>
          </w:tcPr>
          <w:p>
            <w:pPr>
              <w:pStyle w:val="null3"/>
            </w:pPr>
            <w:r>
              <w:rPr/>
              <w:t>5</w:t>
            </w:r>
          </w:p>
        </w:tc>
        <w:tc>
          <w:tcPr>
            <w:tcW w:type="dxa" w:w="5814"/>
          </w:tcPr>
          <w:p>
            <w:pPr>
              <w:pStyle w:val="null3"/>
            </w:pPr>
            <w:r>
              <w:rPr/>
              <w:t>1.3宽度≥130cm</w:t>
            </w:r>
          </w:p>
        </w:tc>
      </w:tr>
      <w:tr>
        <w:tc>
          <w:tcPr>
            <w:tcW w:type="dxa" w:w="2076"/>
          </w:tcPr>
          <w:p/>
        </w:tc>
        <w:tc>
          <w:tcPr>
            <w:tcW w:type="dxa" w:w="415"/>
          </w:tcPr>
          <w:p>
            <w:pPr>
              <w:pStyle w:val="null3"/>
            </w:pPr>
            <w:r>
              <w:rPr/>
              <w:t>6</w:t>
            </w:r>
          </w:p>
        </w:tc>
        <w:tc>
          <w:tcPr>
            <w:tcW w:type="dxa" w:w="5814"/>
          </w:tcPr>
          <w:p>
            <w:pPr>
              <w:pStyle w:val="null3"/>
            </w:pPr>
            <w:r>
              <w:rPr/>
              <w:t>1.4床面距地面高度≤65cm</w:t>
            </w:r>
          </w:p>
        </w:tc>
      </w:tr>
      <w:tr>
        <w:tc>
          <w:tcPr>
            <w:tcW w:type="dxa" w:w="2076"/>
          </w:tcPr>
          <w:p/>
        </w:tc>
        <w:tc>
          <w:tcPr>
            <w:tcW w:type="dxa" w:w="415"/>
          </w:tcPr>
          <w:p>
            <w:pPr>
              <w:pStyle w:val="null3"/>
            </w:pPr>
            <w:r>
              <w:rPr/>
              <w:t>7</w:t>
            </w:r>
          </w:p>
        </w:tc>
        <w:tc>
          <w:tcPr>
            <w:tcW w:type="dxa" w:w="5814"/>
          </w:tcPr>
          <w:p>
            <w:pPr>
              <w:pStyle w:val="null3"/>
            </w:pPr>
            <w:r>
              <w:rPr/>
              <w:t>1.5床面最大承重≥202kg</w:t>
            </w:r>
          </w:p>
        </w:tc>
      </w:tr>
      <w:tr>
        <w:tc>
          <w:tcPr>
            <w:tcW w:type="dxa" w:w="2076"/>
          </w:tcPr>
          <w:p/>
        </w:tc>
        <w:tc>
          <w:tcPr>
            <w:tcW w:type="dxa" w:w="415"/>
          </w:tcPr>
          <w:p>
            <w:pPr>
              <w:pStyle w:val="null3"/>
            </w:pPr>
            <w:r>
              <w:rPr/>
              <w:t>8</w:t>
            </w:r>
          </w:p>
        </w:tc>
        <w:tc>
          <w:tcPr>
            <w:tcW w:type="dxa" w:w="5814"/>
          </w:tcPr>
          <w:p>
            <w:pPr>
              <w:pStyle w:val="null3"/>
            </w:pPr>
            <w:r>
              <w:rPr/>
              <w:t>1.6扫描视野≥195cm×65cm</w:t>
            </w:r>
          </w:p>
        </w:tc>
      </w:tr>
      <w:tr>
        <w:tc>
          <w:tcPr>
            <w:tcW w:type="dxa" w:w="2076"/>
          </w:tcPr>
          <w:p/>
        </w:tc>
        <w:tc>
          <w:tcPr>
            <w:tcW w:type="dxa" w:w="415"/>
          </w:tcPr>
          <w:p>
            <w:pPr>
              <w:pStyle w:val="null3"/>
            </w:pPr>
            <w:r>
              <w:rPr/>
              <w:t>9</w:t>
            </w:r>
          </w:p>
        </w:tc>
        <w:tc>
          <w:tcPr>
            <w:tcW w:type="dxa" w:w="5814"/>
          </w:tcPr>
          <w:p>
            <w:pPr>
              <w:pStyle w:val="null3"/>
            </w:pPr>
            <w:r>
              <w:rPr/>
              <w:t>1.7具备精确激光定位灯</w:t>
            </w:r>
          </w:p>
        </w:tc>
      </w:tr>
      <w:tr>
        <w:tc>
          <w:tcPr>
            <w:tcW w:type="dxa" w:w="2076"/>
          </w:tcPr>
          <w:p/>
        </w:tc>
        <w:tc>
          <w:tcPr>
            <w:tcW w:type="dxa" w:w="415"/>
          </w:tcPr>
          <w:p>
            <w:pPr>
              <w:pStyle w:val="null3"/>
            </w:pPr>
            <w:r>
              <w:rPr/>
              <w:t>10</w:t>
            </w:r>
          </w:p>
        </w:tc>
        <w:tc>
          <w:tcPr>
            <w:tcW w:type="dxa" w:w="5814"/>
          </w:tcPr>
          <w:p>
            <w:pPr>
              <w:pStyle w:val="null3"/>
            </w:pPr>
            <w:r>
              <w:rPr/>
              <w:t>2.X射线源</w:t>
            </w:r>
          </w:p>
        </w:tc>
      </w:tr>
      <w:tr>
        <w:tc>
          <w:tcPr>
            <w:tcW w:type="dxa" w:w="2076"/>
          </w:tcPr>
          <w:p/>
        </w:tc>
        <w:tc>
          <w:tcPr>
            <w:tcW w:type="dxa" w:w="415"/>
          </w:tcPr>
          <w:p>
            <w:pPr>
              <w:pStyle w:val="null3"/>
            </w:pPr>
            <w:r>
              <w:rPr/>
              <w:t>11</w:t>
            </w:r>
          </w:p>
        </w:tc>
        <w:tc>
          <w:tcPr>
            <w:tcW w:type="dxa" w:w="5814"/>
          </w:tcPr>
          <w:p>
            <w:pPr>
              <w:pStyle w:val="null3"/>
            </w:pPr>
            <w:r>
              <w:rPr/>
              <w:t>2.1双能量发生方式：稳恒电压，K缘过滤法，同时产生高低能双能X射线，且扇形开角≤5°</w:t>
            </w:r>
          </w:p>
        </w:tc>
      </w:tr>
      <w:tr>
        <w:tc>
          <w:tcPr>
            <w:tcW w:type="dxa" w:w="2076"/>
          </w:tcPr>
          <w:p/>
        </w:tc>
        <w:tc>
          <w:tcPr>
            <w:tcW w:type="dxa" w:w="415"/>
          </w:tcPr>
          <w:p>
            <w:pPr>
              <w:pStyle w:val="null3"/>
            </w:pPr>
            <w:r>
              <w:rPr/>
              <w:t>12</w:t>
            </w:r>
          </w:p>
        </w:tc>
        <w:tc>
          <w:tcPr>
            <w:tcW w:type="dxa" w:w="5814"/>
          </w:tcPr>
          <w:p>
            <w:pPr>
              <w:pStyle w:val="null3"/>
            </w:pPr>
            <w:r>
              <w:rPr/>
              <w:t>2.2X射线管电压≥100KV</w:t>
            </w:r>
          </w:p>
        </w:tc>
      </w:tr>
      <w:tr>
        <w:tc>
          <w:tcPr>
            <w:tcW w:type="dxa" w:w="2076"/>
          </w:tcPr>
          <w:p/>
        </w:tc>
        <w:tc>
          <w:tcPr>
            <w:tcW w:type="dxa" w:w="415"/>
          </w:tcPr>
          <w:p>
            <w:pPr>
              <w:pStyle w:val="null3"/>
            </w:pPr>
            <w:r>
              <w:rPr/>
              <w:t>13</w:t>
            </w:r>
          </w:p>
        </w:tc>
        <w:tc>
          <w:tcPr>
            <w:tcW w:type="dxa" w:w="5814"/>
          </w:tcPr>
          <w:p>
            <w:pPr>
              <w:pStyle w:val="null3"/>
            </w:pPr>
            <w:r>
              <w:rPr/>
              <w:t>2.3球管靶角≥10°</w:t>
            </w:r>
          </w:p>
        </w:tc>
      </w:tr>
      <w:tr>
        <w:tc>
          <w:tcPr>
            <w:tcW w:type="dxa" w:w="2076"/>
          </w:tcPr>
          <w:p/>
        </w:tc>
        <w:tc>
          <w:tcPr>
            <w:tcW w:type="dxa" w:w="415"/>
          </w:tcPr>
          <w:p>
            <w:pPr>
              <w:pStyle w:val="null3"/>
            </w:pPr>
            <w:r>
              <w:rPr/>
              <w:t>14</w:t>
            </w:r>
          </w:p>
        </w:tc>
        <w:tc>
          <w:tcPr>
            <w:tcW w:type="dxa" w:w="5814"/>
          </w:tcPr>
          <w:p>
            <w:pPr>
              <w:pStyle w:val="null3"/>
            </w:pPr>
            <w:r>
              <w:rPr/>
              <w:t>2.4球管焦点到扫描床垫距离≥25cm</w:t>
            </w:r>
          </w:p>
        </w:tc>
      </w:tr>
      <w:tr>
        <w:tc>
          <w:tcPr>
            <w:tcW w:type="dxa" w:w="2076"/>
          </w:tcPr>
          <w:p/>
        </w:tc>
        <w:tc>
          <w:tcPr>
            <w:tcW w:type="dxa" w:w="415"/>
          </w:tcPr>
          <w:p>
            <w:pPr>
              <w:pStyle w:val="null3"/>
            </w:pPr>
            <w:r>
              <w:rPr/>
              <w:t>15</w:t>
            </w:r>
          </w:p>
        </w:tc>
        <w:tc>
          <w:tcPr>
            <w:tcW w:type="dxa" w:w="5814"/>
          </w:tcPr>
          <w:p>
            <w:pPr>
              <w:pStyle w:val="null3"/>
            </w:pPr>
            <w:r>
              <w:rPr/>
              <w:t>3.探测器系统</w:t>
            </w:r>
          </w:p>
        </w:tc>
      </w:tr>
      <w:tr>
        <w:tc>
          <w:tcPr>
            <w:tcW w:type="dxa" w:w="2076"/>
          </w:tcPr>
          <w:p/>
        </w:tc>
        <w:tc>
          <w:tcPr>
            <w:tcW w:type="dxa" w:w="415"/>
          </w:tcPr>
          <w:p>
            <w:pPr>
              <w:pStyle w:val="null3"/>
            </w:pPr>
            <w:r>
              <w:rPr/>
              <w:t>16</w:t>
            </w:r>
          </w:p>
        </w:tc>
        <w:tc>
          <w:tcPr>
            <w:tcW w:type="dxa" w:w="5814"/>
          </w:tcPr>
          <w:p>
            <w:pPr>
              <w:pStyle w:val="null3"/>
            </w:pPr>
            <w:r>
              <w:rPr/>
              <w:t>3.1光子计数型探测器,探测器材质CdTe或GOS，非能量积分型探测器</w:t>
            </w:r>
          </w:p>
        </w:tc>
      </w:tr>
      <w:tr>
        <w:tc>
          <w:tcPr>
            <w:tcW w:type="dxa" w:w="2076"/>
          </w:tcPr>
          <w:p/>
        </w:tc>
        <w:tc>
          <w:tcPr>
            <w:tcW w:type="dxa" w:w="415"/>
          </w:tcPr>
          <w:p>
            <w:pPr>
              <w:pStyle w:val="null3"/>
            </w:pPr>
            <w:r>
              <w:rPr/>
              <w:t>17</w:t>
            </w:r>
          </w:p>
        </w:tc>
        <w:tc>
          <w:tcPr>
            <w:tcW w:type="dxa" w:w="5814"/>
          </w:tcPr>
          <w:p>
            <w:pPr>
              <w:pStyle w:val="null3"/>
            </w:pPr>
            <w:r>
              <w:rPr/>
              <w:t>3.2探测器通道数量：≥64个</w:t>
            </w:r>
          </w:p>
        </w:tc>
      </w:tr>
      <w:tr>
        <w:tc>
          <w:tcPr>
            <w:tcW w:type="dxa" w:w="2076"/>
          </w:tcPr>
          <w:p/>
        </w:tc>
        <w:tc>
          <w:tcPr>
            <w:tcW w:type="dxa" w:w="415"/>
          </w:tcPr>
          <w:p>
            <w:pPr>
              <w:pStyle w:val="null3"/>
            </w:pPr>
            <w:r>
              <w:rPr/>
              <w:t>18</w:t>
            </w:r>
          </w:p>
        </w:tc>
        <w:tc>
          <w:tcPr>
            <w:tcW w:type="dxa" w:w="5814"/>
          </w:tcPr>
          <w:p>
            <w:pPr>
              <w:pStyle w:val="null3"/>
            </w:pPr>
            <w:r>
              <w:rPr/>
              <w:t>3.3探测器排列方式：双层错层排列，非单层阵列式排列</w:t>
            </w:r>
          </w:p>
        </w:tc>
      </w:tr>
      <w:tr>
        <w:tc>
          <w:tcPr>
            <w:tcW w:type="dxa" w:w="2076"/>
          </w:tcPr>
          <w:p/>
        </w:tc>
        <w:tc>
          <w:tcPr>
            <w:tcW w:type="dxa" w:w="415"/>
          </w:tcPr>
          <w:p>
            <w:pPr>
              <w:pStyle w:val="null3"/>
            </w:pPr>
            <w:r>
              <w:rPr/>
              <w:t>19</w:t>
            </w:r>
          </w:p>
        </w:tc>
        <w:tc>
          <w:tcPr>
            <w:tcW w:type="dxa" w:w="5814"/>
          </w:tcPr>
          <w:p>
            <w:pPr>
              <w:pStyle w:val="null3"/>
            </w:pPr>
            <w:r>
              <w:rPr/>
              <w:t>4.扫描部位及功能</w:t>
            </w:r>
          </w:p>
        </w:tc>
      </w:tr>
      <w:tr>
        <w:tc>
          <w:tcPr>
            <w:tcW w:type="dxa" w:w="2076"/>
          </w:tcPr>
          <w:p/>
        </w:tc>
        <w:tc>
          <w:tcPr>
            <w:tcW w:type="dxa" w:w="415"/>
          </w:tcPr>
          <w:p>
            <w:pPr>
              <w:pStyle w:val="null3"/>
            </w:pPr>
            <w:r>
              <w:rPr/>
              <w:t>20</w:t>
            </w:r>
          </w:p>
        </w:tc>
        <w:tc>
          <w:tcPr>
            <w:tcW w:type="dxa" w:w="5814"/>
          </w:tcPr>
          <w:p>
            <w:pPr>
              <w:pStyle w:val="null3"/>
            </w:pPr>
            <w:r>
              <w:rPr/>
              <w:t>4.1正位腰椎骨密度测量及评估</w:t>
            </w:r>
          </w:p>
        </w:tc>
      </w:tr>
      <w:tr>
        <w:tc>
          <w:tcPr>
            <w:tcW w:type="dxa" w:w="2076"/>
          </w:tcPr>
          <w:p/>
        </w:tc>
        <w:tc>
          <w:tcPr>
            <w:tcW w:type="dxa" w:w="415"/>
          </w:tcPr>
          <w:p>
            <w:pPr>
              <w:pStyle w:val="null3"/>
            </w:pPr>
            <w:r>
              <w:rPr/>
              <w:t>21</w:t>
            </w:r>
          </w:p>
        </w:tc>
        <w:tc>
          <w:tcPr>
            <w:tcW w:type="dxa" w:w="5814"/>
          </w:tcPr>
          <w:p>
            <w:pPr>
              <w:pStyle w:val="null3"/>
            </w:pPr>
            <w:r>
              <w:rPr/>
              <w:t>4.2单侧股骨骨密度测量及评估</w:t>
            </w:r>
          </w:p>
        </w:tc>
      </w:tr>
      <w:tr>
        <w:tc>
          <w:tcPr>
            <w:tcW w:type="dxa" w:w="2076"/>
          </w:tcPr>
          <w:p/>
        </w:tc>
        <w:tc>
          <w:tcPr>
            <w:tcW w:type="dxa" w:w="415"/>
          </w:tcPr>
          <w:p>
            <w:pPr>
              <w:pStyle w:val="null3"/>
            </w:pPr>
            <w:r>
              <w:rPr/>
              <w:t>22</w:t>
            </w:r>
          </w:p>
        </w:tc>
        <w:tc>
          <w:tcPr>
            <w:tcW w:type="dxa" w:w="5814"/>
          </w:tcPr>
          <w:p>
            <w:pPr>
              <w:pStyle w:val="null3"/>
            </w:pPr>
            <w:r>
              <w:rPr/>
              <w:t>4.3双侧股骨骨密度测量及评估</w:t>
            </w:r>
          </w:p>
        </w:tc>
      </w:tr>
      <w:tr>
        <w:tc>
          <w:tcPr>
            <w:tcW w:type="dxa" w:w="2076"/>
          </w:tcPr>
          <w:p/>
        </w:tc>
        <w:tc>
          <w:tcPr>
            <w:tcW w:type="dxa" w:w="415"/>
          </w:tcPr>
          <w:p>
            <w:pPr>
              <w:pStyle w:val="null3"/>
            </w:pPr>
            <w:r>
              <w:rPr/>
              <w:t>23</w:t>
            </w:r>
          </w:p>
        </w:tc>
        <w:tc>
          <w:tcPr>
            <w:tcW w:type="dxa" w:w="5814"/>
          </w:tcPr>
          <w:p>
            <w:pPr>
              <w:pStyle w:val="null3"/>
            </w:pPr>
            <w:r>
              <w:rPr/>
              <w:t>4.4前臂骨密度测量及评估</w:t>
            </w:r>
          </w:p>
        </w:tc>
      </w:tr>
      <w:tr>
        <w:tc>
          <w:tcPr>
            <w:tcW w:type="dxa" w:w="2076"/>
          </w:tcPr>
          <w:p/>
        </w:tc>
        <w:tc>
          <w:tcPr>
            <w:tcW w:type="dxa" w:w="415"/>
          </w:tcPr>
          <w:p>
            <w:pPr>
              <w:pStyle w:val="null3"/>
            </w:pPr>
            <w:r>
              <w:rPr/>
              <w:t>24</w:t>
            </w:r>
          </w:p>
        </w:tc>
        <w:tc>
          <w:tcPr>
            <w:tcW w:type="dxa" w:w="5814"/>
          </w:tcPr>
          <w:p>
            <w:pPr>
              <w:pStyle w:val="null3"/>
            </w:pPr>
            <w:r>
              <w:rPr/>
              <w:t>4.5椎体形态学评估，评估椎体前后柱高度及压缩比例，判断椎体压缩程度</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▲4.6椎体几何学评估，计算出脊柱科布角角度，评估脊柱侧弯（投标文件中提供报告模板）（请在投标文件中标识该条款证明文件所在页码</w:t>
            </w:r>
            <w:r>
              <w:rPr>
                <w:sz w:val="21"/>
              </w:rPr>
              <w:t>:</w:t>
            </w:r>
            <w:r>
              <w:rPr>
                <w:u w:val="single"/>
              </w:rPr>
              <w:t xml:space="preserve">  </w:t>
            </w:r>
            <w:r>
              <w:rPr>
                <w:u w:val="single"/>
              </w:rPr>
              <w:t xml:space="preserve"> </w:t>
            </w:r>
            <w:r>
              <w:rPr>
                <w:u w:val="single"/>
              </w:rPr>
              <w:t xml:space="preserve"> </w:t>
            </w:r>
            <w:r>
              <w:rPr>
                <w:sz w:val="20"/>
              </w:rPr>
              <w:t>页）</w:t>
            </w:r>
          </w:p>
        </w:tc>
      </w:tr>
      <w:tr>
        <w:tc>
          <w:tcPr>
            <w:tcW w:type="dxa" w:w="2076"/>
          </w:tcPr>
          <w:p/>
        </w:tc>
        <w:tc>
          <w:tcPr>
            <w:tcW w:type="dxa" w:w="415"/>
          </w:tcPr>
          <w:p>
            <w:pPr>
              <w:pStyle w:val="null3"/>
            </w:pPr>
            <w:r>
              <w:rPr/>
              <w:t>26</w:t>
            </w:r>
          </w:p>
        </w:tc>
        <w:tc>
          <w:tcPr>
            <w:tcW w:type="dxa" w:w="5814"/>
          </w:tcPr>
          <w:p>
            <w:pPr>
              <w:pStyle w:val="null3"/>
            </w:pPr>
            <w:r>
              <w:rPr/>
              <w:t>4.7侧位腰椎骨密度测量及评估</w:t>
            </w:r>
          </w:p>
        </w:tc>
      </w:tr>
      <w:tr>
        <w:tc>
          <w:tcPr>
            <w:tcW w:type="dxa" w:w="2076"/>
          </w:tcPr>
          <w:p/>
        </w:tc>
        <w:tc>
          <w:tcPr>
            <w:tcW w:type="dxa" w:w="415"/>
          </w:tcPr>
          <w:p>
            <w:pPr>
              <w:pStyle w:val="null3"/>
            </w:pPr>
            <w:r>
              <w:rPr/>
              <w:t>27</w:t>
            </w:r>
          </w:p>
        </w:tc>
        <w:tc>
          <w:tcPr>
            <w:tcW w:type="dxa" w:w="5814"/>
          </w:tcPr>
          <w:p>
            <w:pPr>
              <w:pStyle w:val="null3"/>
            </w:pPr>
            <w:r>
              <w:rPr/>
              <w:t>4.8髋关节评估功能，可自动计算髋关节中轴长度、颈干角、股骨颈及干皮质骨宽度测量评估、股骨颈最小横截面积及横贯力矩测量</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▲4.9人工髋关节置换后的自动扫描、评估，人工髋关节周围划分的评估区个数≥19个</w:t>
            </w:r>
          </w:p>
        </w:tc>
      </w:tr>
      <w:tr>
        <w:tc>
          <w:tcPr>
            <w:tcW w:type="dxa" w:w="2076"/>
          </w:tcPr>
          <w:p/>
        </w:tc>
        <w:tc>
          <w:tcPr>
            <w:tcW w:type="dxa" w:w="415"/>
          </w:tcPr>
          <w:p>
            <w:pPr>
              <w:pStyle w:val="null3"/>
            </w:pPr>
            <w:r>
              <w:rPr/>
              <w:t>29</w:t>
            </w:r>
          </w:p>
        </w:tc>
        <w:tc>
          <w:tcPr>
            <w:tcW w:type="dxa" w:w="5814"/>
          </w:tcPr>
          <w:p>
            <w:pPr>
              <w:pStyle w:val="null3"/>
            </w:pPr>
            <w:r>
              <w:rPr/>
              <w:t>4.10人工膝关节置换术后假体周围骨量测量及变化评估</w:t>
            </w:r>
          </w:p>
        </w:tc>
      </w:tr>
      <w:tr>
        <w:tc>
          <w:tcPr>
            <w:tcW w:type="dxa" w:w="2076"/>
          </w:tcPr>
          <w:p/>
        </w:tc>
        <w:tc>
          <w:tcPr>
            <w:tcW w:type="dxa" w:w="415"/>
          </w:tcPr>
          <w:p>
            <w:pPr>
              <w:pStyle w:val="null3"/>
            </w:pPr>
            <w:r>
              <w:rPr/>
              <w:t>30</w:t>
            </w:r>
          </w:p>
        </w:tc>
        <w:tc>
          <w:tcPr>
            <w:tcW w:type="dxa" w:w="5814"/>
          </w:tcPr>
          <w:p>
            <w:pPr>
              <w:pStyle w:val="null3"/>
            </w:pPr>
            <w:r>
              <w:rPr/>
              <w:t>4.11可延长股骨干扫描范围，进行非典型股骨骨折评估，可自定义诊断阈值</w:t>
            </w:r>
          </w:p>
        </w:tc>
      </w:tr>
      <w:tr>
        <w:tc>
          <w:tcPr>
            <w:tcW w:type="dxa" w:w="2076"/>
          </w:tcPr>
          <w:p/>
        </w:tc>
        <w:tc>
          <w:tcPr>
            <w:tcW w:type="dxa" w:w="415"/>
          </w:tcPr>
          <w:p>
            <w:pPr>
              <w:pStyle w:val="null3"/>
            </w:pPr>
            <w:r>
              <w:rPr/>
              <w:t>31</w:t>
            </w:r>
          </w:p>
        </w:tc>
        <w:tc>
          <w:tcPr>
            <w:tcW w:type="dxa" w:w="5814"/>
          </w:tcPr>
          <w:p>
            <w:pPr>
              <w:pStyle w:val="null3"/>
            </w:pPr>
            <w:r>
              <w:rPr/>
              <w:t>4.12手部测量和分析</w:t>
            </w:r>
          </w:p>
        </w:tc>
      </w:tr>
      <w:tr>
        <w:tc>
          <w:tcPr>
            <w:tcW w:type="dxa" w:w="2076"/>
          </w:tcPr>
          <w:p/>
        </w:tc>
        <w:tc>
          <w:tcPr>
            <w:tcW w:type="dxa" w:w="415"/>
          </w:tcPr>
          <w:p>
            <w:pPr>
              <w:pStyle w:val="null3"/>
            </w:pPr>
            <w:r>
              <w:rPr/>
              <w:t>32</w:t>
            </w:r>
          </w:p>
        </w:tc>
        <w:tc>
          <w:tcPr>
            <w:tcW w:type="dxa" w:w="5814"/>
          </w:tcPr>
          <w:p>
            <w:pPr>
              <w:pStyle w:val="null3"/>
            </w:pPr>
            <w:r>
              <w:rPr/>
              <w:t>4.13全身骨密度扫描</w:t>
            </w:r>
          </w:p>
        </w:tc>
      </w:tr>
      <w:tr>
        <w:tc>
          <w:tcPr>
            <w:tcW w:type="dxa" w:w="2076"/>
          </w:tcPr>
          <w:p/>
        </w:tc>
        <w:tc>
          <w:tcPr>
            <w:tcW w:type="dxa" w:w="415"/>
          </w:tcPr>
          <w:p>
            <w:pPr>
              <w:pStyle w:val="null3"/>
            </w:pPr>
            <w:r>
              <w:rPr/>
              <w:t>33</w:t>
            </w:r>
          </w:p>
        </w:tc>
        <w:tc>
          <w:tcPr>
            <w:tcW w:type="dxa" w:w="5814"/>
          </w:tcPr>
          <w:p>
            <w:pPr>
              <w:pStyle w:val="null3"/>
            </w:pPr>
            <w:r>
              <w:rPr/>
              <w:t>4.14全身扫描具备多种扫描模式：全身、去除头部、去除头部和小腿</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▲4.15全身肌肉/脂肪成分分析，注册证产品适用范围需标明该产品可适用于脂肪肌肉组织测量和分析。</w:t>
            </w:r>
          </w:p>
        </w:tc>
      </w:tr>
      <w:tr>
        <w:tc>
          <w:tcPr>
            <w:tcW w:type="dxa" w:w="2076"/>
          </w:tcPr>
          <w:p/>
        </w:tc>
        <w:tc>
          <w:tcPr>
            <w:tcW w:type="dxa" w:w="415"/>
          </w:tcPr>
          <w:p>
            <w:pPr>
              <w:pStyle w:val="null3"/>
            </w:pPr>
            <w:r>
              <w:rPr/>
              <w:t>35</w:t>
            </w:r>
          </w:p>
        </w:tc>
        <w:tc>
          <w:tcPr>
            <w:tcW w:type="dxa" w:w="5814"/>
          </w:tcPr>
          <w:p>
            <w:pPr>
              <w:pStyle w:val="null3"/>
            </w:pPr>
            <w:r>
              <w:rPr/>
              <w:t>4.16自动腹臀区域脂肪分析，腹臀脂肪比</w:t>
            </w:r>
          </w:p>
        </w:tc>
      </w:tr>
      <w:tr>
        <w:tc>
          <w:tcPr>
            <w:tcW w:type="dxa" w:w="2076"/>
          </w:tcPr>
          <w:p/>
        </w:tc>
        <w:tc>
          <w:tcPr>
            <w:tcW w:type="dxa" w:w="415"/>
          </w:tcPr>
          <w:p>
            <w:pPr>
              <w:pStyle w:val="null3"/>
            </w:pPr>
            <w:r>
              <w:rPr/>
              <w:t>36</w:t>
            </w:r>
          </w:p>
        </w:tc>
        <w:tc>
          <w:tcPr>
            <w:tcW w:type="dxa" w:w="5814"/>
          </w:tcPr>
          <w:p>
            <w:pPr>
              <w:pStyle w:val="null3"/>
            </w:pPr>
            <w:r>
              <w:rPr/>
              <w:t>4.17内脏脂肪组织分析，可以测量内脏脂肪组织、皮下脂肪的质量、面积和体积（投标文件中提供内脏脂肪报告模板）（请在投标文件中标识该条款证明文件所在页码</w:t>
            </w:r>
            <w:r>
              <w:rPr>
                <w:sz w:val="21"/>
              </w:rPr>
              <w:t>:</w:t>
            </w:r>
            <w:r>
              <w:rPr>
                <w:u w:val="single"/>
              </w:rPr>
              <w:t xml:space="preserve">  </w:t>
            </w:r>
            <w:r>
              <w:rPr>
                <w:u w:val="single"/>
              </w:rPr>
              <w:t xml:space="preserve"> </w:t>
            </w:r>
            <w:r>
              <w:rPr>
                <w:u w:val="single"/>
              </w:rPr>
              <w:t xml:space="preserve"> </w:t>
            </w:r>
            <w:r>
              <w:rPr>
                <w:sz w:val="20"/>
              </w:rPr>
              <w:t>页）</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▲4.18具备肌少症功能，由肌少症分析界面（投标文件中提供肌少症报告模板）（请在投标文件中标识该条款证明文件所在页码</w:t>
            </w:r>
            <w:r>
              <w:rPr>
                <w:sz w:val="21"/>
              </w:rPr>
              <w:t>:</w:t>
            </w:r>
            <w:r>
              <w:rPr>
                <w:u w:val="single"/>
              </w:rPr>
              <w:t xml:space="preserve">  </w:t>
            </w:r>
            <w:r>
              <w:rPr>
                <w:u w:val="single"/>
              </w:rPr>
              <w:t xml:space="preserve"> </w:t>
            </w:r>
            <w:r>
              <w:rPr>
                <w:u w:val="single"/>
              </w:rPr>
              <w:t xml:space="preserve"> </w:t>
            </w:r>
            <w:r>
              <w:rPr>
                <w:sz w:val="20"/>
              </w:rPr>
              <w:t>页）</w:t>
            </w:r>
          </w:p>
        </w:tc>
      </w:tr>
      <w:tr>
        <w:tc>
          <w:tcPr>
            <w:tcW w:type="dxa" w:w="2076"/>
          </w:tcPr>
          <w:p/>
        </w:tc>
        <w:tc>
          <w:tcPr>
            <w:tcW w:type="dxa" w:w="415"/>
          </w:tcPr>
          <w:p>
            <w:pPr>
              <w:pStyle w:val="null3"/>
            </w:pPr>
            <w:r>
              <w:rPr/>
              <w:t>38</w:t>
            </w:r>
          </w:p>
        </w:tc>
        <w:tc>
          <w:tcPr>
            <w:tcW w:type="dxa" w:w="5814"/>
          </w:tcPr>
          <w:p>
            <w:pPr>
              <w:pStyle w:val="null3"/>
            </w:pPr>
            <w:r>
              <w:rPr/>
              <w:t>4.19儿科软件，用于儿童骨密度测量及评估（含腰柱、股骨、全身）及儿童身体成分分析</w:t>
            </w:r>
          </w:p>
        </w:tc>
      </w:tr>
      <w:tr>
        <w:tc>
          <w:tcPr>
            <w:tcW w:type="dxa" w:w="2076"/>
          </w:tcPr>
          <w:p/>
        </w:tc>
        <w:tc>
          <w:tcPr>
            <w:tcW w:type="dxa" w:w="415"/>
          </w:tcPr>
          <w:p>
            <w:pPr>
              <w:pStyle w:val="null3"/>
            </w:pPr>
            <w:r>
              <w:rPr/>
              <w:t>39</w:t>
            </w:r>
          </w:p>
        </w:tc>
        <w:tc>
          <w:tcPr>
            <w:tcW w:type="dxa" w:w="5814"/>
          </w:tcPr>
          <w:p>
            <w:pPr>
              <w:pStyle w:val="null3"/>
            </w:pPr>
            <w:r>
              <w:rPr/>
              <w:t>4.20小动物软件，可自定义分析感兴趣区</w:t>
            </w:r>
          </w:p>
        </w:tc>
      </w:tr>
      <w:tr>
        <w:tc>
          <w:tcPr>
            <w:tcW w:type="dxa" w:w="2076"/>
          </w:tcPr>
          <w:p/>
        </w:tc>
        <w:tc>
          <w:tcPr>
            <w:tcW w:type="dxa" w:w="415"/>
          </w:tcPr>
          <w:p>
            <w:pPr>
              <w:pStyle w:val="null3"/>
            </w:pPr>
            <w:r>
              <w:rPr/>
              <w:t>40</w:t>
            </w:r>
          </w:p>
        </w:tc>
        <w:tc>
          <w:tcPr>
            <w:tcW w:type="dxa" w:w="5814"/>
          </w:tcPr>
          <w:p>
            <w:pPr>
              <w:pStyle w:val="null3"/>
            </w:pPr>
            <w:r>
              <w:rPr/>
              <w:t>4.21身体和局部组织定量：包含以下值：组织(%脂肪)，区域(%脂肪)，组织含量，非脂肪含量，总含量，脂肪比率</w:t>
            </w:r>
          </w:p>
        </w:tc>
      </w:tr>
      <w:tr>
        <w:tc>
          <w:tcPr>
            <w:tcW w:type="dxa" w:w="2076"/>
          </w:tcPr>
          <w:p/>
        </w:tc>
        <w:tc>
          <w:tcPr>
            <w:tcW w:type="dxa" w:w="415"/>
          </w:tcPr>
          <w:p>
            <w:pPr>
              <w:pStyle w:val="null3"/>
            </w:pPr>
            <w:r>
              <w:rPr/>
              <w:t>41</w:t>
            </w:r>
          </w:p>
        </w:tc>
        <w:tc>
          <w:tcPr>
            <w:tcW w:type="dxa" w:w="5814"/>
          </w:tcPr>
          <w:p>
            <w:pPr>
              <w:pStyle w:val="null3"/>
            </w:pPr>
            <w:r>
              <w:rPr/>
              <w:t>4.22静息代谢率</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▲4.23相对骨骼肌质量指数</w:t>
            </w:r>
          </w:p>
        </w:tc>
      </w:tr>
      <w:tr>
        <w:tc>
          <w:tcPr>
            <w:tcW w:type="dxa" w:w="2076"/>
          </w:tcPr>
          <w:p/>
        </w:tc>
        <w:tc>
          <w:tcPr>
            <w:tcW w:type="dxa" w:w="415"/>
          </w:tcPr>
          <w:p>
            <w:pPr>
              <w:pStyle w:val="null3"/>
            </w:pPr>
            <w:r>
              <w:rPr/>
              <w:t>43</w:t>
            </w:r>
          </w:p>
        </w:tc>
        <w:tc>
          <w:tcPr>
            <w:tcW w:type="dxa" w:w="5814"/>
          </w:tcPr>
          <w:p>
            <w:pPr>
              <w:pStyle w:val="null3"/>
            </w:pPr>
            <w:r>
              <w:rPr/>
              <w:t>4.24体成分Android和Gynoid ROI分析</w:t>
            </w:r>
          </w:p>
        </w:tc>
      </w:tr>
      <w:tr>
        <w:tc>
          <w:tcPr>
            <w:tcW w:type="dxa" w:w="2076"/>
          </w:tcPr>
          <w:p/>
        </w:tc>
        <w:tc>
          <w:tcPr>
            <w:tcW w:type="dxa" w:w="415"/>
          </w:tcPr>
          <w:p>
            <w:pPr>
              <w:pStyle w:val="null3"/>
            </w:pPr>
            <w:r>
              <w:rPr/>
              <w:t>44</w:t>
            </w:r>
          </w:p>
        </w:tc>
        <w:tc>
          <w:tcPr>
            <w:tcW w:type="dxa" w:w="5814"/>
          </w:tcPr>
          <w:p>
            <w:pPr>
              <w:pStyle w:val="null3"/>
            </w:pPr>
            <w:r>
              <w:rPr/>
              <w:t>4.25WHO体重指数评估</w:t>
            </w:r>
          </w:p>
        </w:tc>
      </w:tr>
      <w:tr>
        <w:tc>
          <w:tcPr>
            <w:tcW w:type="dxa" w:w="2076"/>
          </w:tcPr>
          <w:p/>
        </w:tc>
        <w:tc>
          <w:tcPr>
            <w:tcW w:type="dxa" w:w="415"/>
          </w:tcPr>
          <w:p>
            <w:pPr>
              <w:pStyle w:val="null3"/>
            </w:pPr>
            <w:r>
              <w:rPr/>
              <w:t>45</w:t>
            </w:r>
          </w:p>
        </w:tc>
        <w:tc>
          <w:tcPr>
            <w:tcW w:type="dxa" w:w="5814"/>
          </w:tcPr>
          <w:p>
            <w:pPr>
              <w:pStyle w:val="null3"/>
            </w:pPr>
            <w:r>
              <w:rPr/>
              <w:t>5.操作系统及扫描时间</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▲5.1一次定位，自动完成腰椎、双侧股骨及全身四个部位扫描检测功能（投标文件中提供软件界面截图）（请在投标文件中标识该条款证明文件所在页码</w:t>
            </w:r>
            <w:r>
              <w:rPr>
                <w:sz w:val="21"/>
              </w:rPr>
              <w:t>:</w:t>
            </w:r>
            <w:r>
              <w:rPr>
                <w:u w:val="single"/>
              </w:rPr>
              <w:t xml:space="preserve">  </w:t>
            </w:r>
            <w:r>
              <w:rPr>
                <w:u w:val="single"/>
              </w:rPr>
              <w:t xml:space="preserve"> </w:t>
            </w:r>
            <w:r>
              <w:rPr>
                <w:u w:val="single"/>
              </w:rPr>
              <w:t xml:space="preserve"> </w:t>
            </w:r>
            <w:r>
              <w:rPr>
                <w:sz w:val="20"/>
              </w:rPr>
              <w:t>页）</w:t>
            </w:r>
          </w:p>
        </w:tc>
      </w:tr>
      <w:tr>
        <w:tc>
          <w:tcPr>
            <w:tcW w:type="dxa" w:w="2076"/>
          </w:tcPr>
          <w:p/>
        </w:tc>
        <w:tc>
          <w:tcPr>
            <w:tcW w:type="dxa" w:w="415"/>
          </w:tcPr>
          <w:p>
            <w:pPr>
              <w:pStyle w:val="null3"/>
            </w:pPr>
            <w:r>
              <w:rPr/>
              <w:t>47</w:t>
            </w:r>
          </w:p>
        </w:tc>
        <w:tc>
          <w:tcPr>
            <w:tcW w:type="dxa" w:w="5814"/>
          </w:tcPr>
          <w:p>
            <w:pPr>
              <w:pStyle w:val="null3"/>
            </w:pPr>
            <w:r>
              <w:rPr/>
              <w:t>5.2具备最小有意义变化值辅助计算工具</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▲5.3针对各部位扫描后分析的数据可自定义公式、阈值和趋势分析</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5.4具备计算机辅助异常检测功能，可以帮助操作者检测脊柱、股骨、前臂和全身扫描的异常性，识别潜在的测量和/或分析和/或解剖错误（投标文件中提供软件界面截图）（请在投标文件中标识该条款证明文件所在页码</w:t>
            </w:r>
            <w:r>
              <w:rPr>
                <w:sz w:val="21"/>
              </w:rPr>
              <w:t>:</w:t>
            </w:r>
            <w:r>
              <w:rPr>
                <w:u w:val="single"/>
              </w:rPr>
              <w:t xml:space="preserve">  </w:t>
            </w:r>
            <w:r>
              <w:rPr>
                <w:u w:val="single"/>
              </w:rPr>
              <w:t xml:space="preserve"> </w:t>
            </w:r>
            <w:r>
              <w:rPr>
                <w:u w:val="single"/>
              </w:rPr>
              <w:t xml:space="preserve"> </w:t>
            </w:r>
            <w:r>
              <w:rPr>
                <w:sz w:val="20"/>
              </w:rPr>
              <w:t>页）</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▲5.5具备快扫模式，股骨扫描时间：≤10秒；腰椎扫描时间：≤10秒</w:t>
            </w:r>
          </w:p>
        </w:tc>
      </w:tr>
      <w:tr>
        <w:tc>
          <w:tcPr>
            <w:tcW w:type="dxa" w:w="2076"/>
          </w:tcPr>
          <w:p/>
        </w:tc>
        <w:tc>
          <w:tcPr>
            <w:tcW w:type="dxa" w:w="415"/>
          </w:tcPr>
          <w:p>
            <w:pPr>
              <w:pStyle w:val="null3"/>
            </w:pPr>
            <w:r>
              <w:rPr/>
              <w:t>51</w:t>
            </w:r>
          </w:p>
        </w:tc>
        <w:tc>
          <w:tcPr>
            <w:tcW w:type="dxa" w:w="5814"/>
          </w:tcPr>
          <w:p>
            <w:pPr>
              <w:pStyle w:val="null3"/>
            </w:pPr>
            <w:r>
              <w:rPr/>
              <w:t>5.6全身扫描时间：≤6分钟</w:t>
            </w:r>
          </w:p>
        </w:tc>
      </w:tr>
      <w:tr>
        <w:tc>
          <w:tcPr>
            <w:tcW w:type="dxa" w:w="2076"/>
          </w:tcPr>
          <w:p/>
        </w:tc>
        <w:tc>
          <w:tcPr>
            <w:tcW w:type="dxa" w:w="415"/>
          </w:tcPr>
          <w:p>
            <w:pPr>
              <w:pStyle w:val="null3"/>
            </w:pPr>
            <w:r>
              <w:rPr/>
              <w:t>52</w:t>
            </w:r>
          </w:p>
        </w:tc>
        <w:tc>
          <w:tcPr>
            <w:tcW w:type="dxa" w:w="5814"/>
          </w:tcPr>
          <w:p>
            <w:pPr>
              <w:pStyle w:val="null3"/>
            </w:pPr>
            <w:r>
              <w:rPr/>
              <w:t>5.7对腰椎质控模块扫描的精度(重复性误差)：≤1.0%</w:t>
            </w:r>
          </w:p>
        </w:tc>
      </w:tr>
      <w:tr>
        <w:tc>
          <w:tcPr>
            <w:tcW w:type="dxa" w:w="2076"/>
          </w:tcPr>
          <w:p/>
        </w:tc>
        <w:tc>
          <w:tcPr>
            <w:tcW w:type="dxa" w:w="415"/>
          </w:tcPr>
          <w:p>
            <w:pPr>
              <w:pStyle w:val="null3"/>
            </w:pPr>
            <w:r>
              <w:rPr/>
              <w:t>53</w:t>
            </w:r>
          </w:p>
        </w:tc>
        <w:tc>
          <w:tcPr>
            <w:tcW w:type="dxa" w:w="5814"/>
          </w:tcPr>
          <w:p>
            <w:pPr>
              <w:pStyle w:val="null3"/>
            </w:pPr>
            <w:r>
              <w:rPr/>
              <w:t>6.临床应用软件包</w:t>
            </w:r>
          </w:p>
        </w:tc>
      </w:tr>
      <w:tr>
        <w:tc>
          <w:tcPr>
            <w:tcW w:type="dxa" w:w="2076"/>
          </w:tcPr>
          <w:p/>
        </w:tc>
        <w:tc>
          <w:tcPr>
            <w:tcW w:type="dxa" w:w="415"/>
          </w:tcPr>
          <w:p>
            <w:pPr>
              <w:pStyle w:val="null3"/>
            </w:pPr>
            <w:r>
              <w:rPr/>
              <w:t>54</w:t>
            </w:r>
          </w:p>
        </w:tc>
        <w:tc>
          <w:tcPr>
            <w:tcW w:type="dxa" w:w="5814"/>
          </w:tcPr>
          <w:p>
            <w:pPr>
              <w:pStyle w:val="null3"/>
            </w:pPr>
            <w:r>
              <w:rPr/>
              <w:t>6.1骨密度计算软件包</w:t>
            </w:r>
          </w:p>
        </w:tc>
      </w:tr>
      <w:tr>
        <w:tc>
          <w:tcPr>
            <w:tcW w:type="dxa" w:w="2076"/>
          </w:tcPr>
          <w:p/>
        </w:tc>
        <w:tc>
          <w:tcPr>
            <w:tcW w:type="dxa" w:w="415"/>
          </w:tcPr>
          <w:p>
            <w:pPr>
              <w:pStyle w:val="null3"/>
            </w:pPr>
            <w:r>
              <w:rPr/>
              <w:t>55</w:t>
            </w:r>
          </w:p>
        </w:tc>
        <w:tc>
          <w:tcPr>
            <w:tcW w:type="dxa" w:w="5814"/>
          </w:tcPr>
          <w:p>
            <w:pPr>
              <w:pStyle w:val="null3"/>
            </w:pPr>
            <w:r>
              <w:rPr/>
              <w:t>6.2T值和Z值分析软件</w:t>
            </w:r>
          </w:p>
        </w:tc>
      </w:tr>
      <w:tr>
        <w:tc>
          <w:tcPr>
            <w:tcW w:type="dxa" w:w="2076"/>
          </w:tcPr>
          <w:p/>
        </w:tc>
        <w:tc>
          <w:tcPr>
            <w:tcW w:type="dxa" w:w="415"/>
          </w:tcPr>
          <w:p>
            <w:pPr>
              <w:pStyle w:val="null3"/>
            </w:pPr>
            <w:r>
              <w:rPr/>
              <w:t>56</w:t>
            </w:r>
          </w:p>
        </w:tc>
        <w:tc>
          <w:tcPr>
            <w:tcW w:type="dxa" w:w="5814"/>
          </w:tcPr>
          <w:p>
            <w:pPr>
              <w:pStyle w:val="null3"/>
            </w:pPr>
            <w:r>
              <w:rPr/>
              <w:t>6.3异常骨密度区域或金属自动排除软件</w:t>
            </w:r>
          </w:p>
        </w:tc>
      </w:tr>
      <w:tr>
        <w:tc>
          <w:tcPr>
            <w:tcW w:type="dxa" w:w="2076"/>
          </w:tcPr>
          <w:p/>
        </w:tc>
        <w:tc>
          <w:tcPr>
            <w:tcW w:type="dxa" w:w="415"/>
          </w:tcPr>
          <w:p>
            <w:pPr>
              <w:pStyle w:val="null3"/>
            </w:pPr>
            <w:r>
              <w:rPr/>
              <w:t>57</w:t>
            </w:r>
          </w:p>
        </w:tc>
        <w:tc>
          <w:tcPr>
            <w:tcW w:type="dxa" w:w="5814"/>
          </w:tcPr>
          <w:p>
            <w:pPr>
              <w:pStyle w:val="null3"/>
            </w:pPr>
            <w:r>
              <w:rPr/>
              <w:t>6.4自动确定骨边缘软件</w:t>
            </w:r>
          </w:p>
        </w:tc>
      </w:tr>
      <w:tr>
        <w:tc>
          <w:tcPr>
            <w:tcW w:type="dxa" w:w="2076"/>
          </w:tcPr>
          <w:p/>
        </w:tc>
        <w:tc>
          <w:tcPr>
            <w:tcW w:type="dxa" w:w="415"/>
          </w:tcPr>
          <w:p>
            <w:pPr>
              <w:pStyle w:val="null3"/>
            </w:pPr>
            <w:r>
              <w:rPr/>
              <w:t>58</w:t>
            </w:r>
          </w:p>
        </w:tc>
        <w:tc>
          <w:tcPr>
            <w:tcW w:type="dxa" w:w="5814"/>
          </w:tcPr>
          <w:p>
            <w:pPr>
              <w:pStyle w:val="null3"/>
            </w:pPr>
            <w:r>
              <w:rPr/>
              <w:t>6.5NHANES III参照数据库</w:t>
            </w:r>
          </w:p>
        </w:tc>
      </w:tr>
      <w:tr>
        <w:tc>
          <w:tcPr>
            <w:tcW w:type="dxa" w:w="2076"/>
          </w:tcPr>
          <w:p/>
        </w:tc>
        <w:tc>
          <w:tcPr>
            <w:tcW w:type="dxa" w:w="415"/>
          </w:tcPr>
          <w:p>
            <w:pPr>
              <w:pStyle w:val="null3"/>
            </w:pPr>
            <w:r>
              <w:rPr/>
              <w:t>59</w:t>
            </w:r>
          </w:p>
        </w:tc>
        <w:tc>
          <w:tcPr>
            <w:tcW w:type="dxa" w:w="5814"/>
          </w:tcPr>
          <w:p>
            <w:pPr>
              <w:pStyle w:val="null3"/>
            </w:pPr>
            <w:r>
              <w:rPr/>
              <w:t>6.6中国大陆人中轴骨骨密度数据库</w:t>
            </w:r>
          </w:p>
        </w:tc>
      </w:tr>
      <w:tr>
        <w:tc>
          <w:tcPr>
            <w:tcW w:type="dxa" w:w="2076"/>
          </w:tcPr>
          <w:p/>
        </w:tc>
        <w:tc>
          <w:tcPr>
            <w:tcW w:type="dxa" w:w="415"/>
          </w:tcPr>
          <w:p>
            <w:pPr>
              <w:pStyle w:val="null3"/>
            </w:pPr>
            <w:r>
              <w:rPr/>
              <w:t>60</w:t>
            </w:r>
          </w:p>
        </w:tc>
        <w:tc>
          <w:tcPr>
            <w:tcW w:type="dxa" w:w="5814"/>
          </w:tcPr>
          <w:p>
            <w:pPr>
              <w:pStyle w:val="null3"/>
            </w:pPr>
            <w:r>
              <w:rPr/>
              <w:t>6.7基于投标品牌设备采集的腰椎和髋部骨密度数据所建立</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▲6.8样本量≥11000例，且为同一研究，非多项研究合并的数据；所用数据库发表权威文献</w:t>
            </w:r>
          </w:p>
        </w:tc>
      </w:tr>
      <w:tr>
        <w:tc>
          <w:tcPr>
            <w:tcW w:type="dxa" w:w="2076"/>
          </w:tcPr>
          <w:p>
            <w:pPr>
              <w:pStyle w:val="null3"/>
            </w:pPr>
            <w:r>
              <w:rPr/>
              <w:t>▲</w:t>
            </w:r>
          </w:p>
        </w:tc>
        <w:tc>
          <w:tcPr>
            <w:tcW w:type="dxa" w:w="415"/>
          </w:tcPr>
          <w:p>
            <w:pPr>
              <w:pStyle w:val="null3"/>
            </w:pPr>
            <w:r>
              <w:rPr/>
              <w:t>62</w:t>
            </w:r>
          </w:p>
        </w:tc>
        <w:tc>
          <w:tcPr>
            <w:tcW w:type="dxa" w:w="5814"/>
          </w:tcPr>
          <w:p>
            <w:pPr>
              <w:pStyle w:val="null3"/>
            </w:pPr>
            <w:r>
              <w:rPr/>
              <w:t>▲6.9中国儿童骨密度数据库（投标文件中提供软件界面截图）（请在投标文件中标识该条款证明文件所在页码</w:t>
            </w:r>
            <w:r>
              <w:rPr>
                <w:sz w:val="21"/>
              </w:rPr>
              <w:t>:</w:t>
            </w:r>
            <w:r>
              <w:rPr>
                <w:u w:val="single"/>
              </w:rPr>
              <w:t xml:space="preserve">  </w:t>
            </w:r>
            <w:r>
              <w:rPr>
                <w:u w:val="single"/>
              </w:rPr>
              <w:t xml:space="preserve"> </w:t>
            </w:r>
            <w:r>
              <w:rPr>
                <w:u w:val="single"/>
              </w:rPr>
              <w:t xml:space="preserve"> </w:t>
            </w:r>
            <w:r>
              <w:rPr>
                <w:sz w:val="20"/>
              </w:rPr>
              <w:t>页）</w:t>
            </w:r>
          </w:p>
        </w:tc>
      </w:tr>
      <w:tr>
        <w:tc>
          <w:tcPr>
            <w:tcW w:type="dxa" w:w="2076"/>
          </w:tcPr>
          <w:p/>
        </w:tc>
        <w:tc>
          <w:tcPr>
            <w:tcW w:type="dxa" w:w="415"/>
          </w:tcPr>
          <w:p>
            <w:pPr>
              <w:pStyle w:val="null3"/>
            </w:pPr>
            <w:r>
              <w:rPr/>
              <w:t>63</w:t>
            </w:r>
          </w:p>
        </w:tc>
        <w:tc>
          <w:tcPr>
            <w:tcW w:type="dxa" w:w="5814"/>
          </w:tcPr>
          <w:p>
            <w:pPr>
              <w:pStyle w:val="null3"/>
            </w:pPr>
            <w:r>
              <w:rPr/>
              <w:t>6.10检测质量控制系统（含质量检测程序，QA态势分析）</w:t>
            </w:r>
          </w:p>
        </w:tc>
      </w:tr>
      <w:tr>
        <w:tc>
          <w:tcPr>
            <w:tcW w:type="dxa" w:w="2076"/>
          </w:tcPr>
          <w:p/>
        </w:tc>
        <w:tc>
          <w:tcPr>
            <w:tcW w:type="dxa" w:w="415"/>
          </w:tcPr>
          <w:p>
            <w:pPr>
              <w:pStyle w:val="null3"/>
            </w:pPr>
            <w:r>
              <w:rPr/>
              <w:t>64</w:t>
            </w:r>
          </w:p>
        </w:tc>
        <w:tc>
          <w:tcPr>
            <w:tcW w:type="dxa" w:w="5814"/>
          </w:tcPr>
          <w:p>
            <w:pPr>
              <w:pStyle w:val="null3"/>
            </w:pPr>
            <w:r>
              <w:rPr/>
              <w:t>6.11DICOM 协议接口，HL7协议接口</w:t>
            </w:r>
          </w:p>
        </w:tc>
      </w:tr>
      <w:tr>
        <w:tc>
          <w:tcPr>
            <w:tcW w:type="dxa" w:w="2076"/>
          </w:tcPr>
          <w:p/>
        </w:tc>
        <w:tc>
          <w:tcPr>
            <w:tcW w:type="dxa" w:w="415"/>
          </w:tcPr>
          <w:p>
            <w:pPr>
              <w:pStyle w:val="null3"/>
            </w:pPr>
            <w:r>
              <w:rPr/>
              <w:t>65</w:t>
            </w:r>
          </w:p>
        </w:tc>
        <w:tc>
          <w:tcPr>
            <w:tcW w:type="dxa" w:w="5814"/>
          </w:tcPr>
          <w:p>
            <w:pPr>
              <w:pStyle w:val="null3"/>
            </w:pPr>
            <w:r>
              <w:rPr/>
              <w:t>7.工作站系统及其他：CPU类型：不低于Intel® Core™ i3，Windows10操作系统；内存：≥8GB；硬盘：≥1TB；显示器：≥23英寸液晶显示器</w:t>
            </w:r>
          </w:p>
        </w:tc>
      </w:tr>
      <w:tr>
        <w:tc>
          <w:tcPr>
            <w:tcW w:type="dxa" w:w="2076"/>
          </w:tcPr>
          <w:p/>
        </w:tc>
        <w:tc>
          <w:tcPr>
            <w:tcW w:type="dxa" w:w="415"/>
          </w:tcPr>
          <w:p>
            <w:pPr>
              <w:pStyle w:val="null3"/>
            </w:pPr>
            <w:r>
              <w:rPr/>
              <w:t>66</w:t>
            </w:r>
          </w:p>
        </w:tc>
        <w:tc>
          <w:tcPr>
            <w:tcW w:type="dxa" w:w="5814"/>
          </w:tcPr>
          <w:p>
            <w:pPr>
              <w:pStyle w:val="null3"/>
            </w:pPr>
            <w:r>
              <w:rPr/>
              <w:t>8. 设备使用期限满足以下要求：设备使用期限≥10年。（在投标文件中提供产品说明书和设备标签，须同时体现设备使用期限）（请在投标文件中标识该条款证明文件所在页码</w:t>
            </w:r>
            <w:r>
              <w:rPr>
                <w:sz w:val="21"/>
              </w:rPr>
              <w:t>:</w:t>
            </w:r>
            <w:r>
              <w:rPr>
                <w:u w:val="single"/>
              </w:rPr>
              <w:t xml:space="preserve">  </w:t>
            </w:r>
            <w:r>
              <w:rPr>
                <w:u w:val="single"/>
              </w:rPr>
              <w:t xml:space="preserve"> </w:t>
            </w:r>
            <w:r>
              <w:rPr>
                <w:u w:val="single"/>
              </w:rPr>
              <w:t xml:space="preserve"> </w:t>
            </w:r>
            <w:r>
              <w:rPr>
                <w:sz w:val="20"/>
              </w:rPr>
              <w:t>页）</w:t>
            </w:r>
          </w:p>
        </w:tc>
      </w:tr>
      <w:tr>
        <w:tc>
          <w:tcPr>
            <w:tcW w:type="dxa" w:w="2076"/>
          </w:tcPr>
          <w:p>
            <w:pPr>
              <w:pStyle w:val="null3"/>
            </w:pPr>
            <w:r>
              <w:rPr/>
              <w:t>★</w:t>
            </w:r>
          </w:p>
        </w:tc>
        <w:tc>
          <w:tcPr>
            <w:tcW w:type="dxa" w:w="415"/>
          </w:tcPr>
          <w:p>
            <w:pPr>
              <w:pStyle w:val="null3"/>
            </w:pPr>
            <w:r>
              <w:rPr/>
              <w:t>67</w:t>
            </w:r>
          </w:p>
        </w:tc>
        <w:tc>
          <w:tcPr>
            <w:tcW w:type="dxa" w:w="5814"/>
          </w:tcPr>
          <w:p>
            <w:pPr>
              <w:pStyle w:val="null3"/>
            </w:pPr>
            <w:r>
              <w:rPr/>
              <w:t>★9.提供机房建设服务：包含机房建设等费用，交钥匙工程。</w:t>
            </w:r>
          </w:p>
        </w:tc>
      </w:tr>
      <w:tr>
        <w:tc>
          <w:tcPr>
            <w:tcW w:type="dxa" w:w="2076"/>
          </w:tcPr>
          <w:p>
            <w:pPr>
              <w:pStyle w:val="null3"/>
            </w:pPr>
            <w:r>
              <w:rPr/>
              <w:t>★</w:t>
            </w:r>
          </w:p>
        </w:tc>
        <w:tc>
          <w:tcPr>
            <w:tcW w:type="dxa" w:w="415"/>
          </w:tcPr>
          <w:p>
            <w:pPr>
              <w:pStyle w:val="null3"/>
            </w:pPr>
            <w:r>
              <w:rPr/>
              <w:t>68</w:t>
            </w:r>
          </w:p>
        </w:tc>
        <w:tc>
          <w:tcPr>
            <w:tcW w:type="dxa" w:w="5814"/>
          </w:tcPr>
          <w:p>
            <w:pPr>
              <w:pStyle w:val="null3"/>
            </w:pPr>
            <w:r>
              <w:rPr/>
              <w:t>★二、配置清单（整体配置） 满足各项检查所需放射防护用具（需满足GBZ130-2020放射诊断放射防护要求） 1.主机：1台 2.图文工作站：1套 3.彩色图文输出设备：2套 4.铅衣：2套 5.铅帽：2套 6.铅围脖：2套 7.铅眼镜：2套 8.铅衣架：4个 9.铅屏风：2个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珠海市中西医结合医院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文件规定执行。以《中标（成交）通知书》中规定的中标总金额作为收费的计算基数，在基准服务费基础上按80%收取招标代理服务费，不足5000元按5000元收取。招标代理服务费由中标人在领取中标（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其他，本项目的评标由依法组建的评标委员会负责，其成员由采购人代表和有关技术、经济等方面的评审专家共5人组成，其中采购人代表 1人，专家4人。评审专家依法从政府采购评审专家库中随机抽取，采购代理机构工作人员不作为评标委员会成员。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广州市东风东路726号9楼903室（质疑受理部）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采购包1(数字化乳腺机)：综合评分法,是指投标文件满足招标文件全部实质性要求，且按照评审因素的量化指标评审得分最高的投标人为中标候选人的评标方法。（最低报价不是中标的唯一依据。）</w:t>
      </w:r>
    </w:p>
    <w:p>
      <w:pPr>
        <w:pStyle w:val="null3"/>
      </w:pPr>
      <w:r>
        <w:rPr/>
        <w:t>采购包2(全身骨密度仪)：综合评分法,是指投标文件满足招标文件全部实质性要求，且按照评审因素的量化指标评审得分最高的投标人为中标候选人的评标方法。（最低报价不是中标的唯一依据。）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采购包1（数字化乳腺机）：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调整C1，即：评标价=投标报价×（1-C1）;监狱企业与残疾人福利性单位视同小型、微型企业，享受同等价格调整，当企业属性重复时，不重复价格调整。</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采购包2（全身骨密度仪）：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调整C1，即：评标价=投标报价×（1-C1）;监狱企业与残疾人福利性单位视同小型、微型企业，享受同等价格调整，当企业属性重复时，不重复价格调整。</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采购包1（数字化乳腺机）：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本项目属于非专门面向中小企业采购的项目。（本项目采购标的所属行业：“工业”）</w:t>
            </w:r>
          </w:p>
        </w:tc>
      </w:tr>
    </w:tbl>
    <w:p>
      <w:pPr>
        <w:pStyle w:val="null3"/>
      </w:pPr>
      <w:r>
        <w:rPr/>
        <w:t>采购包2（全身骨密度仪）：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本项目属于非专门面向中小企业采购的项目。（本项目采购标的所属行业：“工业”）</w:t>
            </w:r>
          </w:p>
        </w:tc>
      </w:tr>
    </w:tbl>
    <w:p>
      <w:pPr>
        <w:pStyle w:val="null3"/>
        <w:ind w:firstLine="480"/>
      </w:pPr>
      <w:r>
        <w:rPr/>
        <w:t>表二符合性审查表：</w:t>
      </w:r>
    </w:p>
    <w:p>
      <w:pPr>
        <w:pStyle w:val="null3"/>
      </w:pPr>
      <w:r>
        <w:rPr/>
        <w:t>采购包1（数字化乳腺机）：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采购包2（全身骨密度仪）：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采购包1(数字化乳腺机):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商务部分30.4分</w:t>
            </w:r>
          </w:p>
          <w:p>
            <w:pPr>
              <w:pStyle w:val="null3"/>
            </w:pPr>
            <w:r>
              <w:rPr/>
              <w:t>技术部分39.6分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(15.6分)</w:t>
            </w:r>
          </w:p>
        </w:tc>
        <w:tc>
          <w:tcPr>
            <w:tcW w:type="dxa" w:w="5076"/>
          </w:tcPr>
          <w:p>
            <w:pPr>
              <w:pStyle w:val="null3"/>
              <w:jc w:val="left"/>
            </w:pPr>
            <w:r>
              <w:rPr/>
              <w:t>根据各投标人对招标文件“第二章 采购需求”的“技术标准与要求”附表一中的重要参数条款（带“▲”参数）（本项目共12个带▲号的重要技术参数）的响应程度进行评分：全部响应得15.6分，每有一项条款未响应或不满足的扣1.3分。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一般技术参数响应 (14.0分)</w:t>
            </w:r>
          </w:p>
        </w:tc>
        <w:tc>
          <w:tcPr>
            <w:tcW w:type="dxa" w:w="5076"/>
          </w:tcPr>
          <w:p>
            <w:pPr>
              <w:pStyle w:val="null3"/>
              <w:jc w:val="left"/>
            </w:pPr>
            <w:r>
              <w:rPr/>
              <w:t>根据各投标人对招标文件“第二章 采购需求”的“技术标准与要求”附表一中的一般参数条款（非“★、▲”参数）（其中：技术参数要求70项）的响应程度进行评分：全部响应得14分，每有一项条款未响应或不满足的扣0.2分。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据各投标人对招标文件“第二章 采购需求”中“包装运输、保险要求”及“供货安装、调试、试运行要求”提供供货方案(包括但不限于①包装与运输、保险情况；②供货安装、调试、试运行情况等内容)进行评审： 根据各投标人对招标文件“第二章 采购需求”中“包装运输、保险要求”及“供货安装、调试、试运行要求”提供供货方案(包括但不限于①包装与运输、保险情况；②供货安装、调试、试运行情况等内容)进行评审： 1）方案内容完整，对于方案内容均有详细的介绍，内容清晰，完全满足采购需求的，得10分； 2）方案内容比较完整，对于方案内容均有较详细的介绍，内容较清晰，满足采购需求的，得7分； 3）方案内容比较完善，对于方案内容均有介绍，内容不够清晰，基本满足采购需求的，得4分； 4）方案内容不完整，描述简单，不满足项目需求的，得1分； 5）未提供供货方案，得0分。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质量保证期 (3.0分)</w:t>
            </w:r>
          </w:p>
        </w:tc>
        <w:tc>
          <w:tcPr>
            <w:tcW w:type="dxa" w:w="5076"/>
          </w:tcPr>
          <w:p>
            <w:pPr>
              <w:pStyle w:val="null3"/>
              <w:jc w:val="left"/>
            </w:pPr>
            <w:r>
              <w:rPr/>
              <w:t>根据各投标人对招标文件“第二章 采购需求”中“售后服务”第（1）点的响应进行评审： 在招标文件要求的整机原厂质量保证期（3年）基础上，每增加12个月得1.5分，本项最高得3分，增加量不到12个月的不计分。 注：投标（响应）文件中提供质量保证期承诺函（格式自拟），加盖投标人公章。</w:t>
            </w:r>
          </w:p>
        </w:tc>
      </w:tr>
      <w:tr>
        <w:tc>
          <w:tcPr>
            <w:tcW w:type="dxa" w:w="922"/>
            <w:gridSpan w:val="2"/>
            <w:vMerge/>
          </w:tcPr>
          <w:p/>
        </w:tc>
        <w:tc>
          <w:tcPr>
            <w:tcW w:type="dxa" w:w="2307"/>
          </w:tcPr>
          <w:p>
            <w:pPr>
              <w:pStyle w:val="null3"/>
              <w:jc w:val="left"/>
            </w:pPr>
            <w:r>
              <w:rPr/>
              <w:t>售后服务保障方案 (10.0分)</w:t>
            </w:r>
          </w:p>
        </w:tc>
        <w:tc>
          <w:tcPr>
            <w:tcW w:type="dxa" w:w="5076"/>
          </w:tcPr>
          <w:p>
            <w:pPr>
              <w:pStyle w:val="null3"/>
              <w:jc w:val="left"/>
            </w:pPr>
            <w:r>
              <w:rPr/>
              <w:t>根根据各投标人对招标文件“第二章 采购需求”中“售后服务”第（3）-（5）点的要求提供售后服务保障方案（包括但不限于质保期内及质保期满后的服务保障内容、应急处置措施、售后人员配备、技术支持等内容）进行评审： 1）售后服务保障方案全面详细，服务保障内容、应急处置措施、售后人员配备有详细的介绍，与技术支持充分完备的，得10分； 2）售后服务保障方案完整，服务保障内容合理、应急处置措施、售后人员配备有较为详细的介绍，技术支持较完备的，得7分； 3）售后服务保障方案基本完整，服务保障内容、应急处置措、售后人员配备有基本的介绍，技术支持基本完备的，得4分； 4）售后服务保障方案不完整，描述简单，不满足项目需求的，得1分； 5）未提供售后服务保障方案的，得0分。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根据各投标人对招标文件“第二章 采购需求”中“售后服务”第（7）点的响应进行评审： 技术培训方案（包括设备操作、基本故障排除、培训人员安排及培训周期（次数）等内容）进行评审： 1）培训方案内容全面，涵盖操作规范、常见问题处理等所有关键培训内容；培训计划和流程完善，培训时间规划科学，环节设置合理，从基础理论到实践操作过渡自然流畅，得10分； 2）培训方案内容较全面，覆盖大部分重要培训内容，仅可能在个别细节上有所欠缺；培训计划和流程较完善，时间安排和环节设置较为合理，能保证培训有序开展，得7分； 3）培训方案内容仅覆盖了部分关键要点，有部分内容未涉及；培训计划和流程有欠缺，时间和环节安排不够完善，得4分； 4）培训方案内容不完整，描述简单，不满足项目需求的，得1分； 5）未提供培训方案的，得0分。</w:t>
            </w:r>
          </w:p>
        </w:tc>
      </w:tr>
      <w:tr>
        <w:tc>
          <w:tcPr>
            <w:tcW w:type="dxa" w:w="922"/>
            <w:gridSpan w:val="2"/>
            <w:vMerge/>
          </w:tcPr>
          <w:p/>
        </w:tc>
        <w:tc>
          <w:tcPr>
            <w:tcW w:type="dxa" w:w="2307"/>
          </w:tcPr>
          <w:p>
            <w:pPr>
              <w:pStyle w:val="null3"/>
              <w:jc w:val="left"/>
            </w:pPr>
            <w:r>
              <w:rPr/>
              <w:t>供货业绩 (2.4分)</w:t>
            </w:r>
          </w:p>
        </w:tc>
        <w:tc>
          <w:tcPr>
            <w:tcW w:type="dxa" w:w="5076"/>
          </w:tcPr>
          <w:p>
            <w:pPr>
              <w:pStyle w:val="null3"/>
              <w:jc w:val="left"/>
            </w:pPr>
            <w:r>
              <w:rPr/>
              <w:t>投标人自2023年1月1日至投标截止日前同类项目业绩（同类项目指至少包含“数字化乳腺机”的项目，且是投标人与设备使用单位签订的合同项目），每提供一个得1.2分，满分得2.4分。时间以合同签订时间为准。 备注：需提供合同关键页（含签订合同双方的单位名称、合同项目名称、合同清单签订合同双方的落款盖章、签订日期的关键页）复印件作为同类业绩评审证明资料。同一客户的不同业绩不重复计分。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 说明：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采购包2(全身骨密度仪):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(18.48分)</w:t>
            </w:r>
          </w:p>
        </w:tc>
        <w:tc>
          <w:tcPr>
            <w:tcW w:type="dxa" w:w="5076"/>
          </w:tcPr>
          <w:p>
            <w:pPr>
              <w:pStyle w:val="null3"/>
              <w:jc w:val="left"/>
            </w:pPr>
            <w:r>
              <w:rPr/>
              <w:t>根据各投标人对招标文件“第二章 采购需求”的“技术标准与要求”附表一中的重要参数条款（带“▲”参数）（本项目共11个带▲号的重要技术参数）的响应程度进行评分：全部响应得18.48分，每有一项条款未响应或不满足的扣1.68分。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一般技术参数响应 (11.52分)</w:t>
            </w:r>
          </w:p>
        </w:tc>
        <w:tc>
          <w:tcPr>
            <w:tcW w:type="dxa" w:w="5076"/>
          </w:tcPr>
          <w:p>
            <w:pPr>
              <w:pStyle w:val="null3"/>
              <w:jc w:val="left"/>
            </w:pPr>
            <w:r>
              <w:rPr/>
              <w:t>根据各投标人对招标文件“第二章 采购需求”的“技术标准与要求”附表一中的一般参数条款（非“★、▲”参数）（其中：技术参数要求48项）的响应程度进行评分：全部响应得11.52分，每有一项条款未响应或不满足的扣0.24分。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据各投标人对招标文件“第二章 采购需求”中“包装运输、保险要求”及“供货安装、调试、试运行要求”提供供货方案(包括但不限于①包装与运输、保险情况；②供货安装、调试、试运行情况等内容)进行评审： 根据各投标人对招标文件“第二章 采购需求”中“包装运输、保险要求”及“供货安装、调试、试运行要求”提供供货方案(包括但不限于①包装与运输、保险情况；②供货安装、调试、试运行情况等内容)进行评审： 1）方案内容完整，对于方案内容均有详细的介绍，内容清晰，完全满足采购需求的，得10分； 2）方案内容比较完整，对于方案内容均有较详细的介绍，内容较清晰，满足采购需求的，得7分； 3）方案内容比较完善，对于方案内容均有介绍，内容不够清晰，基本满足采购需求的，得4分； 4）方案内容不完整，描述简单，不满足项目需求的，得1分； 5）未提供供货方案，得0分。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质量保证期 (3.0分)</w:t>
            </w:r>
          </w:p>
        </w:tc>
        <w:tc>
          <w:tcPr>
            <w:tcW w:type="dxa" w:w="5076"/>
          </w:tcPr>
          <w:p>
            <w:pPr>
              <w:pStyle w:val="null3"/>
              <w:jc w:val="left"/>
            </w:pPr>
            <w:r>
              <w:rPr/>
              <w:t>根据各投标人对招标文件“第二章 采购需求”中“售后服务”第（1）点的响应进行评审： 在招标文件要求的整机原厂质量保证期（3年）基础上，每增加12个月得1.5分，本项最高得3分，增加量不到12个月的不计分。 注：投标（响应）文件中提供质量保证期承诺函（格式自拟），加盖投标人公章。</w:t>
            </w:r>
          </w:p>
        </w:tc>
      </w:tr>
      <w:tr>
        <w:tc>
          <w:tcPr>
            <w:tcW w:type="dxa" w:w="922"/>
            <w:gridSpan w:val="2"/>
            <w:vMerge/>
          </w:tcPr>
          <w:p/>
        </w:tc>
        <w:tc>
          <w:tcPr>
            <w:tcW w:type="dxa" w:w="2307"/>
          </w:tcPr>
          <w:p>
            <w:pPr>
              <w:pStyle w:val="null3"/>
              <w:jc w:val="left"/>
            </w:pPr>
            <w:r>
              <w:rPr/>
              <w:t>售后服务保障方案 (10.0分)</w:t>
            </w:r>
          </w:p>
        </w:tc>
        <w:tc>
          <w:tcPr>
            <w:tcW w:type="dxa" w:w="5076"/>
          </w:tcPr>
          <w:p>
            <w:pPr>
              <w:pStyle w:val="null3"/>
              <w:jc w:val="left"/>
            </w:pPr>
            <w:r>
              <w:rPr/>
              <w:t>根根据各投标人对招标文件“第二章 采购需求”中“售后服务”第（3）-（5）点的要求提供售后服务保障方案（包括但不限于质保期内及质保期满后的服务保障内容、应急处置措施、售后人员配备、技术支持等内容）进行评审： 1）售后服务保障方案全面详细，服务保障内容、应急处置措施、售后人员配备有详细的介绍，与技术支持充分完备的，得10分； 2）售后服务保障方案完整，服务保障内容合理、应急处置措施、售后人员配备有较为详细的介绍，技术支持较完备的，得7分； 3）售后服务保障方案基本完整，服务保障内容、应急处置措、售后人员配备有基本的介绍，技术支持基本完备的，得4分； 4）售后服务保障方案不完整，描述简单，不满足项目需求的，得1分； 5）未提供售后服务保障方案的，得0分。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根据各投标人对招标文件“第二章 采购需求”中“售后服务”第（7）点的响应进行评审： 技术培训方案（包括设备操作、基本故障排除、培训人员安排及培训周期（次数）等内容）进行评审： 1）培训方案内容全面，涵盖操作规范、常见问题处理等所有关键培训内容；培训计划和流程完善，培训时间规划科学，环节设置合理，从基础理论到实践操作过渡自然流畅，得10分； 2）培训方案内容较全面，覆盖大部分重要培训内容，仅可能在个别细节上有所欠缺；培训计划和流程较完善，时间安排和环节设置较为合理，能保证培训有序开展，得7分； 3）培训方案内容仅覆盖了部分关键要点，有部分内容未涉及；培训计划和流程有欠缺，时间和环节安排不够完善，得4分； 4）培训方案内容不完整，描述简单，不满足项目需求的，得1分； 5）未提供培训方案的，得0分。</w:t>
            </w:r>
          </w:p>
        </w:tc>
      </w:tr>
      <w:tr>
        <w:tc>
          <w:tcPr>
            <w:tcW w:type="dxa" w:w="922"/>
            <w:gridSpan w:val="2"/>
            <w:vMerge/>
          </w:tcPr>
          <w:p/>
        </w:tc>
        <w:tc>
          <w:tcPr>
            <w:tcW w:type="dxa" w:w="2307"/>
          </w:tcPr>
          <w:p>
            <w:pPr>
              <w:pStyle w:val="null3"/>
              <w:jc w:val="left"/>
            </w:pPr>
            <w:r>
              <w:rPr/>
              <w:t>供货业绩 (2.0分)</w:t>
            </w:r>
          </w:p>
        </w:tc>
        <w:tc>
          <w:tcPr>
            <w:tcW w:type="dxa" w:w="5076"/>
          </w:tcPr>
          <w:p>
            <w:pPr>
              <w:pStyle w:val="null3"/>
              <w:jc w:val="left"/>
            </w:pPr>
            <w:r>
              <w:rPr/>
              <w:t>投标人自2023年1月1日至投标截止日前同类项目业绩（同类项目指至少包含“全身骨密度仪”的项目，且是投标人与设备使用单位签订的合同项目），每提供一个得1分，满分得2分。时间以合同签订时间为准。 备注：需提供合同关键页（含签订合同双方的单位名称、合同项目名称、合同清单签订合同双方的落款盖章、签订日期的关键页）复印件作为同类业绩评审证明资料。同一客户的不同业绩不重复计分。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 说明：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珠海市中西医结合医院</w:t>
      </w:r>
    </w:p>
    <w:p>
      <w:pPr>
        <w:pStyle w:val="null3"/>
        <w:jc w:val="both"/>
      </w:pPr>
      <w:r>
        <w:rPr>
          <w:sz w:val="56"/>
          <w:b/>
        </w:rPr>
        <w:t>采</w:t>
      </w:r>
      <w:r>
        <w:rPr>
          <w:sz w:val="56"/>
          <w:b/>
        </w:rPr>
        <w:t>购</w:t>
      </w:r>
      <w:r>
        <w:rPr>
          <w:sz w:val="56"/>
          <w:b/>
        </w:rPr>
        <w:t>合</w:t>
      </w:r>
      <w:r>
        <w:rPr>
          <w:sz w:val="56"/>
          <w:b/>
        </w:rPr>
        <w:t>同</w:t>
      </w:r>
    </w:p>
    <w:p>
      <w:pPr>
        <w:pStyle w:val="null3"/>
        <w:jc w:val="center"/>
      </w:pPr>
      <w:r>
        <w:rPr>
          <w:sz w:val="44"/>
        </w:rPr>
        <w:t>（通用货物类）</w:t>
      </w:r>
    </w:p>
    <w:p>
      <w:pPr>
        <w:pStyle w:val="null3"/>
        <w:jc w:val="center"/>
      </w:pPr>
      <w:r>
        <w:rPr>
          <w:sz w:val="30"/>
          <w:b/>
        </w:rPr>
        <w:t>合同编号：</w:t>
      </w:r>
      <w:r>
        <w:rPr>
          <w:sz w:val="21"/>
          <w:b/>
          <w:u w:val="single"/>
        </w:rPr>
        <w:t xml:space="preserve">   </w:t>
      </w:r>
    </w:p>
    <w:p>
      <w:pPr>
        <w:pStyle w:val="null3"/>
        <w:ind w:left="2550" w:right="1410"/>
        <w:jc w:val="left"/>
      </w:pPr>
      <w:r>
        <w:rPr>
          <w:sz w:val="30"/>
          <w:b/>
        </w:rPr>
        <w:t>合同名称：</w:t>
      </w:r>
      <w:r>
        <w:rPr>
          <w:sz w:val="30"/>
          <w:b/>
          <w:u w:val="single"/>
        </w:rPr>
        <w:t>珠海市中西医结合医院采购项目</w:t>
      </w:r>
      <w:r>
        <w:rPr>
          <w:sz w:val="28"/>
          <w:b/>
          <w:u w:val="single"/>
        </w:rPr>
        <w:t>合同</w:t>
      </w:r>
      <w:r>
        <w:rPr>
          <w:sz w:val="21"/>
          <w:b/>
          <w:u w:val="single"/>
        </w:rPr>
        <w:t xml:space="preserve"> </w:t>
      </w:r>
    </w:p>
    <w:p>
      <w:pPr>
        <w:pStyle w:val="null3"/>
        <w:ind w:firstLine="991"/>
        <w:jc w:val="both"/>
      </w:pPr>
      <w:r>
        <w:rPr>
          <w:sz w:val="30"/>
          <w:b/>
        </w:rPr>
        <w:t>甲</w:t>
      </w:r>
      <w:r>
        <w:rPr>
          <w:sz w:val="30"/>
          <w:b/>
        </w:rPr>
        <w:t xml:space="preserve">   </w:t>
      </w:r>
      <w:r>
        <w:rPr>
          <w:sz w:val="30"/>
          <w:b/>
        </w:rPr>
        <w:t>方</w:t>
      </w:r>
      <w:r>
        <w:rPr>
          <w:sz w:val="30"/>
          <w:b/>
        </w:rPr>
        <w:t>：</w:t>
      </w:r>
      <w:r>
        <w:rPr>
          <w:sz w:val="30"/>
          <w:b/>
          <w:u w:val="single"/>
        </w:rPr>
        <w:t>珠海市中西医结合医院</w:t>
      </w:r>
      <w:r>
        <w:rPr>
          <w:sz w:val="30"/>
          <w:b/>
          <w:u w:val="single"/>
        </w:rPr>
        <w:t xml:space="preserve">             </w:t>
      </w:r>
    </w:p>
    <w:p>
      <w:pPr>
        <w:pStyle w:val="null3"/>
        <w:ind w:firstLine="991"/>
        <w:jc w:val="both"/>
      </w:pPr>
      <w:r>
        <w:rPr>
          <w:sz w:val="30"/>
          <w:b/>
        </w:rPr>
        <w:t>乙</w:t>
      </w:r>
      <w:r>
        <w:rPr>
          <w:sz w:val="30"/>
          <w:b/>
        </w:rPr>
        <w:t xml:space="preserve">   </w:t>
      </w:r>
      <w:r>
        <w:rPr>
          <w:sz w:val="30"/>
          <w:b/>
        </w:rPr>
        <w:t>方</w:t>
      </w:r>
      <w:r>
        <w:rPr>
          <w:sz w:val="30"/>
          <w:b/>
        </w:rPr>
        <w:t>：</w:t>
      </w:r>
      <w:r>
        <w:rPr>
          <w:sz w:val="21"/>
          <w:b/>
          <w:u w:val="single"/>
        </w:rPr>
        <w:t xml:space="preserve">         </w:t>
      </w:r>
    </w:p>
    <w:p>
      <w:pPr>
        <w:pStyle w:val="null3"/>
        <w:ind w:firstLine="991"/>
        <w:jc w:val="both"/>
      </w:pPr>
      <w:r>
        <w:rPr>
          <w:sz w:val="30"/>
          <w:b/>
        </w:rPr>
        <w:t>签署地点：</w:t>
      </w:r>
      <w:r>
        <w:rPr>
          <w:sz w:val="30"/>
          <w:b/>
          <w:u w:val="single"/>
        </w:rPr>
        <w:t>珠海市香洲区</w:t>
      </w:r>
      <w:r>
        <w:rPr>
          <w:sz w:val="30"/>
          <w:b/>
          <w:u w:val="single"/>
        </w:rPr>
        <w:t xml:space="preserve">                     </w:t>
      </w:r>
    </w:p>
    <w:p>
      <w:pPr>
        <w:pStyle w:val="null3"/>
        <w:ind w:right="135"/>
        <w:jc w:val="both"/>
      </w:pPr>
      <w:r>
        <w:rPr>
          <w:sz w:val="32"/>
          <w:b/>
        </w:rPr>
        <w:t>合同使用指引</w:t>
      </w:r>
    </w:p>
    <w:p>
      <w:pPr>
        <w:pStyle w:val="null3"/>
      </w:pPr>
      <w:r>
        <w:rPr/>
        <w:t xml:space="preserve"> </w:t>
      </w:r>
    </w:p>
    <w:p>
      <w:pPr>
        <w:pStyle w:val="null3"/>
        <w:ind w:left="210" w:right="210"/>
        <w:jc w:val="both"/>
      </w:pPr>
      <w:r>
        <w:rPr>
          <w:sz w:val="21"/>
        </w:rPr>
        <w:t>一、</w:t>
      </w:r>
      <w:r>
        <w:rPr>
          <w:sz w:val="21"/>
        </w:rPr>
        <w:t xml:space="preserve"> </w:t>
      </w:r>
      <w:r>
        <w:rPr>
          <w:sz w:val="21"/>
        </w:rPr>
        <w:t>本合同为珠海市中西医结合医院使用的通用货物采购合同示范文本，建议合同当事人参照使用。</w:t>
      </w:r>
    </w:p>
    <w:p>
      <w:pPr>
        <w:pStyle w:val="null3"/>
        <w:ind w:left="210" w:right="210" w:firstLine="482"/>
        <w:jc w:val="both"/>
      </w:pPr>
      <w:r>
        <w:rPr>
          <w:sz w:val="21"/>
        </w:rPr>
        <w:t>二、</w:t>
      </w:r>
      <w:r>
        <w:rPr>
          <w:sz w:val="21"/>
        </w:rPr>
        <w:t xml:space="preserve"> </w:t>
      </w:r>
      <w:r>
        <w:rPr>
          <w:sz w:val="21"/>
        </w:rPr>
        <w:t>签约一方为多个当事人的，可按各自在合同关系中的作用等，在</w:t>
      </w:r>
      <w:r>
        <w:rPr>
          <w:sz w:val="21"/>
        </w:rPr>
        <w:t>“</w:t>
      </w:r>
      <w:r>
        <w:rPr>
          <w:sz w:val="21"/>
        </w:rPr>
        <w:t>甲方</w:t>
      </w:r>
      <w:r>
        <w:rPr>
          <w:sz w:val="21"/>
        </w:rPr>
        <w:t>”</w:t>
      </w:r>
      <w:r>
        <w:rPr>
          <w:sz w:val="21"/>
        </w:rPr>
        <w:t>、</w:t>
      </w:r>
      <w:r>
        <w:rPr>
          <w:sz w:val="21"/>
        </w:rPr>
        <w:t>“</w:t>
      </w:r>
      <w:r>
        <w:rPr>
          <w:sz w:val="21"/>
        </w:rPr>
        <w:t>乙方</w:t>
      </w:r>
      <w:r>
        <w:rPr>
          <w:sz w:val="21"/>
        </w:rPr>
        <w:t>”</w:t>
      </w:r>
      <w:r>
        <w:rPr>
          <w:sz w:val="21"/>
        </w:rPr>
        <w:t>项下（增页）分别排列为共同甲方或共同乙方。</w:t>
      </w:r>
    </w:p>
    <w:p>
      <w:pPr>
        <w:pStyle w:val="null3"/>
        <w:ind w:left="210" w:right="210" w:firstLine="482"/>
        <w:jc w:val="both"/>
      </w:pPr>
      <w:r>
        <w:rPr>
          <w:sz w:val="21"/>
        </w:rPr>
        <w:t>三、</w:t>
      </w:r>
      <w:r>
        <w:rPr>
          <w:sz w:val="21"/>
        </w:rPr>
        <w:t xml:space="preserve"> </w:t>
      </w:r>
      <w:r>
        <w:rPr>
          <w:sz w:val="21"/>
        </w:rPr>
        <w:t>当事人使用本合同书时，应当结合具体情况正确选择文本中所提供的选择项条款。有关内容由双方根据实际情况填写，所列数字、百分比、期间均为参考值。合同双方可对参考值进行调整，对有关条款进行补充，也可根据实际需要，增加或减少定义、附件等。约定无需填写的条款，应在该条款处注明</w:t>
      </w:r>
      <w:r>
        <w:rPr>
          <w:sz w:val="21"/>
        </w:rPr>
        <w:t>“</w:t>
      </w:r>
      <w:r>
        <w:rPr>
          <w:sz w:val="21"/>
        </w:rPr>
        <w:t>无</w:t>
      </w:r>
      <w:r>
        <w:rPr>
          <w:sz w:val="21"/>
        </w:rPr>
        <w:t>”</w:t>
      </w:r>
      <w:r>
        <w:rPr>
          <w:sz w:val="21"/>
        </w:rPr>
        <w:t>等字样，或删去该条款。</w:t>
      </w:r>
    </w:p>
    <w:p>
      <w:pPr>
        <w:pStyle w:val="null3"/>
        <w:ind w:left="210" w:right="210" w:firstLine="482"/>
        <w:jc w:val="both"/>
      </w:pPr>
      <w:r>
        <w:rPr>
          <w:sz w:val="21"/>
        </w:rPr>
        <w:t>四、</w:t>
      </w:r>
      <w:r>
        <w:rPr>
          <w:sz w:val="21"/>
        </w:rPr>
        <w:t xml:space="preserve"> </w:t>
      </w:r>
      <w:r>
        <w:rPr>
          <w:sz w:val="21"/>
        </w:rPr>
        <w:t>合同中约定的实施内容应尽可能细化，项目工作的推进、款项支付进度等应与实施计划相适应，以监控项目的具体实施。本合同书原则上不得随意修改、删减，如有特殊约定可增加补充条款，但所补充条款不得与已有条款相冲突。</w:t>
      </w:r>
    </w:p>
    <w:p>
      <w:pPr>
        <w:pStyle w:val="null3"/>
        <w:ind w:left="210" w:right="210" w:firstLine="482"/>
        <w:jc w:val="both"/>
      </w:pPr>
      <w:r>
        <w:rPr>
          <w:sz w:val="21"/>
        </w:rPr>
        <w:t>五、</w:t>
      </w:r>
      <w:r>
        <w:rPr>
          <w:sz w:val="21"/>
        </w:rPr>
        <w:t xml:space="preserve"> </w:t>
      </w:r>
      <w:r>
        <w:rPr>
          <w:sz w:val="21"/>
        </w:rPr>
        <w:t>若乙方在履行本合同的过程中提供了货物样品，请务必注意保留相应样品，以用于货物验收或质量异议。</w:t>
      </w:r>
    </w:p>
    <w:p>
      <w:pPr>
        <w:pStyle w:val="null3"/>
        <w:ind w:left="210" w:right="210" w:firstLine="482"/>
        <w:jc w:val="both"/>
      </w:pPr>
      <w:r>
        <w:rPr>
          <w:sz w:val="21"/>
        </w:rPr>
        <w:t>六、</w:t>
      </w:r>
      <w:r>
        <w:rPr>
          <w:sz w:val="21"/>
        </w:rPr>
        <w:t xml:space="preserve"> </w:t>
      </w:r>
      <w:r>
        <w:rPr>
          <w:sz w:val="21"/>
        </w:rPr>
        <w:t>合同文本要求按规定格式打印，大小为</w:t>
      </w:r>
      <w:r>
        <w:rPr>
          <w:sz w:val="21"/>
        </w:rPr>
        <w:t xml:space="preserve"> A4 </w:t>
      </w:r>
      <w:r>
        <w:rPr>
          <w:sz w:val="21"/>
        </w:rPr>
        <w:t xml:space="preserve">幅面，正文内容所用字型应不小于 </w:t>
      </w:r>
      <w:r>
        <w:rPr>
          <w:sz w:val="21"/>
        </w:rPr>
        <w:t xml:space="preserve">5 </w:t>
      </w:r>
      <w:r>
        <w:rPr>
          <w:sz w:val="21"/>
        </w:rPr>
        <w:t>号字；合同正本中所指定附件备齐后，应与合同装订在一起，其规格大小应与合同书一致。</w:t>
      </w:r>
    </w:p>
    <w:p>
      <w:pPr>
        <w:pStyle w:val="null3"/>
        <w:ind w:left="210" w:right="210" w:firstLine="482"/>
        <w:jc w:val="both"/>
      </w:pPr>
      <w:r>
        <w:rPr>
          <w:sz w:val="21"/>
        </w:rPr>
        <w:t>七、</w:t>
      </w:r>
      <w:r>
        <w:rPr>
          <w:sz w:val="21"/>
        </w:rPr>
        <w:t xml:space="preserve"> </w:t>
      </w:r>
      <w:r>
        <w:rPr>
          <w:sz w:val="21"/>
        </w:rPr>
        <w:t>本合同须经签约双方法人（委托代理人）签署、盖章后，需交合同原件一份至【档案室】备案</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473"/>
        <w:gridCol w:w="5833"/>
      </w:tblGrid>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甲方（买受人</w:t>
            </w:r>
            <w:r>
              <w:rPr>
                <w:sz w:val="24"/>
              </w:rPr>
              <w:t>）</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珠海市中西医结合医院</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地</w:t>
            </w:r>
            <w:r>
              <w:rPr>
                <w:sz w:val="24"/>
              </w:rPr>
              <w:t>址：</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珠海市香洲区拱北粤华路</w:t>
            </w:r>
            <w:r>
              <w:rPr>
                <w:sz w:val="24"/>
              </w:rPr>
              <w:t>208号</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法定代表</w:t>
            </w:r>
            <w:r>
              <w:rPr>
                <w:sz w:val="24"/>
              </w:rPr>
              <w:t>人：</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黄东晖</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指定联系</w:t>
            </w:r>
            <w:r>
              <w:rPr>
                <w:sz w:val="24"/>
              </w:rPr>
              <w:t>人：</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乔淑琴</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联系电</w:t>
            </w:r>
            <w:r>
              <w:rPr>
                <w:sz w:val="24"/>
              </w:rPr>
              <w:t>话</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0756-8308508</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通讯地</w:t>
            </w:r>
            <w:r>
              <w:rPr>
                <w:sz w:val="24"/>
              </w:rPr>
              <w:t>址</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珠海市香洲区拱北珠平路</w:t>
            </w:r>
            <w:r>
              <w:rPr>
                <w:sz w:val="24"/>
              </w:rPr>
              <w:t>25号</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电子邮</w:t>
            </w:r>
            <w:r>
              <w:rPr>
                <w:sz w:val="24"/>
              </w:rPr>
              <w:t>箱</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zxyzal@zhuhai.gov.cn</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传</w:t>
            </w:r>
            <w:r>
              <w:rPr>
                <w:sz w:val="24"/>
              </w:rPr>
              <w:t>真：</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无</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乙方（出卖人</w:t>
            </w:r>
            <w:r>
              <w:rPr>
                <w:sz w:val="24"/>
              </w:rPr>
              <w:t>）</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w:t>
            </w:r>
            <w:r>
              <w:rPr>
                <w:sz w:val="24"/>
              </w:rPr>
              <w:t>址：</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法定代表</w:t>
            </w:r>
            <w:r>
              <w:rPr>
                <w:sz w:val="24"/>
              </w:rPr>
              <w:t>人：</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指定联系</w:t>
            </w:r>
            <w:r>
              <w:rPr>
                <w:sz w:val="24"/>
              </w:rPr>
              <w:t>人：</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联系电</w:t>
            </w:r>
            <w:r>
              <w:rPr>
                <w:sz w:val="24"/>
              </w:rPr>
              <w:t>话</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通讯地</w:t>
            </w:r>
            <w:r>
              <w:rPr>
                <w:sz w:val="24"/>
              </w:rPr>
              <w:t>址</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电子邮</w:t>
            </w:r>
            <w:r>
              <w:rPr>
                <w:sz w:val="24"/>
              </w:rPr>
              <w:t>箱</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w:t>
            </w:r>
            <w:r>
              <w:rPr>
                <w:sz w:val="24"/>
              </w:rPr>
              <w:t>真：</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bl>
    <w:p>
      <w:pPr>
        <w:pStyle w:val="null3"/>
        <w:jc w:val="both"/>
      </w:pPr>
      <w:r>
        <w:rPr>
          <w:sz w:val="24"/>
        </w:rPr>
        <w:t>根据《中华人民共和国民法典》及</w:t>
      </w:r>
      <w:r>
        <w:rPr>
          <w:sz w:val="24"/>
        </w:rPr>
        <w:t>珠海市中西医结合医院（项目编号：）</w:t>
      </w:r>
      <w:r>
        <w:rPr>
          <w:sz w:val="24"/>
        </w:rPr>
        <w:t>的采购结果，</w:t>
      </w:r>
      <w:r>
        <w:rPr>
          <w:sz w:val="24"/>
        </w:rPr>
        <w:t>甲乙</w:t>
      </w:r>
      <w:r>
        <w:rPr>
          <w:sz w:val="24"/>
        </w:rPr>
        <w:t>双方经平等协商一致并签订本合同，由双方共同恪守。</w:t>
      </w:r>
    </w:p>
    <w:p>
      <w:pPr>
        <w:pStyle w:val="null3"/>
        <w:ind w:firstLine="520"/>
        <w:jc w:val="both"/>
        <w:outlineLvl w:val="4"/>
      </w:pPr>
      <w:r>
        <w:rPr>
          <w:sz w:val="24"/>
          <w:b/>
        </w:rPr>
        <w:t>1.货物明细（ 配置清单按附件格式附表 ）</w:t>
      </w:r>
    </w:p>
    <w:tbl>
      <w:tblPr>
        <w:tblW w:w="0" w:type="auto"/>
        <w:tblBorders>
          <w:top w:val="none" w:color="000000" w:sz="4"/>
          <w:left w:val="none" w:color="000000" w:sz="4"/>
          <w:bottom w:val="none" w:color="000000" w:sz="4"/>
          <w:right w:val="none" w:color="000000" w:sz="4"/>
          <w:insideH w:val="none"/>
          <w:insideV w:val="none"/>
        </w:tblBorders>
      </w:tblPr>
      <w:tblGrid>
        <w:gridCol w:w="474"/>
        <w:gridCol w:w="1035"/>
        <w:gridCol w:w="913"/>
        <w:gridCol w:w="572"/>
        <w:gridCol w:w="1266"/>
        <w:gridCol w:w="572"/>
        <w:gridCol w:w="450"/>
        <w:gridCol w:w="450"/>
        <w:gridCol w:w="450"/>
        <w:gridCol w:w="1035"/>
        <w:gridCol w:w="1035"/>
      </w:tblGrid>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45"/>
              <w:jc w:val="center"/>
            </w:pPr>
            <w:r>
              <w:rPr>
                <w:sz w:val="24"/>
                <w:b/>
              </w:rPr>
              <w:t>序号</w:t>
            </w:r>
          </w:p>
        </w:tc>
        <w:tc>
          <w:tcPr>
            <w:tcW w:type="dxa" w:w="10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sz w:val="24"/>
                <w:b/>
              </w:rPr>
              <w:t>货物名称</w:t>
            </w:r>
          </w:p>
        </w:tc>
        <w:tc>
          <w:tcPr>
            <w:tcW w:type="dxa" w:w="9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型号规格</w:t>
            </w:r>
          </w:p>
        </w:tc>
        <w:tc>
          <w:tcPr>
            <w:tcW w:type="dxa" w:w="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品牌</w:t>
            </w:r>
          </w:p>
        </w:tc>
        <w:tc>
          <w:tcPr>
            <w:tcW w:type="dxa" w:w="12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制造商</w:t>
            </w:r>
            <w:r>
              <w:rPr>
                <w:sz w:val="19"/>
                <w:b/>
              </w:rPr>
              <w:t xml:space="preserve">   </w:t>
            </w:r>
            <w:r>
              <w:rPr>
                <w:sz w:val="19"/>
                <w:b/>
              </w:rPr>
              <w:t xml:space="preserve"> </w:t>
            </w:r>
            <w:r>
              <w:rPr>
                <w:sz w:val="24"/>
                <w:b/>
              </w:rPr>
              <w:t>(全称)</w:t>
            </w:r>
          </w:p>
        </w:tc>
        <w:tc>
          <w:tcPr>
            <w:tcW w:type="dxa" w:w="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产地</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数量</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单位</w:t>
            </w:r>
          </w:p>
        </w:tc>
        <w:tc>
          <w:tcPr>
            <w:tcW w:type="dxa" w:w="4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币种</w:t>
            </w:r>
          </w:p>
        </w:tc>
        <w:tc>
          <w:tcPr>
            <w:tcW w:type="dxa" w:w="103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单价</w:t>
            </w:r>
          </w:p>
        </w:tc>
        <w:tc>
          <w:tcPr>
            <w:tcW w:type="dxa" w:w="10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总价</w:t>
            </w: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center"/>
            </w:pPr>
          </w:p>
        </w:tc>
        <w:tc>
          <w:tcPr>
            <w:tcW w:type="dxa" w:w="10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2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合计</w:t>
            </w:r>
          </w:p>
        </w:tc>
        <w:tc>
          <w:tcPr>
            <w:tcW w:type="dxa" w:w="7778"/>
            <w:gridSpan w:val="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60"/>
            </w:pPr>
            <w:r>
              <w:rPr>
                <w:sz w:val="24"/>
              </w:rPr>
              <w:t>总金额</w:t>
            </w:r>
            <w:r>
              <w:rPr>
                <w:sz w:val="24"/>
              </w:rPr>
              <w:t>(大写)元</w:t>
            </w:r>
            <w:r>
              <w:rPr>
                <w:sz w:val="24"/>
              </w:rPr>
              <w:t>整</w:t>
            </w:r>
            <w:r>
              <w:rPr>
                <w:sz w:val="24"/>
              </w:rPr>
              <w:t>（币种</w:t>
            </w:r>
            <w:r>
              <w:rPr>
                <w:sz w:val="24"/>
              </w:rPr>
              <w:t>:</w:t>
            </w:r>
            <w:r>
              <w:rPr>
                <w:sz w:val="24"/>
              </w:rPr>
              <w:t>人民币</w:t>
            </w:r>
            <w:r>
              <w:rPr>
                <w:sz w:val="24"/>
              </w:rPr>
              <w:t>）</w:t>
            </w:r>
          </w:p>
          <w:p>
            <w:pPr>
              <w:pStyle w:val="null3"/>
              <w:ind w:left="30"/>
            </w:pPr>
            <w:r>
              <w:rPr>
                <w:sz w:val="24"/>
              </w:rPr>
              <w:t>[小写：</w:t>
            </w:r>
            <w:r>
              <w:rPr>
                <w:sz w:val="24"/>
              </w:rPr>
              <w:t>¥</w:t>
            </w:r>
            <w:r>
              <w:rPr>
                <w:sz w:val="24"/>
              </w:rPr>
              <w:t>（币种</w:t>
            </w:r>
            <w:r>
              <w:rPr>
                <w:sz w:val="24"/>
              </w:rPr>
              <w:t>:</w:t>
            </w:r>
            <w:r>
              <w:rPr>
                <w:sz w:val="24"/>
              </w:rPr>
              <w:t>人民币</w:t>
            </w:r>
            <w:r>
              <w:rPr>
                <w:sz w:val="24"/>
              </w:rPr>
              <w:t>）</w:t>
            </w:r>
            <w:r>
              <w:rPr>
                <w:sz w:val="24"/>
              </w:rPr>
              <w:t>]</w:t>
            </w:r>
          </w:p>
          <w:p>
            <w:pPr>
              <w:pStyle w:val="null3"/>
              <w:ind w:left="30"/>
            </w:pPr>
            <w:r>
              <w:rPr>
                <w:sz w:val="24"/>
              </w:rPr>
              <w:t>此价格</w:t>
            </w:r>
            <w:r>
              <w:rPr>
                <w:sz w:val="24"/>
              </w:rPr>
              <w:t>为含税费用且</w:t>
            </w:r>
            <w:r>
              <w:rPr>
                <w:sz w:val="24"/>
              </w:rPr>
              <w:t>包含标书中所有配件在内。</w:t>
            </w:r>
          </w:p>
          <w:p>
            <w:pPr>
              <w:pStyle w:val="null3"/>
              <w:ind w:left="30"/>
            </w:pPr>
            <w:r>
              <w:rPr>
                <w:sz w:val="24"/>
              </w:rPr>
              <w:t>产品注册证号：</w:t>
            </w:r>
          </w:p>
        </w:tc>
      </w:tr>
    </w:tbl>
    <w:p>
      <w:pPr>
        <w:pStyle w:val="null3"/>
        <w:ind w:right="105"/>
        <w:jc w:val="left"/>
        <w:outlineLvl w:val="4"/>
      </w:pPr>
      <w:r>
        <w:rPr>
          <w:sz w:val="24"/>
          <w:b/>
        </w:rPr>
        <w:t>1.1上述合同价款为包干总价，该包干总价为乙方按照合同约定完成合同全部义务后所适用的总价格，包括但不限于购买货物的费用、运输费、保险费、装卸费、配套资料费、安装调试费用、培训费用、售后服务费用、接口费、各项税费及合同实施过程中不可预见费用等。除本合同明确约定的费用外，甲方无需支付任何额外费用和承担任何额外义务。上述合同价款等各项内容在本合同履行过程中保持不变，经甲乙双方协商一致以书面形式予以变更的除外。</w:t>
      </w:r>
    </w:p>
    <w:p>
      <w:pPr>
        <w:pStyle w:val="null3"/>
        <w:ind w:right="105"/>
        <w:jc w:val="left"/>
        <w:outlineLvl w:val="4"/>
      </w:pPr>
      <w:r>
        <w:rPr>
          <w:sz w:val="24"/>
          <w:b/>
        </w:rPr>
        <w:t>1.2在实际合同履行过程中，如果乙方未完全履行合同义务或履行的合同义务不符合约定的，则未履行或履行不符合合同约定的内容所对应的价款由甲方直接从上述约定的包干价中扣除。</w:t>
      </w:r>
    </w:p>
    <w:p>
      <w:pPr>
        <w:pStyle w:val="null3"/>
        <w:ind w:right="360"/>
        <w:jc w:val="left"/>
        <w:outlineLvl w:val="4"/>
      </w:pPr>
      <w:r>
        <w:rPr>
          <w:sz w:val="24"/>
          <w:b/>
        </w:rPr>
        <w:t>2.货物质量要求</w:t>
      </w:r>
      <w:r>
        <w:rPr>
          <w:sz w:val="20"/>
          <w:b/>
        </w:rPr>
        <w:t xml:space="preserve"> </w:t>
      </w:r>
    </w:p>
    <w:p>
      <w:pPr>
        <w:pStyle w:val="null3"/>
        <w:ind w:right="105"/>
        <w:jc w:val="left"/>
        <w:outlineLvl w:val="4"/>
      </w:pPr>
      <w:r>
        <w:rPr>
          <w:sz w:val="24"/>
          <w:b/>
        </w:rPr>
        <w:t>2.1乙方提供的货物必须符合中华人民共和国国家标准、环保标准、行业标准、地方标准、货物生产商的产品质量标准、有关部门制定的相关技术规范，符合产品说明书表明的质量状况和使用性能。</w:t>
      </w:r>
    </w:p>
    <w:p>
      <w:pPr>
        <w:pStyle w:val="null3"/>
        <w:ind w:right="105"/>
        <w:jc w:val="left"/>
        <w:outlineLvl w:val="4"/>
      </w:pPr>
      <w:r>
        <w:rPr>
          <w:sz w:val="24"/>
          <w:b/>
        </w:rPr>
        <w:t>2.2乙方提供的货物必须是全新产品（包括零部件产品）、表面无划损、破损、无任何缺陷及隐患、无侵权行为，必须具备出厂合格证，序列号、包装箱号与出厂批号一致，并可追溯查阅。且进货渠道合法，在中国境内可依常规安全合法使用。乙方应向甲方提供本合同所涉货物合法来源的证明。</w:t>
      </w:r>
    </w:p>
    <w:p>
      <w:pPr>
        <w:pStyle w:val="null3"/>
        <w:ind w:right="105"/>
        <w:jc w:val="left"/>
        <w:outlineLvl w:val="4"/>
      </w:pPr>
      <w:r>
        <w:rPr>
          <w:sz w:val="24"/>
          <w:b/>
        </w:rPr>
        <w:t>2.3乙方提供的货物应达到以下技术指标和参数要求：符合采购文件、产品说明书及合同附件等各项要求。</w:t>
      </w:r>
    </w:p>
    <w:p>
      <w:pPr>
        <w:pStyle w:val="null3"/>
        <w:ind w:right="105"/>
        <w:jc w:val="left"/>
        <w:outlineLvl w:val="4"/>
      </w:pPr>
      <w:r>
        <w:rPr>
          <w:sz w:val="24"/>
          <w:b/>
        </w:rPr>
        <w:t>2.4备品备件要求：运行至少10年所需备品备件。</w:t>
      </w:r>
    </w:p>
    <w:p>
      <w:pPr>
        <w:pStyle w:val="null3"/>
        <w:ind w:right="105"/>
        <w:jc w:val="left"/>
        <w:outlineLvl w:val="4"/>
      </w:pPr>
      <w:r>
        <w:rPr>
          <w:sz w:val="24"/>
          <w:b/>
        </w:rPr>
        <w:t>2.5乙方应将关键主机设备的用户手册、保修手册、有关单证资料及配备件、随机工具等交付给甲方，使用操作及安全须知等重要资料应附有简体中文说明。</w:t>
      </w:r>
    </w:p>
    <w:p>
      <w:pPr>
        <w:pStyle w:val="null3"/>
        <w:ind w:right="105"/>
        <w:jc w:val="left"/>
        <w:outlineLvl w:val="4"/>
      </w:pPr>
      <w:r>
        <w:rPr>
          <w:sz w:val="24"/>
          <w:b/>
        </w:rPr>
        <w:t>3.货物交付及验收</w:t>
      </w:r>
    </w:p>
    <w:p>
      <w:pPr>
        <w:pStyle w:val="null3"/>
        <w:ind w:right="105"/>
        <w:jc w:val="left"/>
        <w:outlineLvl w:val="4"/>
      </w:pPr>
      <w:r>
        <w:rPr>
          <w:sz w:val="24"/>
          <w:b/>
        </w:rPr>
        <w:t>3.1交货地点（具体）及交货方式：乙方以</w:t>
      </w:r>
      <w:r>
        <w:rPr>
          <w:sz w:val="24"/>
          <w:b/>
          <w:u w:val="single"/>
        </w:rPr>
        <w:t xml:space="preserve"> </w:t>
      </w:r>
      <w:r>
        <w:rPr>
          <w:sz w:val="24"/>
          <w:b/>
          <w:u w:val="single"/>
        </w:rPr>
        <w:t>送货上门</w:t>
      </w:r>
      <w:r>
        <w:rPr>
          <w:sz w:val="24"/>
          <w:b/>
        </w:rPr>
        <w:t>方式向珠海市中西医结合医院指定地点送达本合同约定货物。</w:t>
      </w:r>
    </w:p>
    <w:p>
      <w:pPr>
        <w:pStyle w:val="null3"/>
        <w:ind w:right="105"/>
        <w:jc w:val="left"/>
        <w:outlineLvl w:val="4"/>
      </w:pPr>
      <w:r>
        <w:rPr>
          <w:sz w:val="24"/>
          <w:b/>
        </w:rPr>
        <w:t>3.2交货日期：合同签订后，乙方应在</w:t>
      </w:r>
      <w:r>
        <w:rPr>
          <w:sz w:val="24"/>
          <w:b/>
          <w:u w:val="single"/>
        </w:rPr>
        <w:t xml:space="preserve"> </w:t>
      </w:r>
      <w:r>
        <w:rPr>
          <w:sz w:val="24"/>
          <w:b/>
          <w:u w:val="single"/>
        </w:rPr>
        <w:t xml:space="preserve">30 </w:t>
      </w:r>
      <w:r>
        <w:rPr>
          <w:sz w:val="24"/>
          <w:b/>
        </w:rPr>
        <w:t>个日历日内完成所有货物的供货、安装、调试，并交付给甲方正常使用，货物交付正常使用</w:t>
      </w:r>
      <w:r>
        <w:rPr>
          <w:sz w:val="24"/>
          <w:b/>
        </w:rPr>
        <w:t>6个月后，乙方应向甲方书面申请组织验收。乙方应在货物交付运输前5个日历日内书面通知甲方到货日期。</w:t>
      </w:r>
    </w:p>
    <w:p>
      <w:pPr>
        <w:pStyle w:val="null3"/>
        <w:ind w:right="105"/>
        <w:jc w:val="left"/>
        <w:outlineLvl w:val="4"/>
      </w:pPr>
      <w:r>
        <w:rPr>
          <w:sz w:val="24"/>
          <w:b/>
        </w:rPr>
        <w:t>3.3乙方应在交货的同时向甲方提供与本合同项下货物相符且完整的出厂合格证、技术资料、使用操作及安全须知、产品信息资料、保修手册、配备件、随机工具等材料，上述书面材料必须以简体中文书写。</w:t>
      </w:r>
    </w:p>
    <w:p>
      <w:pPr>
        <w:pStyle w:val="null3"/>
        <w:ind w:right="105"/>
        <w:jc w:val="left"/>
        <w:outlineLvl w:val="4"/>
      </w:pPr>
      <w:r>
        <w:rPr>
          <w:sz w:val="24"/>
          <w:b/>
        </w:rPr>
        <w:t>3.4乙方应保证货物的包装符合运输的要求，足以保护货物在运输过程中不会受到锈蚀、损坏、浸水、灼烧或灭失等情况。</w:t>
      </w:r>
    </w:p>
    <w:p>
      <w:pPr>
        <w:pStyle w:val="null3"/>
        <w:ind w:right="105"/>
        <w:jc w:val="left"/>
        <w:outlineLvl w:val="4"/>
      </w:pPr>
      <w:r>
        <w:rPr>
          <w:sz w:val="24"/>
          <w:b/>
        </w:rPr>
        <w:t>3.5乙方负责将货物运输至约定的交货地点并交付予甲方，并支付因运输货物所发生的一切费用，包括但不限于运输费、保险费、装卸费等。卸货、吊装、就位的人员、费用、安全、风险均由乙方负责。</w:t>
      </w:r>
    </w:p>
    <w:p>
      <w:pPr>
        <w:pStyle w:val="null3"/>
        <w:ind w:right="105"/>
        <w:jc w:val="left"/>
        <w:outlineLvl w:val="4"/>
      </w:pPr>
      <w:r>
        <w:rPr>
          <w:sz w:val="24"/>
          <w:b/>
        </w:rPr>
        <w:t>3.6货物到货开箱时，甲方应对货物进行核对，由甲方签署国内货物开箱验货情况表。核对内容包括但不限于：（1）型号、数量及外观；（2）货物所附技术资料；（3）货物组件及配置。双方确认，甲方签署国内货物开箱验货情况表并不视为对货物的最终验收，货物因运输导致损坏、瑕疵、灭失等情况，应由乙方承担赔偿责任，乙方须无条件进行退换、维修。</w:t>
      </w:r>
    </w:p>
    <w:p>
      <w:pPr>
        <w:pStyle w:val="null3"/>
        <w:ind w:right="105"/>
        <w:jc w:val="left"/>
        <w:outlineLvl w:val="4"/>
      </w:pPr>
      <w:r>
        <w:rPr>
          <w:sz w:val="24"/>
          <w:b/>
        </w:rPr>
        <w:t xml:space="preserve">3.7乙方应委派技术人员进行现场安装、调试，并提供货物安装调试的一切技术支持，调试正常且甲方初步验收合格后签收才视为交货。安装调试的具体时间由甲方提前3天通知乙方。  </w:t>
      </w:r>
    </w:p>
    <w:p>
      <w:pPr>
        <w:pStyle w:val="null3"/>
        <w:ind w:right="105"/>
        <w:jc w:val="left"/>
        <w:outlineLvl w:val="4"/>
      </w:pPr>
      <w:r>
        <w:rPr>
          <w:sz w:val="24"/>
          <w:b/>
        </w:rPr>
        <w:t>3.8货物安装调试完毕后应将货物交付给甲方正常使用，货物经甲方正常使用</w:t>
      </w:r>
      <w:r>
        <w:rPr>
          <w:sz w:val="24"/>
          <w:b/>
        </w:rPr>
        <w:t>6</w:t>
      </w:r>
      <w:r>
        <w:rPr>
          <w:sz w:val="24"/>
          <w:b/>
        </w:rPr>
        <w:t>个月后，乙方应向甲方书面申请组织验收，甲方在一个月内组织各部门进行验收。正常使用期间若未能正常使用，乙方应无条件进行更换、维修，正常使用期应重新计算。验收内容包括但不限于货物功能、性能及各项技术参数指标。</w:t>
      </w:r>
    </w:p>
    <w:p>
      <w:pPr>
        <w:pStyle w:val="null3"/>
        <w:ind w:right="105"/>
        <w:jc w:val="left"/>
        <w:outlineLvl w:val="4"/>
      </w:pPr>
      <w:r>
        <w:rPr>
          <w:sz w:val="24"/>
          <w:b/>
        </w:rPr>
        <w:t>3.9验收标准：按本合同的有关规定和采购文件要求进行验收，验收标准不得低于中华人民共和国国家标准、环保标准、行业标准、地方标准、货物生产商的产品质量标准、有关部门制定的相关技术。</w:t>
      </w:r>
    </w:p>
    <w:p>
      <w:pPr>
        <w:pStyle w:val="null3"/>
        <w:ind w:right="105"/>
        <w:jc w:val="left"/>
        <w:outlineLvl w:val="4"/>
      </w:pPr>
      <w:r>
        <w:rPr>
          <w:sz w:val="24"/>
          <w:b/>
        </w:rPr>
        <w:t>3.10甲方所购货物全部通过验收，经甲方书面确认并出具验收合格证明，视为验收合格。甲方组成验收小组按国家有关规定、规范进行验收，必要时邀请相关的专业人员或机构参与验收，相关验收费用由甲方承担。对于首次验收不合格，重新验收产生的费用，由过错方承担。</w:t>
      </w:r>
      <w:r>
        <w:rPr>
          <w:sz w:val="24"/>
          <w:b/>
        </w:rPr>
        <w:t>因货物质量问题发生争议时，由珠海市的质量技术监督部门鉴定</w:t>
      </w:r>
      <w:r>
        <w:rPr>
          <w:sz w:val="24"/>
          <w:b/>
        </w:rPr>
        <w:t>，</w:t>
      </w:r>
      <w:r>
        <w:rPr>
          <w:sz w:val="24"/>
          <w:b/>
        </w:rPr>
        <w:t>货物符合质量技术标准的，鉴定费由甲方承担；否则鉴定费由乙方承担。</w:t>
      </w:r>
    </w:p>
    <w:p>
      <w:pPr>
        <w:pStyle w:val="null3"/>
        <w:ind w:right="105"/>
        <w:jc w:val="left"/>
        <w:outlineLvl w:val="4"/>
      </w:pPr>
      <w:r>
        <w:rPr>
          <w:sz w:val="24"/>
          <w:b/>
        </w:rPr>
        <w:t>3.11甲方在开箱验货或验收中如发现货物不符合合同的约定，有权拒绝接受货物及拒绝签署验收合格证明，经各方确认后签署拒绝收货书；乙方应于20个日历日内重新提供符合合同约定的货物，否则，视为乙方逾期交货。对于数量不足的，乙方应当在本合同要求的时间内无偿补足。交货前货物锈蚀、损坏、浸水、灼烧、毁坏、灭失等风险由乙方承担。送货时的费用、包装费、保险费用由乙方负担；卸货、吊装、就位的人员、费用、安全、风险均由乙方负责。</w:t>
      </w:r>
    </w:p>
    <w:p>
      <w:pPr>
        <w:pStyle w:val="null3"/>
        <w:ind w:right="105"/>
        <w:jc w:val="left"/>
        <w:outlineLvl w:val="4"/>
      </w:pPr>
      <w:r>
        <w:rPr>
          <w:sz w:val="24"/>
          <w:b/>
        </w:rPr>
        <w:t>3.12如乙方对验收结果有异议，由甲方所在地商检部门进行复检。商检部门的检验结果表明货物不符合合同约定的，因复检发生的费用由乙方承担；检验结果表明货物符合合同约定的，因复检发生的费用由甲方承担。</w:t>
      </w:r>
    </w:p>
    <w:p>
      <w:pPr>
        <w:pStyle w:val="null3"/>
        <w:ind w:right="105"/>
        <w:jc w:val="left"/>
        <w:outlineLvl w:val="4"/>
      </w:pPr>
      <w:r>
        <w:rPr>
          <w:sz w:val="24"/>
          <w:b/>
        </w:rPr>
        <w:t>3.13根据《</w:t>
      </w:r>
      <w:r>
        <w:rPr>
          <w:sz w:val="24"/>
          <w:b/>
        </w:rPr>
        <w:t>中华人民共和国计量法</w:t>
      </w:r>
      <w:r>
        <w:rPr>
          <w:sz w:val="24"/>
          <w:b/>
        </w:rPr>
        <w:t>》及相关法律法规，如属计量检定设备乙方需提供计量检定机构出具的有效校准证书。</w:t>
      </w:r>
    </w:p>
    <w:p>
      <w:pPr>
        <w:pStyle w:val="null3"/>
        <w:ind w:right="105"/>
        <w:jc w:val="left"/>
        <w:outlineLvl w:val="4"/>
      </w:pPr>
      <w:r>
        <w:rPr>
          <w:sz w:val="24"/>
          <w:b/>
        </w:rPr>
        <w:t xml:space="preserve">3.14乙方须与本项目装修施工单位共同协商、配合完成布线和设备的安装等工程建设工作，并且承担全部装修和改建的费用。  </w:t>
      </w:r>
    </w:p>
    <w:p>
      <w:pPr>
        <w:pStyle w:val="null3"/>
        <w:ind w:right="105"/>
        <w:jc w:val="left"/>
        <w:outlineLvl w:val="4"/>
      </w:pPr>
      <w:r>
        <w:rPr>
          <w:sz w:val="24"/>
          <w:b/>
        </w:rPr>
        <w:t>4. 付款及结算方式</w:t>
      </w:r>
    </w:p>
    <w:p>
      <w:pPr>
        <w:pStyle w:val="null3"/>
        <w:ind w:right="105"/>
        <w:jc w:val="left"/>
        <w:outlineLvl w:val="4"/>
      </w:pPr>
      <w:r>
        <w:rPr>
          <w:sz w:val="24"/>
          <w:b/>
        </w:rPr>
        <w:t>4.1付款方式：</w:t>
      </w:r>
    </w:p>
    <w:p>
      <w:pPr>
        <w:pStyle w:val="null3"/>
        <w:ind w:right="90"/>
        <w:jc w:val="left"/>
        <w:outlineLvl w:val="4"/>
      </w:pPr>
      <w:r>
        <w:rPr>
          <w:sz w:val="24"/>
          <w:b/>
        </w:rPr>
        <w:t>合同签订后，乙方向甲方提供合法有效的全额发票，甲方收到发票后</w:t>
      </w:r>
      <w:r>
        <w:rPr>
          <w:sz w:val="24"/>
          <w:b/>
        </w:rPr>
        <w:t>15日内向乙方支付合同总额的50%作为预付款(以财政资金支付要求或上级支付要求为准)；乙方完成供货安装调试、配置齐全、培训完成，且该设备正常使用6个月后由乙方向甲方申请组织验收，验收合格后乙方应按照甲方要求提供甲方书面认可的安装验收报告以及其他结算材料向采购人申请结算，甲方自收到结算材料并确认结算金额后15日内向乙方支付合同总额的30%；甲方书面确认验收合格12个月后，设备无重大质量问题，向乙方支付合同总额20%的剩余货款。</w:t>
      </w:r>
    </w:p>
    <w:p>
      <w:pPr>
        <w:pStyle w:val="null3"/>
        <w:ind w:right="90"/>
        <w:jc w:val="left"/>
        <w:outlineLvl w:val="4"/>
      </w:pPr>
      <w:r>
        <w:rPr>
          <w:sz w:val="24"/>
          <w:b/>
        </w:rPr>
        <w:t>实际按照财政批复或财政资金安排进度支付。以财政资金支付方式为准。甲方在规定的付款时间为向政府采购支付部门提出办理财政支付申请手续的时间（不含政府财政支付部门审核的时间），在规定时间内提出支付申请手续后即视为甲方已经按期支付</w:t>
      </w:r>
    </w:p>
    <w:p>
      <w:pPr>
        <w:pStyle w:val="null3"/>
        <w:ind w:right="105"/>
        <w:jc w:val="left"/>
        <w:outlineLvl w:val="4"/>
      </w:pPr>
      <w:r>
        <w:rPr>
          <w:sz w:val="24"/>
          <w:b/>
        </w:rPr>
        <w:t>4.2乙方确认，上述全部合同款项均需乙方向甲方提交书面申请、该申请经甲方审批通过且甲方收到乙方开具等额、有效、完税的增值税发票后，甲方方可按上述期限支付乙方合同款项，否则，甲方有权顺延申请付款且不承担违约责任。</w:t>
      </w:r>
    </w:p>
    <w:p>
      <w:pPr>
        <w:pStyle w:val="null3"/>
        <w:ind w:right="105"/>
        <w:jc w:val="left"/>
        <w:outlineLvl w:val="4"/>
      </w:pPr>
      <w:r>
        <w:rPr>
          <w:sz w:val="24"/>
          <w:b/>
        </w:rPr>
        <w:t>4.3支付条件：(1)验收合格。(2）中标人应当于采购人支付价款前提供相应金额的合法收款发票，否则，采购人有权拒绝支付且不承担任何责任。</w:t>
      </w:r>
    </w:p>
    <w:p>
      <w:pPr>
        <w:pStyle w:val="null3"/>
        <w:ind w:right="105"/>
        <w:jc w:val="left"/>
        <w:outlineLvl w:val="4"/>
      </w:pPr>
      <w:r>
        <w:rPr>
          <w:sz w:val="24"/>
          <w:b/>
        </w:rPr>
        <w:t>4.4乙方凭以下有效文件与甲方结算：</w:t>
      </w:r>
    </w:p>
    <w:p>
      <w:pPr>
        <w:pStyle w:val="null3"/>
        <w:ind w:right="105"/>
        <w:jc w:val="left"/>
        <w:outlineLvl w:val="4"/>
      </w:pPr>
      <w:r>
        <w:rPr>
          <w:sz w:val="24"/>
          <w:b/>
        </w:rPr>
        <w:t>4.4.1合同；</w:t>
      </w:r>
    </w:p>
    <w:p>
      <w:pPr>
        <w:pStyle w:val="null3"/>
        <w:ind w:right="105"/>
        <w:jc w:val="left"/>
        <w:outlineLvl w:val="4"/>
      </w:pPr>
      <w:r>
        <w:rPr>
          <w:sz w:val="24"/>
          <w:b/>
        </w:rPr>
        <w:t>4.4.2乙方开具的完税发票；</w:t>
      </w:r>
    </w:p>
    <w:p>
      <w:pPr>
        <w:pStyle w:val="null3"/>
        <w:ind w:right="105"/>
        <w:jc w:val="left"/>
        <w:outlineLvl w:val="4"/>
      </w:pPr>
      <w:r>
        <w:rPr>
          <w:sz w:val="24"/>
          <w:b/>
        </w:rPr>
        <w:t>4.4.3验收调试报告（加盖甲方公章）；</w:t>
      </w:r>
    </w:p>
    <w:p>
      <w:pPr>
        <w:pStyle w:val="null3"/>
        <w:ind w:right="105"/>
        <w:jc w:val="left"/>
        <w:outlineLvl w:val="4"/>
      </w:pPr>
      <w:r>
        <w:rPr>
          <w:sz w:val="24"/>
          <w:b/>
        </w:rPr>
        <w:t>4.4.4成交通知书（复印件加盖乙方公章）。</w:t>
      </w:r>
    </w:p>
    <w:p>
      <w:pPr>
        <w:pStyle w:val="null3"/>
        <w:ind w:right="105"/>
        <w:jc w:val="left"/>
        <w:outlineLvl w:val="4"/>
      </w:pPr>
      <w:r>
        <w:rPr>
          <w:sz w:val="24"/>
          <w:b/>
        </w:rPr>
        <w:t>乙方向甲方开具发票的信息：</w:t>
      </w:r>
      <w:r>
        <w:rPr>
          <w:sz w:val="20"/>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857"/>
        <w:gridCol w:w="6448"/>
      </w:tblGrid>
      <w:tr>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单位名称</w:t>
            </w:r>
          </w:p>
        </w:tc>
        <w:tc>
          <w:tcPr>
            <w:tcW w:type="dxa" w:w="64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珠海市中西医结合医院</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纳税人识别号</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12440400455927160L</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地址</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广东省珠海市香洲区拱北粤华路</w:t>
            </w:r>
            <w:r>
              <w:rPr>
                <w:sz w:val="24"/>
              </w:rPr>
              <w:t>208号</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开户行</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中国农业银行股份有限公司珠海拱北支行</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开户行账号</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44350401040015717</w:t>
            </w:r>
          </w:p>
        </w:tc>
      </w:tr>
    </w:tbl>
    <w:p>
      <w:pPr>
        <w:pStyle w:val="null3"/>
        <w:ind w:right="360"/>
        <w:jc w:val="left"/>
        <w:outlineLvl w:val="4"/>
      </w:pPr>
      <w:r>
        <w:rPr>
          <w:sz w:val="24"/>
          <w:b/>
        </w:rPr>
        <w:t>4.7结算方式</w:t>
      </w:r>
    </w:p>
    <w:p>
      <w:pPr>
        <w:pStyle w:val="null3"/>
        <w:ind w:right="105"/>
        <w:jc w:val="left"/>
        <w:outlineLvl w:val="4"/>
      </w:pPr>
      <w:r>
        <w:rPr>
          <w:sz w:val="24"/>
          <w:b/>
        </w:rPr>
        <w:t>乙方指定银行转账方式结算，且指定以下账户为唯一收款账户：</w:t>
      </w:r>
    </w:p>
    <w:p>
      <w:pPr>
        <w:pStyle w:val="null3"/>
        <w:ind w:right="360"/>
        <w:jc w:val="left"/>
        <w:outlineLvl w:val="4"/>
      </w:pPr>
      <w:r>
        <w:rPr>
          <w:sz w:val="24"/>
          <w:b/>
        </w:rPr>
        <w:t>账户名称：</w:t>
      </w:r>
    </w:p>
    <w:p>
      <w:pPr>
        <w:pStyle w:val="null3"/>
        <w:ind w:right="360"/>
        <w:jc w:val="left"/>
        <w:outlineLvl w:val="4"/>
      </w:pPr>
      <w:r>
        <w:rPr>
          <w:sz w:val="24"/>
          <w:b/>
        </w:rPr>
        <w:t>开户银行：</w:t>
      </w:r>
    </w:p>
    <w:p>
      <w:pPr>
        <w:pStyle w:val="null3"/>
        <w:ind w:right="360"/>
        <w:jc w:val="left"/>
        <w:outlineLvl w:val="4"/>
      </w:pPr>
      <w:r>
        <w:rPr>
          <w:sz w:val="24"/>
          <w:b/>
        </w:rPr>
        <w:t>银行账号：</w:t>
      </w:r>
    </w:p>
    <w:p>
      <w:pPr>
        <w:pStyle w:val="null3"/>
        <w:ind w:right="360"/>
        <w:jc w:val="left"/>
        <w:outlineLvl w:val="4"/>
      </w:pPr>
      <w:r>
        <w:rPr>
          <w:sz w:val="24"/>
          <w:b/>
        </w:rPr>
        <w:t>统一社会信用代码：</w:t>
      </w:r>
    </w:p>
    <w:p>
      <w:pPr>
        <w:pStyle w:val="null3"/>
        <w:ind w:right="105"/>
        <w:jc w:val="left"/>
        <w:outlineLvl w:val="4"/>
      </w:pPr>
      <w:r>
        <w:rPr>
          <w:sz w:val="24"/>
          <w:b/>
        </w:rPr>
        <w:t>甲方向上述账户汇出款项后，即视为已履行付款义务，在汇款过程中，因乙方账户的原因（包括但不限于账号被注销、被冻结等）导致其无法收取款项的，由乙方承担相应后果。</w:t>
      </w:r>
    </w:p>
    <w:p>
      <w:pPr>
        <w:pStyle w:val="null3"/>
        <w:ind w:right="105"/>
        <w:jc w:val="left"/>
        <w:outlineLvl w:val="4"/>
      </w:pPr>
      <w:r>
        <w:rPr>
          <w:sz w:val="24"/>
          <w:b/>
        </w:rPr>
        <w:t>5.质保期及售后服务要求</w:t>
      </w:r>
    </w:p>
    <w:p>
      <w:pPr>
        <w:pStyle w:val="null3"/>
        <w:ind w:right="105"/>
        <w:jc w:val="left"/>
        <w:outlineLvl w:val="4"/>
      </w:pPr>
      <w:r>
        <w:rPr>
          <w:sz w:val="24"/>
          <w:b/>
        </w:rPr>
        <w:t>5.1保修期为整机原厂保修不少于</w:t>
      </w:r>
      <w:r>
        <w:rPr>
          <w:sz w:val="20"/>
          <w:b/>
          <w:u w:val="single"/>
        </w:rPr>
        <w:t xml:space="preserve">  </w:t>
      </w:r>
      <w:r>
        <w:rPr>
          <w:sz w:val="24"/>
          <w:b/>
        </w:rPr>
        <w:t>年，该保修期从甲方签订验收合格报告且出具验收合格证明之日算起。若国家或产品制造商对本项目所涉及的质量保证期的规定高于本项目要求，应按国家或产品制造商规定执行。非因甲方的人为原因而出现产品质量及安装问题，由乙方负责保修、包换或包退，并承担因此而产生的一切费用。如合同设备在一个月内同一部件出现两次同一故障，或非人为原因而出现的产品质量问题，维修三次后仍然有故障，乙方应负责无偿更换整机或功能模块。乙方不能修复、调换或不能退货的，应退回相应货款，并承担相应的违约责任。</w:t>
      </w:r>
    </w:p>
    <w:p>
      <w:pPr>
        <w:pStyle w:val="null3"/>
        <w:ind w:right="105"/>
        <w:jc w:val="left"/>
        <w:outlineLvl w:val="4"/>
      </w:pPr>
      <w:r>
        <w:rPr>
          <w:sz w:val="24"/>
          <w:b/>
        </w:rPr>
        <w:t>5.2乙方提供技术培训，包含但不限于现场技术培训、操作应用培训等，保证使用人员可正常操作设备的各种功能。培训不限于新装机环节。</w:t>
      </w:r>
    </w:p>
    <w:p>
      <w:pPr>
        <w:pStyle w:val="null3"/>
        <w:ind w:right="105"/>
        <w:jc w:val="left"/>
        <w:outlineLvl w:val="4"/>
      </w:pPr>
      <w:r>
        <w:rPr>
          <w:sz w:val="24"/>
          <w:b/>
        </w:rPr>
        <w:t>5.3乙方按照《售后服务承诺书》执行售后服务，《售后服务承诺书》附后作为合同的组成部分。若乙方承诺高于本合同内容的期限和要求，按照乙方承诺执行；若低于本合同内容的期限和要求，按照本合同内容执行。如乙方未能履行本合同的约定，甲方有权扣除乙方质保金（合同总价的5%）作为维修费用，质保金不足抵扣维修费用的，不足部分仍由乙方承担，且乙方仍需承担保修义务。</w:t>
      </w:r>
    </w:p>
    <w:p>
      <w:pPr>
        <w:pStyle w:val="null3"/>
        <w:ind w:right="105"/>
        <w:jc w:val="left"/>
        <w:outlineLvl w:val="4"/>
      </w:pPr>
      <w:r>
        <w:rPr>
          <w:sz w:val="24"/>
          <w:b/>
        </w:rPr>
        <w:t>5.4乙方负责完成双向通讯接入医院系统。如涉及有配套软件，乙方提供软件升级服务；乙方为甲方信息系统提供数据采集与传输接口，并配合甲方信息系统的改造作相应调整；以上所有甲方信息系统接口接入费用由乙方承担。</w:t>
      </w:r>
    </w:p>
    <w:p>
      <w:pPr>
        <w:pStyle w:val="null3"/>
        <w:ind w:right="105"/>
        <w:jc w:val="left"/>
        <w:outlineLvl w:val="4"/>
      </w:pPr>
      <w:r>
        <w:rPr>
          <w:sz w:val="24"/>
          <w:b/>
        </w:rPr>
        <w:t>5.5保修方式：对甲方的报修通知，乙方应接收到甲方通知后</w:t>
      </w:r>
      <w:r>
        <w:rPr>
          <w:sz w:val="24"/>
          <w:b/>
          <w:u w:val="single"/>
        </w:rPr>
        <w:t xml:space="preserve"> </w:t>
      </w:r>
      <w:r>
        <w:rPr>
          <w:sz w:val="24"/>
          <w:b/>
          <w:u w:val="single"/>
        </w:rPr>
        <w:t xml:space="preserve">2 </w:t>
      </w:r>
      <w:r>
        <w:rPr>
          <w:sz w:val="24"/>
          <w:b/>
        </w:rPr>
        <w:t>小时内响应，</w:t>
      </w:r>
      <w:r>
        <w:rPr>
          <w:sz w:val="24"/>
          <w:b/>
          <w:u w:val="single"/>
        </w:rPr>
        <w:t xml:space="preserve"> </w:t>
      </w:r>
      <w:r>
        <w:rPr>
          <w:sz w:val="24"/>
          <w:b/>
          <w:u w:val="single"/>
        </w:rPr>
        <w:t xml:space="preserve">24 </w:t>
      </w:r>
      <w:r>
        <w:rPr>
          <w:sz w:val="24"/>
          <w:b/>
        </w:rPr>
        <w:t>小时内到达现场并维修处理，</w:t>
      </w:r>
      <w:r>
        <w:rPr>
          <w:sz w:val="24"/>
          <w:b/>
          <w:u w:val="single"/>
        </w:rPr>
        <w:t xml:space="preserve"> </w:t>
      </w:r>
      <w:r>
        <w:rPr>
          <w:sz w:val="24"/>
          <w:b/>
          <w:u w:val="single"/>
        </w:rPr>
        <w:t xml:space="preserve">48 </w:t>
      </w:r>
      <w:r>
        <w:rPr>
          <w:sz w:val="24"/>
          <w:b/>
        </w:rPr>
        <w:t>小时内处理完毕。若在</w:t>
      </w:r>
      <w:r>
        <w:rPr>
          <w:sz w:val="24"/>
          <w:b/>
          <w:u w:val="single"/>
        </w:rPr>
        <w:t xml:space="preserve"> </w:t>
      </w:r>
      <w:r>
        <w:rPr>
          <w:sz w:val="24"/>
          <w:b/>
          <w:u w:val="single"/>
        </w:rPr>
        <w:t xml:space="preserve">48 </w:t>
      </w:r>
      <w:r>
        <w:rPr>
          <w:sz w:val="24"/>
          <w:b/>
        </w:rPr>
        <w:t>小时内仍未能有效解决，乙方应立即向甲方提供应急处置方案或在</w:t>
      </w:r>
      <w:r>
        <w:rPr>
          <w:sz w:val="24"/>
          <w:b/>
        </w:rPr>
        <w:t>10</w:t>
      </w:r>
      <w:r>
        <w:rPr>
          <w:sz w:val="24"/>
          <w:b/>
        </w:rPr>
        <w:t>个日历天内向甲方提供不低于故障设备规格型号档次的备用设备使用，直至故障修复为止，由此产生的包括但不限于运输费、安装费、搬运费、替换产品的损耗费、零部件费、调试费等全部费用由乙方承担。乙方应当每</w:t>
      </w:r>
      <w:r>
        <w:rPr>
          <w:sz w:val="24"/>
          <w:b/>
          <w:u w:val="single"/>
        </w:rPr>
        <w:t xml:space="preserve"> </w:t>
      </w:r>
      <w:r>
        <w:rPr>
          <w:sz w:val="24"/>
          <w:b/>
          <w:u w:val="single"/>
        </w:rPr>
        <w:t xml:space="preserve">3 </w:t>
      </w:r>
      <w:r>
        <w:rPr>
          <w:sz w:val="24"/>
          <w:b/>
        </w:rPr>
        <w:t>个月到采购人现场对产品进行维护。其他条款以采购文件承诺的为准。</w:t>
      </w:r>
    </w:p>
    <w:p>
      <w:pPr>
        <w:pStyle w:val="null3"/>
        <w:ind w:right="105"/>
        <w:jc w:val="left"/>
        <w:outlineLvl w:val="4"/>
      </w:pPr>
      <w:r>
        <w:rPr>
          <w:sz w:val="24"/>
          <w:b/>
        </w:rPr>
        <w:t>5.6无偿保修期届满后，如需更换零配件，乙方只向甲方收取零配件的成本费；乙方应对该设备承担终身维修义务。</w:t>
      </w:r>
    </w:p>
    <w:p>
      <w:pPr>
        <w:pStyle w:val="null3"/>
        <w:ind w:right="105"/>
        <w:jc w:val="left"/>
        <w:outlineLvl w:val="4"/>
      </w:pPr>
      <w:r>
        <w:rPr>
          <w:sz w:val="24"/>
          <w:b/>
        </w:rPr>
        <w:t>6.甲方的权利和义务</w:t>
      </w:r>
    </w:p>
    <w:p>
      <w:pPr>
        <w:pStyle w:val="null3"/>
        <w:ind w:right="105"/>
        <w:jc w:val="left"/>
        <w:outlineLvl w:val="4"/>
      </w:pPr>
      <w:r>
        <w:rPr>
          <w:sz w:val="24"/>
          <w:b/>
        </w:rPr>
        <w:t>6.1甲方承诺具有签署与履行本合同的合法权利、资质与能力。</w:t>
      </w:r>
    </w:p>
    <w:p>
      <w:pPr>
        <w:pStyle w:val="null3"/>
        <w:ind w:right="105"/>
        <w:jc w:val="left"/>
        <w:outlineLvl w:val="4"/>
      </w:pPr>
      <w:r>
        <w:rPr>
          <w:sz w:val="24"/>
          <w:b/>
        </w:rPr>
        <w:t>6.2甲方应按本合同约定支付款项。</w:t>
      </w:r>
    </w:p>
    <w:p>
      <w:pPr>
        <w:pStyle w:val="null3"/>
        <w:ind w:right="105"/>
        <w:jc w:val="left"/>
        <w:outlineLvl w:val="4"/>
      </w:pPr>
      <w:r>
        <w:rPr>
          <w:sz w:val="24"/>
          <w:b/>
        </w:rPr>
        <w:t>6.3甲方有权对乙方履行合同的行为进行监督管理，甲方提出整改意见的，乙方应予以配合并按甲方要求履行。</w:t>
      </w:r>
    </w:p>
    <w:p>
      <w:pPr>
        <w:pStyle w:val="null3"/>
        <w:ind w:right="105"/>
        <w:jc w:val="left"/>
        <w:outlineLvl w:val="4"/>
      </w:pPr>
      <w:r>
        <w:rPr>
          <w:sz w:val="24"/>
          <w:b/>
        </w:rPr>
        <w:t>7.乙方的权利和义务</w:t>
      </w:r>
      <w:r>
        <w:rPr>
          <w:sz w:val="20"/>
          <w:b/>
        </w:rPr>
        <w:t xml:space="preserve"> </w:t>
      </w:r>
    </w:p>
    <w:p>
      <w:pPr>
        <w:pStyle w:val="null3"/>
        <w:ind w:right="105"/>
        <w:jc w:val="left"/>
        <w:outlineLvl w:val="4"/>
      </w:pPr>
      <w:r>
        <w:rPr>
          <w:sz w:val="24"/>
          <w:b/>
        </w:rPr>
        <w:t>7.1乙方承诺具有签署与履行本合同的合法权利、资质与能力。</w:t>
      </w:r>
    </w:p>
    <w:p>
      <w:pPr>
        <w:pStyle w:val="null3"/>
        <w:ind w:right="105"/>
        <w:jc w:val="left"/>
        <w:outlineLvl w:val="4"/>
      </w:pPr>
      <w:r>
        <w:rPr>
          <w:sz w:val="24"/>
          <w:b/>
        </w:rPr>
        <w:t>7.2乙方保证其对交付的货物拥有完全、合法的所有权与处置权，保证甲方免受任何第三方主张任何权利，否则由此产生的一切责任均由乙方自行承担。</w:t>
      </w:r>
    </w:p>
    <w:p>
      <w:pPr>
        <w:pStyle w:val="null3"/>
        <w:ind w:right="105"/>
        <w:jc w:val="left"/>
        <w:outlineLvl w:val="4"/>
      </w:pPr>
      <w:r>
        <w:rPr>
          <w:sz w:val="24"/>
          <w:b/>
        </w:rPr>
        <w:t>7.3乙方保证其交付的货物无任何质量缺陷或瑕疵，无任何著作权、商标权或其他知识产权方面的权利限制或瑕疵，不会侵犯任何专利、商标、企业或贸易名称、版权、肖像权、技术秘密、商业秘密或其他任何权益，否则由此产生的一切责任均由乙方自行承担。</w:t>
      </w:r>
    </w:p>
    <w:p>
      <w:pPr>
        <w:pStyle w:val="null3"/>
        <w:ind w:right="105"/>
        <w:jc w:val="left"/>
        <w:outlineLvl w:val="4"/>
      </w:pPr>
      <w:r>
        <w:rPr>
          <w:sz w:val="24"/>
          <w:b/>
        </w:rPr>
        <w:t>7.4乙方保证其交付的货物符合现行适用的相关法律法规和规定以及相应的国家标准、行业标准、地方标准或在政府部门备案的企业标准。</w:t>
      </w:r>
    </w:p>
    <w:p>
      <w:pPr>
        <w:pStyle w:val="null3"/>
        <w:ind w:right="105"/>
        <w:jc w:val="left"/>
        <w:outlineLvl w:val="4"/>
      </w:pPr>
      <w:r>
        <w:rPr>
          <w:sz w:val="24"/>
          <w:b/>
        </w:rPr>
        <w:t>8.保密责任</w:t>
      </w:r>
      <w:r>
        <w:rPr>
          <w:sz w:val="20"/>
          <w:b/>
        </w:rPr>
        <w:t xml:space="preserve"> </w:t>
      </w:r>
    </w:p>
    <w:p>
      <w:pPr>
        <w:pStyle w:val="null3"/>
        <w:ind w:right="105"/>
        <w:jc w:val="left"/>
        <w:outlineLvl w:val="4"/>
      </w:pPr>
      <w:r>
        <w:rPr>
          <w:sz w:val="24"/>
          <w:b/>
        </w:rPr>
        <w:t>双方应保守通过签订和履行本合同而获取的对方之商业及技术秘密，包括本合同文本，相关技术文件、相关数据，以及其他有关信息。任何一方违反上述约定的，应赔偿合同守约方的损失。本保密条款不因合同终止、解除而终止。</w:t>
      </w:r>
    </w:p>
    <w:p>
      <w:pPr>
        <w:pStyle w:val="null3"/>
        <w:ind w:right="105"/>
        <w:jc w:val="left"/>
        <w:outlineLvl w:val="4"/>
      </w:pPr>
      <w:r>
        <w:rPr>
          <w:sz w:val="24"/>
          <w:b/>
        </w:rPr>
        <w:t>9.风险承担</w:t>
      </w:r>
      <w:r>
        <w:rPr>
          <w:sz w:val="20"/>
          <w:b/>
        </w:rPr>
        <w:t xml:space="preserve"> </w:t>
      </w:r>
    </w:p>
    <w:p>
      <w:pPr>
        <w:pStyle w:val="null3"/>
        <w:ind w:right="105"/>
        <w:jc w:val="left"/>
        <w:outlineLvl w:val="4"/>
      </w:pPr>
      <w:r>
        <w:rPr>
          <w:sz w:val="24"/>
          <w:b/>
        </w:rPr>
        <w:t>9.1货物毁损、灭失的风险，在货物经甲方验收合格以前由乙方承担，在货物经甲方验收合格以后，因甲方自身原因造成的由甲方承担，否则由乙方承担。</w:t>
      </w:r>
    </w:p>
    <w:p>
      <w:pPr>
        <w:pStyle w:val="null3"/>
        <w:ind w:right="105"/>
        <w:jc w:val="left"/>
        <w:outlineLvl w:val="4"/>
      </w:pPr>
      <w:r>
        <w:rPr>
          <w:sz w:val="24"/>
          <w:b/>
        </w:rPr>
        <w:t>9.2甲方因货物质量不符合约定的质量要求而拒绝接受货物或解除合同的，货物毁损、灭失的风险由乙方承担。</w:t>
      </w:r>
    </w:p>
    <w:p>
      <w:pPr>
        <w:pStyle w:val="null3"/>
        <w:ind w:right="105"/>
        <w:jc w:val="left"/>
        <w:outlineLvl w:val="4"/>
      </w:pPr>
      <w:r>
        <w:rPr>
          <w:sz w:val="24"/>
          <w:b/>
        </w:rPr>
        <w:t>9.3货物毁损、灭失的风险由甲方承担的，不影响因乙方履行其他合同义务。不符合约定的，甲方有权要求其承担违约责任。</w:t>
      </w:r>
    </w:p>
    <w:p>
      <w:pPr>
        <w:pStyle w:val="null3"/>
        <w:ind w:right="105"/>
        <w:jc w:val="left"/>
        <w:outlineLvl w:val="4"/>
      </w:pPr>
      <w:r>
        <w:rPr>
          <w:sz w:val="24"/>
          <w:b/>
        </w:rPr>
        <w:t>9.4由乙方承担货物毁损、灭失风险的，如货物毁损或灭失的，乙方应于20天内重新提供符合合同规定的货物，否则，视为乙方逾期交货。</w:t>
      </w:r>
    </w:p>
    <w:p>
      <w:pPr>
        <w:pStyle w:val="null3"/>
        <w:ind w:right="105"/>
        <w:jc w:val="left"/>
        <w:outlineLvl w:val="4"/>
      </w:pPr>
      <w:r>
        <w:rPr>
          <w:sz w:val="24"/>
          <w:b/>
        </w:rPr>
        <w:t xml:space="preserve">9.5由甲方承担货物毁损、灭失风险的，则甲方不能免除给付货款的义务。  </w:t>
      </w:r>
    </w:p>
    <w:p>
      <w:pPr>
        <w:pStyle w:val="null3"/>
        <w:ind w:right="105"/>
        <w:jc w:val="left"/>
        <w:outlineLvl w:val="4"/>
      </w:pPr>
      <w:r>
        <w:rPr>
          <w:sz w:val="24"/>
          <w:b/>
        </w:rPr>
        <w:t>10.违约责任</w:t>
      </w:r>
    </w:p>
    <w:p>
      <w:pPr>
        <w:pStyle w:val="null3"/>
        <w:ind w:right="105"/>
        <w:jc w:val="left"/>
        <w:outlineLvl w:val="4"/>
      </w:pPr>
      <w:r>
        <w:rPr>
          <w:sz w:val="24"/>
          <w:b/>
        </w:rPr>
        <w:t>10.1除另有约定外，因乙方原因未能按本合同规定的交货时间提供服务，从逾期之日起每日按本合同总价0.3‰的数额向甲方支付违约金。</w:t>
      </w:r>
    </w:p>
    <w:p>
      <w:pPr>
        <w:pStyle w:val="null3"/>
        <w:ind w:right="105"/>
        <w:jc w:val="left"/>
        <w:outlineLvl w:val="4"/>
      </w:pPr>
      <w:r>
        <w:rPr>
          <w:sz w:val="24"/>
          <w:b/>
        </w:rPr>
        <w:t>10.2乙方交付的货物、提供的服务不符合本合同及法律、法规、规章规定的，甲方有权拒收并单方解除本合同，并且乙方须向甲方支付本合同总价5%的违约金。</w:t>
      </w:r>
    </w:p>
    <w:p>
      <w:pPr>
        <w:pStyle w:val="null3"/>
        <w:ind w:right="105"/>
        <w:jc w:val="left"/>
        <w:outlineLvl w:val="4"/>
      </w:pPr>
      <w:r>
        <w:rPr>
          <w:sz w:val="24"/>
          <w:b/>
        </w:rPr>
        <w:t>10.3甲方无正当理由拒收货物/接受服务的，甲方向乙方偿付本合同总价的5%的违约金。</w:t>
      </w:r>
    </w:p>
    <w:p>
      <w:pPr>
        <w:pStyle w:val="null3"/>
        <w:ind w:right="105"/>
        <w:jc w:val="left"/>
        <w:outlineLvl w:val="4"/>
      </w:pPr>
      <w:r>
        <w:rPr>
          <w:sz w:val="24"/>
          <w:b/>
        </w:rPr>
        <w:t>10.4甲方因自身原因逾期付款，从逾期之日起每日按应付未付款的0.3‰向乙方偿付违约金，累计违约金总额不超过应付未付款金额的5%。</w:t>
      </w:r>
    </w:p>
    <w:p>
      <w:pPr>
        <w:pStyle w:val="null3"/>
        <w:ind w:right="105"/>
        <w:jc w:val="left"/>
        <w:outlineLvl w:val="4"/>
      </w:pPr>
      <w:r>
        <w:rPr>
          <w:sz w:val="24"/>
          <w:b/>
        </w:rPr>
        <w:t>10.5因乙方产品质量问题或安装时所导致的甲方人员、乙方人员或其他第三方人员的人身损害与财产损失，乙方应当承担全部责任，甲方有权向乙方进行追偿。</w:t>
      </w:r>
    </w:p>
    <w:p>
      <w:pPr>
        <w:pStyle w:val="null3"/>
        <w:ind w:right="105"/>
        <w:jc w:val="left"/>
        <w:outlineLvl w:val="4"/>
      </w:pPr>
      <w:r>
        <w:rPr>
          <w:sz w:val="24"/>
          <w:b/>
        </w:rPr>
        <w:t>10.6乙方同意：对于因乙方违反合同约定而产生的费用、违约金以及赔偿金等款项，甲方均有权从应支付的费用中直接扣除，不足部分仍由乙方继续向甲方支付。</w:t>
      </w:r>
    </w:p>
    <w:p>
      <w:pPr>
        <w:pStyle w:val="null3"/>
        <w:ind w:right="105"/>
        <w:jc w:val="left"/>
        <w:outlineLvl w:val="4"/>
      </w:pPr>
      <w:r>
        <w:rPr>
          <w:sz w:val="24"/>
          <w:b/>
        </w:rPr>
        <w:t xml:space="preserve">10.7因乙方的任何违约或违法行为所产生纠纷的，甲方为处理纠纷而支出的合理开支（包括但不限于律师费、诉讼费、保函费、差旅费、调查取证费、公证费、鉴定费、保全费等一切费用）均由乙方承担。  </w:t>
      </w:r>
    </w:p>
    <w:p>
      <w:pPr>
        <w:pStyle w:val="null3"/>
        <w:ind w:right="105"/>
        <w:jc w:val="left"/>
        <w:outlineLvl w:val="4"/>
      </w:pPr>
      <w:r>
        <w:rPr>
          <w:sz w:val="24"/>
          <w:b/>
        </w:rPr>
        <w:t>10.8甲方自收到合法、等额、完税且满足甲方要求的发票后</w:t>
      </w:r>
      <w:r>
        <w:rPr>
          <w:sz w:val="24"/>
          <w:b/>
          <w:u w:val="single"/>
        </w:rPr>
        <w:t>按约</w:t>
      </w:r>
      <w:r>
        <w:rPr>
          <w:sz w:val="24"/>
          <w:b/>
        </w:rPr>
        <w:t>将资金支付到合同约定的乙方账户，不得以机构变动、人员更替、政策调整等为由延迟付款，不得将采购文件和合同中未规定的义务作为向乙方付款的条件。</w:t>
      </w:r>
    </w:p>
    <w:p>
      <w:pPr>
        <w:pStyle w:val="null3"/>
        <w:ind w:right="105"/>
        <w:jc w:val="left"/>
        <w:outlineLvl w:val="4"/>
      </w:pPr>
      <w:r>
        <w:rPr>
          <w:sz w:val="24"/>
          <w:b/>
        </w:rPr>
        <w:t>10.9如乙方开具的发票有假，应按甲方要求立即补开合格发票，按发票金额的25%向甲方支付违约金并赔偿甲方因此所受损失，甲方同时有权单方终止与乙方的合同。</w:t>
      </w:r>
    </w:p>
    <w:p>
      <w:pPr>
        <w:pStyle w:val="null3"/>
        <w:ind w:right="105"/>
        <w:jc w:val="left"/>
        <w:outlineLvl w:val="4"/>
      </w:pPr>
      <w:r>
        <w:rPr>
          <w:sz w:val="24"/>
          <w:b/>
        </w:rPr>
        <w:t>10.10若乙方未按本合同的约定提供保修服务，甲方有权自行委托第三方提供甲方所需要的技术支持和售后服务，由此造成的包括但不限于第三方维保费用、甲方其他经济损失等均由乙方承担赔偿。</w:t>
      </w:r>
    </w:p>
    <w:p>
      <w:pPr>
        <w:pStyle w:val="null3"/>
        <w:ind w:right="105"/>
        <w:jc w:val="left"/>
        <w:outlineLvl w:val="4"/>
      </w:pPr>
      <w:r>
        <w:rPr>
          <w:sz w:val="24"/>
          <w:b/>
        </w:rPr>
        <w:t>10.11其它违约责任按《中华人民共和国民法典》处理。</w:t>
      </w:r>
    </w:p>
    <w:p>
      <w:pPr>
        <w:pStyle w:val="null3"/>
        <w:ind w:right="105"/>
        <w:jc w:val="left"/>
        <w:outlineLvl w:val="4"/>
      </w:pPr>
      <w:r>
        <w:rPr>
          <w:sz w:val="24"/>
          <w:b/>
        </w:rPr>
        <w:t>11.有以下情形之一的，甲方有权单方解除合同，乙方需退还甲方已支付的所有款项，并按合同总金额的10%向甲方支付违约金，违约金不足以弥补甲方损失（包括但不限于律师费、诉讼费、鉴定费等一切费用）的，乙方应另行赔偿，具体情形如下：</w:t>
      </w:r>
      <w:r>
        <w:rPr>
          <w:sz w:val="20"/>
          <w:b/>
        </w:rPr>
        <w:t xml:space="preserve"> </w:t>
      </w:r>
    </w:p>
    <w:p>
      <w:pPr>
        <w:pStyle w:val="null3"/>
        <w:ind w:right="105"/>
        <w:jc w:val="left"/>
        <w:outlineLvl w:val="4"/>
      </w:pPr>
      <w:r>
        <w:rPr>
          <w:sz w:val="24"/>
          <w:b/>
        </w:rPr>
        <w:t>11.1乙方交付货物存在侵犯他人知识产权、肖像权、技术秘密、商业秘密或其他任何权益的；</w:t>
      </w:r>
    </w:p>
    <w:p>
      <w:pPr>
        <w:pStyle w:val="null3"/>
        <w:ind w:right="105"/>
        <w:jc w:val="left"/>
        <w:outlineLvl w:val="4"/>
      </w:pPr>
      <w:r>
        <w:rPr>
          <w:sz w:val="24"/>
          <w:b/>
        </w:rPr>
        <w:t>11.2乙方履行义务不符合约定，经甲方提出整改意见后在合理期限内仍未改正的；</w:t>
      </w:r>
    </w:p>
    <w:p>
      <w:pPr>
        <w:pStyle w:val="null3"/>
        <w:ind w:right="105"/>
        <w:jc w:val="left"/>
        <w:outlineLvl w:val="4"/>
      </w:pPr>
      <w:r>
        <w:rPr>
          <w:sz w:val="24"/>
          <w:b/>
        </w:rPr>
        <w:t>11.3未经甲方书面同意，乙方将本合同项下的权利或义务转让，或将本合同项下服务转包或分包的；</w:t>
      </w:r>
    </w:p>
    <w:p>
      <w:pPr>
        <w:pStyle w:val="null3"/>
        <w:ind w:right="105"/>
        <w:jc w:val="left"/>
        <w:outlineLvl w:val="4"/>
      </w:pPr>
      <w:r>
        <w:rPr>
          <w:sz w:val="24"/>
          <w:b/>
        </w:rPr>
        <w:t>11.4乙方逾期交货逾期半个月以上的；</w:t>
      </w:r>
    </w:p>
    <w:p>
      <w:pPr>
        <w:pStyle w:val="null3"/>
        <w:ind w:right="105"/>
        <w:jc w:val="left"/>
        <w:outlineLvl w:val="4"/>
      </w:pPr>
      <w:r>
        <w:rPr>
          <w:sz w:val="24"/>
          <w:b/>
        </w:rPr>
        <w:t>11.5法律规定的其他合同解除情形。</w:t>
      </w:r>
    </w:p>
    <w:p>
      <w:pPr>
        <w:pStyle w:val="null3"/>
        <w:ind w:right="105"/>
        <w:jc w:val="left"/>
        <w:outlineLvl w:val="4"/>
      </w:pPr>
      <w:r>
        <w:rPr>
          <w:sz w:val="24"/>
          <w:b/>
        </w:rPr>
        <w:t>12.不可抗力</w:t>
      </w:r>
    </w:p>
    <w:p>
      <w:pPr>
        <w:pStyle w:val="null3"/>
        <w:ind w:right="105"/>
        <w:jc w:val="left"/>
        <w:outlineLvl w:val="4"/>
      </w:pPr>
      <w:r>
        <w:rPr>
          <w:sz w:val="24"/>
          <w:b/>
        </w:rPr>
        <w:t>一方由于水灾、火灾、地震、干旱、战争或协议一方无法预见、控制、避免和克服的其他事件导致不能或暂时不能全部或部分履行本协议，该方可以免责。但是，受不可抗力事件影响的一方应在不可抗力事件结束后</w:t>
      </w:r>
      <w:r>
        <w:rPr>
          <w:sz w:val="24"/>
          <w:b/>
        </w:rPr>
        <w:t>1日内向对方通报，以减轻可能给对方造成的损失，并在不可抗力事件影响消除之日起15日内将有关机构出具的不可抗力事件的证明寄交对方。在取得有关机构的不可抗力证明或双方谅解确认后，允许延期履行或修订合同，并根据情况可部分或全部免于承担违约责任。未提供以上证明的，不能免除违约责任。</w:t>
      </w:r>
    </w:p>
    <w:p>
      <w:pPr>
        <w:pStyle w:val="null3"/>
        <w:ind w:right="105"/>
        <w:jc w:val="left"/>
        <w:outlineLvl w:val="4"/>
      </w:pPr>
      <w:r>
        <w:rPr>
          <w:sz w:val="24"/>
          <w:b/>
        </w:rPr>
        <w:t>13.适用法律与争议解决</w:t>
      </w:r>
    </w:p>
    <w:p>
      <w:pPr>
        <w:pStyle w:val="null3"/>
        <w:ind w:right="105"/>
        <w:jc w:val="left"/>
        <w:outlineLvl w:val="4"/>
      </w:pPr>
      <w:r>
        <w:rPr>
          <w:sz w:val="24"/>
          <w:b/>
        </w:rPr>
        <w:t>13.1本合同的成立、有效性、解释、履行、签署、修订和终止以及争议的解决均应适用中华人民共和国法律。</w:t>
      </w:r>
    </w:p>
    <w:p>
      <w:pPr>
        <w:pStyle w:val="null3"/>
        <w:ind w:right="105"/>
        <w:jc w:val="left"/>
        <w:outlineLvl w:val="4"/>
      </w:pPr>
      <w:r>
        <w:rPr>
          <w:sz w:val="24"/>
          <w:b/>
        </w:rPr>
        <w:t>13.2如果任何争议或权利要求起因于本合同或与本合同有关或与本合同的解释、违约、终止或效力有关，都应由双方通过友好协商解决。双方通过协商不能解决争议，则各方同意向甲方所在地人民法院提起诉讼，由此产生的诉讼费、律师费、鉴定费、评估费、差旅费、保全费、保全保险费等一切费用由败诉方承担。</w:t>
      </w:r>
    </w:p>
    <w:p>
      <w:pPr>
        <w:pStyle w:val="null3"/>
        <w:ind w:right="105"/>
        <w:jc w:val="left"/>
        <w:outlineLvl w:val="4"/>
      </w:pPr>
      <w:r>
        <w:rPr>
          <w:sz w:val="24"/>
          <w:b/>
        </w:rPr>
        <w:t xml:space="preserve">13.3诉讼进行过程中，除双方有争议的部分外，本合同其他部分仍然有效，各方应继续履行。  </w:t>
      </w:r>
    </w:p>
    <w:p>
      <w:pPr>
        <w:pStyle w:val="null3"/>
        <w:ind w:right="105"/>
        <w:jc w:val="left"/>
        <w:outlineLvl w:val="4"/>
      </w:pPr>
      <w:r>
        <w:rPr>
          <w:sz w:val="24"/>
          <w:b/>
        </w:rPr>
        <w:t>14.通知与送达</w:t>
      </w:r>
    </w:p>
    <w:p>
      <w:pPr>
        <w:pStyle w:val="null3"/>
        <w:ind w:right="105"/>
        <w:jc w:val="left"/>
        <w:outlineLvl w:val="4"/>
      </w:pPr>
      <w:r>
        <w:rPr>
          <w:sz w:val="24"/>
          <w:b/>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right="105"/>
        <w:jc w:val="left"/>
        <w:outlineLvl w:val="4"/>
      </w:pPr>
      <w:r>
        <w:rPr>
          <w:sz w:val="24"/>
          <w:b/>
        </w:rPr>
        <w:t>15.税费</w:t>
      </w:r>
    </w:p>
    <w:p>
      <w:pPr>
        <w:pStyle w:val="null3"/>
        <w:ind w:right="105"/>
        <w:jc w:val="left"/>
        <w:outlineLvl w:val="4"/>
      </w:pPr>
      <w:r>
        <w:rPr>
          <w:sz w:val="24"/>
          <w:b/>
        </w:rPr>
        <w:t>在中国境内、外发生的与本合同执行有关的一切税费均由乙方负担。</w:t>
      </w:r>
    </w:p>
    <w:p>
      <w:pPr>
        <w:pStyle w:val="null3"/>
        <w:ind w:right="105"/>
        <w:jc w:val="left"/>
        <w:outlineLvl w:val="4"/>
      </w:pPr>
      <w:r>
        <w:rPr>
          <w:sz w:val="24"/>
          <w:b/>
        </w:rPr>
        <w:t>16.廉政要求</w:t>
      </w:r>
    </w:p>
    <w:p>
      <w:pPr>
        <w:pStyle w:val="null3"/>
        <w:ind w:right="105"/>
        <w:jc w:val="left"/>
        <w:outlineLvl w:val="4"/>
      </w:pPr>
      <w:r>
        <w:rPr>
          <w:sz w:val="24"/>
          <w:b/>
        </w:rPr>
        <w:t>为进一步加强医疗卫生行风建设，规范医疗卫生机构采购行为，有效防范商业贿赂行为营造公平交易、诚实守信的购销环境，甲方、乙方应共同遵守：</w:t>
      </w:r>
    </w:p>
    <w:p>
      <w:pPr>
        <w:pStyle w:val="null3"/>
        <w:ind w:right="105"/>
        <w:jc w:val="left"/>
        <w:outlineLvl w:val="4"/>
      </w:pPr>
      <w:r>
        <w:rPr>
          <w:sz w:val="24"/>
          <w:b/>
        </w:rPr>
        <w:t>16.1甲方严禁接受乙方以任何名义、形式给予的回_扣,不得将接受捐赠资助与合作项目挂钩，甲方工作人员不得参加乙方安排并支付费用的营业性娱乐场所的娱乐活动，不得以任何形式向乙方索要现金、有价证券、支付凭证和贵重礼品等。被迫接受乙方给予的钱物应给予退还，无法退还的，有责任如实向有关纪检监察部门反映情况。</w:t>
      </w:r>
    </w:p>
    <w:p>
      <w:pPr>
        <w:pStyle w:val="null3"/>
        <w:ind w:right="105"/>
        <w:jc w:val="left"/>
        <w:outlineLvl w:val="4"/>
      </w:pPr>
      <w:r>
        <w:rPr>
          <w:sz w:val="24"/>
          <w:b/>
        </w:rPr>
        <w:t>16.2乙方不得以回_扣、宴请等方式影响甲方工作人员的合作行为，不得在业务活动中提供旅游、超标准支付食宿费用。</w:t>
      </w:r>
    </w:p>
    <w:p>
      <w:pPr>
        <w:pStyle w:val="null3"/>
        <w:ind w:right="105"/>
        <w:jc w:val="left"/>
        <w:outlineLvl w:val="4"/>
      </w:pPr>
      <w:r>
        <w:rPr>
          <w:sz w:val="24"/>
          <w:b/>
        </w:rPr>
        <w:t>16.3乙方洽谈业务必须在工作时间到甲方指定地点联系商谈，不得借故到甲方相关领导、部门负责人及相关工作人员家中访谈并提供任何好处费。</w:t>
      </w:r>
    </w:p>
    <w:p>
      <w:pPr>
        <w:pStyle w:val="null3"/>
        <w:ind w:right="105"/>
        <w:jc w:val="left"/>
        <w:outlineLvl w:val="4"/>
      </w:pPr>
      <w:r>
        <w:rPr>
          <w:sz w:val="24"/>
          <w:b/>
        </w:rPr>
        <w:t>16.4乙方如违反本合同，一经发现，甲方有权单方终止合同，并向有关卫生健康行政部门报告。如乙方被列入商业贿赂不良记录，则严格按照相关规定处理。</w:t>
      </w:r>
    </w:p>
    <w:p>
      <w:pPr>
        <w:pStyle w:val="null3"/>
        <w:ind w:right="105"/>
        <w:jc w:val="left"/>
        <w:outlineLvl w:val="4"/>
      </w:pPr>
      <w:r>
        <w:rPr>
          <w:sz w:val="24"/>
          <w:b/>
        </w:rPr>
        <w:t>17.其它</w:t>
      </w:r>
    </w:p>
    <w:p>
      <w:pPr>
        <w:pStyle w:val="null3"/>
        <w:ind w:right="105"/>
        <w:jc w:val="left"/>
        <w:outlineLvl w:val="4"/>
      </w:pPr>
      <w:r>
        <w:rPr>
          <w:sz w:val="24"/>
          <w:b/>
        </w:rPr>
        <w:t>17.1本合同未尽事宜，应由双方友好协商解决。如需对本合同及其附件作任何修改或补充，须由双方以书面做出方为有效。修改或补充文件与本合同有不一致的，以修改或补充文件为准。</w:t>
      </w:r>
    </w:p>
    <w:p>
      <w:pPr>
        <w:pStyle w:val="null3"/>
        <w:ind w:right="105"/>
        <w:jc w:val="left"/>
        <w:outlineLvl w:val="4"/>
      </w:pPr>
      <w:r>
        <w:rPr>
          <w:sz w:val="24"/>
          <w:b/>
        </w:rPr>
        <w:t>17.2 附件为本合同不可分割的有效组成部分。若附件与合同正文有任何不一致，以合同正文为准。</w:t>
      </w:r>
    </w:p>
    <w:p>
      <w:pPr>
        <w:pStyle w:val="null3"/>
        <w:ind w:right="105"/>
        <w:jc w:val="left"/>
        <w:outlineLvl w:val="4"/>
      </w:pPr>
      <w:r>
        <w:rPr>
          <w:sz w:val="24"/>
          <w:b/>
        </w:rPr>
        <w:t>17.3 本合同经双方法定代表人（或委托代理人）签字并加盖单位印章后生效。</w:t>
      </w:r>
    </w:p>
    <w:p>
      <w:pPr>
        <w:pStyle w:val="null3"/>
        <w:ind w:right="105"/>
        <w:jc w:val="left"/>
        <w:outlineLvl w:val="4"/>
      </w:pPr>
      <w:r>
        <w:rPr>
          <w:sz w:val="24"/>
          <w:b/>
        </w:rPr>
        <w:t>17.4 合同一式肆份，均具有同等的法律效力。甲方执叁份，乙方执壹份。</w:t>
      </w:r>
    </w:p>
    <w:p>
      <w:pPr>
        <w:pStyle w:val="null3"/>
        <w:ind w:right="105"/>
        <w:jc w:val="left"/>
        <w:outlineLvl w:val="4"/>
      </w:pPr>
      <w:r>
        <w:rPr>
          <w:sz w:val="24"/>
          <w:b/>
        </w:rPr>
        <w:t>（以下无正文）</w:t>
      </w:r>
    </w:p>
    <w:p>
      <w:pPr>
        <w:pStyle w:val="null3"/>
        <w:jc w:val="both"/>
        <w:outlineLvl w:val="4"/>
      </w:pPr>
      <w:r>
        <w:rPr>
          <w:sz w:val="24"/>
          <w:b/>
        </w:rPr>
        <w:t>附件</w:t>
      </w:r>
      <w:r>
        <w:rPr>
          <w:sz w:val="24"/>
          <w:b/>
        </w:rPr>
        <w:t>1：配置清单</w:t>
      </w:r>
    </w:p>
    <w:p>
      <w:pPr>
        <w:pStyle w:val="null3"/>
        <w:ind w:right="105"/>
        <w:jc w:val="left"/>
        <w:outlineLvl w:val="4"/>
      </w:pPr>
      <w:r>
        <w:rPr>
          <w:sz w:val="24"/>
          <w:b/>
        </w:rPr>
        <w:t>附件</w:t>
      </w:r>
      <w:r>
        <w:rPr>
          <w:sz w:val="24"/>
          <w:b/>
        </w:rPr>
        <w:t>2：售后服务承诺书</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903"/>
        <w:gridCol w:w="4388"/>
      </w:tblGrid>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95"/>
            </w:pPr>
            <w:r>
              <w:rPr>
                <w:sz w:val="24"/>
              </w:rPr>
              <w:t>甲方（盖章）：珠海市中西医结合医院</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乙方（盖章）：</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right="-4245"/>
            </w:pPr>
            <w:r>
              <w:rPr>
                <w:sz w:val="24"/>
              </w:rPr>
              <w:t>法定代表人或委托代理人</w:t>
            </w:r>
            <w:r>
              <w:rPr>
                <w:sz w:val="24"/>
              </w:rPr>
              <w:t>：</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right="1755"/>
            </w:pPr>
            <w:r>
              <w:rPr>
                <w:sz w:val="24"/>
              </w:rPr>
              <w:t>法定代表人或委托代理人</w:t>
            </w:r>
            <w:r>
              <w:rPr>
                <w:sz w:val="24"/>
              </w:rPr>
              <w:t>：</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95"/>
            </w:pP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19"/>
              </w:rPr>
              <w:t xml:space="preserve"> </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755"/>
            </w:pPr>
            <w:r>
              <w:rPr>
                <w:sz w:val="24"/>
              </w:rPr>
              <w:t>年</w:t>
            </w:r>
            <w:r>
              <w:rPr>
                <w:sz w:val="19"/>
              </w:rPr>
              <w:t xml:space="preserve">  </w:t>
            </w:r>
            <w:r>
              <w:rPr>
                <w:sz w:val="24"/>
              </w:rPr>
              <w:t xml:space="preserve"> </w:t>
            </w:r>
            <w:r>
              <w:rPr>
                <w:sz w:val="24"/>
              </w:rPr>
              <w:t>月</w:t>
            </w:r>
            <w:r>
              <w:rPr>
                <w:sz w:val="19"/>
              </w:rPr>
              <w:t xml:space="preserve">  </w:t>
            </w:r>
            <w:r>
              <w:rPr>
                <w:sz w:val="24"/>
              </w:rPr>
              <w:t>日</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2145"/>
            </w:pPr>
            <w:r>
              <w:rPr>
                <w:sz w:val="24"/>
              </w:rPr>
              <w:t>年</w:t>
            </w:r>
            <w:r>
              <w:rPr>
                <w:sz w:val="19"/>
              </w:rPr>
              <w:t xml:space="preserve">  </w:t>
            </w:r>
            <w:r>
              <w:rPr>
                <w:sz w:val="24"/>
              </w:rPr>
              <w:t xml:space="preserve"> </w:t>
            </w:r>
            <w:r>
              <w:rPr>
                <w:sz w:val="24"/>
              </w:rPr>
              <w:t>月</w:t>
            </w:r>
            <w:r>
              <w:rPr>
                <w:sz w:val="19"/>
              </w:rPr>
              <w:t xml:space="preserve">  </w:t>
            </w:r>
            <w:r>
              <w:rPr>
                <w:sz w:val="24"/>
              </w:rPr>
              <w:t>日</w:t>
            </w:r>
          </w:p>
        </w:tc>
      </w:tr>
    </w:tbl>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440401-2026-00562</w:t>
      </w:r>
    </w:p>
    <w:p>
      <w:pPr>
        <w:pStyle w:val="null3"/>
        <w:jc w:val="center"/>
        <w:outlineLvl w:val="3"/>
      </w:pPr>
      <w:r>
        <w:rPr>
          <w:sz w:val="24"/>
          <w:b/>
        </w:rPr>
        <w:t>采购项目编号：</w:t>
      </w:r>
      <w:r>
        <w:rPr>
          <w:sz w:val="24"/>
          <w:b/>
        </w:rPr>
        <w:t>0724-2610ZH420898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珠海市中西医结合医院数字化乳腺机、全身骨密度仪采购项目</w:t>
      </w:r>
      <w:r>
        <w:rPr>
          <w:u w:val="single"/>
        </w:rPr>
        <w:t>”</w:t>
      </w:r>
      <w:r>
        <w:rPr/>
        <w:t>项目的招标[采购项目编号为：</w:t>
      </w:r>
      <w:r>
        <w:rPr>
          <w:u w:val="single"/>
        </w:rPr>
        <w:t>0724-2610ZH420898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珠海市中西医结合医院数字化乳腺机、全身骨密度仪采购项目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珠海市中西医结合医院数字化乳腺机、全身骨密度仪采购项目</w:t>
      </w:r>
      <w:r>
        <w:rPr/>
        <w:t>”项目采购[采购项目编号为</w:t>
      </w:r>
      <w:r>
        <w:rPr/>
        <w:t>0724-2610ZH420898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珠海市中西医结合医院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珠海市中西医结合医院数字化乳腺机、全身骨密度仪采购项目</w:t>
      </w:r>
      <w:r>
        <w:rPr/>
        <w:t>招标中获中标（采购项目编号：</w:t>
      </w:r>
      <w:r>
        <w:rPr/>
        <w:t>0724-2610ZH420898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珠海市中西医结合医院数字化乳腺机、全身骨密度仪采购项目</w:t>
      </w:r>
      <w:r>
        <w:rPr/>
        <w:t>”项目（采购项目编号：</w:t>
      </w:r>
      <w:r>
        <w:rPr/>
        <w:t>0724-2610ZH420898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