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440605-2025-05837</w:t>
      </w:r>
    </w:p>
    <w:p>
      <w:pPr>
        <w:pStyle w:val="null3"/>
        <w:jc w:val="center"/>
        <w:outlineLvl w:val="3"/>
      </w:pPr>
      <w:r>
        <w:rPr>
          <w:sz w:val="24"/>
          <w:b/>
        </w:rPr>
        <w:t>采购项目编号：</w:t>
      </w:r>
      <w:r>
        <w:rPr>
          <w:sz w:val="24"/>
          <w:b/>
        </w:rPr>
        <w:t>JF2025（NH）WZ0161</w:t>
      </w:r>
    </w:p>
    <w:p>
      <w:pPr>
        <w:pStyle w:val="null3"/>
        <w:jc w:val="center"/>
        <w:outlineLvl w:val="3"/>
      </w:pPr>
      <w:r>
        <w:rPr>
          <w:sz w:val="24"/>
          <w:b/>
        </w:rPr>
        <w:t>项目名称：</w:t>
      </w:r>
      <w:r>
        <w:rPr>
          <w:sz w:val="24"/>
          <w:b/>
        </w:rPr>
        <w:t>移动式G形臂X射线机</w:t>
      </w:r>
    </w:p>
    <w:p>
      <w:pPr>
        <w:pStyle w:val="null3"/>
        <w:jc w:val="center"/>
        <w:outlineLvl w:val="3"/>
      </w:pPr>
      <w:r>
        <w:rPr>
          <w:sz w:val="24"/>
          <w:b/>
        </w:rPr>
        <w:t>采购人：</w:t>
      </w:r>
      <w:r>
        <w:rPr>
          <w:sz w:val="24"/>
          <w:b/>
        </w:rPr>
        <w:t>佛山市南海区人民医院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佛山市南海区人民医院</w:t>
      </w:r>
      <w:r>
        <w:rPr/>
        <w:t>的委托，采用</w:t>
      </w:r>
      <w:r>
        <w:rPr/>
        <w:t>公开招标</w:t>
      </w:r>
      <w:r>
        <w:rPr/>
        <w:t>方式组织采购</w:t>
      </w:r>
      <w:r>
        <w:rPr/>
        <w:t>移动式G形臂X射线机</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移动式G形臂X射线机</w:t>
      </w:r>
    </w:p>
    <w:p>
      <w:pPr>
        <w:pStyle w:val="null3"/>
        <w:ind w:firstLine="480"/>
      </w:pPr>
      <w:r>
        <w:rPr/>
        <w:t>采购计划编号：</w:t>
      </w:r>
      <w:r>
        <w:rPr/>
        <w:t>440605-2025-05837</w:t>
      </w:r>
    </w:p>
    <w:p>
      <w:pPr>
        <w:pStyle w:val="null3"/>
        <w:ind w:firstLine="480"/>
      </w:pPr>
      <w:r>
        <w:rPr/>
        <w:t>采购项目编号：</w:t>
      </w:r>
      <w:r>
        <w:rPr/>
        <w:t>JF2025（NH）WZ0161</w:t>
      </w:r>
    </w:p>
    <w:p>
      <w:pPr>
        <w:pStyle w:val="null3"/>
        <w:ind w:firstLine="480"/>
      </w:pPr>
      <w:r>
        <w:rPr/>
        <w:t>采购方式：</w:t>
      </w:r>
      <w:r>
        <w:rPr/>
        <w:t>公开招标</w:t>
      </w:r>
    </w:p>
    <w:p>
      <w:pPr>
        <w:pStyle w:val="null3"/>
        <w:ind w:firstLine="480"/>
      </w:pPr>
      <w:r>
        <w:rPr/>
        <w:t>预算金额：</w:t>
      </w:r>
      <w:r>
        <w:rPr/>
        <w:t>1,950,000.00</w:t>
      </w:r>
      <w:r>
        <w:rPr/>
        <w:t>元</w:t>
      </w:r>
    </w:p>
    <w:p>
      <w:pPr>
        <w:pStyle w:val="null3"/>
        <w:outlineLvl w:val="3"/>
      </w:pPr>
      <w:r>
        <w:rPr>
          <w:sz w:val="24"/>
          <w:b/>
        </w:rPr>
        <w:t>2.项目内容及需求情况（采购项目技术规格、参数及要求）</w:t>
      </w:r>
    </w:p>
    <w:p>
      <w:pPr>
        <w:pStyle w:val="null3"/>
      </w:pPr>
      <w:r>
        <w:rPr/>
        <w:t>采购包1(移动式G形臂X射线机):</w:t>
      </w:r>
    </w:p>
    <w:p>
      <w:pPr>
        <w:pStyle w:val="null3"/>
      </w:pPr>
      <w:r>
        <w:rPr/>
        <w:t>采购包预算金额：1,950,000.00元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移动式G形臂X射线机</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合同履行期限：签订合同后45天内（根据采购人新院区的工程建设的情况，采购人提前一个月通知送货和安装）。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采购包1（移动式G形臂X射线机）：</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采购包1（移动式G形臂X射线机）：</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5)具备有效的医疗器械生产许可证（如投标人为制造商）。</w:t>
      </w:r>
    </w:p>
    <w:p>
      <w:pPr>
        <w:pStyle w:val="null3"/>
      </w:pPr>
      <w:r>
        <w:rPr/>
        <w:t>6)投标人具有有效的辐射安全许可证。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广东省公共资源交易平台（https://ygp.gdzwfw.gov.cn/），佛山市公共资源交易中心南海分中心（http://www.nanhai.gov.cn/fsnhq/bmdh/sydw/ggzyjyzx/jyxx/）</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佛山市南海区人民医院</w:t>
      </w:r>
    </w:p>
    <w:p>
      <w:pPr>
        <w:pStyle w:val="null3"/>
        <w:ind w:firstLine="480"/>
      </w:pPr>
      <w:r>
        <w:rPr/>
        <w:t xml:space="preserve"> 地址：</w:t>
      </w:r>
      <w:r>
        <w:rPr/>
        <w:t>佛山市南海区狮山镇桂丹路120号南海区人民医院</w:t>
      </w:r>
    </w:p>
    <w:p>
      <w:pPr>
        <w:pStyle w:val="null3"/>
        <w:ind w:firstLine="480"/>
      </w:pPr>
      <w:r>
        <w:rPr/>
        <w:t xml:space="preserve"> 联系方式：</w:t>
      </w:r>
      <w:r>
        <w:rPr/>
        <w:t>0757-66822086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4469"/>
        <w:gridCol w:w="1083"/>
        <w:gridCol w:w="2754"/>
      </w:tblGrid>
      <w:tr>
        <w:tc>
          <w:tcPr>
            <w:tcW w:type="dxa" w:w="4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1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w:t>
            </w:r>
            <w:r>
              <w:rPr>
                <w:sz w:val="21"/>
              </w:rPr>
              <w:t>(</w:t>
            </w:r>
            <w:r>
              <w:rPr>
                <w:sz w:val="21"/>
              </w:rPr>
              <w:t>人民币</w:t>
            </w:r>
            <w:r>
              <w:rPr>
                <w:sz w:val="21"/>
              </w:rPr>
              <w:t>)</w:t>
            </w:r>
          </w:p>
        </w:tc>
      </w:tr>
      <w:tr>
        <w:tc>
          <w:tcPr>
            <w:tcW w:type="dxa" w:w="4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移动式</w:t>
            </w:r>
            <w:r>
              <w:rPr>
                <w:sz w:val="21"/>
              </w:rPr>
              <w:t>G</w:t>
            </w:r>
            <w:r>
              <w:rPr>
                <w:sz w:val="21"/>
              </w:rPr>
              <w:t>形臂</w:t>
            </w:r>
            <w:r>
              <w:rPr>
                <w:sz w:val="21"/>
              </w:rPr>
              <w:t>X</w:t>
            </w:r>
            <w:r>
              <w:rPr>
                <w:sz w:val="21"/>
              </w:rPr>
              <w:t>射线机</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1,950,000.00</w:t>
            </w:r>
            <w:r>
              <w:rPr>
                <w:sz w:val="21"/>
              </w:rPr>
              <w:t>元</w:t>
            </w:r>
          </w:p>
        </w:tc>
      </w:tr>
    </w:tbl>
    <w:p>
      <w:pPr>
        <w:pStyle w:val="null3"/>
        <w:jc w:val="both"/>
      </w:pPr>
      <w:r>
        <w:rPr>
          <w:sz w:val="21"/>
        </w:rPr>
        <w:t>2.</w:t>
      </w:r>
      <w:r>
        <w:rPr>
          <w:sz w:val="21"/>
        </w:rPr>
        <w:t>总体要求：</w:t>
      </w:r>
    </w:p>
    <w:p>
      <w:pPr>
        <w:pStyle w:val="null3"/>
        <w:jc w:val="both"/>
      </w:pPr>
      <w:r>
        <w:rPr>
          <w:sz w:val="21"/>
        </w:rPr>
        <w:t>（</w:t>
      </w:r>
      <w:r>
        <w:rPr>
          <w:sz w:val="21"/>
        </w:rPr>
        <w:t>1</w:t>
      </w:r>
      <w:r>
        <w:rPr>
          <w:sz w:val="21"/>
        </w:rPr>
        <w:t>）投标人必须对本项目（所投包号内）的所有内容进行投标。</w:t>
      </w:r>
    </w:p>
    <w:p>
      <w:pPr>
        <w:pStyle w:val="null3"/>
        <w:jc w:val="both"/>
      </w:pPr>
      <w:r>
        <w:rPr>
          <w:sz w:val="21"/>
        </w:rPr>
        <w:t>（</w:t>
      </w:r>
      <w:r>
        <w:rPr>
          <w:sz w:val="21"/>
        </w:rPr>
        <w:t>2</w:t>
      </w:r>
      <w:r>
        <w:rPr>
          <w:sz w:val="21"/>
        </w:rPr>
        <w:t>）投标人漏报的单价或每单价投标中漏报、少报的费用，视为此项费用已包含在投标中，中标后不得再向采购人收取任何费用。</w:t>
      </w:r>
    </w:p>
    <w:p>
      <w:pPr>
        <w:pStyle w:val="null3"/>
        <w:jc w:val="both"/>
      </w:pPr>
      <w:r>
        <w:rPr>
          <w:sz w:val="21"/>
          <w:color w:val="000000"/>
        </w:rPr>
        <w:t>（</w:t>
      </w:r>
      <w:r>
        <w:rPr>
          <w:sz w:val="21"/>
          <w:color w:val="000000"/>
        </w:rPr>
        <w:t>3</w:t>
      </w:r>
      <w:r>
        <w:rPr>
          <w:sz w:val="21"/>
          <w:color w:val="000000"/>
        </w:rPr>
        <w:t>）</w:t>
      </w:r>
      <w:r>
        <w:rPr>
          <w:sz w:val="21"/>
        </w:rPr>
        <w:t>投标人所投产品需对</w:t>
      </w:r>
      <w:r>
        <w:rPr>
          <w:sz w:val="21"/>
        </w:rPr>
        <w:t>“用户需求书”中所有技术条款一一响应。</w:t>
      </w:r>
    </w:p>
    <w:p>
      <w:pPr>
        <w:pStyle w:val="null3"/>
        <w:jc w:val="left"/>
      </w:pPr>
      <w:r>
        <w:rPr>
          <w:sz w:val="21"/>
        </w:rPr>
        <w:t>（</w:t>
      </w:r>
      <w:r>
        <w:rPr>
          <w:sz w:val="21"/>
        </w:rPr>
        <w:t>4</w:t>
      </w:r>
      <w:r>
        <w:rPr>
          <w:sz w:val="21"/>
        </w:rPr>
        <w:t>）</w:t>
      </w:r>
      <w:r>
        <w:rPr/>
        <w:t>投标人针对本项目</w:t>
      </w:r>
      <w:r>
        <w:rPr/>
        <w:t>“第二章 采购需求”提供技术方案，对主要内容进行分析，包括但不限于：设备的性能、功能的具体特点，在本项目</w:t>
      </w:r>
      <w:r>
        <w:rPr/>
        <w:t>临床</w:t>
      </w:r>
      <w:r>
        <w:rPr/>
        <w:t>应用的预期效果；设备的选型配置，考虑安全稳定、节能高效；所投产品制造商执行的制造标准、检验标准；产品质量追溯、持续改进机制。</w:t>
      </w:r>
    </w:p>
    <w:p>
      <w:pPr>
        <w:pStyle w:val="null3"/>
        <w:jc w:val="left"/>
      </w:pPr>
      <w:r>
        <w:rPr/>
        <w:t>要求技术方案全面覆盖采购需求，设备性能卓越、选型科学合理，制造与检验标准严格，质量追溯及改进机制完善，契合项目</w:t>
      </w:r>
      <w:r>
        <w:rPr/>
        <w:t>临床</w:t>
      </w:r>
      <w:r>
        <w:rPr/>
        <w:t>需求，逻辑严谨。</w:t>
      </w:r>
    </w:p>
    <w:p>
      <w:pPr>
        <w:pStyle w:val="null3"/>
      </w:pPr>
      <w:r>
        <w:rPr>
          <w:sz w:val="21"/>
        </w:rPr>
        <w:t>（</w:t>
      </w:r>
      <w:r>
        <w:rPr>
          <w:sz w:val="21"/>
        </w:rPr>
        <w:t>5</w:t>
      </w:r>
      <w:r>
        <w:rPr>
          <w:sz w:val="21"/>
        </w:rPr>
        <w:t>）投标人针对本项目“第二章 采购需求”提供供货保障方案，对主要内容进行分析，包括但不限于：设备的生产或经销计划；及时供货的保障措施；供货渠道的稳定性、充足性。</w:t>
      </w:r>
    </w:p>
    <w:p>
      <w:pPr>
        <w:pStyle w:val="null3"/>
        <w:spacing w:after="120"/>
        <w:jc w:val="left"/>
      </w:pPr>
      <w:r>
        <w:rPr>
          <w:sz w:val="21"/>
        </w:rPr>
        <w:t>要求供货保障方案完整，生产经销计划详尽，配备多维度及时供货措施，供货渠道稳定充足，有风险应对预案，完全匹配项目需求。</w:t>
      </w:r>
    </w:p>
    <w:p>
      <w:pPr>
        <w:pStyle w:val="null3"/>
        <w:jc w:val="left"/>
      </w:pPr>
      <w:r>
        <w:rPr>
          <w:sz w:val="21"/>
        </w:rPr>
        <w:t>（</w:t>
      </w:r>
      <w:r>
        <w:rPr>
          <w:sz w:val="21"/>
        </w:rPr>
        <w:t>6</w:t>
      </w:r>
      <w:r>
        <w:rPr>
          <w:sz w:val="21"/>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要求售后服务方案完整详实，各环节计划周密，应急服务预案完备，含创新性服务项目，费用明确，完全契合项目需求。</w:t>
      </w:r>
    </w:p>
    <w:p>
      <w:pPr>
        <w:pStyle w:val="null3"/>
        <w:jc w:val="both"/>
      </w:pPr>
      <w:r>
        <w:rPr>
          <w:sz w:val="21"/>
        </w:rPr>
        <w:t>（</w:t>
      </w:r>
      <w:r>
        <w:rPr>
          <w:sz w:val="21"/>
        </w:rPr>
        <w:t>7</w:t>
      </w:r>
      <w:r>
        <w:rPr>
          <w:sz w:val="21"/>
        </w:rPr>
        <w:t>）投标文件需提供所投</w:t>
      </w:r>
      <w:r>
        <w:rPr>
          <w:sz w:val="21"/>
        </w:rPr>
        <w:t>移动式</w:t>
      </w:r>
      <w:r>
        <w:rPr>
          <w:sz w:val="21"/>
        </w:rPr>
        <w:t>G</w:t>
      </w:r>
      <w:r>
        <w:rPr>
          <w:sz w:val="21"/>
        </w:rPr>
        <w:t>形臂</w:t>
      </w:r>
      <w:r>
        <w:rPr>
          <w:sz w:val="21"/>
        </w:rPr>
        <w:t>X</w:t>
      </w:r>
      <w:r>
        <w:rPr>
          <w:sz w:val="21"/>
        </w:rPr>
        <w:t>射线机</w:t>
      </w:r>
      <w:r>
        <w:rPr>
          <w:sz w:val="21"/>
        </w:rPr>
        <w:t>自</w:t>
      </w:r>
      <w:r>
        <w:rPr>
          <w:sz w:val="21"/>
        </w:rPr>
        <w:t>2022</w:t>
      </w:r>
      <w:r>
        <w:rPr>
          <w:sz w:val="21"/>
        </w:rPr>
        <w:t>年</w:t>
      </w:r>
      <w:r>
        <w:rPr>
          <w:sz w:val="21"/>
        </w:rPr>
        <w:t>1</w:t>
      </w:r>
      <w:r>
        <w:rPr>
          <w:sz w:val="21"/>
        </w:rPr>
        <w:t>月</w:t>
      </w:r>
      <w:r>
        <w:rPr>
          <w:sz w:val="21"/>
        </w:rPr>
        <w:t>1</w:t>
      </w:r>
      <w:r>
        <w:rPr>
          <w:sz w:val="21"/>
        </w:rPr>
        <w:t>日起至今</w:t>
      </w:r>
      <w:r>
        <w:rPr>
          <w:sz w:val="21"/>
        </w:rPr>
        <w:t>(</w:t>
      </w:r>
      <w:r>
        <w:rPr>
          <w:sz w:val="21"/>
        </w:rPr>
        <w:t>以合同签订时间为准</w:t>
      </w:r>
      <w:r>
        <w:rPr>
          <w:sz w:val="21"/>
        </w:rPr>
        <w:t>)</w:t>
      </w:r>
      <w:r>
        <w:rPr>
          <w:sz w:val="21"/>
        </w:rPr>
        <w:t>具备的同品牌供货业绩，提供合同关键页复印件。上述业绩仅要求供货内容为同品牌的</w:t>
      </w:r>
      <w:r>
        <w:rPr>
          <w:sz w:val="21"/>
        </w:rPr>
        <w:t>移动式</w:t>
      </w:r>
      <w:r>
        <w:rPr>
          <w:sz w:val="21"/>
        </w:rPr>
        <w:t>G</w:t>
      </w:r>
      <w:r>
        <w:rPr>
          <w:sz w:val="21"/>
        </w:rPr>
        <w:t>形臂</w:t>
      </w:r>
      <w:r>
        <w:rPr>
          <w:sz w:val="21"/>
        </w:rPr>
        <w:t>X</w:t>
      </w:r>
      <w:r>
        <w:rPr>
          <w:sz w:val="21"/>
        </w:rPr>
        <w:t>射线机</w:t>
      </w:r>
      <w:r>
        <w:rPr>
          <w:sz w:val="21"/>
        </w:rPr>
        <w:t>，不限定供货方身份。</w:t>
      </w:r>
    </w:p>
    <w:p>
      <w:pPr>
        <w:pStyle w:val="null3"/>
        <w:jc w:val="both"/>
      </w:pPr>
      <w:r>
        <w:rPr>
          <w:sz w:val="19"/>
          <w:b/>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t xml:space="preserve"> </w:t>
      </w:r>
    </w:p>
    <w:p>
      <w:pPr>
        <w:pStyle w:val="null3"/>
      </w:pPr>
      <w:r>
        <w:rPr/>
        <w:t>采购包1（移动式G形臂X射线机）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签订合同后45天内（根据采购人新院区的工程建设的情况，采购人提前一个月通知送货和安装）。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1期：支付比例30%,签订合同后收到中标人付款申请、发票，审核无误后的5个工作日内预付合同总金额的30%。</w:t>
            </w:r>
          </w:p>
          <w:p>
            <w:pPr>
              <w:pStyle w:val="null3"/>
            </w:pPr>
            <w:r>
              <w:rPr/>
              <w:t>2期：支付比例60%,由采购人按下列程序分期付款，每期付款在以下流程并且收到中标人付款申请、发票，审核无误后的的10个工作日内完成。货物到达交货地点并完成安装部分的阶段性验收后付合同总金额的60%（要求在中标人提供全保保修承诺，承诺由厂家保修后）。</w:t>
            </w:r>
          </w:p>
          <w:p>
            <w:pPr>
              <w:pStyle w:val="null3"/>
            </w:pPr>
            <w:r>
              <w:rPr/>
              <w:t>3期：支付比例10%,正常使用一年，完成培训以及最终验收合格后付合同总金额的10%。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1期：在采购人现有的场地、配置等条件下，供应商/厂家要保证设备、系统调试至采购人在实际工作中正常使用。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高于本项目采购预算及最高限价。2)投标人应报完成本项目全部内容的人民币含税价，包括但不限于本项目全部设备、附件及施工安装产生的所有费用，含运输储存费、现场勘查人工费用、施工及安装费用、损坏后修复费用、垃圾清理费用等不可预见费用、免费/优惠提供或未注明报价的内容以及合同包含的所有风险、责任等各项应有费用以及代理服务费。</w:t>
            </w:r>
          </w:p>
          <w:p>
            <w:pPr>
              <w:pStyle w:val="null3"/>
            </w:pPr>
            <w:r>
              <w:rPr/>
              <w:t>2.经验要求，投标人在经营范围内投标，且近年来资信良好，履约能力强，没有违法记录。</w:t>
            </w:r>
          </w:p>
          <w:p>
            <w:pPr>
              <w:pStyle w:val="null3"/>
            </w:pPr>
            <w:r>
              <w:rPr/>
              <w:t>3.售后服务，1）质保期后提供终身有偿/无偿维修、保养服务。 2）提供完整的操作使用资料，随时优惠提供备品备件，优惠提供产品更新、改造服务。 3）故障处理：为本项目投入售后服务机构，对采购人的服务通知，中标人在接报后2小时内响应，4小时内到达现场，24小时内处理完毕，保证设备正常运行。 4）免费培训：安装完成后进行培训，要求教会使用为止。 5）中标人负责信息系统对接接口费用。</w:t>
            </w:r>
          </w:p>
          <w:p>
            <w:pPr>
              <w:pStyle w:val="null3"/>
            </w:pPr>
            <w:r>
              <w:rPr/>
              <w:t>★4.质保期，≥3年(从通过验收后开始计算，整套设备，含软硬件，含配套的第三方设备)。 投标人必须承诺（响应），由所投产品的生产厂家负责保修，并出具全保保修承诺文件。设备平稳运行（无硬软件方面故障图像质量达到临床诊断要求）至少一个月后通过相关部门检测后验收，才可进入质保期。</w:t>
            </w:r>
          </w:p>
          <w:p>
            <w:pPr>
              <w:pStyle w:val="null3"/>
            </w:pPr>
            <w:r>
              <w:rPr/>
              <w:t>5.培训要求，安装完成后进行现场培训，要求教会使用，交付使用后30天内回访培训。</w:t>
            </w:r>
          </w:p>
          <w:p>
            <w:pPr>
              <w:pStyle w:val="null3"/>
            </w:pPr>
            <w:r>
              <w:rPr/>
              <w:t>6.开放维修密码，提供维修手册。</w:t>
            </w:r>
          </w:p>
          <w:p>
            <w:pPr>
              <w:pStyle w:val="null3"/>
            </w:pPr>
            <w:r>
              <w:rPr/>
              <w:t>7.设备端口/接口免费开放，支持与其它系统的对接，相关费用包含在投标总价中。</w:t>
            </w:r>
          </w:p>
          <w:p>
            <w:pPr>
              <w:pStyle w:val="null3"/>
            </w:pPr>
            <w:r>
              <w:rPr/>
              <w:t>8，包含本项目的职业病危害放射防护评价（控制效果评价、竣工验收等）以及环境评价（环境批复、增项许可等）等相关全部事项。</w:t>
            </w:r>
          </w:p>
          <w:p>
            <w:pPr>
              <w:pStyle w:val="null3"/>
            </w:pPr>
            <w:r>
              <w:rPr/>
              <w:t>9.投标人完全理解并接受合同条款要求，包括：合同标的、数量、质量、价款或者报酬、履行期限、履行地点和方式、违约责任和解决争议方法等，详见第五章 合同文本。</w:t>
            </w:r>
          </w:p>
          <w:p>
            <w:pPr>
              <w:pStyle w:val="null3"/>
            </w:pPr>
            <w:r>
              <w:rPr/>
              <w:t>10.真实性和有效性，同意采购方以任何形式对我方投标文件内容及采购方认为有必要的相关资料的真实性和有效性进行审查、验证。</w:t>
            </w:r>
          </w:p>
          <w:p>
            <w:pPr>
              <w:pStyle w:val="null3"/>
            </w:pPr>
            <w:r>
              <w:rPr/>
              <w:t>11.招标文件附件，投标人应将招标公告的招标文件附件中“补充附件”内容填写好相关信息后附在投标文件中。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移动式G形臂X射线机</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1,950,000.00</w:t>
            </w:r>
          </w:p>
        </w:tc>
        <w:tc>
          <w:tcPr>
            <w:tcW w:type="dxa" w:w="831"/>
          </w:tcPr>
          <w:p>
            <w:pPr>
              <w:pStyle w:val="null3"/>
              <w:jc w:val="right"/>
            </w:pPr>
            <w:r>
              <w:rPr/>
              <w:t>1,950,000.00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移动式G形臂X射线机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44"/>
              <w:jc w:val="both"/>
            </w:pPr>
            <w:r>
              <w:rPr>
                <w:sz w:val="21"/>
              </w:rPr>
              <w:t>以下有关配置的要求仅列出主要设备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sz w:val="21"/>
              </w:rPr>
              <w:t>★投标人为代理商的，中标后必须依照《医疗器械监督管理条例》办理第二类医疗器械经营备案。</w:t>
            </w:r>
          </w:p>
          <w:p>
            <w:pPr>
              <w:pStyle w:val="null3"/>
              <w:jc w:val="both"/>
            </w:pPr>
            <w:r>
              <w:rPr>
                <w:sz w:val="21"/>
                <w:b/>
                <w:color w:val="000000"/>
              </w:rPr>
              <w:t>一、基本要求：</w:t>
            </w:r>
          </w:p>
          <w:p>
            <w:pPr>
              <w:pStyle w:val="null3"/>
              <w:jc w:val="both"/>
            </w:pPr>
            <w:r>
              <w:rPr>
                <w:sz w:val="21"/>
              </w:rPr>
              <w:t>1.用途：</w:t>
            </w:r>
            <w:r>
              <w:rPr>
                <w:sz w:val="21"/>
              </w:rPr>
              <w:t>用于骨科手术</w:t>
            </w:r>
            <w:r>
              <w:rPr>
                <w:sz w:val="21"/>
              </w:rPr>
              <w:t>X射线透视</w:t>
            </w:r>
            <w:r>
              <w:rPr>
                <w:sz w:val="21"/>
              </w:rPr>
              <w:t>定位、</w:t>
            </w:r>
            <w:r>
              <w:rPr>
                <w:sz w:val="21"/>
              </w:rPr>
              <w:t>诊断</w:t>
            </w:r>
            <w:r>
              <w:rPr>
                <w:sz w:val="21"/>
              </w:rPr>
              <w:t>。</w:t>
            </w:r>
          </w:p>
          <w:p>
            <w:pPr>
              <w:pStyle w:val="null3"/>
              <w:jc w:val="both"/>
            </w:pPr>
            <w:r>
              <w:rPr>
                <w:sz w:val="21"/>
                <w:b/>
              </w:rPr>
              <w:t>二、主要技术要求</w:t>
            </w:r>
          </w:p>
          <w:p>
            <w:pPr>
              <w:pStyle w:val="null3"/>
              <w:jc w:val="both"/>
            </w:pPr>
            <w:r>
              <w:rPr>
                <w:sz w:val="21"/>
              </w:rPr>
              <w:t>1.</w:t>
            </w:r>
            <w:r>
              <w:rPr>
                <w:sz w:val="21"/>
              </w:rPr>
              <w:t>设备工作电源要求：民用电源</w:t>
            </w:r>
            <w:r>
              <w:rPr>
                <w:sz w:val="21"/>
              </w:rPr>
              <w:t>220V</w:t>
            </w:r>
            <w:r>
              <w:rPr>
                <w:sz w:val="21"/>
              </w:rPr>
              <w:t>，≤</w:t>
            </w:r>
            <w:r>
              <w:rPr>
                <w:sz w:val="21"/>
              </w:rPr>
              <w:t>16A</w:t>
            </w:r>
          </w:p>
          <w:p>
            <w:pPr>
              <w:pStyle w:val="null3"/>
              <w:jc w:val="both"/>
            </w:pPr>
            <w:r>
              <w:rPr>
                <w:sz w:val="21"/>
              </w:rPr>
              <w:t>2.X</w:t>
            </w:r>
            <w:r>
              <w:rPr>
                <w:sz w:val="21"/>
              </w:rPr>
              <w:t>射线发生装置：</w:t>
            </w:r>
          </w:p>
          <w:p>
            <w:pPr>
              <w:pStyle w:val="null3"/>
              <w:jc w:val="both"/>
            </w:pPr>
            <w:r>
              <w:rPr>
                <w:sz w:val="21"/>
              </w:rPr>
              <w:t>2.1</w:t>
            </w:r>
            <w:r>
              <w:rPr>
                <w:sz w:val="21"/>
              </w:rPr>
              <w:t>最大输出功率≥</w:t>
            </w:r>
            <w:r>
              <w:rPr>
                <w:sz w:val="21"/>
              </w:rPr>
              <w:t>5KW</w:t>
            </w:r>
          </w:p>
          <w:p>
            <w:pPr>
              <w:pStyle w:val="null3"/>
              <w:jc w:val="both"/>
            </w:pPr>
            <w:r>
              <w:rPr>
                <w:sz w:val="21"/>
              </w:rPr>
              <w:t>2.2</w:t>
            </w:r>
            <w:r>
              <w:rPr>
                <w:sz w:val="21"/>
              </w:rPr>
              <w:t>最大曝光电压：≥</w:t>
            </w:r>
            <w:r>
              <w:rPr>
                <w:sz w:val="21"/>
              </w:rPr>
              <w:t>120KV</w:t>
            </w:r>
          </w:p>
          <w:p>
            <w:pPr>
              <w:pStyle w:val="null3"/>
              <w:jc w:val="both"/>
            </w:pPr>
            <w:r>
              <w:rPr>
                <w:sz w:val="21"/>
              </w:rPr>
              <w:t>2.3</w:t>
            </w:r>
            <w:r>
              <w:rPr>
                <w:sz w:val="21"/>
              </w:rPr>
              <w:t>球管数量：</w:t>
            </w:r>
            <w:r>
              <w:rPr>
                <w:sz w:val="21"/>
              </w:rPr>
              <w:t>2</w:t>
            </w:r>
            <w:r>
              <w:rPr>
                <w:sz w:val="21"/>
              </w:rPr>
              <w:t>套</w:t>
            </w:r>
          </w:p>
          <w:p>
            <w:pPr>
              <w:pStyle w:val="null3"/>
              <w:jc w:val="both"/>
            </w:pPr>
            <w:r>
              <w:rPr>
                <w:sz w:val="21"/>
              </w:rPr>
              <w:t>2.4</w:t>
            </w:r>
            <w:r>
              <w:rPr>
                <w:sz w:val="21"/>
              </w:rPr>
              <w:t>焦点数目≥</w:t>
            </w:r>
            <w:r>
              <w:rPr>
                <w:sz w:val="21"/>
              </w:rPr>
              <w:t>2</w:t>
            </w:r>
            <w:r>
              <w:rPr>
                <w:sz w:val="21"/>
              </w:rPr>
              <w:t>，大焦点≤</w:t>
            </w:r>
            <w:r>
              <w:rPr>
                <w:sz w:val="21"/>
              </w:rPr>
              <w:t>0.6mm</w:t>
            </w:r>
          </w:p>
          <w:p>
            <w:pPr>
              <w:pStyle w:val="null3"/>
              <w:jc w:val="both"/>
            </w:pPr>
            <w:r>
              <w:rPr>
                <w:sz w:val="21"/>
              </w:rPr>
              <w:t>2.5</w:t>
            </w:r>
            <w:r>
              <w:rPr>
                <w:sz w:val="21"/>
              </w:rPr>
              <w:t>▲透视（数字）点片</w:t>
            </w:r>
            <w:r>
              <w:rPr>
                <w:sz w:val="21"/>
              </w:rPr>
              <w:t>mA</w:t>
            </w:r>
            <w:r>
              <w:rPr>
                <w:sz w:val="21"/>
              </w:rPr>
              <w:t>调节范围：≥</w:t>
            </w:r>
            <w:r>
              <w:rPr>
                <w:sz w:val="21"/>
              </w:rPr>
              <w:t>0.4-40mA</w:t>
            </w:r>
            <w:r>
              <w:rPr>
                <w:sz w:val="21"/>
              </w:rPr>
              <w:t>（投标文件提供第三方检验报告证明）</w:t>
            </w:r>
          </w:p>
          <w:p>
            <w:pPr>
              <w:pStyle w:val="null3"/>
              <w:jc w:val="both"/>
            </w:pPr>
            <w:r>
              <w:rPr>
                <w:sz w:val="21"/>
              </w:rPr>
              <w:t>2.6</w:t>
            </w:r>
            <w:r>
              <w:rPr>
                <w:sz w:val="21"/>
              </w:rPr>
              <w:t>曝光模式：脉冲</w:t>
            </w:r>
            <w:r>
              <w:rPr>
                <w:sz w:val="21"/>
              </w:rPr>
              <w:t>/</w:t>
            </w:r>
            <w:r>
              <w:rPr>
                <w:sz w:val="21"/>
              </w:rPr>
              <w:t>连续；至少包含低剂量透视、普通透视、增强透视、数字点片</w:t>
            </w:r>
          </w:p>
          <w:p>
            <w:pPr>
              <w:pStyle w:val="null3"/>
              <w:jc w:val="both"/>
            </w:pPr>
            <w:r>
              <w:rPr>
                <w:sz w:val="21"/>
              </w:rPr>
              <w:t>3.</w:t>
            </w:r>
            <w:r>
              <w:rPr>
                <w:sz w:val="21"/>
              </w:rPr>
              <w:t>机架系统：</w:t>
            </w:r>
          </w:p>
          <w:p>
            <w:pPr>
              <w:pStyle w:val="null3"/>
              <w:jc w:val="both"/>
            </w:pPr>
            <w:r>
              <w:rPr>
                <w:sz w:val="21"/>
              </w:rPr>
              <w:t>3.1</w:t>
            </w:r>
            <w:r>
              <w:rPr>
                <w:sz w:val="21"/>
              </w:rPr>
              <w:t>为方便移动、手术转场，整机移动功能：手动模式下向各方向移动功能，或电动控制下向各方向移动功能、或</w:t>
            </w:r>
            <w:r>
              <w:rPr>
                <w:sz w:val="21"/>
              </w:rPr>
              <w:t>电助力模式下向各方向移动功能</w:t>
            </w:r>
          </w:p>
          <w:p>
            <w:pPr>
              <w:pStyle w:val="null3"/>
              <w:jc w:val="both"/>
            </w:pPr>
            <w:r>
              <w:rPr>
                <w:sz w:val="21"/>
              </w:rPr>
              <w:t>3.2</w:t>
            </w:r>
            <w:r>
              <w:rPr>
                <w:sz w:val="21"/>
              </w:rPr>
              <w:t>具备</w:t>
            </w:r>
            <w:r>
              <w:rPr>
                <w:sz w:val="21"/>
              </w:rPr>
              <w:t>不间断电源</w:t>
            </w:r>
            <w:r>
              <w:rPr>
                <w:sz w:val="21"/>
              </w:rPr>
              <w:t>功能。</w:t>
            </w:r>
          </w:p>
          <w:p>
            <w:pPr>
              <w:pStyle w:val="null3"/>
              <w:jc w:val="both"/>
            </w:pPr>
            <w:r>
              <w:rPr>
                <w:sz w:val="21"/>
              </w:rPr>
              <w:t>3.3</w:t>
            </w:r>
            <w:r>
              <w:rPr>
                <w:sz w:val="21"/>
              </w:rPr>
              <w:t>为方便移动、手术转场，</w:t>
            </w:r>
            <w:r>
              <w:rPr>
                <w:sz w:val="21"/>
              </w:rPr>
              <w:t>机架和图像工作平台</w:t>
            </w:r>
            <w:r>
              <w:rPr>
                <w:sz w:val="21"/>
              </w:rPr>
              <w:t>需</w:t>
            </w:r>
            <w:r>
              <w:rPr>
                <w:sz w:val="21"/>
              </w:rPr>
              <w:t>为</w:t>
            </w:r>
            <w:r>
              <w:rPr>
                <w:sz w:val="21"/>
              </w:rPr>
              <w:t>：</w:t>
            </w:r>
            <w:r>
              <w:rPr>
                <w:sz w:val="21"/>
              </w:rPr>
              <w:t>整机一体化设计</w:t>
            </w:r>
            <w:r>
              <w:rPr>
                <w:sz w:val="21"/>
              </w:rPr>
              <w:t>或轻巧分体式设计。</w:t>
            </w:r>
          </w:p>
          <w:p>
            <w:pPr>
              <w:pStyle w:val="null3"/>
              <w:jc w:val="both"/>
            </w:pPr>
            <w:r>
              <w:rPr>
                <w:sz w:val="21"/>
              </w:rPr>
              <w:t>3.4</w:t>
            </w:r>
            <w:r>
              <w:rPr>
                <w:sz w:val="21"/>
              </w:rPr>
              <w:t>▲机架最小高度≤</w:t>
            </w:r>
            <w:r>
              <w:rPr>
                <w:sz w:val="21"/>
              </w:rPr>
              <w:t>1850mm</w:t>
            </w:r>
            <w:r>
              <w:rPr>
                <w:sz w:val="21"/>
              </w:rPr>
              <w:t>，使设备可以正常进出手术室</w:t>
            </w:r>
          </w:p>
          <w:p>
            <w:pPr>
              <w:pStyle w:val="null3"/>
              <w:jc w:val="both"/>
            </w:pPr>
            <w:r>
              <w:rPr>
                <w:sz w:val="21"/>
              </w:rPr>
              <w:t>3.5</w:t>
            </w:r>
            <w:r>
              <w:rPr>
                <w:sz w:val="21"/>
              </w:rPr>
              <w:t>▲整机垂直升降距离≥</w:t>
            </w:r>
            <w:r>
              <w:rPr>
                <w:sz w:val="21"/>
              </w:rPr>
              <w:t>310mm</w:t>
            </w:r>
          </w:p>
          <w:p>
            <w:pPr>
              <w:pStyle w:val="null3"/>
              <w:jc w:val="both"/>
            </w:pPr>
            <w:r>
              <w:rPr>
                <w:sz w:val="21"/>
              </w:rPr>
              <w:t>3.6</w:t>
            </w:r>
            <w:r>
              <w:rPr>
                <w:sz w:val="21"/>
              </w:rPr>
              <w:t>▲机架轴向旋转≥</w:t>
            </w:r>
            <w:r>
              <w:rPr>
                <w:sz w:val="21"/>
              </w:rPr>
              <w:t>90</w:t>
            </w:r>
            <w:r>
              <w:rPr>
                <w:sz w:val="21"/>
              </w:rPr>
              <w:t>°</w:t>
            </w:r>
          </w:p>
          <w:p>
            <w:pPr>
              <w:pStyle w:val="null3"/>
              <w:jc w:val="both"/>
            </w:pPr>
            <w:r>
              <w:rPr>
                <w:sz w:val="21"/>
              </w:rPr>
              <w:t>3.7SID</w:t>
            </w:r>
            <w:r>
              <w:rPr>
                <w:sz w:val="21"/>
              </w:rPr>
              <w:t>源像距：≥</w:t>
            </w:r>
            <w:r>
              <w:rPr>
                <w:sz w:val="21"/>
              </w:rPr>
              <w:t>1100mm</w:t>
            </w:r>
          </w:p>
          <w:p>
            <w:pPr>
              <w:pStyle w:val="null3"/>
              <w:jc w:val="both"/>
            </w:pPr>
            <w:r>
              <w:rPr>
                <w:sz w:val="21"/>
              </w:rPr>
              <w:t>3.8</w:t>
            </w:r>
            <w:r>
              <w:rPr>
                <w:sz w:val="21"/>
              </w:rPr>
              <w:t>具备可变</w:t>
            </w:r>
            <w:r>
              <w:rPr>
                <w:sz w:val="21"/>
              </w:rPr>
              <w:t>SID</w:t>
            </w:r>
            <w:r>
              <w:rPr>
                <w:sz w:val="21"/>
              </w:rPr>
              <w:t>，可电动调节。</w:t>
            </w:r>
          </w:p>
          <w:p>
            <w:pPr>
              <w:pStyle w:val="null3"/>
              <w:jc w:val="both"/>
            </w:pPr>
            <w:r>
              <w:rPr>
                <w:sz w:val="21"/>
              </w:rPr>
              <w:t>3.9</w:t>
            </w:r>
            <w:r>
              <w:rPr>
                <w:sz w:val="21"/>
              </w:rPr>
              <w:t>▲机架轨道滑转≥</w:t>
            </w:r>
            <w:r>
              <w:rPr>
                <w:sz w:val="21"/>
              </w:rPr>
              <w:t>90</w:t>
            </w:r>
            <w:r>
              <w:rPr>
                <w:sz w:val="21"/>
              </w:rPr>
              <w:t>°</w:t>
            </w:r>
          </w:p>
          <w:p>
            <w:pPr>
              <w:pStyle w:val="null3"/>
              <w:jc w:val="both"/>
            </w:pPr>
            <w:r>
              <w:rPr>
                <w:sz w:val="21"/>
              </w:rPr>
              <w:t>3.10</w:t>
            </w:r>
            <w:r>
              <w:rPr>
                <w:sz w:val="21"/>
              </w:rPr>
              <w:t>具备双侧激光定位功能</w:t>
            </w:r>
          </w:p>
          <w:p>
            <w:pPr>
              <w:pStyle w:val="null3"/>
              <w:jc w:val="both"/>
            </w:pPr>
            <w:r>
              <w:rPr>
                <w:sz w:val="21"/>
              </w:rPr>
              <w:t>3.11</w:t>
            </w:r>
            <w:r>
              <w:rPr>
                <w:sz w:val="21"/>
              </w:rPr>
              <w:t>机架运动调节：可电动控制沿轨道划转、升降</w:t>
            </w:r>
          </w:p>
          <w:p>
            <w:pPr>
              <w:pStyle w:val="null3"/>
              <w:jc w:val="both"/>
            </w:pPr>
            <w:r>
              <w:rPr>
                <w:sz w:val="21"/>
              </w:rPr>
              <w:t>3.12</w:t>
            </w:r>
            <w:r>
              <w:rPr>
                <w:sz w:val="21"/>
              </w:rPr>
              <w:t>为方便手术进床、不同术式开展需要，</w:t>
            </w:r>
            <w:r>
              <w:rPr>
                <w:sz w:val="21"/>
              </w:rPr>
              <w:t>机架</w:t>
            </w:r>
            <w:r>
              <w:rPr>
                <w:sz w:val="21"/>
              </w:rPr>
              <w:t>需</w:t>
            </w:r>
            <w:r>
              <w:rPr>
                <w:sz w:val="21"/>
              </w:rPr>
              <w:t>具备</w:t>
            </w:r>
            <w:r>
              <w:rPr>
                <w:sz w:val="21"/>
              </w:rPr>
              <w:t>：</w:t>
            </w:r>
            <w:r>
              <w:rPr>
                <w:sz w:val="21"/>
              </w:rPr>
              <w:t>可伸缩副臂</w:t>
            </w:r>
            <w:r>
              <w:rPr>
                <w:sz w:val="21"/>
              </w:rPr>
              <w:t>（</w:t>
            </w:r>
            <w:r>
              <w:rPr>
                <w:sz w:val="21"/>
              </w:rPr>
              <w:t>可以实现</w:t>
            </w:r>
            <w:r>
              <w:rPr>
                <w:sz w:val="21"/>
              </w:rPr>
              <w:t>G</w:t>
            </w:r>
            <w:r>
              <w:rPr>
                <w:sz w:val="21"/>
              </w:rPr>
              <w:t>臂和</w:t>
            </w:r>
            <w:r>
              <w:rPr>
                <w:sz w:val="21"/>
              </w:rPr>
              <w:t>C</w:t>
            </w:r>
            <w:r>
              <w:rPr>
                <w:sz w:val="21"/>
              </w:rPr>
              <w:t>臂两种形态转换</w:t>
            </w:r>
            <w:r>
              <w:rPr>
                <w:sz w:val="21"/>
              </w:rPr>
              <w:t>）</w:t>
            </w:r>
            <w:r>
              <w:rPr>
                <w:sz w:val="21"/>
              </w:rPr>
              <w:t>或固定</w:t>
            </w:r>
            <w:r>
              <w:rPr>
                <w:sz w:val="21"/>
              </w:rPr>
              <w:t>G</w:t>
            </w:r>
            <w:r>
              <w:rPr>
                <w:sz w:val="21"/>
              </w:rPr>
              <w:t>形臂机架结构。</w:t>
            </w:r>
          </w:p>
          <w:p>
            <w:pPr>
              <w:pStyle w:val="null3"/>
              <w:jc w:val="both"/>
            </w:pPr>
            <w:r>
              <w:rPr>
                <w:sz w:val="21"/>
              </w:rPr>
              <w:t>4.</w:t>
            </w:r>
            <w:r>
              <w:rPr>
                <w:sz w:val="21"/>
              </w:rPr>
              <w:t>影像平板探测器：</w:t>
            </w:r>
          </w:p>
          <w:p>
            <w:pPr>
              <w:pStyle w:val="null3"/>
              <w:jc w:val="both"/>
            </w:pPr>
            <w:r>
              <w:rPr>
                <w:sz w:val="21"/>
              </w:rPr>
              <w:t>4.1</w:t>
            </w:r>
            <w:r>
              <w:rPr>
                <w:sz w:val="21"/>
              </w:rPr>
              <w:t>平板数量：</w:t>
            </w:r>
            <w:r>
              <w:rPr>
                <w:sz w:val="21"/>
              </w:rPr>
              <w:t>2</w:t>
            </w:r>
            <w:r>
              <w:rPr>
                <w:sz w:val="21"/>
              </w:rPr>
              <w:t>套</w:t>
            </w:r>
          </w:p>
          <w:p>
            <w:pPr>
              <w:pStyle w:val="null3"/>
              <w:jc w:val="both"/>
            </w:pPr>
            <w:r>
              <w:rPr>
                <w:sz w:val="21"/>
              </w:rPr>
              <w:t>4.2</w:t>
            </w:r>
            <w:r>
              <w:rPr>
                <w:sz w:val="21"/>
              </w:rPr>
              <w:t>平板类型：非晶硅</w:t>
            </w:r>
          </w:p>
          <w:p>
            <w:pPr>
              <w:pStyle w:val="null3"/>
              <w:jc w:val="both"/>
            </w:pPr>
            <w:r>
              <w:rPr>
                <w:sz w:val="21"/>
              </w:rPr>
              <w:t>4.3</w:t>
            </w:r>
            <w:r>
              <w:rPr>
                <w:sz w:val="21"/>
              </w:rPr>
              <w:t>平板探测器尺寸：≥</w:t>
            </w:r>
            <w:r>
              <w:rPr>
                <w:sz w:val="21"/>
              </w:rPr>
              <w:t>21cm</w:t>
            </w:r>
            <w:r>
              <w:rPr>
                <w:sz w:val="21"/>
              </w:rPr>
              <w:t>×</w:t>
            </w:r>
            <w:r>
              <w:rPr>
                <w:sz w:val="21"/>
              </w:rPr>
              <w:t>21cm</w:t>
            </w:r>
          </w:p>
          <w:p>
            <w:pPr>
              <w:pStyle w:val="null3"/>
              <w:jc w:val="both"/>
            </w:pPr>
            <w:r>
              <w:rPr>
                <w:sz w:val="21"/>
              </w:rPr>
              <w:t>4.4</w:t>
            </w:r>
            <w:r>
              <w:rPr>
                <w:sz w:val="21"/>
              </w:rPr>
              <w:t>采集矩阵：≥</w:t>
            </w:r>
            <w:r>
              <w:rPr>
                <w:sz w:val="21"/>
              </w:rPr>
              <w:t xml:space="preserve">1024 </w:t>
            </w:r>
            <w:r>
              <w:rPr>
                <w:sz w:val="21"/>
              </w:rPr>
              <w:t>×</w:t>
            </w:r>
            <w:r>
              <w:rPr>
                <w:sz w:val="21"/>
              </w:rPr>
              <w:t>1024</w:t>
            </w:r>
          </w:p>
          <w:p>
            <w:pPr>
              <w:pStyle w:val="null3"/>
              <w:jc w:val="both"/>
            </w:pPr>
            <w:r>
              <w:rPr>
                <w:sz w:val="21"/>
              </w:rPr>
              <w:t>4.5</w:t>
            </w:r>
            <w:r>
              <w:rPr>
                <w:sz w:val="21"/>
              </w:rPr>
              <w:t>灰阶：≥</w:t>
            </w:r>
            <w:r>
              <w:rPr>
                <w:sz w:val="21"/>
              </w:rPr>
              <w:t>16bit</w:t>
            </w:r>
          </w:p>
          <w:p>
            <w:pPr>
              <w:pStyle w:val="null3"/>
              <w:jc w:val="both"/>
            </w:pPr>
            <w:r>
              <w:rPr>
                <w:sz w:val="21"/>
              </w:rPr>
              <w:t>5.</w:t>
            </w:r>
            <w:r>
              <w:rPr>
                <w:sz w:val="21"/>
              </w:rPr>
              <w:t>图像：</w:t>
            </w:r>
          </w:p>
          <w:p>
            <w:pPr>
              <w:pStyle w:val="null3"/>
              <w:jc w:val="both"/>
            </w:pPr>
            <w:r>
              <w:rPr>
                <w:sz w:val="21"/>
              </w:rPr>
              <w:t>5.1</w:t>
            </w:r>
            <w:r>
              <w:rPr>
                <w:sz w:val="21"/>
              </w:rPr>
              <w:t>图像主显示器类型：医用高清彩色显示器</w:t>
            </w:r>
          </w:p>
          <w:p>
            <w:pPr>
              <w:pStyle w:val="null3"/>
              <w:jc w:val="both"/>
            </w:pPr>
            <w:r>
              <w:rPr>
                <w:sz w:val="21"/>
              </w:rPr>
              <w:t>5.2</w:t>
            </w:r>
            <w:r>
              <w:rPr>
                <w:sz w:val="21"/>
              </w:rPr>
              <w:t>▲图像主显示器尺寸＞</w:t>
            </w:r>
            <w:r>
              <w:rPr>
                <w:sz w:val="21"/>
              </w:rPr>
              <w:t>25</w:t>
            </w:r>
            <w:r>
              <w:rPr>
                <w:sz w:val="21"/>
              </w:rPr>
              <w:t>英寸，主显示器最大分辨率：≥</w:t>
            </w:r>
            <w:r>
              <w:rPr>
                <w:sz w:val="21"/>
              </w:rPr>
              <w:t>1920</w:t>
            </w:r>
            <w:r>
              <w:rPr>
                <w:sz w:val="21"/>
              </w:rPr>
              <w:t>×</w:t>
            </w:r>
            <w:r>
              <w:rPr>
                <w:sz w:val="21"/>
              </w:rPr>
              <w:t>1024</w:t>
            </w:r>
            <w:r>
              <w:rPr>
                <w:sz w:val="21"/>
              </w:rPr>
              <w:t>；</w:t>
            </w:r>
          </w:p>
          <w:p>
            <w:pPr>
              <w:pStyle w:val="null3"/>
              <w:jc w:val="both"/>
            </w:pPr>
            <w:r>
              <w:rPr>
                <w:sz w:val="21"/>
              </w:rPr>
              <w:t>5.3</w:t>
            </w:r>
            <w:r>
              <w:rPr>
                <w:sz w:val="21"/>
              </w:rPr>
              <w:t>图像显示器支持正侧位双路图像同屏对比显示</w:t>
            </w:r>
          </w:p>
          <w:p>
            <w:pPr>
              <w:pStyle w:val="null3"/>
              <w:jc w:val="both"/>
            </w:pPr>
            <w:r>
              <w:rPr>
                <w:sz w:val="21"/>
              </w:rPr>
              <w:t>5.4</w:t>
            </w:r>
            <w:r>
              <w:rPr>
                <w:sz w:val="21"/>
              </w:rPr>
              <w:t>▲控制显示器尺寸≥</w:t>
            </w:r>
            <w:r>
              <w:rPr>
                <w:sz w:val="21"/>
              </w:rPr>
              <w:t>15</w:t>
            </w:r>
            <w:r>
              <w:rPr>
                <w:sz w:val="21"/>
              </w:rPr>
              <w:t>英寸</w:t>
            </w:r>
          </w:p>
          <w:p>
            <w:pPr>
              <w:pStyle w:val="null3"/>
              <w:jc w:val="both"/>
            </w:pPr>
            <w:r>
              <w:rPr>
                <w:sz w:val="21"/>
              </w:rPr>
              <w:t>5.5</w:t>
            </w:r>
            <w:r>
              <w:rPr>
                <w:sz w:val="21"/>
              </w:rPr>
              <w:t>控制显示器：智能全触摸控制，无物理按键操作，无实体鼠标和键盘辅助</w:t>
            </w:r>
          </w:p>
          <w:p>
            <w:pPr>
              <w:pStyle w:val="null3"/>
              <w:jc w:val="both"/>
            </w:pPr>
            <w:r>
              <w:rPr>
                <w:sz w:val="21"/>
              </w:rPr>
              <w:t>5.6</w:t>
            </w:r>
            <w:r>
              <w:rPr>
                <w:sz w:val="21"/>
              </w:rPr>
              <w:t>图像存储≥</w:t>
            </w:r>
            <w:r>
              <w:rPr>
                <w:sz w:val="21"/>
              </w:rPr>
              <w:t>100,000</w:t>
            </w:r>
            <w:r>
              <w:rPr>
                <w:sz w:val="21"/>
              </w:rPr>
              <w:t>幅，图像可方便导出</w:t>
            </w:r>
          </w:p>
          <w:p>
            <w:pPr>
              <w:pStyle w:val="null3"/>
              <w:jc w:val="both"/>
            </w:pPr>
            <w:r>
              <w:rPr>
                <w:sz w:val="21"/>
              </w:rPr>
              <w:t>6.</w:t>
            </w:r>
            <w:r>
              <w:rPr>
                <w:sz w:val="21"/>
              </w:rPr>
              <w:t xml:space="preserve">后处理和控制系统  </w:t>
            </w:r>
          </w:p>
          <w:p>
            <w:pPr>
              <w:pStyle w:val="null3"/>
              <w:jc w:val="both"/>
            </w:pPr>
            <w:r>
              <w:rPr>
                <w:sz w:val="21"/>
              </w:rPr>
              <w:t>6.1</w:t>
            </w:r>
            <w:r>
              <w:rPr>
                <w:sz w:val="21"/>
              </w:rPr>
              <w:t>具备图像拼接</w:t>
            </w:r>
          </w:p>
          <w:p>
            <w:pPr>
              <w:pStyle w:val="null3"/>
              <w:jc w:val="both"/>
            </w:pPr>
            <w:r>
              <w:rPr>
                <w:sz w:val="21"/>
              </w:rPr>
              <w:t>6.2</w:t>
            </w:r>
            <w:r>
              <w:rPr>
                <w:sz w:val="21"/>
              </w:rPr>
              <w:t>具备电影采集回放功能</w:t>
            </w:r>
          </w:p>
          <w:p>
            <w:pPr>
              <w:pStyle w:val="null3"/>
              <w:jc w:val="both"/>
            </w:pPr>
            <w:r>
              <w:rPr>
                <w:sz w:val="21"/>
              </w:rPr>
              <w:t>6.3</w:t>
            </w:r>
            <w:r>
              <w:rPr>
                <w:sz w:val="21"/>
              </w:rPr>
              <w:t>具备</w:t>
            </w:r>
            <w:r>
              <w:rPr>
                <w:sz w:val="21"/>
              </w:rPr>
              <w:t>ABS</w:t>
            </w:r>
            <w:r>
              <w:rPr>
                <w:sz w:val="21"/>
              </w:rPr>
              <w:t>自动控制曝光功能</w:t>
            </w:r>
          </w:p>
          <w:p>
            <w:pPr>
              <w:pStyle w:val="null3"/>
              <w:jc w:val="both"/>
            </w:pPr>
            <w:r>
              <w:rPr>
                <w:sz w:val="21"/>
              </w:rPr>
              <w:t>6.4</w:t>
            </w:r>
            <w:r>
              <w:rPr>
                <w:sz w:val="21"/>
              </w:rPr>
              <w:t>具备剂量报告</w:t>
            </w:r>
          </w:p>
          <w:p>
            <w:pPr>
              <w:pStyle w:val="null3"/>
              <w:jc w:val="both"/>
            </w:pPr>
            <w:r>
              <w:rPr>
                <w:sz w:val="21"/>
              </w:rPr>
              <w:t>6.5</w:t>
            </w:r>
            <w:r>
              <w:rPr>
                <w:sz w:val="21"/>
              </w:rPr>
              <w:t>具备去运动伪影、去金属伪影、降噪等功能</w:t>
            </w:r>
          </w:p>
          <w:p>
            <w:pPr>
              <w:pStyle w:val="null3"/>
              <w:jc w:val="both"/>
            </w:pPr>
            <w:r>
              <w:rPr>
                <w:sz w:val="21"/>
              </w:rPr>
              <w:t>6.6</w:t>
            </w:r>
            <w:r>
              <w:rPr>
                <w:sz w:val="21"/>
              </w:rPr>
              <w:t xml:space="preserve">多部位解剖部位预设：≥ </w:t>
            </w:r>
            <w:r>
              <w:rPr>
                <w:sz w:val="21"/>
              </w:rPr>
              <w:t>5</w:t>
            </w:r>
            <w:r>
              <w:rPr>
                <w:sz w:val="21"/>
              </w:rPr>
              <w:t>个解剖部位</w:t>
            </w:r>
          </w:p>
          <w:p>
            <w:pPr>
              <w:pStyle w:val="null3"/>
              <w:jc w:val="both"/>
            </w:pPr>
            <w:r>
              <w:rPr>
                <w:sz w:val="21"/>
              </w:rPr>
              <w:t>6.7</w:t>
            </w:r>
            <w:r>
              <w:rPr>
                <w:sz w:val="21"/>
              </w:rPr>
              <w:t>控制手柄：可控制</w:t>
            </w:r>
            <w:r>
              <w:rPr>
                <w:sz w:val="21"/>
              </w:rPr>
              <w:t>G</w:t>
            </w:r>
            <w:r>
              <w:rPr>
                <w:sz w:val="21"/>
              </w:rPr>
              <w:t>臂轨道旋转、轴向旋转、</w:t>
            </w:r>
            <w:r>
              <w:rPr>
                <w:sz w:val="21"/>
              </w:rPr>
              <w:t>SID</w:t>
            </w:r>
            <w:r>
              <w:rPr>
                <w:sz w:val="21"/>
              </w:rPr>
              <w:t>伸缩、升降等运动功能</w:t>
            </w:r>
          </w:p>
          <w:p>
            <w:pPr>
              <w:pStyle w:val="null3"/>
              <w:jc w:val="both"/>
            </w:pPr>
            <w:r>
              <w:rPr>
                <w:sz w:val="21"/>
              </w:rPr>
              <w:t>6.8</w:t>
            </w:r>
            <w:r>
              <w:rPr>
                <w:sz w:val="21"/>
              </w:rPr>
              <w:t>配备控制脚踏</w:t>
            </w:r>
          </w:p>
          <w:p>
            <w:pPr>
              <w:pStyle w:val="null3"/>
              <w:jc w:val="both"/>
            </w:pPr>
            <w:r>
              <w:rPr>
                <w:sz w:val="21"/>
              </w:rPr>
              <w:t>7.</w:t>
            </w:r>
            <w:r>
              <w:rPr>
                <w:sz w:val="21"/>
              </w:rPr>
              <w:t>使用年限：≥</w:t>
            </w:r>
            <w:r>
              <w:rPr>
                <w:sz w:val="21"/>
              </w:rPr>
              <w:t>8</w:t>
            </w:r>
            <w:r>
              <w:rPr>
                <w:sz w:val="21"/>
              </w:rPr>
              <w:t>年（投标文件提供产品铭牌佐证）</w:t>
            </w:r>
          </w:p>
          <w:p>
            <w:pPr>
              <w:pStyle w:val="null3"/>
              <w:jc w:val="both"/>
            </w:pPr>
            <w:r>
              <w:rPr>
                <w:sz w:val="21"/>
              </w:rPr>
              <w:t>8.</w:t>
            </w:r>
            <w:r>
              <w:rPr>
                <w:sz w:val="21"/>
              </w:rPr>
              <w:t>具备</w:t>
            </w:r>
            <w:r>
              <w:rPr>
                <w:sz w:val="21"/>
              </w:rPr>
              <w:t>DICOM</w:t>
            </w:r>
            <w:r>
              <w:rPr>
                <w:sz w:val="21"/>
              </w:rPr>
              <w:t>传输、</w:t>
            </w:r>
            <w:r>
              <w:rPr>
                <w:sz w:val="21"/>
              </w:rPr>
              <w:t>DICOM</w:t>
            </w:r>
            <w:r>
              <w:rPr>
                <w:sz w:val="21"/>
              </w:rPr>
              <w:t>打印功能</w:t>
            </w:r>
          </w:p>
          <w:p>
            <w:pPr>
              <w:pStyle w:val="null3"/>
              <w:jc w:val="both"/>
            </w:pPr>
            <w:r>
              <w:rPr>
                <w:sz w:val="21"/>
              </w:rPr>
              <w:t>三、配置要求</w:t>
            </w:r>
          </w:p>
          <w:p>
            <w:pPr>
              <w:pStyle w:val="null3"/>
              <w:jc w:val="both"/>
            </w:pPr>
            <w:r>
              <w:rPr>
                <w:sz w:val="21"/>
              </w:rPr>
              <w:t>1.</w:t>
            </w:r>
            <w:r>
              <w:rPr>
                <w:sz w:val="21"/>
              </w:rPr>
              <w:t>主机配置</w:t>
            </w:r>
          </w:p>
          <w:tbl>
            <w:tblPr>
              <w:tblBorders>
                <w:top w:val="none" w:color="000000" w:sz="4"/>
                <w:left w:val="none" w:color="000000" w:sz="4"/>
                <w:bottom w:val="none" w:color="000000" w:sz="4"/>
                <w:right w:val="none" w:color="000000" w:sz="4"/>
                <w:insideH w:val="none"/>
                <w:insideV w:val="none"/>
              </w:tblBorders>
            </w:tblPr>
            <w:tblGrid>
              <w:gridCol w:w="1385"/>
              <w:gridCol w:w="2476"/>
              <w:gridCol w:w="1737"/>
            </w:tblGrid>
            <w:tr>
              <w:tc>
                <w:tcPr>
                  <w:tcW w:type="dxa" w:w="1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1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机架及系统</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X线球管</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1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影像探测器</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13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4</w:t>
                  </w:r>
                </w:p>
              </w:tc>
              <w:tc>
                <w:tcPr>
                  <w:tcW w:type="dxa" w:w="24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脚踏开关</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w:t>
                  </w:r>
                </w:p>
              </w:tc>
            </w:tr>
            <w:tr>
              <w:tc>
                <w:tcPr>
                  <w:tcW w:type="dxa" w:w="1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图像显示器</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操作控制屏</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数字图像处理软件</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中文操作手册</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9</w:t>
                  </w:r>
                </w:p>
              </w:tc>
              <w:tc>
                <w:tcPr>
                  <w:tcW w:type="dxa" w:w="24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激光定位</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2</w:t>
                  </w:r>
                </w:p>
              </w:tc>
            </w:tr>
            <w:tr>
              <w:tc>
                <w:tcPr>
                  <w:tcW w:type="dxa" w:w="13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10</w:t>
                  </w:r>
                </w:p>
              </w:tc>
              <w:tc>
                <w:tcPr>
                  <w:tcW w:type="dxa" w:w="24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智能防碰撞保护</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w:t>
                  </w:r>
                </w:p>
              </w:tc>
            </w:tr>
            <w:tr>
              <w:tc>
                <w:tcPr>
                  <w:tcW w:type="dxa" w:w="13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11</w:t>
                  </w:r>
                </w:p>
              </w:tc>
              <w:tc>
                <w:tcPr>
                  <w:tcW w:type="dxa" w:w="24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控制手柄</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w:t>
                  </w:r>
                </w:p>
              </w:tc>
            </w:tr>
          </w:tbl>
          <w:p>
            <w:pPr>
              <w:pStyle w:val="null3"/>
            </w:pPr>
            <w:r>
              <w:rPr/>
              <w:t xml:space="preserve"> </w:t>
            </w:r>
          </w:p>
          <w:p>
            <w:pPr>
              <w:pStyle w:val="null3"/>
              <w:jc w:val="both"/>
            </w:pPr>
            <w:r>
              <w:rPr>
                <w:sz w:val="21"/>
              </w:rPr>
              <w:t>2.</w:t>
            </w:r>
            <w:r>
              <w:rPr>
                <w:sz w:val="21"/>
              </w:rPr>
              <w:t>防护装置、防护用品：</w:t>
            </w:r>
            <w:r>
              <w:rPr>
                <w:sz w:val="21"/>
              </w:rPr>
              <w:t>6</w:t>
            </w:r>
            <w:r>
              <w:rPr>
                <w:sz w:val="21"/>
              </w:rPr>
              <w:t>套连体铅衣、</w:t>
            </w:r>
            <w:r>
              <w:rPr>
                <w:sz w:val="21"/>
              </w:rPr>
              <w:t>3</w:t>
            </w:r>
            <w:r>
              <w:rPr>
                <w:sz w:val="21"/>
              </w:rPr>
              <w:t>套铅帽</w:t>
            </w:r>
            <w:r>
              <w:rPr>
                <w:sz w:val="21"/>
              </w:rPr>
              <w:t>(</w:t>
            </w:r>
            <w:r>
              <w:rPr>
                <w:sz w:val="21"/>
              </w:rPr>
              <w:t>成人</w:t>
            </w:r>
            <w:r>
              <w:rPr>
                <w:sz w:val="21"/>
              </w:rPr>
              <w:t>)</w:t>
            </w:r>
            <w:r>
              <w:rPr>
                <w:sz w:val="21"/>
              </w:rPr>
              <w:t>、</w:t>
            </w:r>
            <w:r>
              <w:rPr>
                <w:sz w:val="21"/>
              </w:rPr>
              <w:t>1</w:t>
            </w:r>
            <w:r>
              <w:rPr>
                <w:sz w:val="21"/>
              </w:rPr>
              <w:t>套铅帽（儿童）、</w:t>
            </w:r>
            <w:r>
              <w:rPr>
                <w:sz w:val="21"/>
              </w:rPr>
              <w:t>3</w:t>
            </w:r>
            <w:r>
              <w:rPr>
                <w:sz w:val="21"/>
              </w:rPr>
              <w:t>套铅围脖（成人）、</w:t>
            </w:r>
            <w:r>
              <w:rPr>
                <w:sz w:val="21"/>
              </w:rPr>
              <w:t>1</w:t>
            </w:r>
            <w:r>
              <w:rPr>
                <w:sz w:val="21"/>
              </w:rPr>
              <w:t>套铅围脖（儿童）、</w:t>
            </w:r>
            <w:r>
              <w:rPr>
                <w:sz w:val="21"/>
              </w:rPr>
              <w:t>1</w:t>
            </w:r>
            <w:r>
              <w:rPr>
                <w:sz w:val="21"/>
              </w:rPr>
              <w:t>套铅方巾（成人）、</w:t>
            </w:r>
            <w:r>
              <w:rPr>
                <w:sz w:val="21"/>
              </w:rPr>
              <w:t>1</w:t>
            </w:r>
            <w:r>
              <w:rPr>
                <w:sz w:val="21"/>
              </w:rPr>
              <w:t>套铅方巾（儿童）、可移动的落地式铅衣架。具体配置、规格、样式按照我国辐射防护管理规范要求及采购人具体需求，中标后可参考采购人现有配套。</w:t>
            </w:r>
          </w:p>
          <w:p>
            <w:pPr>
              <w:pStyle w:val="null3"/>
              <w:jc w:val="both"/>
            </w:pPr>
            <w:r>
              <w:rPr>
                <w:sz w:val="21"/>
              </w:rPr>
              <w:t>注：</w:t>
            </w:r>
          </w:p>
          <w:p>
            <w:pPr>
              <w:pStyle w:val="null3"/>
              <w:jc w:val="both"/>
            </w:pPr>
            <w:r>
              <w:rPr>
                <w:sz w:val="21"/>
              </w:rPr>
              <w:t>1.</w:t>
            </w:r>
            <w:r>
              <w:rPr>
                <w:sz w:val="21"/>
              </w:rPr>
              <w:t>除另有说明外，上述条款有要求提供相应的检测报告的，如无法及时取得并在投标文件中提供的，投标人可以在投标文件中书面承诺所投产品对相应技术要求的符合情况，承诺如中标，将在项目供货前提供上述检测报告，检测结果符合或优于投标文件承诺；虚假承诺的视为以虚假材料谋取中标，将依法向监管部门报告后严肃处理并追究相应责任，其中标无效，导致采购人蒙受损失的，必须对采购人给予赔偿。</w:t>
            </w:r>
          </w:p>
          <w:p>
            <w:pPr>
              <w:pStyle w:val="null3"/>
              <w:jc w:val="both"/>
            </w:pPr>
            <w:r>
              <w:rPr>
                <w:sz w:val="21"/>
              </w:rPr>
              <w:t>2.</w:t>
            </w: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3.</w:t>
            </w:r>
            <w:r>
              <w:rPr>
                <w:sz w:val="21"/>
              </w:rPr>
              <w:t>对于用户需求书带“▲”号的技术条款，除另有说明外，提供第三方检测报告或制造商发布的印刷资料作为技术证明文件（明显标注技术条款在证明文件中对应位置）；没有上述技术证明的，评标委员会有权视该带“▲”号的技术条款为无效响应。</w:t>
            </w:r>
          </w:p>
          <w:p>
            <w:pPr>
              <w:pStyle w:val="null3"/>
              <w:jc w:val="both"/>
            </w:pPr>
            <w:r>
              <w:rPr>
                <w:sz w:val="21"/>
              </w:rPr>
              <w:t>4.</w:t>
            </w:r>
            <w:r>
              <w:rPr>
                <w:sz w:val="21"/>
              </w:rPr>
              <w:t>可通过“粤省事”“粤商通”等系统获取相关信息的，投标人可以在投标文件中书面承诺相应符合情况。</w:t>
            </w:r>
          </w:p>
          <w:p>
            <w:pPr>
              <w:pStyle w:val="null3"/>
              <w:jc w:val="both"/>
            </w:pPr>
            <w:r>
              <w:rPr>
                <w:sz w:val="21"/>
              </w:rPr>
              <w:t>5.</w:t>
            </w: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jc w:val="both"/>
            </w:pPr>
            <w:r>
              <w:rPr>
                <w:sz w:val="21"/>
              </w:rPr>
              <w:t>6.</w:t>
            </w:r>
            <w:r>
              <w:rPr>
                <w:sz w:val="21"/>
              </w:rPr>
              <w:t>虚假承诺的视为以虚假材料谋取中标，将依法向监管部门报告后严肃处理并追究相应责任，其中标无效，导致采购人蒙受损失的，必须对采购人给予赔偿。</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执行，按差额定率累进法计算，以中标通知书中确定的中标金额作为收费的计算依据计算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中标人纸质投标文件归档，投标人若中标后，须在中标公告发布3日内将在云平台上传的电子投标文件制作成纸质投标文件1份，邮寄至广东省广州市越秀区东风东路726号19楼（收件信息：章小姐 020-37860569），用于采购人归档。</w:t>
            </w:r>
          </w:p>
          <w:p>
            <w:pPr>
              <w:pStyle w:val="null3"/>
              <w:jc w:val="left"/>
            </w:pPr>
            <w:r>
              <w:rPr/>
              <w:t>投标文件内容公示，根据《佛山市南海区关于进一步深化政府采购改革的意见》（南财采〔2020〕6号）的规定，投标人递交投标文件的视为作出以下承诺： 1.投标人确认知悉，如有违反政府采购活动相关法律法规规定，其所应承担的责任。 2.投标人同意将投标文件公示信息内容包括：营业执照、资质证书、项目业绩、检验检测报告、履约验收报告及评价、社保证明、设备发票、职称、各种证件（身份证除外）、货物的规格型号及配置参数等。法定代表人证明书、投标文件签署授权委托书、项目实施方案、售后服务方案不属于应公示的投标文件信息。 3.投标人承诺上述应公示的内容是真实的，且确认不涉及任何个人隐私、商业秘密和其他不可公开的内容，如若中标，同意采购人或其委托的代理机构将上述应公示的内容予以公开。上述相关公示内容由采购人或其委托的政府采购代理机构，在佛山市公共资源交易中心南海分中心“交易信息”网页发布中标（成交）公告的同时一并公示，接受社会公众监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广东省公共资源交易平台（https://ygp.gdzwfw.gov.cn/），佛山市公共资源交易中心南海分中心（http://www.nanhai.gov.cn/fsnhq/bmdh/sydw/ggzyjyzx/jyxx/）</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广东省公共资源交易平台（https://ygp.gdzwfw.gov.cn/），佛山市公共资源交易中心南海分中心（http://www.nanhai.gov.cn/fsnhq/bmdh/sydw/ggzyjyzx/jyxx/）</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采购包1(移动式G形臂X射线机)：综合评分法,是指投标文件满足招标文件全部实质性要求，且按照评审因素的量化指标评审得分最高的投标人为中标候选人的评标方法。（最低报价不是中标的唯一依据。）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采购包1（移动式G形臂X射线机）：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采购包1（移动式G形臂X射线机）：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具备有效的医疗器械生产许可证（如投标人为制造商）。</w:t>
            </w:r>
          </w:p>
        </w:tc>
      </w:tr>
      <w:tr>
        <w:tc>
          <w:tcPr>
            <w:tcW w:type="dxa" w:w="890"/>
          </w:tcPr>
          <w:p>
            <w:pPr>
              <w:pStyle w:val="null3"/>
            </w:pPr>
            <w:r>
              <w:rPr/>
              <w:t>11</w:t>
            </w:r>
          </w:p>
        </w:tc>
        <w:tc>
          <w:tcPr>
            <w:tcW w:type="dxa" w:w="3178"/>
          </w:tcPr>
          <w:p>
            <w:pPr>
              <w:pStyle w:val="null3"/>
            </w:pPr>
            <w:r>
              <w:rPr/>
              <w:t>特殊资格</w:t>
            </w:r>
          </w:p>
        </w:tc>
        <w:tc>
          <w:tcPr>
            <w:tcW w:type="dxa" w:w="4238"/>
          </w:tcPr>
          <w:p>
            <w:pPr>
              <w:pStyle w:val="null3"/>
            </w:pPr>
            <w:r>
              <w:rPr/>
              <w:t>投标人具有有效的辐射安全许可证。</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采购包1（移动式G形臂X射线机）：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采购包1(移动式G形臂X射线机):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“具体技术(参数)要求”中带“▲”的重要技术条款的响应情况 (31.5分)</w:t>
            </w:r>
          </w:p>
        </w:tc>
        <w:tc>
          <w:tcPr>
            <w:tcW w:type="dxa" w:w="5076"/>
          </w:tcPr>
          <w:p>
            <w:pPr>
              <w:pStyle w:val="null3"/>
              <w:jc w:val="left"/>
            </w:pPr>
            <w:r>
              <w:rPr/>
              <w:t>根据投标人所投产品对第二章 采购需求-“附表一：移动式G形臂X射线机”-“具体技术(参数)要求”中带“▲”的重要技术条款的响应情况进行评审： 每有1项带“▲”号条款(共7条)，完全满足或优于技术性能要求的，得4.5分。 本项最高得31.5分，最低得0分。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其中，如果标注“▲”的条款含有下一级的，整体视为一项“▲”条款；如果非标题条款的下一级已有标注“▲”条款的，条款本身及其下一级均计入条款数量。 （3）对于采购需求中带“▲”号的技术条款，除另有说明外，提供第三方检测报告或制造商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“具体技术(参数)要求”中不带“★”“▲”的一般技术条款的响应情况 (11.5分)</w:t>
            </w:r>
          </w:p>
        </w:tc>
        <w:tc>
          <w:tcPr>
            <w:tcW w:type="dxa" w:w="5076"/>
          </w:tcPr>
          <w:p>
            <w:pPr>
              <w:pStyle w:val="null3"/>
              <w:jc w:val="left"/>
            </w:pPr>
            <w:r>
              <w:rPr/>
              <w:t>根据投标人所投产品对第二章 采购需求-“附表一：移动式G形臂X射线机”-“具体技术(参数)要求”中不带“★”“▲”的一般技术条款的响应情况进行评审： 每有1项不带“★”“▲”的一般技术条款(共46条)，完全满足或优于技术性能要求的，得0.25分。 本项最高得11.5分，最低得0分。 注： 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w:t>
            </w:r>
          </w:p>
        </w:tc>
      </w:tr>
      <w:tr>
        <w:tc>
          <w:tcPr>
            <w:tcW w:type="dxa" w:w="922"/>
            <w:gridSpan w:val="2"/>
            <w:vMerge/>
          </w:tcPr>
          <w:p/>
        </w:tc>
        <w:tc>
          <w:tcPr>
            <w:tcW w:type="dxa" w:w="2307"/>
          </w:tcPr>
          <w:p>
            <w:pPr>
              <w:pStyle w:val="null3"/>
              <w:jc w:val="left"/>
            </w:pPr>
            <w:r>
              <w:rPr/>
              <w:t>投标人的技术方案 (12.0分)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12分：技术方案全面覆盖采购需求，设备性能卓越、选型科学合理，制造与检验标准严格，质量追溯及改进机制完善，契合项目临床需求，逻辑严谨。 7分：技术方案基本涵盖需求，设备性能良好、选型配置较合理，制造检验标准较规范，有质量追溯和改进措施，满足项目基本要求。 3分：技术方案内容简略，设备性能与选型仅作简要说明，制造检验标准模糊，质量追溯及改进机制不完善，对项目需求回应不足。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5分：供货保障方案完整，生产经销计划详尽，配备多维度及时供货措施，供货渠道稳定充足，有风险应对预案，完全匹配项目需求。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5分：售后服务方案完整详实，各环节计划周密，应急服务预案完备，含创新性服务项目，费用明确，完全契合项目需求。 3分：涵盖各服务环节计划，有基本应急方案，能满足项目常规售后需求，服务内容及费用说明清晰。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投标文件所投移动式G形臂X射线机自2022年1月1日起至今(以合同签订时间为准)具备的同品牌供货业绩，每提供一份合同书得1，最高5分。 注:投标文件提供合同关键页复印件。上述业绩仅要求供货内容为同品牌的移动式G形臂X射线机，不限定供货方身份。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注：本合同仅为合同的参考文本，合同签订双方可根据项目的具体要求进行修订，但不得偏离实质性条款。</w:t>
      </w:r>
    </w:p>
    <w:p>
      <w:pPr>
        <w:pStyle w:val="null3"/>
        <w:jc w:val="center"/>
      </w:pPr>
      <w:r>
        <w:rPr>
          <w:sz w:val="48"/>
          <w:b/>
        </w:rPr>
        <w:t>政府采购项目</w:t>
      </w:r>
    </w:p>
    <w:p>
      <w:pPr>
        <w:pStyle w:val="null3"/>
        <w:jc w:val="center"/>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包组：</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合同编号：</w:t>
            </w:r>
          </w:p>
        </w:tc>
      </w:tr>
    </w:tbl>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b/>
          <w:color w:val="000000"/>
        </w:rPr>
        <w:t>甲</w:t>
      </w:r>
      <w:r>
        <w:rPr>
          <w:b/>
        </w:rPr>
        <w:t xml:space="preserve">    </w:t>
      </w:r>
      <w:r>
        <w:rPr>
          <w:sz w:val="21"/>
          <w:b/>
          <w:color w:val="000000"/>
        </w:rPr>
        <w:t>方：</w:t>
      </w:r>
      <w:r>
        <w:rPr>
          <w:u w:val="single"/>
        </w:rPr>
        <w:t xml:space="preserve">           </w:t>
      </w:r>
      <w:r>
        <w:rPr>
          <w:b/>
          <w:u w:val="single"/>
        </w:rPr>
        <w:t xml:space="preserve"> </w:t>
      </w:r>
    </w:p>
    <w:p>
      <w:pPr>
        <w:pStyle w:val="null3"/>
        <w:jc w:val="both"/>
      </w:pPr>
      <w:r>
        <w:rPr>
          <w:sz w:val="21"/>
          <w:color w:val="000000"/>
        </w:rPr>
        <w:t>电</w:t>
      </w:r>
      <w:r>
        <w:rPr/>
        <w:t xml:space="preserve">    </w:t>
      </w:r>
      <w:r>
        <w:rPr>
          <w:sz w:val="21"/>
          <w:color w:val="000000"/>
        </w:rPr>
        <w:t>话：</w:t>
      </w:r>
      <w:r>
        <w:rPr/>
        <w:t xml:space="preserve">             </w:t>
      </w:r>
      <w:r>
        <w:rPr>
          <w:sz w:val="21"/>
          <w:color w:val="000000"/>
        </w:rPr>
        <w:t>传</w:t>
      </w:r>
      <w:r>
        <w:rPr/>
        <w:t xml:space="preserve">  </w:t>
      </w:r>
      <w:r>
        <w:rPr>
          <w:sz w:val="21"/>
          <w:color w:val="000000"/>
        </w:rPr>
        <w:t>真：</w:t>
      </w:r>
      <w:r>
        <w:rPr/>
        <w:t xml:space="preserve">          </w:t>
      </w:r>
      <w:r>
        <w:rPr>
          <w:sz w:val="21"/>
          <w:color w:val="000000"/>
        </w:rPr>
        <w:t>地</w:t>
      </w:r>
      <w:r>
        <w:rPr/>
        <w:t xml:space="preserve">  </w:t>
      </w:r>
      <w:r>
        <w:rPr>
          <w:sz w:val="21"/>
          <w:color w:val="000000"/>
        </w:rPr>
        <w:t>址：</w:t>
      </w:r>
    </w:p>
    <w:p>
      <w:pPr>
        <w:pStyle w:val="null3"/>
        <w:jc w:val="both"/>
      </w:pPr>
      <w:r>
        <w:rPr>
          <w:sz w:val="21"/>
          <w:b/>
          <w:color w:val="000000"/>
        </w:rPr>
        <w:t>乙</w:t>
      </w:r>
      <w:r>
        <w:rPr>
          <w:b/>
        </w:rPr>
        <w:t xml:space="preserve">    </w:t>
      </w:r>
      <w:r>
        <w:rPr>
          <w:sz w:val="21"/>
          <w:b/>
          <w:color w:val="000000"/>
        </w:rPr>
        <w:t>方：</w:t>
      </w:r>
      <w:r>
        <w:rPr>
          <w:b/>
          <w:u w:val="single"/>
        </w:rPr>
        <w:t xml:space="preserve"> </w:t>
      </w:r>
      <w:r>
        <w:rPr>
          <w:sz w:val="21"/>
          <w:b/>
          <w:color w:val="000000"/>
          <w:u w:val="single"/>
        </w:rPr>
        <w:t>（中标、成交供应商）</w:t>
      </w:r>
      <w:r>
        <w:rPr>
          <w:b/>
          <w:u w:val="single"/>
        </w:rPr>
        <w:t xml:space="preserve">    </w:t>
      </w:r>
    </w:p>
    <w:p>
      <w:pPr>
        <w:pStyle w:val="null3"/>
        <w:jc w:val="both"/>
      </w:pPr>
      <w:r>
        <w:rPr>
          <w:sz w:val="21"/>
          <w:color w:val="000000"/>
        </w:rPr>
        <w:t>电</w:t>
      </w:r>
      <w:r>
        <w:rPr/>
        <w:t xml:space="preserve">    </w:t>
      </w:r>
      <w:r>
        <w:rPr>
          <w:sz w:val="21"/>
          <w:color w:val="000000"/>
        </w:rPr>
        <w:t>话：</w:t>
      </w:r>
      <w:r>
        <w:rPr/>
        <w:t xml:space="preserve">               </w:t>
      </w:r>
      <w:r>
        <w:rPr>
          <w:sz w:val="21"/>
          <w:color w:val="000000"/>
        </w:rPr>
        <w:t>传</w:t>
      </w:r>
      <w:r>
        <w:rPr/>
        <w:t xml:space="preserve">  </w:t>
      </w:r>
      <w:r>
        <w:rPr>
          <w:sz w:val="21"/>
          <w:color w:val="000000"/>
        </w:rPr>
        <w:t>真：</w:t>
      </w:r>
      <w:r>
        <w:rPr/>
        <w:t xml:space="preserve">          </w:t>
      </w:r>
      <w:r>
        <w:rPr>
          <w:sz w:val="21"/>
          <w:color w:val="000000"/>
        </w:rPr>
        <w:t>地</w:t>
      </w:r>
      <w:r>
        <w:rPr/>
        <w:t xml:space="preserve">  </w:t>
      </w:r>
      <w:r>
        <w:rPr>
          <w:sz w:val="21"/>
          <w:color w:val="000000"/>
        </w:rPr>
        <w:t>址：</w:t>
      </w:r>
      <w:r>
        <w:rPr/>
        <w:t xml:space="preserve">   </w:t>
      </w:r>
    </w:p>
    <w:p>
      <w:pPr>
        <w:pStyle w:val="null3"/>
        <w:jc w:val="both"/>
      </w:pPr>
      <w:r>
        <w:rPr>
          <w:sz w:val="21"/>
          <w:b/>
          <w:color w:val="000000"/>
        </w:rPr>
        <w:t>见证单位：</w:t>
      </w:r>
      <w:r>
        <w:rPr>
          <w:b/>
          <w:u w:val="single"/>
        </w:rPr>
        <w:t xml:space="preserve"> </w:t>
      </w:r>
      <w:r>
        <w:rPr>
          <w:sz w:val="21"/>
          <w:b/>
          <w:color w:val="000000"/>
          <w:u w:val="single"/>
        </w:rPr>
        <w:t>国义招标股份有限公司</w:t>
      </w:r>
      <w:r>
        <w:rPr>
          <w:b/>
          <w:u w:val="single"/>
        </w:rPr>
        <w:t xml:space="preserve"> </w:t>
      </w:r>
    </w:p>
    <w:p>
      <w:pPr>
        <w:pStyle w:val="null3"/>
        <w:jc w:val="both"/>
      </w:pPr>
      <w:r>
        <w:rPr>
          <w:sz w:val="21"/>
          <w:color w:val="000000"/>
        </w:rPr>
        <w:t>项目名称：</w:t>
      </w:r>
      <w:r>
        <w:rPr/>
        <w:t xml:space="preserve">            </w:t>
      </w:r>
      <w:r>
        <w:rPr>
          <w:sz w:val="21"/>
          <w:color w:val="000000"/>
        </w:rPr>
        <w:t>采购编号：</w:t>
      </w:r>
    </w:p>
    <w:p>
      <w:pPr>
        <w:pStyle w:val="null3"/>
        <w:jc w:val="both"/>
      </w:pPr>
      <w:r>
        <w:rPr/>
        <w:t xml:space="preserve"> </w:t>
      </w:r>
    </w:p>
    <w:p>
      <w:pPr>
        <w:pStyle w:val="null3"/>
        <w:ind w:firstLine="424"/>
        <w:jc w:val="both"/>
      </w:pPr>
      <w:r>
        <w:rPr>
          <w:sz w:val="21"/>
          <w:color w:val="000000"/>
        </w:rPr>
        <w:t>根据《中华人民共和国政府采购法》、政府采购代理机构之采购结果，经双方协商，本着平等互利和诚实信用的原则，一致同意签订本合同如下。</w:t>
      </w:r>
    </w:p>
    <w:p>
      <w:pPr>
        <w:pStyle w:val="null3"/>
        <w:jc w:val="both"/>
      </w:pPr>
      <w:r>
        <w:rPr>
          <w:sz w:val="21"/>
          <w:b/>
          <w:color w:val="000000"/>
        </w:rPr>
        <w:t>一、货物内容</w:t>
      </w:r>
      <w:r>
        <w:rPr>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634"/>
        <w:gridCol w:w="997"/>
        <w:gridCol w:w="3202"/>
        <w:gridCol w:w="785"/>
        <w:gridCol w:w="785"/>
        <w:gridCol w:w="936"/>
        <w:gridCol w:w="967"/>
      </w:tblGrid>
      <w:tr>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商品名称</w:t>
            </w:r>
          </w:p>
        </w:tc>
        <w:tc>
          <w:tcPr>
            <w:tcW w:type="dxa" w:w="3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品牌、规格型号、配置（性能参数）</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w:t>
            </w:r>
            <w:r>
              <w:rPr>
                <w:sz w:val="21"/>
                <w:color w:val="000000"/>
              </w:rPr>
              <w:t>(</w:t>
            </w:r>
            <w:r>
              <w:rPr>
                <w:sz w:val="21"/>
                <w:color w:val="000000"/>
              </w:rPr>
              <w:t>元</w:t>
            </w:r>
            <w:r>
              <w:rPr>
                <w:sz w:val="21"/>
                <w:color w:val="000000"/>
              </w:rPr>
              <w:t>)</w:t>
            </w:r>
          </w:p>
        </w:tc>
        <w:tc>
          <w:tcPr>
            <w:tcW w:type="dxa" w:w="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金额</w:t>
            </w:r>
            <w:r>
              <w:rPr>
                <w:sz w:val="21"/>
                <w:color w:val="000000"/>
              </w:rPr>
              <w:t>(</w:t>
            </w:r>
            <w:r>
              <w:rPr>
                <w:sz w:val="21"/>
                <w:color w:val="000000"/>
              </w:rPr>
              <w:t>元</w:t>
            </w:r>
            <w:r>
              <w:rPr>
                <w:sz w:val="21"/>
                <w:color w:val="000000"/>
              </w:rPr>
              <w:t>)</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r>
              <w:rPr>
                <w:sz w:val="21"/>
                <w:color w:val="000000"/>
              </w:rPr>
              <w:t>合计总额：￥</w:t>
            </w:r>
            <w:r>
              <w:rPr>
                <w:sz w:val="19"/>
              </w:rPr>
              <w:t xml:space="preserve">       </w:t>
            </w:r>
            <w:r>
              <w:rPr>
                <w:sz w:val="21"/>
                <w:color w:val="000000"/>
              </w:rPr>
              <w:t>元；</w:t>
            </w:r>
            <w:r>
              <w:rPr>
                <w:sz w:val="19"/>
              </w:rPr>
              <w:t xml:space="preserve">    </w:t>
            </w:r>
            <w:r>
              <w:rPr>
                <w:sz w:val="21"/>
                <w:color w:val="000000"/>
              </w:rPr>
              <w:t>大写：</w:t>
            </w:r>
            <w:r>
              <w:rPr>
                <w:sz w:val="19"/>
              </w:rPr>
              <w:t xml:space="preserve">         </w:t>
            </w:r>
          </w:p>
        </w:tc>
      </w:tr>
    </w:tbl>
    <w:p>
      <w:pPr>
        <w:pStyle w:val="null3"/>
        <w:ind w:firstLine="420"/>
        <w:jc w:val="both"/>
      </w:pPr>
      <w:r>
        <w:rPr>
          <w:sz w:val="21"/>
          <w:color w:val="000000"/>
        </w:rPr>
        <w:t>合同总额包括</w:t>
      </w:r>
      <w:r>
        <w:rPr>
          <w:sz w:val="21"/>
        </w:rPr>
        <w:t>但不限于</w:t>
      </w:r>
      <w:r>
        <w:rPr>
          <w:sz w:val="21"/>
        </w:rPr>
        <w:t>本项目全部设备、附件及施工安装产生的所有费用，含运输储存费、现场勘查人工费用、施工及安装费用、损坏后修复费用、垃圾清理费用等不可预见费用、免费</w:t>
      </w:r>
      <w:r>
        <w:rPr>
          <w:sz w:val="21"/>
        </w:rPr>
        <w:t>/</w:t>
      </w:r>
      <w:r>
        <w:rPr>
          <w:sz w:val="21"/>
        </w:rPr>
        <w:t>优惠提供或未注明报价的内容以及合同包含的所有风险、责任等各项应有费用以及代理服务费</w:t>
      </w:r>
      <w:r>
        <w:rPr>
          <w:sz w:val="21"/>
          <w:color w:val="000000"/>
        </w:rPr>
        <w:t>。</w:t>
      </w:r>
    </w:p>
    <w:p>
      <w:pPr>
        <w:pStyle w:val="null3"/>
        <w:jc w:val="both"/>
      </w:pPr>
      <w:r>
        <w:rPr>
          <w:sz w:val="21"/>
          <w:b/>
          <w:color w:val="000000"/>
        </w:rPr>
        <w:t>二、合同金额</w:t>
      </w:r>
    </w:p>
    <w:p>
      <w:pPr>
        <w:pStyle w:val="null3"/>
        <w:ind w:firstLine="420"/>
        <w:jc w:val="both"/>
      </w:pPr>
      <w:r>
        <w:rPr>
          <w:sz w:val="21"/>
          <w:color w:val="000000"/>
        </w:rPr>
        <w:t>合同金额为（大写）：</w:t>
      </w:r>
      <w:r>
        <w:rPr>
          <w:sz w:val="21"/>
          <w:color w:val="000000"/>
        </w:rPr>
        <w:t>_________________</w:t>
      </w:r>
      <w:r>
        <w:rPr>
          <w:sz w:val="21"/>
          <w:color w:val="000000"/>
        </w:rPr>
        <w:t>元（￥</w:t>
      </w:r>
      <w:r>
        <w:rPr>
          <w:sz w:val="21"/>
          <w:color w:val="000000"/>
        </w:rPr>
        <w:t>_______________</w:t>
      </w:r>
      <w:r>
        <w:rPr>
          <w:sz w:val="21"/>
          <w:color w:val="000000"/>
        </w:rPr>
        <w:t>元）人民币。（详见投标报价表）</w:t>
      </w:r>
    </w:p>
    <w:p>
      <w:pPr>
        <w:pStyle w:val="null3"/>
        <w:jc w:val="both"/>
      </w:pPr>
      <w:r>
        <w:rPr>
          <w:sz w:val="21"/>
          <w:b/>
          <w:color w:val="000000"/>
        </w:rPr>
        <w:t>三、设备要求</w:t>
      </w:r>
    </w:p>
    <w:p>
      <w:pPr>
        <w:pStyle w:val="null3"/>
        <w:jc w:val="both"/>
      </w:pPr>
      <w:r>
        <w:rPr>
          <w:sz w:val="21"/>
          <w:color w:val="000000"/>
        </w:rPr>
        <w:t>1</w:t>
      </w:r>
      <w:r>
        <w:rPr>
          <w:sz w:val="21"/>
          <w:color w:val="000000"/>
        </w:rPr>
        <w:t>、货物为原制造商制造的全新产品，整机无污染，无侵权行为、表面无划损、无任何缺陷隐患，在中国境内可依常规安全合法使用。</w:t>
      </w:r>
    </w:p>
    <w:p>
      <w:pPr>
        <w:pStyle w:val="null3"/>
        <w:jc w:val="both"/>
      </w:pPr>
      <w:r>
        <w:rPr>
          <w:sz w:val="21"/>
          <w:color w:val="000000"/>
        </w:rPr>
        <w:t>2</w:t>
      </w:r>
      <w:r>
        <w:rPr>
          <w:sz w:val="21"/>
          <w:color w:val="000000"/>
        </w:rPr>
        <w:t>、交付验收标准依次序对照适用标准为：①符合中华人民共和国国家安全质量标准、环保标准或行业标准；②符合招标文件和响应承诺中甲方认可的合理最佳配置、参数及各项要求；③货物来源国官方标准。</w:t>
      </w:r>
      <w:r>
        <w:rPr/>
        <w:t xml:space="preserve">    </w:t>
      </w:r>
    </w:p>
    <w:p>
      <w:pPr>
        <w:pStyle w:val="null3"/>
        <w:jc w:val="both"/>
      </w:pPr>
      <w:r>
        <w:rPr>
          <w:sz w:val="21"/>
          <w:color w:val="000000"/>
        </w:rPr>
        <w:t>3</w:t>
      </w:r>
      <w:r>
        <w:rPr>
          <w:sz w:val="21"/>
          <w:color w:val="000000"/>
        </w:rPr>
        <w:t>、进口产品必须具备原产地证明和商检局的检验证明及合法进货渠道证明。</w:t>
      </w:r>
    </w:p>
    <w:p>
      <w:pPr>
        <w:pStyle w:val="null3"/>
        <w:jc w:val="both"/>
      </w:pPr>
      <w:r>
        <w:rPr>
          <w:sz w:val="21"/>
          <w:color w:val="000000"/>
        </w:rPr>
        <w:t>4</w:t>
      </w:r>
      <w:r>
        <w:rPr>
          <w:sz w:val="21"/>
          <w:color w:val="000000"/>
        </w:rPr>
        <w:t>、货物为原厂商未启封全新包装，具出厂合格证，序列号、包装箱号与出厂批号一致，并可追索查阅。</w:t>
      </w:r>
    </w:p>
    <w:p>
      <w:pPr>
        <w:pStyle w:val="null3"/>
        <w:jc w:val="both"/>
      </w:pPr>
      <w:r>
        <w:rPr>
          <w:sz w:val="21"/>
          <w:color w:val="000000"/>
        </w:rPr>
        <w:t>5</w:t>
      </w:r>
      <w:r>
        <w:rPr>
          <w:sz w:val="21"/>
          <w:color w:val="000000"/>
        </w:rPr>
        <w:t>、乙方应将关键主机设备的用户手册、保修手册、有关单证资料及配备件、随机工具等交付给甲方，使用操作及安全须知等重要资料应附有中文说明。</w:t>
      </w:r>
    </w:p>
    <w:p>
      <w:pPr>
        <w:pStyle w:val="null3"/>
        <w:jc w:val="both"/>
      </w:pPr>
      <w:r>
        <w:rPr>
          <w:sz w:val="21"/>
          <w:b/>
          <w:color w:val="000000"/>
        </w:rPr>
        <w:t>四、交货期、交货方式及交货地点</w:t>
      </w:r>
    </w:p>
    <w:p>
      <w:pPr>
        <w:pStyle w:val="null3"/>
        <w:jc w:val="both"/>
      </w:pPr>
      <w:r>
        <w:rPr>
          <w:sz w:val="21"/>
          <w:color w:val="000000"/>
        </w:rPr>
        <w:t>1</w:t>
      </w:r>
      <w:r>
        <w:rPr>
          <w:sz w:val="21"/>
          <w:color w:val="000000"/>
        </w:rPr>
        <w:t>、交货期：</w:t>
      </w:r>
      <w:r>
        <w:rPr>
          <w:sz w:val="21"/>
          <w:color w:val="000000"/>
        </w:rPr>
        <w:t>签订合同后</w:t>
      </w:r>
      <w:r>
        <w:rPr>
          <w:sz w:val="21"/>
          <w:color w:val="000000"/>
        </w:rPr>
        <w:t>45</w:t>
      </w:r>
      <w:r>
        <w:rPr>
          <w:sz w:val="21"/>
          <w:color w:val="000000"/>
        </w:rPr>
        <w:t>天内（根据</w:t>
      </w:r>
      <w:r>
        <w:rPr>
          <w:sz w:val="21"/>
          <w:color w:val="000000"/>
        </w:rPr>
        <w:t>甲方</w:t>
      </w:r>
      <w:r>
        <w:rPr>
          <w:sz w:val="21"/>
          <w:color w:val="000000"/>
        </w:rPr>
        <w:t>新院区的工程建设的情况，</w:t>
      </w:r>
      <w:r>
        <w:rPr>
          <w:sz w:val="21"/>
          <w:color w:val="000000"/>
        </w:rPr>
        <w:t>甲方</w:t>
      </w:r>
      <w:r>
        <w:rPr>
          <w:sz w:val="21"/>
          <w:color w:val="000000"/>
        </w:rPr>
        <w:t>提前一个月通知送货和安装）</w:t>
      </w:r>
      <w:r>
        <w:rPr>
          <w:sz w:val="21"/>
        </w:rPr>
        <w:t>。</w:t>
      </w:r>
    </w:p>
    <w:p>
      <w:pPr>
        <w:pStyle w:val="null3"/>
        <w:jc w:val="both"/>
      </w:pPr>
      <w:r>
        <w:rPr>
          <w:sz w:val="21"/>
          <w:color w:val="000000"/>
        </w:rPr>
        <w:t>2</w:t>
      </w:r>
      <w:r>
        <w:rPr>
          <w:sz w:val="21"/>
          <w:color w:val="000000"/>
        </w:rPr>
        <w:t>、交货方式：</w:t>
      </w:r>
    </w:p>
    <w:p>
      <w:pPr>
        <w:pStyle w:val="null3"/>
        <w:jc w:val="both"/>
      </w:pPr>
      <w:r>
        <w:rPr>
          <w:sz w:val="21"/>
          <w:color w:val="000000"/>
        </w:rPr>
        <w:t>3</w:t>
      </w:r>
      <w:r>
        <w:rPr>
          <w:sz w:val="21"/>
          <w:color w:val="000000"/>
        </w:rPr>
        <w:t>、交货地点：</w:t>
      </w:r>
      <w:r>
        <w:rPr>
          <w:sz w:val="21"/>
        </w:rPr>
        <w:t xml:space="preserve"> </w:t>
      </w:r>
      <w:r>
        <w:rPr>
          <w:sz w:val="21"/>
        </w:rPr>
        <w:t>甲方指定地点</w:t>
      </w:r>
    </w:p>
    <w:p>
      <w:pPr>
        <w:pStyle w:val="null3"/>
        <w:jc w:val="both"/>
      </w:pPr>
      <w:r>
        <w:rPr>
          <w:sz w:val="21"/>
          <w:b/>
          <w:color w:val="000000"/>
        </w:rPr>
        <w:t>五、付款方式</w:t>
      </w:r>
    </w:p>
    <w:p>
      <w:pPr>
        <w:pStyle w:val="null3"/>
        <w:jc w:val="both"/>
      </w:pPr>
      <w:r>
        <w:rPr>
          <w:sz w:val="21"/>
        </w:rPr>
        <w:t>第</w:t>
      </w:r>
      <w:r>
        <w:rPr>
          <w:sz w:val="21"/>
        </w:rPr>
        <w:t>1</w:t>
      </w:r>
      <w:r>
        <w:rPr>
          <w:sz w:val="21"/>
        </w:rPr>
        <w:t>期为</w:t>
      </w:r>
      <w:r>
        <w:rPr>
          <w:sz w:val="21"/>
        </w:rPr>
        <w:t>(</w:t>
      </w:r>
      <w:r>
        <w:rPr>
          <w:sz w:val="21"/>
        </w:rPr>
        <w:t>预付款</w:t>
      </w:r>
      <w:r>
        <w:rPr>
          <w:sz w:val="21"/>
        </w:rPr>
        <w:t>)</w:t>
      </w:r>
      <w:r>
        <w:rPr>
          <w:sz w:val="21"/>
        </w:rPr>
        <w:t>：支付比例</w:t>
      </w:r>
      <w:r>
        <w:rPr>
          <w:sz w:val="21"/>
        </w:rPr>
        <w:t>30%</w:t>
      </w:r>
      <w:r>
        <w:rPr>
          <w:sz w:val="21"/>
        </w:rPr>
        <w:t>，签订合同后收到</w:t>
      </w:r>
      <w:r>
        <w:rPr>
          <w:sz w:val="21"/>
        </w:rPr>
        <w:t>乙方</w:t>
      </w:r>
      <w:r>
        <w:rPr>
          <w:sz w:val="21"/>
        </w:rPr>
        <w:t>付款申请、发票，审核无误后的</w:t>
      </w:r>
      <w:r>
        <w:rPr>
          <w:sz w:val="21"/>
        </w:rPr>
        <w:t>5</w:t>
      </w:r>
      <w:r>
        <w:rPr>
          <w:sz w:val="21"/>
        </w:rPr>
        <w:t>个工作日内预付合同总金额的</w:t>
      </w:r>
      <w:r>
        <w:rPr>
          <w:sz w:val="21"/>
        </w:rPr>
        <w:t>30%</w:t>
      </w:r>
      <w:r>
        <w:rPr>
          <w:sz w:val="21"/>
        </w:rPr>
        <w:t>。</w:t>
      </w:r>
    </w:p>
    <w:p>
      <w:pPr>
        <w:pStyle w:val="null3"/>
        <w:jc w:val="both"/>
      </w:pPr>
      <w:r>
        <w:rPr>
          <w:sz w:val="21"/>
        </w:rPr>
        <w:t>第</w:t>
      </w:r>
      <w:r>
        <w:rPr>
          <w:sz w:val="21"/>
        </w:rPr>
        <w:t>2</w:t>
      </w:r>
      <w:r>
        <w:rPr>
          <w:sz w:val="21"/>
        </w:rPr>
        <w:t>期为</w:t>
      </w:r>
      <w:r>
        <w:rPr>
          <w:sz w:val="21"/>
        </w:rPr>
        <w:t>(</w:t>
      </w:r>
      <w:r>
        <w:rPr>
          <w:sz w:val="21"/>
        </w:rPr>
        <w:t>进度款</w:t>
      </w:r>
      <w:r>
        <w:rPr>
          <w:sz w:val="21"/>
        </w:rPr>
        <w:t>)</w:t>
      </w:r>
      <w:r>
        <w:rPr>
          <w:sz w:val="21"/>
        </w:rPr>
        <w:t>：支付比例</w:t>
      </w:r>
      <w:r>
        <w:rPr>
          <w:sz w:val="21"/>
        </w:rPr>
        <w:t>60%</w:t>
      </w:r>
      <w:r>
        <w:rPr>
          <w:sz w:val="21"/>
        </w:rPr>
        <w:t>，由</w:t>
      </w:r>
      <w:r>
        <w:rPr>
          <w:sz w:val="21"/>
        </w:rPr>
        <w:t>甲方</w:t>
      </w:r>
      <w:r>
        <w:rPr>
          <w:sz w:val="21"/>
        </w:rPr>
        <w:t>按下列程序分期付款，每期付款在以下流程并且收到</w:t>
      </w:r>
      <w:r>
        <w:rPr>
          <w:sz w:val="21"/>
        </w:rPr>
        <w:t>乙方</w:t>
      </w:r>
      <w:r>
        <w:rPr>
          <w:sz w:val="21"/>
        </w:rPr>
        <w:t>付款申请、发票，审核无误后的的</w:t>
      </w:r>
      <w:r>
        <w:rPr>
          <w:sz w:val="21"/>
        </w:rPr>
        <w:t>10</w:t>
      </w:r>
      <w:r>
        <w:rPr>
          <w:sz w:val="21"/>
        </w:rPr>
        <w:t>个工作日内完成。货物到达交货地点并完成安装部分的阶段性验收后付合同总金额的</w:t>
      </w:r>
      <w:r>
        <w:rPr>
          <w:sz w:val="21"/>
        </w:rPr>
        <w:t>60%</w:t>
      </w:r>
      <w:r>
        <w:rPr>
          <w:sz w:val="21"/>
        </w:rPr>
        <w:t>（要求在</w:t>
      </w:r>
      <w:r>
        <w:rPr>
          <w:sz w:val="21"/>
        </w:rPr>
        <w:t>乙方</w:t>
      </w:r>
      <w:r>
        <w:rPr>
          <w:sz w:val="21"/>
        </w:rPr>
        <w:t>提供全保保修承诺，承诺由厂家保修后）。</w:t>
      </w:r>
    </w:p>
    <w:p>
      <w:pPr>
        <w:pStyle w:val="null3"/>
        <w:jc w:val="both"/>
      </w:pPr>
      <w:r>
        <w:rPr>
          <w:sz w:val="21"/>
        </w:rPr>
        <w:t>第</w:t>
      </w:r>
      <w:r>
        <w:rPr>
          <w:sz w:val="21"/>
        </w:rPr>
        <w:t>3</w:t>
      </w:r>
      <w:r>
        <w:rPr>
          <w:sz w:val="21"/>
        </w:rPr>
        <w:t>期为</w:t>
      </w:r>
      <w:r>
        <w:rPr>
          <w:sz w:val="21"/>
        </w:rPr>
        <w:t>(</w:t>
      </w:r>
      <w:r>
        <w:rPr>
          <w:sz w:val="21"/>
        </w:rPr>
        <w:t>尾款</w:t>
      </w:r>
      <w:r>
        <w:rPr>
          <w:sz w:val="21"/>
        </w:rPr>
        <w:t>)</w:t>
      </w:r>
      <w:r>
        <w:rPr>
          <w:sz w:val="21"/>
        </w:rPr>
        <w:t>：支付比例</w:t>
      </w:r>
      <w:r>
        <w:rPr>
          <w:sz w:val="21"/>
        </w:rPr>
        <w:t>10%</w:t>
      </w:r>
      <w:r>
        <w:rPr>
          <w:sz w:val="21"/>
        </w:rPr>
        <w:t>，正常使用一年，完成培训以及最终验收合格后付合同总金额的</w:t>
      </w:r>
      <w:r>
        <w:rPr>
          <w:sz w:val="21"/>
        </w:rPr>
        <w:t>10%</w:t>
      </w:r>
      <w:r>
        <w:rPr>
          <w:sz w:val="21"/>
        </w:rPr>
        <w:t>。</w:t>
      </w:r>
    </w:p>
    <w:p>
      <w:pPr>
        <w:pStyle w:val="null3"/>
        <w:jc w:val="both"/>
      </w:pPr>
      <w:r>
        <w:rPr>
          <w:sz w:val="21"/>
          <w:b/>
          <w:color w:val="000000"/>
        </w:rPr>
        <w:t>六、质保期及售后服务要求</w:t>
      </w:r>
    </w:p>
    <w:p>
      <w:pPr>
        <w:pStyle w:val="null3"/>
        <w:jc w:val="both"/>
      </w:pPr>
      <w:r>
        <w:rPr>
          <w:sz w:val="21"/>
          <w:color w:val="000000"/>
        </w:rPr>
        <w:t>1</w:t>
      </w:r>
      <w:r>
        <w:rPr>
          <w:sz w:val="21"/>
          <w:color w:val="000000"/>
        </w:rPr>
        <w:t>、</w:t>
      </w:r>
      <w:r>
        <w:rPr/>
        <w:t xml:space="preserve"> </w:t>
      </w:r>
      <w:r>
        <w:rPr>
          <w:sz w:val="21"/>
          <w:color w:val="000000"/>
        </w:rPr>
        <w:t>本合同的质量保证期（简称</w:t>
      </w:r>
      <w:r>
        <w:rPr>
          <w:sz w:val="21"/>
          <w:color w:val="000000"/>
        </w:rPr>
        <w:t>“质保期”）为</w:t>
      </w:r>
      <w:r>
        <w:rPr>
          <w:u w:val="single"/>
        </w:rPr>
        <w:t xml:space="preserve">     </w:t>
      </w:r>
      <w:r>
        <w:rPr>
          <w:sz w:val="21"/>
          <w:color w:val="000000"/>
        </w:rPr>
        <w:t>年，质保期内乙方对所供货物实行包修、包换、包退、包维护保养，期满后可同时提供终身</w:t>
      </w:r>
      <w:r>
        <w:rPr/>
        <w:t xml:space="preserve"> </w:t>
      </w:r>
      <w:r>
        <w:rPr>
          <w:sz w:val="21"/>
          <w:color w:val="000000"/>
          <w:u w:val="single"/>
        </w:rPr>
        <w:t>(</w:t>
      </w:r>
      <w:r>
        <w:rPr>
          <w:sz w:val="21"/>
          <w:color w:val="000000"/>
          <w:u w:val="single"/>
        </w:rPr>
        <w:t>免费</w:t>
      </w:r>
      <w:r>
        <w:rPr>
          <w:sz w:val="21"/>
          <w:color w:val="000000"/>
          <w:u w:val="single"/>
        </w:rPr>
        <w:t>/</w:t>
      </w:r>
      <w:r>
        <w:rPr>
          <w:sz w:val="21"/>
          <w:color w:val="000000"/>
          <w:u w:val="single"/>
        </w:rPr>
        <w:t>有偿</w:t>
      </w:r>
      <w:r>
        <w:rPr>
          <w:sz w:val="21"/>
          <w:color w:val="000000"/>
          <w:u w:val="single"/>
        </w:rPr>
        <w:t>)</w:t>
      </w:r>
      <w:r>
        <w:rPr/>
        <w:t xml:space="preserve"> </w:t>
      </w:r>
      <w:r>
        <w:rPr>
          <w:sz w:val="21"/>
          <w:color w:val="000000"/>
        </w:rPr>
        <w:t>维修保养服务。</w:t>
      </w:r>
    </w:p>
    <w:p>
      <w:pPr>
        <w:pStyle w:val="null3"/>
        <w:jc w:val="both"/>
      </w:pPr>
      <w:r>
        <w:rPr>
          <w:sz w:val="21"/>
          <w:color w:val="000000"/>
        </w:rPr>
        <w:t>2</w:t>
      </w:r>
      <w:r>
        <w:rPr>
          <w:sz w:val="21"/>
          <w:color w:val="000000"/>
        </w:rPr>
        <w:t>、</w:t>
      </w:r>
      <w:r>
        <w:rPr/>
        <w:t xml:space="preserve"> </w:t>
      </w:r>
      <w:r>
        <w:rPr>
          <w:sz w:val="21"/>
          <w:color w:val="000000"/>
        </w:rPr>
        <w:t>质保期内，如设备或零部件因非人为因素出现故障而造成短期停用时，则质保期和免费维修期相应顺延。如停用时间累计超过</w:t>
      </w:r>
      <w:r>
        <w:rPr>
          <w:sz w:val="21"/>
          <w:color w:val="000000"/>
        </w:rPr>
        <w:t>60</w:t>
      </w:r>
      <w:r>
        <w:rPr>
          <w:sz w:val="21"/>
          <w:color w:val="000000"/>
        </w:rPr>
        <w:t>天则质保期重新计算。</w:t>
      </w:r>
    </w:p>
    <w:p>
      <w:pPr>
        <w:pStyle w:val="null3"/>
        <w:jc w:val="both"/>
      </w:pPr>
      <w:r>
        <w:rPr>
          <w:sz w:val="21"/>
          <w:color w:val="000000"/>
        </w:rPr>
        <w:t>3</w:t>
      </w:r>
      <w:r>
        <w:rPr>
          <w:sz w:val="21"/>
          <w:color w:val="000000"/>
        </w:rPr>
        <w:t>、对甲方的服务通知，乙方在接到故障通知后应立即作出详细的故障处理方案并在</w:t>
      </w:r>
      <w:r>
        <w:rPr>
          <w:b/>
          <w:u w:val="single"/>
        </w:rPr>
        <w:t xml:space="preserve">    </w:t>
      </w:r>
      <w:r>
        <w:rPr>
          <w:sz w:val="21"/>
          <w:color w:val="000000"/>
        </w:rPr>
        <w:t>小时内到达用户现场，按国家及行业标准对故障进行及时处理。</w:t>
      </w:r>
    </w:p>
    <w:p>
      <w:pPr>
        <w:pStyle w:val="null3"/>
        <w:jc w:val="both"/>
      </w:pPr>
      <w:r>
        <w:rPr>
          <w:sz w:val="21"/>
          <w:b/>
          <w:color w:val="000000"/>
        </w:rPr>
        <w:t>七、安装与调试</w:t>
      </w:r>
      <w:r>
        <w:rPr>
          <w:sz w:val="21"/>
          <w:b/>
          <w:color w:val="000000"/>
        </w:rPr>
        <w:t>:</w:t>
      </w:r>
      <w:r>
        <w:rPr>
          <w:sz w:val="21"/>
          <w:color w:val="000000"/>
        </w:rPr>
        <w:t>乙方必须依照招标文件的要求和投标文件的承诺，将设备、系统安装并调试至正常运行的最佳状态。</w:t>
      </w:r>
    </w:p>
    <w:p>
      <w:pPr>
        <w:pStyle w:val="null3"/>
        <w:jc w:val="both"/>
      </w:pPr>
      <w:r>
        <w:rPr>
          <w:sz w:val="21"/>
          <w:b/>
          <w:color w:val="000000"/>
        </w:rPr>
        <w:t>八、验收：</w:t>
      </w:r>
    </w:p>
    <w:p>
      <w:pPr>
        <w:pStyle w:val="null3"/>
        <w:jc w:val="both"/>
      </w:pPr>
      <w:r>
        <w:rPr>
          <w:sz w:val="21"/>
          <w:color w:val="000000"/>
        </w:rPr>
        <w:t>1</w:t>
      </w:r>
      <w:r>
        <w:rPr>
          <w:sz w:val="21"/>
          <w:color w:val="000000"/>
        </w:rPr>
        <w:t>、</w:t>
      </w:r>
      <w:r>
        <w:rPr/>
        <w:t xml:space="preserve"> </w:t>
      </w:r>
      <w:r>
        <w:rPr>
          <w:sz w:val="21"/>
          <w:color w:val="000000"/>
        </w:rPr>
        <w:t>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color w:val="000000"/>
        </w:rPr>
        <w:t>2</w:t>
      </w:r>
      <w:r>
        <w:rPr>
          <w:sz w:val="21"/>
          <w:color w:val="000000"/>
        </w:rPr>
        <w:t>、</w:t>
      </w:r>
      <w:r>
        <w:rPr/>
        <w:t xml:space="preserve"> </w:t>
      </w:r>
      <w:r>
        <w:rPr>
          <w:sz w:val="21"/>
          <w:color w:val="000000"/>
        </w:rPr>
        <w:t>进口产品必须具备原产地证明和商检局的检验证明及合法进货渠道证明。评审小组在各投标人的报价有限期内有权要求投标人提供进口货物的报关单。</w:t>
      </w:r>
    </w:p>
    <w:p>
      <w:pPr>
        <w:pStyle w:val="null3"/>
        <w:jc w:val="both"/>
      </w:pPr>
      <w:r>
        <w:rPr>
          <w:sz w:val="21"/>
          <w:color w:val="000000"/>
        </w:rPr>
        <w:t>3</w:t>
      </w:r>
      <w:r>
        <w:rPr>
          <w:sz w:val="21"/>
          <w:color w:val="000000"/>
        </w:rPr>
        <w:t>、</w:t>
      </w:r>
      <w:r>
        <w:rPr/>
        <w:t xml:space="preserve"> </w:t>
      </w:r>
      <w:r>
        <w:rPr>
          <w:sz w:val="21"/>
          <w:color w:val="000000"/>
        </w:rPr>
        <w:t>货物为原厂商未启封全新包装，具出厂合格证，序列号、包装箱号与出厂批号一致，并可追索查阅。所有随设备的附件必须齐全。</w:t>
      </w:r>
    </w:p>
    <w:p>
      <w:pPr>
        <w:pStyle w:val="null3"/>
        <w:jc w:val="both"/>
      </w:pPr>
      <w:r>
        <w:rPr>
          <w:sz w:val="21"/>
          <w:color w:val="000000"/>
        </w:rPr>
        <w:t>4</w:t>
      </w:r>
      <w:r>
        <w:rPr>
          <w:sz w:val="21"/>
          <w:color w:val="000000"/>
        </w:rPr>
        <w:t>、</w:t>
      </w:r>
      <w:r>
        <w:rPr/>
        <w:t xml:space="preserve"> </w:t>
      </w:r>
      <w:r>
        <w:rPr>
          <w:sz w:val="21"/>
          <w:color w:val="000000"/>
        </w:rPr>
        <w:t>乙方应将关键主机设备的用户手册、保修手册、有关单证资料及配备件、随机工具等交付给甲方，使用操作及安全须知等重要资料应附有中文说明。</w:t>
      </w:r>
    </w:p>
    <w:p>
      <w:pPr>
        <w:pStyle w:val="null3"/>
        <w:jc w:val="both"/>
      </w:pPr>
      <w:r>
        <w:rPr>
          <w:sz w:val="21"/>
          <w:color w:val="000000"/>
        </w:rPr>
        <w:t>5</w:t>
      </w:r>
      <w:r>
        <w:rPr>
          <w:sz w:val="21"/>
          <w:color w:val="000000"/>
        </w:rPr>
        <w:t>、</w:t>
      </w:r>
      <w:r>
        <w:rPr/>
        <w:t xml:space="preserve"> </w:t>
      </w:r>
      <w:r>
        <w:rPr>
          <w:sz w:val="21"/>
          <w:color w:val="000000"/>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b/>
          <w:color w:val="000000"/>
        </w:rPr>
        <w:t>九、违约责任与赔偿损失</w:t>
      </w:r>
    </w:p>
    <w:p>
      <w:pPr>
        <w:pStyle w:val="null3"/>
        <w:jc w:val="both"/>
      </w:pPr>
      <w:r>
        <w:rPr>
          <w:sz w:val="21"/>
          <w:color w:val="000000"/>
        </w:rPr>
        <w:t>1</w:t>
      </w:r>
      <w:r>
        <w:rPr>
          <w:sz w:val="21"/>
          <w:color w:val="000000"/>
        </w:rPr>
        <w:t>、乙方交付的货物、工程</w:t>
      </w:r>
      <w:r>
        <w:rPr>
          <w:sz w:val="21"/>
          <w:color w:val="000000"/>
        </w:rPr>
        <w:t>/</w:t>
      </w:r>
      <w:r>
        <w:rPr>
          <w:sz w:val="21"/>
          <w:color w:val="000000"/>
        </w:rPr>
        <w:t>提供的服务不符合招标文件、投标文件或本合同规定的，甲方有权拒收，并且乙方须向甲方支付本合同总价</w:t>
      </w:r>
      <w:r>
        <w:rPr>
          <w:sz w:val="21"/>
          <w:color w:val="000000"/>
        </w:rPr>
        <w:t>5%</w:t>
      </w:r>
      <w:r>
        <w:rPr>
          <w:sz w:val="21"/>
          <w:color w:val="000000"/>
        </w:rPr>
        <w:t>的违约金。</w:t>
      </w:r>
    </w:p>
    <w:p>
      <w:pPr>
        <w:pStyle w:val="null3"/>
        <w:jc w:val="both"/>
      </w:pPr>
      <w:r>
        <w:rPr>
          <w:sz w:val="21"/>
          <w:color w:val="000000"/>
        </w:rPr>
        <w:t>2</w:t>
      </w:r>
      <w:r>
        <w:rPr>
          <w:sz w:val="21"/>
          <w:color w:val="000000"/>
        </w:rPr>
        <w:t>、乙方未能按本合同规定的交货时间交付货物的</w:t>
      </w:r>
      <w:r>
        <w:rPr>
          <w:sz w:val="21"/>
          <w:color w:val="000000"/>
        </w:rPr>
        <w:t>/</w:t>
      </w:r>
      <w:r>
        <w:rPr>
          <w:sz w:val="21"/>
          <w:color w:val="000000"/>
        </w:rPr>
        <w:t>提供服务，从逾期之日起每日按本合同总价</w:t>
      </w:r>
      <w:r>
        <w:rPr>
          <w:sz w:val="21"/>
          <w:color w:val="000000"/>
        </w:rPr>
        <w:t>3</w:t>
      </w:r>
      <w:r>
        <w:rPr>
          <w:sz w:val="21"/>
          <w:color w:val="000000"/>
        </w:rPr>
        <w:t>‰的数额向甲方支付违约金；逾期半个月以上的，甲方有权终止合同，由此造成的甲方经济损失由乙方承担。</w:t>
      </w:r>
    </w:p>
    <w:p>
      <w:pPr>
        <w:pStyle w:val="null3"/>
        <w:jc w:val="both"/>
      </w:pPr>
      <w:r>
        <w:rPr>
          <w:sz w:val="21"/>
          <w:color w:val="000000"/>
        </w:rPr>
        <w:t>3</w:t>
      </w:r>
      <w:r>
        <w:rPr>
          <w:sz w:val="21"/>
          <w:color w:val="000000"/>
        </w:rPr>
        <w:t>、甲方无正当理由拒收货物</w:t>
      </w:r>
      <w:r>
        <w:rPr>
          <w:sz w:val="21"/>
          <w:color w:val="000000"/>
        </w:rPr>
        <w:t>/</w:t>
      </w:r>
      <w:r>
        <w:rPr>
          <w:sz w:val="21"/>
          <w:color w:val="000000"/>
        </w:rPr>
        <w:t>接受服务，到期拒付货物</w:t>
      </w:r>
      <w:r>
        <w:rPr>
          <w:sz w:val="21"/>
          <w:color w:val="000000"/>
        </w:rPr>
        <w:t>/</w:t>
      </w:r>
      <w:r>
        <w:rPr>
          <w:sz w:val="21"/>
          <w:color w:val="000000"/>
        </w:rPr>
        <w:t>服务款项的，甲方向乙方偿付本合同总的</w:t>
      </w:r>
      <w:r>
        <w:rPr>
          <w:sz w:val="21"/>
          <w:color w:val="000000"/>
        </w:rPr>
        <w:t>5%</w:t>
      </w:r>
      <w:r>
        <w:rPr>
          <w:sz w:val="21"/>
          <w:color w:val="000000"/>
        </w:rPr>
        <w:t>的违约金。甲方人逾期付款，则每日按本合同总价的</w:t>
      </w:r>
      <w:r>
        <w:rPr>
          <w:sz w:val="21"/>
          <w:color w:val="000000"/>
        </w:rPr>
        <w:t>3</w:t>
      </w:r>
      <w:r>
        <w:rPr>
          <w:sz w:val="21"/>
          <w:color w:val="000000"/>
        </w:rPr>
        <w:t>‰向乙方偿付违约金。</w:t>
      </w:r>
    </w:p>
    <w:p>
      <w:pPr>
        <w:pStyle w:val="null3"/>
        <w:jc w:val="both"/>
      </w:pPr>
      <w:r>
        <w:rPr>
          <w:sz w:val="21"/>
          <w:color w:val="000000"/>
        </w:rPr>
        <w:t>4</w:t>
      </w:r>
      <w:r>
        <w:rPr>
          <w:sz w:val="21"/>
          <w:color w:val="000000"/>
        </w:rPr>
        <w:t>、其它违约责任按《中华人民共和国民法典》处理。</w:t>
      </w:r>
    </w:p>
    <w:p>
      <w:pPr>
        <w:pStyle w:val="null3"/>
        <w:jc w:val="both"/>
      </w:pPr>
      <w:r>
        <w:rPr>
          <w:sz w:val="21"/>
          <w:b/>
          <w:color w:val="000000"/>
        </w:rPr>
        <w:t>十、争端的解决</w:t>
      </w:r>
    </w:p>
    <w:p>
      <w:pPr>
        <w:pStyle w:val="null3"/>
        <w:jc w:val="both"/>
      </w:pPr>
      <w:r>
        <w:rPr>
          <w:sz w:val="21"/>
          <w:color w:val="000000"/>
        </w:rPr>
        <w:t>1</w:t>
      </w:r>
      <w:r>
        <w:rPr>
          <w:sz w:val="21"/>
          <w:color w:val="000000"/>
        </w:rPr>
        <w:t>、合同执行过程中发生的任何争议，如双方不能通过友好协商解决，应向甲方所在地的人民法院提起诉讼。</w:t>
      </w:r>
    </w:p>
    <w:p>
      <w:pPr>
        <w:pStyle w:val="null3"/>
        <w:jc w:val="both"/>
      </w:pPr>
      <w:r>
        <w:rPr>
          <w:sz w:val="21"/>
          <w:color w:val="000000"/>
        </w:rPr>
        <w:t>2</w:t>
      </w:r>
      <w:r>
        <w:rPr>
          <w:sz w:val="21"/>
          <w:color w:val="000000"/>
        </w:rPr>
        <w:t>、在法院审理期间，除提交法院审理的事项外，合同其它事项和条款仍应继续履行。</w:t>
      </w:r>
    </w:p>
    <w:p>
      <w:pPr>
        <w:pStyle w:val="null3"/>
        <w:jc w:val="both"/>
      </w:pPr>
      <w:r>
        <w:rPr>
          <w:sz w:val="21"/>
          <w:color w:val="000000"/>
        </w:rPr>
        <w:t>3</w:t>
      </w:r>
      <w:r>
        <w:rPr>
          <w:sz w:val="21"/>
          <w:color w:val="000000"/>
        </w:rPr>
        <w:t>、本合同按照中华人民共和国的法律进行解释。</w:t>
      </w:r>
    </w:p>
    <w:p>
      <w:pPr>
        <w:pStyle w:val="null3"/>
        <w:jc w:val="both"/>
      </w:pPr>
      <w:r>
        <w:rPr>
          <w:sz w:val="21"/>
          <w:b/>
          <w:color w:val="000000"/>
        </w:rPr>
        <w:t>十一、不可抗力：</w:t>
      </w:r>
      <w:r>
        <w:rPr>
          <w:sz w:val="21"/>
          <w:color w:val="000000"/>
        </w:rPr>
        <w:t>任何一方由于不可抗力原因（指不能预见，不能避免并不能克服的客观情况，如地震、台风、洪水、战争、国家宏观政策发生重大变化等）不能履行合同时，应在不可抗力事件结束后</w:t>
      </w:r>
      <w:r>
        <w:rPr>
          <w:sz w:val="21"/>
          <w:color w:val="000000"/>
        </w:rPr>
        <w:t>1</w:t>
      </w:r>
      <w:r>
        <w:rPr>
          <w:sz w:val="21"/>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十二、税和关税：</w:t>
      </w:r>
      <w:r>
        <w:rPr>
          <w:sz w:val="21"/>
          <w:color w:val="000000"/>
        </w:rPr>
        <w:t>在中国境内、外发生的与本合同执行有关的一切税费均由乙方负担。</w:t>
      </w:r>
    </w:p>
    <w:p>
      <w:pPr>
        <w:pStyle w:val="null3"/>
        <w:jc w:val="both"/>
      </w:pPr>
      <w:r>
        <w:rPr>
          <w:sz w:val="21"/>
          <w:b/>
          <w:color w:val="000000"/>
        </w:rPr>
        <w:t>十三、其它</w:t>
      </w:r>
    </w:p>
    <w:p>
      <w:pPr>
        <w:pStyle w:val="null3"/>
        <w:jc w:val="both"/>
      </w:pPr>
      <w:r>
        <w:rPr>
          <w:sz w:val="21"/>
          <w:color w:val="000000"/>
        </w:rPr>
        <w:t>1</w:t>
      </w:r>
      <w:r>
        <w:rPr>
          <w:sz w:val="21"/>
          <w:color w:val="000000"/>
        </w:rPr>
        <w:t>、本合同所有附件、招标文件、投标文件、中标通知书通知书均为合同的有效组成部分，与本合同具有同等法律效力。</w:t>
      </w:r>
    </w:p>
    <w:p>
      <w:pPr>
        <w:pStyle w:val="null3"/>
        <w:jc w:val="both"/>
      </w:pPr>
      <w:r>
        <w:rPr>
          <w:sz w:val="21"/>
          <w:color w:val="000000"/>
        </w:rPr>
        <w:t>2</w:t>
      </w:r>
      <w:r>
        <w:rPr>
          <w:sz w:val="21"/>
          <w:color w:val="000000"/>
        </w:rPr>
        <w:t>、在执行本合同的过程中，所有经双方签署确认的文件（包括会议纪要、补充协议、往来信函）即成为本合同的有效组成部分。</w:t>
      </w:r>
    </w:p>
    <w:p>
      <w:pPr>
        <w:pStyle w:val="null3"/>
        <w:jc w:val="both"/>
      </w:pPr>
      <w:r>
        <w:rPr>
          <w:sz w:val="21"/>
          <w:color w:val="000000"/>
        </w:rPr>
        <w:t>3</w:t>
      </w:r>
      <w:r>
        <w:rPr>
          <w:sz w:val="21"/>
          <w:color w:val="000000"/>
        </w:rPr>
        <w:t>、如一方地址、电话、传真号码有变更，应在变更当日内书面通知对方，否则，应承担相应责任。</w:t>
      </w:r>
    </w:p>
    <w:p>
      <w:pPr>
        <w:pStyle w:val="null3"/>
        <w:jc w:val="both"/>
      </w:pPr>
      <w:r>
        <w:rPr>
          <w:sz w:val="21"/>
          <w:color w:val="000000"/>
        </w:rPr>
        <w:t>4</w:t>
      </w:r>
      <w:r>
        <w:rPr>
          <w:sz w:val="21"/>
          <w:color w:val="000000"/>
        </w:rPr>
        <w:t>、除甲方事先书面同意外，乙方不得部分或全部转让其应履行的合同项下的义务。</w:t>
      </w:r>
    </w:p>
    <w:p>
      <w:pPr>
        <w:pStyle w:val="null3"/>
        <w:jc w:val="both"/>
      </w:pPr>
      <w:r>
        <w:rPr>
          <w:sz w:val="21"/>
        </w:rPr>
        <w:t>5</w:t>
      </w:r>
      <w:r>
        <w:rPr>
          <w:sz w:val="21"/>
        </w:rPr>
        <w:t>、除政府采购合同继续履行将损害国家利益和社会公共利益外，双方当事人不得擅自变更、中止或者终止合同。</w:t>
      </w:r>
    </w:p>
    <w:p>
      <w:pPr>
        <w:pStyle w:val="null3"/>
        <w:jc w:val="both"/>
      </w:pPr>
      <w:r>
        <w:rPr>
          <w:sz w:val="21"/>
          <w:b/>
          <w:color w:val="000000"/>
        </w:rPr>
        <w:t>十四、合同生效：</w:t>
      </w:r>
    </w:p>
    <w:p>
      <w:pPr>
        <w:pStyle w:val="null3"/>
        <w:jc w:val="both"/>
      </w:pPr>
      <w:r>
        <w:rPr>
          <w:sz w:val="21"/>
          <w:color w:val="000000"/>
        </w:rPr>
        <w:t>1</w:t>
      </w:r>
      <w:r>
        <w:rPr>
          <w:sz w:val="21"/>
          <w:color w:val="000000"/>
        </w:rPr>
        <w:t>、本合同在甲乙双方法人代表或其授权代表签字盖章后，自国义招标股份有限公司见证之日起生效。</w:t>
      </w:r>
    </w:p>
    <w:p>
      <w:pPr>
        <w:pStyle w:val="null3"/>
        <w:jc w:val="both"/>
      </w:pPr>
      <w:r>
        <w:rPr>
          <w:sz w:val="21"/>
          <w:color w:val="000000"/>
        </w:rPr>
        <w:t>2</w:t>
      </w:r>
      <w:r>
        <w:rPr>
          <w:sz w:val="21"/>
          <w:color w:val="000000"/>
        </w:rPr>
        <w:t>、合同一式五份，甲方、乙方、财政、会计结算中心，国义招标股份有限公司各一份。</w:t>
      </w:r>
    </w:p>
    <w:p>
      <w:pPr>
        <w:pStyle w:val="null3"/>
        <w:jc w:val="both"/>
      </w:pPr>
      <w:r>
        <w:rPr>
          <w:sz w:val="21"/>
          <w:b/>
          <w:color w:val="000000"/>
        </w:rPr>
        <w:t>甲方（盖章）：</w:t>
      </w:r>
      <w:r>
        <w:rPr>
          <w:b/>
        </w:rPr>
        <w:t xml:space="preserve">                                </w:t>
      </w:r>
      <w:r>
        <w:rPr>
          <w:sz w:val="21"/>
          <w:b/>
          <w:color w:val="000000"/>
        </w:rPr>
        <w:t>乙方（盖章）：</w:t>
      </w:r>
    </w:p>
    <w:p>
      <w:pPr>
        <w:pStyle w:val="null3"/>
        <w:jc w:val="both"/>
      </w:pPr>
      <w:r>
        <w:rPr>
          <w:sz w:val="21"/>
          <w:b/>
          <w:color w:val="000000"/>
        </w:rPr>
        <w:t>代表：</w:t>
      </w:r>
      <w:r>
        <w:rPr>
          <w:b/>
        </w:rPr>
        <w:t xml:space="preserve">                                        </w:t>
      </w:r>
      <w:r>
        <w:rPr>
          <w:sz w:val="21"/>
          <w:b/>
          <w:color w:val="000000"/>
        </w:rPr>
        <w:t>代表：</w:t>
      </w:r>
      <w:r>
        <w:rPr>
          <w:b/>
        </w:rPr>
        <w:t xml:space="preserve"> </w:t>
      </w:r>
    </w:p>
    <w:p>
      <w:pPr>
        <w:pStyle w:val="null3"/>
        <w:jc w:val="both"/>
      </w:pPr>
      <w:r>
        <w:rPr>
          <w:sz w:val="21"/>
          <w:color w:val="000000"/>
        </w:rPr>
        <w:t>日期：</w:t>
      </w:r>
      <w:r>
        <w:rPr/>
        <w:t xml:space="preserve">        </w:t>
      </w:r>
      <w:r>
        <w:rPr>
          <w:sz w:val="21"/>
          <w:color w:val="000000"/>
        </w:rPr>
        <w:t>年</w:t>
      </w:r>
      <w:r>
        <w:rPr/>
        <w:t xml:space="preserve">     </w:t>
      </w:r>
      <w:r>
        <w:rPr>
          <w:sz w:val="21"/>
          <w:color w:val="000000"/>
        </w:rPr>
        <w:t>月</w:t>
      </w:r>
      <w:r>
        <w:rPr/>
        <w:t xml:space="preserve">    </w:t>
      </w:r>
      <w:r>
        <w:rPr>
          <w:sz w:val="21"/>
          <w:color w:val="000000"/>
        </w:rPr>
        <w:t>日</w:t>
      </w:r>
      <w:r>
        <w:rPr/>
        <w:t xml:space="preserve">                </w:t>
      </w:r>
      <w:r>
        <w:rPr>
          <w:sz w:val="21"/>
          <w:color w:val="000000"/>
        </w:rPr>
        <w:t>日期：</w:t>
      </w:r>
      <w:r>
        <w:rPr/>
        <w:t xml:space="preserve">        </w:t>
      </w:r>
      <w:r>
        <w:rPr>
          <w:sz w:val="21"/>
          <w:color w:val="000000"/>
        </w:rPr>
        <w:t>年</w:t>
      </w:r>
      <w:r>
        <w:rPr/>
        <w:t xml:space="preserve">     </w:t>
      </w:r>
      <w:r>
        <w:rPr>
          <w:sz w:val="21"/>
          <w:color w:val="000000"/>
        </w:rPr>
        <w:t>月</w:t>
      </w:r>
      <w:r>
        <w:rPr/>
        <w:t xml:space="preserve">     </w:t>
      </w:r>
      <w:r>
        <w:rPr>
          <w:sz w:val="21"/>
          <w:color w:val="000000"/>
        </w:rPr>
        <w:t>日</w:t>
      </w:r>
      <w:r>
        <w:rPr/>
        <w:t xml:space="preserve">    </w:t>
      </w:r>
    </w:p>
    <w:p>
      <w:pPr>
        <w:pStyle w:val="null3"/>
        <w:ind w:firstLine="4830"/>
        <w:jc w:val="both"/>
      </w:pPr>
      <w:r>
        <w:rPr>
          <w:sz w:val="21"/>
          <w:color w:val="000000"/>
        </w:rPr>
        <w:t>开户名称：</w:t>
      </w:r>
    </w:p>
    <w:p>
      <w:pPr>
        <w:pStyle w:val="null3"/>
        <w:ind w:firstLine="4830"/>
        <w:jc w:val="both"/>
      </w:pPr>
      <w:r>
        <w:rPr>
          <w:sz w:val="21"/>
          <w:color w:val="000000"/>
        </w:rPr>
        <w:t>银行账号：</w:t>
      </w:r>
    </w:p>
    <w:p>
      <w:pPr>
        <w:pStyle w:val="null3"/>
        <w:ind w:firstLine="4830"/>
        <w:jc w:val="both"/>
      </w:pPr>
      <w:r>
        <w:rPr>
          <w:sz w:val="21"/>
          <w:color w:val="000000"/>
        </w:rPr>
        <w:t>开</w:t>
      </w:r>
      <w:r>
        <w:rPr/>
        <w:t xml:space="preserve"> </w:t>
      </w:r>
      <w:r>
        <w:rPr>
          <w:sz w:val="21"/>
          <w:color w:val="000000"/>
        </w:rPr>
        <w:t>户行：</w:t>
      </w:r>
    </w:p>
    <w:p>
      <w:pPr>
        <w:pStyle w:val="null3"/>
        <w:jc w:val="both"/>
      </w:pPr>
      <w:r>
        <w:rPr>
          <w:sz w:val="21"/>
          <w:b/>
        </w:rPr>
        <w:t>关于政府采购合同融资贷款</w:t>
      </w:r>
    </w:p>
    <w:p>
      <w:pPr>
        <w:pStyle w:val="null3"/>
        <w:jc w:val="both"/>
      </w:pPr>
      <w:r>
        <w:rPr>
          <w:sz w:val="21"/>
        </w:rPr>
        <w:t>(1)</w:t>
      </w:r>
      <w:r>
        <w:rPr>
          <w:sz w:val="21"/>
        </w:rPr>
        <w:t>乙方是否已申请政府采购合同融资贷款（在□打√表示）：□是   □否。融资银行及联系人、联系方式：</w:t>
      </w:r>
      <w:r>
        <w:rPr>
          <w:sz w:val="21"/>
        </w:rPr>
        <w:t>_________________________________</w:t>
      </w:r>
      <w:r>
        <w:rPr>
          <w:sz w:val="21"/>
        </w:rPr>
        <w:t>。</w:t>
      </w:r>
    </w:p>
    <w:p>
      <w:pPr>
        <w:pStyle w:val="null3"/>
        <w:jc w:val="both"/>
      </w:pPr>
      <w:r>
        <w:rPr>
          <w:sz w:val="21"/>
        </w:rPr>
        <w:t>(2)</w:t>
      </w:r>
      <w:r>
        <w:rPr>
          <w:sz w:val="21"/>
        </w:rPr>
        <w:t>若乙方已申请政府采购合同融资贷款，其在本合同中登记的银行帐号为融资银行的唯一收款账号，未获得融资银行同意，乙方不得变更收款账号。</w:t>
      </w:r>
    </w:p>
    <w:p>
      <w:pPr>
        <w:pStyle w:val="null3"/>
        <w:jc w:val="both"/>
      </w:pPr>
      <w:r>
        <w:rPr>
          <w:sz w:val="21"/>
          <w:b/>
          <w:color w:val="000000"/>
        </w:rPr>
        <w:t>见证单位：国义招标股份有限公司</w:t>
      </w:r>
    </w:p>
    <w:p>
      <w:pPr>
        <w:pStyle w:val="null3"/>
        <w:jc w:val="both"/>
      </w:pPr>
      <w:r>
        <w:rPr>
          <w:sz w:val="21"/>
          <w:b/>
          <w:color w:val="000000"/>
        </w:rPr>
        <w:t>代表：</w:t>
      </w:r>
      <w:r>
        <w:rPr>
          <w:b/>
        </w:rPr>
        <w:t xml:space="preserve">      </w:t>
      </w:r>
    </w:p>
    <w:p>
      <w:pPr>
        <w:pStyle w:val="null3"/>
        <w:jc w:val="both"/>
      </w:pPr>
      <w:r>
        <w:rPr>
          <w:sz w:val="21"/>
          <w:b/>
          <w:color w:val="000000"/>
        </w:rPr>
        <w:t>□经核对，与招标文件、投标文件及相关澄清材料相符。</w:t>
      </w:r>
    </w:p>
    <w:p>
      <w:pPr>
        <w:pStyle w:val="null3"/>
        <w:jc w:val="both"/>
      </w:pPr>
      <w:r>
        <w:rPr>
          <w:sz w:val="21"/>
          <w:b/>
          <w:color w:val="000000"/>
        </w:rPr>
        <w:t>□经核对，不符：</w:t>
      </w:r>
      <w:r>
        <w:rPr>
          <w:b/>
          <w:u w:val="single"/>
        </w:rPr>
        <w:t xml:space="preserve">                               </w:t>
      </w:r>
    </w:p>
    <w:p>
      <w:pPr>
        <w:pStyle w:val="null3"/>
        <w:jc w:val="both"/>
      </w:pPr>
      <w:r>
        <w:rPr>
          <w:sz w:val="21"/>
          <w:color w:val="000000"/>
        </w:rPr>
        <w:t>合同生效日期：</w:t>
      </w:r>
      <w:r>
        <w:rPr/>
        <w:t xml:space="preserve">       </w:t>
      </w:r>
      <w:r>
        <w:rPr>
          <w:sz w:val="21"/>
          <w:color w:val="000000"/>
        </w:rPr>
        <w:t>年</w:t>
      </w:r>
      <w:r>
        <w:rPr/>
        <w:t xml:space="preserve">     </w:t>
      </w:r>
      <w:r>
        <w:rPr>
          <w:sz w:val="21"/>
          <w:color w:val="000000"/>
        </w:rPr>
        <w:t>月</w:t>
      </w:r>
      <w:r>
        <w:rPr/>
        <w:t xml:space="preserve">     </w:t>
      </w:r>
      <w:r>
        <w:rPr>
          <w:sz w:val="21"/>
          <w:color w:val="000000"/>
        </w:rPr>
        <w:t>日</w:t>
      </w:r>
    </w:p>
    <w:p>
      <w:pPr>
        <w:pStyle w:val="null3"/>
      </w:pPr>
      <w:r>
        <w:rPr/>
        <w:t xml:space="preserve"> </w:t>
      </w:r>
    </w:p>
    <w:p>
      <w:pPr>
        <w:pStyle w:val="null3"/>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440605-2025-05837</w:t>
      </w:r>
    </w:p>
    <w:p>
      <w:pPr>
        <w:pStyle w:val="null3"/>
        <w:jc w:val="center"/>
        <w:outlineLvl w:val="3"/>
      </w:pPr>
      <w:r>
        <w:rPr>
          <w:sz w:val="24"/>
          <w:b/>
        </w:rPr>
        <w:t>采购项目编号：</w:t>
      </w:r>
      <w:r>
        <w:rPr>
          <w:sz w:val="24"/>
          <w:b/>
        </w:rPr>
        <w:t>JF2025（NH）WZ0161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移动式G形臂X射线机</w:t>
      </w:r>
      <w:r>
        <w:rPr>
          <w:u w:val="single"/>
        </w:rPr>
        <w:t>”</w:t>
      </w:r>
      <w:r>
        <w:rPr/>
        <w:t>项目的招标[采购项目编号为：</w:t>
      </w:r>
      <w:r>
        <w:rPr>
          <w:u w:val="single"/>
        </w:rPr>
        <w:t>JF2025（NH）WZ0161</w:t>
      </w:r>
      <w:r>
        <w:rPr/>
        <w:t>]，我方愿参与投标。</w:t>
      </w:r>
    </w:p>
    <w:p>
      <w:pPr>
        <w:pStyle w:val="null3"/>
        <w:ind w:firstLine="480"/>
      </w:pPr>
      <w:r>
        <w:rPr/>
        <w:t>我方确认收到贵方提供的</w:t>
      </w:r>
      <w:r>
        <w:rPr>
          <w:u w:val="single"/>
        </w:rPr>
        <w:t>“</w:t>
      </w:r>
      <w:r>
        <w:rPr>
          <w:u w:val="single"/>
        </w:rPr>
        <w:t>移动式G形臂X射线机</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移动式G形臂X射线机</w:t>
      </w:r>
      <w:r>
        <w:rPr/>
        <w:t>”项目采购[采购项目编号为</w:t>
      </w:r>
      <w:r>
        <w:rPr/>
        <w:t>JF2025（NH）WZ0161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移动式G形臂X射线机</w:t>
      </w:r>
      <w:r>
        <w:rPr/>
        <w:t>招标中获中标（采购项目编号：</w:t>
      </w:r>
      <w:r>
        <w:rPr/>
        <w:t>JF2025（NH）WZ0161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移动式G形臂X射线机</w:t>
      </w:r>
      <w:r>
        <w:rPr/>
        <w:t>”项目（采购项目编号：</w:t>
      </w:r>
      <w:r>
        <w:rPr/>
        <w:t>JF2025（NH）WZ0161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