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pPr>
        <w:tabs>
          <w:tab w:val="left" w:pos="420"/>
          <w:tab w:val="left" w:pos="6660"/>
        </w:tabs>
        <w:spacing w:line="1600" w:lineRule="atLeast"/>
        <w:jc w:val="center"/>
        <w:rPr>
          <w:rFonts w:ascii="宋体" w:hAnsi="宋体" w:cs="宋体"/>
          <w:sz w:val="28"/>
          <w:szCs w:val="28"/>
          <w:highlight w:val="none"/>
        </w:rPr>
      </w:pPr>
      <w:bookmarkStart w:id="0" w:name="_GoBack"/>
      <w:bookmarkEnd w:id="0"/>
      <w:r>
        <w:rPr>
          <w:rFonts w:ascii="宋体" w:hAnsi="宋体" w:cs="宋体" w:hint="eastAsia"/>
          <w:highlight w:val="none"/>
        </w:rPr>
        <w:drawing>
          <wp:inline distT="0" distB="0" distL="114300" distR="114300">
            <wp:extent cx="6115685" cy="960755"/>
            <wp:effectExtent l="0" t="0" r="18415" b="10795"/>
            <wp:docPr id="8" name="图片 8" descr="logo（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全称）"/>
                    <pic:cNvPicPr>
                      <a:picLocks noChangeAspect="1"/>
                    </pic:cNvPicPr>
                  </pic:nvPicPr>
                  <pic:blipFill>
                    <a:blip xmlns:r="http://schemas.openxmlformats.org/officeDocument/2006/relationships" r:embed="rId5"/>
                    <a:stretch>
                      <a:fillRect/>
                    </a:stretch>
                  </pic:blipFill>
                  <pic:spPr>
                    <a:xfrm>
                      <a:off x="0" y="0"/>
                      <a:ext cx="6115685" cy="960755"/>
                    </a:xfrm>
                    <a:prstGeom prst="rect">
                      <a:avLst/>
                    </a:prstGeom>
                  </pic:spPr>
                </pic:pic>
              </a:graphicData>
            </a:graphic>
          </wp:inline>
        </w:drawing>
      </w:r>
    </w:p>
    <w:p>
      <w:pPr>
        <w:tabs>
          <w:tab w:val="left" w:pos="420"/>
          <w:tab w:val="left" w:pos="6660"/>
        </w:tabs>
        <w:spacing w:line="1600" w:lineRule="atLeast"/>
        <w:jc w:val="center"/>
        <w:rPr>
          <w:rFonts w:ascii="宋体" w:hAnsi="宋体" w:cs="宋体"/>
          <w:sz w:val="28"/>
          <w:szCs w:val="28"/>
          <w:highlight w:val="none"/>
        </w:rPr>
      </w:pPr>
    </w:p>
    <w:p>
      <w:pPr>
        <w:tabs>
          <w:tab w:val="left" w:pos="420"/>
          <w:tab w:val="left" w:pos="6660"/>
        </w:tabs>
        <w:spacing w:line="1600" w:lineRule="atLeast"/>
        <w:jc w:val="center"/>
        <w:rPr>
          <w:rFonts w:ascii="宋体" w:hAnsi="宋体" w:cs="宋体"/>
          <w:b/>
          <w:sz w:val="84"/>
          <w:szCs w:val="84"/>
          <w:highlight w:val="none"/>
        </w:rPr>
      </w:pPr>
      <w:r>
        <w:rPr>
          <w:rFonts w:ascii="宋体" w:hAnsi="宋体" w:cs="宋体" w:hint="eastAsia"/>
          <w:b/>
          <w:sz w:val="84"/>
          <w:szCs w:val="84"/>
          <w:highlight w:val="none"/>
        </w:rPr>
        <w:t>公开招标文件</w:t>
      </w:r>
    </w:p>
    <w:p>
      <w:pPr>
        <w:spacing w:line="500" w:lineRule="exact"/>
        <w:jc w:val="center"/>
        <w:rPr>
          <w:rFonts w:ascii="宋体" w:hAnsi="宋体" w:cs="宋体"/>
          <w:bCs/>
          <w:sz w:val="28"/>
          <w:szCs w:val="28"/>
          <w:highlight w:val="none"/>
        </w:rPr>
      </w:pPr>
    </w:p>
    <w:p>
      <w:pPr>
        <w:pStyle w:val="BodyTextFirstIndent2"/>
        <w:ind w:firstLine="640"/>
        <w:rPr>
          <w:highlight w:val="none"/>
        </w:rPr>
      </w:pPr>
    </w:p>
    <w:p>
      <w:pPr>
        <w:spacing w:line="500" w:lineRule="exact"/>
        <w:jc w:val="center"/>
        <w:rPr>
          <w:rFonts w:ascii="宋体" w:hAnsi="宋体" w:cs="宋体"/>
          <w:bCs/>
          <w:color w:val="000000" w:themeColor="text1"/>
          <w:sz w:val="28"/>
          <w:szCs w:val="28"/>
          <w:highlight w:val="none"/>
          <w14:textFill>
            <w14:solidFill>
              <w14:schemeClr w14:val="tx1"/>
            </w14:solidFill>
          </w14:textFill>
        </w:rPr>
      </w:pPr>
    </w:p>
    <w:p>
      <w:pPr>
        <w:spacing w:line="500" w:lineRule="exact"/>
        <w:ind w:firstLine="0" w:firstLineChars="0"/>
        <w:jc w:val="left"/>
        <w:rPr>
          <w:rFonts w:ascii="宋体" w:hAnsi="宋体" w:cs="宋体"/>
          <w:b/>
          <w:bCs/>
          <w:color w:val="000000" w:themeColor="text1"/>
          <w:sz w:val="32"/>
          <w:szCs w:val="32"/>
          <w:highlight w:val="none"/>
          <w14:textFill>
            <w14:solidFill>
              <w14:schemeClr w14:val="tx1"/>
            </w14:solidFill>
          </w14:textFill>
        </w:rPr>
      </w:pPr>
      <w:r>
        <w:rPr>
          <w:rFonts w:ascii="宋体" w:hAnsi="宋体" w:cs="宋体" w:hint="eastAsia"/>
          <w:b/>
          <w:bCs/>
          <w:color w:val="000000" w:themeColor="text1"/>
          <w:sz w:val="32"/>
          <w:szCs w:val="32"/>
          <w:highlight w:val="none"/>
          <w14:textFill>
            <w14:solidFill>
              <w14:schemeClr w14:val="tx1"/>
            </w14:solidFill>
          </w14:textFill>
        </w:rPr>
        <w:t>项目编号：</w:t>
      </w:r>
      <w:r>
        <w:rPr>
          <w:rFonts w:ascii="宋体" w:hAnsi="宋体" w:cs="宋体" w:hint="eastAsia"/>
          <w:b/>
          <w:bCs/>
          <w:color w:val="000000" w:themeColor="text1"/>
          <w:sz w:val="32"/>
          <w:szCs w:val="32"/>
          <w:highlight w:val="none"/>
          <w:lang w:val="en-US" w:eastAsia="zh-CN"/>
          <w14:textFill>
            <w14:solidFill>
              <w14:schemeClr w14:val="tx1"/>
            </w14:solidFill>
          </w14:textFill>
        </w:rPr>
        <w:t>SZDL2025002061</w:t>
      </w:r>
      <w:r>
        <w:rPr>
          <w:rFonts w:ascii="宋体" w:hAnsi="宋体" w:cs="宋体" w:hint="eastAsia"/>
          <w:b/>
          <w:bCs/>
          <w:color w:val="000000" w:themeColor="text1"/>
          <w:sz w:val="32"/>
          <w:szCs w:val="32"/>
          <w:highlight w:val="none"/>
          <w14:textFill>
            <w14:solidFill>
              <w14:schemeClr w14:val="tx1"/>
            </w14:solidFill>
          </w14:textFill>
        </w:rPr>
        <w:t>（</w:t>
      </w:r>
      <w:r>
        <w:rPr>
          <w:rFonts w:ascii="宋体" w:hAnsi="宋体" w:cs="宋体" w:hint="eastAsia"/>
          <w:b/>
          <w:bCs/>
          <w:color w:val="000000" w:themeColor="text1"/>
          <w:sz w:val="32"/>
          <w:szCs w:val="32"/>
          <w:highlight w:val="none"/>
          <w:lang w:eastAsia="zh-CN"/>
          <w14:textFill>
            <w14:solidFill>
              <w14:schemeClr w14:val="tx1"/>
            </w14:solidFill>
          </w14:textFill>
        </w:rPr>
        <w:t>0724-2531SZ267470</w:t>
      </w:r>
      <w:r>
        <w:rPr>
          <w:rFonts w:ascii="宋体" w:hAnsi="宋体" w:cs="宋体" w:hint="eastAsia"/>
          <w:b/>
          <w:bCs/>
          <w:color w:val="000000" w:themeColor="text1"/>
          <w:sz w:val="32"/>
          <w:szCs w:val="32"/>
          <w:highlight w:val="none"/>
          <w14:textFill>
            <w14:solidFill>
              <w14:schemeClr w14:val="tx1"/>
            </w14:solidFill>
          </w14:textFill>
        </w:rPr>
        <w:t>）</w:t>
      </w:r>
      <w:r>
        <w:rPr>
          <w:rFonts w:ascii="宋体" w:hAnsi="宋体" w:cs="宋体" w:hint="eastAsia"/>
          <w:b/>
          <w:bCs/>
          <w:color w:val="000000" w:themeColor="text1"/>
          <w:sz w:val="32"/>
          <w:szCs w:val="32"/>
          <w:highlight w:val="none"/>
          <w14:textFill>
            <w14:solidFill>
              <w14:schemeClr w14:val="tx1"/>
            </w14:solidFill>
          </w14:textFill>
        </w:rPr>
        <w:fldChar w:fldCharType="begin"/>
      </w:r>
      <w:r>
        <w:rPr>
          <w:rFonts w:ascii="宋体" w:hAnsi="宋体" w:cs="宋体" w:hint="eastAsia"/>
          <w:b/>
          <w:bCs/>
          <w:color w:val="000000" w:themeColor="text1"/>
          <w:sz w:val="32"/>
          <w:szCs w:val="32"/>
          <w:highlight w:val="none"/>
          <w14:textFill>
            <w14:solidFill>
              <w14:schemeClr w14:val="tx1"/>
            </w14:solidFill>
          </w14:textFill>
        </w:rPr>
        <w:instrText xml:space="preserve"> DOCVARIABLE  采购编号  \* MERGEFORMAT </w:instrText>
      </w:r>
      <w:r>
        <w:rPr>
          <w:rFonts w:ascii="宋体" w:hAnsi="宋体" w:cs="宋体" w:hint="eastAsia"/>
          <w:b/>
          <w:bCs/>
          <w:color w:val="000000" w:themeColor="text1"/>
          <w:sz w:val="32"/>
          <w:szCs w:val="32"/>
          <w:highlight w:val="none"/>
          <w14:textFill>
            <w14:solidFill>
              <w14:schemeClr w14:val="tx1"/>
            </w14:solidFill>
          </w14:textFill>
        </w:rPr>
        <w:fldChar w:fldCharType="separate"/>
      </w:r>
      <w:r>
        <w:rPr>
          <w:rFonts w:ascii="宋体" w:hAnsi="宋体" w:cs="宋体" w:hint="eastAsia"/>
          <w:b/>
          <w:bCs/>
          <w:color w:val="000000" w:themeColor="text1"/>
          <w:sz w:val="32"/>
          <w:szCs w:val="32"/>
          <w:highlight w:val="none"/>
          <w14:textFill>
            <w14:solidFill>
              <w14:schemeClr w14:val="tx1"/>
            </w14:solidFill>
          </w14:textFill>
        </w:rPr>
        <w:fldChar w:fldCharType="end"/>
      </w:r>
    </w:p>
    <w:p>
      <w:pPr>
        <w:spacing w:line="500" w:lineRule="exact"/>
        <w:jc w:val="left"/>
        <w:rPr>
          <w:rFonts w:ascii="宋体" w:hAnsi="宋体" w:cs="宋体"/>
          <w:b/>
          <w:bCs/>
          <w:sz w:val="32"/>
          <w:szCs w:val="32"/>
          <w:highlight w:val="none"/>
        </w:rPr>
      </w:pPr>
    </w:p>
    <w:p>
      <w:pPr>
        <w:spacing w:line="500" w:lineRule="exact"/>
        <w:ind w:left="1606" w:hanging="1050" w:hangingChars="500"/>
        <w:jc w:val="left"/>
        <w:rPr>
          <w:rFonts w:ascii="宋体" w:eastAsia="宋体" w:hAnsi="宋体" w:cs="宋体" w:hint="eastAsia"/>
          <w:b/>
          <w:bCs/>
          <w:sz w:val="32"/>
          <w:szCs w:val="32"/>
          <w:highlight w:val="none"/>
          <w:lang w:eastAsia="zh-CN"/>
        </w:rPr>
      </w:pPr>
      <w:bookmarkStart w:id="1" w:name="_Hlk37510087"/>
      <w:r>
        <w:rPr>
          <w:rFonts w:ascii="宋体" w:hAnsi="宋体" w:cs="宋体" w:hint="eastAsia"/>
          <w:b/>
          <w:bCs/>
          <w:sz w:val="32"/>
          <w:szCs w:val="32"/>
          <w:highlight w:val="none"/>
        </w:rPr>
        <w:t>项目名称：</w:t>
      </w:r>
      <w:bookmarkEnd w:id="1"/>
      <w:r>
        <w:rPr>
          <w:rFonts w:ascii="宋体" w:hAnsi="宋体" w:cs="宋体" w:hint="eastAsia"/>
          <w:b/>
          <w:bCs/>
          <w:sz w:val="32"/>
          <w:szCs w:val="32"/>
          <w:highlight w:val="none"/>
          <w:lang w:eastAsia="zh-CN"/>
        </w:rPr>
        <w:t>深圳市人民医院免陪照护服务项目</w:t>
      </w:r>
    </w:p>
    <w:p>
      <w:pPr>
        <w:spacing w:line="500" w:lineRule="exact"/>
        <w:jc w:val="left"/>
        <w:rPr>
          <w:rFonts w:ascii="宋体" w:hAnsi="宋体" w:cs="宋体"/>
          <w:b/>
          <w:bCs/>
          <w:sz w:val="32"/>
          <w:szCs w:val="32"/>
          <w:highlight w:val="none"/>
        </w:rPr>
      </w:pPr>
    </w:p>
    <w:p>
      <w:pPr>
        <w:spacing w:line="500" w:lineRule="exact"/>
        <w:ind w:firstLine="0" w:firstLineChars="0"/>
        <w:jc w:val="left"/>
        <w:rPr>
          <w:rFonts w:ascii="宋体" w:hAnsi="宋体" w:cs="宋体"/>
          <w:b/>
          <w:bCs/>
          <w:sz w:val="32"/>
          <w:szCs w:val="32"/>
          <w:highlight w:val="none"/>
        </w:rPr>
      </w:pPr>
      <w:r>
        <w:rPr>
          <w:rFonts w:ascii="宋体" w:hAnsi="宋体" w:cs="宋体" w:hint="eastAsia"/>
          <w:b/>
          <w:bCs/>
          <w:sz w:val="32"/>
          <w:szCs w:val="32"/>
          <w:highlight w:val="none"/>
        </w:rPr>
        <w:t>项目类型：服务类</w:t>
      </w:r>
    </w:p>
    <w:p>
      <w:pPr>
        <w:spacing w:line="500" w:lineRule="exact"/>
        <w:jc w:val="left"/>
        <w:rPr>
          <w:rFonts w:ascii="宋体" w:hAnsi="宋体" w:cs="宋体"/>
          <w:b/>
          <w:bCs/>
          <w:sz w:val="32"/>
          <w:szCs w:val="32"/>
          <w:highlight w:val="none"/>
        </w:rPr>
      </w:pPr>
    </w:p>
    <w:p>
      <w:pPr>
        <w:spacing w:line="500" w:lineRule="exact"/>
        <w:ind w:firstLine="0" w:firstLineChars="0"/>
        <w:jc w:val="left"/>
        <w:rPr>
          <w:rFonts w:ascii="宋体" w:hAnsi="宋体" w:cs="宋体"/>
          <w:b/>
          <w:bCs/>
          <w:sz w:val="32"/>
          <w:szCs w:val="32"/>
          <w:highlight w:val="none"/>
        </w:rPr>
      </w:pPr>
      <w:r>
        <w:rPr>
          <w:rFonts w:ascii="宋体" w:hAnsi="宋体" w:cs="宋体" w:hint="eastAsia"/>
          <w:b/>
          <w:bCs/>
          <w:sz w:val="32"/>
          <w:szCs w:val="32"/>
          <w:highlight w:val="none"/>
        </w:rPr>
        <w:t>采购方式：公开招标</w:t>
      </w:r>
    </w:p>
    <w:p>
      <w:pPr>
        <w:spacing w:line="500" w:lineRule="exact"/>
        <w:jc w:val="left"/>
        <w:rPr>
          <w:rFonts w:ascii="宋体" w:hAnsi="宋体" w:cs="宋体"/>
          <w:b/>
          <w:bCs/>
          <w:sz w:val="32"/>
          <w:szCs w:val="32"/>
          <w:highlight w:val="none"/>
        </w:rPr>
      </w:pPr>
    </w:p>
    <w:p>
      <w:pPr>
        <w:spacing w:line="500" w:lineRule="exact"/>
        <w:ind w:firstLine="0" w:firstLineChars="0"/>
        <w:jc w:val="left"/>
        <w:rPr>
          <w:rFonts w:ascii="宋体" w:hAnsi="宋体" w:cs="宋体"/>
          <w:b/>
          <w:bCs/>
          <w:sz w:val="30"/>
          <w:szCs w:val="30"/>
          <w:highlight w:val="none"/>
        </w:rPr>
      </w:pPr>
      <w:r>
        <w:rPr>
          <w:rFonts w:ascii="宋体" w:hAnsi="宋体" w:cs="宋体" w:hint="eastAsia"/>
          <w:b/>
          <w:bCs/>
          <w:sz w:val="32"/>
          <w:szCs w:val="32"/>
          <w:highlight w:val="none"/>
        </w:rPr>
        <w:t>货币类型：人民币</w:t>
      </w:r>
    </w:p>
    <w:p>
      <w:pPr>
        <w:spacing w:line="500" w:lineRule="exact"/>
        <w:rPr>
          <w:rFonts w:ascii="宋体" w:hAnsi="宋体" w:cs="宋体"/>
          <w:b/>
          <w:bCs/>
          <w:spacing w:val="-18"/>
          <w:sz w:val="30"/>
          <w:szCs w:val="30"/>
          <w:highlight w:val="none"/>
        </w:rPr>
      </w:pPr>
      <w:r>
        <w:rPr>
          <w:rFonts w:ascii="宋体" w:hAnsi="宋体" w:cs="宋体" w:hint="eastAsia"/>
          <w:b/>
          <w:bCs/>
          <w:spacing w:val="-18"/>
          <w:sz w:val="30"/>
          <w:szCs w:val="30"/>
          <w:highlight w:val="none"/>
        </w:rPr>
        <w:fldChar w:fldCharType="begin"/>
      </w:r>
      <w:r>
        <w:rPr>
          <w:rFonts w:ascii="宋体" w:hAnsi="宋体" w:cs="宋体" w:hint="eastAsia"/>
          <w:b/>
          <w:bCs/>
          <w:spacing w:val="-18"/>
          <w:sz w:val="30"/>
          <w:szCs w:val="30"/>
          <w:highlight w:val="none"/>
        </w:rPr>
        <w:instrText xml:space="preserve"> DOCVARIABLE  项目名称  \* MERGEFORMAT </w:instrText>
      </w:r>
      <w:r>
        <w:rPr>
          <w:rFonts w:ascii="宋体" w:hAnsi="宋体" w:cs="宋体" w:hint="eastAsia"/>
          <w:b/>
          <w:bCs/>
          <w:spacing w:val="-18"/>
          <w:sz w:val="30"/>
          <w:szCs w:val="30"/>
          <w:highlight w:val="none"/>
        </w:rPr>
        <w:fldChar w:fldCharType="separate"/>
      </w:r>
      <w:r>
        <w:rPr>
          <w:rFonts w:ascii="宋体" w:hAnsi="宋体" w:cs="宋体" w:hint="eastAsia"/>
          <w:b/>
          <w:bCs/>
          <w:spacing w:val="-18"/>
          <w:sz w:val="30"/>
          <w:szCs w:val="30"/>
          <w:highlight w:val="none"/>
        </w:rPr>
        <w:fldChar w:fldCharType="end"/>
      </w:r>
    </w:p>
    <w:p>
      <w:pPr>
        <w:spacing w:line="500" w:lineRule="exact"/>
        <w:jc w:val="center"/>
        <w:rPr>
          <w:rFonts w:ascii="宋体" w:hAnsi="宋体" w:cs="宋体"/>
          <w:b/>
          <w:bCs/>
          <w:sz w:val="28"/>
          <w:szCs w:val="28"/>
          <w:highlight w:val="none"/>
        </w:rPr>
      </w:pPr>
    </w:p>
    <w:p>
      <w:pPr>
        <w:spacing w:line="360" w:lineRule="auto"/>
        <w:rPr>
          <w:rFonts w:ascii="宋体" w:hAnsi="宋体" w:cs="宋体"/>
          <w:b/>
          <w:bCs/>
          <w:sz w:val="30"/>
          <w:szCs w:val="30"/>
          <w:highlight w:val="none"/>
        </w:rPr>
      </w:pPr>
      <w:bookmarkStart w:id="2" w:name="_Hlk37510595"/>
    </w:p>
    <w:p>
      <w:pPr>
        <w:widowControl/>
        <w:jc w:val="left"/>
        <w:rPr>
          <w:rFonts w:ascii="宋体" w:hAnsi="宋体" w:cs="宋体"/>
          <w:b/>
          <w:bCs/>
          <w:sz w:val="28"/>
          <w:szCs w:val="28"/>
          <w:highlight w:val="none"/>
        </w:rPr>
      </w:pPr>
      <w:bookmarkEnd w:id="2"/>
      <w:r>
        <w:rPr>
          <w:rFonts w:ascii="宋体" w:hAnsi="宋体" w:cs="宋体" w:hint="eastAsia"/>
          <w:highlight w:val="none"/>
        </w:rPr>
        <w:drawing>
          <wp:anchor distT="0" distB="0" distL="114935" distR="114935" simplePos="0" relativeHeight="251658240" behindDoc="0" locked="0" layoutInCell="1" allowOverlap="1">
            <wp:simplePos x="0" y="0"/>
            <wp:positionH relativeFrom="page">
              <wp:posOffset>2444115</wp:posOffset>
            </wp:positionH>
            <wp:positionV relativeFrom="paragraph">
              <wp:posOffset>69215</wp:posOffset>
            </wp:positionV>
            <wp:extent cx="676275" cy="676275"/>
            <wp:effectExtent l="0" t="0" r="9525" b="9525"/>
            <wp:wrapSquare wrapText="bothSides"/>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xmlns:r="http://schemas.openxmlformats.org/officeDocument/2006/relationships" r:embed="rId6"/>
                    <a:stretch>
                      <a:fillRect/>
                    </a:stretch>
                  </pic:blipFill>
                  <pic:spPr>
                    <a:xfrm>
                      <a:off x="0" y="0"/>
                      <a:ext cx="676275" cy="676275"/>
                    </a:xfrm>
                    <a:prstGeom prst="rect">
                      <a:avLst/>
                    </a:prstGeom>
                    <a:noFill/>
                    <a:ln>
                      <a:noFill/>
                    </a:ln>
                  </pic:spPr>
                </pic:pic>
              </a:graphicData>
            </a:graphic>
          </wp:anchor>
        </w:drawing>
      </w:r>
      <w:r>
        <w:rPr>
          <w:rFonts w:ascii="宋体" w:hAnsi="宋体" w:cs="宋体" w:hint="eastAsia"/>
          <w:b/>
          <w:bCs/>
          <w:sz w:val="28"/>
          <w:szCs w:val="28"/>
          <w:highlight w:val="none"/>
        </w:rPr>
        <w:t xml:space="preserve">                                           </w:t>
      </w:r>
      <w:r>
        <w:rPr>
          <w:rFonts w:ascii="宋体" w:hAnsi="宋体" w:cs="宋体" w:hint="eastAsia"/>
          <w:sz w:val="28"/>
          <w:szCs w:val="28"/>
          <w:highlight w:val="none"/>
        </w:rPr>
        <w:t>国义招标股份有限公司 编制</w:t>
      </w:r>
    </w:p>
    <w:p>
      <w:pPr>
        <w:spacing w:line="360" w:lineRule="auto"/>
        <w:rPr>
          <w:rFonts w:ascii="宋体" w:hAnsi="宋体" w:cs="宋体"/>
          <w:b/>
          <w:bCs/>
          <w:sz w:val="30"/>
          <w:szCs w:val="30"/>
          <w:highlight w:val="none"/>
        </w:rPr>
      </w:pPr>
      <w:r>
        <w:rPr>
          <w:rFonts w:ascii="宋体" w:hAnsi="宋体" w:cs="宋体" w:hint="eastAsia"/>
          <w:b/>
          <w:bCs/>
          <w:sz w:val="28"/>
          <w:szCs w:val="28"/>
          <w:highlight w:val="none"/>
        </w:rPr>
        <w:t xml:space="preserve">                  </w:t>
      </w:r>
      <w:r>
        <w:rPr>
          <w:rFonts w:ascii="宋体" w:hAnsi="宋体" w:cs="宋体" w:hint="eastAsia"/>
          <w:sz w:val="28"/>
          <w:szCs w:val="28"/>
          <w:highlight w:val="none"/>
        </w:rPr>
        <w:t>发布日期：202</w:t>
      </w:r>
      <w:r>
        <w:rPr>
          <w:rFonts w:ascii="宋体" w:hAnsi="宋体" w:cs="宋体" w:hint="eastAsia"/>
          <w:sz w:val="28"/>
          <w:szCs w:val="28"/>
          <w:highlight w:val="none"/>
          <w:lang w:val="en-US" w:eastAsia="zh-CN"/>
        </w:rPr>
        <w:t>5</w:t>
      </w:r>
      <w:r>
        <w:rPr>
          <w:rFonts w:ascii="宋体" w:hAnsi="宋体" w:cs="宋体" w:hint="eastAsia"/>
          <w:sz w:val="28"/>
          <w:szCs w:val="28"/>
          <w:highlight w:val="none"/>
        </w:rPr>
        <w:t>年</w:t>
      </w:r>
      <w:r>
        <w:rPr>
          <w:rFonts w:ascii="宋体" w:hAnsi="宋体" w:cs="宋体" w:hint="eastAsia"/>
          <w:sz w:val="28"/>
          <w:szCs w:val="28"/>
          <w:highlight w:val="none"/>
          <w:lang w:val="en-US" w:eastAsia="zh-CN"/>
        </w:rPr>
        <w:t>12</w:t>
      </w:r>
      <w:r>
        <w:rPr>
          <w:rFonts w:ascii="宋体" w:hAnsi="宋体" w:cs="宋体" w:hint="eastAsia"/>
          <w:sz w:val="28"/>
          <w:szCs w:val="28"/>
          <w:highlight w:val="none"/>
        </w:rPr>
        <w:t>月</w:t>
      </w:r>
      <w:r>
        <w:rPr>
          <w:rFonts w:ascii="宋体" w:hAnsi="宋体" w:cs="宋体" w:hint="eastAsia"/>
          <w:sz w:val="28"/>
          <w:szCs w:val="28"/>
          <w:highlight w:val="none"/>
          <w:lang w:val="en-US" w:eastAsia="zh-CN"/>
        </w:rPr>
        <w:t>18</w:t>
      </w:r>
      <w:r>
        <w:rPr>
          <w:rFonts w:ascii="宋体" w:hAnsi="宋体" w:cs="宋体" w:hint="eastAsia"/>
          <w:sz w:val="28"/>
          <w:szCs w:val="28"/>
          <w:highlight w:val="none"/>
        </w:rPr>
        <w:t>日</w:t>
      </w:r>
    </w:p>
    <w:p>
      <w:pPr>
        <w:tabs>
          <w:tab w:val="left" w:pos="851"/>
        </w:tabs>
        <w:spacing w:line="360" w:lineRule="auto"/>
        <w:rPr>
          <w:rFonts w:ascii="宋体" w:hAnsi="宋体" w:cs="宋体"/>
          <w:b/>
          <w:bCs/>
          <w:sz w:val="28"/>
          <w:szCs w:val="28"/>
          <w:highlight w:val="none"/>
        </w:rPr>
        <w:sectPr>
          <w:headerReference w:type="default" r:id="rId7"/>
          <w:footerReference w:type="even" r:id="rId8"/>
          <w:footerReference w:type="default" r:id="rId9"/>
          <w:headerReference w:type="first" r:id="rId10"/>
          <w:pgSz w:w="11906" w:h="16838"/>
          <w:pgMar w:top="1134" w:right="1134" w:bottom="1134" w:left="1134" w:header="851" w:footer="992" w:gutter="0"/>
          <w:pgBorders>
            <w:top w:val="nil"/>
            <w:left w:val="nil"/>
            <w:bottom w:val="nil"/>
            <w:right w:val="nil"/>
          </w:pgBorders>
          <w:cols w:num="1" w:space="720"/>
          <w:docGrid w:type="lines" w:linePitch="312" w:charSpace="0"/>
        </w:sectPr>
      </w:pPr>
    </w:p>
    <w:p>
      <w:pPr>
        <w:jc w:val="center"/>
        <w:rPr>
          <w:rFonts w:ascii="宋体" w:eastAsia="宋体" w:hAnsi="宋体" w:cs="宋体" w:hint="eastAsia"/>
          <w:b/>
          <w:bCs/>
          <w:color w:val="FF0000"/>
          <w:kern w:val="44"/>
          <w:sz w:val="44"/>
          <w:szCs w:val="44"/>
          <w:highlight w:val="none"/>
        </w:rPr>
      </w:pPr>
      <w:r>
        <w:rPr>
          <w:rFonts w:ascii="宋体" w:eastAsia="宋体" w:hAnsi="宋体" w:cs="宋体" w:hint="eastAsia"/>
          <w:b/>
          <w:bCs/>
          <w:color w:val="FF0000"/>
          <w:kern w:val="44"/>
          <w:sz w:val="44"/>
          <w:szCs w:val="44"/>
          <w:highlight w:val="none"/>
          <w:lang w:eastAsia="zh-CN"/>
        </w:rPr>
        <w:t>特别</w:t>
      </w:r>
      <w:r>
        <w:rPr>
          <w:rFonts w:ascii="宋体" w:eastAsia="宋体" w:hAnsi="宋体" w:cs="宋体" w:hint="eastAsia"/>
          <w:b/>
          <w:bCs/>
          <w:color w:val="FF0000"/>
          <w:kern w:val="44"/>
          <w:sz w:val="44"/>
          <w:szCs w:val="44"/>
          <w:highlight w:val="none"/>
        </w:rPr>
        <w:t>警示条款</w:t>
      </w: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r>
        <w:rPr>
          <w:rFonts w:ascii="宋体" w:eastAsia="宋体" w:hAnsi="宋体" w:cs="宋体" w:hint="eastAsia"/>
          <w:b/>
          <w:bCs/>
          <w:color w:val="FF0000"/>
          <w:sz w:val="28"/>
          <w:szCs w:val="28"/>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11"/>
        <w:gridCol w:w="771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序号</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b/>
                <w:bCs/>
                <w:color w:val="FF0000"/>
                <w:sz w:val="30"/>
                <w:szCs w:val="30"/>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1</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FF0000"/>
                <w:sz w:val="28"/>
                <w:szCs w:val="28"/>
                <w:highlight w:val="none"/>
                <w:lang w:val="en-US" w:eastAsia="zh-CN"/>
              </w:rPr>
              <w:t>同一人、属同一单位或者在同一单位缴纳社会保险</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2</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参与本项目政府采购活动时，与其他投标供应商存在单位负责人为</w:t>
            </w:r>
            <w:r>
              <w:rPr>
                <w:rFonts w:ascii="宋体" w:eastAsia="宋体" w:hAnsi="宋体" w:cs="宋体" w:hint="eastAsia"/>
                <w:b/>
                <w:bCs/>
                <w:color w:val="FF0000"/>
                <w:sz w:val="28"/>
                <w:szCs w:val="28"/>
                <w:highlight w:val="none"/>
                <w:lang w:val="en-US" w:eastAsia="zh-CN"/>
              </w:rPr>
              <w:t>同一人或直接控股、管理关系</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3</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与其他投标供应商的投标文件或部分投标文件</w:t>
            </w:r>
            <w:r>
              <w:rPr>
                <w:rFonts w:ascii="宋体" w:eastAsia="宋体" w:hAnsi="宋体" w:cs="宋体" w:hint="eastAsia"/>
                <w:b/>
                <w:bCs/>
                <w:color w:val="FF0000"/>
                <w:sz w:val="28"/>
                <w:szCs w:val="28"/>
                <w:highlight w:val="none"/>
                <w:lang w:val="en-US" w:eastAsia="zh-CN"/>
              </w:rPr>
              <w:t>相互混装或存在非正常一致</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132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4</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与其他投标供应商的投标文件由</w:t>
            </w:r>
            <w:r>
              <w:rPr>
                <w:rFonts w:ascii="宋体" w:eastAsia="宋体" w:hAnsi="宋体" w:cs="宋体" w:hint="eastAsia"/>
                <w:b/>
                <w:bCs/>
                <w:color w:val="FF0000"/>
                <w:sz w:val="28"/>
                <w:szCs w:val="28"/>
                <w:highlight w:val="none"/>
                <w:lang w:val="en-US" w:eastAsia="zh-CN"/>
              </w:rPr>
              <w:t>同一单位或者同一人编制</w:t>
            </w:r>
            <w:r>
              <w:rPr>
                <w:rFonts w:ascii="宋体" w:eastAsia="宋体" w:hAnsi="宋体" w:cs="宋体" w:hint="eastAsia"/>
                <w:color w:val="FF0000"/>
                <w:sz w:val="28"/>
                <w:szCs w:val="28"/>
                <w:highlight w:val="none"/>
                <w:lang w:val="en-US" w:eastAsia="zh-CN"/>
              </w:rPr>
              <w:t>，或者使用</w:t>
            </w:r>
            <w:r>
              <w:rPr>
                <w:rFonts w:ascii="宋体" w:eastAsia="宋体" w:hAnsi="宋体" w:cs="宋体" w:hint="eastAsia"/>
                <w:b/>
                <w:bCs/>
                <w:color w:val="FF0000"/>
                <w:sz w:val="28"/>
                <w:szCs w:val="28"/>
                <w:highlight w:val="none"/>
                <w:lang w:val="en-US" w:eastAsia="zh-CN"/>
              </w:rPr>
              <w:t>同一设备编制</w:t>
            </w:r>
            <w:r>
              <w:rPr>
                <w:rFonts w:ascii="宋体" w:eastAsia="宋体" w:hAnsi="宋体" w:cs="宋体" w:hint="eastAsia"/>
                <w:color w:val="FF0000"/>
                <w:sz w:val="28"/>
                <w:szCs w:val="28"/>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8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5</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提供</w:t>
            </w:r>
            <w:r>
              <w:rPr>
                <w:rFonts w:ascii="宋体" w:eastAsia="宋体" w:hAnsi="宋体" w:cs="宋体" w:hint="eastAsia"/>
                <w:b/>
                <w:bCs/>
                <w:color w:val="FF0000"/>
                <w:sz w:val="28"/>
                <w:szCs w:val="28"/>
                <w:highlight w:val="none"/>
                <w:lang w:val="en-US" w:eastAsia="zh-CN"/>
              </w:rPr>
              <w:t>未经出具机构核实</w:t>
            </w:r>
            <w:r>
              <w:rPr>
                <w:rFonts w:ascii="宋体" w:eastAsia="宋体" w:hAnsi="宋体" w:cs="宋体" w:hint="eastAsia"/>
                <w:color w:val="FF0000"/>
                <w:sz w:val="28"/>
                <w:szCs w:val="28"/>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trHeight w:val="588"/>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6</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擅自将投标密钥</w:t>
            </w:r>
            <w:r>
              <w:rPr>
                <w:rFonts w:ascii="宋体" w:eastAsia="宋体" w:hAnsi="宋体" w:cs="宋体" w:hint="eastAsia"/>
                <w:color w:val="FF0000"/>
                <w:sz w:val="28"/>
                <w:szCs w:val="28"/>
                <w:highlight w:val="none"/>
                <w:lang w:eastAsia="zh-CN"/>
              </w:rPr>
              <w:t>或</w:t>
            </w:r>
            <w:r>
              <w:rPr>
                <w:rFonts w:ascii="宋体" w:eastAsia="宋体" w:hAnsi="宋体" w:cs="宋体" w:hint="eastAsia"/>
                <w:color w:val="FF0000"/>
                <w:sz w:val="28"/>
                <w:szCs w:val="28"/>
                <w:highlight w:val="none"/>
                <w:lang w:val="en-US" w:eastAsia="zh-CN"/>
              </w:rPr>
              <w:t>电子营业执照出借他人使用或未妥善保管。</w:t>
            </w:r>
          </w:p>
        </w:tc>
      </w:tr>
    </w:tbl>
    <w:p>
      <w:pPr>
        <w:keepNext/>
        <w:keepLines/>
        <w:jc w:val="center"/>
        <w:outlineLvl w:val="0"/>
        <w:rPr>
          <w:rFonts w:ascii="宋体" w:hAnsi="宋体" w:cs="宋体" w:hint="eastAsia"/>
          <w:b/>
          <w:bCs/>
          <w:color w:val="FF0000"/>
          <w:kern w:val="44"/>
          <w:sz w:val="44"/>
          <w:szCs w:val="44"/>
          <w:highlight w:val="none"/>
        </w:rPr>
        <w:sectPr>
          <w:footerReference w:type="default" r:id="rId11"/>
          <w:pgSz w:w="11906" w:h="16838"/>
          <w:pgMar w:top="1134" w:right="1134" w:bottom="1134" w:left="1134" w:header="851" w:footer="850" w:gutter="0"/>
          <w:pgBorders>
            <w:top w:val="nil"/>
            <w:left w:val="nil"/>
            <w:bottom w:val="nil"/>
            <w:right w:val="nil"/>
          </w:pgBorders>
          <w:pgNumType w:start="1"/>
          <w:cols w:num="1" w:space="720"/>
          <w:docGrid w:type="lines" w:linePitch="312" w:charSpace="0"/>
        </w:sectPr>
      </w:pPr>
    </w:p>
    <w:p>
      <w:pPr>
        <w:keepNext/>
        <w:keepLines/>
        <w:jc w:val="center"/>
        <w:outlineLvl w:val="0"/>
        <w:rPr>
          <w:rFonts w:ascii="宋体" w:hAnsi="宋体" w:cs="宋体"/>
          <w:b/>
          <w:bCs/>
          <w:color w:val="FF0000"/>
          <w:kern w:val="44"/>
          <w:sz w:val="44"/>
          <w:szCs w:val="44"/>
          <w:highlight w:val="none"/>
        </w:rPr>
      </w:pPr>
      <w:r>
        <w:rPr>
          <w:rFonts w:ascii="宋体" w:hAnsi="宋体" w:cs="宋体" w:hint="eastAsia"/>
          <w:b/>
          <w:bCs/>
          <w:color w:val="FF0000"/>
          <w:kern w:val="44"/>
          <w:sz w:val="44"/>
          <w:szCs w:val="44"/>
          <w:highlight w:val="none"/>
        </w:rPr>
        <w:t>警示条款</w:t>
      </w:r>
    </w:p>
    <w:p>
      <w:pPr>
        <w:ind w:firstLine="420" w:firstLineChars="200"/>
        <w:rPr>
          <w:rFonts w:ascii="宋体" w:hAnsi="宋体" w:cs="宋体"/>
          <w:color w:val="FF0000"/>
          <w:sz w:val="24"/>
          <w:highlight w:val="none"/>
        </w:rPr>
      </w:pP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w:t>
      </w:r>
      <w:r>
        <w:rPr>
          <w:rFonts w:ascii="宋体" w:hAnsi="宋体" w:hint="eastAsia"/>
          <w:b/>
          <w:bCs/>
          <w:color w:val="FF0000"/>
          <w:sz w:val="24"/>
          <w:highlight w:val="none"/>
        </w:rPr>
        <w:t>《深圳经济特区政府采购条例》第五十七条</w:t>
      </w:r>
      <w:r>
        <w:rPr>
          <w:rFonts w:ascii="宋体" w:hAnsi="宋体" w:hint="eastAsia"/>
          <w:color w:val="FF0000"/>
          <w:sz w:val="24"/>
          <w:highlight w:val="none"/>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（一）在采购活动中应当回避而未回避的；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（二）未按本条例规定签订、履行采购合同，造成严重后果的；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（三）隐瞒真实情况，提供虚假资料的；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（四）以非法手段排斥其他供应商参与竞争的；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（五）与其他采购参加人串通投标的；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（六）恶意投诉的；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（七）向采购项目相关人行贿或者提供其他不当利益的；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（八）阻碍、抗拒主管部门监督检查的；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（九）其他违反本条例规定的行为。</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二、《深圳经济特区政府采购条例实施细则》第七十五条 </w:t>
      </w:r>
      <w:r>
        <w:rPr>
          <w:rFonts w:ascii="宋体" w:hAnsi="宋体" w:hint="eastAsia"/>
          <w:color w:val="FF0000"/>
          <w:sz w:val="24"/>
          <w:highlight w:val="none"/>
        </w:rPr>
        <w:t>供应商有下列情形的，属于采购条例所称的串通投标行为，按照采购条例第五十七条有关规定处理：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（一）投标供应商之间相互约定给予未中标的供应商利益补偿；</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（三）不同投标供应商的投标文件由同一单位或者同一人编制，或者由同一人分阶段参与编制的；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（四）不同投标供应商的投标文件或部分投标文件相互混装；</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（五）不同投标供应商的投标文件内容存在非正常一致；</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（六）由同一单位工作人员为两家以上（含两家）供应商进行同一项投标活动的；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（七）主管部门依照法律、法规认定的其他情形。</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三、《深圳经济特区政府采购条例实施细则》第七十七条 </w:t>
      </w:r>
      <w:r>
        <w:rPr>
          <w:rFonts w:ascii="宋体" w:hAnsi="宋体" w:hint="eastAsia"/>
          <w:color w:val="FF0000"/>
          <w:sz w:val="24"/>
          <w:highlight w:val="none"/>
        </w:rPr>
        <w:t>供应商有下列情形之一的，属于隐瞒真实情况，提供虚假资料，按照采购条例第五十七的有关规定处理：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（一）通过转让或者租借等方式从其他单位获取资格或者资质证书投标的；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（二）由其他单位或者其他单位负责人在投标供应商编制的投标文件上加盖印章或者签字的；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（三）项目负责人或者主要技术人员不是本单位人员的；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（四）投标保证金不是从投标供应商基本账户转出的；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（五）其他隐瞒真实情况、提供虚假资料的行为。</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投标供应商不能提供项目负责人或者主要技术人员的劳动合同、社会保险等劳动关系证明材料的，视为存在前款第（三）项规定的情形。</w:t>
      </w:r>
    </w:p>
    <w:p>
      <w:pPr>
        <w:numPr>
          <w:ilvl w:val="0"/>
          <w:numId w:val="3"/>
        </w:num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请投标供应商阅读《政府采购违法行为风险知悉确认书》，并经各投标供应商负责人或投标授权代表签字并加盖单位公章后，扫描上传至投标文件一并提交。</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注：该风险知悉确认书用于对供应商违法行为的警示，不作为供应商资格性审查及符合性审查条件。</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五、</w:t>
      </w:r>
      <w:r>
        <w:rPr>
          <w:rFonts w:ascii="宋体" w:hAnsi="宋体"/>
          <w:color w:val="FF0000"/>
          <w:sz w:val="24"/>
          <w:highlight w:val="none"/>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六、</w:t>
      </w:r>
      <w:r>
        <w:rPr>
          <w:rFonts w:ascii="宋体" w:hAnsi="宋体"/>
          <w:color w:val="FF0000"/>
          <w:sz w:val="24"/>
          <w:highlight w:val="none"/>
        </w:rPr>
        <w:t>为避免出现不同供应商投标文件的文件制作机器码、文件创建标识码、IP地址一致的异常情况，建议各供应商编制、上传投标文件时不要使用公共电脑设备或公共网络。</w:t>
      </w:r>
    </w:p>
    <w:p>
      <w:pPr>
        <w:spacing w:line="360" w:lineRule="auto"/>
        <w:ind w:firstLine="420" w:firstLineChars="200"/>
        <w:jc w:val="left"/>
        <w:rPr>
          <w:rFonts w:ascii="宋体" w:hAnsi="宋体" w:cs="宋体"/>
          <w:color w:val="FF0000"/>
          <w:sz w:val="32"/>
          <w:szCs w:val="32"/>
          <w:highlight w:val="none"/>
        </w:rPr>
      </w:pPr>
      <w:r>
        <w:rPr>
          <w:rFonts w:ascii="宋体" w:hAnsi="宋体" w:hint="eastAsia"/>
          <w:color w:val="FF0000"/>
          <w:sz w:val="24"/>
          <w:highlight w:val="none"/>
        </w:rPr>
        <w:t>七、</w:t>
      </w:r>
      <w:r>
        <w:rPr>
          <w:rFonts w:ascii="宋体" w:hAnsi="宋体"/>
          <w:color w:val="FF0000"/>
          <w:sz w:val="24"/>
          <w:highlight w:val="none"/>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w:t>
      </w:r>
      <w:r>
        <w:rPr>
          <w:rFonts w:ascii="宋体" w:hAnsi="宋体" w:hint="eastAsia"/>
          <w:color w:val="FF0000"/>
          <w:sz w:val="24"/>
          <w:highlight w:val="none"/>
        </w:rPr>
        <w:t>密钥。</w:t>
      </w:r>
    </w:p>
    <w:p>
      <w:pPr>
        <w:jc w:val="center"/>
        <w:rPr>
          <w:rFonts w:ascii="宋体" w:hAnsi="宋体" w:cs="宋体"/>
          <w:color w:val="FF0000"/>
          <w:sz w:val="32"/>
          <w:szCs w:val="32"/>
          <w:highlight w:val="none"/>
        </w:rPr>
      </w:pPr>
      <w:r>
        <w:rPr>
          <w:rFonts w:ascii="宋体" w:hAnsi="宋体" w:cs="宋体" w:hint="eastAsia"/>
          <w:color w:val="FF0000"/>
          <w:sz w:val="32"/>
          <w:szCs w:val="32"/>
          <w:highlight w:val="none"/>
        </w:rPr>
        <w:br w:type="page"/>
      </w:r>
    </w:p>
    <w:p>
      <w:pPr>
        <w:jc w:val="center"/>
        <w:rPr>
          <w:rFonts w:ascii="宋体" w:hAnsi="宋体" w:cs="宋体"/>
          <w:b/>
          <w:sz w:val="32"/>
          <w:szCs w:val="32"/>
          <w:highlight w:val="none"/>
        </w:rPr>
      </w:pPr>
      <w:r>
        <w:rPr>
          <w:rFonts w:ascii="宋体" w:hAnsi="宋体" w:cs="宋体" w:hint="eastAsia"/>
          <w:b/>
          <w:sz w:val="44"/>
          <w:szCs w:val="44"/>
          <w:highlight w:val="none"/>
        </w:rPr>
        <w:t>目      录</w:t>
      </w:r>
    </w:p>
    <w:p>
      <w:pPr>
        <w:jc w:val="center"/>
        <w:rPr>
          <w:rFonts w:ascii="宋体" w:hAnsi="宋体" w:cs="宋体"/>
          <w:b/>
          <w:sz w:val="28"/>
          <w:szCs w:val="28"/>
          <w:highlight w:val="none"/>
        </w:rPr>
      </w:pP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第一部分  投标邀请函</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第二部分  采购项目内容</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第三部分  投标人须知</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第四部分  合同格式</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第五部分  投标文件格式</w:t>
      </w:r>
    </w:p>
    <w:p>
      <w:pPr>
        <w:spacing w:line="360" w:lineRule="auto"/>
        <w:ind w:firstLine="359" w:firstLineChars="171"/>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pStyle w:val="Heading1"/>
        <w:spacing w:before="0" w:after="0" w:line="240" w:lineRule="auto"/>
        <w:jc w:val="center"/>
        <w:rPr>
          <w:rFonts w:ascii="宋体" w:hAnsi="宋体" w:cs="宋体"/>
          <w:bCs w:val="0"/>
          <w:kern w:val="0"/>
          <w:sz w:val="28"/>
          <w:szCs w:val="28"/>
          <w:highlight w:val="none"/>
        </w:rPr>
        <w:sectPr>
          <w:pgSz w:w="11906" w:h="16838"/>
          <w:pgMar w:top="1134" w:right="1134" w:bottom="1134" w:left="1134" w:header="851" w:footer="850" w:gutter="0"/>
          <w:pgBorders>
            <w:top w:val="nil"/>
            <w:left w:val="nil"/>
            <w:bottom w:val="nil"/>
            <w:right w:val="nil"/>
          </w:pgBorders>
          <w:pgNumType w:start="1"/>
          <w:cols w:num="1" w:space="720"/>
          <w:docGrid w:type="lines" w:linePitch="312" w:charSpace="0"/>
        </w:sectPr>
      </w:pPr>
    </w:p>
    <w:p>
      <w:pPr>
        <w:pStyle w:val="Heading1"/>
        <w:spacing w:before="0" w:after="0" w:line="240" w:lineRule="auto"/>
        <w:jc w:val="center"/>
        <w:rPr>
          <w:rFonts w:ascii="宋体" w:hAnsi="宋体" w:cs="宋体"/>
          <w:highlight w:val="none"/>
        </w:rPr>
      </w:pPr>
      <w:r>
        <w:rPr>
          <w:rFonts w:ascii="宋体" w:hAnsi="宋体" w:cs="宋体" w:hint="eastAsia"/>
          <w:bCs w:val="0"/>
          <w:kern w:val="0"/>
          <w:sz w:val="28"/>
          <w:szCs w:val="28"/>
          <w:highlight w:val="none"/>
        </w:rPr>
        <w:t>第一部分 投标邀请函</w:t>
      </w:r>
    </w:p>
    <w:tbl>
      <w:tblPr>
        <w:tblStyle w:val="TableNormal"/>
        <w:tblW w:w="8494"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
      <w:tblGrid>
        <w:gridCol w:w="8494"/>
      </w:tblGrid>
      <w:tr>
        <w:tblPrEx>
          <w:tblW w:w="8494"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Ex>
        <w:trPr>
          <w:trHeight w:val="556"/>
          <w:jc w:val="center"/>
        </w:trPr>
        <w:tc>
          <w:tcPr>
            <w:tcW w:w="8494" w:type="dxa"/>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项目概况</w:t>
            </w:r>
          </w:p>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b/>
                <w:bCs/>
                <w:kern w:val="0"/>
                <w:szCs w:val="21"/>
                <w:highlight w:val="none"/>
                <w:u w:val="single"/>
                <w:lang w:eastAsia="zh-CN"/>
              </w:rPr>
              <w:t>深圳市人民医院免陪照护服务项目</w:t>
            </w:r>
            <w:r>
              <w:rPr>
                <w:rFonts w:ascii="宋体" w:hAnsi="宋体" w:cs="宋体" w:hint="eastAsia"/>
                <w:kern w:val="0"/>
                <w:szCs w:val="21"/>
                <w:highlight w:val="none"/>
              </w:rPr>
              <w:t>的潜在投标人应在（本公告附件中）获取招标文件，并于</w:t>
            </w:r>
            <w:r>
              <w:rPr>
                <w:rFonts w:ascii="宋体" w:hAnsi="宋体" w:cs="宋体" w:hint="eastAsia"/>
                <w:b/>
                <w:bCs/>
                <w:kern w:val="0"/>
                <w:szCs w:val="21"/>
                <w:highlight w:val="none"/>
                <w:u w:val="single"/>
              </w:rPr>
              <w:t>202</w:t>
            </w:r>
            <w:r>
              <w:rPr>
                <w:rFonts w:ascii="宋体" w:hAnsi="宋体" w:cs="宋体" w:hint="eastAsia"/>
                <w:b/>
                <w:bCs/>
                <w:kern w:val="0"/>
                <w:szCs w:val="21"/>
                <w:highlight w:val="none"/>
                <w:u w:val="single"/>
                <w:lang w:val="en-US" w:eastAsia="zh-CN"/>
              </w:rPr>
              <w:t>5</w:t>
            </w:r>
            <w:r>
              <w:rPr>
                <w:rFonts w:ascii="宋体" w:hAnsi="宋体" w:cs="宋体" w:hint="eastAsia"/>
                <w:b/>
                <w:bCs/>
                <w:kern w:val="0"/>
                <w:szCs w:val="21"/>
                <w:highlight w:val="none"/>
                <w:u w:val="single"/>
              </w:rPr>
              <w:t>年</w:t>
            </w:r>
            <w:r>
              <w:rPr>
                <w:rFonts w:ascii="宋体" w:hAnsi="宋体" w:cs="宋体" w:hint="eastAsia"/>
                <w:b/>
                <w:bCs/>
                <w:kern w:val="0"/>
                <w:szCs w:val="21"/>
                <w:highlight w:val="none"/>
                <w:u w:val="single"/>
                <w:lang w:val="en-US" w:eastAsia="zh-CN"/>
              </w:rPr>
              <w:t>12</w:t>
            </w:r>
            <w:r>
              <w:rPr>
                <w:rFonts w:ascii="宋体" w:hAnsi="宋体" w:cs="宋体" w:hint="eastAsia"/>
                <w:b/>
                <w:bCs/>
                <w:kern w:val="0"/>
                <w:szCs w:val="21"/>
                <w:highlight w:val="none"/>
                <w:u w:val="single"/>
              </w:rPr>
              <w:t>月</w:t>
            </w:r>
            <w:r>
              <w:rPr>
                <w:rFonts w:ascii="宋体" w:hAnsi="宋体" w:cs="宋体" w:hint="eastAsia"/>
                <w:b/>
                <w:bCs/>
                <w:kern w:val="0"/>
                <w:szCs w:val="21"/>
                <w:highlight w:val="none"/>
                <w:u w:val="single"/>
                <w:lang w:val="en-US" w:eastAsia="zh-CN"/>
              </w:rPr>
              <w:t>30</w:t>
            </w:r>
            <w:r>
              <w:rPr>
                <w:rFonts w:ascii="宋体" w:hAnsi="宋体" w:cs="宋体" w:hint="eastAsia"/>
                <w:b/>
                <w:bCs/>
                <w:kern w:val="0"/>
                <w:szCs w:val="21"/>
                <w:highlight w:val="none"/>
                <w:u w:val="single"/>
              </w:rPr>
              <w:t>日8:30</w:t>
            </w:r>
            <w:r>
              <w:rPr>
                <w:rFonts w:ascii="宋体" w:hAnsi="宋体" w:cs="宋体" w:hint="eastAsia"/>
                <w:kern w:val="0"/>
                <w:szCs w:val="21"/>
                <w:highlight w:val="none"/>
              </w:rPr>
              <w:t>（北京时间）前网上递交投标文件。</w:t>
            </w:r>
          </w:p>
        </w:tc>
      </w:tr>
    </w:tbl>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一、项目基本情况</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1.项目编号：</w:t>
      </w:r>
      <w:r>
        <w:rPr>
          <w:rFonts w:ascii="宋体" w:hAnsi="宋体" w:cs="宋体" w:hint="eastAsia"/>
          <w:color w:val="000000"/>
          <w:kern w:val="0"/>
          <w:szCs w:val="21"/>
          <w:highlight w:val="none"/>
          <w:u w:val="single"/>
          <w:lang w:eastAsia="zh-CN"/>
        </w:rPr>
        <w:t>SZDL2025002061</w:t>
      </w:r>
      <w:r>
        <w:rPr>
          <w:rFonts w:ascii="宋体" w:hAnsi="宋体" w:cs="宋体" w:hint="eastAsia"/>
          <w:color w:val="000000"/>
          <w:kern w:val="0"/>
          <w:szCs w:val="21"/>
          <w:highlight w:val="none"/>
          <w:u w:val="single"/>
        </w:rPr>
        <w:t>（</w:t>
      </w:r>
      <w:r>
        <w:rPr>
          <w:rFonts w:ascii="宋体" w:hAnsi="宋体" w:cs="宋体" w:hint="eastAsia"/>
          <w:color w:val="000000"/>
          <w:kern w:val="0"/>
          <w:szCs w:val="21"/>
          <w:highlight w:val="none"/>
          <w:u w:val="single"/>
          <w:lang w:eastAsia="zh-CN"/>
        </w:rPr>
        <w:t>0724-2531SZ267470</w:t>
      </w:r>
      <w:r>
        <w:rPr>
          <w:rFonts w:ascii="宋体" w:hAnsi="宋体" w:cs="宋体" w:hint="eastAsia"/>
          <w:color w:val="000000"/>
          <w:kern w:val="0"/>
          <w:szCs w:val="21"/>
          <w:highlight w:val="none"/>
          <w:u w:val="single"/>
        </w:rPr>
        <w:t>）</w:t>
      </w:r>
    </w:p>
    <w:p>
      <w:pPr>
        <w:autoSpaceDE w:val="0"/>
        <w:autoSpaceDN w:val="0"/>
        <w:ind w:firstLine="420" w:firstLineChars="200"/>
        <w:rPr>
          <w:rFonts w:ascii="宋体" w:eastAsia="宋体" w:hAnsi="宋体" w:cs="宋体" w:hint="eastAsia"/>
          <w:szCs w:val="21"/>
          <w:highlight w:val="none"/>
          <w:u w:val="single"/>
          <w:lang w:eastAsia="zh-CN"/>
        </w:rPr>
      </w:pPr>
      <w:r>
        <w:rPr>
          <w:rFonts w:ascii="宋体" w:hAnsi="宋体" w:cs="宋体" w:hint="eastAsia"/>
          <w:color w:val="000000"/>
          <w:kern w:val="0"/>
          <w:szCs w:val="21"/>
          <w:highlight w:val="none"/>
        </w:rPr>
        <w:t>2.项目名称</w:t>
      </w:r>
      <w:r>
        <w:rPr>
          <w:rFonts w:ascii="宋体" w:hAnsi="宋体" w:cs="宋体" w:hint="eastAsia"/>
          <w:szCs w:val="21"/>
          <w:highlight w:val="none"/>
        </w:rPr>
        <w:t>：</w:t>
      </w:r>
      <w:r>
        <w:rPr>
          <w:rFonts w:ascii="宋体" w:hAnsi="宋体" w:cs="宋体" w:hint="eastAsia"/>
          <w:szCs w:val="21"/>
          <w:highlight w:val="none"/>
          <w:u w:val="single"/>
          <w:lang w:eastAsia="zh-CN"/>
        </w:rPr>
        <w:t>深圳市人民医院</w:t>
      </w:r>
      <w:bookmarkStart w:id="3" w:name="OLE_LINK11"/>
      <w:r>
        <w:rPr>
          <w:rFonts w:ascii="宋体" w:hAnsi="宋体" w:cs="宋体" w:hint="eastAsia"/>
          <w:szCs w:val="21"/>
          <w:highlight w:val="none"/>
          <w:u w:val="single"/>
          <w:lang w:eastAsia="zh-CN"/>
        </w:rPr>
        <w:t>免陪照护服务</w:t>
      </w:r>
      <w:bookmarkEnd w:id="3"/>
      <w:r>
        <w:rPr>
          <w:rFonts w:ascii="宋体" w:hAnsi="宋体" w:cs="宋体" w:hint="eastAsia"/>
          <w:szCs w:val="21"/>
          <w:highlight w:val="none"/>
          <w:u w:val="single"/>
          <w:lang w:eastAsia="zh-CN"/>
        </w:rPr>
        <w:t>项目</w:t>
      </w:r>
    </w:p>
    <w:p>
      <w:pPr>
        <w:autoSpaceDE w:val="0"/>
        <w:autoSpaceDN w:val="0"/>
        <w:ind w:left="1680" w:hanging="1260" w:leftChars="200" w:hangingChars="600"/>
        <w:rPr>
          <w:rFonts w:ascii="宋体" w:hAnsi="宋体" w:cs="宋体"/>
          <w:szCs w:val="21"/>
          <w:highlight w:val="none"/>
          <w:u w:val="single"/>
        </w:rPr>
      </w:pPr>
      <w:r>
        <w:rPr>
          <w:rFonts w:ascii="宋体" w:hAnsi="宋体" w:cs="宋体" w:hint="eastAsia"/>
          <w:color w:val="000000"/>
          <w:kern w:val="0"/>
          <w:szCs w:val="21"/>
          <w:highlight w:val="none"/>
        </w:rPr>
        <w:t>3.预算金额</w:t>
      </w:r>
      <w:r>
        <w:rPr>
          <w:rFonts w:ascii="宋体" w:hAnsi="宋体" w:cs="宋体" w:hint="eastAsia"/>
          <w:szCs w:val="21"/>
          <w:highlight w:val="none"/>
        </w:rPr>
        <w:t>：</w:t>
      </w:r>
      <w:r>
        <w:rPr>
          <w:rFonts w:ascii="宋体" w:hAnsi="宋体" w:cs="宋体" w:hint="eastAsia"/>
          <w:szCs w:val="21"/>
          <w:highlight w:val="none"/>
          <w:u w:val="single"/>
        </w:rPr>
        <w:t>人民币</w:t>
      </w:r>
      <w:bookmarkStart w:id="4" w:name="OLE_LINK4"/>
      <w:r>
        <w:rPr>
          <w:rFonts w:ascii="宋体" w:hAnsi="宋体" w:cs="宋体" w:hint="eastAsia"/>
          <w:szCs w:val="21"/>
          <w:highlight w:val="none"/>
          <w:u w:val="single"/>
          <w:lang w:val="en-US" w:eastAsia="zh-CN"/>
        </w:rPr>
        <w:t>9,342,000</w:t>
      </w:r>
      <w:r>
        <w:rPr>
          <w:rFonts w:ascii="宋体" w:hAnsi="宋体" w:cs="宋体" w:hint="eastAsia"/>
          <w:szCs w:val="21"/>
          <w:highlight w:val="none"/>
          <w:u w:val="single"/>
        </w:rPr>
        <w:t>.00</w:t>
      </w:r>
      <w:bookmarkEnd w:id="4"/>
      <w:r>
        <w:rPr>
          <w:rFonts w:ascii="宋体" w:hAnsi="宋体" w:cs="宋体" w:hint="eastAsia"/>
          <w:szCs w:val="21"/>
          <w:highlight w:val="none"/>
          <w:u w:val="single"/>
        </w:rPr>
        <w:t>元</w:t>
      </w:r>
    </w:p>
    <w:p>
      <w:pPr>
        <w:widowControl/>
        <w:ind w:left="1680" w:hanging="1260" w:leftChars="200" w:hangingChars="600"/>
        <w:jc w:val="left"/>
        <w:rPr>
          <w:rFonts w:ascii="宋体" w:hAnsi="宋体" w:cs="宋体" w:hint="default"/>
          <w:color w:val="000000"/>
          <w:szCs w:val="21"/>
          <w:highlight w:val="none"/>
          <w:lang w:val="en-US"/>
        </w:rPr>
      </w:pPr>
      <w:r>
        <w:rPr>
          <w:rFonts w:ascii="宋体" w:hAnsi="宋体" w:cs="宋体" w:hint="eastAsia"/>
          <w:color w:val="000000"/>
          <w:kern w:val="0"/>
          <w:szCs w:val="21"/>
          <w:highlight w:val="none"/>
        </w:rPr>
        <w:t>4.最高限价：</w:t>
      </w:r>
      <w:r>
        <w:rPr>
          <w:rFonts w:ascii="宋体" w:hAnsi="宋体" w:cs="宋体" w:hint="eastAsia"/>
          <w:szCs w:val="21"/>
          <w:highlight w:val="none"/>
          <w:u w:val="single"/>
          <w:lang w:val="en-US" w:eastAsia="zh-CN"/>
        </w:rPr>
        <w:t>本项目报折扣率，0＜折扣率≤0.97</w:t>
      </w:r>
    </w:p>
    <w:p>
      <w:pPr>
        <w:widowControl/>
        <w:ind w:firstLine="420" w:firstLineChars="200"/>
        <w:jc w:val="left"/>
        <w:rPr>
          <w:rFonts w:ascii="宋体" w:hAnsi="宋体" w:cs="宋体"/>
          <w:szCs w:val="21"/>
          <w:highlight w:val="none"/>
          <w:u w:val="single"/>
        </w:rPr>
      </w:pPr>
      <w:r>
        <w:rPr>
          <w:rFonts w:ascii="宋体" w:hAnsi="宋体" w:cs="宋体" w:hint="eastAsia"/>
          <w:color w:val="000000"/>
          <w:kern w:val="0"/>
          <w:szCs w:val="21"/>
          <w:highlight w:val="none"/>
        </w:rPr>
        <w:t>5.采购需求： </w:t>
      </w:r>
    </w:p>
    <w:tbl>
      <w:tblPr>
        <w:tblStyle w:val="TableNormal"/>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12"/>
        <w:gridCol w:w="2166"/>
        <w:gridCol w:w="647"/>
        <w:gridCol w:w="2658"/>
        <w:gridCol w:w="1508"/>
      </w:tblGrid>
      <w:tr>
        <w:tblPrEx>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2"/>
          <w:jc w:val="center"/>
        </w:trPr>
        <w:tc>
          <w:tcPr>
            <w:tcW w:w="2212" w:type="dxa"/>
            <w:vAlign w:val="center"/>
          </w:tcPr>
          <w:p>
            <w:pPr>
              <w:keepNext w:val="0"/>
              <w:keepLines w:val="0"/>
              <w:widowControl/>
              <w:suppressLineNumbers w:val="0"/>
              <w:spacing w:before="0" w:beforeAutospacing="0" w:after="0" w:afterAutospacing="0"/>
              <w:ind w:left="0" w:right="0"/>
              <w:jc w:val="center"/>
              <w:rPr>
                <w:rFonts w:ascii="宋体" w:hAnsi="宋体" w:cs="宋体" w:hint="eastAsia"/>
                <w:b/>
                <w:bCs/>
                <w:kern w:val="0"/>
                <w:szCs w:val="21"/>
                <w:highlight w:val="none"/>
              </w:rPr>
            </w:pPr>
            <w:r>
              <w:rPr>
                <w:rFonts w:ascii="宋体" w:hAnsi="宋体" w:cs="宋体" w:hint="eastAsia"/>
                <w:b/>
                <w:bCs/>
                <w:kern w:val="0"/>
                <w:szCs w:val="21"/>
                <w:highlight w:val="none"/>
              </w:rPr>
              <w:t>采购计划编号</w:t>
            </w:r>
          </w:p>
        </w:tc>
        <w:tc>
          <w:tcPr>
            <w:tcW w:w="2166" w:type="dxa"/>
            <w:vAlign w:val="center"/>
          </w:tcPr>
          <w:p>
            <w:pPr>
              <w:keepNext w:val="0"/>
              <w:keepLines w:val="0"/>
              <w:widowControl/>
              <w:suppressLineNumbers w:val="0"/>
              <w:spacing w:before="0" w:beforeAutospacing="0" w:after="0" w:afterAutospacing="0"/>
              <w:ind w:left="0" w:right="0" w:leftChars="0" w:rightChars="0"/>
              <w:jc w:val="center"/>
              <w:rPr>
                <w:rFonts w:ascii="宋体" w:eastAsia="宋体" w:hAnsi="宋体" w:cs="宋体" w:hint="eastAsia"/>
                <w:b/>
                <w:bCs/>
                <w:kern w:val="0"/>
                <w:szCs w:val="21"/>
                <w:highlight w:val="none"/>
                <w:lang w:eastAsia="zh-CN"/>
              </w:rPr>
            </w:pPr>
            <w:r>
              <w:rPr>
                <w:rFonts w:ascii="宋体" w:hAnsi="宋体" w:cs="宋体" w:hint="eastAsia"/>
                <w:b/>
                <w:bCs/>
                <w:kern w:val="0"/>
                <w:szCs w:val="21"/>
                <w:highlight w:val="none"/>
                <w:lang w:val="en-US" w:eastAsia="zh-CN"/>
              </w:rPr>
              <w:t>服务</w:t>
            </w:r>
            <w:r>
              <w:rPr>
                <w:rFonts w:ascii="宋体" w:hAnsi="宋体" w:cs="宋体" w:hint="eastAsia"/>
                <w:b/>
                <w:bCs/>
                <w:kern w:val="0"/>
                <w:szCs w:val="21"/>
                <w:highlight w:val="none"/>
              </w:rPr>
              <w:t>名称</w:t>
            </w:r>
            <w:r>
              <w:rPr>
                <w:rFonts w:ascii="宋体" w:hAnsi="宋体" w:cs="宋体" w:hint="eastAsia"/>
                <w:b/>
                <w:bCs/>
                <w:kern w:val="0"/>
                <w:szCs w:val="21"/>
                <w:highlight w:val="none"/>
                <w:lang w:eastAsia="zh-CN"/>
              </w:rPr>
              <w:t>（</w:t>
            </w:r>
            <w:r>
              <w:rPr>
                <w:rFonts w:ascii="宋体" w:hAnsi="宋体" w:cs="宋体" w:hint="eastAsia"/>
                <w:b/>
                <w:bCs/>
                <w:kern w:val="0"/>
                <w:szCs w:val="21"/>
                <w:highlight w:val="none"/>
                <w:lang w:val="en-US" w:eastAsia="zh-CN"/>
              </w:rPr>
              <w:t>标的名称</w:t>
            </w:r>
            <w:r>
              <w:rPr>
                <w:rFonts w:ascii="宋体" w:hAnsi="宋体" w:cs="宋体" w:hint="eastAsia"/>
                <w:b/>
                <w:bCs/>
                <w:kern w:val="0"/>
                <w:szCs w:val="21"/>
                <w:highlight w:val="none"/>
                <w:lang w:eastAsia="zh-CN"/>
              </w:rPr>
              <w:t>）</w:t>
            </w:r>
          </w:p>
        </w:tc>
        <w:tc>
          <w:tcPr>
            <w:tcW w:w="647"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szCs w:val="21"/>
                <w:highlight w:val="none"/>
              </w:rPr>
            </w:pPr>
            <w:r>
              <w:rPr>
                <w:rFonts w:ascii="宋体" w:hAnsi="宋体" w:cs="宋体" w:hint="eastAsia"/>
                <w:b/>
                <w:bCs/>
                <w:kern w:val="0"/>
                <w:szCs w:val="21"/>
                <w:highlight w:val="none"/>
              </w:rPr>
              <w:t>数量</w:t>
            </w:r>
          </w:p>
        </w:tc>
        <w:tc>
          <w:tcPr>
            <w:tcW w:w="2658"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szCs w:val="21"/>
                <w:highlight w:val="none"/>
              </w:rPr>
            </w:pPr>
            <w:r>
              <w:rPr>
                <w:rFonts w:ascii="宋体" w:hAnsi="宋体" w:cs="宋体" w:hint="eastAsia"/>
                <w:b/>
                <w:bCs/>
                <w:kern w:val="0"/>
                <w:szCs w:val="21"/>
                <w:highlight w:val="none"/>
              </w:rPr>
              <w:t>简要技术需求（服务需求）</w:t>
            </w:r>
          </w:p>
        </w:tc>
        <w:tc>
          <w:tcPr>
            <w:tcW w:w="1508"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szCs w:val="21"/>
                <w:highlight w:val="none"/>
              </w:rPr>
            </w:pPr>
            <w:r>
              <w:rPr>
                <w:rFonts w:ascii="宋体" w:hAnsi="宋体" w:cs="宋体" w:hint="eastAsia"/>
                <w:b/>
                <w:bCs/>
                <w:kern w:val="0"/>
                <w:szCs w:val="21"/>
                <w:highlight w:val="none"/>
              </w:rPr>
              <w:t>备注</w:t>
            </w:r>
          </w:p>
        </w:tc>
      </w:tr>
      <w:tr>
        <w:tblPrEx>
          <w:tblW w:w="9191" w:type="dxa"/>
          <w:jc w:val="center"/>
          <w:tblLayout w:type="fixed"/>
          <w:tblCellMar>
            <w:top w:w="0" w:type="dxa"/>
            <w:left w:w="108" w:type="dxa"/>
            <w:bottom w:w="0" w:type="dxa"/>
            <w:right w:w="108" w:type="dxa"/>
          </w:tblCellMar>
        </w:tblPrEx>
        <w:trPr>
          <w:trHeight w:val="90"/>
          <w:jc w:val="center"/>
        </w:trPr>
        <w:tc>
          <w:tcPr>
            <w:tcW w:w="2212" w:type="dxa"/>
            <w:vAlign w:val="center"/>
          </w:tcPr>
          <w:p>
            <w:pPr>
              <w:keepNext w:val="0"/>
              <w:keepLines w:val="0"/>
              <w:suppressLineNumbers w:val="0"/>
              <w:snapToGrid w:val="0"/>
              <w:spacing w:before="0" w:beforeAutospacing="0" w:after="0" w:afterAutospacing="0"/>
              <w:ind w:left="0" w:right="0"/>
              <w:jc w:val="center"/>
              <w:rPr>
                <w:rFonts w:ascii="宋体" w:hAnsi="宋体" w:cs="宋体" w:hint="default"/>
                <w:color w:val="000000" w:themeColor="text1"/>
                <w:szCs w:val="21"/>
                <w:highlight w:val="none"/>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PLAN-2025-440300000-118017-15524</w:t>
            </w:r>
          </w:p>
        </w:tc>
        <w:tc>
          <w:tcPr>
            <w:tcW w:w="2166"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color w:val="000000" w:themeColor="text1"/>
                <w:szCs w:val="21"/>
                <w:highlight w:val="none"/>
                <w:lang w:eastAsia="zh-CN"/>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免陪照护服务</w:t>
            </w:r>
          </w:p>
        </w:tc>
        <w:tc>
          <w:tcPr>
            <w:tcW w:w="647"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default"/>
                <w:color w:val="000000" w:themeColor="text1"/>
                <w:szCs w:val="21"/>
                <w:highlight w:val="none"/>
                <w:lang w:val="en-US" w:eastAsia="zh-CN"/>
                <w14:textFill>
                  <w14:solidFill>
                    <w14:schemeClr w14:val="tx1"/>
                  </w14:solidFill>
                </w14:textFill>
              </w:rPr>
            </w:pPr>
            <w:r>
              <w:rPr>
                <w:rFonts w:ascii="宋体" w:hAnsi="宋体" w:cs="宋体" w:hint="eastAsia"/>
                <w:color w:val="000000" w:themeColor="text1"/>
                <w:szCs w:val="21"/>
                <w:highlight w:val="none"/>
                <w:lang w:val="en-US" w:eastAsia="zh-CN"/>
                <w14:textFill>
                  <w14:solidFill>
                    <w14:schemeClr w14:val="tx1"/>
                  </w14:solidFill>
                </w14:textFill>
              </w:rPr>
              <w:t>一项</w:t>
            </w:r>
          </w:p>
        </w:tc>
        <w:tc>
          <w:tcPr>
            <w:tcW w:w="2658" w:type="dxa"/>
            <w:vAlign w:val="center"/>
          </w:tcPr>
          <w:p>
            <w:pPr>
              <w:keepNext w:val="0"/>
              <w:keepLines w:val="0"/>
              <w:suppressLineNumbers w:val="0"/>
              <w:snapToGrid w:val="0"/>
              <w:spacing w:before="0" w:beforeAutospacing="0" w:after="0" w:afterAutospacing="0"/>
              <w:ind w:left="0" w:right="0"/>
              <w:jc w:val="center"/>
              <w:rPr>
                <w:rFonts w:ascii="宋体" w:hAnsi="宋体" w:cs="宋体" w:hint="eastAsia"/>
                <w:color w:val="000000" w:themeColor="text1"/>
                <w:szCs w:val="21"/>
                <w:highlight w:val="none"/>
                <w14:textFill>
                  <w14:solidFill>
                    <w14:schemeClr w14:val="tx1"/>
                  </w14:solidFill>
                </w14:textFill>
              </w:rPr>
            </w:pPr>
            <w:r>
              <w:rPr>
                <w:rFonts w:ascii="宋体" w:hAnsi="宋体" w:cs="宋体" w:hint="eastAsia"/>
                <w:color w:val="000000" w:themeColor="text1"/>
                <w:szCs w:val="21"/>
                <w:highlight w:val="none"/>
                <w14:textFill>
                  <w14:solidFill>
                    <w14:schemeClr w14:val="tx1"/>
                  </w14:solidFill>
                </w14:textFill>
              </w:rPr>
              <w:t>详见招标文件内容</w:t>
            </w:r>
          </w:p>
        </w:tc>
        <w:tc>
          <w:tcPr>
            <w:tcW w:w="1508" w:type="dxa"/>
            <w:vAlign w:val="center"/>
          </w:tcPr>
          <w:p>
            <w:pPr>
              <w:keepNext w:val="0"/>
              <w:keepLines w:val="0"/>
              <w:suppressLineNumbers w:val="0"/>
              <w:snapToGrid w:val="0"/>
              <w:spacing w:before="0" w:beforeAutospacing="0" w:after="0" w:afterAutospacing="0"/>
              <w:ind w:left="0" w:right="0"/>
              <w:jc w:val="center"/>
              <w:rPr>
                <w:rFonts w:ascii="宋体" w:hAnsi="宋体" w:cs="宋体" w:hint="default"/>
                <w:color w:val="000000" w:themeColor="text1"/>
                <w:szCs w:val="21"/>
                <w:highlight w:val="none"/>
                <w14:textFill>
                  <w14:solidFill>
                    <w14:schemeClr w14:val="tx1"/>
                  </w14:solidFill>
                </w14:textFill>
              </w:rPr>
            </w:pPr>
            <w:r>
              <w:rPr>
                <w:rFonts w:ascii="宋体" w:hAnsi="宋体" w:cs="宋体" w:hint="eastAsia"/>
                <w:color w:val="000000" w:themeColor="text1"/>
                <w:szCs w:val="21"/>
                <w:highlight w:val="none"/>
                <w14:textFill>
                  <w14:solidFill>
                    <w14:schemeClr w14:val="tx1"/>
                  </w14:solidFill>
                </w14:textFill>
              </w:rPr>
              <w:t>长期服务项目</w:t>
            </w:r>
          </w:p>
        </w:tc>
      </w:tr>
    </w:tbl>
    <w:p>
      <w:pPr>
        <w:pStyle w:val="PlainText"/>
        <w:ind w:firstLine="420" w:firstLineChars="200"/>
        <w:rPr>
          <w:highlight w:val="none"/>
        </w:rPr>
      </w:pPr>
      <w:r>
        <w:rPr>
          <w:rFonts w:hint="eastAsia"/>
          <w:color w:val="000000" w:themeColor="text1"/>
          <w:highlight w:val="none"/>
          <w14:textFill>
            <w14:solidFill>
              <w14:schemeClr w14:val="tx1"/>
            </w14:solidFill>
          </w14:textFill>
        </w:rPr>
        <w:t>6.合同履行期限：</w:t>
      </w:r>
      <w:r>
        <w:rPr>
          <w:rFonts w:hint="eastAsia"/>
          <w:highlight w:val="none"/>
        </w:rPr>
        <w:t>详见招标文件用户需求书。</w:t>
      </w:r>
    </w:p>
    <w:p>
      <w:pPr>
        <w:pStyle w:val="PlainText"/>
        <w:ind w:firstLine="420" w:firstLineChars="200"/>
        <w:rPr>
          <w:highlight w:val="none"/>
        </w:rPr>
      </w:pPr>
      <w:r>
        <w:rPr>
          <w:rFonts w:hint="eastAsia"/>
          <w:highlight w:val="none"/>
        </w:rPr>
        <w:t>7.本项目不接受联合体投标，不允许转包、非法分包。</w:t>
      </w:r>
    </w:p>
    <w:p>
      <w:pPr>
        <w:widowControl/>
        <w:ind w:firstLine="420" w:firstLineChars="200"/>
        <w:jc w:val="left"/>
        <w:rPr>
          <w:rFonts w:ascii="宋体" w:hAnsi="宋体" w:cs="宋体"/>
          <w:b/>
          <w:szCs w:val="21"/>
          <w:highlight w:val="none"/>
        </w:rPr>
      </w:pPr>
      <w:r>
        <w:rPr>
          <w:rStyle w:val="Strong"/>
          <w:rFonts w:ascii="宋体" w:hAnsi="宋体" w:cs="宋体" w:hint="eastAsia"/>
          <w:bCs w:val="0"/>
          <w:spacing w:val="0"/>
          <w:kern w:val="0"/>
          <w:sz w:val="21"/>
          <w:szCs w:val="21"/>
          <w:highlight w:val="none"/>
        </w:rPr>
        <w:t>二、申请人的资格要求</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rPr>
        <w:t>1.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2.满足《中华人民共和国政府采购法》第二十二条第一款规定条件（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3.落实政府采购政策需满足的资格要求：无。</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4</w:t>
      </w:r>
      <w:r>
        <w:rPr>
          <w:rFonts w:ascii="宋体" w:hAnsi="宋体" w:cs="宋体"/>
          <w:color w:val="000000"/>
          <w:kern w:val="0"/>
          <w:szCs w:val="21"/>
          <w:highlight w:val="none"/>
        </w:rPr>
        <w:t>.本项目的特定资格要求：</w:t>
      </w:r>
      <w:r>
        <w:rPr>
          <w:rFonts w:ascii="宋体" w:hAnsi="宋体" w:cs="宋体" w:hint="eastAsia"/>
          <w:color w:val="000000"/>
          <w:kern w:val="0"/>
          <w:szCs w:val="21"/>
          <w:highlight w:val="none"/>
        </w:rPr>
        <w:t>无。</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5.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6.参与本项目政府采购活动时不存在被有关部门禁止参与政府采购活动且在有效期内的情况（由供应商在《政府采购投标及履约承诺函》中作出声明）。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7.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hAnsi="宋体" w:cs="宋体"/>
          <w:color w:val="000000"/>
          <w:kern w:val="0"/>
          <w:szCs w:val="21"/>
          <w:highlight w:val="none"/>
          <w:lang w:val="zh-CN"/>
        </w:rPr>
      </w:pPr>
      <w:r>
        <w:rPr>
          <w:rFonts w:ascii="宋体" w:hAnsi="宋体" w:cs="宋体" w:hint="eastAsia"/>
          <w:color w:val="000000"/>
          <w:kern w:val="0"/>
          <w:szCs w:val="21"/>
          <w:highlight w:val="none"/>
        </w:rPr>
        <w:t>8</w:t>
      </w:r>
      <w:r>
        <w:rPr>
          <w:rFonts w:ascii="宋体" w:hAnsi="宋体" w:cs="宋体" w:hint="eastAsia"/>
          <w:color w:val="000000"/>
          <w:kern w:val="0"/>
          <w:szCs w:val="21"/>
          <w:highlight w:val="none"/>
          <w:lang w:val="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p>
      <w:pPr>
        <w:widowControl/>
        <w:ind w:firstLine="420" w:firstLineChars="200"/>
        <w:jc w:val="left"/>
        <w:rPr>
          <w:rFonts w:ascii="宋体" w:hAnsi="宋体" w:cs="宋体" w:hint="eastAsia"/>
          <w:color w:val="000000"/>
          <w:kern w:val="0"/>
          <w:sz w:val="21"/>
          <w:szCs w:val="21"/>
          <w:highlight w:val="none"/>
          <w:lang w:val="zh-CN"/>
        </w:rPr>
      </w:pPr>
      <w:r>
        <w:rPr>
          <w:rFonts w:ascii="宋体" w:hAnsi="宋体" w:cs="宋体" w:hint="eastAsia"/>
          <w:color w:val="000000"/>
          <w:kern w:val="0"/>
          <w:szCs w:val="21"/>
          <w:highlight w:val="none"/>
        </w:rPr>
        <w:t>9</w:t>
      </w:r>
      <w:r>
        <w:rPr>
          <w:rFonts w:ascii="宋体" w:hAnsi="宋体" w:cs="宋体" w:hint="eastAsia"/>
          <w:color w:val="000000"/>
          <w:kern w:val="0"/>
          <w:sz w:val="21"/>
          <w:szCs w:val="21"/>
          <w:highlight w:val="none"/>
          <w:lang w:val="zh-CN"/>
        </w:rPr>
        <w:t>.为采购项目提供整体设计、规范编制或者项目管理、监理、检测等服务的供应商，不得再参加该采购项目的其他采购活动</w:t>
      </w:r>
      <w:r>
        <w:rPr>
          <w:rFonts w:ascii="宋体" w:hAnsi="宋体" w:cs="宋体" w:hint="eastAsia"/>
          <w:color w:val="000000"/>
          <w:kern w:val="0"/>
          <w:sz w:val="21"/>
          <w:szCs w:val="21"/>
          <w:highlight w:val="none"/>
        </w:rPr>
        <w:t>（</w:t>
      </w:r>
      <w:r>
        <w:rPr>
          <w:rFonts w:ascii="宋体" w:hAnsi="宋体" w:cs="宋体" w:hint="eastAsia"/>
          <w:kern w:val="0"/>
          <w:sz w:val="21"/>
          <w:szCs w:val="21"/>
          <w:highlight w:val="none"/>
        </w:rPr>
        <w:t>由供应商在《政府采购投标及履约承诺函》中作出声明</w:t>
      </w:r>
      <w:r>
        <w:rPr>
          <w:rFonts w:ascii="宋体" w:hAnsi="宋体" w:cs="宋体" w:hint="eastAsia"/>
          <w:color w:val="000000"/>
          <w:kern w:val="0"/>
          <w:sz w:val="21"/>
          <w:szCs w:val="21"/>
          <w:highlight w:val="none"/>
        </w:rPr>
        <w:t>）</w:t>
      </w:r>
      <w:r>
        <w:rPr>
          <w:rFonts w:ascii="宋体" w:hAnsi="宋体" w:cs="宋体" w:hint="eastAsia"/>
          <w:color w:val="000000"/>
          <w:kern w:val="0"/>
          <w:sz w:val="21"/>
          <w:szCs w:val="21"/>
          <w:highlight w:val="none"/>
          <w:lang w:val="zh-CN"/>
        </w:rPr>
        <w:t>。</w:t>
      </w:r>
    </w:p>
    <w:p>
      <w:pPr>
        <w:widowControl/>
        <w:ind w:firstLine="420" w:firstLineChars="200"/>
        <w:jc w:val="left"/>
        <w:rPr>
          <w:rFonts w:ascii="宋体" w:hAnsi="宋体" w:cs="宋体"/>
          <w:b/>
          <w:sz w:val="21"/>
          <w:szCs w:val="21"/>
          <w:highlight w:val="none"/>
        </w:rPr>
      </w:pPr>
      <w:r>
        <w:rPr>
          <w:rStyle w:val="Strong"/>
          <w:rFonts w:ascii="宋体" w:hAnsi="宋体" w:cs="宋体" w:hint="eastAsia"/>
          <w:bCs w:val="0"/>
          <w:spacing w:val="0"/>
          <w:kern w:val="0"/>
          <w:sz w:val="21"/>
          <w:szCs w:val="21"/>
          <w:highlight w:val="none"/>
        </w:rPr>
        <w:t>三、获取招标文件</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时间：</w:t>
      </w:r>
      <w:r>
        <w:rPr>
          <w:rFonts w:ascii="宋体" w:eastAsia="宋体" w:hAnsi="宋体" w:cs="宋体" w:hint="eastAsia"/>
          <w:b/>
          <w:bCs/>
          <w:color w:val="000000" w:themeColor="text1"/>
          <w:kern w:val="0"/>
          <w:sz w:val="21"/>
          <w:szCs w:val="21"/>
          <w:u w:val="single"/>
          <w:lang w:val="en-US" w:eastAsia="zh-CN"/>
          <w14:textFill>
            <w14:solidFill>
              <w14:schemeClr w14:val="tx1"/>
            </w14:solidFill>
          </w14:textFill>
        </w:rPr>
        <w:t>自本公告发布之日起至2025年12月30日（北京时间）</w:t>
      </w:r>
      <w:r>
        <w:rPr>
          <w:rFonts w:ascii="宋体" w:eastAsia="宋体" w:hAnsi="宋体" w:cs="宋体" w:hint="eastAsia"/>
          <w:color w:val="000000" w:themeColor="text1"/>
          <w:kern w:val="0"/>
          <w:sz w:val="21"/>
          <w:szCs w:val="21"/>
          <w:lang w:val="en-US"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地点：请有意参加该政府采购项目的供应商登录深圳政府采购智慧(监管)平台后下载招标（采购）文件。</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方式：在线下载。</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售价：免费 。</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请有意参加该政府采购项目的供应商登录深圳政府采购智慧(监管)平台后下载招标（采购文件）：凡已注册的深圳市网上政府采购供应商，按照授予的操作权限，可于</w:t>
      </w:r>
      <w:r>
        <w:rPr>
          <w:rFonts w:ascii="宋体" w:eastAsia="宋体" w:hAnsi="宋体" w:cs="宋体" w:hint="eastAsia"/>
          <w:b/>
          <w:bCs/>
          <w:color w:val="000000" w:themeColor="text1"/>
          <w:kern w:val="0"/>
          <w:sz w:val="21"/>
          <w:szCs w:val="21"/>
          <w:u w:val="single"/>
          <w:lang w:val="en-US" w:eastAsia="zh-CN"/>
          <w14:textFill>
            <w14:solidFill>
              <w14:schemeClr w14:val="tx1"/>
            </w14:solidFill>
          </w14:textFill>
        </w:rPr>
        <w:t>自本公告发布之日起至2025年12月30日8:30</w:t>
      </w:r>
      <w:r>
        <w:rPr>
          <w:rFonts w:ascii="宋体" w:eastAsia="宋体" w:hAnsi="宋体" w:cs="宋体" w:hint="eastAsia"/>
          <w:color w:val="000000" w:themeColor="text1"/>
          <w:kern w:val="0"/>
          <w:sz w:val="21"/>
          <w:szCs w:val="21"/>
          <w:lang w:val="en-US" w:eastAsia="zh-CN"/>
          <w14:textFill>
            <w14:solidFill>
              <w14:schemeClr w14:val="tx1"/>
            </w14:solidFill>
          </w14:textFill>
        </w:rPr>
        <w:t>期间登录深圳政府采购智慧（监管）平台（http://zfcg.szggzy.com:8081/）下载本项目的采购文件。投标人如确定参加投标，首先要在深圳政府采购智慧(监管)平台网上办事子系统（http://zfcg.szggzy.com:8081/TPBidder/memberLogin）网上报名投标，方法为在网上办事子系统后点击“【招标公告】→【我要报名】”；如果网上报名后上传了投标文件，又不参加投标，应再到【我的项目】→【项目流程】→【递交投标(应答)文件】功能点中进行“【撤回本次投标】”操作；如果是未注册为深圳政府采购智慧(监管)平台（http://zfcg.szggzy.com:8081/）的供应商，请先办理密钥（</w:t>
      </w:r>
      <w:r>
        <w:rPr>
          <w:rFonts w:ascii="宋体" w:eastAsia="宋体" w:hAnsi="宋体" w:cs="宋体" w:hint="eastAsia"/>
          <w:color w:val="000000" w:themeColor="text1"/>
          <w:kern w:val="0"/>
          <w:sz w:val="21"/>
          <w:szCs w:val="21"/>
          <w:u w:val="single"/>
          <w:lang w:val="en-US" w:eastAsia="zh-CN"/>
          <w14:textFill>
            <w14:solidFill>
              <w14:schemeClr w14:val="tx1"/>
            </w14:solidFill>
          </w14:textFill>
        </w:rPr>
        <w:fldChar w:fldCharType="begin"/>
      </w:r>
      <w:r>
        <w:rPr>
          <w:rFonts w:ascii="宋体" w:eastAsia="宋体" w:hAnsi="宋体" w:cs="宋体" w:hint="eastAsia"/>
          <w:color w:val="000000" w:themeColor="text1"/>
          <w:kern w:val="0"/>
          <w:sz w:val="21"/>
          <w:szCs w:val="21"/>
          <w:u w:val="single"/>
          <w:lang w:val="en-US" w:eastAsia="zh-CN"/>
          <w14:textFill>
            <w14:solidFill>
              <w14:schemeClr w14:val="tx1"/>
            </w14:solidFill>
          </w14:textFill>
        </w:rPr>
        <w:instrText xml:space="preserve"> HYPERLINK "http://zfcg.szggzy.com:8081/TPBidder/CAHandle" </w:instrText>
      </w:r>
      <w:r>
        <w:rPr>
          <w:rFonts w:ascii="宋体" w:eastAsia="宋体" w:hAnsi="宋体" w:cs="宋体" w:hint="eastAsia"/>
          <w:color w:val="000000" w:themeColor="text1"/>
          <w:kern w:val="0"/>
          <w:sz w:val="21"/>
          <w:szCs w:val="21"/>
          <w:u w:val="single"/>
          <w:lang w:val="en-US" w:eastAsia="zh-CN"/>
          <w14:textFill>
            <w14:solidFill>
              <w14:schemeClr w14:val="tx1"/>
            </w14:solidFill>
          </w14:textFill>
        </w:rPr>
        <w:fldChar w:fldCharType="separate"/>
      </w:r>
      <w:r>
        <w:rPr>
          <w:rStyle w:val="Hyperlink"/>
          <w:rFonts w:ascii="宋体" w:eastAsia="宋体" w:hAnsi="宋体" w:cs="宋体" w:hint="eastAsia"/>
          <w:color w:val="000000" w:themeColor="text1"/>
          <w:sz w:val="21"/>
          <w:szCs w:val="21"/>
          <w:u w:val="single"/>
          <w14:textFill>
            <w14:solidFill>
              <w14:schemeClr w14:val="tx1"/>
            </w14:solidFill>
          </w14:textFill>
        </w:rPr>
        <w:t>请点击</w:t>
      </w:r>
      <w:r>
        <w:rPr>
          <w:rFonts w:ascii="宋体" w:eastAsia="宋体" w:hAnsi="宋体" w:cs="宋体" w:hint="eastAsia"/>
          <w:color w:val="000000" w:themeColor="text1"/>
          <w:kern w:val="0"/>
          <w:sz w:val="21"/>
          <w:szCs w:val="21"/>
          <w:u w:val="single"/>
          <w:lang w:val="en-US" w:eastAsia="zh-CN"/>
          <w14:textFill>
            <w14:solidFill>
              <w14:schemeClr w14:val="tx1"/>
            </w14:solidFill>
          </w14:textFill>
        </w:rPr>
        <w:fldChar w:fldCharType="end"/>
      </w:r>
      <w:r>
        <w:rPr>
          <w:rFonts w:ascii="宋体" w:eastAsia="宋体" w:hAnsi="宋体" w:cs="宋体" w:hint="eastAsia"/>
          <w:color w:val="000000" w:themeColor="text1"/>
          <w:kern w:val="0"/>
          <w:sz w:val="21"/>
          <w:szCs w:val="21"/>
          <w:lang w:val="en-US" w:eastAsia="zh-CN"/>
          <w14:textFill>
            <w14:solidFill>
              <w14:schemeClr w14:val="tx1"/>
            </w14:solidFill>
          </w14:textFill>
        </w:rPr>
        <w:t>），深圳市南山区沙河西路3185号南山智谷A座（深圳交易集团总部大楼）3楼前台（咨询电话：0755-83948165、0755-83938966、020-89524338）绑定深圳政府采购智慧(监管)平台用户,再进行投标报名。在网上报名后，点击“【我的项目】→【项目流程】→【采购文件下载】”进行采购文件的下载。</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b/>
          <w:bCs/>
          <w:color w:val="000000" w:themeColor="text1"/>
          <w:kern w:val="0"/>
          <w:sz w:val="21"/>
          <w:szCs w:val="21"/>
          <w:lang w:val="en-US" w:eastAsia="zh-CN"/>
          <w14:textFill>
            <w14:solidFill>
              <w14:schemeClr w14:val="tx1"/>
            </w14:solidFill>
          </w14:textFill>
        </w:rPr>
      </w:pPr>
      <w:r>
        <w:rPr>
          <w:rFonts w:ascii="宋体" w:eastAsia="宋体" w:hAnsi="宋体" w:cs="宋体" w:hint="eastAsia"/>
          <w:b/>
          <w:bCs/>
          <w:color w:val="000000" w:themeColor="text1"/>
          <w:kern w:val="0"/>
          <w:sz w:val="21"/>
          <w:szCs w:val="21"/>
          <w:lang w:val="en-US" w:eastAsia="zh-CN"/>
          <w14:textFill>
            <w14:solidFill>
              <w14:schemeClr w14:val="tx1"/>
            </w14:solidFill>
          </w14:textFill>
        </w:rPr>
        <w:t>四、提交投标文件截止时间、开标时间和地点</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1.投标截止时间：所有投标文件应于</w:t>
      </w:r>
      <w:r>
        <w:rPr>
          <w:rFonts w:ascii="宋体" w:eastAsia="宋体" w:hAnsi="宋体" w:cs="宋体" w:hint="eastAsia"/>
          <w:b/>
          <w:bCs/>
          <w:color w:val="000000" w:themeColor="text1"/>
          <w:kern w:val="0"/>
          <w:sz w:val="21"/>
          <w:szCs w:val="21"/>
          <w:u w:val="single"/>
          <w:lang w:val="en-US" w:eastAsia="zh-CN"/>
          <w14:textFill>
            <w14:solidFill>
              <w14:schemeClr w14:val="tx1"/>
            </w14:solidFill>
          </w14:textFill>
        </w:rPr>
        <w:t>2025年12月30日8:30（北京时间）</w:t>
      </w:r>
      <w:r>
        <w:rPr>
          <w:rFonts w:ascii="宋体" w:eastAsia="宋体" w:hAnsi="宋体" w:cs="宋体" w:hint="eastAsia"/>
          <w:color w:val="000000" w:themeColor="text1"/>
          <w:kern w:val="0"/>
          <w:sz w:val="21"/>
          <w:szCs w:val="21"/>
          <w:lang w:val="en-US" w:eastAsia="zh-CN"/>
          <w14:textFill>
            <w14:solidFill>
              <w14:schemeClr w14:val="tx1"/>
            </w14:solidFill>
          </w14:textFill>
        </w:rPr>
        <w:t>之前上传到深圳政府采购智慧(监管)平台（http://zfcg.szggzy.com:8081/）。具体操作为登录“深圳政府采购智慧(监管)平台用户网上办事子系统（http://zfcg.szggzy.com:8081/TPBidder/memberLogin）”，用“【我的项目】→【项目流程】→【递交投标(应答)文件】”功能点上传投标文件。本项目电子投标文件最大容量为100MB，超过此容量的文件将被拒绝。</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2.开标时间和地点：定于</w:t>
      </w:r>
      <w:r>
        <w:rPr>
          <w:rFonts w:ascii="宋体" w:eastAsia="宋体" w:hAnsi="宋体" w:cs="宋体" w:hint="eastAsia"/>
          <w:b/>
          <w:bCs/>
          <w:color w:val="000000" w:themeColor="text1"/>
          <w:kern w:val="0"/>
          <w:sz w:val="21"/>
          <w:szCs w:val="21"/>
          <w:u w:val="single"/>
          <w:lang w:val="en-US" w:eastAsia="zh-CN"/>
          <w14:textFill>
            <w14:solidFill>
              <w14:schemeClr w14:val="tx1"/>
            </w14:solidFill>
          </w14:textFill>
        </w:rPr>
        <w:t>2025年12月30日8:30（北京时间）</w:t>
      </w:r>
      <w:r>
        <w:rPr>
          <w:rFonts w:ascii="宋体" w:eastAsia="宋体" w:hAnsi="宋体" w:cs="宋体" w:hint="eastAsia"/>
          <w:color w:val="000000" w:themeColor="text1"/>
          <w:kern w:val="0"/>
          <w:sz w:val="21"/>
          <w:szCs w:val="21"/>
          <w:lang w:val="en-US" w:eastAsia="zh-CN"/>
          <w14:textFill>
            <w14:solidFill>
              <w14:schemeClr w14:val="tx1"/>
            </w14:solidFill>
          </w14:textFill>
        </w:rPr>
        <w:t>，在</w:t>
      </w:r>
      <w:r>
        <w:rPr>
          <w:rFonts w:ascii="宋体" w:eastAsia="宋体" w:hAnsi="宋体" w:cs="宋体" w:hint="eastAsia"/>
          <w:b/>
          <w:bCs/>
          <w:color w:val="000000" w:themeColor="text1"/>
          <w:kern w:val="0"/>
          <w:sz w:val="21"/>
          <w:szCs w:val="21"/>
          <w:u w:val="single"/>
          <w:lang w:val="en-US" w:eastAsia="zh-CN"/>
          <w14:textFill>
            <w14:solidFill>
              <w14:schemeClr w14:val="tx1"/>
            </w14:solidFill>
          </w14:textFill>
        </w:rPr>
        <w:t>国义招标股份有限公司深圳分公司开（评）标室2（深圳市福田区红荔路1001号银盛大厦11楼）</w:t>
      </w:r>
      <w:r>
        <w:rPr>
          <w:rFonts w:ascii="宋体" w:eastAsia="宋体" w:hAnsi="宋体" w:cs="宋体" w:hint="eastAsia"/>
          <w:color w:val="000000" w:themeColor="text1"/>
          <w:kern w:val="0"/>
          <w:sz w:val="21"/>
          <w:szCs w:val="21"/>
          <w:lang w:val="en-US" w:eastAsia="zh-CN"/>
          <w14:textFill>
            <w14:solidFill>
              <w14:schemeClr w14:val="tx1"/>
            </w14:solidFill>
          </w14:textFill>
        </w:rPr>
        <w:t>公开开标。供应商可以登录“深圳政府采购智慧(监管)平台用户网上办事子系统（http://zfcg.szggzy.com:8081/TPBidder/memberLogin）”，在“【我的项目】→【项目流程】→【开标及解密】”进行在线解密、查询开标情况。</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3.在线解密： 投标人须在开标当日</w:t>
      </w:r>
      <w:r>
        <w:rPr>
          <w:rFonts w:ascii="宋体" w:eastAsia="宋体" w:hAnsi="宋体" w:cs="宋体" w:hint="eastAsia"/>
          <w:b/>
          <w:bCs/>
          <w:color w:val="000000" w:themeColor="text1"/>
          <w:kern w:val="0"/>
          <w:sz w:val="21"/>
          <w:szCs w:val="21"/>
          <w:u w:val="single"/>
          <w:lang w:val="en-US" w:eastAsia="zh-CN"/>
          <w14:textFill>
            <w14:solidFill>
              <w14:schemeClr w14:val="tx1"/>
            </w14:solidFill>
          </w14:textFill>
        </w:rPr>
        <w:t>2025-12-30 8:30 ~ 2025-12-30 9:30</w:t>
      </w:r>
      <w:r>
        <w:rPr>
          <w:rFonts w:ascii="宋体" w:eastAsia="宋体" w:hAnsi="宋体" w:cs="宋体" w:hint="eastAsia"/>
          <w:color w:val="000000" w:themeColor="text1"/>
          <w:kern w:val="0"/>
          <w:sz w:val="21"/>
          <w:szCs w:val="21"/>
          <w:lang w:val="en-US" w:eastAsia="zh-CN"/>
          <w14:textFill>
            <w14:solidFill>
              <w14:schemeClr w14:val="tx1"/>
            </w14:solidFill>
          </w14:textFill>
        </w:rPr>
        <w:t>期间进行解密，逾期未解密的作无效处理。解密方法：登录“深圳政府采购智慧(监管)平台用户网上办事子系统（http://zfcg.szggzy.com:8081/TPBidder/memberLogin）”，使用本单位制作电子投标文件同一个电子密钥，在“【我的项目】→【项目流程】→【开标及解密】”进行在线解密、查询开标情况。</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4.投标提醒</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请各供应商在投标前根据《深圳市财政局关于在采购文件及深圳政府采购智慧平台增设供应商投标投标警示条款等事宜的通知》要求，核实自身是否存在特别警示条款中，关于供应商参与投标禁止的情形。</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5.其他说明</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本项目不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重要提示：（1）使用电子营业执照功能时，请确保已经在手机微信安装 “电子营业执照”小程序，或已安装了“电子营业执照”APP，并且在 “电子营业执照”小程序/app中完成相应的下载电子营业执照、法人授权、备份密钥等操作（具体详见国家市场监督管理总局），电子投标地区必须选择 “广东省-深圳市-深圳政府采购智慧平台”（请根据手机小程序/app提示进行设置，或拨打电子营业执照平台技术支持电话010-86355313，15921122750）。（2）电子营业执照应用于投标文件制作和加解密属于创新应用场景，如不熟悉操作可能导致错过投标截止时间，系统已提供加密、测试解密和撤回重新上传的功能，各投标人须预留充足时间，提前制作和加密上传投标文件。（3）已办理数字证书（电子密钥）的用户，可以继续使用数字证书完成投标活动。未申请电子营业执照或无法通过电子营业执照完成投标文件制作和加解密的用户，必须使用电子密钥进行投标文件制作和加解密，咨询电话0755-83948165，020-89524338（CA办理指引详见链接</w:t>
      </w:r>
      <w:r>
        <w:rPr>
          <w:rFonts w:ascii="宋体" w:eastAsia="宋体" w:hAnsi="宋体" w:cs="宋体" w:hint="eastAsia"/>
          <w:color w:val="000000" w:themeColor="text1"/>
          <w:kern w:val="0"/>
          <w:sz w:val="21"/>
          <w:szCs w:val="21"/>
          <w:lang w:val="en-US" w:eastAsia="zh-CN"/>
          <w14:textFill>
            <w14:solidFill>
              <w14:schemeClr w14:val="tx1"/>
            </w14:solidFill>
          </w14:textFill>
        </w:rPr>
        <w:fldChar w:fldCharType="begin"/>
      </w:r>
      <w:r>
        <w:rPr>
          <w:rFonts w:ascii="宋体" w:eastAsia="宋体" w:hAnsi="宋体" w:cs="宋体" w:hint="eastAsia"/>
          <w:color w:val="000000" w:themeColor="text1"/>
          <w:kern w:val="0"/>
          <w:sz w:val="21"/>
          <w:szCs w:val="21"/>
          <w:lang w:val="en-US" w:eastAsia="zh-CN"/>
          <w14:textFill>
            <w14:solidFill>
              <w14:schemeClr w14:val="tx1"/>
            </w14:solidFill>
          </w14:textFill>
        </w:rPr>
        <w:instrText xml:space="preserve"> HYPERLINK "https://www.szggzy.com/calock/caLock.html）。" </w:instrText>
      </w:r>
      <w:r>
        <w:rPr>
          <w:rFonts w:ascii="宋体" w:eastAsia="宋体" w:hAnsi="宋体" w:cs="宋体" w:hint="eastAsia"/>
          <w:color w:val="000000" w:themeColor="text1"/>
          <w:kern w:val="0"/>
          <w:sz w:val="21"/>
          <w:szCs w:val="21"/>
          <w:lang w:val="en-US" w:eastAsia="zh-CN"/>
          <w14:textFill>
            <w14:solidFill>
              <w14:schemeClr w14:val="tx1"/>
            </w14:solidFill>
          </w14:textFill>
        </w:rPr>
        <w:fldChar w:fldCharType="separate"/>
      </w:r>
      <w:r>
        <w:rPr>
          <w:rStyle w:val="Hyperlink"/>
          <w:rFonts w:ascii="宋体" w:eastAsia="宋体" w:hAnsi="宋体" w:cs="宋体" w:hint="eastAsia"/>
          <w:color w:val="000000" w:themeColor="text1"/>
          <w:kern w:val="0"/>
          <w:sz w:val="21"/>
          <w:szCs w:val="21"/>
          <w:lang w:val="en-US" w:eastAsia="zh-CN"/>
          <w14:textFill>
            <w14:solidFill>
              <w14:schemeClr w14:val="tx1"/>
            </w14:solidFill>
          </w14:textFill>
        </w:rPr>
        <w:t>https://www.szggzy.com/calock/caLock.html）。</w:t>
      </w:r>
      <w:r>
        <w:rPr>
          <w:rFonts w:ascii="宋体" w:eastAsia="宋体" w:hAnsi="宋体" w:cs="宋体" w:hint="eastAsia"/>
          <w:color w:val="000000" w:themeColor="text1"/>
          <w:kern w:val="0"/>
          <w:sz w:val="21"/>
          <w:szCs w:val="21"/>
          <w:lang w:val="en-US" w:eastAsia="zh-CN"/>
          <w14:textFill>
            <w14:solidFill>
              <w14:schemeClr w14:val="tx1"/>
            </w14:solidFill>
          </w14:textFill>
        </w:rPr>
        <w:fldChar w:fldCharType="end"/>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b/>
          <w:bCs/>
          <w:color w:val="000000" w:themeColor="text1"/>
          <w:kern w:val="0"/>
          <w:sz w:val="21"/>
          <w:szCs w:val="21"/>
          <w:lang w:val="en-US" w:eastAsia="zh-CN"/>
          <w14:textFill>
            <w14:solidFill>
              <w14:schemeClr w14:val="tx1"/>
            </w14:solidFill>
          </w14:textFill>
        </w:rPr>
      </w:pPr>
      <w:r>
        <w:rPr>
          <w:rFonts w:ascii="宋体" w:eastAsia="宋体" w:hAnsi="宋体" w:cs="宋体" w:hint="eastAsia"/>
          <w:b/>
          <w:bCs/>
          <w:color w:val="000000" w:themeColor="text1"/>
          <w:kern w:val="0"/>
          <w:sz w:val="21"/>
          <w:szCs w:val="21"/>
          <w:lang w:val="en-US" w:eastAsia="zh-CN"/>
          <w14:textFill>
            <w14:solidFill>
              <w14:schemeClr w14:val="tx1"/>
            </w14:solidFill>
          </w14:textFill>
        </w:rPr>
        <w:t>五、公告期限</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自本公告发布之日起5个工作日。</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b/>
          <w:bCs/>
          <w:color w:val="000000" w:themeColor="text1"/>
          <w:kern w:val="0"/>
          <w:sz w:val="21"/>
          <w:szCs w:val="21"/>
          <w:lang w:val="en-US" w:eastAsia="zh-CN"/>
          <w14:textFill>
            <w14:solidFill>
              <w14:schemeClr w14:val="tx1"/>
            </w14:solidFill>
          </w14:textFill>
        </w:rPr>
      </w:pPr>
      <w:r>
        <w:rPr>
          <w:rFonts w:ascii="宋体" w:eastAsia="宋体" w:hAnsi="宋体" w:cs="宋体" w:hint="eastAsia"/>
          <w:b/>
          <w:bCs/>
          <w:color w:val="000000" w:themeColor="text1"/>
          <w:kern w:val="0"/>
          <w:sz w:val="21"/>
          <w:szCs w:val="21"/>
          <w:lang w:val="en-US" w:eastAsia="zh-CN"/>
          <w14:textFill>
            <w14:solidFill>
              <w14:schemeClr w14:val="tx1"/>
            </w14:solidFill>
          </w14:textFill>
        </w:rPr>
        <w:t>六、其他补充事宜</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1.本项目实行网上投标，采用电子投标文件。</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2.报名操作：投标人如确定参加投标，首先要在深圳政府采购网上报名投标，方法为登录深圳政府采购智慧(监管)平台 （http://zfcg.szggzy.com:8081/）网后点击“招标公告”选中要报名标段点击“我要报名”或“待办→邀请提醒”；如果网上报名后上传了投标文件，又不参加投标，应再到【我的项目】→【项目流程】→【递交投标(应答)文件】→【上传投标文件】功能点中进行“撤标”操作；如果是未注册为深圳政府采购的供应商，请访问深圳公共资源交易中心（统一用户中心 https://trade.szggzy.com/ggzy/center/#/login）,先办理注册手续（注册咨询：0755-36568999）,再进行投标报名。在网上报名后，点击“我的项目→项目流程”中进行招标文件的下载。</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3.开标操作：投标人可以登录“深圳政府采购智慧(监管)平台 （http://zfcg.szggzy.com:8081/）网站”，在系统登录首页面即可查看开标情况。</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4.投标操作：具体操作为登录“深圳政府采购智慧(监管)平台 （http://zfcg.szggzy.com:8081/） 网站”，用“我的项目→项目流程→递交投标(应答)文件→上传投标文件”功能点上传投标文件。本项目电子投标文件最大容量为100MB，超过此容量的文件将被拒绝。</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5.采购文件澄清/修改事项：</w:t>
      </w:r>
      <w:r>
        <w:rPr>
          <w:rFonts w:ascii="宋体" w:eastAsia="宋体" w:hAnsi="宋体" w:cs="宋体" w:hint="eastAsia"/>
          <w:b/>
          <w:bCs/>
          <w:color w:val="000000" w:themeColor="text1"/>
          <w:kern w:val="0"/>
          <w:sz w:val="21"/>
          <w:szCs w:val="21"/>
          <w:u w:val="single"/>
          <w:lang w:val="en-US" w:eastAsia="zh-CN"/>
          <w14:textFill>
            <w14:solidFill>
              <w14:schemeClr w14:val="tx1"/>
            </w14:solidFill>
          </w14:textFill>
        </w:rPr>
        <w:t>2025年12月24日17:00（北京时间）</w:t>
      </w:r>
      <w:r>
        <w:rPr>
          <w:rFonts w:ascii="宋体" w:eastAsia="宋体" w:hAnsi="宋体" w:cs="宋体" w:hint="eastAsia"/>
          <w:color w:val="000000" w:themeColor="text1"/>
          <w:kern w:val="0"/>
          <w:sz w:val="21"/>
          <w:szCs w:val="21"/>
          <w:lang w:val="en-US" w:eastAsia="zh-CN"/>
          <w14:textFill>
            <w14:solidFill>
              <w14:schemeClr w14:val="tx1"/>
            </w14:solidFill>
          </w14:textFill>
        </w:rPr>
        <w:t>前，供应商如果认为采购文件存在不明确、不清晰和前后不一致等问题，可登录深圳政府采购智慧(监管)平台（http://zfcg.szggzy.com:8081/）→“深圳政府采购智慧(监管)平台用户网上办事子系统（http://zfcg.szggzy.com:8081/TPBidder/memberLogin）”，在“【我的项目】→【项目流程】→【提问】”功能点中填写需澄清内容。</w:t>
      </w:r>
      <w:r>
        <w:rPr>
          <w:rFonts w:ascii="宋体" w:eastAsia="宋体" w:hAnsi="宋体" w:cs="宋体" w:hint="eastAsia"/>
          <w:b/>
          <w:bCs/>
          <w:color w:val="000000" w:themeColor="text1"/>
          <w:kern w:val="0"/>
          <w:sz w:val="21"/>
          <w:szCs w:val="21"/>
          <w:u w:val="single"/>
          <w:lang w:val="en-US" w:eastAsia="zh-CN"/>
          <w14:textFill>
            <w14:solidFill>
              <w14:schemeClr w14:val="tx1"/>
            </w14:solidFill>
          </w14:textFill>
        </w:rPr>
        <w:t>2025年12月26日17:00（北京时间）</w:t>
      </w:r>
      <w:r>
        <w:rPr>
          <w:rFonts w:ascii="宋体" w:eastAsia="宋体" w:hAnsi="宋体" w:cs="宋体" w:hint="eastAsia"/>
          <w:color w:val="000000" w:themeColor="text1"/>
          <w:kern w:val="0"/>
          <w:sz w:val="21"/>
          <w:szCs w:val="21"/>
          <w:lang w:val="en-US" w:eastAsia="zh-CN"/>
          <w14:textFill>
            <w14:solidFill>
              <w14:schemeClr w14:val="tx1"/>
            </w14:solidFill>
          </w14:textFill>
        </w:rPr>
        <w:t xml:space="preserve">前将采购文件澄清/修改情况在“【我的项目】→【项目流程】→【答疑澄清文件下载】”中公布，望投标人予以关注。 （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请质疑供应商根据深圳公共资源交易中心网页（https://www.szggzy.com/globalSearch/details.html?contentId=1211037）所发布的质疑指引、质疑函模板填写质疑函并提交质疑材料。质疑材料可以采用现场或邮寄方式提交，采用邮寄方式提交的，交邮时间应在本公告发布之日起七个工作日内。质疑材料现场提交、邮寄地址：广州市东风东路726号9楼903室。质疑咨询电话：020-37860713/715（工作/接收时间：8：30-17：00） 。根据《深圳经济特区政府采购条例》第四十二条“供应商投诉的事项应当是经过质疑的事项”的规定，未经正式质疑的，将影响供应商行使向财政部门提起投诉的权利。） </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6.深圳政府采购智慧(监管)平台 （http://zfcg.szggzy.com:8081/）有权对投标人就本项目要求提供的相关证明资料（原件）进行审查。供应商提供虚假资料被查实的，则可能面临被取消本项目中标资格、列入不良行为记录名单和三年内禁止参与深圳市政府采购活动的风险。 本招标公告及本项目招标文件所涉及的时间一律为北京时间。投标人有义务在招标活动期间浏览深圳政府采购智慧(监管)平台 （http://zfcg.szggzy.com:8081/）,在深圳政府采购智慧(监管)平台 （http://zfcg.szggzy.com:8081/）网上公布的与本次招标项目有关的信息视为已送达各投标人。</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7.本项目不需要投标保证金。</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000000" w:themeColor="text1"/>
          <w:kern w:val="0"/>
          <w:sz w:val="21"/>
          <w:szCs w:val="21"/>
          <w:lang w:val="en-US" w:eastAsia="zh-CN"/>
          <w14:textFill>
            <w14:solidFill>
              <w14:schemeClr w14:val="tx1"/>
            </w14:solidFill>
          </w14:textFill>
        </w:rPr>
      </w:pPr>
      <w:r>
        <w:rPr>
          <w:rFonts w:ascii="宋体" w:eastAsia="宋体" w:hAnsi="宋体" w:cs="宋体" w:hint="eastAsia"/>
          <w:color w:val="000000" w:themeColor="text1"/>
          <w:kern w:val="0"/>
          <w:sz w:val="21"/>
          <w:szCs w:val="21"/>
          <w:lang w:val="en-US" w:eastAsia="zh-CN"/>
          <w14:textFill>
            <w14:solidFill>
              <w14:schemeClr w14:val="tx1"/>
            </w14:solidFill>
          </w14:textFill>
        </w:rPr>
        <w:t>8.项目中标(成交)供应商可凭借中标通知书和采购合同向金融机构申请政府采购订单融资，详情可登录深圳要素交易金融服务平台https://finance.szexgrp.com/gtm/web/guarantee/#/（或从【深圳政府采购智慧平台】点击【金服平台】），咨询电话0755-36568999转8或拨打0755-88653331。</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七、对本次采购提出询问，请按以下方式联系</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1.采购人信息</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名称：深圳市人民医院</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地址：深圳市罗湖区东门北路1017号</w:t>
      </w:r>
    </w:p>
    <w:p>
      <w:pPr>
        <w:widowControl/>
        <w:ind w:firstLine="420" w:firstLineChars="200"/>
        <w:jc w:val="left"/>
        <w:rPr>
          <w:rFonts w:ascii="宋体" w:hAnsi="宋体" w:cs="宋体" w:hint="eastAsia"/>
          <w:kern w:val="0"/>
          <w:szCs w:val="21"/>
          <w:highlight w:val="none"/>
        </w:rPr>
      </w:pPr>
      <w:r>
        <w:rPr>
          <w:rFonts w:ascii="宋体" w:hAnsi="宋体" w:cs="宋体" w:hint="eastAsia"/>
          <w:kern w:val="0"/>
          <w:szCs w:val="21"/>
          <w:highlight w:val="none"/>
        </w:rPr>
        <w:t>联系人：</w:t>
      </w:r>
      <w:r>
        <w:rPr>
          <w:rFonts w:ascii="宋体" w:hAnsi="宋体" w:cs="宋体" w:hint="eastAsia"/>
          <w:kern w:val="0"/>
          <w:szCs w:val="21"/>
          <w:highlight w:val="none"/>
          <w:lang w:val="en-US" w:eastAsia="zh-CN"/>
        </w:rPr>
        <w:t>赖工</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联系方式：</w:t>
      </w:r>
      <w:r>
        <w:rPr>
          <w:rFonts w:ascii="宋体" w:hAnsi="宋体" w:cs="宋体" w:hint="eastAsia"/>
          <w:kern w:val="0"/>
          <w:szCs w:val="21"/>
          <w:highlight w:val="none"/>
        </w:rPr>
        <w:t>0755-22943766</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2.采购代理机构</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名称：国义招标股份有限公司</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地址：深圳市福田区华强北街道通新岭社区红荔路1001号银盛大厦1101-1105</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联系方式：</w:t>
      </w:r>
      <w:r>
        <w:rPr>
          <w:rFonts w:ascii="宋体" w:eastAsia="宋体" w:hAnsi="宋体" w:cs="宋体" w:hint="eastAsia"/>
          <w:kern w:val="0"/>
          <w:szCs w:val="21"/>
          <w:highlight w:val="none"/>
        </w:rPr>
        <w:t>0755-82337260</w:t>
      </w:r>
      <w:r>
        <w:rPr>
          <w:rFonts w:ascii="宋体" w:hAnsi="宋体" w:cs="宋体" w:hint="eastAsia"/>
          <w:kern w:val="0"/>
          <w:szCs w:val="21"/>
          <w:highlight w:val="none"/>
          <w:lang w:val="en-US" w:eastAsia="zh-CN"/>
        </w:rPr>
        <w:t>/</w:t>
      </w:r>
      <w:r>
        <w:rPr>
          <w:rFonts w:ascii="宋体" w:eastAsia="宋体" w:hAnsi="宋体" w:cs="宋体" w:hint="eastAsia"/>
          <w:kern w:val="0"/>
          <w:szCs w:val="21"/>
          <w:highlight w:val="none"/>
        </w:rPr>
        <w:t>82322565/</w:t>
      </w:r>
      <w:r>
        <w:rPr>
          <w:rFonts w:ascii="宋体" w:hAnsi="宋体" w:cs="宋体" w:hint="eastAsia"/>
          <w:kern w:val="0"/>
          <w:szCs w:val="21"/>
          <w:highlight w:val="none"/>
          <w:lang w:val="en-US" w:eastAsia="zh-CN"/>
        </w:rPr>
        <w:t>8233</w:t>
      </w:r>
      <w:r>
        <w:rPr>
          <w:rFonts w:ascii="宋体" w:eastAsia="宋体" w:hAnsi="宋体" w:cs="宋体" w:hint="eastAsia"/>
          <w:kern w:val="0"/>
          <w:szCs w:val="21"/>
          <w:highlight w:val="none"/>
        </w:rPr>
        <w:t>9856</w:t>
      </w:r>
      <w:r>
        <w:rPr>
          <w:rFonts w:ascii="宋体" w:hAnsi="宋体" w:cs="宋体" w:hint="eastAsia"/>
          <w:kern w:val="0"/>
          <w:szCs w:val="21"/>
          <w:highlight w:val="none"/>
          <w:lang w:val="en-US" w:eastAsia="zh-CN"/>
        </w:rPr>
        <w:t>/82320150</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3.项目联系方式</w:t>
      </w:r>
    </w:p>
    <w:p>
      <w:pPr>
        <w:widowControl/>
        <w:ind w:firstLine="420" w:firstLineChars="200"/>
        <w:jc w:val="left"/>
        <w:rPr>
          <w:rFonts w:ascii="宋体" w:eastAsia="宋体" w:hAnsi="宋体" w:cs="宋体" w:hint="default"/>
          <w:kern w:val="0"/>
          <w:szCs w:val="21"/>
          <w:highlight w:val="none"/>
          <w:lang w:val="en-US" w:eastAsia="zh-CN"/>
        </w:rPr>
      </w:pPr>
      <w:r>
        <w:rPr>
          <w:rFonts w:ascii="宋体" w:hAnsi="宋体" w:cs="宋体" w:hint="eastAsia"/>
          <w:kern w:val="0"/>
          <w:szCs w:val="21"/>
          <w:highlight w:val="none"/>
        </w:rPr>
        <w:t>项目联系人：</w:t>
      </w:r>
      <w:r>
        <w:rPr>
          <w:rFonts w:ascii="宋体" w:eastAsia="宋体" w:hAnsi="宋体" w:cs="宋体" w:hint="eastAsia"/>
          <w:kern w:val="0"/>
          <w:szCs w:val="21"/>
          <w:highlight w:val="none"/>
        </w:rPr>
        <w:t>谢宁多、</w:t>
      </w:r>
      <w:r>
        <w:rPr>
          <w:rFonts w:ascii="宋体" w:eastAsia="宋体" w:hAnsi="宋体" w:cs="宋体" w:hint="eastAsia"/>
          <w:kern w:val="0"/>
          <w:szCs w:val="21"/>
          <w:highlight w:val="none"/>
          <w:lang w:val="en-US" w:eastAsia="zh-CN"/>
        </w:rPr>
        <w:t>方煜仪</w:t>
      </w:r>
      <w:r>
        <w:rPr>
          <w:rFonts w:ascii="宋体" w:eastAsia="宋体" w:hAnsi="宋体" w:cs="宋体" w:hint="eastAsia"/>
          <w:kern w:val="0"/>
          <w:szCs w:val="21"/>
          <w:highlight w:val="none"/>
        </w:rPr>
        <w:t>、</w:t>
      </w:r>
      <w:r>
        <w:rPr>
          <w:rFonts w:ascii="宋体" w:eastAsia="宋体" w:hAnsi="宋体" w:cs="宋体" w:hint="eastAsia"/>
          <w:kern w:val="0"/>
          <w:szCs w:val="21"/>
          <w:highlight w:val="none"/>
          <w:lang w:val="en-US" w:eastAsia="zh-CN"/>
        </w:rPr>
        <w:t>雷嘉婷</w:t>
      </w:r>
      <w:r>
        <w:rPr>
          <w:rFonts w:ascii="宋体" w:hAnsi="宋体" w:cs="宋体" w:hint="eastAsia"/>
          <w:kern w:val="0"/>
          <w:szCs w:val="21"/>
          <w:highlight w:val="none"/>
          <w:lang w:val="en-US" w:eastAsia="zh-CN"/>
        </w:rPr>
        <w:t>、张琪琪</w:t>
      </w:r>
    </w:p>
    <w:p>
      <w:pPr>
        <w:widowControl/>
        <w:ind w:firstLine="420" w:firstLineChars="200"/>
        <w:jc w:val="left"/>
        <w:rPr>
          <w:rFonts w:ascii="宋体" w:eastAsia="宋体" w:hAnsi="宋体" w:cs="宋体" w:hint="default"/>
          <w:kern w:val="0"/>
          <w:szCs w:val="21"/>
          <w:highlight w:val="none"/>
          <w:lang w:val="en-US" w:eastAsia="zh-CN"/>
        </w:rPr>
      </w:pPr>
      <w:r>
        <w:rPr>
          <w:rFonts w:ascii="宋体" w:eastAsia="宋体" w:hAnsi="宋体" w:cs="宋体" w:hint="eastAsia"/>
          <w:kern w:val="0"/>
          <w:szCs w:val="21"/>
          <w:highlight w:val="none"/>
        </w:rPr>
        <w:t>电话：0755-82337260</w:t>
      </w:r>
      <w:r>
        <w:rPr>
          <w:rFonts w:ascii="宋体" w:hAnsi="宋体" w:cs="宋体" w:hint="eastAsia"/>
          <w:kern w:val="0"/>
          <w:szCs w:val="21"/>
          <w:highlight w:val="none"/>
          <w:lang w:val="en-US" w:eastAsia="zh-CN"/>
        </w:rPr>
        <w:t>/</w:t>
      </w:r>
      <w:r>
        <w:rPr>
          <w:rFonts w:ascii="宋体" w:eastAsia="宋体" w:hAnsi="宋体" w:cs="宋体" w:hint="eastAsia"/>
          <w:kern w:val="0"/>
          <w:szCs w:val="21"/>
          <w:highlight w:val="none"/>
        </w:rPr>
        <w:t>82322565/</w:t>
      </w:r>
      <w:r>
        <w:rPr>
          <w:rFonts w:ascii="宋体" w:hAnsi="宋体" w:cs="宋体" w:hint="eastAsia"/>
          <w:kern w:val="0"/>
          <w:szCs w:val="21"/>
          <w:highlight w:val="none"/>
          <w:lang w:val="en-US" w:eastAsia="zh-CN"/>
        </w:rPr>
        <w:t>8233</w:t>
      </w:r>
      <w:r>
        <w:rPr>
          <w:rFonts w:ascii="宋体" w:eastAsia="宋体" w:hAnsi="宋体" w:cs="宋体" w:hint="eastAsia"/>
          <w:kern w:val="0"/>
          <w:szCs w:val="21"/>
          <w:highlight w:val="none"/>
        </w:rPr>
        <w:t>9856</w:t>
      </w:r>
      <w:r>
        <w:rPr>
          <w:rFonts w:ascii="宋体" w:hAnsi="宋体" w:cs="宋体" w:hint="eastAsia"/>
          <w:kern w:val="0"/>
          <w:szCs w:val="21"/>
          <w:highlight w:val="none"/>
          <w:lang w:val="en-US" w:eastAsia="zh-CN"/>
        </w:rPr>
        <w:t>/82320150</w:t>
      </w:r>
    </w:p>
    <w:p>
      <w:pPr>
        <w:widowControl/>
        <w:ind w:firstLine="420" w:firstLineChars="200"/>
        <w:jc w:val="left"/>
        <w:rPr>
          <w:rFonts w:ascii="宋体" w:eastAsia="宋体" w:hAnsi="宋体" w:cs="宋体"/>
          <w:kern w:val="0"/>
          <w:szCs w:val="21"/>
          <w:highlight w:val="none"/>
        </w:rPr>
      </w:pPr>
      <w:r>
        <w:rPr>
          <w:rFonts w:ascii="宋体" w:eastAsia="宋体" w:hAnsi="宋体" w:cs="宋体" w:hint="eastAsia"/>
          <w:kern w:val="0"/>
          <w:szCs w:val="21"/>
          <w:highlight w:val="none"/>
        </w:rPr>
        <w:t>邮编：518028</w:t>
      </w:r>
    </w:p>
    <w:p>
      <w:pPr>
        <w:widowControl/>
        <w:ind w:firstLine="420" w:firstLineChars="200"/>
        <w:jc w:val="left"/>
        <w:rPr>
          <w:rFonts w:ascii="宋体" w:eastAsia="宋体" w:hAnsi="宋体" w:cs="宋体" w:hint="eastAsia"/>
          <w:kern w:val="0"/>
          <w:szCs w:val="21"/>
          <w:highlight w:val="none"/>
        </w:rPr>
      </w:pPr>
      <w:r>
        <w:rPr>
          <w:rFonts w:ascii="宋体" w:eastAsia="宋体" w:hAnsi="宋体" w:cs="宋体" w:hint="eastAsia"/>
          <w:kern w:val="0"/>
          <w:szCs w:val="21"/>
          <w:highlight w:val="none"/>
        </w:rPr>
        <w:t>邮箱：</w:t>
      </w:r>
      <w:r>
        <w:rPr>
          <w:rFonts w:ascii="宋体" w:eastAsia="宋体" w:hAnsi="宋体" w:cs="宋体" w:hint="eastAsia"/>
          <w:kern w:val="0"/>
          <w:szCs w:val="21"/>
          <w:highlight w:val="none"/>
        </w:rPr>
        <w:fldChar w:fldCharType="begin"/>
      </w:r>
      <w:r>
        <w:rPr>
          <w:rFonts w:ascii="宋体" w:eastAsia="宋体" w:hAnsi="宋体" w:cs="宋体" w:hint="eastAsia"/>
          <w:kern w:val="0"/>
          <w:szCs w:val="21"/>
          <w:highlight w:val="none"/>
        </w:rPr>
        <w:instrText xml:space="preserve"> HYPERLINK "mailto:zhoujunnan@ebidding.com" </w:instrText>
      </w:r>
      <w:r>
        <w:rPr>
          <w:rFonts w:ascii="宋体" w:eastAsia="宋体" w:hAnsi="宋体" w:cs="宋体" w:hint="eastAsia"/>
          <w:kern w:val="0"/>
          <w:szCs w:val="21"/>
          <w:highlight w:val="none"/>
        </w:rPr>
        <w:fldChar w:fldCharType="separate"/>
      </w:r>
      <w:r>
        <w:rPr>
          <w:rFonts w:ascii="宋体" w:eastAsia="宋体" w:hAnsi="宋体" w:cs="宋体" w:hint="eastAsia"/>
          <w:kern w:val="0"/>
          <w:szCs w:val="21"/>
          <w:highlight w:val="none"/>
          <w:lang w:val="en-US" w:eastAsia="zh-CN"/>
        </w:rPr>
        <w:t>xieningduo</w:t>
      </w:r>
      <w:r>
        <w:rPr>
          <w:rFonts w:ascii="宋体" w:eastAsia="宋体" w:hAnsi="宋体" w:cs="宋体" w:hint="eastAsia"/>
          <w:kern w:val="0"/>
          <w:szCs w:val="21"/>
          <w:highlight w:val="none"/>
        </w:rPr>
        <w:t>@ebidding.com</w:t>
      </w:r>
      <w:r>
        <w:rPr>
          <w:rFonts w:ascii="宋体" w:eastAsia="宋体" w:hAnsi="宋体" w:cs="宋体" w:hint="eastAsia"/>
          <w:kern w:val="0"/>
          <w:szCs w:val="21"/>
          <w:highlight w:val="none"/>
        </w:rPr>
        <w:fldChar w:fldCharType="end"/>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 xml:space="preserve"> </w:t>
      </w:r>
    </w:p>
    <w:p>
      <w:pPr>
        <w:widowControl/>
        <w:ind w:left="0" w:firstLine="420" w:leftChars="0" w:firstLineChars="200"/>
        <w:jc w:val="right"/>
        <w:rPr>
          <w:rFonts w:ascii="宋体" w:hAnsi="宋体" w:cs="宋体" w:hint="eastAsia"/>
          <w:szCs w:val="21"/>
          <w:highlight w:val="none"/>
        </w:rPr>
      </w:pPr>
      <w:r>
        <w:rPr>
          <w:rFonts w:ascii="宋体" w:hAnsi="宋体" w:cs="宋体" w:hint="eastAsia"/>
          <w:szCs w:val="21"/>
          <w:highlight w:val="none"/>
        </w:rPr>
        <w:t>国义招标股份有限公司</w:t>
      </w:r>
    </w:p>
    <w:p>
      <w:pPr>
        <w:ind w:firstLine="420" w:firstLineChars="200"/>
        <w:jc w:val="right"/>
        <w:rPr>
          <w:rFonts w:ascii="宋体" w:hAnsi="宋体" w:cs="宋体" w:hint="eastAsia"/>
          <w:szCs w:val="21"/>
          <w:highlight w:val="none"/>
        </w:rPr>
      </w:pPr>
      <w:r>
        <w:rPr>
          <w:rFonts w:ascii="宋体" w:hAnsi="宋体" w:cs="宋体" w:hint="eastAsia"/>
          <w:szCs w:val="21"/>
          <w:highlight w:val="none"/>
        </w:rPr>
        <w:t>202</w:t>
      </w:r>
      <w:r>
        <w:rPr>
          <w:rFonts w:ascii="宋体" w:hAnsi="宋体" w:cs="宋体" w:hint="eastAsia"/>
          <w:szCs w:val="21"/>
          <w:highlight w:val="none"/>
          <w:lang w:val="en-US" w:eastAsia="zh-CN"/>
        </w:rPr>
        <w:t>5</w:t>
      </w:r>
      <w:r>
        <w:rPr>
          <w:rFonts w:ascii="宋体" w:hAnsi="宋体" w:cs="宋体" w:hint="eastAsia"/>
          <w:szCs w:val="21"/>
          <w:highlight w:val="none"/>
        </w:rPr>
        <w:t>年</w:t>
      </w:r>
      <w:r>
        <w:rPr>
          <w:rFonts w:ascii="宋体" w:hAnsi="宋体" w:cs="宋体" w:hint="eastAsia"/>
          <w:szCs w:val="21"/>
          <w:highlight w:val="none"/>
          <w:lang w:val="en-US" w:eastAsia="zh-CN"/>
        </w:rPr>
        <w:t>12</w:t>
      </w:r>
      <w:r>
        <w:rPr>
          <w:rFonts w:ascii="宋体" w:hAnsi="宋体" w:cs="宋体" w:hint="eastAsia"/>
          <w:szCs w:val="21"/>
          <w:highlight w:val="none"/>
        </w:rPr>
        <w:t>月</w:t>
      </w:r>
      <w:r>
        <w:rPr>
          <w:rFonts w:ascii="宋体" w:hAnsi="宋体" w:cs="宋体" w:hint="eastAsia"/>
          <w:szCs w:val="21"/>
          <w:highlight w:val="none"/>
          <w:lang w:val="en-US" w:eastAsia="zh-CN"/>
        </w:rPr>
        <w:t>18</w:t>
      </w:r>
      <w:r>
        <w:rPr>
          <w:rFonts w:ascii="宋体" w:hAnsi="宋体" w:cs="宋体" w:hint="eastAsia"/>
          <w:szCs w:val="21"/>
          <w:highlight w:val="none"/>
        </w:rPr>
        <w:t>日</w:t>
      </w:r>
    </w:p>
    <w:p>
      <w:pPr>
        <w:ind w:firstLine="420" w:firstLineChars="200"/>
        <w:jc w:val="center"/>
        <w:rPr>
          <w:rFonts w:ascii="宋体" w:hAnsi="宋体" w:cs="宋体"/>
          <w:b w:val="0"/>
          <w:sz w:val="28"/>
          <w:szCs w:val="28"/>
          <w:highlight w:val="none"/>
        </w:rPr>
      </w:pPr>
      <w:r>
        <w:rPr>
          <w:rFonts w:ascii="宋体" w:hAnsi="宋体" w:cs="宋体" w:hint="eastAsia"/>
          <w:kern w:val="0"/>
          <w:szCs w:val="21"/>
          <w:highlight w:val="none"/>
        </w:rPr>
        <w:br w:type="page"/>
      </w:r>
      <w:bookmarkStart w:id="5" w:name="OLE_LINK9"/>
      <w:r>
        <w:rPr>
          <w:rFonts w:ascii="宋体" w:hAnsi="宋体" w:cs="宋体" w:hint="eastAsia"/>
          <w:b/>
          <w:bCs/>
          <w:kern w:val="0"/>
          <w:sz w:val="28"/>
          <w:szCs w:val="28"/>
          <w:highlight w:val="none"/>
        </w:rPr>
        <w:t>第二部分　采购项目内容</w:t>
      </w:r>
    </w:p>
    <w:p>
      <w:pPr>
        <w:pStyle w:val="PlainText"/>
        <w:adjustRightInd w:val="0"/>
        <w:snapToGrid w:val="0"/>
        <w:jc w:val="center"/>
        <w:rPr>
          <w:rFonts w:hAnsi="宋体" w:cs="宋体"/>
          <w:b/>
          <w:highlight w:val="none"/>
        </w:rPr>
      </w:pPr>
      <w:r>
        <w:rPr>
          <w:rFonts w:hAnsi="宋体" w:cs="宋体" w:hint="eastAsia"/>
          <w:b/>
          <w:highlight w:val="none"/>
        </w:rPr>
        <w:t>用户需求书</w:t>
      </w:r>
    </w:p>
    <w:p>
      <w:pPr>
        <w:pStyle w:val="Heading3"/>
        <w:snapToGrid w:val="0"/>
        <w:spacing w:before="0" w:after="0" w:line="240" w:lineRule="auto"/>
        <w:ind w:firstLine="420" w:firstLineChars="200"/>
        <w:rPr>
          <w:rFonts w:ascii="宋体" w:hAnsi="宋体" w:cs="宋体"/>
          <w:b/>
          <w:bCs/>
          <w:color w:val="FF0000"/>
          <w:sz w:val="21"/>
          <w:szCs w:val="21"/>
          <w:highlight w:val="none"/>
        </w:rPr>
      </w:pPr>
      <w:bookmarkStart w:id="6" w:name="OLE_LINK8"/>
      <w:bookmarkStart w:id="7" w:name="OLE_LINK7"/>
      <w:r>
        <w:rPr>
          <w:rFonts w:ascii="宋体" w:hAnsi="宋体" w:cs="宋体" w:hint="eastAsia"/>
          <w:b/>
          <w:bCs/>
          <w:color w:val="FF0000"/>
          <w:sz w:val="21"/>
          <w:szCs w:val="21"/>
          <w:highlight w:val="none"/>
        </w:rPr>
        <w:t>说明：</w:t>
      </w:r>
    </w:p>
    <w:p>
      <w:pPr>
        <w:pStyle w:val="Heading3"/>
        <w:snapToGrid w:val="0"/>
        <w:spacing w:before="0" w:after="0" w:line="240" w:lineRule="auto"/>
        <w:ind w:firstLine="420" w:firstLineChars="200"/>
        <w:rPr>
          <w:rFonts w:ascii="宋体" w:hAnsi="宋体" w:cs="宋体"/>
          <w:b/>
          <w:bCs/>
          <w:sz w:val="21"/>
          <w:szCs w:val="21"/>
          <w:highlight w:val="none"/>
        </w:rPr>
      </w:pPr>
      <w:r>
        <w:rPr>
          <w:rFonts w:ascii="宋体" w:hAnsi="宋体" w:cs="宋体" w:hint="eastAsia"/>
          <w:b/>
          <w:bCs/>
          <w:color w:val="FF0000"/>
          <w:sz w:val="21"/>
          <w:szCs w:val="21"/>
          <w:highlight w:val="none"/>
        </w:rPr>
        <w:t>“★”号条款是关键技术参数，如出现负偏离，将被视为未实质性满足招标文件要求作投标无效处理。所有投标人必须严格按照招标文件的内容进行填写，如不能填写请提供说明。“▲”号条款为评审时的重要技术参数，不作为投标无效条款。如投标人对“▲”号条款有负偏离，评委将重点扣分。</w:t>
      </w:r>
    </w:p>
    <w:p>
      <w:pPr>
        <w:numPr>
          <w:ilvl w:val="0"/>
          <w:numId w:val="4"/>
        </w:numPr>
        <w:snapToGrid w:val="0"/>
        <w:ind w:firstLine="420" w:firstLineChars="200"/>
        <w:rPr>
          <w:rFonts w:ascii="宋体" w:hAnsi="宋体" w:cs="宋体" w:hint="eastAsia"/>
          <w:b/>
          <w:szCs w:val="21"/>
          <w:highlight w:val="none"/>
        </w:rPr>
      </w:pPr>
      <w:bookmarkEnd w:id="6"/>
      <w:bookmarkEnd w:id="7"/>
      <w:r>
        <w:rPr>
          <w:rFonts w:ascii="宋体" w:hAnsi="宋体" w:cs="宋体" w:hint="eastAsia"/>
          <w:b/>
          <w:szCs w:val="21"/>
          <w:highlight w:val="none"/>
        </w:rPr>
        <w:t>采购内容</w:t>
      </w:r>
    </w:p>
    <w:tbl>
      <w:tblPr>
        <w:tblStyle w:val="TableNormal"/>
        <w:tblW w:w="1072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2238"/>
        <w:gridCol w:w="1528"/>
        <w:gridCol w:w="1352"/>
        <w:gridCol w:w="1427"/>
        <w:gridCol w:w="1721"/>
        <w:gridCol w:w="1163"/>
        <w:gridCol w:w="1298"/>
      </w:tblGrid>
      <w:tr>
        <w:tblPrEx>
          <w:tblW w:w="1072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372"/>
          <w:jc w:val="center"/>
        </w:trPr>
        <w:tc>
          <w:tcPr>
            <w:tcW w:w="2238"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hint="default"/>
                <w:b/>
                <w:color w:val="000000" w:themeColor="text1"/>
                <w:kern w:val="0"/>
                <w:szCs w:val="21"/>
                <w:highlight w:val="none"/>
                <w14:textFill>
                  <w14:solidFill>
                    <w14:schemeClr w14:val="tx1"/>
                  </w14:solidFill>
                </w14:textFill>
              </w:rPr>
            </w:pPr>
            <w:r>
              <w:rPr>
                <w:rFonts w:ascii="宋体" w:hAnsi="宋体" w:cs="宋体" w:hint="eastAsia"/>
                <w:b/>
                <w:color w:val="000000" w:themeColor="text1"/>
                <w:kern w:val="0"/>
                <w:szCs w:val="21"/>
                <w:highlight w:val="none"/>
                <w14:textFill>
                  <w14:solidFill>
                    <w14:schemeClr w14:val="tx1"/>
                  </w14:solidFill>
                </w14:textFill>
              </w:rPr>
              <w:t>采购计划编号</w:t>
            </w:r>
          </w:p>
        </w:tc>
        <w:tc>
          <w:tcPr>
            <w:tcW w:w="1528"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eastAsia"/>
                <w:b/>
                <w:bCs/>
                <w:color w:val="000000" w:themeColor="text1"/>
                <w:kern w:val="0"/>
                <w:szCs w:val="21"/>
                <w:highlight w:val="none"/>
                <w14:textFill>
                  <w14:solidFill>
                    <w14:schemeClr w14:val="tx1"/>
                  </w14:solidFill>
                </w14:textFill>
              </w:rPr>
            </w:pPr>
            <w:r>
              <w:rPr>
                <w:rFonts w:ascii="宋体" w:hAnsi="宋体" w:cs="宋体" w:hint="eastAsia"/>
                <w:b/>
                <w:bCs/>
                <w:color w:val="000000" w:themeColor="text1"/>
                <w:kern w:val="0"/>
                <w:szCs w:val="21"/>
                <w:highlight w:val="none"/>
                <w:lang w:val="en-US" w:eastAsia="zh-CN"/>
                <w14:textFill>
                  <w14:solidFill>
                    <w14:schemeClr w14:val="tx1"/>
                  </w14:solidFill>
                </w14:textFill>
              </w:rPr>
              <w:t>服务</w:t>
            </w:r>
            <w:r>
              <w:rPr>
                <w:rFonts w:ascii="宋体" w:hAnsi="宋体" w:cs="宋体" w:hint="eastAsia"/>
                <w:b/>
                <w:bCs/>
                <w:color w:val="000000" w:themeColor="text1"/>
                <w:kern w:val="0"/>
                <w:szCs w:val="21"/>
                <w:highlight w:val="none"/>
                <w14:textFill>
                  <w14:solidFill>
                    <w14:schemeClr w14:val="tx1"/>
                  </w14:solidFill>
                </w14:textFill>
              </w:rPr>
              <w:t>名称</w:t>
            </w:r>
          </w:p>
          <w:p>
            <w:pPr>
              <w:keepNext w:val="0"/>
              <w:keepLines w:val="0"/>
              <w:widowControl/>
              <w:suppressLineNumbers w:val="0"/>
              <w:spacing w:before="0" w:beforeAutospacing="0" w:after="0" w:afterAutospacing="0"/>
              <w:ind w:left="0" w:right="0"/>
              <w:jc w:val="center"/>
              <w:rPr>
                <w:rFonts w:ascii="宋体" w:hAnsi="宋体" w:cs="宋体" w:hint="default"/>
                <w:b/>
                <w:color w:val="000000" w:themeColor="text1"/>
                <w:kern w:val="0"/>
                <w:szCs w:val="21"/>
                <w:highlight w:val="none"/>
                <w14:textFill>
                  <w14:solidFill>
                    <w14:schemeClr w14:val="tx1"/>
                  </w14:solidFill>
                </w14:textFill>
              </w:rPr>
            </w:pPr>
            <w:r>
              <w:rPr>
                <w:rFonts w:ascii="宋体" w:hAnsi="宋体" w:cs="宋体" w:hint="eastAsia"/>
                <w:b/>
                <w:bCs/>
                <w:color w:val="000000" w:themeColor="text1"/>
                <w:kern w:val="0"/>
                <w:szCs w:val="21"/>
                <w:highlight w:val="none"/>
                <w:lang w:eastAsia="zh-CN"/>
                <w14:textFill>
                  <w14:solidFill>
                    <w14:schemeClr w14:val="tx1"/>
                  </w14:solidFill>
                </w14:textFill>
              </w:rPr>
              <w:t>（</w:t>
            </w:r>
            <w:r>
              <w:rPr>
                <w:rFonts w:ascii="宋体" w:hAnsi="宋体" w:cs="宋体" w:hint="eastAsia"/>
                <w:b/>
                <w:bCs/>
                <w:color w:val="000000" w:themeColor="text1"/>
                <w:kern w:val="0"/>
                <w:szCs w:val="21"/>
                <w:highlight w:val="none"/>
                <w:lang w:val="en-US" w:eastAsia="zh-CN"/>
                <w14:textFill>
                  <w14:solidFill>
                    <w14:schemeClr w14:val="tx1"/>
                  </w14:solidFill>
                </w14:textFill>
              </w:rPr>
              <w:t>标的名称</w:t>
            </w:r>
            <w:r>
              <w:rPr>
                <w:rFonts w:ascii="宋体" w:hAnsi="宋体" w:cs="宋体" w:hint="eastAsia"/>
                <w:b/>
                <w:bCs/>
                <w:color w:val="000000" w:themeColor="text1"/>
                <w:kern w:val="0"/>
                <w:szCs w:val="21"/>
                <w:highlight w:val="none"/>
                <w:lang w:eastAsia="zh-CN"/>
                <w14:textFill>
                  <w14:solidFill>
                    <w14:schemeClr w14:val="tx1"/>
                  </w14:solidFill>
                </w14:textFill>
              </w:rPr>
              <w:t>）</w:t>
            </w:r>
          </w:p>
        </w:tc>
        <w:tc>
          <w:tcPr>
            <w:tcW w:w="1352"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hint="default"/>
                <w:b/>
                <w:kern w:val="0"/>
                <w:szCs w:val="21"/>
                <w:highlight w:val="none"/>
                <w:lang w:val="en-US" w:eastAsia="zh-CN"/>
              </w:rPr>
            </w:pPr>
            <w:r>
              <w:rPr>
                <w:rFonts w:ascii="宋体" w:hAnsi="宋体" w:cs="宋体" w:hint="eastAsia"/>
                <w:b/>
                <w:bCs/>
                <w:color w:val="000000" w:themeColor="text1"/>
                <w:kern w:val="0"/>
                <w:szCs w:val="21"/>
                <w:highlight w:val="none"/>
                <w:lang w:val="en-US" w:eastAsia="zh-CN"/>
                <w14:textFill>
                  <w14:solidFill>
                    <w14:schemeClr w14:val="tx1"/>
                  </w14:solidFill>
                </w14:textFill>
              </w:rPr>
              <w:t>服务类型</w:t>
            </w:r>
          </w:p>
        </w:tc>
        <w:tc>
          <w:tcPr>
            <w:tcW w:w="1427"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b/>
                <w:kern w:val="0"/>
                <w:szCs w:val="21"/>
                <w:highlight w:val="none"/>
                <w:lang w:eastAsia="zh-CN"/>
              </w:rPr>
            </w:pPr>
            <w:r>
              <w:rPr>
                <w:rFonts w:ascii="宋体" w:hAnsi="宋体" w:cs="宋体" w:hint="eastAsia"/>
                <w:b/>
                <w:kern w:val="0"/>
                <w:szCs w:val="21"/>
                <w:highlight w:val="none"/>
                <w:lang w:val="en-US" w:eastAsia="zh-CN"/>
              </w:rPr>
              <w:t>单价限价（元）</w:t>
            </w:r>
          </w:p>
        </w:tc>
        <w:tc>
          <w:tcPr>
            <w:tcW w:w="1721"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hint="eastAsia"/>
                <w:b/>
                <w:kern w:val="0"/>
                <w:szCs w:val="21"/>
                <w:highlight w:val="none"/>
              </w:rPr>
            </w:pPr>
            <w:r>
              <w:rPr>
                <w:rFonts w:ascii="宋体" w:hAnsi="宋体" w:cs="宋体" w:hint="eastAsia"/>
                <w:b/>
                <w:kern w:val="0"/>
                <w:szCs w:val="21"/>
                <w:highlight w:val="none"/>
                <w:lang w:val="en-US" w:eastAsia="zh-CN"/>
              </w:rPr>
              <w:t>项目年度</w:t>
            </w:r>
            <w:r>
              <w:rPr>
                <w:rFonts w:ascii="宋体" w:hAnsi="宋体" w:cs="宋体" w:hint="eastAsia"/>
                <w:b/>
                <w:kern w:val="0"/>
                <w:szCs w:val="21"/>
                <w:highlight w:val="none"/>
              </w:rPr>
              <w:t>预算</w:t>
            </w:r>
          </w:p>
          <w:p>
            <w:pPr>
              <w:keepNext w:val="0"/>
              <w:keepLines w:val="0"/>
              <w:widowControl/>
              <w:suppressLineNumbers w:val="0"/>
              <w:adjustRightInd w:val="0"/>
              <w:snapToGrid w:val="0"/>
              <w:spacing w:before="0" w:beforeAutospacing="0" w:after="0" w:afterAutospacing="0"/>
              <w:ind w:left="0" w:right="0"/>
              <w:jc w:val="center"/>
              <w:rPr>
                <w:rFonts w:ascii="宋体" w:hAnsi="宋体" w:cs="宋体" w:hint="default"/>
                <w:b/>
                <w:kern w:val="0"/>
                <w:szCs w:val="21"/>
                <w:highlight w:val="none"/>
              </w:rPr>
            </w:pPr>
            <w:r>
              <w:rPr>
                <w:rFonts w:ascii="宋体" w:hAnsi="宋体" w:cs="宋体" w:hint="eastAsia"/>
                <w:b/>
                <w:kern w:val="0"/>
                <w:szCs w:val="21"/>
                <w:highlight w:val="none"/>
                <w:lang w:val="en-US" w:eastAsia="zh-CN"/>
              </w:rPr>
              <w:t>支付上限</w:t>
            </w:r>
          </w:p>
        </w:tc>
        <w:tc>
          <w:tcPr>
            <w:tcW w:w="1163"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eastAsia="宋体" w:hAnsi="宋体" w:cs="宋体" w:hint="default"/>
                <w:b/>
                <w:kern w:val="0"/>
                <w:szCs w:val="21"/>
                <w:highlight w:val="none"/>
                <w:lang w:val="en-US" w:eastAsia="zh-CN"/>
              </w:rPr>
            </w:pPr>
            <w:r>
              <w:rPr>
                <w:rFonts w:ascii="宋体" w:hAnsi="宋体" w:cs="宋体" w:hint="eastAsia"/>
                <w:b/>
                <w:bCs/>
                <w:kern w:val="0"/>
                <w:szCs w:val="21"/>
                <w:highlight w:val="none"/>
                <w:lang w:val="en-US" w:eastAsia="zh-CN"/>
              </w:rPr>
              <w:t>是否长期服务项目</w:t>
            </w:r>
          </w:p>
        </w:tc>
        <w:tc>
          <w:tcPr>
            <w:tcW w:w="1298"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eastAsia"/>
                <w:b/>
                <w:bCs/>
                <w:kern w:val="0"/>
                <w:szCs w:val="21"/>
                <w:highlight w:val="none"/>
              </w:rPr>
            </w:pPr>
            <w:r>
              <w:rPr>
                <w:rFonts w:ascii="宋体" w:hAnsi="宋体" w:cs="宋体" w:hint="eastAsia"/>
                <w:b/>
                <w:bCs/>
                <w:kern w:val="0"/>
                <w:szCs w:val="21"/>
                <w:highlight w:val="none"/>
              </w:rPr>
              <w:t>备注</w:t>
            </w:r>
          </w:p>
        </w:tc>
      </w:tr>
      <w:tr>
        <w:tblPrEx>
          <w:tblW w:w="10727" w:type="dxa"/>
          <w:jc w:val="center"/>
          <w:tblLayout w:type="fixed"/>
          <w:tblCellMar>
            <w:top w:w="0" w:type="dxa"/>
            <w:left w:w="108" w:type="dxa"/>
            <w:bottom w:w="0" w:type="dxa"/>
            <w:right w:w="108" w:type="dxa"/>
          </w:tblCellMar>
        </w:tblPrEx>
        <w:trPr>
          <w:cantSplit/>
          <w:trHeight w:val="462"/>
          <w:jc w:val="center"/>
        </w:trPr>
        <w:tc>
          <w:tcPr>
            <w:tcW w:w="2238" w:type="dxa"/>
            <w:vMerge w:val="restar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default"/>
                <w:bCs/>
                <w:color w:val="000000" w:themeColor="text1"/>
                <w:kern w:val="0"/>
                <w:szCs w:val="21"/>
                <w:highlight w:val="none"/>
                <w:lang w:eastAsia="zh-CN"/>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PLAN-2025-440300000-118017-15524</w:t>
            </w:r>
          </w:p>
        </w:tc>
        <w:tc>
          <w:tcPr>
            <w:tcW w:w="1528" w:type="dxa"/>
            <w:vMerge w:val="restart"/>
            <w:shd w:val="clear" w:color="auto" w:fill="auto"/>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color w:val="000000" w:themeColor="text1"/>
                <w:kern w:val="0"/>
                <w:szCs w:val="21"/>
                <w:highlight w:val="none"/>
                <w:lang w:eastAsia="zh-CN"/>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免陪照护服务</w:t>
            </w:r>
          </w:p>
        </w:tc>
        <w:tc>
          <w:tcPr>
            <w:tcW w:w="1352" w:type="dxa"/>
            <w:shd w:val="clear" w:color="auto" w:fill="auto"/>
            <w:vAlign w:val="center"/>
          </w:tcPr>
          <w:p>
            <w:pPr>
              <w:keepNext w:val="0"/>
              <w:keepLines w:val="0"/>
              <w:pageBreakBefore w:val="0"/>
              <w:widowControl w:val="0"/>
              <w:tabs>
                <w:tab w:val="left" w:pos="424"/>
              </w:tabs>
              <w:kinsoku/>
              <w:wordWrap/>
              <w:overflowPunct/>
              <w:topLinePunct w:val="0"/>
              <w:autoSpaceDE/>
              <w:autoSpaceDN/>
              <w:bidi w:val="0"/>
              <w:adjustRightInd/>
              <w:snapToGrid w:val="0"/>
              <w:spacing w:line="240" w:lineRule="auto"/>
              <w:ind w:left="-1" w:firstLine="0" w:leftChars="0" w:firstLineChars="0"/>
              <w:contextualSpacing/>
              <w:jc w:val="center"/>
              <w:textAlignment w:val="auto"/>
              <w:rPr>
                <w:rFonts w:ascii="宋体" w:hAnsi="宋体" w:cs="宋体" w:hint="default"/>
                <w:b w:val="0"/>
                <w:bCs w:val="0"/>
                <w:kern w:val="0"/>
                <w:szCs w:val="21"/>
                <w:highlight w:val="none"/>
                <w:lang w:val="en-US" w:eastAsia="zh-CN"/>
              </w:rPr>
            </w:pPr>
            <w:r>
              <w:rPr>
                <w:rFonts w:ascii="宋体" w:eastAsia="宋体" w:hAnsi="宋体" w:cs="宋体" w:hint="eastAsia"/>
                <w:b w:val="0"/>
                <w:bCs w:val="0"/>
                <w:strike w:val="0"/>
                <w:color w:val="auto"/>
                <w:sz w:val="21"/>
                <w:szCs w:val="21"/>
                <w:highlight w:val="none"/>
                <w:lang w:val="en-US" w:eastAsia="zh-CN"/>
              </w:rPr>
              <w:t>一对一</w:t>
            </w:r>
            <w:r>
              <w:rPr>
                <w:rFonts w:ascii="宋体" w:hAnsi="宋体" w:cs="宋体" w:hint="eastAsia"/>
                <w:b w:val="0"/>
                <w:bCs w:val="0"/>
                <w:color w:val="000000" w:themeColor="text1"/>
                <w:szCs w:val="21"/>
                <w:highlight w:val="none"/>
                <w:lang w:eastAsia="zh-CN"/>
                <w14:textFill>
                  <w14:solidFill>
                    <w14:schemeClr w14:val="tx1"/>
                  </w14:solidFill>
                </w14:textFill>
              </w:rPr>
              <w:t>照护</w:t>
            </w:r>
          </w:p>
        </w:tc>
        <w:tc>
          <w:tcPr>
            <w:tcW w:w="1427" w:type="dxa"/>
            <w:shd w:val="clear" w:color="auto" w:fill="auto"/>
            <w:vAlign w:val="center"/>
          </w:tcPr>
          <w:p>
            <w:pPr>
              <w:keepNext w:val="0"/>
              <w:keepLines w:val="0"/>
              <w:pageBreakBefore w:val="0"/>
              <w:widowControl w:val="0"/>
              <w:tabs>
                <w:tab w:val="left" w:pos="424"/>
              </w:tabs>
              <w:kinsoku/>
              <w:wordWrap/>
              <w:overflowPunct/>
              <w:topLinePunct w:val="0"/>
              <w:autoSpaceDE/>
              <w:autoSpaceDN/>
              <w:bidi w:val="0"/>
              <w:adjustRightInd/>
              <w:snapToGrid w:val="0"/>
              <w:spacing w:line="240" w:lineRule="auto"/>
              <w:ind w:left="0" w:firstLine="0" w:leftChars="0" w:firstLineChars="0"/>
              <w:contextualSpacing/>
              <w:jc w:val="center"/>
              <w:textAlignment w:val="auto"/>
              <w:rPr>
                <w:rFonts w:ascii="宋体" w:hAnsi="宋体" w:cs="宋体" w:hint="default"/>
                <w:kern w:val="0"/>
                <w:szCs w:val="21"/>
                <w:highlight w:val="none"/>
                <w:lang w:val="en-US"/>
              </w:rPr>
            </w:pPr>
            <w:r>
              <w:rPr>
                <w:rFonts w:ascii="宋体" w:eastAsia="宋体" w:hAnsi="宋体" w:cs="宋体" w:hint="eastAsia"/>
                <w:b w:val="0"/>
                <w:bCs w:val="0"/>
                <w:strike w:val="0"/>
                <w:color w:val="auto"/>
                <w:sz w:val="21"/>
                <w:szCs w:val="21"/>
                <w:highlight w:val="none"/>
                <w:lang w:val="en-US" w:eastAsia="zh-CN"/>
              </w:rPr>
              <w:t>2</w:t>
            </w:r>
            <w:r>
              <w:rPr>
                <w:rFonts w:ascii="宋体" w:hAnsi="宋体" w:cs="宋体" w:hint="eastAsia"/>
                <w:b w:val="0"/>
                <w:bCs w:val="0"/>
                <w:strike w:val="0"/>
                <w:color w:val="auto"/>
                <w:sz w:val="21"/>
                <w:szCs w:val="21"/>
                <w:highlight w:val="none"/>
                <w:lang w:val="en-US" w:eastAsia="zh-CN"/>
              </w:rPr>
              <w:t>80</w:t>
            </w:r>
            <w:r>
              <w:rPr>
                <w:rFonts w:ascii="宋体" w:eastAsia="宋体" w:hAnsi="宋体" w:cs="宋体" w:hint="eastAsia"/>
                <w:b w:val="0"/>
                <w:bCs w:val="0"/>
                <w:strike w:val="0"/>
                <w:color w:val="auto"/>
                <w:sz w:val="21"/>
                <w:szCs w:val="21"/>
                <w:highlight w:val="none"/>
                <w:lang w:val="en-US" w:eastAsia="zh-CN"/>
              </w:rPr>
              <w:t>元/人/天</w:t>
            </w:r>
          </w:p>
        </w:tc>
        <w:tc>
          <w:tcPr>
            <w:tcW w:w="1721" w:type="dxa"/>
            <w:vMerge w:val="restart"/>
            <w:shd w:val="clear" w:color="auto" w:fill="auto"/>
            <w:vAlign w:val="center"/>
          </w:tcPr>
          <w:p>
            <w:pPr>
              <w:keepNext w:val="0"/>
              <w:keepLines w:val="0"/>
              <w:suppressLineNumbers w:val="0"/>
              <w:snapToGrid w:val="0"/>
              <w:spacing w:before="0" w:beforeAutospacing="0" w:after="0" w:afterAutospacing="0"/>
              <w:ind w:left="0" w:right="0"/>
              <w:jc w:val="center"/>
              <w:rPr>
                <w:rFonts w:ascii="宋体" w:hAnsi="宋体" w:cs="宋体" w:hint="default"/>
                <w:kern w:val="0"/>
                <w:szCs w:val="21"/>
                <w:highlight w:val="none"/>
              </w:rPr>
            </w:pPr>
            <w:r>
              <w:rPr>
                <w:rFonts w:ascii="宋体" w:hAnsi="宋体" w:cs="宋体" w:hint="eastAsia"/>
                <w:bCs/>
                <w:kern w:val="0"/>
                <w:szCs w:val="21"/>
                <w:highlight w:val="none"/>
                <w:u w:val="none"/>
              </w:rPr>
              <w:t>人民币</w:t>
            </w:r>
            <w:r>
              <w:rPr>
                <w:rFonts w:ascii="宋体" w:hAnsi="宋体" w:cs="宋体" w:hint="eastAsia"/>
                <w:szCs w:val="21"/>
                <w:highlight w:val="none"/>
                <w:u w:val="none"/>
                <w:lang w:val="en-US" w:eastAsia="zh-CN"/>
              </w:rPr>
              <w:t>9,342,000</w:t>
            </w:r>
            <w:r>
              <w:rPr>
                <w:rFonts w:ascii="宋体" w:hAnsi="宋体" w:cs="宋体" w:hint="eastAsia"/>
                <w:szCs w:val="21"/>
                <w:highlight w:val="none"/>
                <w:u w:val="none"/>
              </w:rPr>
              <w:t>.00</w:t>
            </w:r>
            <w:r>
              <w:rPr>
                <w:rFonts w:ascii="宋体" w:hAnsi="宋体" w:cs="宋体" w:hint="eastAsia"/>
                <w:bCs/>
                <w:kern w:val="0"/>
                <w:szCs w:val="21"/>
                <w:highlight w:val="none"/>
                <w:u w:val="none"/>
              </w:rPr>
              <w:t>元</w:t>
            </w:r>
          </w:p>
        </w:tc>
        <w:tc>
          <w:tcPr>
            <w:tcW w:w="1163"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Cs/>
                <w:kern w:val="0"/>
                <w:szCs w:val="21"/>
                <w:highlight w:val="none"/>
              </w:rPr>
            </w:pPr>
            <w:r>
              <w:rPr>
                <w:rFonts w:ascii="宋体" w:hAnsi="宋体" w:cs="宋体" w:hint="eastAsia"/>
                <w:kern w:val="0"/>
                <w:szCs w:val="21"/>
                <w:highlight w:val="none"/>
              </w:rPr>
              <w:t>长期服务项目</w:t>
            </w:r>
          </w:p>
        </w:tc>
        <w:tc>
          <w:tcPr>
            <w:tcW w:w="1298"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eastAsia"/>
                <w:kern w:val="0"/>
                <w:szCs w:val="21"/>
                <w:highlight w:val="none"/>
              </w:rPr>
            </w:pPr>
            <w:r>
              <w:rPr>
                <w:rFonts w:ascii="宋体" w:hAnsi="宋体" w:cs="宋体" w:hint="eastAsia"/>
                <w:kern w:val="0"/>
                <w:szCs w:val="21"/>
                <w:highlight w:val="none"/>
              </w:rPr>
              <w:t>公示收费标准，</w:t>
            </w:r>
            <w:r>
              <w:rPr>
                <w:rFonts w:ascii="宋体" w:hAnsi="宋体" w:cs="宋体" w:hint="eastAsia"/>
                <w:kern w:val="0"/>
                <w:szCs w:val="21"/>
                <w:highlight w:val="none"/>
                <w:lang w:val="en-US" w:eastAsia="zh-CN"/>
              </w:rPr>
              <w:t>中标单位服务期间</w:t>
            </w:r>
            <w:r>
              <w:rPr>
                <w:rFonts w:ascii="宋体" w:hAnsi="宋体" w:cs="宋体" w:hint="eastAsia"/>
                <w:kern w:val="0"/>
                <w:szCs w:val="21"/>
                <w:highlight w:val="none"/>
              </w:rPr>
              <w:t>不得额外收取患者红包等费用</w:t>
            </w:r>
          </w:p>
        </w:tc>
      </w:tr>
      <w:tr>
        <w:tblPrEx>
          <w:tblW w:w="10727" w:type="dxa"/>
          <w:jc w:val="center"/>
          <w:tblLayout w:type="fixed"/>
          <w:tblCellMar>
            <w:top w:w="0" w:type="dxa"/>
            <w:left w:w="108" w:type="dxa"/>
            <w:bottom w:w="0" w:type="dxa"/>
            <w:right w:w="108" w:type="dxa"/>
          </w:tblCellMar>
        </w:tblPrEx>
        <w:trPr>
          <w:cantSplit/>
          <w:trHeight w:val="417"/>
          <w:jc w:val="center"/>
        </w:trPr>
        <w:tc>
          <w:tcPr>
            <w:tcW w:w="2238" w:type="dxa"/>
            <w:vMerge/>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hint="eastAsia"/>
                <w:color w:val="000000" w:themeColor="text1"/>
                <w:szCs w:val="21"/>
                <w:highlight w:val="none"/>
                <w:lang w:eastAsia="zh-CN"/>
                <w14:textFill>
                  <w14:solidFill>
                    <w14:schemeClr w14:val="tx1"/>
                  </w14:solidFill>
                </w14:textFill>
              </w:rPr>
            </w:pPr>
          </w:p>
        </w:tc>
        <w:tc>
          <w:tcPr>
            <w:tcW w:w="1528" w:type="dxa"/>
            <w:vMerge/>
            <w:shd w:val="clear" w:color="auto" w:fill="auto"/>
            <w:vAlign w:val="center"/>
          </w:tcPr>
          <w:p>
            <w:pPr>
              <w:keepNext w:val="0"/>
              <w:keepLines w:val="0"/>
              <w:suppressLineNumbers w:val="0"/>
              <w:snapToGrid w:val="0"/>
              <w:spacing w:before="0" w:beforeAutospacing="0" w:after="0" w:afterAutospacing="0"/>
              <w:ind w:left="0" w:right="0"/>
              <w:jc w:val="center"/>
              <w:rPr>
                <w:rFonts w:ascii="宋体" w:hAnsi="宋体" w:cs="宋体" w:hint="eastAsia"/>
                <w:color w:val="000000" w:themeColor="text1"/>
                <w:szCs w:val="21"/>
                <w:highlight w:val="none"/>
                <w:lang w:eastAsia="zh-CN"/>
                <w14:textFill>
                  <w14:solidFill>
                    <w14:schemeClr w14:val="tx1"/>
                  </w14:solidFill>
                </w14:textFill>
              </w:rPr>
            </w:pPr>
          </w:p>
        </w:tc>
        <w:tc>
          <w:tcPr>
            <w:tcW w:w="1352" w:type="dxa"/>
            <w:shd w:val="clear" w:color="auto" w:fill="auto"/>
            <w:vAlign w:val="center"/>
          </w:tcPr>
          <w:p>
            <w:pPr>
              <w:keepNext w:val="0"/>
              <w:keepLines w:val="0"/>
              <w:pageBreakBefore w:val="0"/>
              <w:widowControl w:val="0"/>
              <w:tabs>
                <w:tab w:val="left" w:pos="424"/>
              </w:tabs>
              <w:kinsoku/>
              <w:wordWrap/>
              <w:overflowPunct/>
              <w:topLinePunct w:val="0"/>
              <w:autoSpaceDE/>
              <w:autoSpaceDN/>
              <w:bidi w:val="0"/>
              <w:adjustRightInd/>
              <w:snapToGrid w:val="0"/>
              <w:spacing w:line="240" w:lineRule="auto"/>
              <w:ind w:left="-1" w:firstLine="0" w:leftChars="0" w:firstLineChars="0"/>
              <w:contextualSpacing/>
              <w:jc w:val="center"/>
              <w:textAlignment w:val="auto"/>
              <w:rPr>
                <w:rFonts w:ascii="宋体" w:hAnsi="宋体" w:cs="宋体" w:hint="default"/>
                <w:b w:val="0"/>
                <w:bCs w:val="0"/>
                <w:kern w:val="0"/>
                <w:szCs w:val="21"/>
                <w:highlight w:val="none"/>
                <w:lang w:val="en-US" w:eastAsia="zh-CN"/>
              </w:rPr>
            </w:pPr>
            <w:r>
              <w:rPr>
                <w:rFonts w:ascii="宋体" w:eastAsia="宋体" w:hAnsi="宋体" w:cs="宋体" w:hint="eastAsia"/>
                <w:b w:val="0"/>
                <w:bCs w:val="0"/>
                <w:strike w:val="0"/>
                <w:color w:val="auto"/>
                <w:sz w:val="21"/>
                <w:szCs w:val="21"/>
                <w:highlight w:val="none"/>
                <w:lang w:val="en-US" w:eastAsia="zh-CN"/>
              </w:rPr>
              <w:t>一对二</w:t>
            </w:r>
            <w:r>
              <w:rPr>
                <w:rFonts w:ascii="宋体" w:hAnsi="宋体" w:cs="宋体" w:hint="eastAsia"/>
                <w:b w:val="0"/>
                <w:bCs w:val="0"/>
                <w:color w:val="000000" w:themeColor="text1"/>
                <w:szCs w:val="21"/>
                <w:highlight w:val="none"/>
                <w:lang w:eastAsia="zh-CN"/>
                <w14:textFill>
                  <w14:solidFill>
                    <w14:schemeClr w14:val="tx1"/>
                  </w14:solidFill>
                </w14:textFill>
              </w:rPr>
              <w:t>照护</w:t>
            </w:r>
          </w:p>
        </w:tc>
        <w:tc>
          <w:tcPr>
            <w:tcW w:w="1427" w:type="dxa"/>
            <w:shd w:val="clear" w:color="auto" w:fill="auto"/>
            <w:vAlign w:val="center"/>
          </w:tcPr>
          <w:p>
            <w:pPr>
              <w:keepNext w:val="0"/>
              <w:keepLines w:val="0"/>
              <w:pageBreakBefore w:val="0"/>
              <w:widowControl w:val="0"/>
              <w:tabs>
                <w:tab w:val="left" w:pos="424"/>
              </w:tabs>
              <w:kinsoku/>
              <w:wordWrap/>
              <w:overflowPunct/>
              <w:topLinePunct w:val="0"/>
              <w:autoSpaceDE/>
              <w:autoSpaceDN/>
              <w:bidi w:val="0"/>
              <w:adjustRightInd/>
              <w:snapToGrid w:val="0"/>
              <w:spacing w:line="240" w:lineRule="auto"/>
              <w:ind w:left="0" w:firstLine="0" w:leftChars="0" w:firstLineChars="0"/>
              <w:contextualSpacing/>
              <w:jc w:val="center"/>
              <w:textAlignment w:val="auto"/>
              <w:rPr>
                <w:rFonts w:ascii="宋体" w:hAnsi="宋体" w:cs="宋体" w:hint="default"/>
                <w:kern w:val="0"/>
                <w:szCs w:val="21"/>
                <w:highlight w:val="none"/>
                <w:lang w:val="en-US" w:eastAsia="zh-CN"/>
              </w:rPr>
            </w:pPr>
            <w:r>
              <w:rPr>
                <w:rFonts w:ascii="宋体" w:eastAsia="宋体" w:hAnsi="宋体" w:cs="宋体" w:hint="eastAsia"/>
                <w:b w:val="0"/>
                <w:bCs w:val="0"/>
                <w:strike w:val="0"/>
                <w:color w:val="auto"/>
                <w:sz w:val="21"/>
                <w:szCs w:val="21"/>
                <w:highlight w:val="none"/>
                <w:lang w:val="en-US" w:eastAsia="zh-CN"/>
              </w:rPr>
              <w:t>1</w:t>
            </w:r>
            <w:r>
              <w:rPr>
                <w:rFonts w:ascii="宋体" w:hAnsi="宋体" w:cs="宋体" w:hint="eastAsia"/>
                <w:b w:val="0"/>
                <w:bCs w:val="0"/>
                <w:strike w:val="0"/>
                <w:color w:val="auto"/>
                <w:sz w:val="21"/>
                <w:szCs w:val="21"/>
                <w:highlight w:val="none"/>
                <w:lang w:val="en-US" w:eastAsia="zh-CN"/>
              </w:rPr>
              <w:t>80</w:t>
            </w:r>
            <w:r>
              <w:rPr>
                <w:rFonts w:ascii="宋体" w:eastAsia="宋体" w:hAnsi="宋体" w:cs="宋体" w:hint="eastAsia"/>
                <w:b w:val="0"/>
                <w:bCs w:val="0"/>
                <w:strike w:val="0"/>
                <w:color w:val="auto"/>
                <w:sz w:val="21"/>
                <w:szCs w:val="21"/>
                <w:highlight w:val="none"/>
                <w:lang w:val="en-US" w:eastAsia="zh-CN"/>
              </w:rPr>
              <w:t>元/人/天</w:t>
            </w:r>
          </w:p>
        </w:tc>
        <w:tc>
          <w:tcPr>
            <w:tcW w:w="1721" w:type="dxa"/>
            <w:vMerge/>
            <w:shd w:val="clear" w:color="auto" w:fill="auto"/>
            <w:vAlign w:val="center"/>
          </w:tcPr>
          <w:p>
            <w:pPr>
              <w:keepNext w:val="0"/>
              <w:keepLines w:val="0"/>
              <w:suppressLineNumbers w:val="0"/>
              <w:snapToGrid w:val="0"/>
              <w:spacing w:before="0" w:beforeAutospacing="0" w:after="0" w:afterAutospacing="0"/>
              <w:ind w:left="0" w:right="0"/>
              <w:jc w:val="center"/>
              <w:rPr>
                <w:rFonts w:ascii="宋体" w:hAnsi="宋体" w:cs="宋体" w:hint="eastAsia"/>
                <w:bCs/>
                <w:kern w:val="0"/>
                <w:szCs w:val="21"/>
                <w:highlight w:val="none"/>
              </w:rPr>
            </w:pPr>
          </w:p>
        </w:tc>
        <w:tc>
          <w:tcPr>
            <w:tcW w:w="1163" w:type="dxa"/>
            <w:vMerge/>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eastAsia"/>
                <w:kern w:val="0"/>
                <w:szCs w:val="21"/>
                <w:highlight w:val="none"/>
              </w:rPr>
            </w:pPr>
          </w:p>
        </w:tc>
        <w:tc>
          <w:tcPr>
            <w:tcW w:w="1298" w:type="dxa"/>
            <w:vMerge/>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eastAsia"/>
                <w:kern w:val="0"/>
                <w:szCs w:val="21"/>
                <w:highlight w:val="none"/>
              </w:rPr>
            </w:pPr>
          </w:p>
        </w:tc>
      </w:tr>
      <w:tr>
        <w:tblPrEx>
          <w:tblW w:w="10727" w:type="dxa"/>
          <w:jc w:val="center"/>
          <w:tblLayout w:type="fixed"/>
          <w:tblCellMar>
            <w:top w:w="0" w:type="dxa"/>
            <w:left w:w="108" w:type="dxa"/>
            <w:bottom w:w="0" w:type="dxa"/>
            <w:right w:w="108" w:type="dxa"/>
          </w:tblCellMar>
        </w:tblPrEx>
        <w:trPr>
          <w:cantSplit/>
          <w:trHeight w:val="90"/>
          <w:jc w:val="center"/>
        </w:trPr>
        <w:tc>
          <w:tcPr>
            <w:tcW w:w="2238" w:type="dxa"/>
            <w:vMerge/>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hint="eastAsia"/>
                <w:color w:val="000000" w:themeColor="text1"/>
                <w:szCs w:val="21"/>
                <w:highlight w:val="none"/>
                <w:lang w:eastAsia="zh-CN"/>
                <w14:textFill>
                  <w14:solidFill>
                    <w14:schemeClr w14:val="tx1"/>
                  </w14:solidFill>
                </w14:textFill>
              </w:rPr>
            </w:pPr>
          </w:p>
        </w:tc>
        <w:tc>
          <w:tcPr>
            <w:tcW w:w="1528" w:type="dxa"/>
            <w:vMerge/>
            <w:shd w:val="clear" w:color="auto" w:fill="auto"/>
            <w:vAlign w:val="center"/>
          </w:tcPr>
          <w:p>
            <w:pPr>
              <w:keepNext w:val="0"/>
              <w:keepLines w:val="0"/>
              <w:suppressLineNumbers w:val="0"/>
              <w:snapToGrid w:val="0"/>
              <w:spacing w:before="0" w:beforeAutospacing="0" w:after="0" w:afterAutospacing="0"/>
              <w:ind w:left="0" w:right="0"/>
              <w:jc w:val="center"/>
              <w:rPr>
                <w:rFonts w:ascii="宋体" w:hAnsi="宋体" w:cs="宋体" w:hint="eastAsia"/>
                <w:color w:val="000000" w:themeColor="text1"/>
                <w:szCs w:val="21"/>
                <w:highlight w:val="none"/>
                <w:lang w:eastAsia="zh-CN"/>
                <w14:textFill>
                  <w14:solidFill>
                    <w14:schemeClr w14:val="tx1"/>
                  </w14:solidFill>
                </w14:textFill>
              </w:rPr>
            </w:pPr>
          </w:p>
        </w:tc>
        <w:tc>
          <w:tcPr>
            <w:tcW w:w="1352" w:type="dxa"/>
            <w:shd w:val="clear" w:color="auto" w:fill="auto"/>
            <w:vAlign w:val="center"/>
          </w:tcPr>
          <w:p>
            <w:pPr>
              <w:keepNext w:val="0"/>
              <w:keepLines w:val="0"/>
              <w:pageBreakBefore w:val="0"/>
              <w:widowControl w:val="0"/>
              <w:tabs>
                <w:tab w:val="left" w:pos="424"/>
              </w:tabs>
              <w:kinsoku/>
              <w:wordWrap/>
              <w:overflowPunct/>
              <w:topLinePunct w:val="0"/>
              <w:autoSpaceDE/>
              <w:autoSpaceDN/>
              <w:bidi w:val="0"/>
              <w:adjustRightInd/>
              <w:snapToGrid w:val="0"/>
              <w:spacing w:line="240" w:lineRule="auto"/>
              <w:ind w:left="-1" w:firstLine="0" w:leftChars="0" w:firstLineChars="0"/>
              <w:contextualSpacing/>
              <w:jc w:val="center"/>
              <w:textAlignment w:val="auto"/>
              <w:rPr>
                <w:rFonts w:ascii="宋体" w:hAnsi="宋体" w:cs="宋体" w:hint="default"/>
                <w:b w:val="0"/>
                <w:bCs w:val="0"/>
                <w:kern w:val="0"/>
                <w:szCs w:val="21"/>
                <w:highlight w:val="none"/>
                <w:lang w:val="en-US" w:eastAsia="zh-CN"/>
              </w:rPr>
            </w:pPr>
            <w:r>
              <w:rPr>
                <w:rFonts w:ascii="宋体" w:eastAsia="宋体" w:hAnsi="宋体" w:cs="宋体" w:hint="eastAsia"/>
                <w:b w:val="0"/>
                <w:bCs w:val="0"/>
                <w:strike w:val="0"/>
                <w:color w:val="auto"/>
                <w:sz w:val="21"/>
                <w:szCs w:val="21"/>
                <w:highlight w:val="none"/>
                <w:lang w:val="en-US" w:eastAsia="zh-CN"/>
              </w:rPr>
              <w:t>一对三</w:t>
            </w:r>
            <w:r>
              <w:rPr>
                <w:rFonts w:ascii="宋体" w:hAnsi="宋体" w:cs="宋体" w:hint="eastAsia"/>
                <w:b w:val="0"/>
                <w:bCs w:val="0"/>
                <w:color w:val="000000" w:themeColor="text1"/>
                <w:szCs w:val="21"/>
                <w:highlight w:val="none"/>
                <w:lang w:eastAsia="zh-CN"/>
                <w14:textFill>
                  <w14:solidFill>
                    <w14:schemeClr w14:val="tx1"/>
                  </w14:solidFill>
                </w14:textFill>
              </w:rPr>
              <w:t>照护</w:t>
            </w:r>
          </w:p>
        </w:tc>
        <w:tc>
          <w:tcPr>
            <w:tcW w:w="1427" w:type="dxa"/>
            <w:shd w:val="clear" w:color="auto" w:fill="auto"/>
            <w:vAlign w:val="center"/>
          </w:tcPr>
          <w:p>
            <w:pPr>
              <w:keepNext w:val="0"/>
              <w:keepLines w:val="0"/>
              <w:pageBreakBefore w:val="0"/>
              <w:widowControl w:val="0"/>
              <w:tabs>
                <w:tab w:val="left" w:pos="424"/>
              </w:tabs>
              <w:kinsoku/>
              <w:wordWrap/>
              <w:overflowPunct/>
              <w:topLinePunct w:val="0"/>
              <w:autoSpaceDE/>
              <w:autoSpaceDN/>
              <w:bidi w:val="0"/>
              <w:adjustRightInd/>
              <w:snapToGrid w:val="0"/>
              <w:spacing w:line="240" w:lineRule="auto"/>
              <w:ind w:left="0" w:firstLine="0" w:leftChars="0" w:firstLineChars="0"/>
              <w:contextualSpacing/>
              <w:jc w:val="center"/>
              <w:textAlignment w:val="auto"/>
              <w:rPr>
                <w:rFonts w:ascii="宋体" w:hAnsi="宋体" w:cs="宋体" w:hint="default"/>
                <w:kern w:val="0"/>
                <w:szCs w:val="21"/>
                <w:highlight w:val="none"/>
                <w:lang w:val="en-US" w:eastAsia="zh-CN"/>
              </w:rPr>
            </w:pPr>
            <w:r>
              <w:rPr>
                <w:rFonts w:ascii="宋体" w:eastAsia="宋体" w:hAnsi="宋体" w:cs="宋体" w:hint="eastAsia"/>
                <w:b w:val="0"/>
                <w:bCs w:val="0"/>
                <w:strike w:val="0"/>
                <w:color w:val="auto"/>
                <w:sz w:val="21"/>
                <w:szCs w:val="21"/>
                <w:highlight w:val="none"/>
                <w:lang w:val="en-US" w:eastAsia="zh-CN"/>
              </w:rPr>
              <w:t>1</w:t>
            </w:r>
            <w:r>
              <w:rPr>
                <w:rFonts w:ascii="宋体" w:hAnsi="宋体" w:cs="宋体" w:hint="eastAsia"/>
                <w:b w:val="0"/>
                <w:bCs w:val="0"/>
                <w:strike w:val="0"/>
                <w:color w:val="auto"/>
                <w:sz w:val="21"/>
                <w:szCs w:val="21"/>
                <w:highlight w:val="none"/>
                <w:lang w:val="en-US" w:eastAsia="zh-CN"/>
              </w:rPr>
              <w:t>40</w:t>
            </w:r>
            <w:r>
              <w:rPr>
                <w:rFonts w:ascii="宋体" w:eastAsia="宋体" w:hAnsi="宋体" w:cs="宋体" w:hint="eastAsia"/>
                <w:b w:val="0"/>
                <w:bCs w:val="0"/>
                <w:strike w:val="0"/>
                <w:color w:val="auto"/>
                <w:sz w:val="21"/>
                <w:szCs w:val="21"/>
                <w:highlight w:val="none"/>
                <w:lang w:val="en-US" w:eastAsia="zh-CN"/>
              </w:rPr>
              <w:t>元/人/天</w:t>
            </w:r>
          </w:p>
        </w:tc>
        <w:tc>
          <w:tcPr>
            <w:tcW w:w="1721" w:type="dxa"/>
            <w:vMerge/>
            <w:shd w:val="clear" w:color="auto" w:fill="auto"/>
            <w:vAlign w:val="center"/>
          </w:tcPr>
          <w:p>
            <w:pPr>
              <w:keepNext w:val="0"/>
              <w:keepLines w:val="0"/>
              <w:suppressLineNumbers w:val="0"/>
              <w:snapToGrid w:val="0"/>
              <w:spacing w:before="0" w:beforeAutospacing="0" w:after="0" w:afterAutospacing="0"/>
              <w:ind w:left="0" w:right="0"/>
              <w:jc w:val="center"/>
              <w:rPr>
                <w:rFonts w:ascii="宋体" w:hAnsi="宋体" w:cs="宋体" w:hint="eastAsia"/>
                <w:bCs/>
                <w:kern w:val="0"/>
                <w:szCs w:val="21"/>
                <w:highlight w:val="none"/>
              </w:rPr>
            </w:pPr>
          </w:p>
        </w:tc>
        <w:tc>
          <w:tcPr>
            <w:tcW w:w="1163" w:type="dxa"/>
            <w:vMerge/>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eastAsia"/>
                <w:kern w:val="0"/>
                <w:szCs w:val="21"/>
                <w:highlight w:val="none"/>
              </w:rPr>
            </w:pPr>
          </w:p>
        </w:tc>
        <w:tc>
          <w:tcPr>
            <w:tcW w:w="1298" w:type="dxa"/>
            <w:vMerge/>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eastAsia"/>
                <w:kern w:val="0"/>
                <w:szCs w:val="21"/>
                <w:highlight w:val="none"/>
              </w:rPr>
            </w:pPr>
          </w:p>
        </w:tc>
      </w:tr>
    </w:tbl>
    <w:p>
      <w:pPr>
        <w:tabs>
          <w:tab w:val="left" w:pos="424"/>
        </w:tabs>
        <w:snapToGrid w:val="0"/>
        <w:spacing w:line="240" w:lineRule="auto"/>
        <w:ind w:firstLine="420" w:firstLineChars="200"/>
        <w:contextualSpacing/>
        <w:jc w:val="left"/>
        <w:rPr>
          <w:rFonts w:ascii="宋体" w:eastAsia="宋体" w:hAnsi="宋体" w:cs="宋体" w:hint="eastAsia"/>
          <w:b/>
          <w:bCs/>
          <w:color w:val="FF0000"/>
          <w:sz w:val="21"/>
          <w:szCs w:val="21"/>
          <w:highlight w:val="none"/>
          <w:lang w:val="en-US" w:eastAsia="zh-CN"/>
        </w:rPr>
      </w:pPr>
      <w:r>
        <w:rPr>
          <w:rFonts w:ascii="宋体" w:eastAsia="宋体" w:hAnsi="宋体" w:cs="宋体" w:hint="eastAsia"/>
          <w:b/>
          <w:bCs/>
          <w:color w:val="FF0000"/>
          <w:szCs w:val="21"/>
          <w:highlight w:val="none"/>
        </w:rPr>
        <w:t>★</w:t>
      </w:r>
      <w:r>
        <w:rPr>
          <w:rFonts w:ascii="宋体" w:eastAsia="宋体" w:hAnsi="宋体" w:cs="宋体" w:hint="eastAsia"/>
          <w:b/>
          <w:bCs/>
          <w:color w:val="FF0000"/>
          <w:sz w:val="21"/>
          <w:szCs w:val="21"/>
          <w:highlight w:val="none"/>
          <w:lang w:val="en-US" w:eastAsia="zh-CN"/>
        </w:rPr>
        <w:t>备注：</w:t>
      </w:r>
    </w:p>
    <w:p>
      <w:pPr>
        <w:numPr>
          <w:ilvl w:val="0"/>
          <w:numId w:val="0"/>
        </w:numPr>
        <w:tabs>
          <w:tab w:val="left" w:pos="424"/>
        </w:tabs>
        <w:snapToGrid w:val="0"/>
        <w:spacing w:line="240" w:lineRule="auto"/>
        <w:ind w:firstLine="420" w:firstLineChars="200"/>
        <w:contextualSpacing/>
        <w:jc w:val="left"/>
        <w:rPr>
          <w:rFonts w:ascii="宋体" w:eastAsia="宋体" w:hAnsi="宋体" w:cs="宋体" w:hint="eastAsia"/>
          <w:b/>
          <w:bCs/>
          <w:color w:val="FF0000"/>
          <w:sz w:val="21"/>
          <w:szCs w:val="21"/>
          <w:highlight w:val="none"/>
          <w:lang w:val="en-US" w:eastAsia="zh-CN"/>
        </w:rPr>
      </w:pPr>
      <w:r>
        <w:rPr>
          <w:rFonts w:ascii="宋体" w:eastAsia="宋体" w:hAnsi="宋体" w:cs="宋体" w:hint="eastAsia"/>
          <w:b/>
          <w:bCs/>
          <w:color w:val="FF0000"/>
          <w:kern w:val="2"/>
          <w:sz w:val="21"/>
          <w:szCs w:val="21"/>
          <w:highlight w:val="none"/>
          <w:lang w:val="en-US" w:eastAsia="zh-CN" w:bidi="ar-SA"/>
        </w:rPr>
        <w:t>1、</w:t>
      </w:r>
      <w:r>
        <w:rPr>
          <w:rFonts w:ascii="宋体" w:eastAsia="宋体" w:hAnsi="宋体" w:cs="宋体" w:hint="eastAsia"/>
          <w:b/>
          <w:bCs/>
          <w:color w:val="FF0000"/>
          <w:sz w:val="21"/>
          <w:szCs w:val="21"/>
          <w:highlight w:val="none"/>
          <w:lang w:val="en-US" w:eastAsia="zh-CN"/>
        </w:rPr>
        <w:t>医院负责根据政策及市场物价情况不定期审视和调整服务收费标准；</w:t>
      </w:r>
    </w:p>
    <w:p>
      <w:pPr>
        <w:numPr>
          <w:ilvl w:val="0"/>
          <w:numId w:val="0"/>
        </w:numPr>
        <w:tabs>
          <w:tab w:val="left" w:pos="424"/>
        </w:tabs>
        <w:snapToGrid w:val="0"/>
        <w:spacing w:line="240" w:lineRule="auto"/>
        <w:ind w:firstLine="420" w:firstLineChars="200"/>
        <w:contextualSpacing/>
        <w:jc w:val="left"/>
        <w:rPr>
          <w:rFonts w:ascii="宋体" w:eastAsia="宋体" w:hAnsi="宋体" w:cs="宋体" w:hint="eastAsia"/>
          <w:b/>
          <w:bCs/>
          <w:color w:val="FF0000"/>
          <w:highlight w:val="none"/>
        </w:rPr>
      </w:pPr>
      <w:r>
        <w:rPr>
          <w:rFonts w:ascii="宋体" w:eastAsia="宋体" w:hAnsi="宋体" w:cs="宋体" w:hint="eastAsia"/>
          <w:b/>
          <w:bCs/>
          <w:color w:val="FF0000"/>
          <w:sz w:val="21"/>
          <w:szCs w:val="21"/>
          <w:highlight w:val="none"/>
          <w:lang w:val="en-US" w:eastAsia="zh-CN"/>
        </w:rPr>
        <w:t>2、</w:t>
      </w:r>
      <w:r>
        <w:rPr>
          <w:rFonts w:ascii="宋体" w:eastAsia="宋体" w:hAnsi="宋体" w:cs="宋体" w:hint="eastAsia"/>
          <w:b/>
          <w:bCs/>
          <w:color w:val="FF0000"/>
          <w:highlight w:val="none"/>
          <w:lang w:val="en-US" w:eastAsia="zh-CN"/>
        </w:rPr>
        <w:t>根据《深圳市医疗保障局转发广东省医疗保障局关于“免陪照护服务”价格项目的通知》（深医保发〔2025〕4号）文件，制定该项目单价限价，如政策有所变动，中标折扣率不变</w:t>
      </w:r>
      <w:r>
        <w:rPr>
          <w:rFonts w:ascii="宋体" w:hAnsi="宋体" w:cs="宋体" w:hint="eastAsia"/>
          <w:b/>
          <w:bCs/>
          <w:color w:val="FF0000"/>
          <w:highlight w:val="none"/>
          <w:lang w:val="en-US" w:eastAsia="zh-CN"/>
        </w:rPr>
        <w:t>。</w:t>
      </w:r>
    </w:p>
    <w:p>
      <w:pPr>
        <w:keepNext w:val="0"/>
        <w:keepLines w:val="0"/>
        <w:pageBreakBefore w:val="0"/>
        <w:widowControl w:val="0"/>
        <w:numPr>
          <w:ilvl w:val="0"/>
          <w:numId w:val="0"/>
        </w:numPr>
        <w:tabs>
          <w:tab w:val="left" w:pos="424"/>
        </w:tabs>
        <w:kinsoku/>
        <w:wordWrap/>
        <w:overflowPunct/>
        <w:topLinePunct w:val="0"/>
        <w:autoSpaceDE/>
        <w:autoSpaceDN/>
        <w:bidi w:val="0"/>
        <w:adjustRightInd/>
        <w:snapToGrid w:val="0"/>
        <w:spacing w:line="240" w:lineRule="auto"/>
        <w:ind w:left="0" w:firstLine="420" w:leftChars="0" w:firstLineChars="200"/>
        <w:contextualSpacing/>
        <w:jc w:val="left"/>
        <w:textAlignment w:val="auto"/>
        <w:rPr>
          <w:rFonts w:ascii="宋体" w:eastAsia="宋体" w:hAnsi="宋体" w:cs="宋体" w:hint="eastAsia"/>
          <w:b/>
          <w:bCs/>
          <w:color w:val="FF0000"/>
          <w:kern w:val="2"/>
          <w:sz w:val="21"/>
          <w:szCs w:val="21"/>
          <w:highlight w:val="none"/>
          <w:lang w:val="en-US" w:eastAsia="zh-CN" w:bidi="ar-SA"/>
        </w:rPr>
      </w:pPr>
      <w:r>
        <w:rPr>
          <w:rFonts w:ascii="宋体" w:eastAsia="宋体" w:hAnsi="宋体" w:cs="宋体" w:hint="eastAsia"/>
          <w:b/>
          <w:bCs/>
          <w:color w:val="FF0000"/>
          <w:szCs w:val="21"/>
          <w:highlight w:val="none"/>
          <w:lang w:val="en-US" w:eastAsia="zh-CN"/>
        </w:rPr>
        <w:t>3</w:t>
      </w:r>
      <w:r>
        <w:rPr>
          <w:rFonts w:ascii="宋体" w:eastAsia="宋体" w:hAnsi="宋体" w:cs="宋体" w:hint="eastAsia"/>
          <w:b/>
          <w:bCs/>
          <w:color w:val="FF0000"/>
          <w:szCs w:val="21"/>
          <w:highlight w:val="none"/>
        </w:rPr>
        <w:t>、投标人需对采购清单的全部内容进行投标报价，如有缺漏或单项报价超过单价限价的，投标无效。</w:t>
      </w:r>
    </w:p>
    <w:p>
      <w:pPr>
        <w:keepNext w:val="0"/>
        <w:keepLines w:val="0"/>
        <w:pageBreakBefore w:val="0"/>
        <w:widowControl w:val="0"/>
        <w:numPr>
          <w:ilvl w:val="0"/>
          <w:numId w:val="0"/>
        </w:numPr>
        <w:tabs>
          <w:tab w:val="left" w:pos="424"/>
        </w:tabs>
        <w:kinsoku/>
        <w:wordWrap/>
        <w:overflowPunct/>
        <w:topLinePunct w:val="0"/>
        <w:autoSpaceDE/>
        <w:autoSpaceDN/>
        <w:bidi w:val="0"/>
        <w:adjustRightInd/>
        <w:snapToGrid w:val="0"/>
        <w:spacing w:line="240" w:lineRule="auto"/>
        <w:ind w:left="0" w:firstLine="420" w:leftChars="0" w:firstLineChars="200"/>
        <w:contextualSpacing/>
        <w:jc w:val="left"/>
        <w:textAlignment w:val="auto"/>
        <w:rPr>
          <w:rFonts w:ascii="宋体" w:eastAsia="宋体" w:hAnsi="宋体" w:cs="宋体" w:hint="eastAsia"/>
          <w:b/>
          <w:bCs/>
          <w:kern w:val="2"/>
          <w:sz w:val="21"/>
          <w:szCs w:val="21"/>
          <w:highlight w:val="none"/>
          <w:lang w:val="en-US" w:eastAsia="zh-CN" w:bidi="ar-SA"/>
        </w:rPr>
      </w:pPr>
    </w:p>
    <w:p>
      <w:pPr>
        <w:keepNext w:val="0"/>
        <w:keepLines w:val="0"/>
        <w:pageBreakBefore w:val="0"/>
        <w:widowControl w:val="0"/>
        <w:numPr>
          <w:ilvl w:val="0"/>
          <w:numId w:val="0"/>
        </w:numPr>
        <w:tabs>
          <w:tab w:val="left" w:pos="424"/>
        </w:tabs>
        <w:kinsoku/>
        <w:wordWrap/>
        <w:overflowPunct/>
        <w:topLinePunct w:val="0"/>
        <w:autoSpaceDE/>
        <w:autoSpaceDN/>
        <w:bidi w:val="0"/>
        <w:adjustRightInd/>
        <w:snapToGrid w:val="0"/>
        <w:spacing w:line="240" w:lineRule="auto"/>
        <w:ind w:left="0" w:firstLine="420" w:leftChars="0" w:firstLineChars="200"/>
        <w:contextualSpacing/>
        <w:jc w:val="left"/>
        <w:textAlignment w:val="auto"/>
        <w:rPr>
          <w:rFonts w:ascii="宋体" w:eastAsia="宋体" w:hAnsi="宋体" w:cs="宋体" w:hint="eastAsia"/>
          <w:b/>
          <w:bCs/>
          <w:sz w:val="21"/>
          <w:szCs w:val="21"/>
          <w:highlight w:val="none"/>
          <w:lang w:eastAsia="zh-CN"/>
        </w:rPr>
      </w:pPr>
      <w:r>
        <w:rPr>
          <w:rFonts w:ascii="宋体" w:eastAsia="宋体" w:hAnsi="宋体" w:cs="宋体" w:hint="eastAsia"/>
          <w:b/>
          <w:bCs/>
          <w:kern w:val="2"/>
          <w:sz w:val="21"/>
          <w:szCs w:val="21"/>
          <w:highlight w:val="none"/>
          <w:lang w:val="en-US" w:eastAsia="zh-CN" w:bidi="ar-SA"/>
        </w:rPr>
        <w:t>二、</w:t>
      </w:r>
      <w:r>
        <w:rPr>
          <w:rFonts w:ascii="宋体" w:eastAsia="宋体" w:hAnsi="宋体" w:cs="宋体" w:hint="eastAsia"/>
          <w:b/>
          <w:bCs/>
          <w:sz w:val="21"/>
          <w:szCs w:val="21"/>
          <w:highlight w:val="none"/>
          <w:lang w:val="en-US" w:eastAsia="zh-CN"/>
        </w:rPr>
        <w:t>基本</w:t>
      </w:r>
      <w:r>
        <w:rPr>
          <w:rFonts w:ascii="宋体" w:eastAsia="宋体" w:hAnsi="宋体" w:cs="宋体" w:hint="eastAsia"/>
          <w:b/>
          <w:bCs/>
          <w:sz w:val="21"/>
          <w:szCs w:val="21"/>
          <w:highlight w:val="none"/>
        </w:rPr>
        <w:t>管理要求</w:t>
      </w:r>
      <w:r>
        <w:rPr>
          <w:rFonts w:ascii="宋体" w:eastAsia="宋体" w:hAnsi="宋体" w:cs="宋体" w:hint="eastAsia"/>
          <w:b/>
          <w:bCs/>
          <w:sz w:val="21"/>
          <w:szCs w:val="21"/>
          <w:highlight w:val="none"/>
          <w:lang w:eastAsia="zh-CN"/>
        </w:rPr>
        <w:t>（</w:t>
      </w:r>
      <w:r>
        <w:rPr>
          <w:rFonts w:ascii="宋体" w:eastAsia="宋体" w:hAnsi="宋体" w:cs="宋体" w:hint="eastAsia"/>
          <w:b/>
          <w:bCs/>
          <w:sz w:val="21"/>
          <w:szCs w:val="21"/>
          <w:highlight w:val="none"/>
          <w:lang w:val="en-US" w:eastAsia="zh-CN"/>
        </w:rPr>
        <w:t>服务要求</w:t>
      </w:r>
      <w:r>
        <w:rPr>
          <w:rFonts w:ascii="宋体" w:eastAsia="宋体" w:hAnsi="宋体" w:cs="宋体" w:hint="eastAsia"/>
          <w:b/>
          <w:bCs/>
          <w:sz w:val="21"/>
          <w:szCs w:val="21"/>
          <w:highlight w:val="none"/>
          <w:lang w:eastAsia="zh-CN"/>
        </w:rPr>
        <w:t>）</w:t>
      </w:r>
    </w:p>
    <w:p>
      <w:pPr>
        <w:keepNext w:val="0"/>
        <w:keepLines w:val="0"/>
        <w:pageBreakBefore w:val="0"/>
        <w:widowControl w:val="0"/>
        <w:tabs>
          <w:tab w:val="left" w:pos="424"/>
        </w:tabs>
        <w:kinsoku/>
        <w:wordWrap/>
        <w:overflowPunct/>
        <w:topLinePunct w:val="0"/>
        <w:autoSpaceDE/>
        <w:autoSpaceDN/>
        <w:bidi w:val="0"/>
        <w:adjustRightInd/>
        <w:snapToGrid w:val="0"/>
        <w:spacing w:line="240" w:lineRule="auto"/>
        <w:ind w:left="0" w:firstLine="349" w:leftChars="0" w:firstLineChars="166"/>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lang w:val="en-US" w:eastAsia="zh-CN"/>
        </w:rPr>
        <w:t>一</w:t>
      </w:r>
      <w:r>
        <w:rPr>
          <w:rFonts w:ascii="宋体" w:eastAsia="宋体" w:hAnsi="宋体" w:cs="宋体" w:hint="eastAsia"/>
          <w:sz w:val="21"/>
          <w:szCs w:val="21"/>
          <w:highlight w:val="none"/>
          <w:lang w:eastAsia="zh-CN"/>
        </w:rPr>
        <w:t>）中标人</w:t>
      </w:r>
      <w:r>
        <w:rPr>
          <w:rFonts w:ascii="宋体" w:eastAsia="宋体" w:hAnsi="宋体" w:cs="宋体" w:hint="eastAsia"/>
          <w:sz w:val="21"/>
          <w:szCs w:val="21"/>
          <w:highlight w:val="none"/>
          <w:lang w:val="en-US" w:eastAsia="zh-CN"/>
        </w:rPr>
        <w:t>需</w:t>
      </w:r>
      <w:r>
        <w:rPr>
          <w:rFonts w:ascii="宋体" w:eastAsia="宋体" w:hAnsi="宋体" w:cs="宋体" w:hint="eastAsia"/>
          <w:sz w:val="21"/>
          <w:szCs w:val="21"/>
          <w:highlight w:val="none"/>
        </w:rPr>
        <w:t>按照项目合同约定，根据医院的需求，组建专门团队，将员工派往医院指派的工作岗位，提供优质服务。</w:t>
      </w:r>
    </w:p>
    <w:p>
      <w:pPr>
        <w:keepNext w:val="0"/>
        <w:keepLines w:val="0"/>
        <w:pageBreakBefore w:val="0"/>
        <w:widowControl w:val="0"/>
        <w:tabs>
          <w:tab w:val="left" w:pos="424"/>
        </w:tabs>
        <w:kinsoku/>
        <w:wordWrap/>
        <w:overflowPunct/>
        <w:topLinePunct w:val="0"/>
        <w:autoSpaceDE/>
        <w:autoSpaceDN/>
        <w:bidi w:val="0"/>
        <w:adjustRightInd/>
        <w:snapToGrid w:val="0"/>
        <w:spacing w:line="240" w:lineRule="auto"/>
        <w:ind w:left="0" w:firstLine="349" w:leftChars="0" w:firstLineChars="166"/>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lang w:val="en-US" w:eastAsia="zh-CN"/>
        </w:rPr>
        <w:t>二</w:t>
      </w:r>
      <w:r>
        <w:rPr>
          <w:rFonts w:ascii="宋体" w:eastAsia="宋体" w:hAnsi="宋体" w:cs="宋体" w:hint="eastAsia"/>
          <w:sz w:val="21"/>
          <w:szCs w:val="21"/>
          <w:highlight w:val="none"/>
          <w:lang w:eastAsia="zh-CN"/>
        </w:rPr>
        <w:t>）中标人</w:t>
      </w:r>
      <w:r>
        <w:rPr>
          <w:rFonts w:ascii="宋体" w:eastAsia="宋体" w:hAnsi="宋体" w:cs="宋体" w:hint="eastAsia"/>
          <w:sz w:val="21"/>
          <w:szCs w:val="21"/>
          <w:highlight w:val="none"/>
        </w:rPr>
        <w:t>为医院提供病人</w:t>
      </w:r>
      <w:r>
        <w:rPr>
          <w:rFonts w:ascii="宋体" w:hAnsi="宋体" w:cs="宋体" w:hint="eastAsia"/>
          <w:sz w:val="21"/>
          <w:szCs w:val="21"/>
          <w:highlight w:val="none"/>
          <w:lang w:eastAsia="zh-CN"/>
        </w:rPr>
        <w:t>医疗护理员</w:t>
      </w:r>
      <w:r>
        <w:rPr>
          <w:rFonts w:ascii="宋体" w:eastAsia="宋体" w:hAnsi="宋体" w:cs="宋体" w:hint="eastAsia"/>
          <w:sz w:val="21"/>
          <w:szCs w:val="21"/>
          <w:highlight w:val="none"/>
        </w:rPr>
        <w:t>服务并于项目合同履行期间，经双方协商同意，服务项目可增减。</w:t>
      </w:r>
    </w:p>
    <w:p>
      <w:pPr>
        <w:keepNext w:val="0"/>
        <w:keepLines w:val="0"/>
        <w:pageBreakBefore w:val="0"/>
        <w:widowControl w:val="0"/>
        <w:kinsoku/>
        <w:wordWrap/>
        <w:overflowPunct/>
        <w:topLinePunct w:val="0"/>
        <w:autoSpaceDE/>
        <w:autoSpaceDN/>
        <w:bidi w:val="0"/>
        <w:adjustRightInd/>
        <w:snapToGrid w:val="0"/>
        <w:spacing w:after="0" w:line="240" w:lineRule="auto"/>
        <w:ind w:left="0" w:firstLine="349" w:leftChars="0" w:firstLineChars="166"/>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lang w:eastAsia="zh-CN"/>
        </w:rPr>
        <w:t>）</w:t>
      </w:r>
      <w:r>
        <w:rPr>
          <w:rFonts w:ascii="宋体" w:hAnsi="宋体" w:cs="宋体" w:hint="eastAsia"/>
          <w:sz w:val="21"/>
          <w:szCs w:val="21"/>
          <w:highlight w:val="none"/>
          <w:lang w:eastAsia="zh-CN"/>
        </w:rPr>
        <w:t>医疗护理员</w:t>
      </w:r>
      <w:r>
        <w:rPr>
          <w:rFonts w:ascii="宋体" w:eastAsia="宋体" w:hAnsi="宋体" w:cs="宋体" w:hint="eastAsia"/>
          <w:sz w:val="21"/>
          <w:szCs w:val="21"/>
          <w:highlight w:val="none"/>
        </w:rPr>
        <w:t>要</w:t>
      </w:r>
      <w:r>
        <w:rPr>
          <w:rFonts w:ascii="宋体" w:eastAsia="宋体" w:hAnsi="宋体" w:cs="宋体" w:hint="eastAsia"/>
          <w:sz w:val="21"/>
          <w:szCs w:val="21"/>
          <w:highlight w:val="none"/>
          <w:lang w:eastAsia="zh-CN"/>
        </w:rPr>
        <w:t>严格</w:t>
      </w:r>
      <w:r>
        <w:rPr>
          <w:rFonts w:ascii="宋体" w:eastAsia="宋体" w:hAnsi="宋体" w:cs="宋体" w:hint="eastAsia"/>
          <w:sz w:val="21"/>
          <w:szCs w:val="21"/>
          <w:highlight w:val="none"/>
        </w:rPr>
        <w:t>服从医院的</w:t>
      </w:r>
      <w:r>
        <w:rPr>
          <w:rFonts w:ascii="宋体" w:eastAsia="宋体" w:hAnsi="宋体" w:cs="宋体" w:hint="eastAsia"/>
          <w:sz w:val="21"/>
          <w:szCs w:val="21"/>
          <w:highlight w:val="none"/>
          <w:lang w:eastAsia="zh-CN"/>
        </w:rPr>
        <w:t>各项</w:t>
      </w:r>
      <w:r>
        <w:rPr>
          <w:rFonts w:ascii="宋体" w:eastAsia="宋体" w:hAnsi="宋体" w:cs="宋体" w:hint="eastAsia"/>
          <w:sz w:val="21"/>
          <w:szCs w:val="21"/>
          <w:highlight w:val="none"/>
        </w:rPr>
        <w:t>管理规定，符合法律法规，并能积极配合医院应对突发公共事件，维护医院正常医疗秩序。</w:t>
      </w:r>
    </w:p>
    <w:p>
      <w:pPr>
        <w:keepNext w:val="0"/>
        <w:keepLines w:val="0"/>
        <w:pageBreakBefore w:val="0"/>
        <w:widowControl w:val="0"/>
        <w:kinsoku/>
        <w:wordWrap/>
        <w:overflowPunct/>
        <w:topLinePunct w:val="0"/>
        <w:autoSpaceDE/>
        <w:autoSpaceDN/>
        <w:bidi w:val="0"/>
        <w:adjustRightInd/>
        <w:snapToGrid w:val="0"/>
        <w:spacing w:after="0" w:line="240" w:lineRule="auto"/>
        <w:ind w:left="0" w:firstLine="349" w:leftChars="0" w:firstLineChars="166"/>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lang w:eastAsia="zh-CN"/>
        </w:rPr>
        <w:t>）中标人要根据医院的要求</w:t>
      </w:r>
      <w:r>
        <w:rPr>
          <w:rFonts w:ascii="宋体" w:eastAsia="宋体" w:hAnsi="宋体" w:cs="宋体" w:hint="eastAsia"/>
          <w:sz w:val="21"/>
          <w:szCs w:val="21"/>
          <w:highlight w:val="none"/>
        </w:rPr>
        <w:t>建立工作人员的规章制度和奖惩制度，督促员工，监督、检查、考核</w:t>
      </w:r>
      <w:r>
        <w:rPr>
          <w:rFonts w:ascii="宋体" w:hAnsi="宋体" w:cs="宋体" w:hint="eastAsia"/>
          <w:sz w:val="21"/>
          <w:szCs w:val="21"/>
          <w:highlight w:val="none"/>
          <w:lang w:eastAsia="zh-CN"/>
        </w:rPr>
        <w:t>医疗护理员</w:t>
      </w:r>
      <w:r>
        <w:rPr>
          <w:rFonts w:ascii="宋体" w:eastAsia="宋体" w:hAnsi="宋体" w:cs="宋体" w:hint="eastAsia"/>
          <w:sz w:val="21"/>
          <w:szCs w:val="21"/>
          <w:highlight w:val="none"/>
          <w:lang w:eastAsia="zh-CN"/>
        </w:rPr>
        <w:t>及</w:t>
      </w:r>
      <w:r>
        <w:rPr>
          <w:rFonts w:ascii="宋体" w:eastAsia="宋体" w:hAnsi="宋体" w:cs="宋体" w:hint="eastAsia"/>
          <w:sz w:val="21"/>
          <w:szCs w:val="21"/>
          <w:highlight w:val="none"/>
        </w:rPr>
        <w:t>管理人员</w:t>
      </w:r>
      <w:r>
        <w:rPr>
          <w:rFonts w:ascii="宋体" w:eastAsia="宋体" w:hAnsi="宋体" w:cs="宋体" w:hint="eastAsia"/>
          <w:sz w:val="21"/>
          <w:szCs w:val="21"/>
          <w:highlight w:val="none"/>
          <w:lang w:eastAsia="zh-CN"/>
        </w:rPr>
        <w:t>的</w:t>
      </w:r>
      <w:r>
        <w:rPr>
          <w:rFonts w:ascii="宋体" w:eastAsia="宋体" w:hAnsi="宋体" w:cs="宋体" w:hint="eastAsia"/>
          <w:sz w:val="21"/>
          <w:szCs w:val="21"/>
          <w:highlight w:val="none"/>
        </w:rPr>
        <w:t>工作质量，</w:t>
      </w:r>
      <w:r>
        <w:rPr>
          <w:rFonts w:ascii="宋体" w:eastAsia="宋体" w:hAnsi="宋体" w:cs="宋体" w:hint="eastAsia"/>
          <w:sz w:val="21"/>
          <w:szCs w:val="21"/>
          <w:highlight w:val="none"/>
          <w:lang w:eastAsia="zh-CN"/>
        </w:rPr>
        <w:t>每月定期做患者及医护人员对</w:t>
      </w:r>
      <w:r>
        <w:rPr>
          <w:rFonts w:ascii="宋体" w:hAnsi="宋体" w:cs="宋体" w:hint="eastAsia"/>
          <w:sz w:val="21"/>
          <w:szCs w:val="21"/>
          <w:highlight w:val="none"/>
          <w:lang w:eastAsia="zh-CN"/>
        </w:rPr>
        <w:t>医疗护理员</w:t>
      </w:r>
      <w:r>
        <w:rPr>
          <w:rFonts w:ascii="宋体" w:eastAsia="宋体" w:hAnsi="宋体" w:cs="宋体" w:hint="eastAsia"/>
          <w:sz w:val="21"/>
          <w:szCs w:val="21"/>
          <w:highlight w:val="none"/>
          <w:lang w:eastAsia="zh-CN"/>
        </w:rPr>
        <w:t>的满意度调查，并根据质量检查结果及满意度情况发放绩效。重点</w:t>
      </w:r>
      <w:r>
        <w:rPr>
          <w:rFonts w:ascii="宋体" w:eastAsia="宋体" w:hAnsi="宋体" w:cs="宋体" w:hint="eastAsia"/>
          <w:sz w:val="21"/>
          <w:szCs w:val="21"/>
          <w:highlight w:val="none"/>
        </w:rPr>
        <w:t>检查督促工作人员遵守国家法律法规、</w:t>
      </w:r>
      <w:r>
        <w:rPr>
          <w:rFonts w:ascii="宋体" w:eastAsia="宋体" w:hAnsi="宋体" w:cs="宋体" w:hint="eastAsia"/>
          <w:sz w:val="21"/>
          <w:szCs w:val="21"/>
          <w:highlight w:val="none"/>
          <w:lang w:eastAsia="zh-CN"/>
        </w:rPr>
        <w:t>中标人</w:t>
      </w:r>
      <w:r>
        <w:rPr>
          <w:rFonts w:ascii="宋体" w:eastAsia="宋体" w:hAnsi="宋体" w:cs="宋体" w:hint="eastAsia"/>
          <w:sz w:val="21"/>
          <w:szCs w:val="21"/>
          <w:highlight w:val="none"/>
        </w:rPr>
        <w:t>与招标</w:t>
      </w:r>
      <w:r>
        <w:rPr>
          <w:rFonts w:ascii="宋体" w:eastAsia="宋体" w:hAnsi="宋体" w:cs="宋体" w:hint="eastAsia"/>
          <w:sz w:val="21"/>
          <w:szCs w:val="21"/>
          <w:highlight w:val="none"/>
          <w:lang w:val="en-US" w:eastAsia="zh-CN"/>
        </w:rPr>
        <w:t>方</w:t>
      </w:r>
      <w:r>
        <w:rPr>
          <w:rFonts w:ascii="宋体" w:eastAsia="宋体" w:hAnsi="宋体" w:cs="宋体" w:hint="eastAsia"/>
          <w:sz w:val="21"/>
          <w:szCs w:val="21"/>
          <w:highlight w:val="none"/>
        </w:rPr>
        <w:t>双方的规章制度，提供优质服务，保证医院工作需要。</w:t>
      </w:r>
    </w:p>
    <w:p>
      <w:pPr>
        <w:keepNext w:val="0"/>
        <w:keepLines w:val="0"/>
        <w:pageBreakBefore w:val="0"/>
        <w:widowControl w:val="0"/>
        <w:kinsoku/>
        <w:wordWrap/>
        <w:overflowPunct/>
        <w:topLinePunct w:val="0"/>
        <w:autoSpaceDE/>
        <w:autoSpaceDN/>
        <w:bidi w:val="0"/>
        <w:adjustRightInd/>
        <w:snapToGrid w:val="0"/>
        <w:spacing w:after="0" w:line="240" w:lineRule="auto"/>
        <w:ind w:left="0" w:firstLine="349" w:leftChars="0" w:firstLineChars="166"/>
        <w:contextualSpacing/>
        <w:jc w:val="left"/>
        <w:textAlignment w:val="auto"/>
        <w:rPr>
          <w:rFonts w:ascii="宋体" w:eastAsia="宋体" w:hAnsi="宋体" w:cs="宋体" w:hint="eastAsia"/>
          <w:color w:val="FF0000"/>
          <w:sz w:val="21"/>
          <w:szCs w:val="21"/>
          <w:highlight w:val="none"/>
        </w:rPr>
      </w:pPr>
      <w:r>
        <w:rPr>
          <w:rFonts w:ascii="宋体" w:eastAsia="宋体" w:hAnsi="宋体" w:cs="宋体" w:hint="eastAsia"/>
          <w:b w:val="0"/>
          <w:bCs w:val="0"/>
          <w:color w:val="FF0000"/>
          <w:szCs w:val="21"/>
          <w:highlight w:val="none"/>
        </w:rPr>
        <w:t>★</w:t>
      </w:r>
      <w:r>
        <w:rPr>
          <w:rFonts w:ascii="宋体" w:eastAsia="宋体" w:hAnsi="宋体" w:cs="宋体" w:hint="eastAsia"/>
          <w:color w:val="FF0000"/>
          <w:sz w:val="21"/>
          <w:szCs w:val="21"/>
          <w:highlight w:val="none"/>
          <w:lang w:eastAsia="zh-CN"/>
        </w:rPr>
        <w:t>（五）中标人</w:t>
      </w:r>
      <w:r>
        <w:rPr>
          <w:rFonts w:ascii="宋体" w:eastAsia="宋体" w:hAnsi="宋体" w:cs="宋体" w:hint="eastAsia"/>
          <w:color w:val="FF0000"/>
          <w:sz w:val="21"/>
          <w:szCs w:val="21"/>
          <w:highlight w:val="none"/>
        </w:rPr>
        <w:t>工作人员必须遵守医院内的相关规定，服从病区管理，不得进行危害医院及</w:t>
      </w:r>
      <w:r>
        <w:rPr>
          <w:rFonts w:ascii="宋体" w:eastAsia="宋体" w:hAnsi="宋体" w:cs="宋体" w:hint="eastAsia"/>
          <w:color w:val="FF0000"/>
          <w:sz w:val="21"/>
          <w:szCs w:val="21"/>
          <w:highlight w:val="none"/>
          <w:lang w:eastAsia="zh-CN"/>
        </w:rPr>
        <w:t>患者</w:t>
      </w:r>
      <w:r>
        <w:rPr>
          <w:rFonts w:ascii="宋体" w:eastAsia="宋体" w:hAnsi="宋体" w:cs="宋体" w:hint="eastAsia"/>
          <w:color w:val="FF0000"/>
          <w:sz w:val="21"/>
          <w:szCs w:val="21"/>
          <w:highlight w:val="none"/>
        </w:rPr>
        <w:t>利益的行为，不得在院内进行违法犯罪活动，一经发现从严处理，若造成被陪护</w:t>
      </w:r>
      <w:r>
        <w:rPr>
          <w:rFonts w:ascii="宋体" w:eastAsia="宋体" w:hAnsi="宋体" w:cs="宋体" w:hint="eastAsia"/>
          <w:color w:val="FF0000"/>
          <w:sz w:val="21"/>
          <w:szCs w:val="21"/>
          <w:highlight w:val="none"/>
          <w:lang w:eastAsia="zh-CN"/>
        </w:rPr>
        <w:t>患者</w:t>
      </w:r>
      <w:r>
        <w:rPr>
          <w:rFonts w:ascii="宋体" w:eastAsia="宋体" w:hAnsi="宋体" w:cs="宋体" w:hint="eastAsia"/>
          <w:color w:val="FF0000"/>
          <w:sz w:val="21"/>
          <w:szCs w:val="21"/>
          <w:highlight w:val="none"/>
        </w:rPr>
        <w:t>的人身损害</w:t>
      </w:r>
      <w:r>
        <w:rPr>
          <w:rFonts w:ascii="宋体" w:eastAsia="宋体" w:hAnsi="宋体" w:cs="宋体" w:hint="eastAsia"/>
          <w:color w:val="FF0000"/>
          <w:sz w:val="21"/>
          <w:szCs w:val="21"/>
          <w:highlight w:val="none"/>
          <w:lang w:eastAsia="zh-CN"/>
        </w:rPr>
        <w:t>或其他</w:t>
      </w:r>
      <w:r>
        <w:rPr>
          <w:rFonts w:ascii="宋体" w:eastAsia="宋体" w:hAnsi="宋体" w:cs="宋体" w:hint="eastAsia"/>
          <w:color w:val="FF0000"/>
          <w:sz w:val="21"/>
          <w:szCs w:val="21"/>
          <w:highlight w:val="none"/>
        </w:rPr>
        <w:t>损失，</w:t>
      </w:r>
      <w:r>
        <w:rPr>
          <w:rFonts w:ascii="宋体" w:eastAsia="宋体" w:hAnsi="宋体" w:cs="宋体" w:hint="eastAsia"/>
          <w:color w:val="FF0000"/>
          <w:sz w:val="21"/>
          <w:szCs w:val="21"/>
          <w:highlight w:val="none"/>
          <w:lang w:eastAsia="zh-CN"/>
        </w:rPr>
        <w:t>中标人</w:t>
      </w:r>
      <w:r>
        <w:rPr>
          <w:rFonts w:ascii="宋体" w:eastAsia="宋体" w:hAnsi="宋体" w:cs="宋体" w:hint="eastAsia"/>
          <w:color w:val="FF0000"/>
          <w:sz w:val="21"/>
          <w:szCs w:val="21"/>
          <w:highlight w:val="none"/>
        </w:rPr>
        <w:t>应承担相应损失的赔偿责任。如涉嫌行政违规或刑事犯罪的，</w:t>
      </w:r>
      <w:r>
        <w:rPr>
          <w:rFonts w:ascii="宋体" w:eastAsia="宋体" w:hAnsi="宋体" w:cs="宋体" w:hint="eastAsia"/>
          <w:color w:val="FF0000"/>
          <w:sz w:val="21"/>
          <w:szCs w:val="21"/>
          <w:highlight w:val="none"/>
          <w:lang w:eastAsia="zh-CN"/>
        </w:rPr>
        <w:t>医院</w:t>
      </w:r>
      <w:r>
        <w:rPr>
          <w:rFonts w:ascii="宋体" w:eastAsia="宋体" w:hAnsi="宋体" w:cs="宋体" w:hint="eastAsia"/>
          <w:color w:val="FF0000"/>
          <w:sz w:val="21"/>
          <w:szCs w:val="21"/>
          <w:highlight w:val="none"/>
        </w:rPr>
        <w:t>有权提交相关部门予以处理。</w:t>
      </w:r>
    </w:p>
    <w:p>
      <w:pPr>
        <w:keepNext w:val="0"/>
        <w:keepLines w:val="0"/>
        <w:pageBreakBefore w:val="0"/>
        <w:widowControl w:val="0"/>
        <w:kinsoku/>
        <w:wordWrap/>
        <w:overflowPunct/>
        <w:topLinePunct w:val="0"/>
        <w:autoSpaceDE/>
        <w:autoSpaceDN/>
        <w:bidi w:val="0"/>
        <w:adjustRightInd/>
        <w:snapToGrid w:val="0"/>
        <w:spacing w:after="0" w:line="240" w:lineRule="auto"/>
        <w:ind w:left="0" w:firstLine="349" w:leftChars="0" w:firstLineChars="166"/>
        <w:contextualSpacing/>
        <w:jc w:val="left"/>
        <w:textAlignment w:val="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lang w:eastAsia="zh-CN"/>
        </w:rPr>
        <w:t>（六）</w:t>
      </w:r>
      <w:r>
        <w:rPr>
          <w:rFonts w:ascii="宋体" w:hAnsi="宋体" w:cs="宋体" w:hint="eastAsia"/>
          <w:color w:val="auto"/>
          <w:sz w:val="21"/>
          <w:szCs w:val="21"/>
          <w:highlight w:val="none"/>
          <w:lang w:eastAsia="zh-CN"/>
        </w:rPr>
        <w:t>医疗护理员</w:t>
      </w:r>
      <w:r>
        <w:rPr>
          <w:rFonts w:ascii="宋体" w:eastAsia="宋体" w:hAnsi="宋体" w:cs="宋体" w:hint="eastAsia"/>
          <w:color w:val="auto"/>
          <w:sz w:val="21"/>
          <w:szCs w:val="21"/>
          <w:highlight w:val="none"/>
        </w:rPr>
        <w:t>在工作</w:t>
      </w:r>
      <w:r>
        <w:rPr>
          <w:rFonts w:ascii="宋体" w:eastAsia="宋体" w:hAnsi="宋体" w:cs="宋体" w:hint="eastAsia"/>
          <w:color w:val="auto"/>
          <w:sz w:val="21"/>
          <w:szCs w:val="21"/>
          <w:highlight w:val="none"/>
          <w:lang w:eastAsia="zh-CN"/>
        </w:rPr>
        <w:t>期间</w:t>
      </w:r>
      <w:r>
        <w:rPr>
          <w:rFonts w:ascii="宋体" w:eastAsia="宋体" w:hAnsi="宋体" w:cs="宋体" w:hint="eastAsia"/>
          <w:color w:val="auto"/>
          <w:sz w:val="21"/>
          <w:szCs w:val="21"/>
          <w:highlight w:val="none"/>
        </w:rPr>
        <w:t>因故意或工作疏忽，导致被陪护</w:t>
      </w:r>
      <w:r>
        <w:rPr>
          <w:rFonts w:ascii="宋体" w:eastAsia="宋体" w:hAnsi="宋体" w:cs="宋体" w:hint="eastAsia"/>
          <w:color w:val="auto"/>
          <w:sz w:val="21"/>
          <w:szCs w:val="21"/>
          <w:highlight w:val="none"/>
          <w:lang w:eastAsia="zh-CN"/>
        </w:rPr>
        <w:t>患者</w:t>
      </w:r>
      <w:r>
        <w:rPr>
          <w:rFonts w:ascii="宋体" w:eastAsia="宋体" w:hAnsi="宋体" w:cs="宋体" w:hint="eastAsia"/>
          <w:color w:val="auto"/>
          <w:sz w:val="21"/>
          <w:szCs w:val="21"/>
          <w:highlight w:val="none"/>
        </w:rPr>
        <w:t>造成人身损害</w:t>
      </w:r>
      <w:r>
        <w:rPr>
          <w:rFonts w:ascii="宋体" w:eastAsia="宋体" w:hAnsi="宋体" w:cs="宋体" w:hint="eastAsia"/>
          <w:color w:val="auto"/>
          <w:sz w:val="21"/>
          <w:szCs w:val="21"/>
          <w:highlight w:val="none"/>
          <w:lang w:eastAsia="zh-CN"/>
        </w:rPr>
        <w:t>或其他</w:t>
      </w:r>
      <w:r>
        <w:rPr>
          <w:rFonts w:ascii="宋体" w:eastAsia="宋体" w:hAnsi="宋体" w:cs="宋体" w:hint="eastAsia"/>
          <w:color w:val="auto"/>
          <w:sz w:val="21"/>
          <w:szCs w:val="21"/>
          <w:highlight w:val="none"/>
        </w:rPr>
        <w:t>损失，由</w:t>
      </w:r>
      <w:r>
        <w:rPr>
          <w:rFonts w:ascii="宋体" w:eastAsia="宋体" w:hAnsi="宋体" w:cs="宋体" w:hint="eastAsia"/>
          <w:color w:val="auto"/>
          <w:sz w:val="21"/>
          <w:szCs w:val="21"/>
          <w:highlight w:val="none"/>
          <w:lang w:eastAsia="zh-CN"/>
        </w:rPr>
        <w:t>中标人</w:t>
      </w:r>
      <w:r>
        <w:rPr>
          <w:rFonts w:ascii="宋体" w:eastAsia="宋体" w:hAnsi="宋体" w:cs="宋体" w:hint="eastAsia"/>
          <w:color w:val="auto"/>
          <w:sz w:val="21"/>
          <w:szCs w:val="21"/>
          <w:highlight w:val="none"/>
        </w:rPr>
        <w:t>承担相关费用及法律责任。</w:t>
      </w:r>
    </w:p>
    <w:p>
      <w:pPr>
        <w:keepNext w:val="0"/>
        <w:keepLines w:val="0"/>
        <w:pageBreakBefore w:val="0"/>
        <w:widowControl w:val="0"/>
        <w:kinsoku/>
        <w:wordWrap/>
        <w:overflowPunct/>
        <w:topLinePunct w:val="0"/>
        <w:autoSpaceDE/>
        <w:autoSpaceDN/>
        <w:bidi w:val="0"/>
        <w:adjustRightInd/>
        <w:snapToGrid w:val="0"/>
        <w:spacing w:after="0" w:line="240" w:lineRule="auto"/>
        <w:ind w:left="0" w:firstLine="349" w:leftChars="0" w:firstLineChars="166"/>
        <w:contextualSpacing/>
        <w:jc w:val="left"/>
        <w:textAlignment w:val="auto"/>
        <w:rPr>
          <w:rFonts w:ascii="宋体" w:eastAsia="宋体" w:hAnsi="宋体" w:cs="宋体" w:hint="eastAsia"/>
          <w:color w:val="FF0000"/>
          <w:sz w:val="21"/>
          <w:szCs w:val="21"/>
          <w:highlight w:val="none"/>
        </w:rPr>
      </w:pPr>
      <w:r>
        <w:rPr>
          <w:rFonts w:ascii="宋体" w:eastAsia="宋体" w:hAnsi="宋体" w:cs="宋体" w:hint="eastAsia"/>
          <w:b/>
          <w:bCs/>
          <w:color w:val="FF0000"/>
          <w:szCs w:val="21"/>
          <w:highlight w:val="none"/>
        </w:rPr>
        <w:t>★</w:t>
      </w:r>
      <w:r>
        <w:rPr>
          <w:rFonts w:ascii="宋体" w:eastAsia="宋体" w:hAnsi="宋体" w:cs="宋体" w:hint="eastAsia"/>
          <w:color w:val="FF0000"/>
          <w:sz w:val="21"/>
          <w:szCs w:val="21"/>
          <w:highlight w:val="none"/>
          <w:lang w:eastAsia="zh-CN"/>
        </w:rPr>
        <w:t>（七）</w:t>
      </w:r>
      <w:r>
        <w:rPr>
          <w:rFonts w:hint="eastAsia"/>
          <w:color w:val="FF0000"/>
          <w:highlight w:val="none"/>
          <w:lang w:val="en-US" w:eastAsia="zh-CN"/>
        </w:rPr>
        <w:t>中标人根据采购人要求，协助完成服务病区的收费标准公示等工作</w:t>
      </w:r>
      <w:r>
        <w:rPr>
          <w:rFonts w:ascii="宋体" w:eastAsia="宋体" w:hAnsi="宋体" w:cs="宋体" w:hint="eastAsia"/>
          <w:color w:val="FF0000"/>
          <w:sz w:val="21"/>
          <w:szCs w:val="21"/>
          <w:highlight w:val="none"/>
        </w:rPr>
        <w:t>，并严格按照公示价格执行。</w:t>
      </w:r>
    </w:p>
    <w:p>
      <w:pPr>
        <w:keepNext w:val="0"/>
        <w:keepLines w:val="0"/>
        <w:pageBreakBefore w:val="0"/>
        <w:widowControl w:val="0"/>
        <w:kinsoku/>
        <w:wordWrap/>
        <w:overflowPunct/>
        <w:topLinePunct w:val="0"/>
        <w:autoSpaceDE/>
        <w:autoSpaceDN/>
        <w:bidi w:val="0"/>
        <w:adjustRightInd/>
        <w:snapToGrid w:val="0"/>
        <w:spacing w:after="0" w:line="240" w:lineRule="auto"/>
        <w:ind w:left="0" w:firstLine="349" w:leftChars="0" w:firstLineChars="166"/>
        <w:contextualSpacing/>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（八）中标人应制定基于工作质量、</w:t>
      </w:r>
      <w:r>
        <w:rPr>
          <w:rFonts w:ascii="宋体" w:hAnsi="宋体" w:cs="宋体" w:hint="eastAsia"/>
          <w:color w:val="auto"/>
          <w:sz w:val="21"/>
          <w:szCs w:val="21"/>
          <w:highlight w:val="none"/>
          <w:lang w:val="en-US" w:eastAsia="zh-CN"/>
        </w:rPr>
        <w:t>服务保障措施、服务质量监督管理，患者</w:t>
      </w:r>
      <w:r>
        <w:rPr>
          <w:rFonts w:ascii="宋体" w:eastAsia="宋体" w:hAnsi="宋体" w:cs="宋体" w:hint="eastAsia"/>
          <w:color w:val="auto"/>
          <w:sz w:val="21"/>
          <w:szCs w:val="21"/>
          <w:highlight w:val="none"/>
          <w:lang w:val="en-US" w:eastAsia="zh-CN"/>
        </w:rPr>
        <w:t>安全及满意度等的</w:t>
      </w:r>
      <w:r>
        <w:rPr>
          <w:rFonts w:ascii="宋体" w:hAnsi="宋体" w:cs="宋体" w:hint="eastAsia"/>
          <w:color w:val="auto"/>
          <w:sz w:val="21"/>
          <w:szCs w:val="21"/>
          <w:highlight w:val="none"/>
          <w:lang w:val="en-US" w:eastAsia="zh-CN"/>
        </w:rPr>
        <w:t>医疗护理员</w:t>
      </w:r>
      <w:r>
        <w:rPr>
          <w:rFonts w:ascii="宋体" w:eastAsia="宋体" w:hAnsi="宋体" w:cs="宋体" w:hint="eastAsia"/>
          <w:color w:val="auto"/>
          <w:sz w:val="21"/>
          <w:szCs w:val="21"/>
          <w:highlight w:val="none"/>
          <w:lang w:val="en-US" w:eastAsia="zh-CN"/>
        </w:rPr>
        <w:t>的评价及退出机制。</w:t>
      </w:r>
    </w:p>
    <w:p>
      <w:pPr>
        <w:keepNext w:val="0"/>
        <w:keepLines w:val="0"/>
        <w:pageBreakBefore w:val="0"/>
        <w:widowControl w:val="0"/>
        <w:kinsoku/>
        <w:wordWrap/>
        <w:overflowPunct/>
        <w:topLinePunct w:val="0"/>
        <w:autoSpaceDE/>
        <w:autoSpaceDN/>
        <w:bidi w:val="0"/>
        <w:adjustRightInd/>
        <w:snapToGrid w:val="0"/>
        <w:spacing w:after="0" w:line="240" w:lineRule="auto"/>
        <w:ind w:left="0" w:firstLine="349" w:leftChars="0" w:firstLineChars="166"/>
        <w:contextualSpacing/>
        <w:jc w:val="left"/>
        <w:textAlignment w:val="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lang w:eastAsia="zh-CN"/>
        </w:rPr>
        <w:t>（九）中标人</w:t>
      </w:r>
      <w:r>
        <w:rPr>
          <w:rFonts w:ascii="宋体" w:eastAsia="宋体" w:hAnsi="宋体" w:cs="宋体" w:hint="eastAsia"/>
          <w:color w:val="auto"/>
          <w:sz w:val="21"/>
          <w:szCs w:val="21"/>
          <w:highlight w:val="none"/>
        </w:rPr>
        <w:t>应具备开展多种模式服务的经验和能力，能配合医院提升</w:t>
      </w:r>
      <w:r>
        <w:rPr>
          <w:rFonts w:ascii="宋体" w:hAnsi="宋体" w:cs="宋体" w:hint="eastAsia"/>
          <w:color w:val="auto"/>
          <w:sz w:val="21"/>
          <w:szCs w:val="21"/>
          <w:highlight w:val="none"/>
          <w:lang w:eastAsia="zh-CN"/>
        </w:rPr>
        <w:t>医疗护理员</w:t>
      </w:r>
      <w:r>
        <w:rPr>
          <w:rFonts w:ascii="宋体" w:eastAsia="宋体" w:hAnsi="宋体" w:cs="宋体" w:hint="eastAsia"/>
          <w:color w:val="auto"/>
          <w:sz w:val="21"/>
          <w:szCs w:val="21"/>
          <w:highlight w:val="none"/>
        </w:rPr>
        <w:t>工作服务质量。</w:t>
      </w:r>
    </w:p>
    <w:p>
      <w:pPr>
        <w:keepNext w:val="0"/>
        <w:keepLines w:val="0"/>
        <w:pageBreakBefore w:val="0"/>
        <w:widowControl w:val="0"/>
        <w:kinsoku/>
        <w:wordWrap/>
        <w:overflowPunct/>
        <w:topLinePunct w:val="0"/>
        <w:autoSpaceDE/>
        <w:autoSpaceDN/>
        <w:bidi w:val="0"/>
        <w:adjustRightInd/>
        <w:snapToGrid w:val="0"/>
        <w:spacing w:after="0" w:line="240" w:lineRule="auto"/>
        <w:ind w:left="0" w:firstLine="349" w:leftChars="0" w:firstLineChars="166"/>
        <w:contextualSpacing/>
        <w:jc w:val="left"/>
        <w:textAlignment w:val="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lang w:eastAsia="zh-CN"/>
        </w:rPr>
        <w:t>（十）中标人</w:t>
      </w:r>
      <w:r>
        <w:rPr>
          <w:rFonts w:ascii="宋体" w:eastAsia="宋体" w:hAnsi="宋体" w:cs="宋体" w:hint="eastAsia"/>
          <w:color w:val="auto"/>
          <w:sz w:val="21"/>
          <w:szCs w:val="21"/>
          <w:highlight w:val="none"/>
        </w:rPr>
        <w:t>应具备完善的用人招聘渠道和体系，制订并运行合理的人力调配制度，确保人力资源充足，按医院各病区实际需要配置</w:t>
      </w:r>
      <w:r>
        <w:rPr>
          <w:rFonts w:ascii="宋体" w:hAnsi="宋体" w:cs="宋体" w:hint="eastAsia"/>
          <w:color w:val="auto"/>
          <w:sz w:val="21"/>
          <w:szCs w:val="21"/>
          <w:highlight w:val="none"/>
          <w:lang w:val="en-US" w:eastAsia="zh-CN"/>
        </w:rPr>
        <w:t>医疗护理员</w:t>
      </w:r>
      <w:r>
        <w:rPr>
          <w:rFonts w:ascii="宋体" w:eastAsia="宋体" w:hAnsi="宋体" w:cs="宋体" w:hint="eastAsia"/>
          <w:color w:val="auto"/>
          <w:sz w:val="21"/>
          <w:szCs w:val="21"/>
          <w:highlight w:val="none"/>
        </w:rPr>
        <w:t>，在各法定节假日期间能够确保医院陪护</w:t>
      </w:r>
      <w:r>
        <w:rPr>
          <w:rFonts w:ascii="宋体" w:eastAsia="宋体" w:hAnsi="宋体" w:cs="宋体" w:hint="eastAsia"/>
          <w:color w:val="auto"/>
          <w:sz w:val="21"/>
          <w:szCs w:val="21"/>
          <w:highlight w:val="none"/>
          <w:lang w:eastAsia="zh-CN"/>
        </w:rPr>
        <w:t>人力的</w:t>
      </w:r>
      <w:r>
        <w:rPr>
          <w:rFonts w:ascii="宋体" w:eastAsia="宋体" w:hAnsi="宋体" w:cs="宋体" w:hint="eastAsia"/>
          <w:color w:val="auto"/>
          <w:sz w:val="21"/>
          <w:szCs w:val="21"/>
          <w:highlight w:val="none"/>
        </w:rPr>
        <w:t>需求。</w:t>
      </w:r>
    </w:p>
    <w:p>
      <w:pPr>
        <w:keepNext w:val="0"/>
        <w:keepLines w:val="0"/>
        <w:pageBreakBefore w:val="0"/>
        <w:widowControl w:val="0"/>
        <w:kinsoku/>
        <w:wordWrap/>
        <w:overflowPunct/>
        <w:topLinePunct w:val="0"/>
        <w:autoSpaceDE/>
        <w:autoSpaceDN/>
        <w:bidi w:val="0"/>
        <w:adjustRightInd/>
        <w:snapToGrid w:val="0"/>
        <w:spacing w:after="0" w:line="240" w:lineRule="auto"/>
        <w:ind w:left="0" w:firstLine="349" w:leftChars="0" w:firstLineChars="166"/>
        <w:contextualSpacing/>
        <w:jc w:val="left"/>
        <w:textAlignment w:val="auto"/>
        <w:rPr>
          <w:rFonts w:ascii="宋体" w:eastAsia="宋体" w:hAnsi="宋体" w:cs="宋体" w:hint="eastAsia"/>
          <w:bCs/>
          <w:color w:val="auto"/>
          <w:sz w:val="21"/>
          <w:szCs w:val="21"/>
          <w:highlight w:val="none"/>
          <w:u w:val="none"/>
          <w:lang w:eastAsia="zh-CN"/>
        </w:rPr>
      </w:pPr>
      <w:r>
        <w:rPr>
          <w:rFonts w:ascii="宋体" w:eastAsia="宋体" w:hAnsi="宋体" w:cs="宋体" w:hint="eastAsia"/>
          <w:b/>
          <w:bCs/>
          <w:color w:val="FF0000"/>
          <w:szCs w:val="21"/>
          <w:highlight w:val="none"/>
          <w:u w:val="none"/>
        </w:rPr>
        <w:t>★</w:t>
      </w:r>
      <w:r>
        <w:rPr>
          <w:rFonts w:ascii="宋体" w:eastAsia="宋体" w:hAnsi="宋体" w:cs="宋体" w:hint="eastAsia"/>
          <w:b w:val="0"/>
          <w:bCs w:val="0"/>
          <w:color w:val="FF0000"/>
          <w:sz w:val="21"/>
          <w:szCs w:val="21"/>
          <w:highlight w:val="none"/>
          <w:u w:val="none"/>
          <w:lang w:eastAsia="zh-CN"/>
        </w:rPr>
        <w:t>（十一）</w:t>
      </w:r>
      <w:r>
        <w:rPr>
          <w:rFonts w:ascii="宋体" w:eastAsia="宋体" w:hAnsi="宋体" w:cs="宋体" w:hint="eastAsia"/>
          <w:bCs/>
          <w:color w:val="FF0000"/>
          <w:sz w:val="21"/>
          <w:szCs w:val="21"/>
          <w:highlight w:val="none"/>
          <w:u w:val="none"/>
          <w:lang w:eastAsia="zh-CN"/>
        </w:rPr>
        <w:t>中标人</w:t>
      </w:r>
      <w:r>
        <w:rPr>
          <w:rFonts w:ascii="宋体" w:eastAsia="宋体" w:hAnsi="宋体" w:cs="宋体" w:hint="eastAsia"/>
          <w:bCs/>
          <w:color w:val="FF0000"/>
          <w:sz w:val="21"/>
          <w:szCs w:val="21"/>
          <w:highlight w:val="none"/>
          <w:u w:val="none"/>
        </w:rPr>
        <w:t>应具备完备的培训服务体系，拥有规范的培训团队，至少具备</w:t>
      </w:r>
      <w:r>
        <w:rPr>
          <w:rFonts w:ascii="宋体" w:hAnsi="宋体" w:cs="宋体" w:hint="eastAsia"/>
          <w:b w:val="0"/>
          <w:bCs/>
          <w:color w:val="FF0000"/>
          <w:sz w:val="21"/>
          <w:szCs w:val="21"/>
          <w:highlight w:val="none"/>
          <w:u w:val="none"/>
          <w:lang w:val="en-US" w:eastAsia="zh-CN"/>
        </w:rPr>
        <w:t>2</w:t>
      </w:r>
      <w:r>
        <w:rPr>
          <w:rFonts w:ascii="宋体" w:eastAsia="宋体" w:hAnsi="宋体" w:cs="宋体" w:hint="eastAsia"/>
          <w:b w:val="0"/>
          <w:bCs/>
          <w:color w:val="FF0000"/>
          <w:sz w:val="21"/>
          <w:szCs w:val="21"/>
          <w:highlight w:val="none"/>
          <w:u w:val="none"/>
        </w:rPr>
        <w:t>名具</w:t>
      </w:r>
      <w:r>
        <w:rPr>
          <w:rFonts w:ascii="宋体" w:eastAsia="宋体" w:hAnsi="宋体" w:cs="宋体" w:hint="eastAsia"/>
          <w:bCs/>
          <w:color w:val="FF0000"/>
          <w:sz w:val="21"/>
          <w:szCs w:val="21"/>
          <w:highlight w:val="none"/>
          <w:u w:val="none"/>
        </w:rPr>
        <w:t>有护理专业中级或以上职称人员全职从事员工专业技能培训工作，能为</w:t>
      </w:r>
      <w:r>
        <w:rPr>
          <w:rFonts w:ascii="宋体" w:hAnsi="宋体" w:cs="宋体" w:hint="eastAsia"/>
          <w:bCs/>
          <w:color w:val="FF0000"/>
          <w:sz w:val="21"/>
          <w:szCs w:val="21"/>
          <w:highlight w:val="none"/>
          <w:u w:val="none"/>
          <w:lang w:val="en-US" w:eastAsia="zh-CN"/>
        </w:rPr>
        <w:t>医疗护理</w:t>
      </w:r>
      <w:r>
        <w:rPr>
          <w:rFonts w:ascii="宋体" w:eastAsia="宋体" w:hAnsi="宋体" w:cs="宋体" w:hint="eastAsia"/>
          <w:bCs/>
          <w:color w:val="FF0000"/>
          <w:sz w:val="21"/>
          <w:szCs w:val="21"/>
          <w:highlight w:val="none"/>
          <w:u w:val="none"/>
        </w:rPr>
        <w:t>员提供完善规范的专业技能培训</w:t>
      </w:r>
      <w:r>
        <w:rPr>
          <w:rFonts w:ascii="宋体" w:hAnsi="宋体" w:cs="宋体" w:hint="eastAsia"/>
          <w:bCs/>
          <w:color w:val="FF0000"/>
          <w:sz w:val="21"/>
          <w:szCs w:val="21"/>
          <w:highlight w:val="none"/>
          <w:u w:val="none"/>
          <w:lang w:eastAsia="zh-CN"/>
        </w:rPr>
        <w:t>。</w:t>
      </w:r>
      <w:r>
        <w:rPr>
          <w:rFonts w:ascii="宋体" w:eastAsia="宋体" w:hAnsi="宋体" w:cs="宋体" w:hint="eastAsia"/>
          <w:bCs/>
          <w:color w:val="FF0000"/>
          <w:sz w:val="21"/>
          <w:szCs w:val="21"/>
          <w:highlight w:val="none"/>
          <w:u w:val="none"/>
          <w:lang w:val="en-US" w:eastAsia="zh-CN"/>
        </w:rPr>
        <w:t>中标人</w:t>
      </w:r>
      <w:r>
        <w:rPr>
          <w:rFonts w:ascii="宋体" w:hAnsi="宋体" w:cs="宋体" w:hint="eastAsia"/>
          <w:bCs/>
          <w:color w:val="FF0000"/>
          <w:sz w:val="21"/>
          <w:szCs w:val="21"/>
          <w:highlight w:val="none"/>
          <w:u w:val="none"/>
          <w:lang w:val="en-US" w:eastAsia="zh-CN"/>
        </w:rPr>
        <w:t>需向医院提供全面的培训方案，包括公共培训和专科培训内容</w:t>
      </w:r>
      <w:r>
        <w:rPr>
          <w:rFonts w:ascii="宋体" w:eastAsia="宋体" w:hAnsi="宋体" w:cs="宋体" w:hint="eastAsia"/>
          <w:b/>
          <w:bCs w:val="0"/>
          <w:color w:val="FF0000"/>
          <w:sz w:val="21"/>
          <w:szCs w:val="21"/>
          <w:highlight w:val="none"/>
          <w:u w:val="none"/>
        </w:rPr>
        <w:t>（投标文件中提供相关人员简历</w:t>
      </w:r>
      <w:r>
        <w:rPr>
          <w:rFonts w:ascii="宋体" w:hAnsi="宋体" w:cs="宋体" w:hint="eastAsia"/>
          <w:b/>
          <w:bCs w:val="0"/>
          <w:color w:val="FF0000"/>
          <w:sz w:val="21"/>
          <w:szCs w:val="21"/>
          <w:highlight w:val="none"/>
          <w:u w:val="none"/>
          <w:lang w:eastAsia="zh-CN"/>
        </w:rPr>
        <w:t>、</w:t>
      </w:r>
      <w:r>
        <w:rPr>
          <w:rFonts w:ascii="宋体" w:hAnsi="宋体" w:cs="宋体" w:hint="eastAsia"/>
          <w:b/>
          <w:bCs w:val="0"/>
          <w:color w:val="FF0000"/>
          <w:sz w:val="21"/>
          <w:szCs w:val="21"/>
          <w:highlight w:val="none"/>
          <w:u w:val="none"/>
          <w:lang w:val="en-US" w:eastAsia="zh-CN"/>
        </w:rPr>
        <w:t>资质</w:t>
      </w:r>
      <w:r>
        <w:rPr>
          <w:rFonts w:ascii="宋体" w:eastAsia="宋体" w:hAnsi="宋体" w:cs="宋体" w:hint="eastAsia"/>
          <w:b/>
          <w:bCs w:val="0"/>
          <w:color w:val="FF0000"/>
          <w:sz w:val="21"/>
          <w:szCs w:val="21"/>
          <w:highlight w:val="none"/>
          <w:u w:val="none"/>
        </w:rPr>
        <w:t>证书复印件</w:t>
      </w:r>
      <w:r>
        <w:rPr>
          <w:rFonts w:ascii="宋体" w:hAnsi="宋体" w:cs="宋体" w:hint="eastAsia"/>
          <w:b/>
          <w:bCs w:val="0"/>
          <w:color w:val="FF0000"/>
          <w:sz w:val="21"/>
          <w:szCs w:val="21"/>
          <w:highlight w:val="none"/>
          <w:u w:val="none"/>
          <w:lang w:val="en-US" w:eastAsia="zh-CN"/>
        </w:rPr>
        <w:t>及</w:t>
      </w:r>
      <w:r>
        <w:rPr>
          <w:rFonts w:ascii="宋体" w:eastAsia="宋体" w:hAnsi="宋体" w:cs="宋体" w:hint="eastAsia"/>
          <w:b/>
          <w:bCs w:val="0"/>
          <w:color w:val="FF0000"/>
          <w:sz w:val="21"/>
          <w:szCs w:val="21"/>
          <w:highlight w:val="none"/>
          <w:u w:val="none"/>
        </w:rPr>
        <w:t>承诺函并加盖公章，格式自拟）</w:t>
      </w:r>
      <w:r>
        <w:rPr>
          <w:rFonts w:ascii="宋体" w:eastAsia="宋体" w:hAnsi="宋体" w:cs="宋体" w:hint="eastAsia"/>
          <w:bCs/>
          <w:color w:val="FF0000"/>
          <w:sz w:val="21"/>
          <w:szCs w:val="21"/>
          <w:highlight w:val="none"/>
          <w:u w:val="none"/>
          <w:lang w:eastAsia="zh-CN"/>
        </w:rPr>
        <w:t>。</w:t>
      </w:r>
    </w:p>
    <w:p>
      <w:pPr>
        <w:pStyle w:val="12"/>
        <w:spacing w:line="240" w:lineRule="auto"/>
        <w:ind w:firstLine="420" w:firstLineChars="200"/>
        <w:rPr>
          <w:rFonts w:ascii="宋体" w:hAnsi="宋体" w:cs="宋体" w:hint="eastAsia"/>
          <w:color w:val="FF0000"/>
          <w:sz w:val="21"/>
          <w:szCs w:val="21"/>
          <w:highlight w:val="none"/>
          <w:lang w:val="en-US" w:eastAsia="zh-CN"/>
        </w:rPr>
      </w:pPr>
      <w:r>
        <w:rPr>
          <w:rFonts w:ascii="宋体" w:eastAsia="宋体" w:hAnsi="宋体" w:cs="宋体" w:hint="eastAsia"/>
          <w:b/>
          <w:bCs/>
          <w:color w:val="FF0000"/>
          <w:szCs w:val="21"/>
          <w:highlight w:val="none"/>
        </w:rPr>
        <w:t>★</w:t>
      </w:r>
      <w:r>
        <w:rPr>
          <w:rFonts w:ascii="宋体" w:eastAsia="宋体" w:hAnsi="宋体" w:cs="宋体" w:hint="eastAsia"/>
          <w:color w:val="FF0000"/>
          <w:sz w:val="21"/>
          <w:szCs w:val="21"/>
          <w:highlight w:val="none"/>
          <w:lang w:eastAsia="zh-CN"/>
        </w:rPr>
        <w:t>（十二）</w:t>
      </w:r>
      <w:r>
        <w:rPr>
          <w:rFonts w:ascii="宋体" w:eastAsia="宋体" w:hAnsi="宋体" w:cs="宋体" w:hint="eastAsia"/>
          <w:color w:val="FF0000"/>
          <w:sz w:val="21"/>
          <w:szCs w:val="21"/>
          <w:highlight w:val="none"/>
          <w:lang w:val="en-US" w:eastAsia="zh-CN"/>
        </w:rPr>
        <w:t>中标人</w:t>
      </w:r>
      <w:r>
        <w:rPr>
          <w:rFonts w:ascii="宋体" w:hAnsi="宋体" w:cs="宋体" w:hint="eastAsia"/>
          <w:color w:val="FF0000"/>
          <w:sz w:val="21"/>
          <w:szCs w:val="21"/>
          <w:highlight w:val="none"/>
          <w:lang w:val="en-US" w:eastAsia="zh-CN"/>
        </w:rPr>
        <w:t>需要有相关制度保障医疗护理员队伍稳定和免陪照护服务质量。</w:t>
      </w:r>
    </w:p>
    <w:p>
      <w:pPr>
        <w:keepNext w:val="0"/>
        <w:keepLines w:val="0"/>
        <w:pageBreakBefore w:val="0"/>
        <w:widowControl w:val="0"/>
        <w:kinsoku/>
        <w:wordWrap/>
        <w:overflowPunct/>
        <w:topLinePunct w:val="0"/>
        <w:autoSpaceDE/>
        <w:autoSpaceDN/>
        <w:bidi w:val="0"/>
        <w:adjustRightInd/>
        <w:snapToGrid w:val="0"/>
        <w:spacing w:line="240" w:lineRule="auto"/>
        <w:ind w:left="0" w:firstLine="349" w:leftChars="0" w:firstLineChars="166"/>
        <w:contextualSpacing/>
        <w:jc w:val="left"/>
        <w:textAlignment w:val="auto"/>
        <w:rPr>
          <w:rFonts w:ascii="宋体" w:eastAsia="宋体" w:hAnsi="宋体" w:cs="宋体" w:hint="eastAsia"/>
          <w:color w:val="FF0000"/>
          <w:sz w:val="21"/>
          <w:szCs w:val="21"/>
          <w:highlight w:val="none"/>
        </w:rPr>
      </w:pPr>
      <w:r>
        <w:rPr>
          <w:rFonts w:ascii="宋体" w:eastAsia="宋体" w:hAnsi="宋体" w:cs="宋体" w:hint="eastAsia"/>
          <w:b/>
          <w:bCs/>
          <w:color w:val="FF0000"/>
          <w:szCs w:val="21"/>
          <w:highlight w:val="none"/>
        </w:rPr>
        <w:t>★</w:t>
      </w:r>
      <w:r>
        <w:rPr>
          <w:rFonts w:ascii="宋体" w:eastAsia="宋体" w:hAnsi="宋体" w:cs="宋体" w:hint="eastAsia"/>
          <w:color w:val="FF0000"/>
          <w:sz w:val="21"/>
          <w:szCs w:val="21"/>
          <w:highlight w:val="none"/>
          <w:lang w:eastAsia="zh-CN"/>
        </w:rPr>
        <w:t>（十</w:t>
      </w:r>
      <w:r>
        <w:rPr>
          <w:rFonts w:ascii="宋体" w:hAnsi="宋体" w:cs="宋体" w:hint="eastAsia"/>
          <w:color w:val="FF0000"/>
          <w:sz w:val="21"/>
          <w:szCs w:val="21"/>
          <w:highlight w:val="none"/>
          <w:lang w:val="en-US" w:eastAsia="zh-CN"/>
        </w:rPr>
        <w:t>三</w:t>
      </w:r>
      <w:r>
        <w:rPr>
          <w:rFonts w:ascii="宋体" w:eastAsia="宋体" w:hAnsi="宋体" w:cs="宋体" w:hint="eastAsia"/>
          <w:color w:val="FF0000"/>
          <w:sz w:val="21"/>
          <w:szCs w:val="21"/>
          <w:highlight w:val="none"/>
          <w:lang w:eastAsia="zh-CN"/>
        </w:rPr>
        <w:t>）</w:t>
      </w:r>
      <w:r>
        <w:rPr>
          <w:rFonts w:ascii="宋体" w:eastAsia="宋体" w:hAnsi="宋体" w:cs="宋体" w:hint="eastAsia"/>
          <w:color w:val="FF0000"/>
          <w:sz w:val="21"/>
          <w:szCs w:val="21"/>
          <w:highlight w:val="none"/>
        </w:rPr>
        <w:t>为维护医院良好形象，</w:t>
      </w:r>
      <w:r>
        <w:rPr>
          <w:rFonts w:ascii="宋体" w:eastAsia="宋体" w:hAnsi="宋体" w:cs="宋体" w:hint="eastAsia"/>
          <w:color w:val="FF0000"/>
          <w:sz w:val="21"/>
          <w:szCs w:val="21"/>
          <w:highlight w:val="none"/>
          <w:lang w:eastAsia="zh-CN"/>
        </w:rPr>
        <w:t>中标人</w:t>
      </w:r>
      <w:r>
        <w:rPr>
          <w:rFonts w:ascii="宋体" w:eastAsia="宋体" w:hAnsi="宋体" w:cs="宋体" w:hint="eastAsia"/>
          <w:color w:val="FF0000"/>
          <w:sz w:val="21"/>
          <w:szCs w:val="21"/>
          <w:highlight w:val="none"/>
        </w:rPr>
        <w:t>必须为</w:t>
      </w:r>
      <w:r>
        <w:rPr>
          <w:rFonts w:ascii="宋体" w:hAnsi="宋体" w:cs="宋体" w:hint="eastAsia"/>
          <w:color w:val="FF0000"/>
          <w:sz w:val="21"/>
          <w:szCs w:val="21"/>
          <w:highlight w:val="none"/>
          <w:lang w:eastAsia="zh-CN"/>
        </w:rPr>
        <w:t>医疗护理员</w:t>
      </w:r>
      <w:r>
        <w:rPr>
          <w:rFonts w:ascii="宋体" w:eastAsia="宋体" w:hAnsi="宋体" w:cs="宋体" w:hint="eastAsia"/>
          <w:color w:val="FF0000"/>
          <w:sz w:val="21"/>
          <w:szCs w:val="21"/>
          <w:highlight w:val="none"/>
        </w:rPr>
        <w:t>配置统一制服、工牌，</w:t>
      </w:r>
      <w:r>
        <w:rPr>
          <w:rFonts w:ascii="宋体" w:eastAsia="宋体" w:hAnsi="宋体" w:cs="宋体" w:hint="eastAsia"/>
          <w:color w:val="FF0000"/>
          <w:sz w:val="21"/>
          <w:szCs w:val="21"/>
          <w:highlight w:val="none"/>
          <w:lang w:val="en-US" w:eastAsia="zh-CN"/>
        </w:rPr>
        <w:t>按需</w:t>
      </w:r>
      <w:r>
        <w:rPr>
          <w:rFonts w:ascii="宋体" w:eastAsia="宋体" w:hAnsi="宋体" w:cs="宋体" w:hint="eastAsia"/>
          <w:color w:val="FF0000"/>
          <w:sz w:val="21"/>
          <w:szCs w:val="21"/>
          <w:highlight w:val="none"/>
        </w:rPr>
        <w:t>并保证至少每周2次的集中洗涤、消毒和熨烫。</w:t>
      </w:r>
    </w:p>
    <w:p>
      <w:pPr>
        <w:keepNext w:val="0"/>
        <w:keepLines w:val="0"/>
        <w:pageBreakBefore w:val="0"/>
        <w:widowControl w:val="0"/>
        <w:numPr>
          <w:ilvl w:val="0"/>
          <w:numId w:val="5"/>
        </w:numPr>
        <w:kinsoku/>
        <w:wordWrap/>
        <w:overflowPunct/>
        <w:topLinePunct w:val="0"/>
        <w:autoSpaceDE/>
        <w:autoSpaceDN/>
        <w:bidi w:val="0"/>
        <w:adjustRightInd/>
        <w:snapToGrid w:val="0"/>
        <w:spacing w:after="0" w:line="240" w:lineRule="auto"/>
        <w:ind w:left="0" w:firstLine="349" w:leftChars="0" w:firstLineChars="166"/>
        <w:contextualSpacing/>
        <w:jc w:val="left"/>
        <w:textAlignment w:val="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lang w:eastAsia="zh-CN"/>
        </w:rPr>
        <w:t>中标人</w:t>
      </w:r>
      <w:r>
        <w:rPr>
          <w:rFonts w:ascii="宋体" w:eastAsia="宋体" w:hAnsi="宋体" w:cs="宋体" w:hint="eastAsia"/>
          <w:color w:val="auto"/>
          <w:sz w:val="21"/>
          <w:szCs w:val="21"/>
          <w:highlight w:val="none"/>
        </w:rPr>
        <w:t>开展床旁结算或线上支付，给病人提供便捷服务。</w:t>
      </w:r>
    </w:p>
    <w:p>
      <w:pPr>
        <w:pStyle w:val="12"/>
        <w:numPr>
          <w:ilvl w:val="0"/>
          <w:numId w:val="0"/>
        </w:numPr>
        <w:ind w:firstLine="420" w:leftChars="0" w:firstLineChars="200"/>
        <w:rPr>
          <w:rFonts w:ascii="宋体" w:hAnsi="宋体" w:cs="宋体" w:hint="eastAsia"/>
          <w:b w:val="0"/>
          <w:bCs w:val="0"/>
          <w:color w:val="FF0000"/>
          <w:sz w:val="21"/>
          <w:szCs w:val="21"/>
          <w:highlight w:val="none"/>
        </w:rPr>
      </w:pPr>
      <w:r>
        <w:rPr>
          <w:rFonts w:ascii="宋体" w:eastAsia="宋体" w:hAnsi="宋体" w:cs="宋体" w:hint="eastAsia"/>
          <w:b w:val="0"/>
          <w:bCs w:val="0"/>
          <w:color w:val="FF0000"/>
          <w:sz w:val="21"/>
          <w:szCs w:val="21"/>
          <w:highlight w:val="none"/>
        </w:rPr>
        <w:t>★</w:t>
      </w:r>
      <w:r>
        <w:rPr>
          <w:rFonts w:ascii="宋体" w:hAnsi="宋体" w:cs="宋体" w:hint="eastAsia"/>
          <w:b w:val="0"/>
          <w:bCs w:val="0"/>
          <w:color w:val="FF0000"/>
          <w:sz w:val="21"/>
          <w:szCs w:val="21"/>
          <w:highlight w:val="none"/>
          <w:lang w:eastAsia="zh-CN"/>
        </w:rPr>
        <w:t>（</w:t>
      </w:r>
      <w:r>
        <w:rPr>
          <w:rFonts w:ascii="宋体" w:hAnsi="宋体" w:cs="宋体" w:hint="eastAsia"/>
          <w:b w:val="0"/>
          <w:bCs w:val="0"/>
          <w:color w:val="FF0000"/>
          <w:sz w:val="21"/>
          <w:szCs w:val="21"/>
          <w:highlight w:val="none"/>
          <w:lang w:val="en-US" w:eastAsia="zh-CN"/>
        </w:rPr>
        <w:t>十五</w:t>
      </w:r>
      <w:r>
        <w:rPr>
          <w:rFonts w:ascii="宋体" w:hAnsi="宋体" w:cs="宋体" w:hint="eastAsia"/>
          <w:b w:val="0"/>
          <w:bCs w:val="0"/>
          <w:color w:val="FF0000"/>
          <w:sz w:val="21"/>
          <w:szCs w:val="21"/>
          <w:highlight w:val="none"/>
          <w:lang w:eastAsia="zh-CN"/>
        </w:rPr>
        <w:t>）</w:t>
      </w:r>
      <w:r>
        <w:rPr>
          <w:rFonts w:ascii="宋体" w:hAnsi="宋体" w:cs="宋体" w:hint="eastAsia"/>
          <w:b w:val="0"/>
          <w:bCs w:val="0"/>
          <w:color w:val="FF0000"/>
          <w:sz w:val="21"/>
          <w:szCs w:val="21"/>
          <w:highlight w:val="none"/>
        </w:rPr>
        <w:t>信息化管理要求</w:t>
      </w:r>
      <w:r>
        <w:rPr>
          <w:rFonts w:ascii="宋体" w:hAnsi="宋体" w:cs="宋体" w:hint="eastAsia"/>
          <w:b w:val="0"/>
          <w:bCs w:val="0"/>
          <w:color w:val="FF0000"/>
          <w:sz w:val="21"/>
          <w:szCs w:val="21"/>
          <w:highlight w:val="none"/>
          <w:lang w:eastAsia="zh-CN"/>
        </w:rPr>
        <w:t>：</w:t>
      </w:r>
      <w:r>
        <w:rPr>
          <w:rFonts w:ascii="宋体" w:hAnsi="宋体" w:cs="宋体" w:hint="eastAsia"/>
          <w:b w:val="0"/>
          <w:bCs w:val="0"/>
          <w:color w:val="FF0000"/>
          <w:sz w:val="21"/>
          <w:szCs w:val="21"/>
          <w:highlight w:val="none"/>
        </w:rPr>
        <w:t>投标人应为本项目投入信息化管理系统，包括家属手机端小程序、护理员手机端小程序和</w:t>
      </w:r>
      <w:r>
        <w:rPr>
          <w:rFonts w:ascii="宋体" w:hAnsi="宋体" w:cs="宋体" w:hint="eastAsia"/>
          <w:b w:val="0"/>
          <w:bCs w:val="0"/>
          <w:color w:val="FF0000"/>
          <w:sz w:val="21"/>
          <w:szCs w:val="21"/>
          <w:highlight w:val="none"/>
          <w:lang w:val="en-US" w:eastAsia="zh-CN"/>
        </w:rPr>
        <w:t>免陪照护</w:t>
      </w:r>
      <w:r>
        <w:rPr>
          <w:rFonts w:ascii="宋体" w:hAnsi="宋体" w:cs="宋体" w:hint="eastAsia"/>
          <w:b w:val="0"/>
          <w:bCs w:val="0"/>
          <w:color w:val="FF0000"/>
          <w:sz w:val="21"/>
          <w:szCs w:val="21"/>
          <w:highlight w:val="none"/>
        </w:rPr>
        <w:t>综合管理平台：</w:t>
      </w:r>
    </w:p>
    <w:p>
      <w:pPr>
        <w:pStyle w:val="12"/>
        <w:numPr>
          <w:ilvl w:val="255"/>
          <w:numId w:val="0"/>
        </w:numPr>
        <w:ind w:left="0" w:firstLine="420" w:leftChars="0" w:firstLineChars="200"/>
        <w:rPr>
          <w:rFonts w:ascii="宋体" w:hAnsi="宋体" w:cs="宋体" w:hint="eastAsia"/>
          <w:b w:val="0"/>
          <w:bCs w:val="0"/>
          <w:color w:val="FF0000"/>
          <w:sz w:val="21"/>
          <w:szCs w:val="21"/>
          <w:highlight w:val="none"/>
        </w:rPr>
      </w:pPr>
      <w:r>
        <w:rPr>
          <w:rFonts w:ascii="宋体" w:eastAsia="宋体" w:hAnsi="宋体" w:cs="宋体" w:hint="eastAsia"/>
          <w:b w:val="0"/>
          <w:bCs w:val="0"/>
          <w:color w:val="FF0000"/>
          <w:sz w:val="21"/>
          <w:szCs w:val="21"/>
          <w:highlight w:val="none"/>
          <w:lang w:val="en-US" w:eastAsia="zh-CN"/>
        </w:rPr>
        <w:t>1、</w:t>
      </w:r>
      <w:r>
        <w:rPr>
          <w:rFonts w:ascii="宋体" w:hAnsi="宋体" w:cs="宋体" w:hint="eastAsia"/>
          <w:b w:val="0"/>
          <w:bCs w:val="0"/>
          <w:color w:val="FF0000"/>
          <w:sz w:val="21"/>
          <w:szCs w:val="21"/>
          <w:highlight w:val="none"/>
        </w:rPr>
        <w:t>家属手机端小程序：病人家属可以通过小程序，查看病人护理服务内容；</w:t>
      </w:r>
    </w:p>
    <w:p>
      <w:pPr>
        <w:pStyle w:val="12"/>
        <w:numPr>
          <w:ilvl w:val="0"/>
          <w:numId w:val="0"/>
        </w:numPr>
        <w:ind w:left="0" w:firstLine="420" w:leftChars="0" w:firstLineChars="200"/>
        <w:jc w:val="left"/>
        <w:rPr>
          <w:rFonts w:ascii="宋体" w:hAnsi="宋体" w:cs="宋体" w:hint="eastAsia"/>
          <w:b w:val="0"/>
          <w:bCs w:val="0"/>
          <w:color w:val="FF0000"/>
          <w:sz w:val="21"/>
          <w:szCs w:val="21"/>
          <w:highlight w:val="none"/>
        </w:rPr>
      </w:pPr>
      <w:r>
        <w:rPr>
          <w:rFonts w:ascii="宋体" w:eastAsia="宋体" w:hAnsi="宋体" w:cs="宋体" w:hint="eastAsia"/>
          <w:b w:val="0"/>
          <w:bCs w:val="0"/>
          <w:color w:val="FF0000"/>
          <w:kern w:val="2"/>
          <w:sz w:val="21"/>
          <w:szCs w:val="21"/>
          <w:highlight w:val="none"/>
          <w:lang w:val="en-US" w:eastAsia="zh-CN" w:bidi="ar-SA"/>
        </w:rPr>
        <w:t>2、</w:t>
      </w:r>
      <w:r>
        <w:rPr>
          <w:rFonts w:ascii="宋体" w:hAnsi="宋体" w:cs="宋体" w:hint="eastAsia"/>
          <w:b w:val="0"/>
          <w:bCs w:val="0"/>
          <w:color w:val="FF0000"/>
          <w:sz w:val="21"/>
          <w:szCs w:val="21"/>
          <w:highlight w:val="none"/>
        </w:rPr>
        <w:t>护理员手机端小程序：能提供日常护理过程记录；能实现</w:t>
      </w:r>
      <w:r>
        <w:rPr>
          <w:rFonts w:ascii="宋体" w:hAnsi="宋体" w:cs="宋体" w:hint="eastAsia"/>
          <w:b w:val="0"/>
          <w:bCs w:val="0"/>
          <w:color w:val="FF0000"/>
          <w:sz w:val="21"/>
          <w:szCs w:val="21"/>
          <w:highlight w:val="none"/>
          <w:lang w:val="en-US" w:eastAsia="zh-CN"/>
        </w:rPr>
        <w:t>免陪照护</w:t>
      </w:r>
      <w:r>
        <w:rPr>
          <w:rFonts w:ascii="宋体" w:hAnsi="宋体" w:cs="宋体" w:hint="eastAsia"/>
          <w:b w:val="0"/>
          <w:bCs w:val="0"/>
          <w:color w:val="FF0000"/>
          <w:sz w:val="21"/>
          <w:szCs w:val="21"/>
          <w:highlight w:val="none"/>
        </w:rPr>
        <w:t>订单管理、病人档案管理、个人信息管理、服务统计分析、客户满意度评价等功能；</w:t>
      </w:r>
    </w:p>
    <w:p>
      <w:pPr>
        <w:pStyle w:val="12"/>
        <w:numPr>
          <w:ilvl w:val="0"/>
          <w:numId w:val="0"/>
        </w:numPr>
        <w:ind w:left="0" w:firstLine="420" w:leftChars="0" w:firstLineChars="200"/>
        <w:jc w:val="left"/>
        <w:rPr>
          <w:rFonts w:ascii="宋体" w:hAnsi="宋体" w:cs="宋体" w:hint="eastAsia"/>
          <w:b w:val="0"/>
          <w:bCs w:val="0"/>
          <w:color w:val="auto"/>
          <w:sz w:val="21"/>
          <w:szCs w:val="21"/>
          <w:highlight w:val="none"/>
        </w:rPr>
      </w:pPr>
      <w:r>
        <w:rPr>
          <w:rFonts w:ascii="宋体" w:eastAsia="宋体" w:hAnsi="宋体" w:cs="宋体" w:hint="eastAsia"/>
          <w:b w:val="0"/>
          <w:bCs w:val="0"/>
          <w:color w:val="FF0000"/>
          <w:kern w:val="2"/>
          <w:sz w:val="21"/>
          <w:szCs w:val="21"/>
          <w:highlight w:val="none"/>
          <w:lang w:val="en-US" w:eastAsia="zh-CN" w:bidi="ar-SA"/>
        </w:rPr>
        <w:t>3、</w:t>
      </w:r>
      <w:r>
        <w:rPr>
          <w:rFonts w:ascii="宋体" w:hAnsi="宋体" w:cs="宋体" w:hint="eastAsia"/>
          <w:b w:val="0"/>
          <w:bCs w:val="0"/>
          <w:color w:val="FF0000"/>
          <w:sz w:val="21"/>
          <w:szCs w:val="21"/>
          <w:highlight w:val="none"/>
          <w:lang w:val="en-US" w:eastAsia="zh-CN"/>
        </w:rPr>
        <w:t>免陪照</w:t>
      </w:r>
      <w:r>
        <w:rPr>
          <w:rFonts w:ascii="宋体" w:hAnsi="宋体" w:cs="宋体" w:hint="eastAsia"/>
          <w:b w:val="0"/>
          <w:bCs w:val="0"/>
          <w:color w:val="FF0000"/>
          <w:sz w:val="21"/>
          <w:szCs w:val="21"/>
          <w:highlight w:val="none"/>
        </w:rPr>
        <w:t>护综合管理平台：能提供对护理员、病人的信息综合管理，对护理信息进行统计分析等；可以实时查看全体护工工作情况，病人状态等。</w:t>
      </w:r>
    </w:p>
    <w:p>
      <w:pPr>
        <w:numPr>
          <w:ilvl w:val="0"/>
          <w:numId w:val="0"/>
        </w:numPr>
        <w:adjustRightInd w:val="0"/>
        <w:snapToGrid w:val="0"/>
        <w:ind w:firstLine="420" w:firstLineChars="200"/>
        <w:rPr>
          <w:rFonts w:ascii="宋体" w:hAnsi="宋体" w:cs="宋体" w:hint="eastAsia"/>
          <w:b/>
          <w:szCs w:val="21"/>
          <w:highlight w:val="none"/>
          <w:lang w:val="en-US" w:eastAsia="zh-CN"/>
        </w:rPr>
      </w:pP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lang w:val="en-US" w:eastAsia="zh-CN"/>
        </w:rPr>
        <w:t>十</w:t>
      </w:r>
      <w:r>
        <w:rPr>
          <w:rFonts w:ascii="宋体" w:hAnsi="宋体" w:cs="宋体" w:hint="eastAsia"/>
          <w:sz w:val="21"/>
          <w:szCs w:val="21"/>
          <w:highlight w:val="none"/>
          <w:lang w:val="en-US" w:eastAsia="zh-CN"/>
        </w:rPr>
        <w:t>六</w:t>
      </w:r>
      <w:r>
        <w:rPr>
          <w:rFonts w:ascii="宋体" w:eastAsia="宋体" w:hAnsi="宋体" w:cs="宋体" w:hint="eastAsia"/>
          <w:sz w:val="21"/>
          <w:szCs w:val="21"/>
          <w:highlight w:val="none"/>
          <w:lang w:eastAsia="zh-CN"/>
        </w:rPr>
        <w:t>）中标人</w:t>
      </w:r>
      <w:r>
        <w:rPr>
          <w:rFonts w:ascii="宋体" w:eastAsia="宋体" w:hAnsi="宋体" w:cs="宋体" w:hint="eastAsia"/>
          <w:sz w:val="21"/>
          <w:szCs w:val="21"/>
          <w:highlight w:val="none"/>
        </w:rPr>
        <w:t>不能在医院内从事本项目合同以外的任何经营性活动。</w:t>
      </w:r>
    </w:p>
    <w:p>
      <w:pPr>
        <w:pStyle w:val="12"/>
        <w:ind w:firstLine="420" w:firstLineChars="200"/>
        <w:rPr>
          <w:rFonts w:ascii="宋体" w:hAnsi="宋体" w:cs="宋体" w:hint="eastAsia"/>
          <w:color w:val="FF0000"/>
          <w:sz w:val="21"/>
          <w:szCs w:val="21"/>
          <w:highlight w:val="none"/>
          <w:lang w:val="en-US" w:eastAsia="zh-CN"/>
        </w:rPr>
      </w:pPr>
      <w:r>
        <w:rPr>
          <w:rFonts w:ascii="宋体" w:eastAsia="宋体" w:hAnsi="宋体" w:cs="宋体" w:hint="eastAsia"/>
          <w:b w:val="0"/>
          <w:bCs w:val="0"/>
          <w:color w:val="FF0000"/>
          <w:sz w:val="21"/>
          <w:szCs w:val="21"/>
          <w:highlight w:val="none"/>
          <w:lang w:val="en-US" w:eastAsia="zh-CN"/>
        </w:rPr>
        <w:t>★</w:t>
      </w:r>
      <w:r>
        <w:rPr>
          <w:rFonts w:ascii="宋体" w:hAnsi="宋体" w:cs="宋体" w:hint="eastAsia"/>
          <w:b w:val="0"/>
          <w:bCs w:val="0"/>
          <w:color w:val="FF0000"/>
          <w:sz w:val="21"/>
          <w:szCs w:val="21"/>
          <w:highlight w:val="none"/>
          <w:lang w:val="en-US" w:eastAsia="zh-CN"/>
        </w:rPr>
        <w:t>（十七）</w:t>
      </w:r>
      <w:r>
        <w:rPr>
          <w:rFonts w:ascii="宋体" w:eastAsia="宋体" w:hAnsi="宋体" w:cs="宋体" w:hint="eastAsia"/>
          <w:color w:val="FF0000"/>
          <w:sz w:val="21"/>
          <w:szCs w:val="21"/>
          <w:highlight w:val="none"/>
          <w:lang w:val="en-US" w:eastAsia="zh-CN"/>
        </w:rPr>
        <w:t>中标人</w:t>
      </w:r>
      <w:r>
        <w:rPr>
          <w:rFonts w:ascii="宋体" w:hAnsi="宋体" w:cs="宋体" w:hint="eastAsia"/>
          <w:color w:val="FF0000"/>
          <w:sz w:val="21"/>
          <w:szCs w:val="21"/>
          <w:highlight w:val="none"/>
          <w:lang w:val="en-US" w:eastAsia="zh-CN"/>
        </w:rPr>
        <w:t>需要给一对多小组式患者和医疗护理员组长、医疗护理员配置专用呼叫器，不占用病区呼叫系统。</w:t>
      </w:r>
    </w:p>
    <w:p>
      <w:pPr>
        <w:numPr>
          <w:ilvl w:val="0"/>
          <w:numId w:val="0"/>
        </w:numPr>
        <w:adjustRightInd w:val="0"/>
        <w:snapToGrid w:val="0"/>
        <w:ind w:firstLine="420" w:firstLineChars="200"/>
        <w:rPr>
          <w:rFonts w:ascii="宋体" w:hAnsi="宋体" w:cs="宋体" w:hint="eastAsia"/>
          <w:b/>
          <w:color w:val="FF0000"/>
          <w:szCs w:val="21"/>
          <w:highlight w:val="none"/>
          <w:lang w:val="en-US" w:eastAsia="zh-CN"/>
        </w:rPr>
      </w:pPr>
      <w:r>
        <w:rPr>
          <w:rFonts w:ascii="宋体" w:eastAsia="宋体" w:hAnsi="宋体" w:cs="宋体" w:hint="eastAsia"/>
          <w:b/>
          <w:bCs/>
          <w:color w:val="FF0000"/>
          <w:sz w:val="21"/>
          <w:szCs w:val="21"/>
          <w:highlight w:val="none"/>
          <w:lang w:val="en-US" w:eastAsia="zh-CN"/>
        </w:rPr>
        <w:t>★</w:t>
      </w:r>
      <w:r>
        <w:rPr>
          <w:rFonts w:ascii="宋体" w:hAnsi="宋体" w:cs="宋体" w:hint="eastAsia"/>
          <w:b w:val="0"/>
          <w:bCs w:val="0"/>
          <w:color w:val="FF0000"/>
          <w:sz w:val="21"/>
          <w:szCs w:val="21"/>
          <w:highlight w:val="none"/>
          <w:lang w:val="en-US" w:eastAsia="zh-CN"/>
        </w:rPr>
        <w:t>（十八）</w:t>
      </w:r>
      <w:r>
        <w:rPr>
          <w:rFonts w:ascii="宋体" w:eastAsia="宋体" w:hAnsi="宋体" w:cs="宋体" w:hint="eastAsia"/>
          <w:b w:val="0"/>
          <w:bCs w:val="0"/>
          <w:color w:val="FF0000"/>
          <w:sz w:val="21"/>
          <w:szCs w:val="21"/>
          <w:highlight w:val="none"/>
          <w:lang w:val="en-US" w:eastAsia="zh-CN"/>
        </w:rPr>
        <w:t>中标人</w:t>
      </w:r>
      <w:r>
        <w:rPr>
          <w:rFonts w:ascii="宋体" w:hAnsi="宋体" w:cs="宋体" w:hint="eastAsia"/>
          <w:b w:val="0"/>
          <w:bCs w:val="0"/>
          <w:color w:val="FF0000"/>
          <w:sz w:val="21"/>
          <w:szCs w:val="21"/>
          <w:highlight w:val="none"/>
          <w:lang w:val="en-US" w:eastAsia="zh-CN"/>
        </w:rPr>
        <w:t>应严格按照国家法律法规与医疗护理员建立规范的劳动关系，确保合法用工。</w:t>
      </w:r>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240" w:lineRule="auto"/>
        <w:ind w:left="0" w:firstLine="420" w:leftChars="0" w:firstLineChars="0"/>
        <w:contextualSpacing/>
        <w:jc w:val="left"/>
        <w:textAlignment w:val="auto"/>
        <w:rPr>
          <w:rFonts w:ascii="宋体" w:eastAsia="宋体" w:hAnsi="宋体" w:cs="宋体" w:hint="eastAsia"/>
          <w:b/>
          <w:bCs w:val="0"/>
          <w:kern w:val="2"/>
          <w:sz w:val="21"/>
          <w:szCs w:val="21"/>
          <w:highlight w:val="none"/>
          <w:lang w:val="en-US" w:eastAsia="zh-CN" w:bidi="ar-SA"/>
        </w:rPr>
      </w:pPr>
      <w:bookmarkStart w:id="8" w:name="OLE_LINK2"/>
      <w:bookmarkStart w:id="9" w:name="OLE_LINK1"/>
    </w:p>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240" w:lineRule="auto"/>
        <w:ind w:left="0" w:firstLine="420" w:leftChars="0" w:firstLineChars="200"/>
        <w:contextualSpacing/>
        <w:jc w:val="left"/>
        <w:textAlignment w:val="auto"/>
        <w:rPr>
          <w:rFonts w:ascii="宋体" w:eastAsia="宋体" w:hAnsi="宋体" w:cs="宋体" w:hint="eastAsia"/>
          <w:b/>
          <w:bCs w:val="0"/>
          <w:sz w:val="21"/>
          <w:szCs w:val="21"/>
          <w:highlight w:val="none"/>
          <w:lang w:eastAsia="zh-CN"/>
        </w:rPr>
      </w:pPr>
      <w:r>
        <w:rPr>
          <w:rFonts w:ascii="宋体" w:eastAsia="宋体" w:hAnsi="宋体" w:cs="宋体" w:hint="eastAsia"/>
          <w:b/>
          <w:bCs w:val="0"/>
          <w:kern w:val="2"/>
          <w:sz w:val="21"/>
          <w:szCs w:val="21"/>
          <w:highlight w:val="none"/>
          <w:lang w:val="en-US" w:eastAsia="zh-CN" w:bidi="ar-SA"/>
        </w:rPr>
        <w:t>三、</w:t>
      </w:r>
      <w:r>
        <w:rPr>
          <w:rFonts w:ascii="宋体" w:eastAsia="宋体" w:hAnsi="宋体" w:cs="宋体" w:hint="eastAsia"/>
          <w:b/>
          <w:bCs w:val="0"/>
          <w:sz w:val="21"/>
          <w:szCs w:val="21"/>
          <w:highlight w:val="none"/>
        </w:rPr>
        <w:t>驻院管理人员</w:t>
      </w:r>
      <w:r>
        <w:rPr>
          <w:rFonts w:ascii="宋体" w:eastAsia="宋体" w:hAnsi="宋体" w:cs="宋体" w:hint="eastAsia"/>
          <w:b/>
          <w:bCs w:val="0"/>
          <w:sz w:val="21"/>
          <w:szCs w:val="21"/>
          <w:highlight w:val="none"/>
          <w:lang w:eastAsia="zh-CN"/>
        </w:rPr>
        <w:t>要求</w:t>
      </w:r>
    </w:p>
    <w:p>
      <w:pPr>
        <w:keepNext w:val="0"/>
        <w:keepLines w:val="0"/>
        <w:pageBreakBefore w:val="0"/>
        <w:widowControl w:val="0"/>
        <w:tabs>
          <w:tab w:val="left" w:pos="540"/>
        </w:tabs>
        <w:kinsoku/>
        <w:wordWrap/>
        <w:overflowPunct/>
        <w:topLinePunct w:val="0"/>
        <w:autoSpaceDE/>
        <w:autoSpaceDN/>
        <w:bidi w:val="0"/>
        <w:adjustRightInd w:val="0"/>
        <w:snapToGrid w:val="0"/>
        <w:spacing w:line="240" w:lineRule="auto"/>
        <w:ind w:left="0" w:firstLine="420" w:leftChars="0" w:firstLineChars="200"/>
        <w:contextualSpacing/>
        <w:jc w:val="left"/>
        <w:textAlignment w:val="auto"/>
        <w:rPr>
          <w:rFonts w:ascii="宋体" w:eastAsia="宋体" w:hAnsi="宋体" w:cs="宋体" w:hint="eastAsia"/>
          <w:bCs/>
          <w:color w:val="FF0000"/>
          <w:sz w:val="21"/>
          <w:szCs w:val="21"/>
          <w:highlight w:val="none"/>
        </w:rPr>
      </w:pPr>
      <w:r>
        <w:rPr>
          <w:rFonts w:ascii="宋体" w:eastAsia="宋体" w:hAnsi="宋体" w:cs="宋体" w:hint="eastAsia"/>
          <w:b/>
          <w:bCs/>
          <w:color w:val="FF0000"/>
          <w:highlight w:val="none"/>
        </w:rPr>
        <w:t>★</w:t>
      </w:r>
      <w:r>
        <w:rPr>
          <w:rFonts w:ascii="宋体" w:eastAsia="宋体" w:hAnsi="宋体" w:cs="宋体" w:hint="eastAsia"/>
          <w:bCs/>
          <w:color w:val="FF0000"/>
          <w:sz w:val="21"/>
          <w:szCs w:val="21"/>
          <w:highlight w:val="none"/>
          <w:lang w:eastAsia="zh-CN"/>
        </w:rPr>
        <w:t>（</w:t>
      </w:r>
      <w:r>
        <w:rPr>
          <w:rFonts w:ascii="宋体" w:eastAsia="宋体" w:hAnsi="宋体" w:cs="宋体" w:hint="eastAsia"/>
          <w:bCs/>
          <w:color w:val="FF0000"/>
          <w:sz w:val="21"/>
          <w:szCs w:val="21"/>
          <w:highlight w:val="none"/>
          <w:lang w:val="en-US" w:eastAsia="zh-CN"/>
        </w:rPr>
        <w:t>一</w:t>
      </w:r>
      <w:r>
        <w:rPr>
          <w:rFonts w:ascii="宋体" w:eastAsia="宋体" w:hAnsi="宋体" w:cs="宋体" w:hint="eastAsia"/>
          <w:bCs/>
          <w:color w:val="FF0000"/>
          <w:sz w:val="21"/>
          <w:szCs w:val="21"/>
          <w:highlight w:val="none"/>
          <w:lang w:eastAsia="zh-CN"/>
        </w:rPr>
        <w:t>）中标人</w:t>
      </w:r>
      <w:r>
        <w:rPr>
          <w:rFonts w:ascii="宋体" w:eastAsia="宋体" w:hAnsi="宋体" w:cs="宋体" w:hint="eastAsia"/>
          <w:bCs/>
          <w:color w:val="FF0000"/>
          <w:sz w:val="21"/>
          <w:szCs w:val="21"/>
          <w:highlight w:val="none"/>
        </w:rPr>
        <w:t>须配置专职驻场管理人员，包括项目管理经理1名、主管1名以及配备调度主管、服务投诉处理、技术培训管理、财务结算等管理人员，以满足项目管理各程序运作及质量保障</w:t>
      </w:r>
      <w:r>
        <w:rPr>
          <w:rFonts w:ascii="宋体" w:eastAsia="宋体" w:hAnsi="宋体" w:cs="宋体" w:hint="eastAsia"/>
          <w:bCs/>
          <w:color w:val="FF0000"/>
          <w:sz w:val="21"/>
          <w:szCs w:val="21"/>
          <w:highlight w:val="none"/>
          <w:lang w:eastAsia="zh-CN"/>
        </w:rPr>
        <w:t>，</w:t>
      </w:r>
      <w:r>
        <w:rPr>
          <w:rFonts w:ascii="宋体" w:eastAsia="宋体" w:hAnsi="宋体" w:cs="宋体" w:hint="eastAsia"/>
          <w:bCs/>
          <w:color w:val="FF0000"/>
          <w:sz w:val="21"/>
          <w:szCs w:val="21"/>
          <w:highlight w:val="none"/>
        </w:rPr>
        <w:t>管理人员须根据医院的实际需求配置，能根据医院业务增长情况响应医院增调需求。</w:t>
      </w:r>
    </w:p>
    <w:p>
      <w:pPr>
        <w:keepNext w:val="0"/>
        <w:keepLines w:val="0"/>
        <w:pageBreakBefore w:val="0"/>
        <w:widowControl w:val="0"/>
        <w:tabs>
          <w:tab w:val="left" w:pos="540"/>
        </w:tabs>
        <w:kinsoku/>
        <w:wordWrap/>
        <w:overflowPunct/>
        <w:topLinePunct w:val="0"/>
        <w:autoSpaceDE/>
        <w:autoSpaceDN/>
        <w:bidi w:val="0"/>
        <w:adjustRightInd w:val="0"/>
        <w:snapToGrid w:val="0"/>
        <w:spacing w:line="240" w:lineRule="auto"/>
        <w:ind w:firstLine="420" w:firstLineChars="200"/>
        <w:contextualSpacing/>
        <w:jc w:val="left"/>
        <w:textAlignment w:val="auto"/>
        <w:rPr>
          <w:rFonts w:ascii="宋体" w:eastAsia="宋体" w:hAnsi="宋体" w:cs="宋体" w:hint="eastAsia"/>
          <w:bCs/>
          <w:color w:val="FF0000"/>
          <w:sz w:val="21"/>
          <w:szCs w:val="21"/>
          <w:highlight w:val="none"/>
          <w:lang w:eastAsia="zh-CN"/>
        </w:rPr>
      </w:pPr>
      <w:r>
        <w:rPr>
          <w:rFonts w:ascii="宋体" w:eastAsia="宋体" w:hAnsi="宋体" w:cs="宋体" w:hint="eastAsia"/>
          <w:b/>
          <w:bCs/>
          <w:color w:val="FF0000"/>
          <w:highlight w:val="none"/>
        </w:rPr>
        <w:t>★</w:t>
      </w:r>
      <w:r>
        <w:rPr>
          <w:rFonts w:ascii="宋体" w:eastAsia="宋体" w:hAnsi="宋体" w:cs="宋体" w:hint="eastAsia"/>
          <w:bCs/>
          <w:color w:val="FF0000"/>
          <w:sz w:val="21"/>
          <w:szCs w:val="21"/>
          <w:highlight w:val="none"/>
          <w:lang w:eastAsia="zh-CN"/>
        </w:rPr>
        <w:t>（</w:t>
      </w:r>
      <w:r>
        <w:rPr>
          <w:rFonts w:ascii="宋体" w:eastAsia="宋体" w:hAnsi="宋体" w:cs="宋体" w:hint="eastAsia"/>
          <w:bCs/>
          <w:color w:val="FF0000"/>
          <w:sz w:val="21"/>
          <w:szCs w:val="21"/>
          <w:highlight w:val="none"/>
          <w:lang w:val="en-US" w:eastAsia="zh-CN"/>
        </w:rPr>
        <w:t>二</w:t>
      </w:r>
      <w:r>
        <w:rPr>
          <w:rFonts w:ascii="宋体" w:eastAsia="宋体" w:hAnsi="宋体" w:cs="宋体" w:hint="eastAsia"/>
          <w:bCs/>
          <w:color w:val="FF0000"/>
          <w:sz w:val="21"/>
          <w:szCs w:val="21"/>
          <w:highlight w:val="none"/>
          <w:lang w:eastAsia="zh-CN"/>
        </w:rPr>
        <w:t>）</w:t>
      </w:r>
      <w:r>
        <w:rPr>
          <w:rFonts w:ascii="宋体" w:hAnsi="宋体" w:cs="宋体" w:hint="eastAsia"/>
          <w:bCs/>
          <w:color w:val="FF0000"/>
          <w:szCs w:val="21"/>
          <w:highlight w:val="none"/>
        </w:rPr>
        <w:t>驻场管理人员需具有本科（或以上）医疗（或护理）类相关专业学历，具有三年或以上的医疗陪护服务相关管理工作经验，具备良好的组织、协调和较强的管理能力和培训能力</w:t>
      </w:r>
      <w:r>
        <w:rPr>
          <w:rFonts w:ascii="宋体" w:eastAsia="宋体" w:hAnsi="宋体" w:cs="宋体" w:hint="eastAsia"/>
          <w:b/>
          <w:bCs w:val="0"/>
          <w:color w:val="FF0000"/>
          <w:sz w:val="21"/>
          <w:szCs w:val="21"/>
          <w:highlight w:val="none"/>
          <w:u w:val="none"/>
        </w:rPr>
        <w:t>（投标文件中提供相关驻场人员</w:t>
      </w:r>
      <w:r>
        <w:rPr>
          <w:rFonts w:ascii="宋体" w:hAnsi="宋体" w:cs="宋体" w:hint="eastAsia"/>
          <w:b/>
          <w:bCs w:val="0"/>
          <w:color w:val="FF0000"/>
          <w:sz w:val="21"/>
          <w:szCs w:val="21"/>
          <w:highlight w:val="none"/>
          <w:u w:val="none"/>
          <w:lang w:val="en-US" w:eastAsia="zh-CN"/>
        </w:rPr>
        <w:t>清单及人员</w:t>
      </w:r>
      <w:r>
        <w:rPr>
          <w:rFonts w:ascii="宋体" w:eastAsia="宋体" w:hAnsi="宋体" w:cs="宋体" w:hint="eastAsia"/>
          <w:b/>
          <w:bCs w:val="0"/>
          <w:color w:val="FF0000"/>
          <w:sz w:val="21"/>
          <w:szCs w:val="21"/>
          <w:highlight w:val="none"/>
          <w:u w:val="none"/>
        </w:rPr>
        <w:t>简历</w:t>
      </w:r>
      <w:r>
        <w:rPr>
          <w:rFonts w:ascii="宋体" w:hAnsi="宋体" w:cs="宋体" w:hint="eastAsia"/>
          <w:b/>
          <w:bCs w:val="0"/>
          <w:color w:val="FF0000"/>
          <w:sz w:val="21"/>
          <w:szCs w:val="21"/>
          <w:highlight w:val="none"/>
          <w:u w:val="none"/>
          <w:lang w:eastAsia="zh-CN"/>
        </w:rPr>
        <w:t>、</w:t>
      </w:r>
      <w:r>
        <w:rPr>
          <w:rFonts w:ascii="宋体" w:hAnsi="宋体" w:cs="宋体" w:hint="eastAsia"/>
          <w:b/>
          <w:bCs w:val="0"/>
          <w:color w:val="FF0000"/>
          <w:sz w:val="21"/>
          <w:szCs w:val="21"/>
          <w:highlight w:val="none"/>
          <w:u w:val="none"/>
          <w:lang w:val="en-US" w:eastAsia="zh-CN"/>
        </w:rPr>
        <w:t>资质</w:t>
      </w:r>
      <w:r>
        <w:rPr>
          <w:rFonts w:ascii="宋体" w:eastAsia="宋体" w:hAnsi="宋体" w:cs="宋体" w:hint="eastAsia"/>
          <w:b/>
          <w:bCs w:val="0"/>
          <w:color w:val="FF0000"/>
          <w:sz w:val="21"/>
          <w:szCs w:val="21"/>
          <w:highlight w:val="none"/>
          <w:u w:val="none"/>
        </w:rPr>
        <w:t>证书复印件）</w:t>
      </w:r>
      <w:r>
        <w:rPr>
          <w:rFonts w:ascii="宋体" w:hAnsi="宋体" w:cs="宋体" w:hint="eastAsia"/>
          <w:bCs/>
          <w:color w:val="FF0000"/>
          <w:szCs w:val="21"/>
          <w:highlight w:val="none"/>
        </w:rPr>
        <w:t>。</w:t>
      </w:r>
    </w:p>
    <w:p>
      <w:pPr>
        <w:keepNext w:val="0"/>
        <w:keepLines w:val="0"/>
        <w:pageBreakBefore w:val="0"/>
        <w:widowControl w:val="0"/>
        <w:kinsoku/>
        <w:wordWrap/>
        <w:overflowPunct/>
        <w:topLinePunct w:val="0"/>
        <w:autoSpaceDE/>
        <w:autoSpaceDN/>
        <w:bidi w:val="0"/>
        <w:snapToGrid w:val="0"/>
        <w:spacing w:line="240" w:lineRule="auto"/>
        <w:ind w:firstLine="420" w:firstLineChars="200"/>
        <w:contextualSpacing/>
        <w:jc w:val="left"/>
        <w:textAlignment w:val="auto"/>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按照项目合同约定，做好</w:t>
      </w:r>
      <w:r>
        <w:rPr>
          <w:rFonts w:ascii="宋体" w:hAnsi="宋体" w:cs="宋体" w:hint="eastAsia"/>
          <w:sz w:val="21"/>
          <w:szCs w:val="21"/>
          <w:highlight w:val="none"/>
          <w:lang w:eastAsia="zh-CN"/>
        </w:rPr>
        <w:t>医疗护理员</w:t>
      </w:r>
      <w:r>
        <w:rPr>
          <w:rFonts w:ascii="宋体" w:eastAsia="宋体" w:hAnsi="宋体" w:cs="宋体" w:hint="eastAsia"/>
          <w:sz w:val="21"/>
          <w:szCs w:val="21"/>
          <w:highlight w:val="none"/>
        </w:rPr>
        <w:t>的全面管理工作</w:t>
      </w:r>
      <w:r>
        <w:rPr>
          <w:rFonts w:ascii="宋体" w:hAnsi="宋体" w:cs="宋体" w:hint="eastAsia"/>
          <w:sz w:val="21"/>
          <w:szCs w:val="21"/>
          <w:highlight w:val="none"/>
          <w:lang w:eastAsia="zh-CN"/>
        </w:rPr>
        <w:t>：</w:t>
      </w:r>
    </w:p>
    <w:p>
      <w:pPr>
        <w:keepNext w:val="0"/>
        <w:keepLines w:val="0"/>
        <w:pageBreakBefore w:val="0"/>
        <w:widowControl w:val="0"/>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1、</w:t>
      </w:r>
      <w:r>
        <w:rPr>
          <w:rFonts w:ascii="宋体" w:eastAsia="宋体" w:hAnsi="宋体" w:cs="宋体" w:hint="eastAsia"/>
          <w:sz w:val="21"/>
          <w:szCs w:val="21"/>
          <w:highlight w:val="none"/>
        </w:rPr>
        <w:t>对</w:t>
      </w:r>
      <w:r>
        <w:rPr>
          <w:rFonts w:ascii="宋体" w:hAnsi="宋体" w:cs="宋体" w:hint="eastAsia"/>
          <w:sz w:val="21"/>
          <w:szCs w:val="21"/>
          <w:highlight w:val="none"/>
          <w:lang w:eastAsia="zh-CN"/>
        </w:rPr>
        <w:t>医疗护理员</w:t>
      </w:r>
      <w:r>
        <w:rPr>
          <w:rFonts w:ascii="宋体" w:eastAsia="宋体" w:hAnsi="宋体" w:cs="宋体" w:hint="eastAsia"/>
          <w:sz w:val="21"/>
          <w:szCs w:val="21"/>
          <w:highlight w:val="none"/>
        </w:rPr>
        <w:t>各岗位责任制及工作程序执行情况进行检查，并</w:t>
      </w:r>
      <w:r>
        <w:rPr>
          <w:rFonts w:ascii="宋体" w:eastAsia="宋体" w:hAnsi="宋体" w:cs="宋体" w:hint="eastAsia"/>
          <w:sz w:val="21"/>
          <w:szCs w:val="21"/>
          <w:highlight w:val="none"/>
          <w:lang w:eastAsia="zh-CN"/>
        </w:rPr>
        <w:t>作出</w:t>
      </w:r>
      <w:r>
        <w:rPr>
          <w:rFonts w:ascii="宋体" w:eastAsia="宋体" w:hAnsi="宋体" w:cs="宋体" w:hint="eastAsia"/>
          <w:sz w:val="21"/>
          <w:szCs w:val="21"/>
          <w:highlight w:val="none"/>
        </w:rPr>
        <w:t>评估。</w:t>
      </w:r>
    </w:p>
    <w:p>
      <w:pPr>
        <w:keepNext w:val="0"/>
        <w:keepLines w:val="0"/>
        <w:pageBreakBefore w:val="0"/>
        <w:widowControl w:val="0"/>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定期与护理部等院方业务主管部门及有关科室联系、沟通，听取工作建议或有关意见，做好协调工作。</w:t>
      </w:r>
    </w:p>
    <w:p>
      <w:pPr>
        <w:keepNext w:val="0"/>
        <w:keepLines w:val="0"/>
        <w:pageBreakBefore w:val="0"/>
        <w:widowControl w:val="0"/>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3、</w:t>
      </w:r>
      <w:r>
        <w:rPr>
          <w:rFonts w:ascii="宋体" w:eastAsia="宋体" w:hAnsi="宋体" w:cs="宋体" w:hint="eastAsia"/>
          <w:sz w:val="21"/>
          <w:szCs w:val="21"/>
          <w:highlight w:val="none"/>
        </w:rPr>
        <w:t>随时抽查本部门内各项工作执行情况，审核工作质量；将抽查结果下发各主管进行整改。</w:t>
      </w:r>
    </w:p>
    <w:p>
      <w:pPr>
        <w:keepNext w:val="0"/>
        <w:keepLines w:val="0"/>
        <w:pageBreakBefore w:val="0"/>
        <w:widowControl w:val="0"/>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4、</w:t>
      </w:r>
      <w:r>
        <w:rPr>
          <w:rFonts w:ascii="宋体" w:eastAsia="宋体" w:hAnsi="宋体" w:cs="宋体" w:hint="eastAsia"/>
          <w:sz w:val="21"/>
          <w:szCs w:val="21"/>
          <w:highlight w:val="none"/>
        </w:rPr>
        <w:t>严格依据质量记录的要求，监督检查本部门内各项工作执行情况，审核主管的工作质量。</w:t>
      </w:r>
    </w:p>
    <w:p>
      <w:pPr>
        <w:keepNext w:val="0"/>
        <w:keepLines w:val="0"/>
        <w:pageBreakBefore w:val="0"/>
        <w:widowControl w:val="0"/>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5、</w:t>
      </w:r>
      <w:r>
        <w:rPr>
          <w:rFonts w:ascii="宋体" w:eastAsia="宋体" w:hAnsi="宋体" w:cs="宋体" w:hint="eastAsia"/>
          <w:sz w:val="21"/>
          <w:szCs w:val="21"/>
          <w:highlight w:val="none"/>
        </w:rPr>
        <w:t>检查下属人员的考勤、劳动纪律、礼节礼貌、工作表现、服务质量、工作业绩及各项规章制度的实施情况，及时发现问题并加以解决。</w:t>
      </w:r>
    </w:p>
    <w:p>
      <w:pPr>
        <w:keepNext w:val="0"/>
        <w:keepLines w:val="0"/>
        <w:pageBreakBefore w:val="0"/>
        <w:widowControl w:val="0"/>
        <w:tabs>
          <w:tab w:val="left" w:pos="424"/>
        </w:tabs>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b w:val="0"/>
          <w:bCs w:val="0"/>
          <w:sz w:val="21"/>
          <w:szCs w:val="21"/>
          <w:highlight w:val="none"/>
          <w:lang w:val="en-US" w:eastAsia="zh-CN"/>
        </w:rPr>
      </w:pPr>
    </w:p>
    <w:p>
      <w:pPr>
        <w:keepNext w:val="0"/>
        <w:keepLines w:val="0"/>
        <w:pageBreakBefore w:val="0"/>
        <w:widowControl w:val="0"/>
        <w:numPr>
          <w:ilvl w:val="0"/>
          <w:numId w:val="0"/>
        </w:numPr>
        <w:tabs>
          <w:tab w:val="left" w:pos="424"/>
        </w:tabs>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b/>
          <w:bCs/>
          <w:sz w:val="21"/>
          <w:szCs w:val="21"/>
          <w:highlight w:val="none"/>
          <w:lang w:eastAsia="zh-CN"/>
        </w:rPr>
      </w:pPr>
      <w:r>
        <w:rPr>
          <w:rFonts w:ascii="宋体" w:eastAsia="宋体" w:hAnsi="宋体" w:cs="宋体" w:hint="eastAsia"/>
          <w:b/>
          <w:bCs/>
          <w:kern w:val="2"/>
          <w:sz w:val="21"/>
          <w:szCs w:val="21"/>
          <w:highlight w:val="none"/>
          <w:lang w:val="en-US" w:eastAsia="zh-CN" w:bidi="ar-SA"/>
        </w:rPr>
        <w:t>四、</w:t>
      </w:r>
      <w:r>
        <w:rPr>
          <w:rFonts w:ascii="宋体" w:hAnsi="宋体" w:cs="宋体" w:hint="eastAsia"/>
          <w:b/>
          <w:bCs/>
          <w:sz w:val="21"/>
          <w:szCs w:val="21"/>
          <w:highlight w:val="none"/>
          <w:lang w:eastAsia="zh-CN"/>
        </w:rPr>
        <w:t>医疗护理员</w:t>
      </w:r>
      <w:r>
        <w:rPr>
          <w:rFonts w:ascii="宋体" w:eastAsia="宋体" w:hAnsi="宋体" w:cs="宋体" w:hint="eastAsia"/>
          <w:b/>
          <w:bCs/>
          <w:sz w:val="21"/>
          <w:szCs w:val="21"/>
          <w:highlight w:val="none"/>
          <w:lang w:eastAsia="zh-CN"/>
        </w:rPr>
        <w:t>要求</w:t>
      </w:r>
    </w:p>
    <w:p>
      <w:pPr>
        <w:keepNext w:val="0"/>
        <w:keepLines w:val="0"/>
        <w:pageBreakBefore w:val="0"/>
        <w:widowControl w:val="0"/>
        <w:tabs>
          <w:tab w:val="left" w:pos="424"/>
        </w:tabs>
        <w:kinsoku/>
        <w:wordWrap/>
        <w:overflowPunct/>
        <w:topLinePunct w:val="0"/>
        <w:autoSpaceDE/>
        <w:autoSpaceDN/>
        <w:bidi w:val="0"/>
        <w:adjustRightInd/>
        <w:snapToGrid w:val="0"/>
        <w:spacing w:line="240" w:lineRule="auto"/>
        <w:ind w:left="0" w:firstLine="420" w:leftChars="0" w:firstLineChars="200"/>
        <w:contextualSpacing/>
        <w:jc w:val="left"/>
        <w:textAlignment w:val="auto"/>
        <w:rPr>
          <w:rFonts w:ascii="宋体" w:eastAsia="宋体" w:hAnsi="宋体" w:cs="宋体" w:hint="eastAsia"/>
          <w:b/>
          <w:bCs/>
          <w:sz w:val="21"/>
          <w:szCs w:val="21"/>
          <w:highlight w:val="none"/>
        </w:rPr>
      </w:pPr>
      <w:r>
        <w:rPr>
          <w:rFonts w:ascii="宋体" w:eastAsia="宋体" w:hAnsi="宋体" w:cs="宋体" w:hint="eastAsia"/>
          <w:b/>
          <w:bCs/>
          <w:sz w:val="21"/>
          <w:szCs w:val="21"/>
          <w:highlight w:val="none"/>
          <w:lang w:eastAsia="zh-CN"/>
        </w:rPr>
        <w:t>（</w:t>
      </w:r>
      <w:r>
        <w:rPr>
          <w:rFonts w:ascii="宋体" w:eastAsia="宋体" w:hAnsi="宋体" w:cs="宋体" w:hint="eastAsia"/>
          <w:b/>
          <w:bCs/>
          <w:sz w:val="21"/>
          <w:szCs w:val="21"/>
          <w:highlight w:val="none"/>
          <w:lang w:val="en-US" w:eastAsia="zh-CN"/>
        </w:rPr>
        <w:t>一</w:t>
      </w:r>
      <w:r>
        <w:rPr>
          <w:rFonts w:ascii="宋体" w:eastAsia="宋体" w:hAnsi="宋体" w:cs="宋体" w:hint="eastAsia"/>
          <w:b/>
          <w:bCs/>
          <w:sz w:val="21"/>
          <w:szCs w:val="21"/>
          <w:highlight w:val="none"/>
          <w:lang w:eastAsia="zh-CN"/>
        </w:rPr>
        <w:t>）</w:t>
      </w:r>
      <w:r>
        <w:rPr>
          <w:rFonts w:ascii="宋体" w:hAnsi="宋体" w:cs="宋体" w:hint="eastAsia"/>
          <w:b/>
          <w:bCs/>
          <w:sz w:val="21"/>
          <w:szCs w:val="21"/>
          <w:highlight w:val="none"/>
          <w:lang w:val="en-US" w:eastAsia="zh-CN"/>
        </w:rPr>
        <w:t>免陪照护</w:t>
      </w:r>
      <w:r>
        <w:rPr>
          <w:rFonts w:ascii="宋体" w:eastAsia="宋体" w:hAnsi="宋体" w:cs="宋体" w:hint="eastAsia"/>
          <w:b/>
          <w:bCs/>
          <w:sz w:val="21"/>
          <w:szCs w:val="21"/>
          <w:highlight w:val="none"/>
        </w:rPr>
        <w:t>服务</w:t>
      </w:r>
    </w:p>
    <w:p>
      <w:pPr>
        <w:keepNext w:val="0"/>
        <w:keepLines w:val="0"/>
        <w:pageBreakBefore w:val="0"/>
        <w:widowControl w:val="0"/>
        <w:tabs>
          <w:tab w:val="left" w:pos="424"/>
        </w:tabs>
        <w:kinsoku/>
        <w:wordWrap/>
        <w:overflowPunct/>
        <w:topLinePunct w:val="0"/>
        <w:autoSpaceDE/>
        <w:autoSpaceDN/>
        <w:bidi w:val="0"/>
        <w:adjustRightInd/>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rPr>
      </w:pPr>
      <w:r>
        <w:rPr>
          <w:rFonts w:ascii="宋体" w:hAnsi="宋体" w:cs="宋体" w:hint="eastAsia"/>
          <w:szCs w:val="21"/>
          <w:highlight w:val="none"/>
        </w:rPr>
        <w:t>免陪照护服务是由医疗机构专业医疗护理员为住院患者提供24小时生活照护的服务模式，旨在替代家属陪护或自聘护工，减轻家庭负担。该服务适用于特级、Ⅰ级护理患者，医疗护理员经培训后在医务人员指导下提供助餐、助洁等生活照护，不得从事医疗护理技术性工作。</w:t>
      </w:r>
    </w:p>
    <w:p>
      <w:pPr>
        <w:keepNext w:val="0"/>
        <w:keepLines w:val="0"/>
        <w:pageBreakBefore w:val="0"/>
        <w:widowControl w:val="0"/>
        <w:kinsoku/>
        <w:wordWrap/>
        <w:overflowPunct/>
        <w:topLinePunct w:val="0"/>
        <w:autoSpaceDE/>
        <w:autoSpaceDN/>
        <w:bidi w:val="0"/>
        <w:adjustRightInd/>
        <w:snapToGrid w:val="0"/>
        <w:spacing w:line="240" w:lineRule="auto"/>
        <w:ind w:left="0" w:firstLine="420" w:leftChars="0" w:firstLineChars="200"/>
        <w:contextualSpacing/>
        <w:jc w:val="left"/>
        <w:textAlignment w:val="auto"/>
        <w:rPr>
          <w:rFonts w:ascii="宋体" w:eastAsia="宋体" w:hAnsi="宋体" w:cs="宋体" w:hint="eastAsia"/>
          <w:b/>
          <w:bCs/>
          <w:sz w:val="21"/>
          <w:szCs w:val="21"/>
          <w:highlight w:val="none"/>
        </w:rPr>
      </w:pPr>
      <w:r>
        <w:rPr>
          <w:rFonts w:ascii="宋体" w:eastAsia="宋体" w:hAnsi="宋体" w:cs="宋体" w:hint="eastAsia"/>
          <w:b/>
          <w:bCs/>
          <w:sz w:val="21"/>
          <w:szCs w:val="21"/>
          <w:highlight w:val="none"/>
          <w:lang w:eastAsia="zh-CN"/>
        </w:rPr>
        <w:t>（</w:t>
      </w:r>
      <w:r>
        <w:rPr>
          <w:rFonts w:ascii="宋体" w:eastAsia="宋体" w:hAnsi="宋体" w:cs="宋体" w:hint="eastAsia"/>
          <w:b/>
          <w:bCs/>
          <w:sz w:val="21"/>
          <w:szCs w:val="21"/>
          <w:highlight w:val="none"/>
          <w:lang w:val="en-US" w:eastAsia="zh-CN"/>
        </w:rPr>
        <w:t>二</w:t>
      </w:r>
      <w:r>
        <w:rPr>
          <w:rFonts w:ascii="宋体" w:eastAsia="宋体" w:hAnsi="宋体" w:cs="宋体" w:hint="eastAsia"/>
          <w:b/>
          <w:bCs/>
          <w:sz w:val="21"/>
          <w:szCs w:val="21"/>
          <w:highlight w:val="none"/>
          <w:lang w:eastAsia="zh-CN"/>
        </w:rPr>
        <w:t>）</w:t>
      </w:r>
      <w:r>
        <w:rPr>
          <w:rFonts w:ascii="宋体" w:hAnsi="宋体" w:cs="宋体" w:hint="eastAsia"/>
          <w:b/>
          <w:bCs/>
          <w:sz w:val="21"/>
          <w:szCs w:val="21"/>
          <w:highlight w:val="none"/>
          <w:lang w:eastAsia="zh-CN"/>
        </w:rPr>
        <w:t>医疗</w:t>
      </w:r>
      <w:bookmarkStart w:id="10" w:name="OLE_LINK5"/>
      <w:r>
        <w:rPr>
          <w:rFonts w:ascii="宋体" w:hAnsi="宋体" w:cs="宋体" w:hint="eastAsia"/>
          <w:b/>
          <w:bCs/>
          <w:sz w:val="21"/>
          <w:szCs w:val="21"/>
          <w:highlight w:val="none"/>
          <w:lang w:eastAsia="zh-CN"/>
        </w:rPr>
        <w:t>护理员</w:t>
      </w:r>
      <w:bookmarkEnd w:id="10"/>
      <w:r>
        <w:rPr>
          <w:rFonts w:ascii="宋体" w:eastAsia="宋体" w:hAnsi="宋体" w:cs="宋体" w:hint="eastAsia"/>
          <w:b/>
          <w:bCs/>
          <w:sz w:val="21"/>
          <w:szCs w:val="21"/>
          <w:highlight w:val="none"/>
          <w:lang w:eastAsia="zh-CN"/>
        </w:rPr>
        <w:t>基本</w:t>
      </w:r>
      <w:r>
        <w:rPr>
          <w:rFonts w:ascii="宋体" w:eastAsia="宋体" w:hAnsi="宋体" w:cs="宋体" w:hint="eastAsia"/>
          <w:b/>
          <w:bCs/>
          <w:sz w:val="21"/>
          <w:szCs w:val="21"/>
          <w:highlight w:val="none"/>
        </w:rPr>
        <w:t>要求</w:t>
      </w:r>
    </w:p>
    <w:p>
      <w:pPr>
        <w:keepNext w:val="0"/>
        <w:keepLines w:val="0"/>
        <w:pageBreakBefore w:val="0"/>
        <w:widowControl w:val="0"/>
        <w:kinsoku/>
        <w:wordWrap/>
        <w:overflowPunct/>
        <w:topLinePunct w:val="0"/>
        <w:autoSpaceDE/>
        <w:autoSpaceDN/>
        <w:bidi w:val="0"/>
        <w:adjustRightInd/>
        <w:snapToGrid w:val="0"/>
        <w:spacing w:line="240" w:lineRule="auto"/>
        <w:ind w:left="0" w:firstLine="420" w:leftChars="0" w:firstLineChars="200"/>
        <w:contextualSpacing/>
        <w:jc w:val="left"/>
        <w:textAlignment w:val="auto"/>
        <w:rPr>
          <w:rFonts w:ascii="宋体" w:eastAsia="宋体" w:hAnsi="宋体" w:cs="宋体" w:hint="eastAsia"/>
          <w:color w:val="FF0000"/>
          <w:sz w:val="21"/>
          <w:szCs w:val="21"/>
          <w:highlight w:val="none"/>
        </w:rPr>
      </w:pPr>
      <w:r>
        <w:rPr>
          <w:rFonts w:ascii="宋体" w:eastAsia="宋体" w:hAnsi="宋体" w:cs="宋体" w:hint="eastAsia"/>
          <w:b/>
          <w:bCs/>
          <w:color w:val="FF0000"/>
          <w:highlight w:val="none"/>
        </w:rPr>
        <w:t>★</w:t>
      </w:r>
      <w:r>
        <w:rPr>
          <w:rFonts w:ascii="宋体" w:eastAsia="宋体" w:hAnsi="宋体" w:cs="宋体" w:hint="eastAsia"/>
          <w:color w:val="FF0000"/>
          <w:sz w:val="21"/>
          <w:szCs w:val="21"/>
          <w:highlight w:val="none"/>
          <w:lang w:val="en-US" w:eastAsia="zh-CN"/>
        </w:rPr>
        <w:t>1、</w:t>
      </w:r>
      <w:r>
        <w:rPr>
          <w:rFonts w:ascii="宋体" w:eastAsia="宋体" w:hAnsi="宋体" w:cs="宋体" w:hint="eastAsia"/>
          <w:color w:val="FF0000"/>
          <w:sz w:val="21"/>
          <w:szCs w:val="21"/>
          <w:highlight w:val="none"/>
        </w:rPr>
        <w:t>所有</w:t>
      </w:r>
      <w:r>
        <w:rPr>
          <w:rFonts w:ascii="宋体" w:hAnsi="宋体" w:cs="宋体" w:hint="eastAsia"/>
          <w:color w:val="FF0000"/>
          <w:sz w:val="21"/>
          <w:szCs w:val="21"/>
          <w:highlight w:val="none"/>
          <w:lang w:eastAsia="zh-CN"/>
        </w:rPr>
        <w:t>医疗护理员</w:t>
      </w:r>
      <w:r>
        <w:rPr>
          <w:rFonts w:ascii="宋体" w:eastAsia="宋体" w:hAnsi="宋体" w:cs="宋体" w:hint="eastAsia"/>
          <w:color w:val="FF0000"/>
          <w:sz w:val="21"/>
          <w:szCs w:val="21"/>
          <w:highlight w:val="none"/>
          <w:lang w:eastAsia="zh-CN"/>
        </w:rPr>
        <w:t>原则上</w:t>
      </w:r>
      <w:r>
        <w:rPr>
          <w:rFonts w:ascii="宋体" w:hAnsi="宋体" w:cs="宋体" w:hint="eastAsia"/>
          <w:color w:val="FF0000"/>
          <w:sz w:val="21"/>
          <w:szCs w:val="21"/>
          <w:highlight w:val="none"/>
          <w:lang w:val="en-US" w:eastAsia="zh-CN"/>
        </w:rPr>
        <w:t>女性年龄不超过55周岁、男性</w:t>
      </w:r>
      <w:r>
        <w:rPr>
          <w:rFonts w:ascii="宋体" w:eastAsia="宋体" w:hAnsi="宋体" w:cs="宋体" w:hint="eastAsia"/>
          <w:color w:val="FF0000"/>
          <w:sz w:val="21"/>
          <w:szCs w:val="21"/>
          <w:highlight w:val="none"/>
        </w:rPr>
        <w:t>年龄不超过60</w:t>
      </w:r>
      <w:r>
        <w:rPr>
          <w:rFonts w:ascii="宋体" w:eastAsia="宋体" w:hAnsi="宋体" w:cs="宋体" w:hint="eastAsia"/>
          <w:color w:val="FF0000"/>
          <w:sz w:val="21"/>
          <w:szCs w:val="21"/>
          <w:highlight w:val="none"/>
          <w:lang w:eastAsia="zh-CN"/>
        </w:rPr>
        <w:t>周岁</w:t>
      </w:r>
      <w:r>
        <w:rPr>
          <w:rFonts w:ascii="宋体" w:eastAsia="宋体" w:hAnsi="宋体" w:cs="宋体" w:hint="eastAsia"/>
          <w:color w:val="FF0000"/>
          <w:sz w:val="21"/>
          <w:szCs w:val="21"/>
          <w:highlight w:val="none"/>
        </w:rPr>
        <w:t>。</w:t>
      </w:r>
    </w:p>
    <w:p>
      <w:pPr>
        <w:keepNext w:val="0"/>
        <w:keepLines w:val="0"/>
        <w:pageBreakBefore w:val="0"/>
        <w:widowControl w:val="0"/>
        <w:kinsoku/>
        <w:wordWrap/>
        <w:overflowPunct/>
        <w:topLinePunct w:val="0"/>
        <w:autoSpaceDE/>
        <w:autoSpaceDN/>
        <w:bidi w:val="0"/>
        <w:adjustRightInd/>
        <w:snapToGrid w:val="0"/>
        <w:spacing w:line="240" w:lineRule="auto"/>
        <w:ind w:left="0" w:firstLine="420" w:leftChars="0" w:firstLineChars="200"/>
        <w:contextualSpacing/>
        <w:jc w:val="left"/>
        <w:textAlignment w:val="auto"/>
        <w:rPr>
          <w:rFonts w:ascii="宋体" w:eastAsia="宋体" w:hAnsi="宋体" w:cs="宋体" w:hint="eastAsia"/>
          <w:color w:val="FF0000"/>
          <w:sz w:val="21"/>
          <w:szCs w:val="21"/>
          <w:highlight w:val="none"/>
        </w:rPr>
      </w:pPr>
      <w:r>
        <w:rPr>
          <w:rFonts w:ascii="宋体" w:eastAsia="宋体" w:hAnsi="宋体" w:cs="宋体" w:hint="eastAsia"/>
          <w:b/>
          <w:bCs/>
          <w:color w:val="FF0000"/>
          <w:highlight w:val="none"/>
        </w:rPr>
        <w:t>★</w:t>
      </w:r>
      <w:r>
        <w:rPr>
          <w:rFonts w:ascii="宋体" w:eastAsia="宋体" w:hAnsi="宋体" w:cs="宋体" w:hint="eastAsia"/>
          <w:color w:val="FF0000"/>
          <w:sz w:val="21"/>
          <w:szCs w:val="21"/>
          <w:highlight w:val="none"/>
          <w:lang w:val="en-US" w:eastAsia="zh-CN"/>
        </w:rPr>
        <w:t>2、</w:t>
      </w:r>
      <w:r>
        <w:rPr>
          <w:rFonts w:ascii="宋体" w:eastAsia="宋体" w:hAnsi="宋体" w:cs="宋体" w:hint="eastAsia"/>
          <w:color w:val="FF0000"/>
          <w:sz w:val="21"/>
          <w:szCs w:val="21"/>
          <w:highlight w:val="none"/>
        </w:rPr>
        <w:t>所有新进</w:t>
      </w:r>
      <w:r>
        <w:rPr>
          <w:rFonts w:ascii="宋体" w:hAnsi="宋体" w:cs="宋体" w:hint="eastAsia"/>
          <w:color w:val="FF0000"/>
          <w:sz w:val="21"/>
          <w:szCs w:val="21"/>
          <w:highlight w:val="none"/>
          <w:lang w:eastAsia="zh-CN"/>
        </w:rPr>
        <w:t>医疗护理员</w:t>
      </w:r>
      <w:r>
        <w:rPr>
          <w:rFonts w:ascii="宋体" w:eastAsia="宋体" w:hAnsi="宋体" w:cs="宋体" w:hint="eastAsia"/>
          <w:color w:val="FF0000"/>
          <w:sz w:val="21"/>
          <w:szCs w:val="21"/>
          <w:highlight w:val="none"/>
        </w:rPr>
        <w:t>身体健康，必须持有健康证，无重大疾病、患有精神类疾病、处于传染期的传染病、化脓性或者渗出性皮肤病等疾病的，不得从事陪护工作。</w:t>
      </w:r>
    </w:p>
    <w:p>
      <w:pPr>
        <w:keepNext w:val="0"/>
        <w:keepLines w:val="0"/>
        <w:pageBreakBefore w:val="0"/>
        <w:widowControl w:val="0"/>
        <w:kinsoku/>
        <w:wordWrap/>
        <w:overflowPunct/>
        <w:topLinePunct w:val="0"/>
        <w:autoSpaceDE/>
        <w:autoSpaceDN/>
        <w:bidi w:val="0"/>
        <w:adjustRightInd/>
        <w:snapToGrid w:val="0"/>
        <w:spacing w:line="240" w:lineRule="auto"/>
        <w:ind w:left="0" w:firstLine="420" w:leftChars="0" w:firstLineChars="200"/>
        <w:contextualSpacing/>
        <w:jc w:val="left"/>
        <w:textAlignment w:val="auto"/>
        <w:rPr>
          <w:rFonts w:ascii="宋体" w:eastAsia="宋体" w:hAnsi="宋体" w:cs="宋体" w:hint="eastAsia"/>
          <w:color w:val="FF0000"/>
          <w:sz w:val="21"/>
          <w:szCs w:val="21"/>
          <w:highlight w:val="none"/>
        </w:rPr>
      </w:pPr>
      <w:r>
        <w:rPr>
          <w:rFonts w:ascii="宋体" w:eastAsia="宋体" w:hAnsi="宋体" w:cs="宋体" w:hint="eastAsia"/>
          <w:b/>
          <w:bCs/>
          <w:color w:val="FF0000"/>
          <w:highlight w:val="none"/>
        </w:rPr>
        <w:t>★</w:t>
      </w:r>
      <w:r>
        <w:rPr>
          <w:rFonts w:ascii="宋体" w:eastAsia="宋体" w:hAnsi="宋体" w:cs="宋体" w:hint="eastAsia"/>
          <w:color w:val="FF0000"/>
          <w:sz w:val="21"/>
          <w:szCs w:val="21"/>
          <w:highlight w:val="none"/>
          <w:lang w:val="en-US" w:eastAsia="zh-CN"/>
        </w:rPr>
        <w:t>3、</w:t>
      </w:r>
      <w:r>
        <w:rPr>
          <w:rFonts w:ascii="宋体" w:eastAsia="宋体" w:hAnsi="宋体" w:cs="宋体" w:hint="eastAsia"/>
          <w:color w:val="FF0000"/>
          <w:sz w:val="21"/>
          <w:szCs w:val="21"/>
          <w:highlight w:val="none"/>
        </w:rPr>
        <w:t>所有</w:t>
      </w:r>
      <w:r>
        <w:rPr>
          <w:rFonts w:ascii="宋体" w:hAnsi="宋体" w:cs="宋体" w:hint="eastAsia"/>
          <w:color w:val="FF0000"/>
          <w:sz w:val="21"/>
          <w:szCs w:val="21"/>
          <w:highlight w:val="none"/>
          <w:lang w:val="en-US" w:eastAsia="zh-CN"/>
        </w:rPr>
        <w:t>医疗护理员</w:t>
      </w:r>
      <w:r>
        <w:rPr>
          <w:rFonts w:ascii="宋体" w:eastAsia="宋体" w:hAnsi="宋体" w:cs="宋体" w:hint="eastAsia"/>
          <w:color w:val="FF0000"/>
          <w:sz w:val="21"/>
          <w:szCs w:val="21"/>
          <w:highlight w:val="none"/>
        </w:rPr>
        <w:t>必须体检1次/年，体检费用由</w:t>
      </w:r>
      <w:r>
        <w:rPr>
          <w:rFonts w:ascii="宋体" w:eastAsia="宋体" w:hAnsi="宋体" w:cs="宋体" w:hint="eastAsia"/>
          <w:color w:val="FF0000"/>
          <w:sz w:val="21"/>
          <w:szCs w:val="21"/>
          <w:highlight w:val="none"/>
          <w:lang w:eastAsia="zh-CN"/>
        </w:rPr>
        <w:t>中标人</w:t>
      </w:r>
      <w:r>
        <w:rPr>
          <w:rFonts w:ascii="宋体" w:eastAsia="宋体" w:hAnsi="宋体" w:cs="宋体" w:hint="eastAsia"/>
          <w:color w:val="FF0000"/>
          <w:sz w:val="21"/>
          <w:szCs w:val="21"/>
          <w:highlight w:val="none"/>
        </w:rPr>
        <w:t>承担。</w:t>
      </w:r>
    </w:p>
    <w:p>
      <w:pPr>
        <w:keepNext w:val="0"/>
        <w:keepLines w:val="0"/>
        <w:pageBreakBefore w:val="0"/>
        <w:widowControl w:val="0"/>
        <w:kinsoku/>
        <w:wordWrap/>
        <w:overflowPunct/>
        <w:topLinePunct w:val="0"/>
        <w:autoSpaceDE/>
        <w:autoSpaceDN/>
        <w:bidi w:val="0"/>
        <w:adjustRightInd/>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4、</w:t>
      </w:r>
      <w:r>
        <w:rPr>
          <w:rFonts w:ascii="宋体" w:eastAsia="宋体" w:hAnsi="宋体" w:cs="宋体" w:hint="eastAsia"/>
          <w:sz w:val="21"/>
          <w:szCs w:val="21"/>
          <w:highlight w:val="none"/>
        </w:rPr>
        <w:t>所有新进</w:t>
      </w:r>
      <w:r>
        <w:rPr>
          <w:rFonts w:ascii="宋体" w:hAnsi="宋体" w:cs="宋体" w:hint="eastAsia"/>
          <w:sz w:val="21"/>
          <w:szCs w:val="21"/>
          <w:highlight w:val="none"/>
          <w:lang w:eastAsia="zh-CN"/>
        </w:rPr>
        <w:t>医疗护理员</w:t>
      </w:r>
      <w:r>
        <w:rPr>
          <w:rFonts w:ascii="宋体" w:eastAsia="宋体" w:hAnsi="宋体" w:cs="宋体" w:hint="eastAsia"/>
          <w:sz w:val="21"/>
          <w:szCs w:val="21"/>
          <w:highlight w:val="none"/>
        </w:rPr>
        <w:t>无不良嗜好，无犯罪记录；具有良好的个人品德，荣誉感和奉献精神；能遵守医院的各项规章制度和纪律。</w:t>
      </w:r>
    </w:p>
    <w:p>
      <w:pPr>
        <w:keepNext w:val="0"/>
        <w:keepLines w:val="0"/>
        <w:pageBreakBefore w:val="0"/>
        <w:widowControl w:val="0"/>
        <w:kinsoku/>
        <w:wordWrap/>
        <w:overflowPunct/>
        <w:topLinePunct w:val="0"/>
        <w:autoSpaceDE/>
        <w:autoSpaceDN/>
        <w:bidi w:val="0"/>
        <w:adjustRightInd/>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5、</w:t>
      </w:r>
      <w:r>
        <w:rPr>
          <w:rFonts w:ascii="宋体" w:eastAsia="宋体" w:hAnsi="宋体" w:cs="宋体" w:hint="eastAsia"/>
          <w:sz w:val="21"/>
          <w:szCs w:val="21"/>
          <w:highlight w:val="none"/>
          <w:lang w:eastAsia="zh-CN"/>
        </w:rPr>
        <w:t>中标人</w:t>
      </w:r>
      <w:r>
        <w:rPr>
          <w:rFonts w:ascii="宋体" w:eastAsia="宋体" w:hAnsi="宋体" w:cs="宋体" w:hint="eastAsia"/>
          <w:sz w:val="21"/>
          <w:szCs w:val="21"/>
          <w:highlight w:val="none"/>
        </w:rPr>
        <w:t>的管理人员及</w:t>
      </w:r>
      <w:r>
        <w:rPr>
          <w:rFonts w:ascii="宋体" w:hAnsi="宋体" w:cs="宋体" w:hint="eastAsia"/>
          <w:sz w:val="21"/>
          <w:szCs w:val="21"/>
          <w:highlight w:val="none"/>
          <w:lang w:eastAsia="zh-CN"/>
        </w:rPr>
        <w:t>医疗护理员</w:t>
      </w:r>
      <w:r>
        <w:rPr>
          <w:rFonts w:ascii="宋体" w:eastAsia="宋体" w:hAnsi="宋体" w:cs="宋体" w:hint="eastAsia"/>
          <w:sz w:val="21"/>
          <w:szCs w:val="21"/>
          <w:highlight w:val="none"/>
        </w:rPr>
        <w:t>，用工均应符合国家劳动人事政策。</w:t>
      </w:r>
    </w:p>
    <w:p>
      <w:pPr>
        <w:keepNext w:val="0"/>
        <w:keepLines w:val="0"/>
        <w:pageBreakBefore w:val="0"/>
        <w:widowControl w:val="0"/>
        <w:tabs>
          <w:tab w:val="left" w:pos="424"/>
        </w:tabs>
        <w:kinsoku/>
        <w:wordWrap/>
        <w:overflowPunct/>
        <w:topLinePunct w:val="0"/>
        <w:autoSpaceDE/>
        <w:autoSpaceDN/>
        <w:bidi w:val="0"/>
        <w:adjustRightInd/>
        <w:snapToGrid w:val="0"/>
        <w:spacing w:line="240" w:lineRule="auto"/>
        <w:ind w:left="0" w:firstLine="420" w:leftChars="0" w:firstLineChars="200"/>
        <w:contextualSpacing/>
        <w:jc w:val="left"/>
        <w:textAlignment w:val="auto"/>
        <w:rPr>
          <w:rFonts w:ascii="宋体" w:eastAsia="宋体" w:hAnsi="宋体" w:cs="宋体" w:hint="eastAsia"/>
          <w:b w:val="0"/>
          <w:bCs w:val="0"/>
          <w:color w:val="FF0000"/>
          <w:sz w:val="21"/>
          <w:szCs w:val="21"/>
          <w:highlight w:val="none"/>
        </w:rPr>
      </w:pPr>
      <w:r>
        <w:rPr>
          <w:rFonts w:ascii="宋体" w:eastAsia="宋体" w:hAnsi="宋体" w:cs="宋体" w:hint="eastAsia"/>
          <w:b w:val="0"/>
          <w:bCs w:val="0"/>
          <w:color w:val="FF0000"/>
          <w:highlight w:val="none"/>
        </w:rPr>
        <w:t>★</w:t>
      </w:r>
      <w:r>
        <w:rPr>
          <w:rFonts w:ascii="宋体" w:eastAsia="宋体" w:hAnsi="宋体" w:cs="宋体" w:hint="eastAsia"/>
          <w:b w:val="0"/>
          <w:bCs w:val="0"/>
          <w:color w:val="FF0000"/>
          <w:sz w:val="21"/>
          <w:szCs w:val="21"/>
          <w:highlight w:val="none"/>
          <w:lang w:val="en-US" w:eastAsia="zh-CN"/>
        </w:rPr>
        <w:t>6、</w:t>
      </w:r>
      <w:r>
        <w:rPr>
          <w:rFonts w:ascii="宋体" w:hAnsi="宋体" w:cs="宋体" w:hint="eastAsia"/>
          <w:b w:val="0"/>
          <w:bCs w:val="0"/>
          <w:color w:val="FF0000"/>
          <w:sz w:val="21"/>
          <w:szCs w:val="21"/>
          <w:highlight w:val="none"/>
          <w:lang w:val="en-US" w:eastAsia="zh-CN"/>
        </w:rPr>
        <w:t>资质</w:t>
      </w:r>
      <w:r>
        <w:rPr>
          <w:rFonts w:ascii="宋体" w:eastAsia="宋体" w:hAnsi="宋体" w:cs="宋体" w:hint="eastAsia"/>
          <w:b w:val="0"/>
          <w:bCs w:val="0"/>
          <w:color w:val="FF0000"/>
          <w:sz w:val="21"/>
          <w:szCs w:val="21"/>
          <w:highlight w:val="none"/>
        </w:rPr>
        <w:t>要求：医疗护理员须持证上岗，按规定完成专业培训并通过考核。其中，产科医疗护理员需具备母婴照护资质证书</w:t>
      </w:r>
      <w:r>
        <w:rPr>
          <w:rFonts w:ascii="宋体" w:eastAsia="宋体" w:hAnsi="宋体" w:cs="宋体" w:hint="eastAsia"/>
          <w:b/>
          <w:bCs w:val="0"/>
          <w:color w:val="FF0000"/>
          <w:sz w:val="21"/>
          <w:szCs w:val="21"/>
          <w:highlight w:val="none"/>
        </w:rPr>
        <w:t>（投标文件中提供承诺函并加盖公章，格式自拟）</w:t>
      </w:r>
      <w:r>
        <w:rPr>
          <w:rFonts w:ascii="宋体" w:eastAsia="宋体" w:hAnsi="宋体" w:cs="宋体" w:hint="eastAsia"/>
          <w:b w:val="0"/>
          <w:bCs w:val="0"/>
          <w:color w:val="FF0000"/>
          <w:sz w:val="21"/>
          <w:szCs w:val="21"/>
          <w:highlight w:val="none"/>
        </w:rPr>
        <w:t>。</w:t>
      </w:r>
    </w:p>
    <w:p>
      <w:pPr>
        <w:keepNext w:val="0"/>
        <w:keepLines w:val="0"/>
        <w:pageBreakBefore w:val="0"/>
        <w:widowControl w:val="0"/>
        <w:tabs>
          <w:tab w:val="left" w:pos="424"/>
        </w:tabs>
        <w:kinsoku/>
        <w:wordWrap/>
        <w:overflowPunct/>
        <w:topLinePunct w:val="0"/>
        <w:autoSpaceDE/>
        <w:autoSpaceDN/>
        <w:bidi w:val="0"/>
        <w:adjustRightInd/>
        <w:snapToGrid w:val="0"/>
        <w:spacing w:line="240" w:lineRule="auto"/>
        <w:ind w:left="0" w:firstLine="420" w:leftChars="0" w:firstLineChars="200"/>
        <w:contextualSpacing/>
        <w:jc w:val="left"/>
        <w:textAlignment w:val="auto"/>
        <w:rPr>
          <w:rFonts w:ascii="宋体" w:eastAsia="宋体" w:hAnsi="宋体" w:cs="宋体" w:hint="eastAsia"/>
          <w:b/>
          <w:bCs/>
          <w:sz w:val="21"/>
          <w:szCs w:val="21"/>
          <w:highlight w:val="none"/>
          <w:lang w:eastAsia="zh-CN"/>
        </w:rPr>
      </w:pPr>
      <w:r>
        <w:rPr>
          <w:rFonts w:ascii="宋体" w:eastAsia="宋体" w:hAnsi="宋体" w:cs="宋体" w:hint="eastAsia"/>
          <w:b/>
          <w:bCs/>
          <w:sz w:val="21"/>
          <w:szCs w:val="21"/>
          <w:highlight w:val="none"/>
          <w:lang w:eastAsia="zh-CN"/>
        </w:rPr>
        <w:t>（三）</w:t>
      </w:r>
      <w:r>
        <w:rPr>
          <w:rFonts w:ascii="宋体" w:hAnsi="宋体" w:cs="宋体" w:hint="eastAsia"/>
          <w:b/>
          <w:bCs/>
          <w:sz w:val="21"/>
          <w:szCs w:val="21"/>
          <w:highlight w:val="none"/>
          <w:lang w:eastAsia="zh-CN"/>
        </w:rPr>
        <w:t>医疗护理员</w:t>
      </w:r>
      <w:r>
        <w:rPr>
          <w:rFonts w:ascii="宋体" w:eastAsia="宋体" w:hAnsi="宋体" w:cs="宋体" w:hint="eastAsia"/>
          <w:b/>
          <w:bCs/>
          <w:sz w:val="21"/>
          <w:szCs w:val="21"/>
          <w:highlight w:val="none"/>
          <w:lang w:eastAsia="zh-CN"/>
        </w:rPr>
        <w:t>基本工作守则</w:t>
      </w:r>
    </w:p>
    <w:p>
      <w:pPr>
        <w:keepNext w:val="0"/>
        <w:keepLines w:val="0"/>
        <w:pageBreakBefore w:val="0"/>
        <w:widowControl w:val="0"/>
        <w:tabs>
          <w:tab w:val="left" w:pos="424"/>
        </w:tabs>
        <w:kinsoku/>
        <w:wordWrap/>
        <w:overflowPunct/>
        <w:topLinePunct w:val="0"/>
        <w:autoSpaceDE/>
        <w:autoSpaceDN/>
        <w:bidi w:val="0"/>
        <w:adjustRightInd/>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lang w:eastAsia="zh-CN"/>
        </w:rPr>
      </w:pPr>
      <w:r>
        <w:rPr>
          <w:rFonts w:ascii="宋体" w:hAnsi="宋体" w:cs="宋体" w:hint="eastAsia"/>
          <w:sz w:val="21"/>
          <w:szCs w:val="21"/>
          <w:highlight w:val="none"/>
          <w:lang w:eastAsia="zh-CN"/>
        </w:rPr>
        <w:t>医疗护理员</w:t>
      </w:r>
      <w:r>
        <w:rPr>
          <w:rFonts w:ascii="宋体" w:eastAsia="宋体" w:hAnsi="宋体" w:cs="宋体" w:hint="eastAsia"/>
          <w:sz w:val="21"/>
          <w:szCs w:val="21"/>
          <w:highlight w:val="none"/>
          <w:lang w:eastAsia="zh-CN"/>
        </w:rPr>
        <w:t>应遵守医疗机构的规章制度，规范服务行为，保证工作有序开展，为患者提供安全、优质的服务。</w:t>
      </w:r>
    </w:p>
    <w:p>
      <w:pPr>
        <w:keepNext w:val="0"/>
        <w:keepLines w:val="0"/>
        <w:pageBreakBefore w:val="0"/>
        <w:widowControl w:val="0"/>
        <w:tabs>
          <w:tab w:val="left" w:pos="424"/>
        </w:tabs>
        <w:kinsoku/>
        <w:wordWrap/>
        <w:overflowPunct/>
        <w:topLinePunct w:val="0"/>
        <w:autoSpaceDE/>
        <w:autoSpaceDN/>
        <w:bidi w:val="0"/>
        <w:adjustRightInd/>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lang w:eastAsia="zh-CN"/>
        </w:rPr>
        <w:t>1</w:t>
      </w:r>
      <w:r>
        <w:rPr>
          <w:rFonts w:ascii="宋体" w:eastAsia="宋体" w:hAnsi="宋体" w:cs="宋体" w:hint="eastAsia"/>
          <w:sz w:val="21"/>
          <w:szCs w:val="21"/>
          <w:highlight w:val="none"/>
          <w:lang w:val="en-US" w:eastAsia="zh-CN"/>
        </w:rPr>
        <w:t>、</w:t>
      </w:r>
      <w:r>
        <w:rPr>
          <w:rFonts w:ascii="宋体" w:eastAsia="宋体" w:hAnsi="宋体" w:cs="宋体" w:hint="eastAsia"/>
          <w:sz w:val="21"/>
          <w:szCs w:val="21"/>
          <w:highlight w:val="none"/>
          <w:lang w:eastAsia="zh-CN"/>
        </w:rPr>
        <w:t>自觉遵守法律法规，严格遵守医疗机构的各项规章制度，积极维护医疗机构的声誉，不得做出有损医疗机构利益的言行。</w:t>
      </w:r>
    </w:p>
    <w:p>
      <w:pPr>
        <w:keepNext w:val="0"/>
        <w:keepLines w:val="0"/>
        <w:pageBreakBefore w:val="0"/>
        <w:widowControl w:val="0"/>
        <w:tabs>
          <w:tab w:val="left" w:pos="424"/>
        </w:tabs>
        <w:kinsoku/>
        <w:wordWrap/>
        <w:overflowPunct/>
        <w:topLinePunct w:val="0"/>
        <w:autoSpaceDE/>
        <w:autoSpaceDN/>
        <w:bidi w:val="0"/>
        <w:adjustRightInd/>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lang w:eastAsia="zh-CN"/>
        </w:rPr>
        <w:t>2</w:t>
      </w:r>
      <w:r>
        <w:rPr>
          <w:rFonts w:ascii="宋体" w:eastAsia="宋体" w:hAnsi="宋体" w:cs="宋体" w:hint="eastAsia"/>
          <w:sz w:val="21"/>
          <w:szCs w:val="21"/>
          <w:highlight w:val="none"/>
          <w:lang w:val="en-US" w:eastAsia="zh-CN"/>
        </w:rPr>
        <w:t>、</w:t>
      </w:r>
      <w:r>
        <w:rPr>
          <w:rFonts w:ascii="宋体" w:eastAsia="宋体" w:hAnsi="宋体" w:cs="宋体" w:hint="eastAsia"/>
          <w:sz w:val="21"/>
          <w:szCs w:val="21"/>
          <w:highlight w:val="none"/>
          <w:lang w:eastAsia="zh-CN"/>
        </w:rPr>
        <w:t>尊重患者的人格和权利，对待患者，不分国籍、民族、信仰、年龄、性别、政治或社会地位，都应一视同仁；保护患者隐私，不议论患者病情、泄露患者隐私和秘密。</w:t>
      </w:r>
    </w:p>
    <w:p>
      <w:pPr>
        <w:keepNext w:val="0"/>
        <w:keepLines w:val="0"/>
        <w:pageBreakBefore w:val="0"/>
        <w:widowControl w:val="0"/>
        <w:tabs>
          <w:tab w:val="left" w:pos="424"/>
        </w:tabs>
        <w:kinsoku/>
        <w:wordWrap/>
        <w:overflowPunct/>
        <w:topLinePunct w:val="0"/>
        <w:autoSpaceDE/>
        <w:autoSpaceDN/>
        <w:bidi w:val="0"/>
        <w:adjustRightInd/>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lang w:eastAsia="zh-CN"/>
        </w:rPr>
        <w:t>3</w:t>
      </w:r>
      <w:r>
        <w:rPr>
          <w:rFonts w:ascii="宋体" w:eastAsia="宋体" w:hAnsi="宋体" w:cs="宋体" w:hint="eastAsia"/>
          <w:sz w:val="21"/>
          <w:szCs w:val="21"/>
          <w:highlight w:val="none"/>
          <w:lang w:val="en-US" w:eastAsia="zh-CN"/>
        </w:rPr>
        <w:t>、</w:t>
      </w:r>
      <w:r>
        <w:rPr>
          <w:rFonts w:ascii="宋体" w:eastAsia="宋体" w:hAnsi="宋体" w:cs="宋体" w:hint="eastAsia"/>
          <w:sz w:val="21"/>
          <w:szCs w:val="21"/>
          <w:highlight w:val="none"/>
          <w:lang w:eastAsia="zh-CN"/>
        </w:rPr>
        <w:t>待人文明礼貌，遵守社会公德，爱护公物，节约用水用电。</w:t>
      </w:r>
    </w:p>
    <w:p>
      <w:pPr>
        <w:keepNext w:val="0"/>
        <w:keepLines w:val="0"/>
        <w:pageBreakBefore w:val="0"/>
        <w:widowControl w:val="0"/>
        <w:tabs>
          <w:tab w:val="left" w:pos="424"/>
        </w:tabs>
        <w:kinsoku/>
        <w:wordWrap/>
        <w:overflowPunct/>
        <w:topLinePunct w:val="0"/>
        <w:autoSpaceDE/>
        <w:autoSpaceDN/>
        <w:bidi w:val="0"/>
        <w:adjustRightInd/>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lang w:eastAsia="zh-CN"/>
        </w:rPr>
        <w:t>4</w:t>
      </w:r>
      <w:r>
        <w:rPr>
          <w:rFonts w:ascii="宋体" w:eastAsia="宋体" w:hAnsi="宋体" w:cs="宋体" w:hint="eastAsia"/>
          <w:sz w:val="21"/>
          <w:szCs w:val="21"/>
          <w:highlight w:val="none"/>
          <w:lang w:val="en-US" w:eastAsia="zh-CN"/>
        </w:rPr>
        <w:t>、</w:t>
      </w:r>
      <w:r>
        <w:rPr>
          <w:rFonts w:ascii="宋体" w:eastAsia="宋体" w:hAnsi="宋体" w:cs="宋体" w:hint="eastAsia"/>
          <w:sz w:val="21"/>
          <w:szCs w:val="21"/>
          <w:highlight w:val="none"/>
          <w:lang w:eastAsia="zh-CN"/>
        </w:rPr>
        <w:t>工作认真，严于律己，责任心强，工作期间不得擅自离（串）岗，不得从事与工作无关的私人活动，严禁玩手机、聚众聊天、赌博等行为。</w:t>
      </w:r>
    </w:p>
    <w:p>
      <w:pPr>
        <w:keepNext w:val="0"/>
        <w:keepLines w:val="0"/>
        <w:pageBreakBefore w:val="0"/>
        <w:widowControl w:val="0"/>
        <w:tabs>
          <w:tab w:val="left" w:pos="424"/>
        </w:tabs>
        <w:kinsoku/>
        <w:wordWrap/>
        <w:overflowPunct/>
        <w:topLinePunct w:val="0"/>
        <w:autoSpaceDE/>
        <w:autoSpaceDN/>
        <w:bidi w:val="0"/>
        <w:adjustRightInd/>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lang w:eastAsia="zh-CN"/>
        </w:rPr>
        <w:t>5</w:t>
      </w:r>
      <w:r>
        <w:rPr>
          <w:rFonts w:ascii="宋体" w:eastAsia="宋体" w:hAnsi="宋体" w:cs="宋体" w:hint="eastAsia"/>
          <w:sz w:val="21"/>
          <w:szCs w:val="21"/>
          <w:highlight w:val="none"/>
          <w:lang w:val="en-US" w:eastAsia="zh-CN"/>
        </w:rPr>
        <w:t>、</w:t>
      </w:r>
      <w:r>
        <w:rPr>
          <w:rFonts w:ascii="宋体" w:eastAsia="宋体" w:hAnsi="宋体" w:cs="宋体" w:hint="eastAsia"/>
          <w:sz w:val="21"/>
          <w:szCs w:val="21"/>
          <w:highlight w:val="none"/>
          <w:lang w:eastAsia="zh-CN"/>
        </w:rPr>
        <w:t>与医务人员保持有效沟通，配合医务人员照护患者，避免引起医护患者纠纷和矛盾。</w:t>
      </w:r>
    </w:p>
    <w:p>
      <w:pPr>
        <w:keepNext w:val="0"/>
        <w:keepLines w:val="0"/>
        <w:pageBreakBefore w:val="0"/>
        <w:widowControl w:val="0"/>
        <w:tabs>
          <w:tab w:val="left" w:pos="424"/>
        </w:tabs>
        <w:kinsoku/>
        <w:wordWrap/>
        <w:overflowPunct/>
        <w:topLinePunct w:val="0"/>
        <w:autoSpaceDE/>
        <w:autoSpaceDN/>
        <w:bidi w:val="0"/>
        <w:adjustRightInd/>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lang w:eastAsia="zh-CN"/>
        </w:rPr>
        <w:t>6</w:t>
      </w:r>
      <w:r>
        <w:rPr>
          <w:rFonts w:ascii="宋体" w:eastAsia="宋体" w:hAnsi="宋体" w:cs="宋体" w:hint="eastAsia"/>
          <w:sz w:val="21"/>
          <w:szCs w:val="21"/>
          <w:highlight w:val="none"/>
          <w:lang w:val="en-US" w:eastAsia="zh-CN"/>
        </w:rPr>
        <w:t>、</w:t>
      </w:r>
      <w:r>
        <w:rPr>
          <w:rFonts w:ascii="宋体" w:eastAsia="宋体" w:hAnsi="宋体" w:cs="宋体" w:hint="eastAsia"/>
          <w:sz w:val="21"/>
          <w:szCs w:val="21"/>
          <w:highlight w:val="none"/>
          <w:lang w:eastAsia="zh-CN"/>
        </w:rPr>
        <w:t>严格遵守操作规程，严禁进行任何侵入性、治疗性工作，如：输液调节、吸氧、</w:t>
      </w:r>
      <w:r>
        <w:rPr>
          <w:rFonts w:ascii="宋体" w:eastAsia="宋体" w:hAnsi="宋体" w:cs="宋体" w:hint="eastAsia"/>
          <w:b w:val="0"/>
          <w:bCs w:val="0"/>
          <w:color w:val="auto"/>
          <w:sz w:val="21"/>
          <w:szCs w:val="21"/>
          <w:highlight w:val="none"/>
          <w:lang w:eastAsia="zh-CN"/>
        </w:rPr>
        <w:t>鼻饲</w:t>
      </w:r>
      <w:r>
        <w:rPr>
          <w:rFonts w:ascii="宋体" w:eastAsia="宋体" w:hAnsi="宋体" w:cs="宋体" w:hint="eastAsia"/>
          <w:color w:val="auto"/>
          <w:sz w:val="21"/>
          <w:szCs w:val="21"/>
          <w:highlight w:val="none"/>
          <w:lang w:eastAsia="zh-CN"/>
        </w:rPr>
        <w:t>等</w:t>
      </w:r>
      <w:r>
        <w:rPr>
          <w:rFonts w:ascii="宋体" w:eastAsia="宋体" w:hAnsi="宋体" w:cs="宋体" w:hint="eastAsia"/>
          <w:sz w:val="21"/>
          <w:szCs w:val="21"/>
          <w:highlight w:val="none"/>
          <w:lang w:eastAsia="zh-CN"/>
        </w:rPr>
        <w:t>；避免因服务不当导致患者跌倒、坠床、烫伤等不良事件发生。</w:t>
      </w:r>
    </w:p>
    <w:p>
      <w:pPr>
        <w:keepNext w:val="0"/>
        <w:keepLines w:val="0"/>
        <w:pageBreakBefore w:val="0"/>
        <w:widowControl w:val="0"/>
        <w:tabs>
          <w:tab w:val="left" w:pos="424"/>
        </w:tabs>
        <w:kinsoku/>
        <w:wordWrap/>
        <w:overflowPunct/>
        <w:topLinePunct w:val="0"/>
        <w:autoSpaceDE/>
        <w:autoSpaceDN/>
        <w:bidi w:val="0"/>
        <w:adjustRightInd/>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lang w:eastAsia="zh-CN"/>
        </w:rPr>
        <w:t>7</w:t>
      </w:r>
      <w:r>
        <w:rPr>
          <w:rFonts w:ascii="宋体" w:eastAsia="宋体" w:hAnsi="宋体" w:cs="宋体" w:hint="eastAsia"/>
          <w:sz w:val="21"/>
          <w:szCs w:val="21"/>
          <w:highlight w:val="none"/>
          <w:lang w:val="en-US" w:eastAsia="zh-CN"/>
        </w:rPr>
        <w:t>、</w:t>
      </w:r>
      <w:r>
        <w:rPr>
          <w:rFonts w:ascii="宋体" w:eastAsia="宋体" w:hAnsi="宋体" w:cs="宋体" w:hint="eastAsia"/>
          <w:sz w:val="21"/>
          <w:szCs w:val="21"/>
          <w:highlight w:val="none"/>
          <w:lang w:eastAsia="zh-CN"/>
        </w:rPr>
        <w:t>廉洁奉公，洁身自爱，不接受患者及家属馈赠，不利用工作之便向患者、家属暗示或者索要红包、小费等。禁止擅自拿取、窃用、倒卖医疗机构的公物。</w:t>
      </w:r>
    </w:p>
    <w:p>
      <w:pPr>
        <w:keepNext w:val="0"/>
        <w:keepLines w:val="0"/>
        <w:pageBreakBefore w:val="0"/>
        <w:widowControl w:val="0"/>
        <w:tabs>
          <w:tab w:val="left" w:pos="424"/>
        </w:tabs>
        <w:kinsoku/>
        <w:wordWrap/>
        <w:overflowPunct/>
        <w:topLinePunct w:val="0"/>
        <w:autoSpaceDE/>
        <w:autoSpaceDN/>
        <w:bidi w:val="0"/>
        <w:adjustRightInd/>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lang w:eastAsia="zh-CN"/>
        </w:rPr>
        <w:t>8</w:t>
      </w:r>
      <w:r>
        <w:rPr>
          <w:rFonts w:ascii="宋体" w:eastAsia="宋体" w:hAnsi="宋体" w:cs="宋体" w:hint="eastAsia"/>
          <w:sz w:val="21"/>
          <w:szCs w:val="21"/>
          <w:highlight w:val="none"/>
          <w:lang w:val="en-US" w:eastAsia="zh-CN"/>
        </w:rPr>
        <w:t>、</w:t>
      </w:r>
      <w:r>
        <w:rPr>
          <w:rFonts w:ascii="宋体" w:eastAsia="宋体" w:hAnsi="宋体" w:cs="宋体" w:hint="eastAsia"/>
          <w:sz w:val="21"/>
          <w:szCs w:val="21"/>
          <w:highlight w:val="none"/>
          <w:lang w:eastAsia="zh-CN"/>
        </w:rPr>
        <w:t>敢于承担责任，不逃避，不推卸，不隐瞒过错，不歪曲事实，不诬陷他人。</w:t>
      </w:r>
    </w:p>
    <w:p>
      <w:pPr>
        <w:keepNext w:val="0"/>
        <w:keepLines w:val="0"/>
        <w:pageBreakBefore w:val="0"/>
        <w:widowControl w:val="0"/>
        <w:tabs>
          <w:tab w:val="left" w:pos="424"/>
        </w:tabs>
        <w:kinsoku/>
        <w:wordWrap/>
        <w:overflowPunct/>
        <w:topLinePunct w:val="0"/>
        <w:autoSpaceDE/>
        <w:autoSpaceDN/>
        <w:bidi w:val="0"/>
        <w:adjustRightInd/>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lang w:eastAsia="zh-CN"/>
        </w:rPr>
        <w:t>9</w:t>
      </w:r>
      <w:r>
        <w:rPr>
          <w:rFonts w:ascii="宋体" w:eastAsia="宋体" w:hAnsi="宋体" w:cs="宋体" w:hint="eastAsia"/>
          <w:sz w:val="21"/>
          <w:szCs w:val="21"/>
          <w:highlight w:val="none"/>
          <w:lang w:val="en-US" w:eastAsia="zh-CN"/>
        </w:rPr>
        <w:t>、</w:t>
      </w:r>
      <w:r>
        <w:rPr>
          <w:rFonts w:ascii="宋体" w:eastAsia="宋体" w:hAnsi="宋体" w:cs="宋体" w:hint="eastAsia"/>
          <w:sz w:val="21"/>
          <w:szCs w:val="21"/>
          <w:highlight w:val="none"/>
          <w:lang w:eastAsia="zh-CN"/>
        </w:rPr>
        <w:t>按时上班，不迟到、早退、旷工，严格履行岗位职责，积极做好本职工作，完成上级交代的工作任务。</w:t>
      </w:r>
    </w:p>
    <w:p>
      <w:pPr>
        <w:keepNext w:val="0"/>
        <w:keepLines w:val="0"/>
        <w:pageBreakBefore w:val="0"/>
        <w:widowControl w:val="0"/>
        <w:tabs>
          <w:tab w:val="left" w:pos="424"/>
        </w:tabs>
        <w:kinsoku/>
        <w:wordWrap/>
        <w:overflowPunct/>
        <w:topLinePunct w:val="0"/>
        <w:autoSpaceDE/>
        <w:autoSpaceDN/>
        <w:bidi w:val="0"/>
        <w:adjustRightInd/>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lang w:eastAsia="zh-CN"/>
        </w:rPr>
        <w:t>10</w:t>
      </w:r>
      <w:r>
        <w:rPr>
          <w:rFonts w:ascii="宋体" w:eastAsia="宋体" w:hAnsi="宋体" w:cs="宋体" w:hint="eastAsia"/>
          <w:sz w:val="21"/>
          <w:szCs w:val="21"/>
          <w:highlight w:val="none"/>
          <w:lang w:val="en-US" w:eastAsia="zh-CN"/>
        </w:rPr>
        <w:t>、</w:t>
      </w:r>
      <w:r>
        <w:rPr>
          <w:rFonts w:ascii="宋体" w:eastAsia="宋体" w:hAnsi="宋体" w:cs="宋体" w:hint="eastAsia"/>
          <w:sz w:val="21"/>
          <w:szCs w:val="21"/>
          <w:highlight w:val="none"/>
          <w:lang w:eastAsia="zh-CN"/>
        </w:rPr>
        <w:t>团结同事，互相帮助，禁止在患者及家属面前互相诋毁对方，严禁在工作期间吵闹、打架、拉帮结派等。</w:t>
      </w:r>
    </w:p>
    <w:p>
      <w:pPr>
        <w:numPr>
          <w:ilvl w:val="0"/>
          <w:numId w:val="0"/>
        </w:numPr>
        <w:adjustRightInd w:val="0"/>
        <w:snapToGrid w:val="0"/>
        <w:ind w:firstLine="420" w:firstLineChars="200"/>
        <w:rPr>
          <w:rFonts w:ascii="宋体" w:eastAsia="宋体" w:hAnsi="宋体" w:cs="宋体" w:hint="eastAsia"/>
          <w:b/>
          <w:bCs/>
          <w:color w:val="FF0000"/>
          <w:szCs w:val="21"/>
          <w:highlight w:val="none"/>
        </w:rPr>
      </w:pPr>
      <w:r>
        <w:rPr>
          <w:rFonts w:ascii="宋体" w:eastAsia="宋体" w:hAnsi="宋体" w:cs="宋体" w:hint="eastAsia"/>
          <w:b/>
          <w:bCs/>
          <w:color w:val="FF0000"/>
          <w:highlight w:val="none"/>
        </w:rPr>
        <w:t>★</w:t>
      </w:r>
      <w:r>
        <w:rPr>
          <w:rFonts w:ascii="宋体" w:eastAsia="宋体" w:hAnsi="宋体" w:cs="宋体" w:hint="eastAsia"/>
          <w:color w:val="FF0000"/>
          <w:sz w:val="21"/>
          <w:szCs w:val="21"/>
          <w:highlight w:val="none"/>
          <w:lang w:eastAsia="zh-CN"/>
        </w:rPr>
        <w:t>11</w:t>
      </w:r>
      <w:r>
        <w:rPr>
          <w:rFonts w:ascii="宋体" w:eastAsia="宋体" w:hAnsi="宋体" w:cs="宋体" w:hint="eastAsia"/>
          <w:color w:val="FF0000"/>
          <w:sz w:val="21"/>
          <w:szCs w:val="21"/>
          <w:highlight w:val="none"/>
          <w:lang w:val="en-US" w:eastAsia="zh-CN"/>
        </w:rPr>
        <w:t>、工作中，如</w:t>
      </w:r>
      <w:r>
        <w:rPr>
          <w:rFonts w:ascii="宋体" w:eastAsia="宋体" w:hAnsi="宋体" w:cs="宋体" w:hint="eastAsia"/>
          <w:color w:val="FF0000"/>
          <w:sz w:val="21"/>
          <w:szCs w:val="21"/>
          <w:highlight w:val="none"/>
          <w:lang w:eastAsia="zh-CN"/>
        </w:rPr>
        <w:t>发生差错、患者物品丢失、争议或其他异常问题时，须即刻报告现场护士或护士长及部门主管，并积极主动配合追踪。如隐瞒不报按有关规定给予从重处罚。</w:t>
      </w:r>
    </w:p>
    <w:p>
      <w:pPr>
        <w:keepNext w:val="0"/>
        <w:keepLines w:val="0"/>
        <w:pageBreakBefore w:val="0"/>
        <w:widowControl w:val="0"/>
        <w:tabs>
          <w:tab w:val="left" w:pos="424"/>
        </w:tabs>
        <w:kinsoku/>
        <w:wordWrap/>
        <w:overflowPunct/>
        <w:topLinePunct w:val="0"/>
        <w:autoSpaceDE/>
        <w:autoSpaceDN/>
        <w:bidi w:val="0"/>
        <w:adjustRightInd/>
        <w:snapToGrid w:val="0"/>
        <w:spacing w:line="240" w:lineRule="auto"/>
        <w:ind w:left="0" w:firstLine="420" w:leftChars="0" w:firstLineChars="200"/>
        <w:contextualSpacing/>
        <w:jc w:val="left"/>
        <w:textAlignment w:val="auto"/>
        <w:rPr>
          <w:rFonts w:ascii="宋体" w:eastAsia="宋体" w:hAnsi="宋体" w:cs="宋体" w:hint="eastAsia"/>
          <w:b/>
          <w:bCs/>
          <w:sz w:val="21"/>
          <w:szCs w:val="21"/>
          <w:highlight w:val="none"/>
          <w:lang w:eastAsia="zh-CN"/>
        </w:rPr>
      </w:pPr>
      <w:r>
        <w:rPr>
          <w:rFonts w:ascii="宋体" w:eastAsia="宋体" w:hAnsi="宋体" w:cs="宋体" w:hint="eastAsia"/>
          <w:b/>
          <w:bCs/>
          <w:sz w:val="21"/>
          <w:szCs w:val="21"/>
          <w:highlight w:val="none"/>
          <w:lang w:eastAsia="zh-CN"/>
        </w:rPr>
        <w:t>（四）</w:t>
      </w:r>
      <w:r>
        <w:rPr>
          <w:rFonts w:ascii="宋体" w:hAnsi="宋体" w:cs="宋体" w:hint="eastAsia"/>
          <w:b/>
          <w:bCs/>
          <w:sz w:val="21"/>
          <w:szCs w:val="21"/>
          <w:highlight w:val="none"/>
          <w:lang w:eastAsia="zh-CN"/>
        </w:rPr>
        <w:t>医疗护理员</w:t>
      </w:r>
      <w:r>
        <w:rPr>
          <w:rFonts w:ascii="宋体" w:eastAsia="宋体" w:hAnsi="宋体" w:cs="宋体" w:hint="eastAsia"/>
          <w:b/>
          <w:bCs/>
          <w:sz w:val="21"/>
          <w:szCs w:val="21"/>
          <w:highlight w:val="none"/>
          <w:lang w:eastAsia="zh-CN"/>
        </w:rPr>
        <w:t>纪律要求条目</w:t>
      </w:r>
    </w:p>
    <w:tbl>
      <w:tblPr>
        <w:tblStyle w:val="TableNormal"/>
        <w:tblW w:w="96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1100"/>
        <w:gridCol w:w="8583"/>
      </w:tblGrid>
      <w:tr>
        <w:tblPrEx>
          <w:tblW w:w="96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trHeight w:val="90"/>
          <w:jc w:val="center"/>
        </w:trPr>
        <w:tc>
          <w:tcPr>
            <w:tcW w:w="1100" w:type="dxa"/>
            <w:noWrap w:val="0"/>
            <w:vAlign w:val="center"/>
          </w:tcPr>
          <w:p>
            <w:pPr>
              <w:keepNext w:val="0"/>
              <w:keepLines w:val="0"/>
              <w:pageBreakBefore w:val="0"/>
              <w:tabs>
                <w:tab w:val="left" w:pos="424"/>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b/>
                <w:bCs/>
                <w:sz w:val="21"/>
                <w:szCs w:val="21"/>
                <w:highlight w:val="none"/>
                <w:lang w:val="en-US" w:eastAsia="zh-CN"/>
              </w:rPr>
            </w:pPr>
            <w:r>
              <w:rPr>
                <w:rFonts w:ascii="宋体" w:eastAsia="宋体" w:hAnsi="宋体" w:cs="宋体" w:hint="eastAsia"/>
                <w:b/>
                <w:bCs/>
                <w:sz w:val="21"/>
                <w:szCs w:val="21"/>
                <w:highlight w:val="none"/>
              </w:rPr>
              <w:t>项目</w:t>
            </w:r>
            <w:r>
              <w:rPr>
                <w:rFonts w:ascii="宋体" w:eastAsia="宋体" w:hAnsi="宋体" w:cs="宋体" w:hint="eastAsia"/>
                <w:b/>
                <w:bCs/>
                <w:sz w:val="21"/>
                <w:szCs w:val="21"/>
                <w:highlight w:val="none"/>
                <w:lang w:val="en-US" w:eastAsia="zh-CN"/>
              </w:rPr>
              <w:t>类别</w:t>
            </w:r>
          </w:p>
        </w:tc>
        <w:tc>
          <w:tcPr>
            <w:tcW w:w="8583" w:type="dxa"/>
            <w:noWrap w:val="0"/>
            <w:vAlign w:val="center"/>
          </w:tcPr>
          <w:p>
            <w:pPr>
              <w:keepNext w:val="0"/>
              <w:keepLines w:val="0"/>
              <w:pageBreakBefore w:val="0"/>
              <w:tabs>
                <w:tab w:val="left" w:pos="424"/>
              </w:tabs>
              <w:kinsoku/>
              <w:wordWrap/>
              <w:overflowPunct/>
              <w:topLinePunct w:val="0"/>
              <w:autoSpaceDE/>
              <w:autoSpaceDN/>
              <w:bidi w:val="0"/>
              <w:adjustRightInd/>
              <w:snapToGrid w:val="0"/>
              <w:spacing w:line="240" w:lineRule="auto"/>
              <w:ind w:firstLine="0" w:firstLineChars="0"/>
              <w:contextualSpacing/>
              <w:jc w:val="center"/>
              <w:textAlignment w:val="auto"/>
              <w:rPr>
                <w:rFonts w:ascii="宋体" w:eastAsia="宋体" w:hAnsi="宋体" w:cs="宋体" w:hint="eastAsia"/>
                <w:b/>
                <w:bCs/>
                <w:sz w:val="21"/>
                <w:szCs w:val="21"/>
                <w:highlight w:val="none"/>
              </w:rPr>
            </w:pPr>
            <w:r>
              <w:rPr>
                <w:rFonts w:ascii="宋体" w:eastAsia="宋体" w:hAnsi="宋体" w:cs="宋体" w:hint="eastAsia"/>
                <w:b/>
                <w:bCs/>
                <w:sz w:val="21"/>
                <w:szCs w:val="21"/>
                <w:highlight w:val="none"/>
              </w:rPr>
              <w:t>内容</w:t>
            </w:r>
          </w:p>
        </w:tc>
      </w:tr>
      <w:tr>
        <w:tblPrEx>
          <w:tblW w:w="9683" w:type="dxa"/>
          <w:jc w:val="center"/>
          <w:tblCellMar>
            <w:top w:w="0" w:type="dxa"/>
            <w:left w:w="108" w:type="dxa"/>
            <w:bottom w:w="0" w:type="dxa"/>
            <w:right w:w="108" w:type="dxa"/>
          </w:tblCellMar>
        </w:tblPrEx>
        <w:trPr>
          <w:trHeight w:val="90"/>
          <w:jc w:val="center"/>
        </w:trPr>
        <w:tc>
          <w:tcPr>
            <w:tcW w:w="1100"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仪表仪容</w:t>
            </w:r>
          </w:p>
        </w:tc>
        <w:tc>
          <w:tcPr>
            <w:tcW w:w="8583"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仪表端庄、服装整洁、不</w:t>
            </w:r>
            <w:r>
              <w:rPr>
                <w:rFonts w:ascii="宋体" w:eastAsia="宋体" w:hAnsi="宋体" w:cs="宋体" w:hint="eastAsia"/>
                <w:color w:val="auto"/>
                <w:sz w:val="21"/>
                <w:szCs w:val="21"/>
                <w:highlight w:val="none"/>
                <w:lang w:eastAsia="zh-CN"/>
              </w:rPr>
              <w:t>化</w:t>
            </w:r>
            <w:r>
              <w:rPr>
                <w:rFonts w:ascii="宋体" w:eastAsia="宋体" w:hAnsi="宋体" w:cs="宋体" w:hint="eastAsia"/>
                <w:color w:val="auto"/>
                <w:sz w:val="21"/>
                <w:szCs w:val="21"/>
                <w:highlight w:val="none"/>
              </w:rPr>
              <w:t>浓妆、不</w:t>
            </w:r>
            <w:r>
              <w:rPr>
                <w:rFonts w:ascii="宋体" w:eastAsia="宋体" w:hAnsi="宋体" w:cs="宋体" w:hint="eastAsia"/>
                <w:color w:val="auto"/>
                <w:sz w:val="21"/>
                <w:szCs w:val="21"/>
                <w:highlight w:val="none"/>
                <w:lang w:eastAsia="zh-CN"/>
              </w:rPr>
              <w:t>佩戴</w:t>
            </w:r>
            <w:r>
              <w:rPr>
                <w:rFonts w:ascii="宋体" w:eastAsia="宋体" w:hAnsi="宋体" w:cs="宋体" w:hint="eastAsia"/>
                <w:color w:val="auto"/>
                <w:sz w:val="21"/>
                <w:szCs w:val="21"/>
                <w:highlight w:val="none"/>
              </w:rPr>
              <w:t>首饰</w:t>
            </w:r>
          </w:p>
        </w:tc>
      </w:tr>
      <w:tr>
        <w:tblPrEx>
          <w:tblW w:w="9683" w:type="dxa"/>
          <w:jc w:val="center"/>
          <w:tblCellMar>
            <w:top w:w="0" w:type="dxa"/>
            <w:left w:w="108" w:type="dxa"/>
            <w:bottom w:w="0" w:type="dxa"/>
            <w:right w:w="108" w:type="dxa"/>
          </w:tblCellMar>
        </w:tblPrEx>
        <w:trPr>
          <w:trHeight w:val="90"/>
          <w:jc w:val="center"/>
        </w:trPr>
        <w:tc>
          <w:tcPr>
            <w:tcW w:w="1100" w:type="dxa"/>
            <w:vMerge/>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color w:val="auto"/>
                <w:sz w:val="21"/>
                <w:szCs w:val="21"/>
                <w:highlight w:val="none"/>
              </w:rPr>
            </w:pPr>
          </w:p>
        </w:tc>
        <w:tc>
          <w:tcPr>
            <w:tcW w:w="8583" w:type="dxa"/>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佩戴工号牌要规范，标识要明显</w:t>
            </w:r>
          </w:p>
        </w:tc>
      </w:tr>
      <w:tr>
        <w:tblPrEx>
          <w:tblW w:w="9683" w:type="dxa"/>
          <w:jc w:val="center"/>
          <w:tblCellMar>
            <w:top w:w="0" w:type="dxa"/>
            <w:left w:w="108" w:type="dxa"/>
            <w:bottom w:w="0" w:type="dxa"/>
            <w:right w:w="108" w:type="dxa"/>
          </w:tblCellMar>
        </w:tblPrEx>
        <w:trPr>
          <w:trHeight w:val="90"/>
          <w:jc w:val="center"/>
        </w:trPr>
        <w:tc>
          <w:tcPr>
            <w:tcW w:w="1100" w:type="dxa"/>
            <w:vMerge/>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color w:val="auto"/>
                <w:sz w:val="21"/>
                <w:szCs w:val="21"/>
                <w:highlight w:val="none"/>
              </w:rPr>
            </w:pPr>
          </w:p>
        </w:tc>
        <w:tc>
          <w:tcPr>
            <w:tcW w:w="8583" w:type="dxa"/>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不披发、不留长指甲</w:t>
            </w:r>
          </w:p>
        </w:tc>
      </w:tr>
      <w:tr>
        <w:tblPrEx>
          <w:tblW w:w="9683" w:type="dxa"/>
          <w:jc w:val="center"/>
          <w:tblCellMar>
            <w:top w:w="0" w:type="dxa"/>
            <w:left w:w="108" w:type="dxa"/>
            <w:bottom w:w="0" w:type="dxa"/>
            <w:right w:w="108" w:type="dxa"/>
          </w:tblCellMar>
        </w:tblPrEx>
        <w:trPr>
          <w:trHeight w:val="90"/>
          <w:jc w:val="center"/>
        </w:trPr>
        <w:tc>
          <w:tcPr>
            <w:tcW w:w="1100" w:type="dxa"/>
            <w:vMerge/>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color w:val="auto"/>
                <w:sz w:val="21"/>
                <w:szCs w:val="21"/>
                <w:highlight w:val="none"/>
              </w:rPr>
            </w:pPr>
          </w:p>
        </w:tc>
        <w:tc>
          <w:tcPr>
            <w:tcW w:w="8583" w:type="dxa"/>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工作时间不准穿拖鞋</w:t>
            </w:r>
          </w:p>
        </w:tc>
      </w:tr>
      <w:tr>
        <w:tblPrEx>
          <w:tblW w:w="9683" w:type="dxa"/>
          <w:jc w:val="center"/>
          <w:tblCellMar>
            <w:top w:w="0" w:type="dxa"/>
            <w:left w:w="108" w:type="dxa"/>
            <w:bottom w:w="0" w:type="dxa"/>
            <w:right w:w="108" w:type="dxa"/>
          </w:tblCellMar>
        </w:tblPrEx>
        <w:trPr>
          <w:trHeight w:val="90"/>
          <w:jc w:val="center"/>
        </w:trPr>
        <w:tc>
          <w:tcPr>
            <w:tcW w:w="1100" w:type="dxa"/>
            <w:vMerge/>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color w:val="auto"/>
                <w:sz w:val="21"/>
                <w:szCs w:val="21"/>
                <w:highlight w:val="none"/>
              </w:rPr>
            </w:pPr>
          </w:p>
        </w:tc>
        <w:tc>
          <w:tcPr>
            <w:tcW w:w="8583" w:type="dxa"/>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着装要求：整洁得体的职业装，宜简约干练，以素色、纯色为主。</w:t>
            </w:r>
          </w:p>
        </w:tc>
      </w:tr>
      <w:tr>
        <w:tblPrEx>
          <w:tblW w:w="9683" w:type="dxa"/>
          <w:jc w:val="center"/>
          <w:tblCellMar>
            <w:top w:w="0" w:type="dxa"/>
            <w:left w:w="108" w:type="dxa"/>
            <w:bottom w:w="0" w:type="dxa"/>
            <w:right w:w="108" w:type="dxa"/>
          </w:tblCellMar>
        </w:tblPrEx>
        <w:trPr>
          <w:trHeight w:val="278"/>
          <w:jc w:val="center"/>
        </w:trPr>
        <w:tc>
          <w:tcPr>
            <w:tcW w:w="1100" w:type="dxa"/>
            <w:vMerge/>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color w:val="auto"/>
                <w:sz w:val="21"/>
                <w:szCs w:val="21"/>
                <w:highlight w:val="none"/>
              </w:rPr>
            </w:pPr>
          </w:p>
        </w:tc>
        <w:tc>
          <w:tcPr>
            <w:tcW w:w="8583" w:type="dxa"/>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鞋袜洁净，与职业装颜色协调，不得穿拖鞋、高跟鞋、响底鞋等（特殊科室及特殊场合除外）。</w:t>
            </w:r>
          </w:p>
        </w:tc>
      </w:tr>
      <w:tr>
        <w:tblPrEx>
          <w:tblW w:w="9683" w:type="dxa"/>
          <w:jc w:val="center"/>
          <w:tblCellMar>
            <w:top w:w="0" w:type="dxa"/>
            <w:left w:w="108" w:type="dxa"/>
            <w:bottom w:w="0" w:type="dxa"/>
            <w:right w:w="108" w:type="dxa"/>
          </w:tblCellMar>
        </w:tblPrEx>
        <w:trPr>
          <w:trHeight w:val="114"/>
          <w:jc w:val="center"/>
        </w:trPr>
        <w:tc>
          <w:tcPr>
            <w:tcW w:w="1100" w:type="dxa"/>
            <w:vMerge/>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color w:val="auto"/>
                <w:sz w:val="21"/>
                <w:szCs w:val="21"/>
                <w:highlight w:val="none"/>
              </w:rPr>
            </w:pPr>
          </w:p>
        </w:tc>
        <w:tc>
          <w:tcPr>
            <w:tcW w:w="8583"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color w:val="auto"/>
                <w:sz w:val="21"/>
                <w:szCs w:val="21"/>
                <w:highlight w:val="none"/>
              </w:rPr>
            </w:pPr>
            <w:bookmarkStart w:id="11" w:name="OLE_LINK12"/>
            <w:r>
              <w:rPr>
                <w:rFonts w:ascii="宋体" w:hAnsi="宋体" w:cs="宋体" w:hint="eastAsia"/>
                <w:b/>
                <w:bCs/>
                <w:color w:val="FF0000"/>
                <w:szCs w:val="21"/>
                <w:highlight w:val="none"/>
              </w:rPr>
              <w:t>★</w:t>
            </w:r>
            <w:bookmarkEnd w:id="11"/>
            <w:r>
              <w:rPr>
                <w:rFonts w:ascii="宋体" w:eastAsia="宋体" w:hAnsi="宋体" w:cs="宋体" w:hint="eastAsia"/>
                <w:color w:val="FF0000"/>
                <w:sz w:val="21"/>
                <w:szCs w:val="21"/>
                <w:highlight w:val="none"/>
              </w:rPr>
              <w:t>上班时间必须穿职业装，职业装忌自行随意搭配甚至“再加工”也不要任意卷挽袖口、敞胸等，口袋内部勿放杂物，职业装内衣物的领口、袖口、裙边或打底裤不能外露，裤脚不宜过长、不卷裤脚，禁止穿私人服装。</w:t>
            </w:r>
          </w:p>
        </w:tc>
      </w:tr>
      <w:tr>
        <w:tblPrEx>
          <w:tblW w:w="9683" w:type="dxa"/>
          <w:jc w:val="center"/>
          <w:tblCellMar>
            <w:top w:w="0" w:type="dxa"/>
            <w:left w:w="108" w:type="dxa"/>
            <w:bottom w:w="0" w:type="dxa"/>
            <w:right w:w="108" w:type="dxa"/>
          </w:tblCellMar>
        </w:tblPrEx>
        <w:trPr>
          <w:trHeight w:val="90"/>
          <w:jc w:val="center"/>
        </w:trPr>
        <w:tc>
          <w:tcPr>
            <w:tcW w:w="1100" w:type="dxa"/>
            <w:vMerge w:val="restart"/>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rPr>
              <w:t>物品摆放</w:t>
            </w:r>
          </w:p>
        </w:tc>
        <w:tc>
          <w:tcPr>
            <w:tcW w:w="8583" w:type="dxa"/>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rPr>
              <w:t>不得在病人柜子内存放</w:t>
            </w:r>
            <w:r>
              <w:rPr>
                <w:rFonts w:ascii="宋体" w:hAnsi="宋体" w:cs="宋体" w:hint="eastAsia"/>
                <w:sz w:val="21"/>
                <w:szCs w:val="21"/>
                <w:highlight w:val="none"/>
                <w:lang w:eastAsia="zh-CN"/>
              </w:rPr>
              <w:t>医疗护理员</w:t>
            </w:r>
            <w:r>
              <w:rPr>
                <w:rFonts w:ascii="宋体" w:eastAsia="宋体" w:hAnsi="宋体" w:cs="宋体" w:hint="eastAsia"/>
                <w:sz w:val="21"/>
                <w:szCs w:val="21"/>
                <w:highlight w:val="none"/>
              </w:rPr>
              <w:t>个人物品</w:t>
            </w:r>
          </w:p>
        </w:tc>
      </w:tr>
      <w:tr>
        <w:tblPrEx>
          <w:tblW w:w="9683" w:type="dxa"/>
          <w:jc w:val="center"/>
          <w:tblCellMar>
            <w:top w:w="0" w:type="dxa"/>
            <w:left w:w="108" w:type="dxa"/>
            <w:bottom w:w="0" w:type="dxa"/>
            <w:right w:w="108" w:type="dxa"/>
          </w:tblCellMar>
        </w:tblPrEx>
        <w:trPr>
          <w:trHeight w:val="90"/>
          <w:jc w:val="center"/>
        </w:trPr>
        <w:tc>
          <w:tcPr>
            <w:tcW w:w="1100" w:type="dxa"/>
            <w:vMerge/>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p>
        </w:tc>
        <w:tc>
          <w:tcPr>
            <w:tcW w:w="8583" w:type="dxa"/>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rPr>
              <w:t>床头柜上物品</w:t>
            </w:r>
            <w:r>
              <w:rPr>
                <w:rFonts w:ascii="宋体" w:eastAsia="宋体" w:hAnsi="宋体" w:cs="宋体" w:hint="eastAsia"/>
                <w:sz w:val="21"/>
                <w:szCs w:val="21"/>
                <w:highlight w:val="none"/>
                <w:lang w:eastAsia="zh-CN"/>
              </w:rPr>
              <w:t>摆放</w:t>
            </w:r>
            <w:r>
              <w:rPr>
                <w:rFonts w:ascii="宋体" w:eastAsia="宋体" w:hAnsi="宋体" w:cs="宋体" w:hint="eastAsia"/>
                <w:sz w:val="21"/>
                <w:szCs w:val="21"/>
                <w:highlight w:val="none"/>
              </w:rPr>
              <w:t>整齐，床底下不准乱放东西，厕所不准晾衣服</w:t>
            </w:r>
          </w:p>
        </w:tc>
      </w:tr>
      <w:tr>
        <w:tblPrEx>
          <w:tblW w:w="9683" w:type="dxa"/>
          <w:jc w:val="center"/>
          <w:tblCellMar>
            <w:top w:w="0" w:type="dxa"/>
            <w:left w:w="108" w:type="dxa"/>
            <w:bottom w:w="0" w:type="dxa"/>
            <w:right w:w="108" w:type="dxa"/>
          </w:tblCellMar>
        </w:tblPrEx>
        <w:trPr>
          <w:trHeight w:val="90"/>
          <w:jc w:val="center"/>
        </w:trPr>
        <w:tc>
          <w:tcPr>
            <w:tcW w:w="1100" w:type="dxa"/>
            <w:vMerge w:val="restart"/>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rPr>
              <w:t>劳动纪律</w:t>
            </w:r>
          </w:p>
        </w:tc>
        <w:tc>
          <w:tcPr>
            <w:tcW w:w="8583" w:type="dxa"/>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rPr>
              <w:t>服从调配，不准私自与病人家属发生</w:t>
            </w:r>
            <w:r>
              <w:rPr>
                <w:rFonts w:ascii="宋体" w:eastAsia="宋体" w:hAnsi="宋体" w:cs="宋体" w:hint="eastAsia"/>
                <w:sz w:val="21"/>
                <w:szCs w:val="21"/>
                <w:highlight w:val="none"/>
                <w:lang w:eastAsia="zh-CN"/>
              </w:rPr>
              <w:t>雇佣关系</w:t>
            </w:r>
            <w:r>
              <w:rPr>
                <w:rFonts w:ascii="宋体" w:eastAsia="宋体" w:hAnsi="宋体" w:cs="宋体" w:hint="eastAsia"/>
                <w:sz w:val="21"/>
                <w:szCs w:val="21"/>
                <w:highlight w:val="none"/>
              </w:rPr>
              <w:t>与私自结账</w:t>
            </w:r>
          </w:p>
        </w:tc>
      </w:tr>
      <w:tr>
        <w:tblPrEx>
          <w:tblW w:w="9683" w:type="dxa"/>
          <w:jc w:val="center"/>
          <w:tblCellMar>
            <w:top w:w="0" w:type="dxa"/>
            <w:left w:w="108" w:type="dxa"/>
            <w:bottom w:w="0" w:type="dxa"/>
            <w:right w:w="108" w:type="dxa"/>
          </w:tblCellMar>
        </w:tblPrEx>
        <w:trPr>
          <w:trHeight w:val="90"/>
          <w:jc w:val="center"/>
        </w:trPr>
        <w:tc>
          <w:tcPr>
            <w:tcW w:w="1100" w:type="dxa"/>
            <w:vMerge/>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p>
        </w:tc>
        <w:tc>
          <w:tcPr>
            <w:tcW w:w="8583" w:type="dxa"/>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rPr>
              <w:t>不迟到、早退、旷工，不</w:t>
            </w:r>
            <w:r>
              <w:rPr>
                <w:rFonts w:ascii="宋体" w:eastAsia="宋体" w:hAnsi="宋体" w:cs="宋体" w:hint="eastAsia"/>
                <w:sz w:val="21"/>
                <w:szCs w:val="21"/>
                <w:highlight w:val="none"/>
                <w:lang w:eastAsia="zh-CN"/>
              </w:rPr>
              <w:t>串岗</w:t>
            </w:r>
            <w:r>
              <w:rPr>
                <w:rFonts w:ascii="宋体" w:eastAsia="宋体" w:hAnsi="宋体" w:cs="宋体" w:hint="eastAsia"/>
                <w:sz w:val="21"/>
                <w:szCs w:val="21"/>
                <w:highlight w:val="none"/>
              </w:rPr>
              <w:t>、脱岗、聚集聊天、喧哗</w:t>
            </w:r>
          </w:p>
        </w:tc>
      </w:tr>
      <w:tr>
        <w:tblPrEx>
          <w:tblW w:w="9683" w:type="dxa"/>
          <w:jc w:val="center"/>
          <w:tblCellMar>
            <w:top w:w="0" w:type="dxa"/>
            <w:left w:w="108" w:type="dxa"/>
            <w:bottom w:w="0" w:type="dxa"/>
            <w:right w:w="108" w:type="dxa"/>
          </w:tblCellMar>
        </w:tblPrEx>
        <w:trPr>
          <w:trHeight w:val="90"/>
          <w:jc w:val="center"/>
        </w:trPr>
        <w:tc>
          <w:tcPr>
            <w:tcW w:w="1100" w:type="dxa"/>
            <w:vMerge/>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p>
        </w:tc>
        <w:tc>
          <w:tcPr>
            <w:tcW w:w="8583" w:type="dxa"/>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rPr>
              <w:t>不准向病人借钱、物及吃病人的食物，不托病人或家属办私事</w:t>
            </w:r>
          </w:p>
        </w:tc>
      </w:tr>
      <w:tr>
        <w:tblPrEx>
          <w:tblW w:w="9683" w:type="dxa"/>
          <w:jc w:val="center"/>
          <w:tblCellMar>
            <w:top w:w="0" w:type="dxa"/>
            <w:left w:w="108" w:type="dxa"/>
            <w:bottom w:w="0" w:type="dxa"/>
            <w:right w:w="108" w:type="dxa"/>
          </w:tblCellMar>
        </w:tblPrEx>
        <w:trPr>
          <w:trHeight w:val="90"/>
          <w:jc w:val="center"/>
        </w:trPr>
        <w:tc>
          <w:tcPr>
            <w:tcW w:w="1100" w:type="dxa"/>
            <w:vMerge/>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p>
        </w:tc>
        <w:tc>
          <w:tcPr>
            <w:tcW w:w="8583" w:type="dxa"/>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rPr>
              <w:t>不准做私活，如织毛衣、玩手机等，不准在非规定时间洗衣服</w:t>
            </w:r>
          </w:p>
        </w:tc>
      </w:tr>
      <w:tr>
        <w:tblPrEx>
          <w:tblW w:w="9683" w:type="dxa"/>
          <w:jc w:val="center"/>
          <w:tblCellMar>
            <w:top w:w="0" w:type="dxa"/>
            <w:left w:w="108" w:type="dxa"/>
            <w:bottom w:w="0" w:type="dxa"/>
            <w:right w:w="108" w:type="dxa"/>
          </w:tblCellMar>
        </w:tblPrEx>
        <w:trPr>
          <w:trHeight w:val="90"/>
          <w:jc w:val="center"/>
        </w:trPr>
        <w:tc>
          <w:tcPr>
            <w:tcW w:w="1100" w:type="dxa"/>
            <w:vMerge/>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p>
        </w:tc>
        <w:tc>
          <w:tcPr>
            <w:tcW w:w="8583" w:type="dxa"/>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rPr>
              <w:t>严禁酒后上岗</w:t>
            </w:r>
          </w:p>
        </w:tc>
      </w:tr>
      <w:tr>
        <w:tblPrEx>
          <w:tblW w:w="9683" w:type="dxa"/>
          <w:jc w:val="center"/>
          <w:tblCellMar>
            <w:top w:w="0" w:type="dxa"/>
            <w:left w:w="108" w:type="dxa"/>
            <w:bottom w:w="0" w:type="dxa"/>
            <w:right w:w="108" w:type="dxa"/>
          </w:tblCellMar>
        </w:tblPrEx>
        <w:trPr>
          <w:trHeight w:val="90"/>
          <w:jc w:val="center"/>
        </w:trPr>
        <w:tc>
          <w:tcPr>
            <w:tcW w:w="1100" w:type="dxa"/>
            <w:vMerge/>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p>
        </w:tc>
        <w:tc>
          <w:tcPr>
            <w:tcW w:w="8583" w:type="dxa"/>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rPr>
              <w:t>上班时间不准躺下睡觉</w:t>
            </w:r>
          </w:p>
        </w:tc>
      </w:tr>
      <w:tr>
        <w:tblPrEx>
          <w:tblW w:w="9683" w:type="dxa"/>
          <w:jc w:val="center"/>
          <w:tblCellMar>
            <w:top w:w="0" w:type="dxa"/>
            <w:left w:w="108" w:type="dxa"/>
            <w:bottom w:w="0" w:type="dxa"/>
            <w:right w:w="108" w:type="dxa"/>
          </w:tblCellMar>
        </w:tblPrEx>
        <w:trPr>
          <w:trHeight w:val="90"/>
          <w:jc w:val="center"/>
        </w:trPr>
        <w:tc>
          <w:tcPr>
            <w:tcW w:w="1100" w:type="dxa"/>
            <w:vMerge/>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p>
        </w:tc>
        <w:tc>
          <w:tcPr>
            <w:tcW w:w="8583" w:type="dxa"/>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rPr>
              <w:t>工作自觉责任心强，不准推诿和拒绝病人的正当理由</w:t>
            </w:r>
          </w:p>
        </w:tc>
      </w:tr>
      <w:tr>
        <w:tblPrEx>
          <w:tblW w:w="9683" w:type="dxa"/>
          <w:jc w:val="center"/>
          <w:tblCellMar>
            <w:top w:w="0" w:type="dxa"/>
            <w:left w:w="108" w:type="dxa"/>
            <w:bottom w:w="0" w:type="dxa"/>
            <w:right w:w="108" w:type="dxa"/>
          </w:tblCellMar>
        </w:tblPrEx>
        <w:trPr>
          <w:trHeight w:val="90"/>
          <w:jc w:val="center"/>
        </w:trPr>
        <w:tc>
          <w:tcPr>
            <w:tcW w:w="1100" w:type="dxa"/>
            <w:vMerge w:val="restart"/>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rPr>
              <w:t>行为规范</w:t>
            </w:r>
          </w:p>
        </w:tc>
        <w:tc>
          <w:tcPr>
            <w:tcW w:w="8583" w:type="dxa"/>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rPr>
              <w:t>不准在病区内抽烟、喝酒</w:t>
            </w:r>
          </w:p>
        </w:tc>
      </w:tr>
      <w:tr>
        <w:tblPrEx>
          <w:tblW w:w="9683" w:type="dxa"/>
          <w:jc w:val="center"/>
          <w:tblCellMar>
            <w:top w:w="0" w:type="dxa"/>
            <w:left w:w="108" w:type="dxa"/>
            <w:bottom w:w="0" w:type="dxa"/>
            <w:right w:w="108" w:type="dxa"/>
          </w:tblCellMar>
        </w:tblPrEx>
        <w:trPr>
          <w:trHeight w:val="90"/>
          <w:jc w:val="center"/>
        </w:trPr>
        <w:tc>
          <w:tcPr>
            <w:tcW w:w="1100" w:type="dxa"/>
            <w:vMerge/>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p>
        </w:tc>
        <w:tc>
          <w:tcPr>
            <w:tcW w:w="8583" w:type="dxa"/>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rPr>
              <w:t>不准在病房内打牌、下棋，玩手掌游戏机</w:t>
            </w:r>
          </w:p>
        </w:tc>
      </w:tr>
      <w:tr>
        <w:tblPrEx>
          <w:tblW w:w="9683" w:type="dxa"/>
          <w:jc w:val="center"/>
          <w:tblCellMar>
            <w:top w:w="0" w:type="dxa"/>
            <w:left w:w="108" w:type="dxa"/>
            <w:bottom w:w="0" w:type="dxa"/>
            <w:right w:w="108" w:type="dxa"/>
          </w:tblCellMar>
        </w:tblPrEx>
        <w:trPr>
          <w:trHeight w:val="90"/>
          <w:jc w:val="center"/>
        </w:trPr>
        <w:tc>
          <w:tcPr>
            <w:tcW w:w="1100" w:type="dxa"/>
            <w:vMerge/>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p>
        </w:tc>
        <w:tc>
          <w:tcPr>
            <w:tcW w:w="8583" w:type="dxa"/>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rPr>
              <w:t>不准吵架、打架、斗殴、聚众闹事</w:t>
            </w:r>
          </w:p>
        </w:tc>
      </w:tr>
      <w:tr>
        <w:tblPrEx>
          <w:tblW w:w="9683" w:type="dxa"/>
          <w:jc w:val="center"/>
          <w:tblCellMar>
            <w:top w:w="0" w:type="dxa"/>
            <w:left w:w="108" w:type="dxa"/>
            <w:bottom w:w="0" w:type="dxa"/>
            <w:right w:w="108" w:type="dxa"/>
          </w:tblCellMar>
        </w:tblPrEx>
        <w:trPr>
          <w:trHeight w:val="90"/>
          <w:jc w:val="center"/>
        </w:trPr>
        <w:tc>
          <w:tcPr>
            <w:tcW w:w="1100" w:type="dxa"/>
            <w:vMerge/>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p>
        </w:tc>
        <w:tc>
          <w:tcPr>
            <w:tcW w:w="8583" w:type="dxa"/>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不</w:t>
            </w:r>
            <w:r>
              <w:rPr>
                <w:rFonts w:ascii="宋体" w:eastAsia="宋体" w:hAnsi="宋体" w:cs="宋体" w:hint="eastAsia"/>
                <w:color w:val="000000"/>
                <w:sz w:val="21"/>
                <w:szCs w:val="21"/>
                <w:highlight w:val="none"/>
                <w:lang w:val="en-US" w:eastAsia="zh-CN"/>
              </w:rPr>
              <w:t>准</w:t>
            </w:r>
            <w:r>
              <w:rPr>
                <w:rFonts w:ascii="宋体" w:eastAsia="宋体" w:hAnsi="宋体" w:cs="宋体" w:hint="eastAsia"/>
                <w:color w:val="000000"/>
                <w:sz w:val="21"/>
                <w:szCs w:val="21"/>
                <w:highlight w:val="none"/>
              </w:rPr>
              <w:t>谩骂、侮辱、虐待、殴打甲方，不参与甲方家庭纠纷</w:t>
            </w:r>
          </w:p>
        </w:tc>
      </w:tr>
      <w:tr>
        <w:tblPrEx>
          <w:tblW w:w="9683" w:type="dxa"/>
          <w:jc w:val="center"/>
          <w:tblCellMar>
            <w:top w:w="0" w:type="dxa"/>
            <w:left w:w="108" w:type="dxa"/>
            <w:bottom w:w="0" w:type="dxa"/>
            <w:right w:w="108" w:type="dxa"/>
          </w:tblCellMar>
        </w:tblPrEx>
        <w:trPr>
          <w:trHeight w:val="90"/>
          <w:jc w:val="center"/>
        </w:trPr>
        <w:tc>
          <w:tcPr>
            <w:tcW w:w="1100" w:type="dxa"/>
            <w:vMerge/>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p>
        </w:tc>
        <w:tc>
          <w:tcPr>
            <w:tcW w:w="8583" w:type="dxa"/>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不准私自翻动、偷盗、骗取或者故意损毁甲方的财物</w:t>
            </w:r>
          </w:p>
        </w:tc>
      </w:tr>
      <w:tr>
        <w:tblPrEx>
          <w:tblW w:w="9683" w:type="dxa"/>
          <w:jc w:val="center"/>
          <w:tblCellMar>
            <w:top w:w="0" w:type="dxa"/>
            <w:left w:w="108" w:type="dxa"/>
            <w:bottom w:w="0" w:type="dxa"/>
            <w:right w:w="108" w:type="dxa"/>
          </w:tblCellMar>
        </w:tblPrEx>
        <w:trPr>
          <w:trHeight w:val="90"/>
          <w:jc w:val="center"/>
        </w:trPr>
        <w:tc>
          <w:tcPr>
            <w:tcW w:w="1100" w:type="dxa"/>
            <w:vMerge/>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p>
        </w:tc>
        <w:tc>
          <w:tcPr>
            <w:tcW w:w="8583" w:type="dxa"/>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color w:val="000000"/>
                <w:sz w:val="21"/>
                <w:szCs w:val="21"/>
                <w:highlight w:val="none"/>
                <w:lang w:eastAsia="zh-CN"/>
              </w:rPr>
            </w:pPr>
            <w:r>
              <w:rPr>
                <w:rFonts w:ascii="宋体" w:eastAsia="宋体" w:hAnsi="宋体" w:cs="宋体" w:hint="eastAsia"/>
                <w:color w:val="000000"/>
                <w:sz w:val="21"/>
                <w:szCs w:val="21"/>
                <w:highlight w:val="none"/>
              </w:rPr>
              <w:t>不得向他人泄露甲方隐私信息，在服务时间内不得擅自离开甲方所在的服务范围</w:t>
            </w:r>
          </w:p>
        </w:tc>
      </w:tr>
      <w:tr>
        <w:tblPrEx>
          <w:tblW w:w="9683" w:type="dxa"/>
          <w:jc w:val="center"/>
          <w:tblCellMar>
            <w:top w:w="0" w:type="dxa"/>
            <w:left w:w="108" w:type="dxa"/>
            <w:bottom w:w="0" w:type="dxa"/>
            <w:right w:w="108" w:type="dxa"/>
          </w:tblCellMar>
        </w:tblPrEx>
        <w:trPr>
          <w:trHeight w:val="90"/>
          <w:jc w:val="center"/>
        </w:trPr>
        <w:tc>
          <w:tcPr>
            <w:tcW w:w="1100" w:type="dxa"/>
            <w:vMerge/>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p>
        </w:tc>
        <w:tc>
          <w:tcPr>
            <w:tcW w:w="8583" w:type="dxa"/>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没有病人陪护时不准在病区内闲逛或带家属、老乡来洗澡、拜访等</w:t>
            </w:r>
          </w:p>
        </w:tc>
      </w:tr>
      <w:tr>
        <w:tblPrEx>
          <w:tblW w:w="9683" w:type="dxa"/>
          <w:jc w:val="center"/>
          <w:tblCellMar>
            <w:top w:w="0" w:type="dxa"/>
            <w:left w:w="108" w:type="dxa"/>
            <w:bottom w:w="0" w:type="dxa"/>
            <w:right w:w="108" w:type="dxa"/>
          </w:tblCellMar>
        </w:tblPrEx>
        <w:trPr>
          <w:trHeight w:val="90"/>
          <w:jc w:val="center"/>
        </w:trPr>
        <w:tc>
          <w:tcPr>
            <w:tcW w:w="1100" w:type="dxa"/>
            <w:vMerge/>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p>
        </w:tc>
        <w:tc>
          <w:tcPr>
            <w:tcW w:w="8583" w:type="dxa"/>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rPr>
              <w:t>不准用私人微波炉煮生饭生菜，禁止使用电器烧饭、烧菜</w:t>
            </w:r>
          </w:p>
        </w:tc>
      </w:tr>
      <w:tr>
        <w:tblPrEx>
          <w:tblW w:w="9683" w:type="dxa"/>
          <w:jc w:val="center"/>
          <w:tblCellMar>
            <w:top w:w="0" w:type="dxa"/>
            <w:left w:w="108" w:type="dxa"/>
            <w:bottom w:w="0" w:type="dxa"/>
            <w:right w:w="108" w:type="dxa"/>
          </w:tblCellMar>
        </w:tblPrEx>
        <w:trPr>
          <w:trHeight w:val="90"/>
          <w:jc w:val="center"/>
        </w:trPr>
        <w:tc>
          <w:tcPr>
            <w:tcW w:w="1100" w:type="dxa"/>
            <w:vMerge/>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p>
        </w:tc>
        <w:tc>
          <w:tcPr>
            <w:tcW w:w="8583" w:type="dxa"/>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rPr>
              <w:t>不准捡饮料瓶、报纸、花篮等去卖</w:t>
            </w:r>
          </w:p>
        </w:tc>
      </w:tr>
      <w:tr>
        <w:tblPrEx>
          <w:tblW w:w="9683" w:type="dxa"/>
          <w:jc w:val="center"/>
          <w:tblCellMar>
            <w:top w:w="0" w:type="dxa"/>
            <w:left w:w="108" w:type="dxa"/>
            <w:bottom w:w="0" w:type="dxa"/>
            <w:right w:w="108" w:type="dxa"/>
          </w:tblCellMar>
        </w:tblPrEx>
        <w:trPr>
          <w:trHeight w:val="122"/>
          <w:jc w:val="center"/>
        </w:trPr>
        <w:tc>
          <w:tcPr>
            <w:tcW w:w="1100" w:type="dxa"/>
            <w:vMerge/>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p>
        </w:tc>
        <w:tc>
          <w:tcPr>
            <w:tcW w:w="8583" w:type="dxa"/>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rPr>
              <w:t>不准倒卖药品、一次性医疗用品及纸箱等</w:t>
            </w:r>
          </w:p>
        </w:tc>
      </w:tr>
      <w:tr>
        <w:tblPrEx>
          <w:tblW w:w="9683" w:type="dxa"/>
          <w:jc w:val="center"/>
          <w:tblCellMar>
            <w:top w:w="0" w:type="dxa"/>
            <w:left w:w="108" w:type="dxa"/>
            <w:bottom w:w="0" w:type="dxa"/>
            <w:right w:w="108" w:type="dxa"/>
          </w:tblCellMar>
        </w:tblPrEx>
        <w:trPr>
          <w:trHeight w:val="90"/>
          <w:jc w:val="center"/>
        </w:trPr>
        <w:tc>
          <w:tcPr>
            <w:tcW w:w="1100" w:type="dxa"/>
            <w:vMerge/>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p>
        </w:tc>
        <w:tc>
          <w:tcPr>
            <w:tcW w:w="8583" w:type="dxa"/>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rPr>
              <w:t>不得擅自取用医疗用品，如手套、棉签等</w:t>
            </w:r>
          </w:p>
        </w:tc>
      </w:tr>
      <w:tr>
        <w:tblPrEx>
          <w:tblW w:w="9683" w:type="dxa"/>
          <w:jc w:val="center"/>
          <w:tblCellMar>
            <w:top w:w="0" w:type="dxa"/>
            <w:left w:w="108" w:type="dxa"/>
            <w:bottom w:w="0" w:type="dxa"/>
            <w:right w:w="108" w:type="dxa"/>
          </w:tblCellMar>
        </w:tblPrEx>
        <w:trPr>
          <w:trHeight w:val="90"/>
          <w:jc w:val="center"/>
        </w:trPr>
        <w:tc>
          <w:tcPr>
            <w:tcW w:w="1100" w:type="dxa"/>
            <w:vMerge/>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p>
        </w:tc>
        <w:tc>
          <w:tcPr>
            <w:tcW w:w="8583" w:type="dxa"/>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rPr>
              <w:t>不准私自挪用医院的物品，如床单、被套等</w:t>
            </w:r>
          </w:p>
        </w:tc>
      </w:tr>
      <w:tr>
        <w:tblPrEx>
          <w:tblW w:w="9683" w:type="dxa"/>
          <w:jc w:val="center"/>
          <w:tblCellMar>
            <w:top w:w="0" w:type="dxa"/>
            <w:left w:w="108" w:type="dxa"/>
            <w:bottom w:w="0" w:type="dxa"/>
            <w:right w:w="108" w:type="dxa"/>
          </w:tblCellMar>
        </w:tblPrEx>
        <w:trPr>
          <w:trHeight w:val="90"/>
          <w:jc w:val="center"/>
        </w:trPr>
        <w:tc>
          <w:tcPr>
            <w:tcW w:w="1100" w:type="dxa"/>
            <w:vMerge/>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p>
        </w:tc>
        <w:tc>
          <w:tcPr>
            <w:tcW w:w="8583" w:type="dxa"/>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rPr>
              <w:t>未经许可，不得擅自进入医、护办公室、治疗室、更衣室</w:t>
            </w:r>
          </w:p>
        </w:tc>
      </w:tr>
      <w:tr>
        <w:tblPrEx>
          <w:tblW w:w="9683" w:type="dxa"/>
          <w:jc w:val="center"/>
          <w:tblCellMar>
            <w:top w:w="0" w:type="dxa"/>
            <w:left w:w="108" w:type="dxa"/>
            <w:bottom w:w="0" w:type="dxa"/>
            <w:right w:w="108" w:type="dxa"/>
          </w:tblCellMar>
        </w:tblPrEx>
        <w:trPr>
          <w:trHeight w:val="90"/>
          <w:jc w:val="center"/>
        </w:trPr>
        <w:tc>
          <w:tcPr>
            <w:tcW w:w="1100" w:type="dxa"/>
            <w:vMerge/>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p>
        </w:tc>
        <w:tc>
          <w:tcPr>
            <w:tcW w:w="8583" w:type="dxa"/>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rPr>
              <w:t>爱护医院的财产，不准损坏与偷窃医院及他人的财产</w:t>
            </w:r>
          </w:p>
        </w:tc>
      </w:tr>
      <w:tr>
        <w:tblPrEx>
          <w:tblW w:w="9683" w:type="dxa"/>
          <w:jc w:val="center"/>
          <w:tblCellMar>
            <w:top w:w="0" w:type="dxa"/>
            <w:left w:w="108" w:type="dxa"/>
            <w:bottom w:w="0" w:type="dxa"/>
            <w:right w:w="108" w:type="dxa"/>
          </w:tblCellMar>
        </w:tblPrEx>
        <w:trPr>
          <w:trHeight w:val="90"/>
          <w:jc w:val="center"/>
        </w:trPr>
        <w:tc>
          <w:tcPr>
            <w:tcW w:w="1100" w:type="dxa"/>
            <w:vMerge/>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p>
        </w:tc>
        <w:tc>
          <w:tcPr>
            <w:tcW w:w="8583" w:type="dxa"/>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rPr>
              <w:t>作风正派，遵纪守法，不做任何违反院规、院纪的事</w:t>
            </w:r>
          </w:p>
        </w:tc>
      </w:tr>
      <w:tr>
        <w:tblPrEx>
          <w:tblW w:w="9683" w:type="dxa"/>
          <w:jc w:val="center"/>
          <w:tblCellMar>
            <w:top w:w="0" w:type="dxa"/>
            <w:left w:w="108" w:type="dxa"/>
            <w:bottom w:w="0" w:type="dxa"/>
            <w:right w:w="108" w:type="dxa"/>
          </w:tblCellMar>
        </w:tblPrEx>
        <w:trPr>
          <w:trHeight w:val="90"/>
          <w:jc w:val="center"/>
        </w:trPr>
        <w:tc>
          <w:tcPr>
            <w:tcW w:w="1100" w:type="dxa"/>
            <w:vMerge w:val="restart"/>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rPr>
              <w:t>事故内容</w:t>
            </w:r>
          </w:p>
        </w:tc>
        <w:tc>
          <w:tcPr>
            <w:tcW w:w="8583" w:type="dxa"/>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rPr>
              <w:t>护理病人过程中，不尽职发生压力性损伤</w:t>
            </w:r>
          </w:p>
        </w:tc>
      </w:tr>
      <w:tr>
        <w:tblPrEx>
          <w:tblW w:w="9683" w:type="dxa"/>
          <w:jc w:val="center"/>
          <w:tblCellMar>
            <w:top w:w="0" w:type="dxa"/>
            <w:left w:w="108" w:type="dxa"/>
            <w:bottom w:w="0" w:type="dxa"/>
            <w:right w:w="108" w:type="dxa"/>
          </w:tblCellMar>
        </w:tblPrEx>
        <w:trPr>
          <w:trHeight w:val="90"/>
          <w:jc w:val="center"/>
        </w:trPr>
        <w:tc>
          <w:tcPr>
            <w:tcW w:w="1100" w:type="dxa"/>
            <w:vMerge/>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p>
        </w:tc>
        <w:tc>
          <w:tcPr>
            <w:tcW w:w="8583" w:type="dxa"/>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rPr>
              <w:t>病人摔伤、烫伤等是</w:t>
            </w:r>
            <w:r>
              <w:rPr>
                <w:rFonts w:ascii="宋体" w:hAnsi="宋体" w:cs="宋体" w:hint="eastAsia"/>
                <w:sz w:val="21"/>
                <w:szCs w:val="21"/>
                <w:highlight w:val="none"/>
                <w:lang w:val="en-US" w:eastAsia="zh-CN"/>
              </w:rPr>
              <w:t>医疗护理员</w:t>
            </w:r>
            <w:r>
              <w:rPr>
                <w:rFonts w:ascii="宋体" w:eastAsia="宋体" w:hAnsi="宋体" w:cs="宋体" w:hint="eastAsia"/>
                <w:sz w:val="21"/>
                <w:szCs w:val="21"/>
                <w:highlight w:val="none"/>
              </w:rPr>
              <w:t>责任心不强引发的，</w:t>
            </w:r>
            <w:r>
              <w:rPr>
                <w:rFonts w:ascii="宋体" w:hAnsi="宋体" w:cs="宋体" w:hint="eastAsia"/>
                <w:sz w:val="21"/>
                <w:szCs w:val="21"/>
                <w:highlight w:val="none"/>
                <w:lang w:val="en-US" w:eastAsia="zh-CN"/>
              </w:rPr>
              <w:t>医疗护理员</w:t>
            </w:r>
            <w:r>
              <w:rPr>
                <w:rFonts w:ascii="宋体" w:eastAsia="宋体" w:hAnsi="宋体" w:cs="宋体" w:hint="eastAsia"/>
                <w:sz w:val="21"/>
                <w:szCs w:val="21"/>
                <w:highlight w:val="none"/>
              </w:rPr>
              <w:t>应负全责</w:t>
            </w:r>
          </w:p>
        </w:tc>
      </w:tr>
      <w:tr>
        <w:tblPrEx>
          <w:tblW w:w="9683" w:type="dxa"/>
          <w:jc w:val="center"/>
          <w:tblCellMar>
            <w:top w:w="0" w:type="dxa"/>
            <w:left w:w="108" w:type="dxa"/>
            <w:bottom w:w="0" w:type="dxa"/>
            <w:right w:w="108" w:type="dxa"/>
          </w:tblCellMar>
        </w:tblPrEx>
        <w:trPr>
          <w:trHeight w:val="90"/>
          <w:jc w:val="center"/>
        </w:trPr>
        <w:tc>
          <w:tcPr>
            <w:tcW w:w="1100" w:type="dxa"/>
            <w:vMerge/>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p>
        </w:tc>
        <w:tc>
          <w:tcPr>
            <w:tcW w:w="8583" w:type="dxa"/>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rPr>
              <w:t>让病人私自离开病区或离开医院，发生问题责任</w:t>
            </w:r>
            <w:r>
              <w:rPr>
                <w:rFonts w:ascii="宋体" w:hAnsi="宋体" w:cs="宋体" w:hint="eastAsia"/>
                <w:sz w:val="21"/>
                <w:szCs w:val="21"/>
                <w:highlight w:val="none"/>
                <w:lang w:eastAsia="zh-CN"/>
              </w:rPr>
              <w:t>医疗护理员</w:t>
            </w:r>
            <w:r>
              <w:rPr>
                <w:rFonts w:ascii="宋体" w:eastAsia="宋体" w:hAnsi="宋体" w:cs="宋体" w:hint="eastAsia"/>
                <w:sz w:val="21"/>
                <w:szCs w:val="21"/>
                <w:highlight w:val="none"/>
              </w:rPr>
              <w:t>自负</w:t>
            </w:r>
          </w:p>
        </w:tc>
      </w:tr>
      <w:tr>
        <w:tblPrEx>
          <w:tblW w:w="9683" w:type="dxa"/>
          <w:jc w:val="center"/>
          <w:tblCellMar>
            <w:top w:w="0" w:type="dxa"/>
            <w:left w:w="108" w:type="dxa"/>
            <w:bottom w:w="0" w:type="dxa"/>
            <w:right w:w="108" w:type="dxa"/>
          </w:tblCellMar>
        </w:tblPrEx>
        <w:trPr>
          <w:trHeight w:val="454"/>
          <w:jc w:val="center"/>
        </w:trPr>
        <w:tc>
          <w:tcPr>
            <w:tcW w:w="1100" w:type="dxa"/>
            <w:vMerge/>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p>
        </w:tc>
        <w:tc>
          <w:tcPr>
            <w:tcW w:w="8583" w:type="dxa"/>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rPr>
              <w:t>保守病人隐私，严禁对病人谈论任何有关治疗、护理、诊断的话题，对病人或家属发表不负责任的评论而导致的医疗纠纷，由当事人承担相关责任及赔偿</w:t>
            </w:r>
          </w:p>
        </w:tc>
      </w:tr>
      <w:tr>
        <w:tblPrEx>
          <w:tblW w:w="9683" w:type="dxa"/>
          <w:jc w:val="center"/>
          <w:tblCellMar>
            <w:top w:w="0" w:type="dxa"/>
            <w:left w:w="108" w:type="dxa"/>
            <w:bottom w:w="0" w:type="dxa"/>
            <w:right w:w="108" w:type="dxa"/>
          </w:tblCellMar>
        </w:tblPrEx>
        <w:trPr>
          <w:trHeight w:val="90"/>
          <w:jc w:val="center"/>
        </w:trPr>
        <w:tc>
          <w:tcPr>
            <w:tcW w:w="1100" w:type="dxa"/>
            <w:vMerge/>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p>
        </w:tc>
        <w:tc>
          <w:tcPr>
            <w:tcW w:w="8583" w:type="dxa"/>
            <w:noWrap w:val="0"/>
            <w:vAlign w:val="center"/>
          </w:tcPr>
          <w:p>
            <w:pPr>
              <w:keepNext w:val="0"/>
              <w:keepLines w:val="0"/>
              <w:pageBreakBefore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rPr>
              <w:t>如有病人、病人家属或医务人员投诉，由</w:t>
            </w:r>
            <w:r>
              <w:rPr>
                <w:rFonts w:ascii="宋体" w:eastAsia="宋体" w:hAnsi="宋体" w:cs="宋体" w:hint="eastAsia"/>
                <w:sz w:val="21"/>
                <w:szCs w:val="21"/>
                <w:highlight w:val="none"/>
                <w:lang w:eastAsia="zh-CN"/>
              </w:rPr>
              <w:t>中标人</w:t>
            </w:r>
            <w:r>
              <w:rPr>
                <w:rFonts w:ascii="宋体" w:eastAsia="宋体" w:hAnsi="宋体" w:cs="宋体" w:hint="eastAsia"/>
                <w:sz w:val="21"/>
                <w:szCs w:val="21"/>
                <w:highlight w:val="none"/>
              </w:rPr>
              <w:t>负责解释及整改</w:t>
            </w:r>
          </w:p>
        </w:tc>
      </w:tr>
    </w:tbl>
    <w:p>
      <w:pPr>
        <w:keepNext w:val="0"/>
        <w:keepLines w:val="0"/>
        <w:pageBreakBefore w:val="0"/>
        <w:widowControl w:val="0"/>
        <w:tabs>
          <w:tab w:val="left" w:pos="424"/>
        </w:tabs>
        <w:kinsoku/>
        <w:wordWrap/>
        <w:overflowPunct/>
        <w:topLinePunct w:val="0"/>
        <w:autoSpaceDE/>
        <w:autoSpaceDN/>
        <w:bidi w:val="0"/>
        <w:adjustRightInd/>
        <w:snapToGrid w:val="0"/>
        <w:spacing w:line="240" w:lineRule="auto"/>
        <w:ind w:firstLine="420" w:firstLineChars="200"/>
        <w:contextualSpacing/>
        <w:jc w:val="left"/>
        <w:textAlignment w:val="auto"/>
        <w:rPr>
          <w:rFonts w:ascii="宋体" w:eastAsia="宋体" w:hAnsi="宋体" w:cs="宋体" w:hint="eastAsia"/>
          <w:b/>
          <w:bCs/>
          <w:sz w:val="21"/>
          <w:szCs w:val="21"/>
          <w:highlight w:val="none"/>
          <w:lang w:eastAsia="zh-CN"/>
        </w:rPr>
      </w:pPr>
      <w:r>
        <w:rPr>
          <w:rFonts w:ascii="宋体" w:eastAsia="宋体" w:hAnsi="宋体" w:cs="宋体" w:hint="eastAsia"/>
          <w:b/>
          <w:bCs/>
          <w:sz w:val="21"/>
          <w:szCs w:val="21"/>
          <w:highlight w:val="none"/>
          <w:lang w:eastAsia="zh-CN"/>
        </w:rPr>
        <w:t>（</w:t>
      </w:r>
      <w:r>
        <w:rPr>
          <w:rFonts w:ascii="宋体" w:eastAsia="宋体" w:hAnsi="宋体" w:cs="宋体" w:hint="eastAsia"/>
          <w:b/>
          <w:bCs/>
          <w:sz w:val="21"/>
          <w:szCs w:val="21"/>
          <w:highlight w:val="none"/>
          <w:lang w:val="en-US" w:eastAsia="zh-CN"/>
        </w:rPr>
        <w:t>五</w:t>
      </w:r>
      <w:r>
        <w:rPr>
          <w:rFonts w:ascii="宋体" w:eastAsia="宋体" w:hAnsi="宋体" w:cs="宋体" w:hint="eastAsia"/>
          <w:b/>
          <w:bCs/>
          <w:sz w:val="21"/>
          <w:szCs w:val="21"/>
          <w:highlight w:val="none"/>
          <w:lang w:eastAsia="zh-CN"/>
        </w:rPr>
        <w:t>）</w:t>
      </w:r>
      <w:r>
        <w:rPr>
          <w:rFonts w:ascii="宋体" w:hAnsi="宋体" w:cs="宋体" w:hint="eastAsia"/>
          <w:b/>
          <w:bCs/>
          <w:sz w:val="21"/>
          <w:szCs w:val="21"/>
          <w:highlight w:val="none"/>
          <w:lang w:eastAsia="zh-CN"/>
        </w:rPr>
        <w:t>医疗护理员</w:t>
      </w:r>
      <w:r>
        <w:rPr>
          <w:rFonts w:ascii="宋体" w:eastAsia="宋体" w:hAnsi="宋体" w:cs="宋体" w:hint="eastAsia"/>
          <w:b/>
          <w:bCs/>
          <w:sz w:val="21"/>
          <w:szCs w:val="21"/>
          <w:highlight w:val="none"/>
          <w:lang w:eastAsia="zh-CN"/>
        </w:rPr>
        <w:t>工作内容及标准</w:t>
      </w:r>
    </w:p>
    <w:tbl>
      <w:tblPr>
        <w:tblStyle w:val="TableNormal"/>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721"/>
        <w:gridCol w:w="6377"/>
        <w:gridCol w:w="1391"/>
      </w:tblGrid>
      <w:tr>
        <w:tblPrEx>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90"/>
          <w:jc w:val="center"/>
        </w:trPr>
        <w:tc>
          <w:tcPr>
            <w:tcW w:w="172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b/>
                <w:bCs/>
                <w:kern w:val="0"/>
                <w:sz w:val="21"/>
                <w:szCs w:val="21"/>
                <w:highlight w:val="none"/>
              </w:rPr>
            </w:pPr>
            <w:r>
              <w:rPr>
                <w:rFonts w:ascii="宋体" w:eastAsia="宋体" w:hAnsi="宋体" w:cs="宋体" w:hint="eastAsia"/>
                <w:b/>
                <w:bCs/>
                <w:kern w:val="0"/>
                <w:sz w:val="21"/>
                <w:szCs w:val="21"/>
                <w:highlight w:val="none"/>
              </w:rPr>
              <w:t>工作程序</w:t>
            </w:r>
          </w:p>
        </w:tc>
        <w:tc>
          <w:tcPr>
            <w:tcW w:w="6377"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b/>
                <w:bCs/>
                <w:kern w:val="0"/>
                <w:sz w:val="21"/>
                <w:szCs w:val="21"/>
                <w:highlight w:val="none"/>
              </w:rPr>
            </w:pPr>
            <w:r>
              <w:rPr>
                <w:rFonts w:ascii="宋体" w:eastAsia="宋体" w:hAnsi="宋体" w:cs="宋体" w:hint="eastAsia"/>
                <w:b/>
                <w:bCs/>
                <w:kern w:val="0"/>
                <w:sz w:val="21"/>
                <w:szCs w:val="21"/>
                <w:highlight w:val="none"/>
              </w:rPr>
              <w:t>工作内容</w:t>
            </w:r>
          </w:p>
        </w:tc>
        <w:tc>
          <w:tcPr>
            <w:tcW w:w="139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b/>
                <w:bCs/>
                <w:kern w:val="0"/>
                <w:sz w:val="21"/>
                <w:szCs w:val="21"/>
                <w:highlight w:val="none"/>
              </w:rPr>
            </w:pPr>
            <w:r>
              <w:rPr>
                <w:rFonts w:ascii="宋体" w:eastAsia="宋体" w:hAnsi="宋体" w:cs="宋体" w:hint="eastAsia"/>
                <w:b/>
                <w:bCs/>
                <w:kern w:val="0"/>
                <w:sz w:val="21"/>
                <w:szCs w:val="21"/>
                <w:highlight w:val="none"/>
              </w:rPr>
              <w:t>工作标准</w:t>
            </w:r>
          </w:p>
        </w:tc>
      </w:tr>
      <w:tr>
        <w:tblPrEx>
          <w:tblW w:w="9489" w:type="dxa"/>
          <w:jc w:val="center"/>
          <w:tblCellMar>
            <w:top w:w="0" w:type="dxa"/>
            <w:left w:w="108" w:type="dxa"/>
            <w:bottom w:w="0" w:type="dxa"/>
            <w:right w:w="108" w:type="dxa"/>
          </w:tblCellMar>
        </w:tblPrEx>
        <w:trPr>
          <w:trHeight w:val="90"/>
          <w:jc w:val="center"/>
        </w:trPr>
        <w:tc>
          <w:tcPr>
            <w:tcW w:w="1721"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both"/>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入院评估与指导</w:t>
            </w:r>
          </w:p>
        </w:tc>
        <w:tc>
          <w:tcPr>
            <w:tcW w:w="6377"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r>
              <w:rPr>
                <w:rFonts w:ascii="宋体" w:hAnsi="宋体" w:cs="宋体" w:hint="eastAsia"/>
                <w:color w:val="000000"/>
                <w:kern w:val="0"/>
                <w:sz w:val="21"/>
                <w:szCs w:val="21"/>
                <w:highlight w:val="none"/>
                <w:lang w:eastAsia="zh-CN"/>
              </w:rPr>
              <w:t>医疗护理员</w:t>
            </w:r>
            <w:r>
              <w:rPr>
                <w:rFonts w:ascii="宋体" w:eastAsia="宋体" w:hAnsi="宋体" w:cs="宋体" w:hint="eastAsia"/>
                <w:color w:val="000000"/>
                <w:kern w:val="0"/>
                <w:sz w:val="21"/>
                <w:szCs w:val="21"/>
                <w:highlight w:val="none"/>
              </w:rPr>
              <w:t>首次进入病患陪护场所，应主动向患者介绍自己的姓名及工号</w:t>
            </w:r>
            <w:r>
              <w:rPr>
                <w:rFonts w:ascii="宋体" w:eastAsia="宋体" w:hAnsi="宋体" w:cs="宋体" w:hint="eastAsia"/>
                <w:color w:val="000000"/>
                <w:kern w:val="0"/>
                <w:sz w:val="21"/>
                <w:szCs w:val="21"/>
                <w:highlight w:val="none"/>
                <w:lang w:eastAsia="zh-CN"/>
              </w:rPr>
              <w:t>，</w:t>
            </w:r>
            <w:r>
              <w:rPr>
                <w:rFonts w:ascii="宋体" w:eastAsia="宋体" w:hAnsi="宋体" w:cs="宋体" w:hint="eastAsia"/>
                <w:color w:val="000000"/>
                <w:kern w:val="0"/>
                <w:sz w:val="21"/>
                <w:szCs w:val="21"/>
                <w:highlight w:val="none"/>
              </w:rPr>
              <w:t>向客户出示身份证件、职业技能证书、健康证明等。</w:t>
            </w:r>
          </w:p>
        </w:tc>
        <w:tc>
          <w:tcPr>
            <w:tcW w:w="139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介绍清楚</w:t>
            </w:r>
          </w:p>
        </w:tc>
      </w:tr>
      <w:tr>
        <w:tblPrEx>
          <w:tblW w:w="9489" w:type="dxa"/>
          <w:jc w:val="center"/>
          <w:tblCellMar>
            <w:top w:w="0" w:type="dxa"/>
            <w:left w:w="108" w:type="dxa"/>
            <w:bottom w:w="0" w:type="dxa"/>
            <w:right w:w="108" w:type="dxa"/>
          </w:tblCellMar>
        </w:tblPrEx>
        <w:trPr>
          <w:trHeight w:val="90"/>
          <w:jc w:val="center"/>
        </w:trPr>
        <w:tc>
          <w:tcPr>
            <w:tcW w:w="1721" w:type="dxa"/>
            <w:vMerge/>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both"/>
              <w:textAlignment w:val="auto"/>
              <w:rPr>
                <w:rFonts w:ascii="宋体" w:eastAsia="宋体" w:hAnsi="宋体" w:cs="宋体" w:hint="eastAsia"/>
                <w:kern w:val="0"/>
                <w:sz w:val="21"/>
                <w:szCs w:val="21"/>
                <w:highlight w:val="none"/>
              </w:rPr>
            </w:pPr>
          </w:p>
        </w:tc>
        <w:tc>
          <w:tcPr>
            <w:tcW w:w="6377"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向患者介绍每天的工作内容</w:t>
            </w:r>
          </w:p>
        </w:tc>
        <w:tc>
          <w:tcPr>
            <w:tcW w:w="139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介绍清楚</w:t>
            </w:r>
          </w:p>
        </w:tc>
      </w:tr>
      <w:tr>
        <w:tblPrEx>
          <w:tblW w:w="9489" w:type="dxa"/>
          <w:jc w:val="center"/>
          <w:tblCellMar>
            <w:top w:w="0" w:type="dxa"/>
            <w:left w:w="108" w:type="dxa"/>
            <w:bottom w:w="0" w:type="dxa"/>
            <w:right w:w="108" w:type="dxa"/>
          </w:tblCellMar>
        </w:tblPrEx>
        <w:trPr>
          <w:trHeight w:val="90"/>
          <w:jc w:val="center"/>
        </w:trPr>
        <w:tc>
          <w:tcPr>
            <w:tcW w:w="1721"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both"/>
              <w:textAlignment w:val="auto"/>
              <w:rPr>
                <w:rFonts w:ascii="宋体" w:eastAsia="宋体" w:hAnsi="宋体" w:cs="宋体" w:hint="eastAsia"/>
                <w:kern w:val="0"/>
                <w:sz w:val="21"/>
                <w:szCs w:val="21"/>
                <w:highlight w:val="none"/>
              </w:rPr>
            </w:pPr>
          </w:p>
          <w:p>
            <w:pPr>
              <w:keepNext w:val="0"/>
              <w:keepLines w:val="0"/>
              <w:pageBreakBefore w:val="0"/>
              <w:kinsoku/>
              <w:wordWrap/>
              <w:overflowPunct/>
              <w:topLinePunct w:val="0"/>
              <w:autoSpaceDE/>
              <w:autoSpaceDN/>
              <w:bidi w:val="0"/>
              <w:adjustRightInd/>
              <w:snapToGrid w:val="0"/>
              <w:spacing w:line="240" w:lineRule="auto"/>
              <w:contextualSpacing/>
              <w:jc w:val="both"/>
              <w:textAlignment w:val="auto"/>
              <w:rPr>
                <w:rFonts w:ascii="宋体" w:eastAsia="宋体" w:hAnsi="宋体" w:cs="宋体" w:hint="eastAsia"/>
                <w:kern w:val="0"/>
                <w:sz w:val="21"/>
                <w:szCs w:val="21"/>
                <w:highlight w:val="none"/>
              </w:rPr>
            </w:pPr>
          </w:p>
          <w:p>
            <w:pPr>
              <w:keepNext w:val="0"/>
              <w:keepLines w:val="0"/>
              <w:pageBreakBefore w:val="0"/>
              <w:kinsoku/>
              <w:wordWrap/>
              <w:overflowPunct/>
              <w:topLinePunct w:val="0"/>
              <w:autoSpaceDE/>
              <w:autoSpaceDN/>
              <w:bidi w:val="0"/>
              <w:adjustRightInd/>
              <w:snapToGrid w:val="0"/>
              <w:spacing w:line="240" w:lineRule="auto"/>
              <w:contextualSpacing/>
              <w:jc w:val="both"/>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日常环境工作</w:t>
            </w:r>
          </w:p>
        </w:tc>
        <w:tc>
          <w:tcPr>
            <w:tcW w:w="637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给病人扫床、整理床单位</w:t>
            </w:r>
          </w:p>
        </w:tc>
        <w:tc>
          <w:tcPr>
            <w:tcW w:w="139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整齐、干净</w:t>
            </w:r>
          </w:p>
        </w:tc>
      </w:tr>
      <w:tr>
        <w:tblPrEx>
          <w:tblW w:w="9489" w:type="dxa"/>
          <w:jc w:val="center"/>
          <w:tblCellMar>
            <w:top w:w="0" w:type="dxa"/>
            <w:left w:w="108" w:type="dxa"/>
            <w:bottom w:w="0" w:type="dxa"/>
            <w:right w:w="108" w:type="dxa"/>
          </w:tblCellMar>
        </w:tblPrEx>
        <w:trPr>
          <w:trHeight w:val="90"/>
          <w:jc w:val="center"/>
        </w:trPr>
        <w:tc>
          <w:tcPr>
            <w:tcW w:w="1721" w:type="dxa"/>
            <w:vMerge/>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both"/>
              <w:textAlignment w:val="auto"/>
              <w:rPr>
                <w:rFonts w:ascii="宋体" w:eastAsia="宋体" w:hAnsi="宋体" w:cs="宋体" w:hint="eastAsia"/>
                <w:kern w:val="0"/>
                <w:sz w:val="21"/>
                <w:szCs w:val="21"/>
                <w:highlight w:val="none"/>
              </w:rPr>
            </w:pPr>
          </w:p>
        </w:tc>
        <w:tc>
          <w:tcPr>
            <w:tcW w:w="637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各种物品摆放整齐，位置正确</w:t>
            </w:r>
          </w:p>
        </w:tc>
        <w:tc>
          <w:tcPr>
            <w:tcW w:w="139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合理摆放</w:t>
            </w:r>
          </w:p>
        </w:tc>
      </w:tr>
      <w:tr>
        <w:tblPrEx>
          <w:tblW w:w="9489" w:type="dxa"/>
          <w:jc w:val="center"/>
          <w:tblCellMar>
            <w:top w:w="0" w:type="dxa"/>
            <w:left w:w="108" w:type="dxa"/>
            <w:bottom w:w="0" w:type="dxa"/>
            <w:right w:w="108" w:type="dxa"/>
          </w:tblCellMar>
        </w:tblPrEx>
        <w:trPr>
          <w:trHeight w:val="90"/>
          <w:jc w:val="center"/>
        </w:trPr>
        <w:tc>
          <w:tcPr>
            <w:tcW w:w="1721" w:type="dxa"/>
            <w:vMerge/>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both"/>
              <w:textAlignment w:val="auto"/>
              <w:rPr>
                <w:rFonts w:ascii="宋体" w:eastAsia="宋体" w:hAnsi="宋体" w:cs="宋体" w:hint="eastAsia"/>
                <w:kern w:val="0"/>
                <w:sz w:val="21"/>
                <w:szCs w:val="21"/>
                <w:highlight w:val="none"/>
              </w:rPr>
            </w:pPr>
          </w:p>
        </w:tc>
        <w:tc>
          <w:tcPr>
            <w:tcW w:w="6377"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根据病人病情合理</w:t>
            </w:r>
            <w:r>
              <w:rPr>
                <w:rFonts w:ascii="宋体" w:eastAsia="宋体" w:hAnsi="宋体" w:cs="宋体" w:hint="eastAsia"/>
                <w:kern w:val="0"/>
                <w:sz w:val="21"/>
                <w:szCs w:val="21"/>
                <w:highlight w:val="none"/>
                <w:lang w:eastAsia="zh-CN"/>
              </w:rPr>
              <w:t>地</w:t>
            </w:r>
            <w:r>
              <w:rPr>
                <w:rFonts w:ascii="宋体" w:eastAsia="宋体" w:hAnsi="宋体" w:cs="宋体" w:hint="eastAsia"/>
                <w:kern w:val="0"/>
                <w:sz w:val="21"/>
                <w:szCs w:val="21"/>
                <w:highlight w:val="none"/>
              </w:rPr>
              <w:t>开窗、通风</w:t>
            </w:r>
          </w:p>
        </w:tc>
        <w:tc>
          <w:tcPr>
            <w:tcW w:w="139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病人舒适</w:t>
            </w:r>
          </w:p>
        </w:tc>
      </w:tr>
      <w:tr>
        <w:tblPrEx>
          <w:tblW w:w="9489" w:type="dxa"/>
          <w:jc w:val="center"/>
          <w:tblCellMar>
            <w:top w:w="0" w:type="dxa"/>
            <w:left w:w="108" w:type="dxa"/>
            <w:bottom w:w="0" w:type="dxa"/>
            <w:right w:w="108" w:type="dxa"/>
          </w:tblCellMar>
        </w:tblPrEx>
        <w:trPr>
          <w:trHeight w:val="90"/>
          <w:jc w:val="center"/>
        </w:trPr>
        <w:tc>
          <w:tcPr>
            <w:tcW w:w="1721" w:type="dxa"/>
            <w:vMerge/>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both"/>
              <w:textAlignment w:val="auto"/>
              <w:rPr>
                <w:rFonts w:ascii="宋体" w:eastAsia="宋体" w:hAnsi="宋体" w:cs="宋体" w:hint="eastAsia"/>
                <w:kern w:val="0"/>
                <w:sz w:val="21"/>
                <w:szCs w:val="21"/>
                <w:highlight w:val="none"/>
              </w:rPr>
            </w:pPr>
          </w:p>
        </w:tc>
        <w:tc>
          <w:tcPr>
            <w:tcW w:w="6377"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医疗垃圾置黄色垃圾袋内</w:t>
            </w:r>
          </w:p>
        </w:tc>
        <w:tc>
          <w:tcPr>
            <w:tcW w:w="139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分类清楚</w:t>
            </w:r>
          </w:p>
        </w:tc>
      </w:tr>
      <w:tr>
        <w:tblPrEx>
          <w:tblW w:w="9489" w:type="dxa"/>
          <w:jc w:val="center"/>
          <w:tblCellMar>
            <w:top w:w="0" w:type="dxa"/>
            <w:left w:w="108" w:type="dxa"/>
            <w:bottom w:w="0" w:type="dxa"/>
            <w:right w:w="108" w:type="dxa"/>
          </w:tblCellMar>
        </w:tblPrEx>
        <w:trPr>
          <w:trHeight w:val="90"/>
          <w:jc w:val="center"/>
        </w:trPr>
        <w:tc>
          <w:tcPr>
            <w:tcW w:w="1721" w:type="dxa"/>
            <w:vMerge/>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both"/>
              <w:textAlignment w:val="auto"/>
              <w:rPr>
                <w:rFonts w:ascii="宋体" w:eastAsia="宋体" w:hAnsi="宋体" w:cs="宋体" w:hint="eastAsia"/>
                <w:kern w:val="0"/>
                <w:sz w:val="21"/>
                <w:szCs w:val="21"/>
                <w:highlight w:val="none"/>
              </w:rPr>
            </w:pPr>
          </w:p>
        </w:tc>
        <w:tc>
          <w:tcPr>
            <w:tcW w:w="6377"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日用生活垃圾置黑色垃圾袋内</w:t>
            </w:r>
          </w:p>
        </w:tc>
        <w:tc>
          <w:tcPr>
            <w:tcW w:w="139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分类清楚</w:t>
            </w:r>
          </w:p>
        </w:tc>
      </w:tr>
      <w:tr>
        <w:tblPrEx>
          <w:tblW w:w="9489" w:type="dxa"/>
          <w:jc w:val="center"/>
          <w:tblCellMar>
            <w:top w:w="0" w:type="dxa"/>
            <w:left w:w="108" w:type="dxa"/>
            <w:bottom w:w="0" w:type="dxa"/>
            <w:right w:w="108" w:type="dxa"/>
          </w:tblCellMar>
        </w:tblPrEx>
        <w:trPr>
          <w:trHeight w:val="90"/>
          <w:jc w:val="center"/>
        </w:trPr>
        <w:tc>
          <w:tcPr>
            <w:tcW w:w="1721" w:type="dxa"/>
            <w:vMerge/>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both"/>
              <w:textAlignment w:val="auto"/>
              <w:rPr>
                <w:rFonts w:ascii="宋体" w:eastAsia="宋体" w:hAnsi="宋体" w:cs="宋体" w:hint="eastAsia"/>
                <w:kern w:val="0"/>
                <w:sz w:val="21"/>
                <w:szCs w:val="21"/>
                <w:highlight w:val="none"/>
              </w:rPr>
            </w:pPr>
          </w:p>
        </w:tc>
        <w:tc>
          <w:tcPr>
            <w:tcW w:w="6377"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被血液、药物、排泄物等污染的脏被服要放于黄色垃圾袋内</w:t>
            </w:r>
          </w:p>
        </w:tc>
        <w:tc>
          <w:tcPr>
            <w:tcW w:w="139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做到</w:t>
            </w:r>
          </w:p>
        </w:tc>
      </w:tr>
      <w:tr>
        <w:tblPrEx>
          <w:tblW w:w="9489" w:type="dxa"/>
          <w:jc w:val="center"/>
          <w:tblCellMar>
            <w:top w:w="0" w:type="dxa"/>
            <w:left w:w="108" w:type="dxa"/>
            <w:bottom w:w="0" w:type="dxa"/>
            <w:right w:w="108" w:type="dxa"/>
          </w:tblCellMar>
        </w:tblPrEx>
        <w:trPr>
          <w:trHeight w:val="90"/>
          <w:jc w:val="center"/>
        </w:trPr>
        <w:tc>
          <w:tcPr>
            <w:tcW w:w="1721"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both"/>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日常照护工作</w:t>
            </w:r>
          </w:p>
        </w:tc>
        <w:tc>
          <w:tcPr>
            <w:tcW w:w="637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照顾病人生活起居</w:t>
            </w:r>
          </w:p>
        </w:tc>
        <w:tc>
          <w:tcPr>
            <w:tcW w:w="139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病人满意</w:t>
            </w:r>
          </w:p>
        </w:tc>
      </w:tr>
      <w:tr>
        <w:tblPrEx>
          <w:tblW w:w="9489" w:type="dxa"/>
          <w:jc w:val="center"/>
          <w:tblCellMar>
            <w:top w:w="0" w:type="dxa"/>
            <w:left w:w="108" w:type="dxa"/>
            <w:bottom w:w="0" w:type="dxa"/>
            <w:right w:w="108" w:type="dxa"/>
          </w:tblCellMar>
        </w:tblPrEx>
        <w:trPr>
          <w:trHeight w:val="90"/>
          <w:jc w:val="center"/>
        </w:trPr>
        <w:tc>
          <w:tcPr>
            <w:tcW w:w="1721" w:type="dxa"/>
            <w:vMerge/>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both"/>
              <w:textAlignment w:val="auto"/>
              <w:rPr>
                <w:rFonts w:ascii="宋体" w:eastAsia="宋体" w:hAnsi="宋体" w:cs="宋体" w:hint="eastAsia"/>
                <w:kern w:val="0"/>
                <w:sz w:val="21"/>
                <w:szCs w:val="21"/>
                <w:highlight w:val="none"/>
              </w:rPr>
            </w:pPr>
          </w:p>
        </w:tc>
        <w:tc>
          <w:tcPr>
            <w:tcW w:w="637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为患者打水，打饭，清洗切削水果</w:t>
            </w:r>
          </w:p>
        </w:tc>
        <w:tc>
          <w:tcPr>
            <w:tcW w:w="139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病人满意</w:t>
            </w:r>
          </w:p>
        </w:tc>
      </w:tr>
      <w:tr>
        <w:tblPrEx>
          <w:tblW w:w="9489" w:type="dxa"/>
          <w:jc w:val="center"/>
          <w:tblCellMar>
            <w:top w:w="0" w:type="dxa"/>
            <w:left w:w="108" w:type="dxa"/>
            <w:bottom w:w="0" w:type="dxa"/>
            <w:right w:w="108" w:type="dxa"/>
          </w:tblCellMar>
        </w:tblPrEx>
        <w:trPr>
          <w:trHeight w:val="90"/>
          <w:jc w:val="center"/>
        </w:trPr>
        <w:tc>
          <w:tcPr>
            <w:tcW w:w="1721" w:type="dxa"/>
            <w:vMerge/>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both"/>
              <w:textAlignment w:val="auto"/>
              <w:rPr>
                <w:rFonts w:ascii="宋体" w:eastAsia="宋体" w:hAnsi="宋体" w:cs="宋体" w:hint="eastAsia"/>
                <w:kern w:val="0"/>
                <w:sz w:val="21"/>
                <w:szCs w:val="21"/>
                <w:highlight w:val="none"/>
              </w:rPr>
            </w:pPr>
          </w:p>
        </w:tc>
        <w:tc>
          <w:tcPr>
            <w:tcW w:w="637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按时给不能自主活动的患者翻身、拍背</w:t>
            </w:r>
          </w:p>
        </w:tc>
        <w:tc>
          <w:tcPr>
            <w:tcW w:w="139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病人舒适</w:t>
            </w:r>
          </w:p>
        </w:tc>
      </w:tr>
      <w:tr>
        <w:tblPrEx>
          <w:tblW w:w="9489" w:type="dxa"/>
          <w:jc w:val="center"/>
          <w:tblCellMar>
            <w:top w:w="0" w:type="dxa"/>
            <w:left w:w="108" w:type="dxa"/>
            <w:bottom w:w="0" w:type="dxa"/>
            <w:right w:w="108" w:type="dxa"/>
          </w:tblCellMar>
        </w:tblPrEx>
        <w:trPr>
          <w:trHeight w:val="90"/>
          <w:jc w:val="center"/>
        </w:trPr>
        <w:tc>
          <w:tcPr>
            <w:tcW w:w="1721" w:type="dxa"/>
            <w:vMerge/>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both"/>
              <w:textAlignment w:val="auto"/>
              <w:rPr>
                <w:rFonts w:ascii="宋体" w:eastAsia="宋体" w:hAnsi="宋体" w:cs="宋体" w:hint="eastAsia"/>
                <w:kern w:val="0"/>
                <w:sz w:val="21"/>
                <w:szCs w:val="21"/>
                <w:highlight w:val="none"/>
              </w:rPr>
            </w:pPr>
          </w:p>
        </w:tc>
        <w:tc>
          <w:tcPr>
            <w:tcW w:w="637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正确摆放病人肢体</w:t>
            </w:r>
          </w:p>
        </w:tc>
        <w:tc>
          <w:tcPr>
            <w:tcW w:w="139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病人舒适</w:t>
            </w:r>
          </w:p>
        </w:tc>
      </w:tr>
      <w:tr>
        <w:tblPrEx>
          <w:tblW w:w="9489" w:type="dxa"/>
          <w:jc w:val="center"/>
          <w:tblCellMar>
            <w:top w:w="0" w:type="dxa"/>
            <w:left w:w="108" w:type="dxa"/>
            <w:bottom w:w="0" w:type="dxa"/>
            <w:right w:w="108" w:type="dxa"/>
          </w:tblCellMar>
        </w:tblPrEx>
        <w:trPr>
          <w:trHeight w:val="90"/>
          <w:jc w:val="center"/>
        </w:trPr>
        <w:tc>
          <w:tcPr>
            <w:tcW w:w="1721" w:type="dxa"/>
            <w:vMerge/>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both"/>
              <w:textAlignment w:val="auto"/>
              <w:rPr>
                <w:rFonts w:ascii="宋体" w:eastAsia="宋体" w:hAnsi="宋体" w:cs="宋体" w:hint="eastAsia"/>
                <w:kern w:val="0"/>
                <w:sz w:val="21"/>
                <w:szCs w:val="21"/>
                <w:highlight w:val="none"/>
              </w:rPr>
            </w:pPr>
          </w:p>
        </w:tc>
        <w:tc>
          <w:tcPr>
            <w:tcW w:w="637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协助护士或病人家属为病人擦身及洗漱、清洁病人身上的胶布印</w:t>
            </w:r>
          </w:p>
        </w:tc>
        <w:tc>
          <w:tcPr>
            <w:tcW w:w="139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清洁干净</w:t>
            </w:r>
          </w:p>
        </w:tc>
      </w:tr>
      <w:tr>
        <w:tblPrEx>
          <w:tblW w:w="9489" w:type="dxa"/>
          <w:jc w:val="center"/>
          <w:tblCellMar>
            <w:top w:w="0" w:type="dxa"/>
            <w:left w:w="108" w:type="dxa"/>
            <w:bottom w:w="0" w:type="dxa"/>
            <w:right w:w="108" w:type="dxa"/>
          </w:tblCellMar>
        </w:tblPrEx>
        <w:trPr>
          <w:trHeight w:val="90"/>
          <w:jc w:val="center"/>
        </w:trPr>
        <w:tc>
          <w:tcPr>
            <w:tcW w:w="1721" w:type="dxa"/>
            <w:vMerge/>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both"/>
              <w:textAlignment w:val="auto"/>
              <w:rPr>
                <w:rFonts w:ascii="宋体" w:eastAsia="宋体" w:hAnsi="宋体" w:cs="宋体" w:hint="eastAsia"/>
                <w:kern w:val="0"/>
                <w:sz w:val="21"/>
                <w:szCs w:val="21"/>
                <w:highlight w:val="none"/>
              </w:rPr>
            </w:pPr>
          </w:p>
        </w:tc>
        <w:tc>
          <w:tcPr>
            <w:tcW w:w="637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为病人梳头、剃须、修指甲、洗头等</w:t>
            </w:r>
          </w:p>
        </w:tc>
        <w:tc>
          <w:tcPr>
            <w:tcW w:w="139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病人舒服</w:t>
            </w:r>
          </w:p>
        </w:tc>
      </w:tr>
      <w:tr>
        <w:tblPrEx>
          <w:tblW w:w="9489" w:type="dxa"/>
          <w:jc w:val="center"/>
          <w:tblCellMar>
            <w:top w:w="0" w:type="dxa"/>
            <w:left w:w="108" w:type="dxa"/>
            <w:bottom w:w="0" w:type="dxa"/>
            <w:right w:w="108" w:type="dxa"/>
          </w:tblCellMar>
        </w:tblPrEx>
        <w:trPr>
          <w:trHeight w:val="90"/>
          <w:jc w:val="center"/>
        </w:trPr>
        <w:tc>
          <w:tcPr>
            <w:tcW w:w="1721" w:type="dxa"/>
            <w:vMerge/>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both"/>
              <w:textAlignment w:val="auto"/>
              <w:rPr>
                <w:rFonts w:ascii="宋体" w:eastAsia="宋体" w:hAnsi="宋体" w:cs="宋体" w:hint="eastAsia"/>
                <w:kern w:val="0"/>
                <w:sz w:val="21"/>
                <w:szCs w:val="21"/>
                <w:highlight w:val="none"/>
              </w:rPr>
            </w:pPr>
          </w:p>
        </w:tc>
        <w:tc>
          <w:tcPr>
            <w:tcW w:w="637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及时为病人更换被污染的衣服及被褥</w:t>
            </w:r>
          </w:p>
        </w:tc>
        <w:tc>
          <w:tcPr>
            <w:tcW w:w="139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及时</w:t>
            </w:r>
          </w:p>
        </w:tc>
      </w:tr>
      <w:tr>
        <w:tblPrEx>
          <w:tblW w:w="9489" w:type="dxa"/>
          <w:jc w:val="center"/>
          <w:tblCellMar>
            <w:top w:w="0" w:type="dxa"/>
            <w:left w:w="108" w:type="dxa"/>
            <w:bottom w:w="0" w:type="dxa"/>
            <w:right w:w="108" w:type="dxa"/>
          </w:tblCellMar>
        </w:tblPrEx>
        <w:trPr>
          <w:trHeight w:val="90"/>
          <w:jc w:val="center"/>
        </w:trPr>
        <w:tc>
          <w:tcPr>
            <w:tcW w:w="1721" w:type="dxa"/>
            <w:vMerge/>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both"/>
              <w:textAlignment w:val="auto"/>
              <w:rPr>
                <w:rFonts w:ascii="宋体" w:eastAsia="宋体" w:hAnsi="宋体" w:cs="宋体" w:hint="eastAsia"/>
                <w:kern w:val="0"/>
                <w:sz w:val="21"/>
                <w:szCs w:val="21"/>
                <w:highlight w:val="none"/>
              </w:rPr>
            </w:pPr>
          </w:p>
        </w:tc>
        <w:tc>
          <w:tcPr>
            <w:tcW w:w="637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为患者喂食、喂水</w:t>
            </w:r>
          </w:p>
        </w:tc>
        <w:tc>
          <w:tcPr>
            <w:tcW w:w="139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病人舒服</w:t>
            </w:r>
          </w:p>
        </w:tc>
      </w:tr>
      <w:tr>
        <w:tblPrEx>
          <w:tblW w:w="9489" w:type="dxa"/>
          <w:jc w:val="center"/>
          <w:tblCellMar>
            <w:top w:w="0" w:type="dxa"/>
            <w:left w:w="108" w:type="dxa"/>
            <w:bottom w:w="0" w:type="dxa"/>
            <w:right w:w="108" w:type="dxa"/>
          </w:tblCellMar>
        </w:tblPrEx>
        <w:trPr>
          <w:trHeight w:val="90"/>
          <w:jc w:val="center"/>
        </w:trPr>
        <w:tc>
          <w:tcPr>
            <w:tcW w:w="1721" w:type="dxa"/>
            <w:vMerge/>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both"/>
              <w:textAlignment w:val="auto"/>
              <w:rPr>
                <w:rFonts w:ascii="宋体" w:eastAsia="宋体" w:hAnsi="宋体" w:cs="宋体" w:hint="eastAsia"/>
                <w:kern w:val="0"/>
                <w:sz w:val="21"/>
                <w:szCs w:val="21"/>
                <w:highlight w:val="none"/>
              </w:rPr>
            </w:pPr>
          </w:p>
        </w:tc>
        <w:tc>
          <w:tcPr>
            <w:tcW w:w="637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协助患者大小便、清理大小便</w:t>
            </w:r>
          </w:p>
        </w:tc>
        <w:tc>
          <w:tcPr>
            <w:tcW w:w="139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病人清洁</w:t>
            </w:r>
          </w:p>
        </w:tc>
      </w:tr>
      <w:tr>
        <w:tblPrEx>
          <w:tblW w:w="9489" w:type="dxa"/>
          <w:jc w:val="center"/>
          <w:tblCellMar>
            <w:top w:w="0" w:type="dxa"/>
            <w:left w:w="108" w:type="dxa"/>
            <w:bottom w:w="0" w:type="dxa"/>
            <w:right w:w="108" w:type="dxa"/>
          </w:tblCellMar>
        </w:tblPrEx>
        <w:trPr>
          <w:trHeight w:val="90"/>
          <w:jc w:val="center"/>
        </w:trPr>
        <w:tc>
          <w:tcPr>
            <w:tcW w:w="1721" w:type="dxa"/>
            <w:vMerge/>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both"/>
              <w:textAlignment w:val="auto"/>
              <w:rPr>
                <w:rFonts w:ascii="宋体" w:eastAsia="宋体" w:hAnsi="宋体" w:cs="宋体" w:hint="eastAsia"/>
                <w:kern w:val="0"/>
                <w:sz w:val="21"/>
                <w:szCs w:val="21"/>
                <w:highlight w:val="none"/>
              </w:rPr>
            </w:pPr>
          </w:p>
        </w:tc>
        <w:tc>
          <w:tcPr>
            <w:tcW w:w="637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保护刀口处的敷料清洁干燥</w:t>
            </w:r>
          </w:p>
        </w:tc>
        <w:tc>
          <w:tcPr>
            <w:tcW w:w="139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敷料清洁</w:t>
            </w:r>
          </w:p>
        </w:tc>
      </w:tr>
      <w:tr>
        <w:tblPrEx>
          <w:tblW w:w="9489" w:type="dxa"/>
          <w:jc w:val="center"/>
          <w:tblCellMar>
            <w:top w:w="0" w:type="dxa"/>
            <w:left w:w="108" w:type="dxa"/>
            <w:bottom w:w="0" w:type="dxa"/>
            <w:right w:w="108" w:type="dxa"/>
          </w:tblCellMar>
        </w:tblPrEx>
        <w:trPr>
          <w:trHeight w:val="454"/>
          <w:jc w:val="center"/>
        </w:trPr>
        <w:tc>
          <w:tcPr>
            <w:tcW w:w="1721" w:type="dxa"/>
            <w:vMerge/>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both"/>
              <w:textAlignment w:val="auto"/>
              <w:rPr>
                <w:rFonts w:ascii="宋体" w:eastAsia="宋体" w:hAnsi="宋体" w:cs="宋体" w:hint="eastAsia"/>
                <w:kern w:val="0"/>
                <w:sz w:val="21"/>
                <w:szCs w:val="21"/>
                <w:highlight w:val="none"/>
              </w:rPr>
            </w:pPr>
          </w:p>
        </w:tc>
        <w:tc>
          <w:tcPr>
            <w:tcW w:w="637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协助护士做好各种管道的管理，如导尿管、胃管及各种引流管</w:t>
            </w:r>
          </w:p>
        </w:tc>
        <w:tc>
          <w:tcPr>
            <w:tcW w:w="139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管道不脱落</w:t>
            </w:r>
          </w:p>
        </w:tc>
      </w:tr>
      <w:tr>
        <w:tblPrEx>
          <w:tblW w:w="9489" w:type="dxa"/>
          <w:jc w:val="center"/>
          <w:tblCellMar>
            <w:top w:w="0" w:type="dxa"/>
            <w:left w:w="108" w:type="dxa"/>
            <w:bottom w:w="0" w:type="dxa"/>
            <w:right w:w="108" w:type="dxa"/>
          </w:tblCellMar>
        </w:tblPrEx>
        <w:trPr>
          <w:trHeight w:val="90"/>
          <w:jc w:val="center"/>
        </w:trPr>
        <w:tc>
          <w:tcPr>
            <w:tcW w:w="1721" w:type="dxa"/>
            <w:vMerge/>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both"/>
              <w:textAlignment w:val="auto"/>
              <w:rPr>
                <w:rFonts w:ascii="宋体" w:eastAsia="宋体" w:hAnsi="宋体" w:cs="宋体" w:hint="eastAsia"/>
                <w:kern w:val="0"/>
                <w:sz w:val="21"/>
                <w:szCs w:val="21"/>
                <w:highlight w:val="none"/>
              </w:rPr>
            </w:pPr>
          </w:p>
        </w:tc>
        <w:tc>
          <w:tcPr>
            <w:tcW w:w="637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color w:val="auto"/>
                <w:kern w:val="0"/>
                <w:sz w:val="21"/>
                <w:szCs w:val="21"/>
                <w:highlight w:val="none"/>
                <w:lang w:eastAsia="zh-CN"/>
              </w:rPr>
            </w:pPr>
            <w:r>
              <w:rPr>
                <w:rFonts w:ascii="宋体" w:eastAsia="宋体" w:hAnsi="宋体" w:cs="宋体" w:hint="eastAsia"/>
                <w:color w:val="auto"/>
                <w:kern w:val="0"/>
                <w:sz w:val="21"/>
                <w:szCs w:val="21"/>
                <w:highlight w:val="none"/>
              </w:rPr>
              <w:t>协助护士发放体温表</w:t>
            </w:r>
          </w:p>
        </w:tc>
        <w:tc>
          <w:tcPr>
            <w:tcW w:w="139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rPr>
              <w:t>准确</w:t>
            </w:r>
            <w:r>
              <w:rPr>
                <w:rFonts w:ascii="宋体" w:eastAsia="宋体" w:hAnsi="宋体" w:cs="宋体" w:hint="eastAsia"/>
                <w:color w:val="auto"/>
                <w:kern w:val="0"/>
                <w:sz w:val="21"/>
                <w:szCs w:val="21"/>
                <w:highlight w:val="none"/>
                <w:lang w:val="en-US" w:eastAsia="zh-CN"/>
              </w:rPr>
              <w:t>收发</w:t>
            </w:r>
          </w:p>
        </w:tc>
      </w:tr>
      <w:tr>
        <w:tblPrEx>
          <w:tblW w:w="9489" w:type="dxa"/>
          <w:jc w:val="center"/>
          <w:tblCellMar>
            <w:top w:w="0" w:type="dxa"/>
            <w:left w:w="108" w:type="dxa"/>
            <w:bottom w:w="0" w:type="dxa"/>
            <w:right w:w="108" w:type="dxa"/>
          </w:tblCellMar>
        </w:tblPrEx>
        <w:trPr>
          <w:trHeight w:val="90"/>
          <w:jc w:val="center"/>
        </w:trPr>
        <w:tc>
          <w:tcPr>
            <w:tcW w:w="1721" w:type="dxa"/>
            <w:vMerge/>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both"/>
              <w:textAlignment w:val="auto"/>
              <w:rPr>
                <w:rFonts w:ascii="宋体" w:eastAsia="宋体" w:hAnsi="宋体" w:cs="宋体" w:hint="eastAsia"/>
                <w:kern w:val="0"/>
                <w:sz w:val="21"/>
                <w:szCs w:val="21"/>
                <w:highlight w:val="none"/>
              </w:rPr>
            </w:pPr>
          </w:p>
        </w:tc>
        <w:tc>
          <w:tcPr>
            <w:tcW w:w="637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及时与</w:t>
            </w:r>
            <w:r>
              <w:rPr>
                <w:rFonts w:ascii="宋体" w:eastAsia="宋体" w:hAnsi="宋体" w:cs="宋体" w:hint="eastAsia"/>
                <w:kern w:val="0"/>
                <w:sz w:val="21"/>
                <w:szCs w:val="21"/>
                <w:highlight w:val="none"/>
                <w:lang w:eastAsia="zh-CN"/>
              </w:rPr>
              <w:t>患者</w:t>
            </w:r>
            <w:r>
              <w:rPr>
                <w:rFonts w:ascii="宋体" w:eastAsia="宋体" w:hAnsi="宋体" w:cs="宋体" w:hint="eastAsia"/>
                <w:kern w:val="0"/>
                <w:sz w:val="21"/>
                <w:szCs w:val="21"/>
                <w:highlight w:val="none"/>
              </w:rPr>
              <w:t>沟通，了解</w:t>
            </w:r>
            <w:r>
              <w:rPr>
                <w:rFonts w:ascii="宋体" w:eastAsia="宋体" w:hAnsi="宋体" w:cs="宋体" w:hint="eastAsia"/>
                <w:kern w:val="0"/>
                <w:sz w:val="21"/>
                <w:szCs w:val="21"/>
                <w:highlight w:val="none"/>
                <w:lang w:eastAsia="zh-CN"/>
              </w:rPr>
              <w:t>患者</w:t>
            </w:r>
            <w:r>
              <w:rPr>
                <w:rFonts w:ascii="宋体" w:eastAsia="宋体" w:hAnsi="宋体" w:cs="宋体" w:hint="eastAsia"/>
                <w:kern w:val="0"/>
                <w:sz w:val="21"/>
                <w:szCs w:val="21"/>
                <w:highlight w:val="none"/>
              </w:rPr>
              <w:t>需求</w:t>
            </w:r>
          </w:p>
        </w:tc>
        <w:tc>
          <w:tcPr>
            <w:tcW w:w="139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及时沟通</w:t>
            </w:r>
          </w:p>
        </w:tc>
      </w:tr>
      <w:tr>
        <w:tblPrEx>
          <w:tblW w:w="9489" w:type="dxa"/>
          <w:jc w:val="center"/>
          <w:tblCellMar>
            <w:top w:w="0" w:type="dxa"/>
            <w:left w:w="108" w:type="dxa"/>
            <w:bottom w:w="0" w:type="dxa"/>
            <w:right w:w="108" w:type="dxa"/>
          </w:tblCellMar>
        </w:tblPrEx>
        <w:trPr>
          <w:trHeight w:val="90"/>
          <w:jc w:val="center"/>
        </w:trPr>
        <w:tc>
          <w:tcPr>
            <w:tcW w:w="1721" w:type="dxa"/>
            <w:vMerge/>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both"/>
              <w:textAlignment w:val="auto"/>
              <w:rPr>
                <w:rFonts w:ascii="宋体" w:eastAsia="宋体" w:hAnsi="宋体" w:cs="宋体" w:hint="eastAsia"/>
                <w:kern w:val="0"/>
                <w:sz w:val="21"/>
                <w:szCs w:val="21"/>
                <w:highlight w:val="none"/>
              </w:rPr>
            </w:pPr>
          </w:p>
        </w:tc>
        <w:tc>
          <w:tcPr>
            <w:tcW w:w="637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协助配合医护人员做好患者日常生活能力训练</w:t>
            </w:r>
          </w:p>
        </w:tc>
        <w:tc>
          <w:tcPr>
            <w:tcW w:w="139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做到</w:t>
            </w:r>
          </w:p>
        </w:tc>
      </w:tr>
      <w:tr>
        <w:tblPrEx>
          <w:tblW w:w="9489" w:type="dxa"/>
          <w:jc w:val="center"/>
          <w:tblCellMar>
            <w:top w:w="0" w:type="dxa"/>
            <w:left w:w="108" w:type="dxa"/>
            <w:bottom w:w="0" w:type="dxa"/>
            <w:right w:w="108" w:type="dxa"/>
          </w:tblCellMar>
        </w:tblPrEx>
        <w:trPr>
          <w:trHeight w:val="90"/>
          <w:jc w:val="center"/>
        </w:trPr>
        <w:tc>
          <w:tcPr>
            <w:tcW w:w="1721" w:type="dxa"/>
            <w:vMerge/>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both"/>
              <w:textAlignment w:val="auto"/>
              <w:rPr>
                <w:rFonts w:ascii="宋体" w:eastAsia="宋体" w:hAnsi="宋体" w:cs="宋体" w:hint="eastAsia"/>
                <w:kern w:val="0"/>
                <w:sz w:val="21"/>
                <w:szCs w:val="21"/>
                <w:highlight w:val="none"/>
              </w:rPr>
            </w:pPr>
          </w:p>
        </w:tc>
        <w:tc>
          <w:tcPr>
            <w:tcW w:w="637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病情观察，发现异常及时报告</w:t>
            </w:r>
          </w:p>
        </w:tc>
        <w:tc>
          <w:tcPr>
            <w:tcW w:w="139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及时报告</w:t>
            </w:r>
          </w:p>
        </w:tc>
      </w:tr>
      <w:tr>
        <w:tblPrEx>
          <w:tblW w:w="9489" w:type="dxa"/>
          <w:jc w:val="center"/>
          <w:tblCellMar>
            <w:top w:w="0" w:type="dxa"/>
            <w:left w:w="108" w:type="dxa"/>
            <w:bottom w:w="0" w:type="dxa"/>
            <w:right w:w="108" w:type="dxa"/>
          </w:tblCellMar>
        </w:tblPrEx>
        <w:trPr>
          <w:trHeight w:val="90"/>
          <w:jc w:val="center"/>
        </w:trPr>
        <w:tc>
          <w:tcPr>
            <w:tcW w:w="1721" w:type="dxa"/>
            <w:vMerge/>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both"/>
              <w:textAlignment w:val="auto"/>
              <w:rPr>
                <w:rFonts w:ascii="宋体" w:eastAsia="宋体" w:hAnsi="宋体" w:cs="宋体" w:hint="eastAsia"/>
                <w:kern w:val="0"/>
                <w:sz w:val="21"/>
                <w:szCs w:val="21"/>
                <w:highlight w:val="none"/>
              </w:rPr>
            </w:pPr>
          </w:p>
        </w:tc>
        <w:tc>
          <w:tcPr>
            <w:tcW w:w="6377"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协助</w:t>
            </w:r>
            <w:r>
              <w:rPr>
                <w:rFonts w:ascii="宋体" w:eastAsia="宋体" w:hAnsi="宋体" w:cs="宋体" w:hint="eastAsia"/>
                <w:kern w:val="0"/>
                <w:sz w:val="21"/>
                <w:szCs w:val="21"/>
                <w:highlight w:val="none"/>
                <w:lang w:eastAsia="zh-CN"/>
              </w:rPr>
              <w:t>患者</w:t>
            </w:r>
            <w:r>
              <w:rPr>
                <w:rFonts w:ascii="宋体" w:eastAsia="宋体" w:hAnsi="宋体" w:cs="宋体" w:hint="eastAsia"/>
                <w:kern w:val="0"/>
                <w:sz w:val="21"/>
                <w:szCs w:val="21"/>
                <w:highlight w:val="none"/>
              </w:rPr>
              <w:t>去洗手间</w:t>
            </w:r>
          </w:p>
        </w:tc>
        <w:tc>
          <w:tcPr>
            <w:tcW w:w="139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做到</w:t>
            </w:r>
          </w:p>
        </w:tc>
      </w:tr>
      <w:tr>
        <w:tblPrEx>
          <w:tblW w:w="9489" w:type="dxa"/>
          <w:jc w:val="center"/>
          <w:tblCellMar>
            <w:top w:w="0" w:type="dxa"/>
            <w:left w:w="108" w:type="dxa"/>
            <w:bottom w:w="0" w:type="dxa"/>
            <w:right w:w="108" w:type="dxa"/>
          </w:tblCellMar>
        </w:tblPrEx>
        <w:trPr>
          <w:trHeight w:val="90"/>
          <w:jc w:val="center"/>
        </w:trPr>
        <w:tc>
          <w:tcPr>
            <w:tcW w:w="1721" w:type="dxa"/>
            <w:vMerge/>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both"/>
              <w:textAlignment w:val="auto"/>
              <w:rPr>
                <w:rFonts w:ascii="宋体" w:eastAsia="宋体" w:hAnsi="宋体" w:cs="宋体" w:hint="eastAsia"/>
                <w:kern w:val="0"/>
                <w:sz w:val="21"/>
                <w:szCs w:val="21"/>
                <w:highlight w:val="none"/>
              </w:rPr>
            </w:pPr>
          </w:p>
        </w:tc>
        <w:tc>
          <w:tcPr>
            <w:tcW w:w="6377"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安排好患者的作息时间</w:t>
            </w:r>
          </w:p>
        </w:tc>
        <w:tc>
          <w:tcPr>
            <w:tcW w:w="139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合理安排</w:t>
            </w:r>
          </w:p>
        </w:tc>
      </w:tr>
      <w:tr>
        <w:tblPrEx>
          <w:tblW w:w="9489" w:type="dxa"/>
          <w:jc w:val="center"/>
          <w:tblCellMar>
            <w:top w:w="0" w:type="dxa"/>
            <w:left w:w="108" w:type="dxa"/>
            <w:bottom w:w="0" w:type="dxa"/>
            <w:right w:w="108" w:type="dxa"/>
          </w:tblCellMar>
        </w:tblPrEx>
        <w:trPr>
          <w:trHeight w:val="90"/>
          <w:jc w:val="center"/>
        </w:trPr>
        <w:tc>
          <w:tcPr>
            <w:tcW w:w="1721"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both"/>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日常消毒工作</w:t>
            </w:r>
          </w:p>
        </w:tc>
        <w:tc>
          <w:tcPr>
            <w:tcW w:w="6377"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临时污染物处理</w:t>
            </w:r>
          </w:p>
        </w:tc>
        <w:tc>
          <w:tcPr>
            <w:tcW w:w="139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清洗干净</w:t>
            </w:r>
          </w:p>
        </w:tc>
      </w:tr>
      <w:tr>
        <w:tblPrEx>
          <w:tblW w:w="9489" w:type="dxa"/>
          <w:jc w:val="center"/>
          <w:tblCellMar>
            <w:top w:w="0" w:type="dxa"/>
            <w:left w:w="108" w:type="dxa"/>
            <w:bottom w:w="0" w:type="dxa"/>
            <w:right w:w="108" w:type="dxa"/>
          </w:tblCellMar>
        </w:tblPrEx>
        <w:trPr>
          <w:trHeight w:val="90"/>
          <w:jc w:val="center"/>
        </w:trPr>
        <w:tc>
          <w:tcPr>
            <w:tcW w:w="1721" w:type="dxa"/>
            <w:vMerge/>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both"/>
              <w:textAlignment w:val="auto"/>
              <w:rPr>
                <w:rFonts w:ascii="宋体" w:eastAsia="宋体" w:hAnsi="宋体" w:cs="宋体" w:hint="eastAsia"/>
                <w:kern w:val="0"/>
                <w:sz w:val="21"/>
                <w:szCs w:val="21"/>
                <w:highlight w:val="none"/>
              </w:rPr>
            </w:pPr>
          </w:p>
        </w:tc>
        <w:tc>
          <w:tcPr>
            <w:tcW w:w="6377"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大小便器的清洁消毒，清水洗净晾干妥善放在指定地点备用</w:t>
            </w:r>
          </w:p>
        </w:tc>
        <w:tc>
          <w:tcPr>
            <w:tcW w:w="139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清洗干净</w:t>
            </w:r>
          </w:p>
        </w:tc>
      </w:tr>
      <w:tr>
        <w:tblPrEx>
          <w:tblW w:w="9489" w:type="dxa"/>
          <w:jc w:val="center"/>
          <w:tblCellMar>
            <w:top w:w="0" w:type="dxa"/>
            <w:left w:w="108" w:type="dxa"/>
            <w:bottom w:w="0" w:type="dxa"/>
            <w:right w:w="108" w:type="dxa"/>
          </w:tblCellMar>
        </w:tblPrEx>
        <w:trPr>
          <w:trHeight w:val="90"/>
          <w:jc w:val="center"/>
        </w:trPr>
        <w:tc>
          <w:tcPr>
            <w:tcW w:w="1721" w:type="dxa"/>
            <w:vMerge/>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both"/>
              <w:textAlignment w:val="auto"/>
              <w:rPr>
                <w:rFonts w:ascii="宋体" w:eastAsia="宋体" w:hAnsi="宋体" w:cs="宋体" w:hint="eastAsia"/>
                <w:kern w:val="0"/>
                <w:sz w:val="21"/>
                <w:szCs w:val="21"/>
                <w:highlight w:val="none"/>
              </w:rPr>
            </w:pPr>
          </w:p>
        </w:tc>
        <w:tc>
          <w:tcPr>
            <w:tcW w:w="6377"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毛巾的清洗消毒</w:t>
            </w:r>
          </w:p>
        </w:tc>
        <w:tc>
          <w:tcPr>
            <w:tcW w:w="139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清洗干净</w:t>
            </w:r>
          </w:p>
        </w:tc>
      </w:tr>
      <w:tr>
        <w:tblPrEx>
          <w:tblW w:w="9489" w:type="dxa"/>
          <w:jc w:val="center"/>
          <w:tblCellMar>
            <w:top w:w="0" w:type="dxa"/>
            <w:left w:w="108" w:type="dxa"/>
            <w:bottom w:w="0" w:type="dxa"/>
            <w:right w:w="108" w:type="dxa"/>
          </w:tblCellMar>
        </w:tblPrEx>
        <w:trPr>
          <w:trHeight w:val="90"/>
          <w:jc w:val="center"/>
        </w:trPr>
        <w:tc>
          <w:tcPr>
            <w:tcW w:w="1721" w:type="dxa"/>
            <w:vMerge/>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both"/>
              <w:textAlignment w:val="auto"/>
              <w:rPr>
                <w:rFonts w:ascii="宋体" w:eastAsia="宋体" w:hAnsi="宋体" w:cs="宋体" w:hint="eastAsia"/>
                <w:kern w:val="0"/>
                <w:sz w:val="21"/>
                <w:szCs w:val="21"/>
                <w:highlight w:val="none"/>
              </w:rPr>
            </w:pPr>
          </w:p>
        </w:tc>
        <w:tc>
          <w:tcPr>
            <w:tcW w:w="6377"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餐具的清洗消毒</w:t>
            </w:r>
          </w:p>
        </w:tc>
        <w:tc>
          <w:tcPr>
            <w:tcW w:w="139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清洗干净</w:t>
            </w:r>
          </w:p>
        </w:tc>
      </w:tr>
      <w:tr>
        <w:tblPrEx>
          <w:tblW w:w="9489" w:type="dxa"/>
          <w:jc w:val="center"/>
          <w:tblCellMar>
            <w:top w:w="0" w:type="dxa"/>
            <w:left w:w="108" w:type="dxa"/>
            <w:bottom w:w="0" w:type="dxa"/>
            <w:right w:w="108" w:type="dxa"/>
          </w:tblCellMar>
        </w:tblPrEx>
        <w:trPr>
          <w:trHeight w:val="90"/>
          <w:jc w:val="center"/>
        </w:trPr>
        <w:tc>
          <w:tcPr>
            <w:tcW w:w="1721"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both"/>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临时工作</w:t>
            </w:r>
          </w:p>
        </w:tc>
        <w:tc>
          <w:tcPr>
            <w:tcW w:w="6377"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陪送病人做检查、治疗</w:t>
            </w:r>
          </w:p>
        </w:tc>
        <w:tc>
          <w:tcPr>
            <w:tcW w:w="139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安全陪送</w:t>
            </w:r>
          </w:p>
        </w:tc>
      </w:tr>
      <w:tr>
        <w:tblPrEx>
          <w:tblW w:w="9489" w:type="dxa"/>
          <w:jc w:val="center"/>
          <w:tblCellMar>
            <w:top w:w="0" w:type="dxa"/>
            <w:left w:w="108" w:type="dxa"/>
            <w:bottom w:w="0" w:type="dxa"/>
            <w:right w:w="108" w:type="dxa"/>
          </w:tblCellMar>
        </w:tblPrEx>
        <w:trPr>
          <w:trHeight w:val="90"/>
          <w:jc w:val="center"/>
        </w:trPr>
        <w:tc>
          <w:tcPr>
            <w:tcW w:w="1721" w:type="dxa"/>
            <w:vMerge/>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both"/>
              <w:textAlignment w:val="auto"/>
              <w:rPr>
                <w:rFonts w:ascii="宋体" w:eastAsia="宋体" w:hAnsi="宋体" w:cs="宋体" w:hint="eastAsia"/>
                <w:kern w:val="0"/>
                <w:sz w:val="21"/>
                <w:szCs w:val="21"/>
                <w:highlight w:val="none"/>
              </w:rPr>
            </w:pPr>
          </w:p>
        </w:tc>
        <w:tc>
          <w:tcPr>
            <w:tcW w:w="637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协助患者正确留取</w:t>
            </w:r>
            <w:r>
              <w:rPr>
                <w:rFonts w:ascii="宋体" w:eastAsia="宋体" w:hAnsi="宋体" w:cs="宋体" w:hint="eastAsia"/>
                <w:kern w:val="0"/>
                <w:sz w:val="21"/>
                <w:szCs w:val="21"/>
                <w:highlight w:val="none"/>
                <w:lang w:eastAsia="zh-CN"/>
              </w:rPr>
              <w:t>检验</w:t>
            </w:r>
            <w:r>
              <w:rPr>
                <w:rFonts w:ascii="宋体" w:eastAsia="宋体" w:hAnsi="宋体" w:cs="宋体" w:hint="eastAsia"/>
                <w:kern w:val="0"/>
                <w:sz w:val="21"/>
                <w:szCs w:val="21"/>
                <w:highlight w:val="none"/>
              </w:rPr>
              <w:t>标本</w:t>
            </w:r>
          </w:p>
        </w:tc>
        <w:tc>
          <w:tcPr>
            <w:tcW w:w="139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准确留取</w:t>
            </w:r>
          </w:p>
        </w:tc>
      </w:tr>
      <w:tr>
        <w:tblPrEx>
          <w:tblW w:w="9489" w:type="dxa"/>
          <w:jc w:val="center"/>
          <w:tblCellMar>
            <w:top w:w="0" w:type="dxa"/>
            <w:left w:w="108" w:type="dxa"/>
            <w:bottom w:w="0" w:type="dxa"/>
            <w:right w:w="108" w:type="dxa"/>
          </w:tblCellMar>
        </w:tblPrEx>
        <w:trPr>
          <w:trHeight w:val="90"/>
          <w:jc w:val="center"/>
        </w:trPr>
        <w:tc>
          <w:tcPr>
            <w:tcW w:w="1721" w:type="dxa"/>
            <w:vMerge/>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both"/>
              <w:textAlignment w:val="auto"/>
              <w:rPr>
                <w:rFonts w:ascii="宋体" w:eastAsia="宋体" w:hAnsi="宋体" w:cs="宋体" w:hint="eastAsia"/>
                <w:kern w:val="0"/>
                <w:sz w:val="21"/>
                <w:szCs w:val="21"/>
                <w:highlight w:val="none"/>
              </w:rPr>
            </w:pPr>
          </w:p>
        </w:tc>
        <w:tc>
          <w:tcPr>
            <w:tcW w:w="637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更换、清点被服、患者服</w:t>
            </w:r>
          </w:p>
        </w:tc>
        <w:tc>
          <w:tcPr>
            <w:tcW w:w="139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每周</w:t>
            </w:r>
          </w:p>
        </w:tc>
      </w:tr>
      <w:tr>
        <w:tblPrEx>
          <w:tblW w:w="9489" w:type="dxa"/>
          <w:jc w:val="center"/>
          <w:tblCellMar>
            <w:top w:w="0" w:type="dxa"/>
            <w:left w:w="108" w:type="dxa"/>
            <w:bottom w:w="0" w:type="dxa"/>
            <w:right w:w="108" w:type="dxa"/>
          </w:tblCellMar>
        </w:tblPrEx>
        <w:trPr>
          <w:trHeight w:val="90"/>
          <w:jc w:val="center"/>
        </w:trPr>
        <w:tc>
          <w:tcPr>
            <w:tcW w:w="1721"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both"/>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出院工作</w:t>
            </w:r>
          </w:p>
        </w:tc>
        <w:tc>
          <w:tcPr>
            <w:tcW w:w="637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协助患者整理个人用物，协助送行动不便的患者出院。</w:t>
            </w:r>
          </w:p>
        </w:tc>
        <w:tc>
          <w:tcPr>
            <w:tcW w:w="139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整理齐全</w:t>
            </w:r>
          </w:p>
        </w:tc>
      </w:tr>
      <w:tr>
        <w:tblPrEx>
          <w:tblW w:w="9489" w:type="dxa"/>
          <w:jc w:val="center"/>
          <w:tblCellMar>
            <w:top w:w="0" w:type="dxa"/>
            <w:left w:w="108" w:type="dxa"/>
            <w:bottom w:w="0" w:type="dxa"/>
            <w:right w:w="108" w:type="dxa"/>
          </w:tblCellMar>
        </w:tblPrEx>
        <w:trPr>
          <w:trHeight w:val="90"/>
          <w:jc w:val="center"/>
        </w:trPr>
        <w:tc>
          <w:tcPr>
            <w:tcW w:w="1721" w:type="dxa"/>
            <w:vMerge/>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p>
        </w:tc>
        <w:tc>
          <w:tcPr>
            <w:tcW w:w="637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收拾床单、被套、枕套、病号服</w:t>
            </w:r>
          </w:p>
        </w:tc>
        <w:tc>
          <w:tcPr>
            <w:tcW w:w="139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收拾整齐</w:t>
            </w:r>
          </w:p>
        </w:tc>
      </w:tr>
      <w:tr>
        <w:tblPrEx>
          <w:tblW w:w="9489" w:type="dxa"/>
          <w:jc w:val="center"/>
          <w:tblCellMar>
            <w:top w:w="0" w:type="dxa"/>
            <w:left w:w="108" w:type="dxa"/>
            <w:bottom w:w="0" w:type="dxa"/>
            <w:right w:w="108" w:type="dxa"/>
          </w:tblCellMar>
        </w:tblPrEx>
        <w:trPr>
          <w:trHeight w:val="90"/>
          <w:jc w:val="center"/>
        </w:trPr>
        <w:tc>
          <w:tcPr>
            <w:tcW w:w="1721" w:type="dxa"/>
            <w:vMerge/>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p>
        </w:tc>
        <w:tc>
          <w:tcPr>
            <w:tcW w:w="637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做好出院废弃物品分类</w:t>
            </w:r>
          </w:p>
        </w:tc>
        <w:tc>
          <w:tcPr>
            <w:tcW w:w="139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分类准确</w:t>
            </w:r>
          </w:p>
        </w:tc>
      </w:tr>
      <w:tr>
        <w:tblPrEx>
          <w:tblW w:w="9489" w:type="dxa"/>
          <w:jc w:val="center"/>
          <w:tblCellMar>
            <w:top w:w="0" w:type="dxa"/>
            <w:left w:w="108" w:type="dxa"/>
            <w:bottom w:w="0" w:type="dxa"/>
            <w:right w:w="108" w:type="dxa"/>
          </w:tblCellMar>
        </w:tblPrEx>
        <w:trPr>
          <w:trHeight w:val="90"/>
          <w:jc w:val="center"/>
        </w:trPr>
        <w:tc>
          <w:tcPr>
            <w:tcW w:w="1721" w:type="dxa"/>
            <w:vMerge/>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p>
        </w:tc>
        <w:tc>
          <w:tcPr>
            <w:tcW w:w="637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开窗、通风</w:t>
            </w:r>
          </w:p>
        </w:tc>
        <w:tc>
          <w:tcPr>
            <w:tcW w:w="1391" w:type="dxa"/>
            <w:noWrap w:val="0"/>
            <w:vAlign w:val="center"/>
          </w:tcPr>
          <w:p>
            <w:pPr>
              <w:keepNext w:val="0"/>
              <w:keepLines w:val="0"/>
              <w:pageBreakBefore w:val="0"/>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做到</w:t>
            </w:r>
          </w:p>
        </w:tc>
      </w:tr>
    </w:tbl>
    <w:p>
      <w:pPr>
        <w:keepNext w:val="0"/>
        <w:keepLines w:val="0"/>
        <w:pageBreakBefore w:val="0"/>
        <w:widowControl w:val="0"/>
        <w:numPr>
          <w:ilvl w:val="0"/>
          <w:numId w:val="0"/>
        </w:numPr>
        <w:tabs>
          <w:tab w:val="left" w:pos="424"/>
        </w:tabs>
        <w:kinsoku/>
        <w:wordWrap/>
        <w:overflowPunct/>
        <w:topLinePunct w:val="0"/>
        <w:autoSpaceDE/>
        <w:autoSpaceDN/>
        <w:bidi w:val="0"/>
        <w:adjustRightInd/>
        <w:snapToGrid w:val="0"/>
        <w:spacing w:line="240" w:lineRule="auto"/>
        <w:ind w:firstLine="420" w:firstLineChars="200"/>
        <w:contextualSpacing/>
        <w:jc w:val="left"/>
        <w:textAlignment w:val="auto"/>
        <w:rPr>
          <w:rFonts w:ascii="宋体" w:hAnsi="宋体" w:cs="宋体" w:hint="eastAsia"/>
          <w:b/>
          <w:bCs/>
          <w:sz w:val="21"/>
          <w:szCs w:val="21"/>
          <w:highlight w:val="none"/>
          <w:lang w:val="en-US" w:eastAsia="zh-CN"/>
        </w:rPr>
      </w:pPr>
      <w:r>
        <w:rPr>
          <w:rFonts w:ascii="宋体" w:eastAsia="宋体" w:hAnsi="宋体" w:cs="宋体" w:hint="eastAsia"/>
          <w:b/>
          <w:bCs/>
          <w:kern w:val="2"/>
          <w:sz w:val="21"/>
          <w:szCs w:val="21"/>
          <w:highlight w:val="none"/>
          <w:lang w:val="en-US" w:eastAsia="zh-CN" w:bidi="ar-SA"/>
        </w:rPr>
        <w:t>（六）</w:t>
      </w:r>
      <w:r>
        <w:rPr>
          <w:rFonts w:ascii="宋体" w:eastAsia="宋体" w:hAnsi="宋体" w:cs="宋体" w:hint="eastAsia"/>
          <w:b/>
          <w:bCs/>
          <w:sz w:val="21"/>
          <w:szCs w:val="21"/>
          <w:highlight w:val="none"/>
          <w:lang w:eastAsia="zh-CN"/>
        </w:rPr>
        <w:t>服务内容</w:t>
      </w:r>
      <w:r>
        <w:rPr>
          <w:rFonts w:ascii="宋体" w:hAnsi="宋体" w:cs="宋体" w:hint="eastAsia"/>
          <w:b/>
          <w:bCs/>
          <w:sz w:val="21"/>
          <w:szCs w:val="21"/>
          <w:highlight w:val="none"/>
          <w:lang w:val="en-US" w:eastAsia="zh-CN"/>
        </w:rPr>
        <w:t>及要求</w:t>
      </w:r>
    </w:p>
    <w:p>
      <w:pPr>
        <w:keepNext w:val="0"/>
        <w:keepLines w:val="0"/>
        <w:widowControl/>
        <w:suppressLineNumbers w:val="0"/>
        <w:spacing w:line="240" w:lineRule="auto"/>
        <w:ind w:firstLine="420" w:firstLineChars="200"/>
        <w:jc w:val="left"/>
        <w:rPr>
          <w:rFonts w:ascii="宋体" w:eastAsia="宋体" w:hAnsi="宋体" w:cs="宋体" w:hint="eastAsia"/>
          <w:color w:val="000000"/>
          <w:kern w:val="0"/>
          <w:sz w:val="20"/>
          <w:szCs w:val="20"/>
          <w:highlight w:val="none"/>
          <w:lang w:val="en-US" w:eastAsia="zh-CN"/>
        </w:rPr>
      </w:pPr>
      <w:r>
        <w:rPr>
          <w:rFonts w:ascii="宋体" w:eastAsia="宋体" w:hAnsi="宋体" w:cs="宋体" w:hint="eastAsia"/>
          <w:color w:val="000000"/>
          <w:kern w:val="0"/>
          <w:sz w:val="21"/>
          <w:szCs w:val="21"/>
          <w:highlight w:val="none"/>
          <w:lang w:val="en-US" w:eastAsia="zh-CN"/>
        </w:rPr>
        <w:t>第三方陪护服务机构应按照《医疗护理员国家职业标准》（GZB4-14-01-02）及上级部门的通知，在医院特级护理、I级护理服务的基础上为患者提供一对三、一对二、一对一的免陪照护服务，服务标准应满足《医疗护理员国家职业标准》（GZB4-14-01-02）中“四级/中级工”及以上的技能要求，具体内容包括但不限于：</w:t>
      </w:r>
    </w:p>
    <w:tbl>
      <w:tblPr>
        <w:tblStyle w:val="TableNormal0"/>
        <w:tblW w:w="8862" w:type="dxa"/>
        <w:jc w:val="center"/>
        <w:tblBorders>
          <w:top w:val="single" w:sz="6" w:space="0" w:color="231F20"/>
          <w:left w:val="single" w:sz="6" w:space="0" w:color="231F20"/>
          <w:bottom w:val="single" w:sz="6" w:space="0" w:color="231F20"/>
          <w:right w:val="single" w:sz="6" w:space="0" w:color="231F20"/>
          <w:insideH w:val="single" w:sz="4" w:space="0" w:color="231F20"/>
          <w:insideV w:val="single" w:sz="4" w:space="0" w:color="231F20"/>
        </w:tblBorders>
        <w:tblLayout w:type="fixed"/>
        <w:tblCellMar>
          <w:top w:w="0" w:type="dxa"/>
          <w:left w:w="0" w:type="dxa"/>
          <w:bottom w:w="0" w:type="dxa"/>
          <w:right w:w="0" w:type="dxa"/>
        </w:tblCellMar>
      </w:tblPr>
      <w:tblGrid>
        <w:gridCol w:w="1260"/>
        <w:gridCol w:w="1516"/>
        <w:gridCol w:w="6086"/>
      </w:tblGrid>
      <w:tr>
        <w:tblPrEx>
          <w:tblW w:w="8862" w:type="dxa"/>
          <w:jc w:val="center"/>
          <w:tblBorders>
            <w:top w:val="single" w:sz="6" w:space="0" w:color="231F20"/>
            <w:left w:val="single" w:sz="6" w:space="0" w:color="231F20"/>
            <w:bottom w:val="single" w:sz="6" w:space="0" w:color="231F20"/>
            <w:right w:val="single" w:sz="6" w:space="0" w:color="231F20"/>
            <w:insideH w:val="single" w:sz="4" w:space="0" w:color="231F20"/>
            <w:insideV w:val="single" w:sz="4" w:space="0" w:color="231F20"/>
          </w:tblBorders>
          <w:tblLayout w:type="fixed"/>
          <w:tblCellMar>
            <w:top w:w="0" w:type="dxa"/>
            <w:left w:w="0" w:type="dxa"/>
            <w:bottom w:w="0" w:type="dxa"/>
            <w:right w:w="0" w:type="dxa"/>
          </w:tblCellMar>
        </w:tblPrEx>
        <w:trPr>
          <w:trHeight w:val="247"/>
          <w:jc w:val="center"/>
        </w:trPr>
        <w:tc>
          <w:tcPr>
            <w:tcW w:w="1260" w:type="dxa"/>
            <w:tcBorders>
              <w:tl2br w:val="nil"/>
              <w:tr2bl w:val="nil"/>
            </w:tcBorders>
            <w:vAlign w:val="center"/>
          </w:tcPr>
          <w:p>
            <w:pPr>
              <w:spacing w:before="0" w:line="240" w:lineRule="auto"/>
              <w:ind w:left="0" w:right="0"/>
              <w:jc w:val="center"/>
              <w:rPr>
                <w:rFonts w:ascii="宋体" w:eastAsia="宋体" w:hAnsi="宋体" w:cs="宋体" w:hint="eastAsia"/>
                <w:b/>
                <w:bCs/>
                <w:sz w:val="21"/>
                <w:szCs w:val="21"/>
                <w:highlight w:val="none"/>
                <w:lang w:val="en-US" w:eastAsia="zh-CN"/>
              </w:rPr>
            </w:pPr>
            <w:r>
              <w:rPr>
                <w:rFonts w:ascii="宋体" w:eastAsia="宋体" w:hAnsi="宋体" w:cs="宋体" w:hint="eastAsia"/>
                <w:b/>
                <w:bCs/>
                <w:sz w:val="21"/>
                <w:szCs w:val="21"/>
                <w:highlight w:val="none"/>
                <w:lang w:val="en-US" w:eastAsia="zh-CN"/>
              </w:rPr>
              <w:t>类别</w:t>
            </w:r>
          </w:p>
        </w:tc>
        <w:tc>
          <w:tcPr>
            <w:tcW w:w="1516" w:type="dxa"/>
            <w:tcBorders>
              <w:tl2br w:val="nil"/>
              <w:tr2bl w:val="nil"/>
            </w:tcBorders>
            <w:vAlign w:val="center"/>
          </w:tcPr>
          <w:p>
            <w:pPr>
              <w:spacing w:before="0" w:line="240" w:lineRule="auto"/>
              <w:ind w:left="0" w:right="0"/>
              <w:jc w:val="center"/>
              <w:rPr>
                <w:rFonts w:ascii="宋体" w:eastAsia="宋体" w:hAnsi="宋体" w:cs="宋体" w:hint="eastAsia"/>
                <w:b/>
                <w:bCs/>
                <w:sz w:val="21"/>
                <w:szCs w:val="21"/>
                <w:highlight w:val="none"/>
                <w:lang w:val="en-US" w:eastAsia="zh-CN"/>
              </w:rPr>
            </w:pPr>
            <w:r>
              <w:rPr>
                <w:rFonts w:ascii="宋体" w:eastAsia="宋体" w:hAnsi="宋体" w:cs="宋体" w:hint="eastAsia"/>
                <w:b/>
                <w:bCs/>
                <w:spacing w:val="0"/>
                <w:sz w:val="21"/>
                <w:szCs w:val="21"/>
                <w:highlight w:val="none"/>
                <w:lang w:val="en-US" w:eastAsia="zh-CN"/>
              </w:rPr>
              <w:t>服务内容</w:t>
            </w:r>
          </w:p>
        </w:tc>
        <w:tc>
          <w:tcPr>
            <w:tcW w:w="6086" w:type="dxa"/>
            <w:tcBorders>
              <w:tl2br w:val="nil"/>
              <w:tr2bl w:val="nil"/>
            </w:tcBorders>
            <w:vAlign w:val="center"/>
          </w:tcPr>
          <w:p>
            <w:pPr>
              <w:spacing w:before="0" w:line="240" w:lineRule="auto"/>
              <w:ind w:left="0" w:right="0"/>
              <w:jc w:val="center"/>
              <w:rPr>
                <w:rFonts w:ascii="宋体" w:eastAsia="宋体" w:hAnsi="宋体" w:cs="宋体" w:hint="eastAsia"/>
                <w:b/>
                <w:bCs/>
                <w:sz w:val="21"/>
                <w:szCs w:val="21"/>
                <w:highlight w:val="none"/>
              </w:rPr>
            </w:pPr>
            <w:r>
              <w:rPr>
                <w:rFonts w:ascii="宋体" w:eastAsia="宋体" w:hAnsi="宋体" w:cs="宋体" w:hint="eastAsia"/>
                <w:b/>
                <w:bCs/>
                <w:spacing w:val="0"/>
                <w:sz w:val="21"/>
                <w:szCs w:val="21"/>
                <w:highlight w:val="none"/>
                <w:lang w:val="en-US" w:eastAsia="zh-CN"/>
              </w:rPr>
              <w:t>服务</w:t>
            </w:r>
            <w:r>
              <w:rPr>
                <w:rFonts w:ascii="宋体" w:eastAsia="宋体" w:hAnsi="宋体" w:cs="宋体" w:hint="eastAsia"/>
                <w:b/>
                <w:bCs/>
                <w:spacing w:val="0"/>
                <w:sz w:val="21"/>
                <w:szCs w:val="21"/>
                <w:highlight w:val="none"/>
              </w:rPr>
              <w:t>要求</w:t>
            </w:r>
          </w:p>
        </w:tc>
      </w:tr>
      <w:tr>
        <w:tblPrEx>
          <w:tblW w:w="8862" w:type="dxa"/>
          <w:jc w:val="center"/>
          <w:tblLayout w:type="fixed"/>
          <w:tblCellMar>
            <w:top w:w="0" w:type="dxa"/>
            <w:left w:w="0" w:type="dxa"/>
            <w:bottom w:w="0" w:type="dxa"/>
            <w:right w:w="0" w:type="dxa"/>
          </w:tblCellMar>
        </w:tblPrEx>
        <w:trPr>
          <w:trHeight w:val="1808"/>
          <w:jc w:val="center"/>
        </w:trPr>
        <w:tc>
          <w:tcPr>
            <w:tcW w:w="1260" w:type="dxa"/>
            <w:vMerge w:val="restart"/>
            <w:tcBorders>
              <w:tl2br w:val="nil"/>
              <w:tr2bl w:val="nil"/>
            </w:tcBorders>
            <w:vAlign w:val="center"/>
          </w:tcPr>
          <w:p>
            <w:pPr>
              <w:spacing w:before="0" w:line="240" w:lineRule="auto"/>
              <w:ind w:left="0"/>
              <w:jc w:val="center"/>
              <w:rPr>
                <w:rFonts w:ascii="宋体" w:eastAsia="宋体" w:hAnsi="宋体" w:cs="宋体" w:hint="eastAsia"/>
                <w:sz w:val="21"/>
                <w:szCs w:val="21"/>
                <w:highlight w:val="none"/>
              </w:rPr>
            </w:pPr>
          </w:p>
          <w:p>
            <w:pPr>
              <w:spacing w:before="0" w:line="240" w:lineRule="auto"/>
              <w:ind w:left="0"/>
              <w:jc w:val="center"/>
              <w:rPr>
                <w:rFonts w:ascii="宋体" w:eastAsia="宋体" w:hAnsi="宋体" w:cs="宋体" w:hint="eastAsia"/>
                <w:sz w:val="21"/>
                <w:szCs w:val="21"/>
                <w:highlight w:val="none"/>
              </w:rPr>
            </w:pPr>
          </w:p>
          <w:p>
            <w:pPr>
              <w:spacing w:before="0" w:line="240" w:lineRule="auto"/>
              <w:ind w:left="0"/>
              <w:jc w:val="center"/>
              <w:rPr>
                <w:rFonts w:ascii="宋体" w:eastAsia="宋体" w:hAnsi="宋体" w:cs="宋体" w:hint="eastAsia"/>
                <w:sz w:val="21"/>
                <w:szCs w:val="21"/>
                <w:highlight w:val="none"/>
              </w:rPr>
            </w:pPr>
          </w:p>
          <w:p>
            <w:pPr>
              <w:spacing w:before="0" w:line="240" w:lineRule="auto"/>
              <w:ind w:left="0"/>
              <w:jc w:val="center"/>
              <w:rPr>
                <w:rFonts w:ascii="宋体" w:eastAsia="宋体" w:hAnsi="宋体" w:cs="宋体" w:hint="eastAsia"/>
                <w:sz w:val="21"/>
                <w:szCs w:val="21"/>
                <w:highlight w:val="none"/>
              </w:rPr>
            </w:pPr>
          </w:p>
          <w:p>
            <w:pPr>
              <w:spacing w:before="0" w:line="240" w:lineRule="auto"/>
              <w:ind w:left="0" w:right="0"/>
              <w:jc w:val="center"/>
              <w:rPr>
                <w:rFonts w:ascii="宋体" w:eastAsia="宋体" w:hAnsi="宋体" w:cs="宋体" w:hint="eastAsia"/>
                <w:spacing w:val="0"/>
                <w:sz w:val="21"/>
                <w:szCs w:val="21"/>
                <w:highlight w:val="none"/>
              </w:rPr>
            </w:pPr>
            <w:r>
              <w:rPr>
                <w:rFonts w:ascii="宋体" w:eastAsia="宋体" w:hAnsi="宋体" w:cs="宋体" w:hint="eastAsia"/>
                <w:spacing w:val="0"/>
                <w:sz w:val="21"/>
                <w:szCs w:val="21"/>
                <w:highlight w:val="none"/>
              </w:rPr>
              <w:t>1.</w:t>
            </w:r>
            <w:r>
              <w:rPr>
                <w:rFonts w:ascii="宋体" w:eastAsia="宋体" w:hAnsi="宋体" w:cs="宋体" w:hint="eastAsia"/>
                <w:spacing w:val="0"/>
                <w:position w:val="0"/>
                <w:sz w:val="21"/>
                <w:szCs w:val="21"/>
                <w:highlight w:val="none"/>
              </w:rPr>
              <w:t>生</w:t>
            </w:r>
            <w:r>
              <w:rPr>
                <w:rFonts w:ascii="宋体" w:eastAsia="宋体" w:hAnsi="宋体" w:cs="宋体" w:hint="eastAsia"/>
                <w:spacing w:val="0"/>
                <w:sz w:val="21"/>
                <w:szCs w:val="21"/>
                <w:highlight w:val="none"/>
              </w:rPr>
              <w:t>活照护</w:t>
            </w:r>
          </w:p>
          <w:p>
            <w:pPr>
              <w:spacing w:before="0" w:line="240" w:lineRule="auto"/>
              <w:jc w:val="center"/>
              <w:rPr>
                <w:rFonts w:ascii="宋体" w:eastAsia="宋体" w:hAnsi="宋体" w:cs="宋体" w:hint="eastAsia"/>
                <w:sz w:val="21"/>
                <w:szCs w:val="21"/>
                <w:highlight w:val="none"/>
              </w:rPr>
            </w:pPr>
          </w:p>
          <w:p>
            <w:pPr>
              <w:spacing w:before="0" w:line="240" w:lineRule="auto"/>
              <w:jc w:val="center"/>
              <w:rPr>
                <w:rFonts w:ascii="宋体" w:eastAsia="宋体" w:hAnsi="宋体" w:cs="宋体" w:hint="eastAsia"/>
                <w:sz w:val="21"/>
                <w:szCs w:val="21"/>
                <w:highlight w:val="none"/>
              </w:rPr>
            </w:pPr>
          </w:p>
          <w:p>
            <w:pPr>
              <w:spacing w:before="0" w:line="240" w:lineRule="auto"/>
              <w:jc w:val="center"/>
              <w:rPr>
                <w:rFonts w:ascii="宋体" w:eastAsia="宋体" w:hAnsi="宋体" w:cs="宋体" w:hint="eastAsia"/>
                <w:sz w:val="21"/>
                <w:szCs w:val="21"/>
                <w:highlight w:val="none"/>
              </w:rPr>
            </w:pPr>
          </w:p>
          <w:p>
            <w:pPr>
              <w:spacing w:before="0" w:line="240" w:lineRule="auto"/>
              <w:ind w:left="0" w:right="0"/>
              <w:jc w:val="center"/>
              <w:rPr>
                <w:rFonts w:ascii="宋体" w:eastAsia="宋体" w:hAnsi="宋体" w:cs="宋体" w:hint="eastAsia"/>
                <w:sz w:val="21"/>
                <w:szCs w:val="21"/>
                <w:highlight w:val="none"/>
              </w:rPr>
            </w:pPr>
          </w:p>
        </w:tc>
        <w:tc>
          <w:tcPr>
            <w:tcW w:w="1516" w:type="dxa"/>
            <w:tcBorders>
              <w:tl2br w:val="nil"/>
              <w:tr2bl w:val="nil"/>
            </w:tcBorders>
            <w:vAlign w:val="center"/>
          </w:tcPr>
          <w:p>
            <w:pPr>
              <w:spacing w:before="0" w:line="240" w:lineRule="auto"/>
              <w:ind w:left="0" w:right="0" w:firstLine="0"/>
              <w:jc w:val="center"/>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1.1清洁照护</w:t>
            </w:r>
          </w:p>
        </w:tc>
        <w:tc>
          <w:tcPr>
            <w:tcW w:w="6086" w:type="dxa"/>
            <w:tcBorders>
              <w:tl2br w:val="nil"/>
              <w:tr2bl w:val="nil"/>
            </w:tcBorders>
            <w:vAlign w:val="center"/>
          </w:tcPr>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1.1.1能铺备用床、暂空床、麻醉床</w:t>
            </w:r>
          </w:p>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1.1.2能为照护对象清洁口腔</w:t>
            </w:r>
          </w:p>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1.1.3能为照护对象摘取、佩戴义齿</w:t>
            </w:r>
          </w:p>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1.1.4能为照护对象在床上梳头、洗头</w:t>
            </w:r>
          </w:p>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1.1.5能为部分自理的照护对象在床上擦浴</w:t>
            </w:r>
          </w:p>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1.1.6能为照护对象清洁会阴</w:t>
            </w:r>
          </w:p>
        </w:tc>
      </w:tr>
      <w:tr>
        <w:tblPrEx>
          <w:tblW w:w="8862" w:type="dxa"/>
          <w:jc w:val="center"/>
          <w:tblLayout w:type="fixed"/>
          <w:tblCellMar>
            <w:top w:w="0" w:type="dxa"/>
            <w:left w:w="0" w:type="dxa"/>
            <w:bottom w:w="0" w:type="dxa"/>
            <w:right w:w="0" w:type="dxa"/>
          </w:tblCellMar>
        </w:tblPrEx>
        <w:trPr>
          <w:trHeight w:val="90"/>
          <w:jc w:val="center"/>
        </w:trPr>
        <w:tc>
          <w:tcPr>
            <w:tcW w:w="1260" w:type="dxa"/>
            <w:vMerge/>
            <w:tcBorders>
              <w:tl2br w:val="nil"/>
              <w:tr2bl w:val="nil"/>
            </w:tcBorders>
            <w:vAlign w:val="center"/>
          </w:tcPr>
          <w:p>
            <w:pPr>
              <w:jc w:val="center"/>
              <w:rPr>
                <w:rFonts w:ascii="宋体" w:eastAsia="宋体" w:hAnsi="宋体" w:cs="宋体" w:hint="eastAsia"/>
                <w:sz w:val="21"/>
                <w:szCs w:val="21"/>
                <w:highlight w:val="none"/>
              </w:rPr>
            </w:pPr>
          </w:p>
        </w:tc>
        <w:tc>
          <w:tcPr>
            <w:tcW w:w="1516" w:type="dxa"/>
            <w:tcBorders>
              <w:tl2br w:val="nil"/>
              <w:tr2bl w:val="nil"/>
            </w:tcBorders>
            <w:vAlign w:val="center"/>
          </w:tcPr>
          <w:p>
            <w:pPr>
              <w:spacing w:before="0" w:line="240" w:lineRule="auto"/>
              <w:ind w:left="0" w:right="0" w:firstLine="0"/>
              <w:jc w:val="center"/>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1.2饮食照护</w:t>
            </w:r>
          </w:p>
        </w:tc>
        <w:tc>
          <w:tcPr>
            <w:tcW w:w="6086" w:type="dxa"/>
            <w:tcBorders>
              <w:tl2br w:val="nil"/>
              <w:tr2bl w:val="nil"/>
            </w:tcBorders>
            <w:vAlign w:val="center"/>
          </w:tcPr>
          <w:p>
            <w:pPr>
              <w:spacing w:before="0" w:line="240" w:lineRule="auto"/>
              <w:ind w:left="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能为照护对象喂食、喂水</w:t>
            </w:r>
          </w:p>
        </w:tc>
      </w:tr>
      <w:tr>
        <w:tblPrEx>
          <w:tblW w:w="8862" w:type="dxa"/>
          <w:jc w:val="center"/>
          <w:tblLayout w:type="fixed"/>
          <w:tblCellMar>
            <w:top w:w="0" w:type="dxa"/>
            <w:left w:w="0" w:type="dxa"/>
            <w:bottom w:w="0" w:type="dxa"/>
            <w:right w:w="0" w:type="dxa"/>
          </w:tblCellMar>
        </w:tblPrEx>
        <w:trPr>
          <w:trHeight w:val="617"/>
          <w:jc w:val="center"/>
        </w:trPr>
        <w:tc>
          <w:tcPr>
            <w:tcW w:w="1260" w:type="dxa"/>
            <w:vMerge/>
            <w:tcBorders>
              <w:tl2br w:val="nil"/>
              <w:tr2bl w:val="nil"/>
            </w:tcBorders>
            <w:vAlign w:val="center"/>
          </w:tcPr>
          <w:p>
            <w:pPr>
              <w:spacing w:before="0" w:line="240" w:lineRule="auto"/>
              <w:ind w:left="0" w:right="0"/>
              <w:jc w:val="center"/>
              <w:rPr>
                <w:rFonts w:ascii="宋体" w:eastAsia="宋体" w:hAnsi="宋体" w:cs="宋体" w:hint="eastAsia"/>
                <w:sz w:val="21"/>
                <w:szCs w:val="21"/>
                <w:highlight w:val="none"/>
              </w:rPr>
            </w:pPr>
          </w:p>
        </w:tc>
        <w:tc>
          <w:tcPr>
            <w:tcW w:w="1516" w:type="dxa"/>
            <w:tcBorders>
              <w:tl2br w:val="nil"/>
              <w:tr2bl w:val="nil"/>
            </w:tcBorders>
            <w:vAlign w:val="center"/>
          </w:tcPr>
          <w:p>
            <w:pPr>
              <w:spacing w:before="0" w:line="240" w:lineRule="auto"/>
              <w:ind w:left="0" w:right="0" w:firstLine="0"/>
              <w:jc w:val="center"/>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1.3睡眠照护</w:t>
            </w:r>
          </w:p>
        </w:tc>
        <w:tc>
          <w:tcPr>
            <w:tcW w:w="6086" w:type="dxa"/>
            <w:tcBorders>
              <w:tl2br w:val="nil"/>
              <w:tr2bl w:val="nil"/>
            </w:tcBorders>
            <w:vAlign w:val="center"/>
          </w:tcPr>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1.3.1能根据照护对象病情的需要安置特殊睡眠体位</w:t>
            </w:r>
          </w:p>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1.3.2能按要求巡视照护对象的睡眠情况</w:t>
            </w:r>
          </w:p>
        </w:tc>
      </w:tr>
      <w:tr>
        <w:tblPrEx>
          <w:tblW w:w="8862" w:type="dxa"/>
          <w:jc w:val="center"/>
          <w:tblLayout w:type="fixed"/>
          <w:tblCellMar>
            <w:top w:w="0" w:type="dxa"/>
            <w:left w:w="0" w:type="dxa"/>
            <w:bottom w:w="0" w:type="dxa"/>
            <w:right w:w="0" w:type="dxa"/>
          </w:tblCellMar>
        </w:tblPrEx>
        <w:trPr>
          <w:trHeight w:val="1167"/>
          <w:jc w:val="center"/>
        </w:trPr>
        <w:tc>
          <w:tcPr>
            <w:tcW w:w="1260" w:type="dxa"/>
            <w:vMerge/>
            <w:tcBorders>
              <w:tl2br w:val="nil"/>
              <w:tr2bl w:val="nil"/>
            </w:tcBorders>
            <w:vAlign w:val="center"/>
          </w:tcPr>
          <w:p>
            <w:pPr>
              <w:jc w:val="center"/>
              <w:rPr>
                <w:rFonts w:ascii="宋体" w:eastAsia="宋体" w:hAnsi="宋体" w:cs="宋体" w:hint="eastAsia"/>
                <w:sz w:val="21"/>
                <w:szCs w:val="21"/>
                <w:highlight w:val="none"/>
              </w:rPr>
            </w:pPr>
          </w:p>
        </w:tc>
        <w:tc>
          <w:tcPr>
            <w:tcW w:w="1516" w:type="dxa"/>
            <w:tcBorders>
              <w:tl2br w:val="nil"/>
              <w:tr2bl w:val="nil"/>
            </w:tcBorders>
            <w:vAlign w:val="center"/>
          </w:tcPr>
          <w:p>
            <w:pPr>
              <w:spacing w:before="0" w:line="240" w:lineRule="auto"/>
              <w:ind w:left="0" w:right="0" w:firstLine="0"/>
              <w:jc w:val="center"/>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1.4排泄照护</w:t>
            </w:r>
          </w:p>
        </w:tc>
        <w:tc>
          <w:tcPr>
            <w:tcW w:w="6086" w:type="dxa"/>
            <w:tcBorders>
              <w:tl2br w:val="nil"/>
              <w:tr2bl w:val="nil"/>
            </w:tcBorders>
            <w:vAlign w:val="center"/>
          </w:tcPr>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1.4.1能协助照护对象在床上使用便器</w:t>
            </w:r>
          </w:p>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1.4.2能按照排尿计划提醒尿失禁照护对象定时排尿</w:t>
            </w:r>
          </w:p>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1.4.3能为失禁照护对象更换保护垫、纸尿裤等用品</w:t>
            </w:r>
          </w:p>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1.4.4能发现尿管打折、牵拉、脱出等现象并报告</w:t>
            </w:r>
          </w:p>
        </w:tc>
      </w:tr>
      <w:tr>
        <w:tblPrEx>
          <w:tblW w:w="8862" w:type="dxa"/>
          <w:jc w:val="center"/>
          <w:tblLayout w:type="fixed"/>
          <w:tblCellMar>
            <w:top w:w="0" w:type="dxa"/>
            <w:left w:w="0" w:type="dxa"/>
            <w:bottom w:w="0" w:type="dxa"/>
            <w:right w:w="0" w:type="dxa"/>
          </w:tblCellMar>
        </w:tblPrEx>
        <w:trPr>
          <w:trHeight w:val="1167"/>
          <w:jc w:val="center"/>
        </w:trPr>
        <w:tc>
          <w:tcPr>
            <w:tcW w:w="1260" w:type="dxa"/>
            <w:vMerge w:val="restart"/>
            <w:tcBorders>
              <w:tl2br w:val="nil"/>
              <w:tr2bl w:val="nil"/>
            </w:tcBorders>
            <w:vAlign w:val="center"/>
          </w:tcPr>
          <w:p>
            <w:pPr>
              <w:jc w:val="center"/>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2.</w:t>
            </w:r>
            <w:r>
              <w:rPr>
                <w:rFonts w:ascii="宋体" w:eastAsia="宋体" w:hAnsi="宋体" w:cs="宋体" w:hint="eastAsia"/>
                <w:spacing w:val="0"/>
                <w:position w:val="0"/>
                <w:sz w:val="21"/>
                <w:szCs w:val="21"/>
                <w:highlight w:val="none"/>
              </w:rPr>
              <w:t>基本</w:t>
            </w:r>
            <w:r>
              <w:rPr>
                <w:rFonts w:ascii="宋体" w:eastAsia="宋体" w:hAnsi="宋体" w:cs="宋体" w:hint="eastAsia"/>
                <w:spacing w:val="0"/>
                <w:sz w:val="21"/>
                <w:szCs w:val="21"/>
                <w:highlight w:val="none"/>
              </w:rPr>
              <w:t>照护</w:t>
            </w:r>
          </w:p>
        </w:tc>
        <w:tc>
          <w:tcPr>
            <w:tcW w:w="1516" w:type="dxa"/>
            <w:tcBorders>
              <w:tl2br w:val="nil"/>
              <w:tr2bl w:val="nil"/>
            </w:tcBorders>
            <w:vAlign w:val="center"/>
          </w:tcPr>
          <w:p>
            <w:pPr>
              <w:spacing w:line="240" w:lineRule="auto"/>
              <w:jc w:val="center"/>
              <w:rPr>
                <w:rFonts w:ascii="宋体" w:eastAsia="宋体" w:hAnsi="宋体" w:cs="宋体" w:hint="eastAsia"/>
                <w:sz w:val="21"/>
                <w:szCs w:val="21"/>
                <w:highlight w:val="none"/>
              </w:rPr>
            </w:pPr>
          </w:p>
          <w:p>
            <w:pPr>
              <w:spacing w:line="240" w:lineRule="auto"/>
              <w:jc w:val="center"/>
              <w:rPr>
                <w:rFonts w:ascii="宋体" w:eastAsia="宋体" w:hAnsi="宋体" w:cs="宋体" w:hint="eastAsia"/>
                <w:sz w:val="21"/>
                <w:szCs w:val="21"/>
                <w:highlight w:val="none"/>
              </w:rPr>
            </w:pPr>
          </w:p>
          <w:p>
            <w:pPr>
              <w:spacing w:before="0" w:line="240" w:lineRule="auto"/>
              <w:ind w:left="0" w:right="0" w:firstLine="0" w:leftChars="0" w:rightChars="0" w:firstLineChars="0"/>
              <w:jc w:val="center"/>
              <w:rPr>
                <w:rFonts w:ascii="宋体" w:eastAsia="宋体" w:hAnsi="宋体" w:cs="宋体" w:hint="eastAsia"/>
                <w:spacing w:val="0"/>
                <w:sz w:val="21"/>
                <w:szCs w:val="21"/>
                <w:highlight w:val="none"/>
              </w:rPr>
            </w:pPr>
            <w:r>
              <w:rPr>
                <w:rFonts w:ascii="宋体" w:eastAsia="宋体" w:hAnsi="宋体" w:cs="宋体" w:hint="eastAsia"/>
                <w:spacing w:val="0"/>
                <w:sz w:val="21"/>
                <w:szCs w:val="21"/>
                <w:highlight w:val="none"/>
              </w:rPr>
              <w:t>2.1观察与测量</w:t>
            </w:r>
          </w:p>
        </w:tc>
        <w:tc>
          <w:tcPr>
            <w:tcW w:w="6086" w:type="dxa"/>
            <w:tcBorders>
              <w:tl2br w:val="nil"/>
              <w:tr2bl w:val="nil"/>
            </w:tcBorders>
            <w:vAlign w:val="center"/>
          </w:tcPr>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2.1.1能发现呕吐的异常情况并报告</w:t>
            </w:r>
          </w:p>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2.1.2能发现皮肤、黏膜的异常表现并报告</w:t>
            </w:r>
          </w:p>
          <w:p>
            <w:pPr>
              <w:spacing w:before="0" w:line="240" w:lineRule="auto"/>
              <w:ind w:left="0"/>
              <w:jc w:val="left"/>
              <w:rPr>
                <w:rFonts w:ascii="宋体" w:eastAsia="宋体" w:hAnsi="宋体" w:cs="宋体" w:hint="eastAsia"/>
                <w:sz w:val="21"/>
                <w:szCs w:val="21"/>
                <w:highlight w:val="none"/>
              </w:rPr>
            </w:pPr>
            <w:r>
              <w:rPr>
                <w:rFonts w:ascii="宋体" w:eastAsia="宋体" w:hAnsi="宋体" w:cs="宋体" w:hint="eastAsia"/>
                <w:sz w:val="21"/>
                <w:szCs w:val="21"/>
                <w:highlight w:val="none"/>
              </w:rPr>
              <w:t>2.1.3能记录排泄量</w:t>
            </w:r>
          </w:p>
          <w:p>
            <w:pPr>
              <w:spacing w:before="0" w:line="240" w:lineRule="auto"/>
              <w:ind w:left="0" w:right="0" w:firstLine="0" w:leftChars="0" w:rightChars="0" w:firstLineChars="0"/>
              <w:jc w:val="left"/>
              <w:rPr>
                <w:rFonts w:ascii="宋体" w:eastAsia="宋体" w:hAnsi="宋体" w:cs="宋体" w:hint="eastAsia"/>
                <w:spacing w:val="0"/>
                <w:sz w:val="21"/>
                <w:szCs w:val="21"/>
                <w:highlight w:val="none"/>
              </w:rPr>
            </w:pPr>
            <w:r>
              <w:rPr>
                <w:rFonts w:ascii="宋体" w:eastAsia="宋体" w:hAnsi="宋体" w:cs="宋体" w:hint="eastAsia"/>
                <w:spacing w:val="0"/>
                <w:sz w:val="21"/>
                <w:szCs w:val="21"/>
                <w:highlight w:val="none"/>
              </w:rPr>
              <w:t>2.1.4能发现手术伤口敷料有渗出或污染的情况并报告</w:t>
            </w:r>
          </w:p>
        </w:tc>
      </w:tr>
      <w:tr>
        <w:tblPrEx>
          <w:tblW w:w="8862" w:type="dxa"/>
          <w:jc w:val="center"/>
          <w:tblLayout w:type="fixed"/>
          <w:tblCellMar>
            <w:top w:w="0" w:type="dxa"/>
            <w:left w:w="0" w:type="dxa"/>
            <w:bottom w:w="0" w:type="dxa"/>
            <w:right w:w="0" w:type="dxa"/>
          </w:tblCellMar>
        </w:tblPrEx>
        <w:trPr>
          <w:trHeight w:val="1167"/>
          <w:jc w:val="center"/>
        </w:trPr>
        <w:tc>
          <w:tcPr>
            <w:tcW w:w="1260" w:type="dxa"/>
            <w:vMerge/>
            <w:tcBorders>
              <w:tl2br w:val="nil"/>
              <w:tr2bl w:val="nil"/>
            </w:tcBorders>
            <w:vAlign w:val="center"/>
          </w:tcPr>
          <w:p>
            <w:pPr>
              <w:jc w:val="center"/>
              <w:rPr>
                <w:rFonts w:ascii="宋体" w:eastAsia="宋体" w:hAnsi="宋体" w:cs="宋体" w:hint="eastAsia"/>
                <w:sz w:val="21"/>
                <w:szCs w:val="21"/>
                <w:highlight w:val="none"/>
              </w:rPr>
            </w:pPr>
          </w:p>
        </w:tc>
        <w:tc>
          <w:tcPr>
            <w:tcW w:w="1516" w:type="dxa"/>
            <w:tcBorders>
              <w:tl2br w:val="nil"/>
              <w:tr2bl w:val="nil"/>
            </w:tcBorders>
            <w:vAlign w:val="center"/>
          </w:tcPr>
          <w:p>
            <w:pPr>
              <w:spacing w:before="0" w:line="240" w:lineRule="auto"/>
              <w:ind w:left="0" w:right="0" w:firstLine="0"/>
              <w:jc w:val="center"/>
              <w:rPr>
                <w:rFonts w:ascii="宋体" w:eastAsia="宋体" w:hAnsi="宋体" w:cs="宋体" w:hint="eastAsia"/>
                <w:spacing w:val="0"/>
                <w:sz w:val="21"/>
                <w:szCs w:val="21"/>
                <w:highlight w:val="none"/>
              </w:rPr>
            </w:pPr>
            <w:r>
              <w:rPr>
                <w:rFonts w:ascii="宋体" w:eastAsia="宋体" w:hAnsi="宋体" w:cs="宋体" w:hint="eastAsia"/>
                <w:spacing w:val="0"/>
                <w:sz w:val="21"/>
                <w:szCs w:val="21"/>
                <w:highlight w:val="none"/>
              </w:rPr>
              <w:t>2.2清洁消毒</w:t>
            </w:r>
          </w:p>
        </w:tc>
        <w:tc>
          <w:tcPr>
            <w:tcW w:w="6086" w:type="dxa"/>
            <w:tcBorders>
              <w:tl2br w:val="nil"/>
              <w:tr2bl w:val="nil"/>
            </w:tcBorders>
            <w:vAlign w:val="center"/>
          </w:tcPr>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2.2.1能按要求使用浸泡法、熏蒸法等进行消毒</w:t>
            </w:r>
          </w:p>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2.2.2能按要求配制常用消毒液</w:t>
            </w:r>
          </w:p>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2.2.3能对床单位进行终末消毒</w:t>
            </w:r>
          </w:p>
          <w:p>
            <w:pPr>
              <w:spacing w:before="0" w:line="240" w:lineRule="auto"/>
              <w:ind w:left="0" w:right="0" w:firstLine="0"/>
              <w:jc w:val="left"/>
              <w:rPr>
                <w:rFonts w:ascii="宋体" w:eastAsia="宋体" w:hAnsi="宋体" w:cs="宋体" w:hint="eastAsia"/>
                <w:spacing w:val="0"/>
                <w:sz w:val="21"/>
                <w:szCs w:val="21"/>
                <w:highlight w:val="none"/>
              </w:rPr>
            </w:pPr>
            <w:r>
              <w:rPr>
                <w:rFonts w:ascii="宋体" w:eastAsia="宋体" w:hAnsi="宋体" w:cs="宋体" w:hint="eastAsia"/>
                <w:spacing w:val="0"/>
                <w:sz w:val="21"/>
                <w:szCs w:val="21"/>
                <w:highlight w:val="none"/>
              </w:rPr>
              <w:t>2.2.4能对复用的痰杯、便器等进行清洁、消毒</w:t>
            </w:r>
          </w:p>
        </w:tc>
      </w:tr>
      <w:tr>
        <w:tblPrEx>
          <w:tblW w:w="8862" w:type="dxa"/>
          <w:jc w:val="center"/>
          <w:tblLayout w:type="fixed"/>
          <w:tblCellMar>
            <w:top w:w="0" w:type="dxa"/>
            <w:left w:w="0" w:type="dxa"/>
            <w:bottom w:w="0" w:type="dxa"/>
            <w:right w:w="0" w:type="dxa"/>
          </w:tblCellMar>
        </w:tblPrEx>
        <w:trPr>
          <w:trHeight w:val="1167"/>
          <w:jc w:val="center"/>
        </w:trPr>
        <w:tc>
          <w:tcPr>
            <w:tcW w:w="1260" w:type="dxa"/>
            <w:vMerge/>
            <w:tcBorders>
              <w:tl2br w:val="nil"/>
              <w:tr2bl w:val="nil"/>
            </w:tcBorders>
            <w:vAlign w:val="center"/>
          </w:tcPr>
          <w:p>
            <w:pPr>
              <w:jc w:val="center"/>
              <w:rPr>
                <w:rFonts w:ascii="宋体" w:eastAsia="宋体" w:hAnsi="宋体" w:cs="宋体" w:hint="eastAsia"/>
                <w:sz w:val="21"/>
                <w:szCs w:val="21"/>
                <w:highlight w:val="none"/>
              </w:rPr>
            </w:pPr>
          </w:p>
        </w:tc>
        <w:tc>
          <w:tcPr>
            <w:tcW w:w="1516" w:type="dxa"/>
            <w:tcBorders>
              <w:tl2br w:val="nil"/>
              <w:tr2bl w:val="nil"/>
            </w:tcBorders>
            <w:vAlign w:val="center"/>
          </w:tcPr>
          <w:p>
            <w:pPr>
              <w:spacing w:before="0" w:line="240" w:lineRule="auto"/>
              <w:ind w:left="0" w:right="0" w:firstLine="0" w:leftChars="0" w:rightChars="0" w:firstLineChars="0"/>
              <w:jc w:val="center"/>
              <w:rPr>
                <w:rFonts w:ascii="宋体" w:eastAsia="宋体" w:hAnsi="宋体" w:cs="宋体" w:hint="eastAsia"/>
                <w:spacing w:val="0"/>
                <w:sz w:val="21"/>
                <w:szCs w:val="21"/>
                <w:highlight w:val="none"/>
              </w:rPr>
            </w:pPr>
            <w:r>
              <w:rPr>
                <w:rFonts w:ascii="宋体" w:eastAsia="宋体" w:hAnsi="宋体" w:cs="宋体" w:hint="eastAsia"/>
                <w:spacing w:val="0"/>
                <w:sz w:val="21"/>
                <w:szCs w:val="21"/>
                <w:highlight w:val="none"/>
              </w:rPr>
              <w:t>2.3预防压力性损伤</w:t>
            </w:r>
          </w:p>
        </w:tc>
        <w:tc>
          <w:tcPr>
            <w:tcW w:w="6086" w:type="dxa"/>
            <w:tcBorders>
              <w:tl2br w:val="nil"/>
              <w:tr2bl w:val="nil"/>
            </w:tcBorders>
            <w:vAlign w:val="center"/>
          </w:tcPr>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2.3.1能发现受压部位皮肤的异常情况并报告</w:t>
            </w:r>
          </w:p>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2.3.2能选择和使用支撑物,如楔形垫、软枕等,维持体位</w:t>
            </w:r>
          </w:p>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2.3.3能发现0级糖尿病足照护对象的皮肤异常表现</w:t>
            </w:r>
          </w:p>
          <w:p>
            <w:pPr>
              <w:spacing w:before="0" w:line="240" w:lineRule="auto"/>
              <w:ind w:left="0" w:right="0" w:firstLine="0" w:leftChars="0" w:rightChars="0" w:firstLineChars="0"/>
              <w:jc w:val="left"/>
              <w:rPr>
                <w:rFonts w:ascii="宋体" w:eastAsia="宋体" w:hAnsi="宋体" w:cs="宋体" w:hint="eastAsia"/>
                <w:spacing w:val="0"/>
                <w:sz w:val="21"/>
                <w:szCs w:val="21"/>
                <w:highlight w:val="none"/>
              </w:rPr>
            </w:pPr>
            <w:r>
              <w:rPr>
                <w:rFonts w:ascii="宋体" w:eastAsia="宋体" w:hAnsi="宋体" w:cs="宋体" w:hint="eastAsia"/>
                <w:spacing w:val="0"/>
                <w:sz w:val="21"/>
                <w:szCs w:val="21"/>
                <w:highlight w:val="none"/>
              </w:rPr>
              <w:t>2.3.4能保护照护对象水肿部位的皮肤</w:t>
            </w:r>
          </w:p>
        </w:tc>
      </w:tr>
      <w:tr>
        <w:tblPrEx>
          <w:tblW w:w="8862" w:type="dxa"/>
          <w:jc w:val="center"/>
          <w:tblLayout w:type="fixed"/>
          <w:tblCellMar>
            <w:top w:w="0" w:type="dxa"/>
            <w:left w:w="0" w:type="dxa"/>
            <w:bottom w:w="0" w:type="dxa"/>
            <w:right w:w="0" w:type="dxa"/>
          </w:tblCellMar>
        </w:tblPrEx>
        <w:trPr>
          <w:trHeight w:val="1167"/>
          <w:jc w:val="center"/>
        </w:trPr>
        <w:tc>
          <w:tcPr>
            <w:tcW w:w="1260" w:type="dxa"/>
            <w:vMerge/>
            <w:tcBorders>
              <w:tl2br w:val="nil"/>
              <w:tr2bl w:val="nil"/>
            </w:tcBorders>
            <w:vAlign w:val="center"/>
          </w:tcPr>
          <w:p>
            <w:pPr>
              <w:jc w:val="center"/>
              <w:rPr>
                <w:rFonts w:ascii="宋体" w:eastAsia="宋体" w:hAnsi="宋体" w:cs="宋体" w:hint="eastAsia"/>
                <w:sz w:val="21"/>
                <w:szCs w:val="21"/>
                <w:highlight w:val="none"/>
              </w:rPr>
            </w:pPr>
          </w:p>
        </w:tc>
        <w:tc>
          <w:tcPr>
            <w:tcW w:w="1516" w:type="dxa"/>
            <w:tcBorders>
              <w:tl2br w:val="nil"/>
              <w:tr2bl w:val="nil"/>
            </w:tcBorders>
            <w:vAlign w:val="center"/>
          </w:tcPr>
          <w:p>
            <w:pPr>
              <w:spacing w:before="0" w:line="240" w:lineRule="auto"/>
              <w:ind w:left="0" w:right="0" w:firstLine="0" w:leftChars="0" w:rightChars="0" w:firstLineChars="0"/>
              <w:jc w:val="center"/>
              <w:rPr>
                <w:rFonts w:ascii="宋体" w:eastAsia="宋体" w:hAnsi="宋体" w:cs="宋体" w:hint="eastAsia"/>
                <w:spacing w:val="0"/>
                <w:sz w:val="21"/>
                <w:szCs w:val="21"/>
                <w:highlight w:val="none"/>
              </w:rPr>
            </w:pPr>
            <w:r>
              <w:rPr>
                <w:rFonts w:ascii="宋体" w:eastAsia="宋体" w:hAnsi="宋体" w:cs="宋体" w:hint="eastAsia"/>
                <w:spacing w:val="0"/>
                <w:sz w:val="21"/>
                <w:szCs w:val="21"/>
                <w:highlight w:val="none"/>
              </w:rPr>
              <w:t>2.4移动照护</w:t>
            </w:r>
          </w:p>
        </w:tc>
        <w:tc>
          <w:tcPr>
            <w:tcW w:w="6086" w:type="dxa"/>
            <w:tcBorders>
              <w:tl2br w:val="nil"/>
              <w:tr2bl w:val="nil"/>
            </w:tcBorders>
            <w:vAlign w:val="center"/>
          </w:tcPr>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2.4.1能使用过床易等工具移动照护对象</w:t>
            </w:r>
          </w:p>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2.4.2能使用平车等工具运送照护对象</w:t>
            </w:r>
          </w:p>
          <w:p>
            <w:pPr>
              <w:spacing w:before="0" w:line="240" w:lineRule="auto"/>
              <w:ind w:left="0" w:right="0" w:firstLine="0" w:leftChars="0" w:rightChars="0" w:firstLineChars="0"/>
              <w:jc w:val="left"/>
              <w:rPr>
                <w:rFonts w:ascii="宋体" w:eastAsia="宋体" w:hAnsi="宋体" w:cs="宋体" w:hint="eastAsia"/>
                <w:spacing w:val="0"/>
                <w:sz w:val="21"/>
                <w:szCs w:val="21"/>
                <w:highlight w:val="none"/>
              </w:rPr>
            </w:pPr>
            <w:r>
              <w:rPr>
                <w:rFonts w:ascii="宋体" w:eastAsia="宋体" w:hAnsi="宋体" w:cs="宋体" w:hint="eastAsia"/>
                <w:spacing w:val="0"/>
                <w:sz w:val="21"/>
                <w:szCs w:val="21"/>
                <w:highlight w:val="none"/>
              </w:rPr>
              <w:t>2.4.3能发现照护对象在转运过程中的异常表现并报告</w:t>
            </w:r>
          </w:p>
        </w:tc>
      </w:tr>
      <w:tr>
        <w:tblPrEx>
          <w:tblW w:w="8862" w:type="dxa"/>
          <w:jc w:val="center"/>
          <w:tblLayout w:type="fixed"/>
          <w:tblCellMar>
            <w:top w:w="0" w:type="dxa"/>
            <w:left w:w="0" w:type="dxa"/>
            <w:bottom w:w="0" w:type="dxa"/>
            <w:right w:w="0" w:type="dxa"/>
          </w:tblCellMar>
        </w:tblPrEx>
        <w:trPr>
          <w:trHeight w:val="500"/>
          <w:jc w:val="center"/>
        </w:trPr>
        <w:tc>
          <w:tcPr>
            <w:tcW w:w="1260" w:type="dxa"/>
            <w:vMerge w:val="restart"/>
            <w:tcBorders>
              <w:tl2br w:val="nil"/>
              <w:tr2bl w:val="nil"/>
            </w:tcBorders>
            <w:vAlign w:val="center"/>
          </w:tcPr>
          <w:p>
            <w:pPr>
              <w:spacing w:before="0" w:line="240" w:lineRule="auto"/>
              <w:ind w:left="0"/>
              <w:jc w:val="center"/>
              <w:rPr>
                <w:rFonts w:ascii="宋体" w:eastAsia="宋体" w:hAnsi="宋体" w:cs="宋体" w:hint="eastAsia"/>
                <w:sz w:val="21"/>
                <w:szCs w:val="21"/>
                <w:highlight w:val="none"/>
              </w:rPr>
            </w:pPr>
          </w:p>
          <w:p>
            <w:pPr>
              <w:spacing w:before="0" w:line="240" w:lineRule="auto"/>
              <w:ind w:left="0"/>
              <w:jc w:val="center"/>
              <w:rPr>
                <w:rFonts w:ascii="宋体" w:eastAsia="宋体" w:hAnsi="宋体" w:cs="宋体" w:hint="eastAsia"/>
                <w:sz w:val="21"/>
                <w:szCs w:val="21"/>
                <w:highlight w:val="none"/>
              </w:rPr>
            </w:pPr>
          </w:p>
          <w:p>
            <w:pPr>
              <w:spacing w:before="0" w:line="240" w:lineRule="auto"/>
              <w:ind w:left="0" w:right="0" w:firstLine="0" w:firstLineChars="0"/>
              <w:jc w:val="center"/>
              <w:rPr>
                <w:rFonts w:ascii="宋体" w:eastAsia="宋体" w:hAnsi="宋体" w:cs="宋体" w:hint="eastAsia"/>
                <w:spacing w:val="0"/>
                <w:sz w:val="21"/>
                <w:szCs w:val="21"/>
                <w:highlight w:val="none"/>
              </w:rPr>
            </w:pPr>
          </w:p>
          <w:p>
            <w:pPr>
              <w:spacing w:before="0" w:line="240" w:lineRule="auto"/>
              <w:ind w:left="0" w:right="0" w:firstLine="0" w:firstLineChars="0"/>
              <w:jc w:val="center"/>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3.</w:t>
            </w:r>
            <w:r>
              <w:rPr>
                <w:rFonts w:ascii="宋体" w:eastAsia="宋体" w:hAnsi="宋体" w:cs="宋体" w:hint="eastAsia"/>
                <w:spacing w:val="0"/>
                <w:w w:val="100"/>
                <w:sz w:val="21"/>
                <w:szCs w:val="21"/>
                <w:highlight w:val="none"/>
              </w:rPr>
              <w:t>临</w:t>
            </w:r>
            <w:r>
              <w:rPr>
                <w:rFonts w:ascii="宋体" w:eastAsia="宋体" w:hAnsi="宋体" w:cs="宋体" w:hint="eastAsia"/>
                <w:spacing w:val="0"/>
                <w:sz w:val="21"/>
                <w:szCs w:val="21"/>
                <w:highlight w:val="none"/>
              </w:rPr>
              <w:t>床照护</w:t>
            </w:r>
          </w:p>
        </w:tc>
        <w:tc>
          <w:tcPr>
            <w:tcW w:w="1516" w:type="dxa"/>
            <w:tcBorders>
              <w:tl2br w:val="nil"/>
              <w:tr2bl w:val="nil"/>
            </w:tcBorders>
            <w:vAlign w:val="center"/>
          </w:tcPr>
          <w:p>
            <w:pPr>
              <w:spacing w:before="0" w:line="240" w:lineRule="auto"/>
              <w:ind w:left="0" w:right="0" w:firstLine="0"/>
              <w:jc w:val="center"/>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3.1冷热应用</w:t>
            </w:r>
          </w:p>
        </w:tc>
        <w:tc>
          <w:tcPr>
            <w:tcW w:w="6086" w:type="dxa"/>
            <w:tcBorders>
              <w:tl2br w:val="nil"/>
              <w:tr2bl w:val="nil"/>
            </w:tcBorders>
            <w:vAlign w:val="center"/>
          </w:tcPr>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3.1.1能协助照护对象进行温水坐浴</w:t>
            </w:r>
          </w:p>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3.1.2能按要求为照护对象进行局部软组织的冷、热敷</w:t>
            </w:r>
          </w:p>
        </w:tc>
      </w:tr>
      <w:tr>
        <w:tblPrEx>
          <w:tblW w:w="8862" w:type="dxa"/>
          <w:jc w:val="center"/>
          <w:tblLayout w:type="fixed"/>
          <w:tblCellMar>
            <w:top w:w="0" w:type="dxa"/>
            <w:left w:w="0" w:type="dxa"/>
            <w:bottom w:w="0" w:type="dxa"/>
            <w:right w:w="0" w:type="dxa"/>
          </w:tblCellMar>
        </w:tblPrEx>
        <w:trPr>
          <w:trHeight w:val="860"/>
          <w:jc w:val="center"/>
        </w:trPr>
        <w:tc>
          <w:tcPr>
            <w:tcW w:w="1260" w:type="dxa"/>
            <w:vMerge/>
            <w:tcBorders>
              <w:tl2br w:val="nil"/>
              <w:tr2bl w:val="nil"/>
            </w:tcBorders>
            <w:vAlign w:val="center"/>
          </w:tcPr>
          <w:p>
            <w:pPr>
              <w:jc w:val="center"/>
              <w:rPr>
                <w:rFonts w:ascii="宋体" w:eastAsia="宋体" w:hAnsi="宋体" w:cs="宋体" w:hint="eastAsia"/>
                <w:sz w:val="21"/>
                <w:szCs w:val="21"/>
                <w:highlight w:val="none"/>
              </w:rPr>
            </w:pPr>
          </w:p>
        </w:tc>
        <w:tc>
          <w:tcPr>
            <w:tcW w:w="1516" w:type="dxa"/>
            <w:tcBorders>
              <w:tl2br w:val="nil"/>
              <w:tr2bl w:val="nil"/>
            </w:tcBorders>
            <w:vAlign w:val="center"/>
          </w:tcPr>
          <w:p>
            <w:pPr>
              <w:spacing w:before="0" w:line="240" w:lineRule="auto"/>
              <w:ind w:left="0" w:right="0" w:firstLine="0"/>
              <w:jc w:val="center"/>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3.2标本采集</w:t>
            </w:r>
          </w:p>
        </w:tc>
        <w:tc>
          <w:tcPr>
            <w:tcW w:w="6086" w:type="dxa"/>
            <w:tcBorders>
              <w:tl2br w:val="nil"/>
              <w:tr2bl w:val="nil"/>
            </w:tcBorders>
            <w:vAlign w:val="center"/>
          </w:tcPr>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3.2.1能按要求为卧床照护对象留取尿常规标本并放到指定地点</w:t>
            </w:r>
          </w:p>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3.2.2能按要求为卧床照护对象留取粪便常规标本并放到指定地点</w:t>
            </w:r>
          </w:p>
        </w:tc>
      </w:tr>
      <w:tr>
        <w:tblPrEx>
          <w:tblW w:w="8862" w:type="dxa"/>
          <w:jc w:val="center"/>
          <w:tblLayout w:type="fixed"/>
          <w:tblCellMar>
            <w:top w:w="0" w:type="dxa"/>
            <w:left w:w="0" w:type="dxa"/>
            <w:bottom w:w="0" w:type="dxa"/>
            <w:right w:w="0" w:type="dxa"/>
          </w:tblCellMar>
        </w:tblPrEx>
        <w:trPr>
          <w:trHeight w:val="839"/>
          <w:jc w:val="center"/>
        </w:trPr>
        <w:tc>
          <w:tcPr>
            <w:tcW w:w="1260" w:type="dxa"/>
            <w:vMerge/>
            <w:tcBorders>
              <w:tl2br w:val="nil"/>
              <w:tr2bl w:val="nil"/>
            </w:tcBorders>
            <w:vAlign w:val="center"/>
          </w:tcPr>
          <w:p>
            <w:pPr>
              <w:jc w:val="center"/>
              <w:rPr>
                <w:rFonts w:ascii="宋体" w:eastAsia="宋体" w:hAnsi="宋体" w:cs="宋体" w:hint="eastAsia"/>
                <w:sz w:val="21"/>
                <w:szCs w:val="21"/>
                <w:highlight w:val="none"/>
              </w:rPr>
            </w:pPr>
          </w:p>
        </w:tc>
        <w:tc>
          <w:tcPr>
            <w:tcW w:w="1516" w:type="dxa"/>
            <w:tcBorders>
              <w:tl2br w:val="nil"/>
              <w:tr2bl w:val="nil"/>
            </w:tcBorders>
            <w:vAlign w:val="center"/>
          </w:tcPr>
          <w:p>
            <w:pPr>
              <w:spacing w:line="240" w:lineRule="auto"/>
              <w:jc w:val="center"/>
              <w:rPr>
                <w:rFonts w:ascii="宋体" w:eastAsia="宋体" w:hAnsi="宋体" w:cs="宋体" w:hint="eastAsia"/>
                <w:sz w:val="21"/>
                <w:szCs w:val="21"/>
                <w:highlight w:val="none"/>
              </w:rPr>
            </w:pPr>
          </w:p>
          <w:p>
            <w:pPr>
              <w:spacing w:before="0" w:line="240" w:lineRule="auto"/>
              <w:ind w:left="0" w:right="0" w:firstLine="0"/>
              <w:jc w:val="center"/>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3.3给药照护</w:t>
            </w:r>
          </w:p>
        </w:tc>
        <w:tc>
          <w:tcPr>
            <w:tcW w:w="6086" w:type="dxa"/>
            <w:tcBorders>
              <w:tl2br w:val="nil"/>
              <w:tr2bl w:val="nil"/>
            </w:tcBorders>
            <w:vAlign w:val="center"/>
          </w:tcPr>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3.3.1能在护士指导下为照护对象涂敷皮肤外用药</w:t>
            </w:r>
          </w:p>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3.3.2能按要求为居家照护对象煎煮中药</w:t>
            </w:r>
          </w:p>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3.1.3能指导居家照护对象使用吸入剂</w:t>
            </w:r>
          </w:p>
        </w:tc>
      </w:tr>
      <w:tr>
        <w:tblPrEx>
          <w:tblW w:w="8862" w:type="dxa"/>
          <w:jc w:val="center"/>
          <w:tblLayout w:type="fixed"/>
          <w:tblCellMar>
            <w:top w:w="0" w:type="dxa"/>
            <w:left w:w="0" w:type="dxa"/>
            <w:bottom w:w="0" w:type="dxa"/>
            <w:right w:w="0" w:type="dxa"/>
          </w:tblCellMar>
        </w:tblPrEx>
        <w:trPr>
          <w:trHeight w:val="1141"/>
          <w:jc w:val="center"/>
        </w:trPr>
        <w:tc>
          <w:tcPr>
            <w:tcW w:w="1260" w:type="dxa"/>
            <w:vMerge/>
            <w:tcBorders>
              <w:tl2br w:val="nil"/>
              <w:tr2bl w:val="nil"/>
            </w:tcBorders>
            <w:vAlign w:val="center"/>
          </w:tcPr>
          <w:p>
            <w:pPr>
              <w:jc w:val="center"/>
              <w:rPr>
                <w:rFonts w:ascii="宋体" w:eastAsia="宋体" w:hAnsi="宋体" w:cs="宋体" w:hint="eastAsia"/>
                <w:sz w:val="21"/>
                <w:szCs w:val="21"/>
                <w:highlight w:val="none"/>
              </w:rPr>
            </w:pPr>
          </w:p>
        </w:tc>
        <w:tc>
          <w:tcPr>
            <w:tcW w:w="1516" w:type="dxa"/>
            <w:tcBorders>
              <w:tl2br w:val="nil"/>
              <w:tr2bl w:val="nil"/>
            </w:tcBorders>
            <w:vAlign w:val="center"/>
          </w:tcPr>
          <w:p>
            <w:pPr>
              <w:spacing w:before="0" w:line="240" w:lineRule="auto"/>
              <w:ind w:left="0" w:right="0" w:firstLine="0"/>
              <w:jc w:val="center"/>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3.4应急救护</w:t>
            </w:r>
          </w:p>
        </w:tc>
        <w:tc>
          <w:tcPr>
            <w:tcW w:w="6086" w:type="dxa"/>
            <w:tcBorders>
              <w:tl2br w:val="nil"/>
              <w:tr2bl w:val="nil"/>
            </w:tcBorders>
            <w:vAlign w:val="center"/>
          </w:tcPr>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3.4.1能发现照护对象误吸、噎食风险并报告</w:t>
            </w:r>
          </w:p>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3.4.2能发现约束部位的异常情况并报告</w:t>
            </w:r>
          </w:p>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3.4.3能对出现低血糖表现的照护对象进行初步的应急处理并报告</w:t>
            </w:r>
          </w:p>
        </w:tc>
      </w:tr>
      <w:tr>
        <w:tblPrEx>
          <w:tblW w:w="8862" w:type="dxa"/>
          <w:jc w:val="center"/>
          <w:tblLayout w:type="fixed"/>
          <w:tblCellMar>
            <w:top w:w="0" w:type="dxa"/>
            <w:left w:w="0" w:type="dxa"/>
            <w:bottom w:w="0" w:type="dxa"/>
            <w:right w:w="0" w:type="dxa"/>
          </w:tblCellMar>
        </w:tblPrEx>
        <w:trPr>
          <w:trHeight w:val="580"/>
          <w:jc w:val="center"/>
        </w:trPr>
        <w:tc>
          <w:tcPr>
            <w:tcW w:w="1260" w:type="dxa"/>
            <w:vMerge w:val="restart"/>
            <w:tcBorders>
              <w:tl2br w:val="nil"/>
              <w:tr2bl w:val="nil"/>
            </w:tcBorders>
            <w:vAlign w:val="center"/>
          </w:tcPr>
          <w:p>
            <w:pPr>
              <w:spacing w:before="0" w:line="240" w:lineRule="auto"/>
              <w:ind w:left="0" w:right="0"/>
              <w:jc w:val="center"/>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4.心理支持</w:t>
            </w:r>
          </w:p>
        </w:tc>
        <w:tc>
          <w:tcPr>
            <w:tcW w:w="1516" w:type="dxa"/>
            <w:tcBorders>
              <w:tl2br w:val="nil"/>
              <w:tr2bl w:val="nil"/>
            </w:tcBorders>
            <w:vAlign w:val="center"/>
          </w:tcPr>
          <w:p>
            <w:pPr>
              <w:spacing w:before="0" w:line="240" w:lineRule="auto"/>
              <w:ind w:left="0"/>
              <w:jc w:val="center"/>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4.1安抚</w:t>
            </w:r>
          </w:p>
        </w:tc>
        <w:tc>
          <w:tcPr>
            <w:tcW w:w="6086" w:type="dxa"/>
            <w:tcBorders>
              <w:tl2br w:val="nil"/>
              <w:tr2bl w:val="nil"/>
            </w:tcBorders>
            <w:vAlign w:val="center"/>
          </w:tcPr>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4.1.1能倾听照护对象的讲述</w:t>
            </w:r>
          </w:p>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4.1.2能对情绪低落的照护对象进行陪伴</w:t>
            </w:r>
          </w:p>
        </w:tc>
      </w:tr>
      <w:tr>
        <w:tblPrEx>
          <w:tblW w:w="8862" w:type="dxa"/>
          <w:jc w:val="center"/>
          <w:tblLayout w:type="fixed"/>
          <w:tblCellMar>
            <w:top w:w="0" w:type="dxa"/>
            <w:left w:w="0" w:type="dxa"/>
            <w:bottom w:w="0" w:type="dxa"/>
            <w:right w:w="0" w:type="dxa"/>
          </w:tblCellMar>
        </w:tblPrEx>
        <w:trPr>
          <w:trHeight w:val="516"/>
          <w:jc w:val="center"/>
        </w:trPr>
        <w:tc>
          <w:tcPr>
            <w:tcW w:w="1260" w:type="dxa"/>
            <w:vMerge/>
            <w:tcBorders>
              <w:tl2br w:val="nil"/>
              <w:tr2bl w:val="nil"/>
            </w:tcBorders>
            <w:vAlign w:val="center"/>
          </w:tcPr>
          <w:p>
            <w:pPr>
              <w:jc w:val="center"/>
              <w:rPr>
                <w:rFonts w:ascii="宋体" w:eastAsia="宋体" w:hAnsi="宋体" w:cs="宋体" w:hint="eastAsia"/>
                <w:sz w:val="21"/>
                <w:szCs w:val="21"/>
                <w:highlight w:val="none"/>
              </w:rPr>
            </w:pPr>
          </w:p>
        </w:tc>
        <w:tc>
          <w:tcPr>
            <w:tcW w:w="1516" w:type="dxa"/>
            <w:tcBorders>
              <w:tl2br w:val="nil"/>
              <w:tr2bl w:val="nil"/>
            </w:tcBorders>
            <w:vAlign w:val="center"/>
          </w:tcPr>
          <w:p>
            <w:pPr>
              <w:spacing w:before="0" w:line="240" w:lineRule="auto"/>
              <w:ind w:left="0" w:right="0" w:firstLine="0"/>
              <w:jc w:val="center"/>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4.2临终关怀</w:t>
            </w:r>
          </w:p>
        </w:tc>
        <w:tc>
          <w:tcPr>
            <w:tcW w:w="6086" w:type="dxa"/>
            <w:tcBorders>
              <w:tl2br w:val="nil"/>
              <w:tr2bl w:val="nil"/>
            </w:tcBorders>
            <w:vAlign w:val="center"/>
          </w:tcPr>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4.2.1能在护士的指导下进行尸体料理</w:t>
            </w:r>
          </w:p>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4.2.2能整理遗物并交由家属</w:t>
            </w:r>
          </w:p>
        </w:tc>
      </w:tr>
      <w:tr>
        <w:tblPrEx>
          <w:tblW w:w="8862" w:type="dxa"/>
          <w:jc w:val="center"/>
          <w:tblLayout w:type="fixed"/>
          <w:tblCellMar>
            <w:top w:w="0" w:type="dxa"/>
            <w:left w:w="0" w:type="dxa"/>
            <w:bottom w:w="0" w:type="dxa"/>
            <w:right w:w="0" w:type="dxa"/>
          </w:tblCellMar>
        </w:tblPrEx>
        <w:trPr>
          <w:trHeight w:val="1218"/>
          <w:jc w:val="center"/>
        </w:trPr>
        <w:tc>
          <w:tcPr>
            <w:tcW w:w="1260" w:type="dxa"/>
            <w:vMerge w:val="restart"/>
            <w:tcBorders>
              <w:tl2br w:val="nil"/>
              <w:tr2bl w:val="nil"/>
            </w:tcBorders>
            <w:vAlign w:val="center"/>
          </w:tcPr>
          <w:p>
            <w:pPr>
              <w:spacing w:before="0" w:line="240" w:lineRule="auto"/>
              <w:ind w:left="0" w:right="0" w:firstLine="0"/>
              <w:jc w:val="center"/>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5.功能锻炼</w:t>
            </w:r>
          </w:p>
        </w:tc>
        <w:tc>
          <w:tcPr>
            <w:tcW w:w="1516" w:type="dxa"/>
            <w:tcBorders>
              <w:tl2br w:val="nil"/>
              <w:tr2bl w:val="nil"/>
            </w:tcBorders>
            <w:vAlign w:val="center"/>
          </w:tcPr>
          <w:p>
            <w:pPr>
              <w:spacing w:before="0" w:line="240" w:lineRule="auto"/>
              <w:ind w:left="0" w:right="0" w:firstLine="0"/>
              <w:jc w:val="center"/>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5.1被动锻炼</w:t>
            </w:r>
          </w:p>
        </w:tc>
        <w:tc>
          <w:tcPr>
            <w:tcW w:w="6086" w:type="dxa"/>
            <w:tcBorders>
              <w:tl2br w:val="nil"/>
              <w:tr2bl w:val="nil"/>
            </w:tcBorders>
            <w:vAlign w:val="center"/>
          </w:tcPr>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5.1.1能为照护对象叩背辅助排痰</w:t>
            </w:r>
          </w:p>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5.1.2能为照护对象进行手部锻炼</w:t>
            </w:r>
          </w:p>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5.1.3能为照护对象进行双上肢上举、抬腿等促进血液循环的床上锻炼</w:t>
            </w:r>
          </w:p>
        </w:tc>
      </w:tr>
      <w:tr>
        <w:tblPrEx>
          <w:tblW w:w="8862" w:type="dxa"/>
          <w:jc w:val="center"/>
          <w:tblLayout w:type="fixed"/>
          <w:tblCellMar>
            <w:top w:w="0" w:type="dxa"/>
            <w:left w:w="0" w:type="dxa"/>
            <w:bottom w:w="0" w:type="dxa"/>
            <w:right w:w="0" w:type="dxa"/>
          </w:tblCellMar>
        </w:tblPrEx>
        <w:trPr>
          <w:trHeight w:val="879"/>
          <w:jc w:val="center"/>
        </w:trPr>
        <w:tc>
          <w:tcPr>
            <w:tcW w:w="1260" w:type="dxa"/>
            <w:vMerge/>
            <w:tcBorders>
              <w:tl2br w:val="nil"/>
              <w:tr2bl w:val="nil"/>
            </w:tcBorders>
            <w:vAlign w:val="center"/>
          </w:tcPr>
          <w:p>
            <w:pPr>
              <w:jc w:val="center"/>
              <w:rPr>
                <w:rFonts w:ascii="宋体" w:eastAsia="宋体" w:hAnsi="宋体" w:cs="宋体" w:hint="eastAsia"/>
                <w:sz w:val="21"/>
                <w:szCs w:val="21"/>
                <w:highlight w:val="none"/>
              </w:rPr>
            </w:pPr>
          </w:p>
        </w:tc>
        <w:tc>
          <w:tcPr>
            <w:tcW w:w="1516" w:type="dxa"/>
            <w:tcBorders>
              <w:tl2br w:val="nil"/>
              <w:tr2bl w:val="nil"/>
            </w:tcBorders>
            <w:vAlign w:val="center"/>
          </w:tcPr>
          <w:p>
            <w:pPr>
              <w:spacing w:before="0" w:line="240" w:lineRule="auto"/>
              <w:ind w:left="0" w:right="0" w:firstLine="0"/>
              <w:jc w:val="center"/>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5.2主动锻炼</w:t>
            </w:r>
          </w:p>
        </w:tc>
        <w:tc>
          <w:tcPr>
            <w:tcW w:w="6086" w:type="dxa"/>
            <w:tcBorders>
              <w:tl2br w:val="nil"/>
              <w:tr2bl w:val="nil"/>
            </w:tcBorders>
            <w:vAlign w:val="center"/>
          </w:tcPr>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5.2.1能指导照护对象进行手部锻炼</w:t>
            </w:r>
          </w:p>
          <w:p>
            <w:pPr>
              <w:spacing w:before="0" w:line="240" w:lineRule="auto"/>
              <w:ind w:left="0" w:right="0" w:firstLine="0"/>
              <w:jc w:val="left"/>
              <w:rPr>
                <w:rFonts w:ascii="宋体" w:eastAsia="宋体" w:hAnsi="宋体" w:cs="宋体" w:hint="eastAsia"/>
                <w:sz w:val="21"/>
                <w:szCs w:val="21"/>
                <w:highlight w:val="none"/>
              </w:rPr>
            </w:pPr>
            <w:r>
              <w:rPr>
                <w:rFonts w:ascii="宋体" w:eastAsia="宋体" w:hAnsi="宋体" w:cs="宋体" w:hint="eastAsia"/>
                <w:spacing w:val="0"/>
                <w:sz w:val="21"/>
                <w:szCs w:val="21"/>
                <w:highlight w:val="none"/>
              </w:rPr>
              <w:t>5.2.2能指导照护对象进行双上肢上举、抬腿等促进血液循环的床上锻炼</w:t>
            </w:r>
          </w:p>
        </w:tc>
      </w:tr>
      <w:tr>
        <w:tblPrEx>
          <w:tblW w:w="8862" w:type="dxa"/>
          <w:jc w:val="center"/>
          <w:tblLayout w:type="fixed"/>
          <w:tblCellMar>
            <w:top w:w="0" w:type="dxa"/>
            <w:left w:w="0" w:type="dxa"/>
            <w:bottom w:w="0" w:type="dxa"/>
            <w:right w:w="0" w:type="dxa"/>
          </w:tblCellMar>
        </w:tblPrEx>
        <w:trPr>
          <w:trHeight w:val="545"/>
          <w:jc w:val="center"/>
        </w:trPr>
        <w:tc>
          <w:tcPr>
            <w:tcW w:w="1260" w:type="dxa"/>
            <w:tcBorders>
              <w:tl2br w:val="nil"/>
              <w:tr2bl w:val="nil"/>
            </w:tcBorders>
            <w:vAlign w:val="center"/>
          </w:tcPr>
          <w:p>
            <w:pPr>
              <w:widowControl/>
              <w:spacing w:before="0" w:line="240" w:lineRule="auto"/>
              <w:ind w:left="0" w:right="0" w:firstLine="0"/>
              <w:jc w:val="center"/>
              <w:rPr>
                <w:rFonts w:ascii="宋体" w:eastAsia="宋体" w:hAnsi="宋体" w:cs="宋体" w:hint="eastAsia"/>
                <w:spacing w:val="0"/>
                <w:sz w:val="21"/>
                <w:szCs w:val="21"/>
                <w:highlight w:val="none"/>
              </w:rPr>
            </w:pPr>
            <w:r>
              <w:rPr>
                <w:rFonts w:ascii="宋体" w:eastAsia="宋体" w:hAnsi="宋体" w:cs="宋体" w:hint="eastAsia"/>
                <w:spacing w:val="0"/>
                <w:kern w:val="2"/>
                <w:sz w:val="21"/>
                <w:szCs w:val="21"/>
                <w:highlight w:val="none"/>
                <w:lang w:val="en-US" w:eastAsia="zh-CN"/>
              </w:rPr>
              <w:t>6.其他</w:t>
            </w:r>
          </w:p>
        </w:tc>
        <w:tc>
          <w:tcPr>
            <w:tcW w:w="1516" w:type="dxa"/>
            <w:tcBorders>
              <w:tl2br w:val="nil"/>
              <w:tr2bl w:val="nil"/>
            </w:tcBorders>
            <w:vAlign w:val="center"/>
          </w:tcPr>
          <w:p>
            <w:pPr>
              <w:widowControl/>
              <w:spacing w:before="0" w:line="240" w:lineRule="auto"/>
              <w:ind w:left="0" w:right="0" w:firstLine="0"/>
              <w:jc w:val="center"/>
              <w:rPr>
                <w:rFonts w:ascii="宋体" w:eastAsia="宋体" w:hAnsi="宋体" w:cs="宋体" w:hint="eastAsia"/>
                <w:spacing w:val="0"/>
                <w:sz w:val="21"/>
                <w:szCs w:val="21"/>
                <w:highlight w:val="none"/>
              </w:rPr>
            </w:pPr>
            <w:r>
              <w:rPr>
                <w:rFonts w:ascii="宋体" w:eastAsia="宋体" w:hAnsi="宋体" w:cs="宋体" w:hint="eastAsia"/>
                <w:spacing w:val="0"/>
                <w:kern w:val="2"/>
                <w:sz w:val="21"/>
                <w:szCs w:val="21"/>
                <w:highlight w:val="none"/>
                <w:lang w:val="en-US" w:eastAsia="zh-CN"/>
              </w:rPr>
              <w:t>专科照护</w:t>
            </w:r>
          </w:p>
        </w:tc>
        <w:tc>
          <w:tcPr>
            <w:tcW w:w="6086" w:type="dxa"/>
            <w:tcBorders>
              <w:tl2br w:val="nil"/>
              <w:tr2bl w:val="nil"/>
            </w:tcBorders>
            <w:vAlign w:val="center"/>
          </w:tcPr>
          <w:p>
            <w:pPr>
              <w:keepNext w:val="0"/>
              <w:keepLines w:val="0"/>
              <w:widowControl/>
              <w:suppressLineNumbers w:val="0"/>
              <w:spacing w:before="0" w:line="240" w:lineRule="auto"/>
              <w:ind w:left="0" w:right="0" w:firstLine="0"/>
              <w:jc w:val="left"/>
              <w:rPr>
                <w:rFonts w:ascii="宋体" w:eastAsia="宋体" w:hAnsi="宋体" w:cs="宋体" w:hint="eastAsia"/>
                <w:spacing w:val="0"/>
                <w:sz w:val="21"/>
                <w:szCs w:val="21"/>
                <w:highlight w:val="none"/>
              </w:rPr>
            </w:pPr>
            <w:r>
              <w:rPr>
                <w:rFonts w:ascii="宋体" w:eastAsia="宋体" w:hAnsi="宋体" w:cs="宋体" w:hint="eastAsia"/>
                <w:spacing w:val="0"/>
                <w:kern w:val="2"/>
                <w:sz w:val="21"/>
                <w:szCs w:val="21"/>
                <w:highlight w:val="none"/>
                <w:lang w:val="en-US" w:eastAsia="zh-CN"/>
              </w:rPr>
              <w:t>6.1.1根据专科特点在护士的指导下为照护对象提供专科照护。</w:t>
            </w:r>
          </w:p>
          <w:p>
            <w:pPr>
              <w:spacing w:before="0" w:line="240" w:lineRule="auto"/>
              <w:ind w:left="0" w:right="0" w:firstLine="0"/>
              <w:jc w:val="left"/>
              <w:rPr>
                <w:rFonts w:ascii="宋体" w:eastAsia="宋体" w:hAnsi="宋体" w:cs="宋体" w:hint="eastAsia"/>
                <w:spacing w:val="0"/>
                <w:sz w:val="21"/>
                <w:szCs w:val="21"/>
                <w:highlight w:val="none"/>
              </w:rPr>
            </w:pPr>
            <w:r>
              <w:rPr>
                <w:rFonts w:ascii="宋体" w:eastAsia="宋体" w:hAnsi="宋体" w:cs="宋体" w:hint="eastAsia"/>
                <w:spacing w:val="0"/>
                <w:kern w:val="2"/>
                <w:sz w:val="21"/>
                <w:szCs w:val="21"/>
                <w:highlight w:val="none"/>
                <w:lang w:val="en-US" w:eastAsia="zh-CN"/>
              </w:rPr>
              <w:t>6.1.2协助护士持续提升对病区患者的服务。</w:t>
            </w:r>
          </w:p>
        </w:tc>
      </w:tr>
    </w:tbl>
    <w:p>
      <w:pPr>
        <w:numPr>
          <w:ilvl w:val="0"/>
          <w:numId w:val="0"/>
        </w:numPr>
        <w:adjustRightInd w:val="0"/>
        <w:snapToGrid w:val="0"/>
        <w:ind w:firstLine="420" w:firstLineChars="200"/>
        <w:rPr>
          <w:rFonts w:ascii="宋体" w:eastAsia="宋体" w:hAnsi="宋体" w:cs="宋体" w:hint="eastAsia"/>
          <w:b/>
          <w:bCs/>
          <w:color w:val="FF0000"/>
          <w:szCs w:val="21"/>
          <w:highlight w:val="none"/>
        </w:rPr>
      </w:pPr>
    </w:p>
    <w:p>
      <w:pPr>
        <w:keepNext w:val="0"/>
        <w:keepLines w:val="0"/>
        <w:pageBreakBefore w:val="0"/>
        <w:widowControl w:val="0"/>
        <w:tabs>
          <w:tab w:val="left" w:pos="424"/>
        </w:tabs>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b/>
          <w:bCs/>
          <w:sz w:val="21"/>
          <w:szCs w:val="21"/>
          <w:highlight w:val="none"/>
          <w:lang w:val="en-US" w:eastAsia="zh-CN"/>
        </w:rPr>
      </w:pPr>
      <w:r>
        <w:rPr>
          <w:rFonts w:ascii="宋体" w:eastAsia="宋体" w:hAnsi="宋体" w:cs="宋体" w:hint="eastAsia"/>
          <w:b/>
          <w:bCs/>
          <w:sz w:val="21"/>
          <w:szCs w:val="21"/>
          <w:highlight w:val="none"/>
          <w:lang w:val="en-US" w:eastAsia="zh-CN"/>
        </w:rPr>
        <w:t>五、</w:t>
      </w:r>
      <w:r>
        <w:rPr>
          <w:rFonts w:ascii="宋体" w:hAnsi="宋体" w:cs="宋体" w:hint="eastAsia"/>
          <w:b/>
          <w:bCs/>
          <w:sz w:val="21"/>
          <w:szCs w:val="21"/>
          <w:highlight w:val="none"/>
          <w:lang w:val="en-US" w:eastAsia="zh-CN"/>
        </w:rPr>
        <w:t>医疗护理员</w:t>
      </w:r>
      <w:r>
        <w:rPr>
          <w:rFonts w:ascii="宋体" w:eastAsia="宋体" w:hAnsi="宋体" w:cs="宋体" w:hint="eastAsia"/>
          <w:b/>
          <w:bCs/>
          <w:sz w:val="21"/>
          <w:szCs w:val="21"/>
          <w:highlight w:val="none"/>
          <w:lang w:val="en-US" w:eastAsia="zh-CN"/>
        </w:rPr>
        <w:t>培训教育管理</w:t>
      </w:r>
    </w:p>
    <w:p>
      <w:pPr>
        <w:keepNext w:val="0"/>
        <w:keepLines w:val="0"/>
        <w:pageBreakBefore w:val="0"/>
        <w:widowControl w:val="0"/>
        <w:tabs>
          <w:tab w:val="left" w:pos="424"/>
        </w:tabs>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lang w:eastAsia="zh-CN"/>
        </w:rPr>
      </w:pPr>
      <w:r>
        <w:rPr>
          <w:rFonts w:ascii="宋体" w:hAnsi="宋体" w:cs="宋体" w:hint="eastAsia"/>
          <w:sz w:val="21"/>
          <w:szCs w:val="21"/>
          <w:highlight w:val="none"/>
          <w:lang w:eastAsia="zh-CN"/>
        </w:rPr>
        <w:t>医疗护理员</w:t>
      </w:r>
      <w:r>
        <w:rPr>
          <w:rFonts w:ascii="宋体" w:eastAsia="宋体" w:hAnsi="宋体" w:cs="宋体" w:hint="eastAsia"/>
          <w:sz w:val="21"/>
          <w:szCs w:val="21"/>
          <w:highlight w:val="none"/>
          <w:lang w:eastAsia="zh-CN"/>
        </w:rPr>
        <w:t>的培训教育工作中，应结合《国家卫生健康委关于加强医疗护理员培训和规范管理工作的通知》（国卫医发〔2019〕49号）</w:t>
      </w:r>
      <w:r>
        <w:rPr>
          <w:rFonts w:ascii="宋体" w:hAnsi="宋体" w:cs="宋体" w:hint="eastAsia"/>
          <w:sz w:val="21"/>
          <w:szCs w:val="21"/>
          <w:highlight w:val="none"/>
          <w:lang w:val="en-US" w:eastAsia="zh-CN"/>
        </w:rPr>
        <w:t>中</w:t>
      </w:r>
      <w:r>
        <w:rPr>
          <w:rFonts w:ascii="宋体" w:eastAsia="宋体" w:hAnsi="宋体" w:cs="宋体" w:hint="eastAsia"/>
          <w:sz w:val="21"/>
          <w:szCs w:val="21"/>
          <w:highlight w:val="none"/>
          <w:lang w:eastAsia="zh-CN"/>
        </w:rPr>
        <w:t>《医疗护理员培训大纲（试行）》的内容积极开展相关工作，建立以岗前培训、继续教育系统培训及定期评价为主要内容的培训体系，强化职业素质培训，将职业道德、法律安全意识以及保护服务对象隐私等纳入培训全过程，注重德技兼修，提高从业人员对患者提供辅助护理服务的职业技能。</w:t>
      </w:r>
    </w:p>
    <w:p>
      <w:pPr>
        <w:keepNext w:val="0"/>
        <w:keepLines w:val="0"/>
        <w:pageBreakBefore w:val="0"/>
        <w:widowControl w:val="0"/>
        <w:tabs>
          <w:tab w:val="left" w:pos="424"/>
        </w:tabs>
        <w:kinsoku/>
        <w:wordWrap/>
        <w:overflowPunct/>
        <w:topLinePunct w:val="0"/>
        <w:autoSpaceDE/>
        <w:autoSpaceDN/>
        <w:bidi w:val="0"/>
        <w:adjustRightInd/>
        <w:snapToGrid w:val="0"/>
        <w:spacing w:line="240" w:lineRule="auto"/>
        <w:ind w:left="0" w:firstLine="420" w:leftChars="0" w:firstLineChars="200"/>
        <w:contextualSpacing/>
        <w:jc w:val="left"/>
        <w:textAlignment w:val="auto"/>
        <w:rPr>
          <w:rFonts w:ascii="宋体" w:eastAsia="宋体" w:hAnsi="宋体" w:cs="宋体" w:hint="eastAsia"/>
          <w:b/>
          <w:bCs/>
          <w:sz w:val="21"/>
          <w:szCs w:val="21"/>
          <w:highlight w:val="none"/>
          <w:lang w:eastAsia="zh-CN"/>
        </w:rPr>
      </w:pPr>
      <w:r>
        <w:rPr>
          <w:rFonts w:ascii="宋体" w:eastAsia="宋体" w:hAnsi="宋体" w:cs="宋体" w:hint="eastAsia"/>
          <w:b/>
          <w:bCs/>
          <w:sz w:val="21"/>
          <w:szCs w:val="21"/>
          <w:highlight w:val="none"/>
          <w:lang w:eastAsia="zh-CN"/>
        </w:rPr>
        <w:t>（一）医疗护理员岗前培训制度</w:t>
      </w:r>
    </w:p>
    <w:p>
      <w:pPr>
        <w:keepNext w:val="0"/>
        <w:keepLines w:val="0"/>
        <w:pageBreakBefore w:val="0"/>
        <w:widowControl w:val="0"/>
        <w:tabs>
          <w:tab w:val="left" w:pos="424"/>
        </w:tabs>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b w:val="0"/>
          <w:bCs w:val="0"/>
          <w:color w:val="auto"/>
          <w:sz w:val="21"/>
          <w:szCs w:val="21"/>
          <w:highlight w:val="none"/>
          <w:lang w:eastAsia="zh-CN"/>
        </w:rPr>
      </w:pPr>
      <w:r>
        <w:rPr>
          <w:rFonts w:ascii="宋体" w:hAnsi="宋体" w:cs="宋体" w:hint="eastAsia"/>
          <w:b w:val="0"/>
          <w:bCs w:val="0"/>
          <w:color w:val="FF0000"/>
          <w:highlight w:val="none"/>
        </w:rPr>
        <w:t>★</w:t>
      </w:r>
      <w:r>
        <w:rPr>
          <w:rFonts w:ascii="宋体" w:eastAsia="宋体" w:hAnsi="宋体" w:cs="宋体" w:hint="eastAsia"/>
          <w:b w:val="0"/>
          <w:bCs w:val="0"/>
          <w:color w:val="FF0000"/>
          <w:sz w:val="21"/>
          <w:szCs w:val="21"/>
          <w:highlight w:val="none"/>
          <w:lang w:eastAsia="zh-CN"/>
        </w:rPr>
        <w:t>对新入职</w:t>
      </w:r>
      <w:r>
        <w:rPr>
          <w:rFonts w:ascii="宋体" w:hAnsi="宋体" w:cs="宋体" w:hint="eastAsia"/>
          <w:b w:val="0"/>
          <w:bCs w:val="0"/>
          <w:color w:val="FF0000"/>
          <w:sz w:val="21"/>
          <w:szCs w:val="21"/>
          <w:highlight w:val="none"/>
          <w:lang w:eastAsia="zh-CN"/>
        </w:rPr>
        <w:t>医疗护理员</w:t>
      </w:r>
      <w:r>
        <w:rPr>
          <w:rFonts w:ascii="宋体" w:eastAsia="宋体" w:hAnsi="宋体" w:cs="宋体" w:hint="eastAsia"/>
          <w:b w:val="0"/>
          <w:bCs w:val="0"/>
          <w:color w:val="FF0000"/>
          <w:sz w:val="21"/>
          <w:szCs w:val="21"/>
          <w:highlight w:val="none"/>
          <w:lang w:eastAsia="zh-CN"/>
        </w:rPr>
        <w:t>，必须按规定接受岗前培训及考核，考核合格后取得“上岗证”方能上岗。未经过岗前培训及考核不合格者一律不得独立上岗。</w:t>
      </w:r>
    </w:p>
    <w:p>
      <w:pPr>
        <w:keepNext w:val="0"/>
        <w:keepLines w:val="0"/>
        <w:pageBreakBefore w:val="0"/>
        <w:widowControl w:val="0"/>
        <w:tabs>
          <w:tab w:val="left" w:pos="424"/>
        </w:tabs>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b/>
          <w:bCs/>
          <w:sz w:val="21"/>
          <w:szCs w:val="21"/>
          <w:highlight w:val="none"/>
          <w:lang w:val="en-US" w:eastAsia="zh-CN"/>
        </w:rPr>
      </w:pPr>
      <w:r>
        <w:rPr>
          <w:rFonts w:ascii="宋体" w:eastAsia="宋体" w:hAnsi="宋体" w:cs="宋体" w:hint="eastAsia"/>
          <w:b/>
          <w:bCs/>
          <w:sz w:val="21"/>
          <w:szCs w:val="21"/>
          <w:highlight w:val="none"/>
          <w:lang w:val="en-US" w:eastAsia="zh-CN"/>
        </w:rPr>
        <w:t>1</w:t>
      </w:r>
      <w:r>
        <w:rPr>
          <w:rFonts w:ascii="宋体" w:hAnsi="宋体" w:cs="宋体" w:hint="eastAsia"/>
          <w:b/>
          <w:bCs/>
          <w:sz w:val="21"/>
          <w:szCs w:val="21"/>
          <w:highlight w:val="none"/>
          <w:lang w:val="en-US" w:eastAsia="zh-CN"/>
        </w:rPr>
        <w:t>、</w:t>
      </w:r>
      <w:r>
        <w:rPr>
          <w:rFonts w:ascii="宋体" w:eastAsia="宋体" w:hAnsi="宋体" w:cs="宋体" w:hint="eastAsia"/>
          <w:b/>
          <w:bCs/>
          <w:sz w:val="21"/>
          <w:szCs w:val="21"/>
          <w:highlight w:val="none"/>
          <w:lang w:eastAsia="zh-CN"/>
        </w:rPr>
        <w:t>培训目标</w:t>
      </w:r>
    </w:p>
    <w:p>
      <w:pPr>
        <w:keepNext w:val="0"/>
        <w:keepLines w:val="0"/>
        <w:pageBreakBefore w:val="0"/>
        <w:widowControl w:val="0"/>
        <w:tabs>
          <w:tab w:val="left" w:pos="424"/>
        </w:tabs>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lang w:eastAsia="zh-CN"/>
        </w:rPr>
        <w:t>（1）了解相关法律法规、规章制度。</w:t>
      </w:r>
    </w:p>
    <w:p>
      <w:pPr>
        <w:keepNext w:val="0"/>
        <w:keepLines w:val="0"/>
        <w:pageBreakBefore w:val="0"/>
        <w:widowControl w:val="0"/>
        <w:tabs>
          <w:tab w:val="left" w:pos="424"/>
        </w:tabs>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lang w:eastAsia="zh-CN"/>
        </w:rPr>
        <w:t>（2）具备良好的职业道德、协作意识和人文关怀素养。</w:t>
      </w:r>
    </w:p>
    <w:p>
      <w:pPr>
        <w:keepNext w:val="0"/>
        <w:keepLines w:val="0"/>
        <w:pageBreakBefore w:val="0"/>
        <w:widowControl w:val="0"/>
        <w:tabs>
          <w:tab w:val="left" w:pos="424"/>
        </w:tabs>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lang w:eastAsia="zh-CN"/>
        </w:rPr>
        <w:t>（3）熟悉单位的规章制度和医疗护理员岗位职责。</w:t>
      </w:r>
    </w:p>
    <w:p>
      <w:pPr>
        <w:keepNext w:val="0"/>
        <w:keepLines w:val="0"/>
        <w:pageBreakBefore w:val="0"/>
        <w:widowControl w:val="0"/>
        <w:tabs>
          <w:tab w:val="left" w:pos="424"/>
        </w:tabs>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lang w:eastAsia="zh-CN"/>
        </w:rPr>
        <w:t>（4）掌握生活照护的基本知识和技能.</w:t>
      </w:r>
    </w:p>
    <w:p>
      <w:pPr>
        <w:keepNext w:val="0"/>
        <w:keepLines w:val="0"/>
        <w:pageBreakBefore w:val="0"/>
        <w:widowControl w:val="0"/>
        <w:tabs>
          <w:tab w:val="left" w:pos="424"/>
        </w:tabs>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lang w:eastAsia="zh-CN"/>
        </w:rPr>
        <w:t>（5）掌握消毒隔离的基本知识和技术。</w:t>
      </w:r>
    </w:p>
    <w:p>
      <w:pPr>
        <w:keepNext w:val="0"/>
        <w:keepLines w:val="0"/>
        <w:pageBreakBefore w:val="0"/>
        <w:widowControl w:val="0"/>
        <w:tabs>
          <w:tab w:val="left" w:pos="424"/>
        </w:tabs>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lang w:eastAsia="zh-CN"/>
        </w:rPr>
        <w:t>（6）掌握沟通的基本技巧和方法。</w:t>
      </w:r>
    </w:p>
    <w:p>
      <w:pPr>
        <w:keepNext w:val="0"/>
        <w:keepLines w:val="0"/>
        <w:pageBreakBefore w:val="0"/>
        <w:widowControl w:val="0"/>
        <w:tabs>
          <w:tab w:val="left" w:pos="424"/>
        </w:tabs>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lang w:eastAsia="zh-CN"/>
        </w:rPr>
        <w:t>（7）具备安全意识，掌握安全防护、急救的基本知识和技术。</w:t>
      </w:r>
    </w:p>
    <w:p>
      <w:pPr>
        <w:keepNext w:val="0"/>
        <w:keepLines w:val="0"/>
        <w:pageBreakBefore w:val="0"/>
        <w:widowControl w:val="0"/>
        <w:tabs>
          <w:tab w:val="left" w:pos="424"/>
        </w:tabs>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lang w:eastAsia="zh-CN"/>
        </w:rPr>
        <w:t>（8）掌握常用药物服用的基本知识和方法。</w:t>
      </w:r>
    </w:p>
    <w:p>
      <w:pPr>
        <w:keepNext w:val="0"/>
        <w:keepLines w:val="0"/>
        <w:pageBreakBefore w:val="0"/>
        <w:widowControl w:val="0"/>
        <w:tabs>
          <w:tab w:val="left" w:pos="424"/>
        </w:tabs>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lang w:eastAsia="zh-CN"/>
        </w:rPr>
        <w:t>（9）掌握体温、脉搏、呼吸、血压等生命体征正常值。</w:t>
      </w:r>
    </w:p>
    <w:p>
      <w:pPr>
        <w:keepNext w:val="0"/>
        <w:keepLines w:val="0"/>
        <w:pageBreakBefore w:val="0"/>
        <w:widowControl w:val="0"/>
        <w:tabs>
          <w:tab w:val="left" w:pos="424"/>
        </w:tabs>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b/>
          <w:bCs/>
          <w:sz w:val="21"/>
          <w:szCs w:val="21"/>
          <w:highlight w:val="none"/>
          <w:lang w:eastAsia="zh-CN"/>
        </w:rPr>
      </w:pPr>
      <w:r>
        <w:rPr>
          <w:rFonts w:ascii="宋体" w:eastAsia="宋体" w:hAnsi="宋体" w:cs="宋体" w:hint="eastAsia"/>
          <w:b/>
          <w:bCs/>
          <w:sz w:val="21"/>
          <w:szCs w:val="21"/>
          <w:highlight w:val="none"/>
          <w:lang w:val="en-US" w:eastAsia="zh-CN"/>
        </w:rPr>
        <w:t>2</w:t>
      </w:r>
      <w:r>
        <w:rPr>
          <w:rFonts w:ascii="宋体" w:hAnsi="宋体" w:cs="宋体" w:hint="eastAsia"/>
          <w:b/>
          <w:bCs/>
          <w:sz w:val="21"/>
          <w:szCs w:val="21"/>
          <w:highlight w:val="none"/>
          <w:lang w:val="en-US" w:eastAsia="zh-CN"/>
        </w:rPr>
        <w:t>、</w:t>
      </w:r>
      <w:r>
        <w:rPr>
          <w:rFonts w:ascii="宋体" w:eastAsia="宋体" w:hAnsi="宋体" w:cs="宋体" w:hint="eastAsia"/>
          <w:b/>
          <w:bCs/>
          <w:sz w:val="21"/>
          <w:szCs w:val="21"/>
          <w:highlight w:val="none"/>
          <w:lang w:eastAsia="zh-CN"/>
        </w:rPr>
        <w:t>培训内容</w:t>
      </w:r>
    </w:p>
    <w:p>
      <w:pPr>
        <w:keepNext w:val="0"/>
        <w:keepLines w:val="0"/>
        <w:pageBreakBefore w:val="0"/>
        <w:widowControl w:val="0"/>
        <w:tabs>
          <w:tab w:val="left" w:pos="424"/>
        </w:tabs>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lang w:eastAsia="zh-CN"/>
        </w:rPr>
        <w:t>（1）法律法规：《中华人民共和国劳动法》《中华人民共和国劳动合同法》《中华人民共和国消防法》《中华人民共和国传染病防治法》等相关法律法规。</w:t>
      </w:r>
    </w:p>
    <w:p>
      <w:pPr>
        <w:keepNext w:val="0"/>
        <w:keepLines w:val="0"/>
        <w:pageBreakBefore w:val="0"/>
        <w:widowControl w:val="0"/>
        <w:tabs>
          <w:tab w:val="left" w:pos="424"/>
        </w:tabs>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lang w:eastAsia="zh-CN"/>
        </w:rPr>
        <w:t>（2）组织体系：组织机构、规模层次、功能服务、医疗护理员队伍概况、组织管理结构、工作排班、整体医疗护理员工作现状等。</w:t>
      </w:r>
    </w:p>
    <w:p>
      <w:pPr>
        <w:keepNext w:val="0"/>
        <w:keepLines w:val="0"/>
        <w:pageBreakBefore w:val="0"/>
        <w:widowControl w:val="0"/>
        <w:tabs>
          <w:tab w:val="left" w:pos="424"/>
        </w:tabs>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lang w:eastAsia="zh-CN"/>
        </w:rPr>
        <w:t>（3）机构环境：包括外环境（地理、人文、团队文化和服务理念、交通等），内环境（工作区域的布局、办公区、生活区等）、消防安全知识。</w:t>
      </w:r>
    </w:p>
    <w:p>
      <w:pPr>
        <w:keepNext w:val="0"/>
        <w:keepLines w:val="0"/>
        <w:pageBreakBefore w:val="0"/>
        <w:widowControl w:val="0"/>
        <w:tabs>
          <w:tab w:val="left" w:pos="424"/>
        </w:tabs>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lang w:eastAsia="zh-CN"/>
        </w:rPr>
        <w:t>（4）制度与职业安全：包括医疗护理员管理制度、工作职责与服务流程、服务质量标准、突发事件应急流程、请示报告制度、职业防护及单位相关规章制度等。</w:t>
      </w:r>
    </w:p>
    <w:p>
      <w:pPr>
        <w:keepNext w:val="0"/>
        <w:keepLines w:val="0"/>
        <w:pageBreakBefore w:val="0"/>
        <w:widowControl w:val="0"/>
        <w:tabs>
          <w:tab w:val="left" w:pos="424"/>
        </w:tabs>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lang w:eastAsia="zh-CN"/>
        </w:rPr>
        <w:t>（5）职业素质：职业道德与工作规范、职业特点及要求、服务理念、医疗护理员服务礼仪、语言规范与沟通技巧、心理健康、常见疾病症状识别等培训。</w:t>
      </w:r>
    </w:p>
    <w:p>
      <w:pPr>
        <w:keepNext w:val="0"/>
        <w:keepLines w:val="0"/>
        <w:pageBreakBefore w:val="0"/>
        <w:widowControl w:val="0"/>
        <w:tabs>
          <w:tab w:val="left" w:pos="424"/>
        </w:tabs>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lang w:eastAsia="zh-CN"/>
        </w:rPr>
        <w:t>（6）技能培训：包括生活照护、辅助治疗照护、消毒隔离、急救技能等。</w:t>
      </w:r>
    </w:p>
    <w:p>
      <w:pPr>
        <w:keepNext w:val="0"/>
        <w:keepLines w:val="0"/>
        <w:pageBreakBefore w:val="0"/>
        <w:widowControl w:val="0"/>
        <w:tabs>
          <w:tab w:val="left" w:pos="424"/>
        </w:tabs>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b/>
          <w:bCs/>
          <w:sz w:val="21"/>
          <w:szCs w:val="21"/>
          <w:highlight w:val="none"/>
          <w:lang w:eastAsia="zh-CN"/>
        </w:rPr>
      </w:pPr>
      <w:r>
        <w:rPr>
          <w:rFonts w:ascii="宋体" w:eastAsia="宋体" w:hAnsi="宋体" w:cs="宋体" w:hint="eastAsia"/>
          <w:b/>
          <w:bCs/>
          <w:sz w:val="21"/>
          <w:szCs w:val="21"/>
          <w:highlight w:val="none"/>
          <w:lang w:eastAsia="zh-CN"/>
        </w:rPr>
        <w:t>（二）</w:t>
      </w:r>
      <w:r>
        <w:rPr>
          <w:rFonts w:ascii="宋体" w:hAnsi="宋体" w:cs="宋体" w:hint="eastAsia"/>
          <w:b/>
          <w:bCs/>
          <w:sz w:val="21"/>
          <w:szCs w:val="21"/>
          <w:highlight w:val="none"/>
          <w:lang w:val="en-US" w:eastAsia="zh-CN"/>
        </w:rPr>
        <w:t>项目</w:t>
      </w:r>
      <w:r>
        <w:rPr>
          <w:rFonts w:ascii="宋体" w:eastAsia="宋体" w:hAnsi="宋体" w:cs="宋体" w:hint="eastAsia"/>
          <w:b/>
          <w:bCs/>
          <w:sz w:val="21"/>
          <w:szCs w:val="21"/>
          <w:highlight w:val="none"/>
          <w:lang w:eastAsia="zh-CN"/>
        </w:rPr>
        <w:t>管理人员培训制度</w:t>
      </w:r>
    </w:p>
    <w:p>
      <w:pPr>
        <w:keepNext w:val="0"/>
        <w:keepLines w:val="0"/>
        <w:pageBreakBefore w:val="0"/>
        <w:widowControl w:val="0"/>
        <w:tabs>
          <w:tab w:val="left" w:pos="424"/>
        </w:tabs>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lang w:eastAsia="zh-CN"/>
        </w:rPr>
        <w:t>（1）</w:t>
      </w:r>
      <w:r>
        <w:rPr>
          <w:rFonts w:ascii="宋体" w:hAnsi="宋体" w:cs="宋体" w:hint="eastAsia"/>
          <w:sz w:val="21"/>
          <w:szCs w:val="21"/>
          <w:highlight w:val="none"/>
          <w:lang w:val="en-US" w:eastAsia="zh-CN"/>
        </w:rPr>
        <w:t>项目</w:t>
      </w:r>
      <w:r>
        <w:rPr>
          <w:rFonts w:ascii="宋体" w:eastAsia="宋体" w:hAnsi="宋体" w:cs="宋体" w:hint="eastAsia"/>
          <w:sz w:val="21"/>
          <w:szCs w:val="21"/>
          <w:highlight w:val="none"/>
          <w:lang w:eastAsia="zh-CN"/>
        </w:rPr>
        <w:t>管理人员应接受指定或认可机构的相应管理岗位培训，经考核和认证，获得指定或认可的机构颁发的合格证书。</w:t>
      </w:r>
    </w:p>
    <w:p>
      <w:pPr>
        <w:keepNext w:val="0"/>
        <w:keepLines w:val="0"/>
        <w:pageBreakBefore w:val="0"/>
        <w:widowControl w:val="0"/>
        <w:tabs>
          <w:tab w:val="left" w:pos="424"/>
        </w:tabs>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lang w:val="en-US" w:eastAsia="zh-CN"/>
        </w:rPr>
        <w:t>2）</w:t>
      </w:r>
      <w:r>
        <w:rPr>
          <w:rFonts w:ascii="宋体" w:hAnsi="宋体" w:cs="宋体" w:hint="eastAsia"/>
          <w:sz w:val="21"/>
          <w:szCs w:val="21"/>
          <w:highlight w:val="none"/>
          <w:lang w:val="en-US" w:eastAsia="zh-CN"/>
        </w:rPr>
        <w:t>项目</w:t>
      </w:r>
      <w:r>
        <w:rPr>
          <w:rFonts w:ascii="宋体" w:eastAsia="宋体" w:hAnsi="宋体" w:cs="宋体" w:hint="eastAsia"/>
          <w:sz w:val="21"/>
          <w:szCs w:val="21"/>
          <w:highlight w:val="none"/>
          <w:lang w:eastAsia="zh-CN"/>
        </w:rPr>
        <w:t>管理人员岗位培训重在培养判断决策能力、质量管理及控制能力、领导能力、协调人际关系和处理危机的能力。</w:t>
      </w:r>
    </w:p>
    <w:p>
      <w:pPr>
        <w:keepNext w:val="0"/>
        <w:keepLines w:val="0"/>
        <w:pageBreakBefore w:val="0"/>
        <w:widowControl w:val="0"/>
        <w:tabs>
          <w:tab w:val="left" w:pos="424"/>
        </w:tabs>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lang w:val="en-US" w:eastAsia="zh-CN"/>
        </w:rPr>
        <w:t>3</w:t>
      </w:r>
      <w:r>
        <w:rPr>
          <w:rFonts w:ascii="宋体" w:eastAsia="宋体" w:hAnsi="宋体" w:cs="宋体" w:hint="eastAsia"/>
          <w:sz w:val="21"/>
          <w:szCs w:val="21"/>
          <w:highlight w:val="none"/>
          <w:lang w:eastAsia="zh-CN"/>
        </w:rPr>
        <w:t>）培训建议但不限于以下内容：管理学、组织行为学、管理心理学、相关法律法规知识、沟通与协调技巧、工作计划解读、时间管理知识、质量管理等方面内容。</w:t>
      </w:r>
    </w:p>
    <w:p>
      <w:pPr>
        <w:keepNext w:val="0"/>
        <w:keepLines w:val="0"/>
        <w:pageBreakBefore w:val="0"/>
        <w:widowControl w:val="0"/>
        <w:tabs>
          <w:tab w:val="left" w:pos="424"/>
        </w:tabs>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b/>
          <w:bCs/>
          <w:sz w:val="21"/>
          <w:szCs w:val="21"/>
          <w:highlight w:val="none"/>
          <w:lang w:eastAsia="zh-CN"/>
        </w:rPr>
      </w:pPr>
      <w:r>
        <w:rPr>
          <w:rFonts w:ascii="宋体" w:eastAsia="宋体" w:hAnsi="宋体" w:cs="宋体" w:hint="eastAsia"/>
          <w:b/>
          <w:bCs/>
          <w:sz w:val="21"/>
          <w:szCs w:val="21"/>
          <w:highlight w:val="none"/>
          <w:lang w:eastAsia="zh-CN"/>
        </w:rPr>
        <w:t>（三）</w:t>
      </w:r>
      <w:r>
        <w:rPr>
          <w:rFonts w:ascii="宋体" w:hAnsi="宋体" w:cs="宋体" w:hint="eastAsia"/>
          <w:b/>
          <w:bCs/>
          <w:sz w:val="21"/>
          <w:szCs w:val="21"/>
          <w:highlight w:val="none"/>
          <w:lang w:eastAsia="zh-CN"/>
        </w:rPr>
        <w:t>医疗护理员</w:t>
      </w:r>
      <w:r>
        <w:rPr>
          <w:rFonts w:ascii="宋体" w:eastAsia="宋体" w:hAnsi="宋体" w:cs="宋体" w:hint="eastAsia"/>
          <w:b/>
          <w:bCs/>
          <w:sz w:val="21"/>
          <w:szCs w:val="21"/>
          <w:highlight w:val="none"/>
          <w:lang w:eastAsia="zh-CN"/>
        </w:rPr>
        <w:t>业务学习管理制度</w:t>
      </w:r>
    </w:p>
    <w:p>
      <w:pPr>
        <w:keepNext w:val="0"/>
        <w:keepLines w:val="0"/>
        <w:pageBreakBefore w:val="0"/>
        <w:widowControl w:val="0"/>
        <w:tabs>
          <w:tab w:val="left" w:pos="424"/>
        </w:tabs>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lang w:eastAsia="zh-CN"/>
        </w:rPr>
        <w:t>（1）全员业务学习建议实行签到制度或记分制度。</w:t>
      </w:r>
    </w:p>
    <w:p>
      <w:pPr>
        <w:keepNext w:val="0"/>
        <w:keepLines w:val="0"/>
        <w:pageBreakBefore w:val="0"/>
        <w:widowControl w:val="0"/>
        <w:tabs>
          <w:tab w:val="left" w:pos="424"/>
        </w:tabs>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lang w:eastAsia="zh-CN"/>
        </w:rPr>
        <w:t>（2）业务学习每月组织不少于一次，主管查房每周不少于一次，学习或查房时间及内容根据各科室具体情况安排，单位定期检查。</w:t>
      </w:r>
    </w:p>
    <w:p>
      <w:pPr>
        <w:keepNext w:val="0"/>
        <w:keepLines w:val="0"/>
        <w:pageBreakBefore w:val="0"/>
        <w:widowControl w:val="0"/>
        <w:tabs>
          <w:tab w:val="left" w:pos="424"/>
        </w:tabs>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lang w:eastAsia="zh-CN"/>
        </w:rPr>
        <w:t>（3）设立</w:t>
      </w:r>
      <w:r>
        <w:rPr>
          <w:rFonts w:ascii="宋体" w:hAnsi="宋体" w:cs="宋体" w:hint="eastAsia"/>
          <w:sz w:val="21"/>
          <w:szCs w:val="21"/>
          <w:highlight w:val="none"/>
          <w:lang w:eastAsia="zh-CN"/>
        </w:rPr>
        <w:t>医疗护理员</w:t>
      </w:r>
      <w:r>
        <w:rPr>
          <w:rFonts w:ascii="宋体" w:eastAsia="宋体" w:hAnsi="宋体" w:cs="宋体" w:hint="eastAsia"/>
          <w:sz w:val="21"/>
          <w:szCs w:val="21"/>
          <w:highlight w:val="none"/>
          <w:lang w:eastAsia="zh-CN"/>
        </w:rPr>
        <w:t>业务学习登记本，登记内容包括学习时间、地点、培训内容、学习签到、现场照片、课件、主讲人，以及考核成绩等记录备案，主管及科室护士长定期检查。</w:t>
      </w:r>
    </w:p>
    <w:p>
      <w:pPr>
        <w:keepNext w:val="0"/>
        <w:keepLines w:val="0"/>
        <w:pageBreakBefore w:val="0"/>
        <w:widowControl w:val="0"/>
        <w:tabs>
          <w:tab w:val="left" w:pos="424"/>
        </w:tabs>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lang w:eastAsia="zh-CN"/>
        </w:rPr>
        <w:t>（4）医院监督外包公司制订并审核考核方案，对医疗护理员的专业知识、操作技能等进行阶段评价及年终考核。</w:t>
      </w:r>
    </w:p>
    <w:p>
      <w:pPr>
        <w:keepNext w:val="0"/>
        <w:keepLines w:val="0"/>
        <w:pageBreakBefore w:val="0"/>
        <w:widowControl w:val="0"/>
        <w:tabs>
          <w:tab w:val="left" w:pos="424"/>
        </w:tabs>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b/>
          <w:bCs/>
          <w:sz w:val="21"/>
          <w:szCs w:val="21"/>
          <w:highlight w:val="none"/>
          <w:lang w:val="en-US" w:eastAsia="zh-CN"/>
        </w:rPr>
      </w:pPr>
    </w:p>
    <w:p>
      <w:pPr>
        <w:keepNext w:val="0"/>
        <w:keepLines w:val="0"/>
        <w:pageBreakBefore w:val="0"/>
        <w:widowControl w:val="0"/>
        <w:tabs>
          <w:tab w:val="left" w:pos="424"/>
        </w:tabs>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b/>
          <w:bCs/>
          <w:sz w:val="21"/>
          <w:szCs w:val="21"/>
          <w:highlight w:val="none"/>
          <w:lang w:val="en-US" w:eastAsia="zh-CN"/>
        </w:rPr>
      </w:pPr>
      <w:r>
        <w:rPr>
          <w:rFonts w:ascii="宋体" w:eastAsia="宋体" w:hAnsi="宋体" w:cs="宋体" w:hint="eastAsia"/>
          <w:b/>
          <w:bCs/>
          <w:sz w:val="21"/>
          <w:szCs w:val="21"/>
          <w:highlight w:val="none"/>
          <w:lang w:val="en-US" w:eastAsia="zh-CN"/>
        </w:rPr>
        <w:t>六、服务质量检查及考评规范</w:t>
      </w:r>
    </w:p>
    <w:p>
      <w:pPr>
        <w:keepNext w:val="0"/>
        <w:keepLines w:val="0"/>
        <w:pageBreakBefore w:val="0"/>
        <w:widowControl w:val="0"/>
        <w:tabs>
          <w:tab w:val="left" w:pos="424"/>
        </w:tabs>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质量与安全是医院服务质量的生命线，要求所有医疗护理员都要树立患者第一、安全第一的服务理念。为了确保质量与安全，由医院护理部与第三方公司管理层共同负责</w:t>
      </w:r>
      <w:r>
        <w:rPr>
          <w:rFonts w:ascii="宋体" w:hAnsi="宋体" w:cs="宋体" w:hint="eastAsia"/>
          <w:sz w:val="21"/>
          <w:szCs w:val="21"/>
          <w:highlight w:val="none"/>
          <w:lang w:val="en-US" w:eastAsia="zh-CN"/>
        </w:rPr>
        <w:t>医疗护理员</w:t>
      </w:r>
      <w:r>
        <w:rPr>
          <w:rFonts w:ascii="宋体" w:eastAsia="宋体" w:hAnsi="宋体" w:cs="宋体" w:hint="eastAsia"/>
          <w:sz w:val="21"/>
          <w:szCs w:val="21"/>
          <w:highlight w:val="none"/>
          <w:lang w:val="en-US" w:eastAsia="zh-CN"/>
        </w:rPr>
        <w:t>的质量管理，各司其责。护理部安排专人负责监管，每月负责对第三方公司的陪护管理工作进行考核并评分；第三方公司管理层每天对陪护管理工作进行巡查，每周自查，每月问卷调查，发现问题及时整改、处理。评价的指标有医疗护理员体检合格率，医疗护理员持证上岗率，全院与科室医、护、患三方对陪护服务满意度，投诉处理及时率，工作计划完成率及服务质量考评。</w:t>
      </w:r>
    </w:p>
    <w:p>
      <w:pPr>
        <w:keepNext w:val="0"/>
        <w:keepLines w:val="0"/>
        <w:pageBreakBefore w:val="0"/>
        <w:widowControl w:val="0"/>
        <w:tabs>
          <w:tab w:val="left" w:pos="424"/>
        </w:tabs>
        <w:kinsoku/>
        <w:wordWrap/>
        <w:overflowPunct/>
        <w:topLinePunct w:val="0"/>
        <w:autoSpaceDE/>
        <w:autoSpaceDN/>
        <w:bidi w:val="0"/>
        <w:snapToGrid w:val="0"/>
        <w:spacing w:line="240" w:lineRule="auto"/>
        <w:ind w:left="0" w:firstLine="420" w:leftChars="0" w:firstLineChars="200"/>
        <w:contextualSpacing/>
        <w:jc w:val="left"/>
        <w:textAlignment w:val="auto"/>
        <w:rPr>
          <w:rFonts w:ascii="宋体" w:eastAsia="宋体" w:hAnsi="宋体" w:cs="宋体" w:hint="eastAsia"/>
          <w:color w:val="000000"/>
          <w:sz w:val="21"/>
          <w:szCs w:val="21"/>
          <w:highlight w:val="none"/>
          <w:lang w:val="en-US" w:eastAsia="zh-CN"/>
        </w:rPr>
      </w:pPr>
      <w:r>
        <w:rPr>
          <w:rFonts w:ascii="宋体" w:eastAsia="宋体" w:hAnsi="宋体" w:cs="宋体" w:hint="eastAsia"/>
          <w:color w:val="000000"/>
          <w:highlight w:val="none"/>
          <w:lang w:val="en-US" w:eastAsia="zh-CN"/>
        </w:rPr>
        <w:t>建立客户回访及反馈机制，服务机构的质量监督形式包括但不限于管理人员走访和暗访、电话访问客户（回访率要求达100%）、社会监督。</w:t>
      </w:r>
    </w:p>
    <w:p>
      <w:pPr>
        <w:keepNext w:val="0"/>
        <w:keepLines w:val="0"/>
        <w:pageBreakBefore w:val="0"/>
        <w:widowControl w:val="0"/>
        <w:kinsoku/>
        <w:wordWrap/>
        <w:overflowPunct/>
        <w:topLinePunct w:val="0"/>
        <w:autoSpaceDE/>
        <w:autoSpaceDN/>
        <w:bidi w:val="0"/>
        <w:snapToGrid w:val="0"/>
        <w:spacing w:line="240" w:lineRule="auto"/>
        <w:ind w:left="0" w:firstLine="420" w:leftChars="0" w:firstLineChars="200"/>
        <w:jc w:val="left"/>
        <w:textAlignment w:val="auto"/>
        <w:rPr>
          <w:rFonts w:ascii="宋体" w:eastAsia="宋体" w:hAnsi="宋体" w:cs="宋体" w:hint="eastAsia"/>
          <w:b/>
          <w:bCs/>
          <w:kern w:val="2"/>
          <w:sz w:val="21"/>
          <w:szCs w:val="21"/>
          <w:highlight w:val="none"/>
          <w:lang w:val="en-US" w:eastAsia="zh-CN" w:bidi="ar-SA"/>
        </w:rPr>
      </w:pPr>
      <w:r>
        <w:rPr>
          <w:rFonts w:ascii="宋体" w:eastAsia="宋体" w:hAnsi="宋体" w:cs="宋体" w:hint="eastAsia"/>
          <w:b/>
          <w:bCs/>
          <w:kern w:val="2"/>
          <w:sz w:val="21"/>
          <w:szCs w:val="21"/>
          <w:highlight w:val="none"/>
          <w:lang w:val="en-US" w:eastAsia="zh-CN" w:bidi="ar-SA"/>
        </w:rPr>
        <w:t>（一）</w:t>
      </w:r>
      <w:r>
        <w:rPr>
          <w:rFonts w:ascii="宋体" w:hAnsi="宋体" w:cs="宋体" w:hint="eastAsia"/>
          <w:b/>
          <w:bCs/>
          <w:kern w:val="2"/>
          <w:sz w:val="21"/>
          <w:szCs w:val="21"/>
          <w:highlight w:val="none"/>
          <w:lang w:val="en-US" w:eastAsia="zh-CN" w:bidi="ar-SA"/>
        </w:rPr>
        <w:t>医疗护理员</w:t>
      </w:r>
      <w:r>
        <w:rPr>
          <w:rFonts w:ascii="宋体" w:eastAsia="宋体" w:hAnsi="宋体" w:cs="宋体" w:hint="eastAsia"/>
          <w:b/>
          <w:bCs/>
          <w:kern w:val="2"/>
          <w:sz w:val="21"/>
          <w:szCs w:val="21"/>
          <w:highlight w:val="none"/>
          <w:lang w:val="en-US" w:eastAsia="zh-CN" w:bidi="ar-SA"/>
        </w:rPr>
        <w:t>体检合格率</w:t>
      </w:r>
    </w:p>
    <w:p>
      <w:pPr>
        <w:keepNext w:val="0"/>
        <w:keepLines w:val="0"/>
        <w:pageBreakBefore w:val="0"/>
        <w:widowControl w:val="0"/>
        <w:kinsoku/>
        <w:wordWrap/>
        <w:overflowPunct/>
        <w:topLinePunct w:val="0"/>
        <w:autoSpaceDE/>
        <w:autoSpaceDN/>
        <w:bidi w:val="0"/>
        <w:snapToGrid w:val="0"/>
        <w:spacing w:line="240" w:lineRule="auto"/>
        <w:ind w:firstLine="420" w:firstLineChars="200"/>
        <w:jc w:val="left"/>
        <w:textAlignment w:val="auto"/>
        <w:rPr>
          <w:rFonts w:ascii="宋体" w:eastAsia="宋体" w:hAnsi="宋体" w:cs="宋体" w:hint="eastAsia"/>
          <w:kern w:val="2"/>
          <w:sz w:val="21"/>
          <w:szCs w:val="21"/>
          <w:highlight w:val="none"/>
          <w:lang w:val="en-US" w:eastAsia="zh-CN" w:bidi="ar-SA"/>
        </w:rPr>
      </w:pPr>
      <w:r>
        <w:rPr>
          <w:rFonts w:ascii="宋体" w:eastAsia="宋体" w:hAnsi="宋体" w:cs="宋体" w:hint="eastAsia"/>
          <w:kern w:val="2"/>
          <w:sz w:val="21"/>
          <w:szCs w:val="21"/>
          <w:highlight w:val="none"/>
          <w:lang w:val="en-US" w:eastAsia="zh-CN" w:bidi="ar-SA"/>
        </w:rPr>
        <w:t>要求第三方公司提供所有在职</w:t>
      </w:r>
      <w:r>
        <w:rPr>
          <w:rFonts w:ascii="宋体" w:hAnsi="宋体" w:cs="宋体" w:hint="eastAsia"/>
          <w:kern w:val="2"/>
          <w:sz w:val="21"/>
          <w:szCs w:val="21"/>
          <w:highlight w:val="none"/>
          <w:lang w:val="en-US" w:eastAsia="zh-CN" w:bidi="ar-SA"/>
        </w:rPr>
        <w:t>医疗护理员</w:t>
      </w:r>
      <w:r>
        <w:rPr>
          <w:rFonts w:ascii="宋体" w:eastAsia="宋体" w:hAnsi="宋体" w:cs="宋体" w:hint="eastAsia"/>
          <w:kern w:val="2"/>
          <w:sz w:val="21"/>
          <w:szCs w:val="21"/>
          <w:highlight w:val="none"/>
          <w:lang w:val="en-US" w:eastAsia="zh-CN" w:bidi="ar-SA"/>
        </w:rPr>
        <w:t>名单，以便院方随机抽查。护理部专管人每月进行抽查，抽查比例不低于在职医疗护理员总数的50%，要求体检合格率100%。</w:t>
      </w:r>
    </w:p>
    <w:p>
      <w:pPr>
        <w:keepNext w:val="0"/>
        <w:keepLines w:val="0"/>
        <w:pageBreakBefore w:val="0"/>
        <w:widowControl w:val="0"/>
        <w:kinsoku/>
        <w:wordWrap/>
        <w:overflowPunct/>
        <w:topLinePunct w:val="0"/>
        <w:autoSpaceDE/>
        <w:autoSpaceDN/>
        <w:bidi w:val="0"/>
        <w:snapToGrid w:val="0"/>
        <w:spacing w:line="240" w:lineRule="auto"/>
        <w:ind w:left="0" w:firstLine="420" w:leftChars="0" w:firstLineChars="200"/>
        <w:jc w:val="left"/>
        <w:textAlignment w:val="auto"/>
        <w:rPr>
          <w:rFonts w:ascii="宋体" w:eastAsia="宋体" w:hAnsi="宋体" w:cs="宋体" w:hint="eastAsia"/>
          <w:b/>
          <w:bCs/>
          <w:color w:val="FF0000"/>
          <w:kern w:val="2"/>
          <w:sz w:val="21"/>
          <w:szCs w:val="21"/>
          <w:highlight w:val="none"/>
          <w:lang w:val="en-US" w:eastAsia="zh-CN" w:bidi="ar-SA"/>
        </w:rPr>
      </w:pPr>
      <w:r>
        <w:rPr>
          <w:rFonts w:ascii="宋体" w:eastAsia="宋体" w:hAnsi="宋体" w:cs="宋体" w:hint="eastAsia"/>
          <w:b/>
          <w:bCs/>
          <w:color w:val="FF0000"/>
          <w:highlight w:val="none"/>
        </w:rPr>
        <w:t>★</w:t>
      </w:r>
      <w:r>
        <w:rPr>
          <w:rFonts w:ascii="宋体" w:eastAsia="宋体" w:hAnsi="宋体" w:cs="宋体" w:hint="eastAsia"/>
          <w:b/>
          <w:bCs/>
          <w:color w:val="FF0000"/>
          <w:kern w:val="2"/>
          <w:sz w:val="21"/>
          <w:szCs w:val="21"/>
          <w:highlight w:val="none"/>
          <w:lang w:val="en-US" w:eastAsia="zh-CN" w:bidi="ar-SA"/>
        </w:rPr>
        <w:t>（二）</w:t>
      </w:r>
      <w:r>
        <w:rPr>
          <w:rFonts w:ascii="宋体" w:hAnsi="宋体" w:cs="宋体" w:hint="eastAsia"/>
          <w:b/>
          <w:bCs/>
          <w:color w:val="FF0000"/>
          <w:kern w:val="2"/>
          <w:sz w:val="21"/>
          <w:szCs w:val="21"/>
          <w:highlight w:val="none"/>
          <w:lang w:val="en-US" w:eastAsia="zh-CN" w:bidi="ar-SA"/>
        </w:rPr>
        <w:t>医疗护理员</w:t>
      </w:r>
      <w:r>
        <w:rPr>
          <w:rFonts w:ascii="宋体" w:eastAsia="宋体" w:hAnsi="宋体" w:cs="宋体" w:hint="eastAsia"/>
          <w:b/>
          <w:bCs/>
          <w:color w:val="FF0000"/>
          <w:kern w:val="2"/>
          <w:sz w:val="21"/>
          <w:szCs w:val="21"/>
          <w:highlight w:val="none"/>
          <w:lang w:val="en-US" w:eastAsia="zh-CN" w:bidi="ar-SA"/>
        </w:rPr>
        <w:t>持证上岗率</w:t>
      </w:r>
    </w:p>
    <w:p>
      <w:pPr>
        <w:keepNext w:val="0"/>
        <w:keepLines w:val="0"/>
        <w:pageBreakBefore w:val="0"/>
        <w:widowControl w:val="0"/>
        <w:kinsoku/>
        <w:wordWrap/>
        <w:overflowPunct/>
        <w:topLinePunct w:val="0"/>
        <w:autoSpaceDE/>
        <w:autoSpaceDN/>
        <w:bidi w:val="0"/>
        <w:snapToGrid w:val="0"/>
        <w:spacing w:line="240" w:lineRule="auto"/>
        <w:ind w:firstLine="420" w:firstLineChars="200"/>
        <w:jc w:val="left"/>
        <w:textAlignment w:val="auto"/>
        <w:rPr>
          <w:rFonts w:ascii="宋体" w:eastAsia="宋体" w:hAnsi="宋体" w:cs="宋体" w:hint="eastAsia"/>
          <w:b/>
          <w:bCs/>
          <w:color w:val="FF0000"/>
          <w:kern w:val="2"/>
          <w:sz w:val="21"/>
          <w:szCs w:val="21"/>
          <w:highlight w:val="none"/>
          <w:lang w:val="en-US" w:eastAsia="zh-CN" w:bidi="ar-SA"/>
        </w:rPr>
      </w:pPr>
      <w:r>
        <w:rPr>
          <w:rFonts w:ascii="宋体" w:hAnsi="宋体" w:cs="宋体" w:hint="eastAsia"/>
          <w:b/>
          <w:bCs/>
          <w:color w:val="FF0000"/>
          <w:highlight w:val="none"/>
          <w:lang w:val="en-US" w:eastAsia="zh-CN"/>
        </w:rPr>
        <w:t>投标人拟派的</w:t>
      </w:r>
      <w:r>
        <w:rPr>
          <w:rFonts w:ascii="宋体" w:eastAsia="宋体" w:hAnsi="宋体" w:cs="宋体" w:hint="eastAsia"/>
          <w:b/>
          <w:bCs/>
          <w:color w:val="FF0000"/>
          <w:kern w:val="2"/>
          <w:sz w:val="21"/>
          <w:szCs w:val="21"/>
          <w:highlight w:val="none"/>
          <w:lang w:val="en-US" w:eastAsia="zh-CN" w:bidi="ar-SA"/>
        </w:rPr>
        <w:t>从事陪护服务的人员必须严格按照规定进行培训，经考核合格后持证方可上岗。护理部专管人每月对在职的医疗护理员持证上岗率进行抽查，抽查比例不低于在职医疗护理员总数的50%，要求持证上岗率100%。</w:t>
      </w:r>
    </w:p>
    <w:p>
      <w:pPr>
        <w:keepNext w:val="0"/>
        <w:keepLines w:val="0"/>
        <w:pageBreakBefore w:val="0"/>
        <w:widowControl w:val="0"/>
        <w:numPr>
          <w:ilvl w:val="0"/>
          <w:numId w:val="0"/>
        </w:numPr>
        <w:kinsoku/>
        <w:wordWrap/>
        <w:overflowPunct/>
        <w:topLinePunct w:val="0"/>
        <w:autoSpaceDE/>
        <w:autoSpaceDN/>
        <w:bidi w:val="0"/>
        <w:snapToGrid w:val="0"/>
        <w:spacing w:line="240" w:lineRule="auto"/>
        <w:ind w:firstLine="420" w:firstLineChars="200"/>
        <w:jc w:val="left"/>
        <w:textAlignment w:val="auto"/>
        <w:rPr>
          <w:rFonts w:ascii="宋体" w:eastAsia="宋体" w:hAnsi="宋体" w:cs="宋体" w:hint="eastAsia"/>
          <w:b/>
          <w:bCs/>
          <w:kern w:val="2"/>
          <w:sz w:val="21"/>
          <w:szCs w:val="21"/>
          <w:highlight w:val="none"/>
          <w:lang w:val="en-US" w:eastAsia="zh-CN" w:bidi="ar-SA"/>
        </w:rPr>
      </w:pPr>
      <w:r>
        <w:rPr>
          <w:rFonts w:ascii="宋体" w:eastAsia="宋体" w:hAnsi="宋体" w:cs="宋体" w:hint="eastAsia"/>
          <w:b/>
          <w:bCs/>
          <w:kern w:val="2"/>
          <w:sz w:val="21"/>
          <w:szCs w:val="21"/>
          <w:highlight w:val="none"/>
          <w:lang w:val="en-US" w:eastAsia="zh-CN" w:bidi="ar-SA"/>
        </w:rPr>
        <w:t>（三）</w:t>
      </w:r>
      <w:r>
        <w:rPr>
          <w:rFonts w:ascii="宋体" w:hAnsi="宋体" w:cs="宋体" w:hint="eastAsia"/>
          <w:b/>
          <w:bCs/>
          <w:kern w:val="2"/>
          <w:sz w:val="21"/>
          <w:szCs w:val="21"/>
          <w:highlight w:val="none"/>
          <w:lang w:val="en-US" w:eastAsia="zh-CN" w:bidi="ar-SA"/>
        </w:rPr>
        <w:t>免陪照护</w:t>
      </w:r>
      <w:r>
        <w:rPr>
          <w:rFonts w:ascii="宋体" w:eastAsia="宋体" w:hAnsi="宋体" w:cs="宋体" w:hint="eastAsia"/>
          <w:b/>
          <w:bCs/>
          <w:kern w:val="2"/>
          <w:sz w:val="21"/>
          <w:szCs w:val="21"/>
          <w:highlight w:val="none"/>
          <w:lang w:val="en-US" w:eastAsia="zh-CN" w:bidi="ar-SA"/>
        </w:rPr>
        <w:t>服务满意度</w:t>
      </w:r>
    </w:p>
    <w:p>
      <w:pPr>
        <w:keepNext w:val="0"/>
        <w:keepLines w:val="0"/>
        <w:pageBreakBefore w:val="0"/>
        <w:widowControl w:val="0"/>
        <w:numPr>
          <w:ilvl w:val="0"/>
          <w:numId w:val="0"/>
        </w:numPr>
        <w:kinsoku/>
        <w:wordWrap/>
        <w:overflowPunct/>
        <w:topLinePunct w:val="0"/>
        <w:autoSpaceDE/>
        <w:autoSpaceDN/>
        <w:bidi w:val="0"/>
        <w:snapToGrid w:val="0"/>
        <w:spacing w:line="240" w:lineRule="auto"/>
        <w:ind w:firstLine="420" w:firstLineChars="200"/>
        <w:jc w:val="left"/>
        <w:textAlignment w:val="auto"/>
        <w:rPr>
          <w:rFonts w:ascii="宋体" w:eastAsia="宋体" w:hAnsi="宋体" w:cs="宋体" w:hint="eastAsia"/>
          <w:kern w:val="2"/>
          <w:sz w:val="21"/>
          <w:szCs w:val="21"/>
          <w:highlight w:val="none"/>
          <w:lang w:val="en-US" w:eastAsia="zh-CN" w:bidi="ar-SA"/>
        </w:rPr>
      </w:pPr>
      <w:r>
        <w:rPr>
          <w:rFonts w:ascii="宋体" w:eastAsia="宋体" w:hAnsi="宋体" w:cs="宋体" w:hint="eastAsia"/>
          <w:kern w:val="2"/>
          <w:sz w:val="21"/>
          <w:szCs w:val="21"/>
          <w:highlight w:val="none"/>
          <w:lang w:val="en-US" w:eastAsia="zh-CN" w:bidi="ar-SA"/>
        </w:rPr>
        <w:t>护理部专管人每月不定期发放服务满意度调查表，包括医生满意度、护士满意度、患者满意度，汇总为科室满意度、全院满意度。要求每月全院平均患者满意度和科室满意度均不得低于90%。</w:t>
      </w:r>
    </w:p>
    <w:p>
      <w:pPr>
        <w:keepNext w:val="0"/>
        <w:keepLines w:val="0"/>
        <w:pageBreakBefore w:val="0"/>
        <w:widowControl w:val="0"/>
        <w:numPr>
          <w:ilvl w:val="0"/>
          <w:numId w:val="0"/>
        </w:numPr>
        <w:kinsoku/>
        <w:wordWrap/>
        <w:overflowPunct/>
        <w:topLinePunct w:val="0"/>
        <w:autoSpaceDE/>
        <w:autoSpaceDN/>
        <w:bidi w:val="0"/>
        <w:snapToGrid w:val="0"/>
        <w:spacing w:line="240" w:lineRule="auto"/>
        <w:ind w:firstLine="420" w:firstLineChars="200"/>
        <w:jc w:val="left"/>
        <w:textAlignment w:val="auto"/>
        <w:rPr>
          <w:rFonts w:ascii="宋体" w:eastAsia="宋体" w:hAnsi="宋体" w:cs="宋体" w:hint="eastAsia"/>
          <w:b/>
          <w:bCs/>
          <w:kern w:val="2"/>
          <w:sz w:val="21"/>
          <w:szCs w:val="21"/>
          <w:highlight w:val="none"/>
          <w:lang w:val="en-US" w:eastAsia="zh-CN" w:bidi="ar-SA"/>
        </w:rPr>
      </w:pPr>
      <w:r>
        <w:rPr>
          <w:rFonts w:ascii="宋体" w:eastAsia="宋体" w:hAnsi="宋体" w:cs="宋体" w:hint="eastAsia"/>
          <w:b/>
          <w:bCs/>
          <w:kern w:val="2"/>
          <w:sz w:val="21"/>
          <w:szCs w:val="21"/>
          <w:highlight w:val="none"/>
          <w:lang w:val="en-US" w:eastAsia="zh-CN" w:bidi="ar-SA"/>
        </w:rPr>
        <w:t>（四）投诉处理及时率</w:t>
      </w:r>
    </w:p>
    <w:p>
      <w:pPr>
        <w:keepNext w:val="0"/>
        <w:keepLines w:val="0"/>
        <w:pageBreakBefore w:val="0"/>
        <w:widowControl w:val="0"/>
        <w:numPr>
          <w:ilvl w:val="0"/>
          <w:numId w:val="0"/>
        </w:numPr>
        <w:kinsoku/>
        <w:wordWrap/>
        <w:overflowPunct/>
        <w:topLinePunct w:val="0"/>
        <w:autoSpaceDE/>
        <w:autoSpaceDN/>
        <w:bidi w:val="0"/>
        <w:snapToGrid w:val="0"/>
        <w:spacing w:line="240" w:lineRule="auto"/>
        <w:ind w:firstLine="420" w:firstLineChars="200"/>
        <w:jc w:val="left"/>
        <w:textAlignment w:val="auto"/>
        <w:rPr>
          <w:rFonts w:ascii="宋体" w:eastAsia="宋体" w:hAnsi="宋体" w:cs="宋体" w:hint="eastAsia"/>
          <w:kern w:val="2"/>
          <w:sz w:val="21"/>
          <w:szCs w:val="21"/>
          <w:highlight w:val="none"/>
          <w:lang w:val="en-US" w:eastAsia="zh-CN" w:bidi="ar-SA"/>
        </w:rPr>
      </w:pPr>
      <w:r>
        <w:rPr>
          <w:rFonts w:ascii="宋体" w:hAnsi="宋体" w:cs="宋体" w:hint="eastAsia"/>
          <w:kern w:val="2"/>
          <w:sz w:val="21"/>
          <w:szCs w:val="21"/>
          <w:highlight w:val="none"/>
          <w:lang w:val="en-US" w:eastAsia="zh-CN" w:bidi="ar-SA"/>
        </w:rPr>
        <w:t>医疗护理员</w:t>
      </w:r>
      <w:r>
        <w:rPr>
          <w:rFonts w:ascii="宋体" w:eastAsia="宋体" w:hAnsi="宋体" w:cs="宋体" w:hint="eastAsia"/>
          <w:kern w:val="2"/>
          <w:sz w:val="21"/>
          <w:szCs w:val="21"/>
          <w:highlight w:val="none"/>
          <w:lang w:val="en-US" w:eastAsia="zh-CN" w:bidi="ar-SA"/>
        </w:rPr>
        <w:t>应当为患者提供优质服务，原则上不与患者发生冲突与纠纷，一旦出现不可避免的冲突与纠纷，要及时上报公司管理层与科室护士长。当公司管理层接到投诉后，要在30分钟内赶到现场进行调查和处理，并根据事件情节轻重在2～48小时内给予解决或答复（情节较为严重事件要求在2小时内予以解决或答复，一般事件在48小时内予以解决或答复）。要求投诉处理及时处理率达到100%。</w:t>
      </w:r>
    </w:p>
    <w:p>
      <w:pPr>
        <w:keepNext w:val="0"/>
        <w:keepLines w:val="0"/>
        <w:pageBreakBefore w:val="0"/>
        <w:widowControl w:val="0"/>
        <w:numPr>
          <w:ilvl w:val="0"/>
          <w:numId w:val="0"/>
        </w:numPr>
        <w:kinsoku/>
        <w:wordWrap/>
        <w:overflowPunct/>
        <w:topLinePunct w:val="0"/>
        <w:autoSpaceDE/>
        <w:autoSpaceDN/>
        <w:bidi w:val="0"/>
        <w:snapToGrid w:val="0"/>
        <w:spacing w:line="240" w:lineRule="auto"/>
        <w:ind w:firstLine="420" w:firstLineChars="200"/>
        <w:jc w:val="left"/>
        <w:textAlignment w:val="auto"/>
        <w:rPr>
          <w:rFonts w:ascii="宋体" w:eastAsia="宋体" w:hAnsi="宋体" w:cs="宋体" w:hint="eastAsia"/>
          <w:b/>
          <w:bCs/>
          <w:kern w:val="2"/>
          <w:sz w:val="21"/>
          <w:szCs w:val="21"/>
          <w:highlight w:val="none"/>
          <w:lang w:val="en-US" w:eastAsia="zh-CN" w:bidi="ar-SA"/>
        </w:rPr>
      </w:pPr>
      <w:r>
        <w:rPr>
          <w:rFonts w:ascii="宋体" w:eastAsia="宋体" w:hAnsi="宋体" w:cs="宋体" w:hint="eastAsia"/>
          <w:b/>
          <w:bCs/>
          <w:kern w:val="2"/>
          <w:sz w:val="21"/>
          <w:szCs w:val="21"/>
          <w:highlight w:val="none"/>
          <w:lang w:val="en-US" w:eastAsia="zh-CN" w:bidi="ar-SA"/>
        </w:rPr>
        <w:t>（五）工作计划完成率</w:t>
      </w:r>
    </w:p>
    <w:p>
      <w:pPr>
        <w:numPr>
          <w:ilvl w:val="0"/>
          <w:numId w:val="0"/>
        </w:numPr>
        <w:adjustRightInd w:val="0"/>
        <w:snapToGrid w:val="0"/>
        <w:ind w:firstLine="420" w:firstLineChars="200"/>
        <w:rPr>
          <w:rFonts w:ascii="宋体" w:eastAsia="宋体" w:hAnsi="宋体" w:cs="宋体" w:hint="eastAsia"/>
          <w:b/>
          <w:bCs/>
          <w:color w:val="FF0000"/>
          <w:szCs w:val="21"/>
          <w:highlight w:val="none"/>
        </w:rPr>
      </w:pPr>
      <w:r>
        <w:rPr>
          <w:rFonts w:ascii="宋体" w:eastAsia="宋体" w:hAnsi="宋体" w:cs="宋体" w:hint="eastAsia"/>
          <w:kern w:val="2"/>
          <w:sz w:val="21"/>
          <w:szCs w:val="21"/>
          <w:highlight w:val="none"/>
          <w:lang w:val="en-US" w:eastAsia="zh-CN" w:bidi="ar-SA"/>
        </w:rPr>
        <w:t>第三方公司要有健全的管理制度与应急预案，要有每年度、每季度、每月工作计划与总结。每日巡查，每周自查，每月质量考评与整改。要求每月工作计划完成率≧95%。</w:t>
      </w:r>
    </w:p>
    <w:p>
      <w:pPr>
        <w:keepNext w:val="0"/>
        <w:keepLines w:val="0"/>
        <w:pageBreakBefore w:val="0"/>
        <w:widowControl w:val="0"/>
        <w:numPr>
          <w:ilvl w:val="0"/>
          <w:numId w:val="6"/>
        </w:numPr>
        <w:kinsoku/>
        <w:wordWrap/>
        <w:overflowPunct/>
        <w:topLinePunct w:val="0"/>
        <w:autoSpaceDE/>
        <w:autoSpaceDN/>
        <w:bidi w:val="0"/>
        <w:snapToGrid w:val="0"/>
        <w:spacing w:line="240" w:lineRule="auto"/>
        <w:ind w:firstLine="420" w:firstLineChars="200"/>
        <w:jc w:val="left"/>
        <w:textAlignment w:val="auto"/>
        <w:rPr>
          <w:rFonts w:ascii="宋体" w:eastAsia="宋体" w:hAnsi="宋体" w:cs="宋体" w:hint="eastAsia"/>
          <w:b/>
          <w:bCs/>
          <w:kern w:val="2"/>
          <w:sz w:val="21"/>
          <w:szCs w:val="21"/>
          <w:highlight w:val="none"/>
          <w:lang w:val="en-US" w:eastAsia="zh-CN" w:bidi="ar-SA"/>
        </w:rPr>
      </w:pPr>
      <w:r>
        <w:rPr>
          <w:rFonts w:ascii="宋体" w:eastAsia="宋体" w:hAnsi="宋体" w:cs="宋体" w:hint="eastAsia"/>
          <w:b/>
          <w:bCs/>
          <w:kern w:val="2"/>
          <w:sz w:val="21"/>
          <w:szCs w:val="21"/>
          <w:highlight w:val="none"/>
          <w:lang w:val="en-US" w:eastAsia="zh-CN" w:bidi="ar-SA"/>
        </w:rPr>
        <w:t>服务质量考评</w:t>
      </w:r>
    </w:p>
    <w:p>
      <w:pPr>
        <w:keepNext w:val="0"/>
        <w:keepLines w:val="0"/>
        <w:pageBreakBefore w:val="0"/>
        <w:widowControl w:val="0"/>
        <w:numPr>
          <w:ilvl w:val="0"/>
          <w:numId w:val="0"/>
        </w:numPr>
        <w:kinsoku/>
        <w:wordWrap/>
        <w:overflowPunct/>
        <w:topLinePunct w:val="0"/>
        <w:autoSpaceDE/>
        <w:autoSpaceDN/>
        <w:bidi w:val="0"/>
        <w:snapToGrid w:val="0"/>
        <w:spacing w:line="240" w:lineRule="auto"/>
        <w:ind w:firstLine="420" w:firstLineChars="200"/>
        <w:contextualSpacing w:val="0"/>
        <w:jc w:val="center"/>
        <w:textAlignment w:val="auto"/>
        <w:rPr>
          <w:rFonts w:ascii="宋体" w:eastAsia="宋体" w:hAnsi="宋体" w:cs="宋体" w:hint="eastAsia"/>
          <w:b/>
          <w:bCs/>
          <w:sz w:val="21"/>
          <w:szCs w:val="21"/>
          <w:highlight w:val="none"/>
          <w:lang w:val="en-US" w:eastAsia="zh-CN"/>
        </w:rPr>
      </w:pPr>
      <w:r>
        <w:rPr>
          <w:rFonts w:ascii="宋体" w:eastAsia="宋体" w:hAnsi="宋体" w:cs="宋体" w:hint="eastAsia"/>
          <w:b/>
          <w:bCs/>
          <w:sz w:val="21"/>
          <w:szCs w:val="21"/>
          <w:highlight w:val="none"/>
          <w:lang w:val="en-US" w:eastAsia="zh-CN"/>
        </w:rPr>
        <w:t>医疗护理员服务质量考评标准</w:t>
      </w:r>
    </w:p>
    <w:tbl>
      <w:tblPr>
        <w:tblStyle w:val="TableGrid"/>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87"/>
        <w:gridCol w:w="720"/>
        <w:gridCol w:w="4455"/>
        <w:gridCol w:w="2507"/>
        <w:gridCol w:w="728"/>
      </w:tblGrid>
      <w:tr>
        <w:tblPrEx>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67"/>
          <w:jc w:val="center"/>
        </w:trPr>
        <w:tc>
          <w:tcPr>
            <w:tcW w:w="1487"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b/>
                <w:bCs/>
                <w:sz w:val="21"/>
                <w:szCs w:val="21"/>
                <w:highlight w:val="none"/>
                <w:lang w:val="en-US" w:eastAsia="zh-CN"/>
              </w:rPr>
            </w:pPr>
            <w:r>
              <w:rPr>
                <w:rFonts w:ascii="宋体" w:eastAsia="宋体" w:hAnsi="宋体" w:cs="宋体" w:hint="eastAsia"/>
                <w:b/>
                <w:bCs/>
                <w:sz w:val="21"/>
                <w:szCs w:val="21"/>
                <w:highlight w:val="none"/>
                <w:lang w:val="en-US" w:eastAsia="zh-CN"/>
              </w:rPr>
              <w:t>项目</w:t>
            </w:r>
          </w:p>
        </w:tc>
        <w:tc>
          <w:tcPr>
            <w:tcW w:w="720"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b/>
                <w:bCs/>
                <w:sz w:val="21"/>
                <w:szCs w:val="21"/>
                <w:highlight w:val="none"/>
                <w:lang w:val="en-US" w:eastAsia="zh-CN"/>
              </w:rPr>
            </w:pPr>
            <w:r>
              <w:rPr>
                <w:rFonts w:ascii="宋体" w:eastAsia="宋体" w:hAnsi="宋体" w:cs="宋体" w:hint="eastAsia"/>
                <w:b/>
                <w:bCs/>
                <w:sz w:val="21"/>
                <w:szCs w:val="21"/>
                <w:highlight w:val="none"/>
                <w:lang w:val="en-US" w:eastAsia="zh-CN"/>
              </w:rPr>
              <w:t>分值</w:t>
            </w:r>
          </w:p>
        </w:tc>
        <w:tc>
          <w:tcPr>
            <w:tcW w:w="4455"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b/>
                <w:bCs/>
                <w:sz w:val="21"/>
                <w:szCs w:val="21"/>
                <w:highlight w:val="none"/>
                <w:lang w:val="en-US" w:eastAsia="zh-CN"/>
              </w:rPr>
            </w:pPr>
            <w:r>
              <w:rPr>
                <w:rFonts w:ascii="宋体" w:eastAsia="宋体" w:hAnsi="宋体" w:cs="宋体" w:hint="eastAsia"/>
                <w:b/>
                <w:bCs/>
                <w:sz w:val="21"/>
                <w:szCs w:val="21"/>
                <w:highlight w:val="none"/>
                <w:lang w:val="en-US" w:eastAsia="zh-CN"/>
              </w:rPr>
              <w:t>评价内容</w:t>
            </w:r>
          </w:p>
        </w:tc>
        <w:tc>
          <w:tcPr>
            <w:tcW w:w="2507"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b/>
                <w:bCs/>
                <w:sz w:val="21"/>
                <w:szCs w:val="21"/>
                <w:highlight w:val="none"/>
                <w:lang w:val="en-US" w:eastAsia="zh-CN"/>
              </w:rPr>
            </w:pPr>
            <w:r>
              <w:rPr>
                <w:rFonts w:ascii="宋体" w:eastAsia="宋体" w:hAnsi="宋体" w:cs="宋体" w:hint="eastAsia"/>
                <w:b/>
                <w:bCs/>
                <w:sz w:val="21"/>
                <w:szCs w:val="21"/>
                <w:highlight w:val="none"/>
                <w:lang w:val="en-US" w:eastAsia="zh-CN"/>
              </w:rPr>
              <w:t>扣分标准</w:t>
            </w:r>
          </w:p>
        </w:tc>
        <w:tc>
          <w:tcPr>
            <w:tcW w:w="728"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b/>
                <w:bCs/>
                <w:sz w:val="21"/>
                <w:szCs w:val="21"/>
                <w:highlight w:val="none"/>
                <w:lang w:val="en-US" w:eastAsia="zh-CN"/>
              </w:rPr>
            </w:pPr>
            <w:r>
              <w:rPr>
                <w:rFonts w:ascii="宋体" w:eastAsia="宋体" w:hAnsi="宋体" w:cs="宋体" w:hint="eastAsia"/>
                <w:b/>
                <w:bCs/>
                <w:sz w:val="21"/>
                <w:szCs w:val="21"/>
                <w:highlight w:val="none"/>
                <w:lang w:val="en-US" w:eastAsia="zh-CN"/>
              </w:rPr>
              <w:t>扣分</w:t>
            </w:r>
          </w:p>
        </w:tc>
      </w:tr>
      <w:tr>
        <w:tblPrEx>
          <w:tblW w:w="9897" w:type="dxa"/>
          <w:jc w:val="center"/>
          <w:tblCellMar>
            <w:top w:w="0" w:type="dxa"/>
            <w:left w:w="108" w:type="dxa"/>
            <w:bottom w:w="0" w:type="dxa"/>
            <w:right w:w="108" w:type="dxa"/>
          </w:tblCellMar>
        </w:tblPrEx>
        <w:trPr>
          <w:jc w:val="center"/>
        </w:trPr>
        <w:tc>
          <w:tcPr>
            <w:tcW w:w="1487" w:type="dxa"/>
            <w:vMerge w:val="restart"/>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仪容仪表</w:t>
            </w:r>
          </w:p>
        </w:tc>
        <w:tc>
          <w:tcPr>
            <w:tcW w:w="720"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2</w:t>
            </w:r>
          </w:p>
        </w:tc>
        <w:tc>
          <w:tcPr>
            <w:tcW w:w="4455"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端庄大方，着装规范整洁、统一佩戴工号牌，便于识别。工作期间不穿拖鞋、不戴首饰、不涂甲油等</w:t>
            </w:r>
          </w:p>
        </w:tc>
        <w:tc>
          <w:tcPr>
            <w:tcW w:w="2507" w:type="dxa"/>
            <w:vMerge w:val="restart"/>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每项扣1~2分，</w:t>
            </w:r>
          </w:p>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累计每月发生2次者，视严重程度予以处理</w:t>
            </w:r>
          </w:p>
        </w:tc>
        <w:tc>
          <w:tcPr>
            <w:tcW w:w="7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ascii="宋体" w:eastAsia="宋体" w:hAnsi="宋体" w:cs="宋体" w:hint="eastAsia"/>
                <w:b w:val="0"/>
                <w:bCs w:val="0"/>
                <w:sz w:val="21"/>
                <w:szCs w:val="21"/>
                <w:highlight w:val="none"/>
                <w:vertAlign w:val="baseline"/>
                <w:lang w:val="en-US" w:eastAsia="zh-CN"/>
              </w:rPr>
            </w:pPr>
          </w:p>
        </w:tc>
      </w:tr>
      <w:tr>
        <w:tblPrEx>
          <w:tblW w:w="9897" w:type="dxa"/>
          <w:jc w:val="center"/>
          <w:tblCellMar>
            <w:top w:w="0" w:type="dxa"/>
            <w:left w:w="108" w:type="dxa"/>
            <w:bottom w:w="0" w:type="dxa"/>
            <w:right w:w="108" w:type="dxa"/>
          </w:tblCellMar>
        </w:tblPrEx>
        <w:trPr>
          <w:jc w:val="center"/>
        </w:trPr>
        <w:tc>
          <w:tcPr>
            <w:tcW w:w="1487" w:type="dxa"/>
            <w:vMerge/>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p>
        </w:tc>
        <w:tc>
          <w:tcPr>
            <w:tcW w:w="720"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2</w:t>
            </w:r>
          </w:p>
        </w:tc>
        <w:tc>
          <w:tcPr>
            <w:tcW w:w="4455"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表情自然、亲切，提倡微笑服务，与医护人员、患者及家属打招呼时应礼貌问好</w:t>
            </w:r>
          </w:p>
        </w:tc>
        <w:tc>
          <w:tcPr>
            <w:tcW w:w="2507" w:type="dxa"/>
            <w:vMerge/>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p>
        </w:tc>
        <w:tc>
          <w:tcPr>
            <w:tcW w:w="7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ascii="宋体" w:eastAsia="宋体" w:hAnsi="宋体" w:cs="宋体" w:hint="eastAsia"/>
                <w:b w:val="0"/>
                <w:bCs w:val="0"/>
                <w:sz w:val="21"/>
                <w:szCs w:val="21"/>
                <w:highlight w:val="none"/>
                <w:vertAlign w:val="baseline"/>
                <w:lang w:val="en-US" w:eastAsia="zh-CN"/>
              </w:rPr>
            </w:pPr>
          </w:p>
        </w:tc>
      </w:tr>
      <w:tr>
        <w:tblPrEx>
          <w:tblW w:w="9897" w:type="dxa"/>
          <w:jc w:val="center"/>
          <w:tblCellMar>
            <w:top w:w="0" w:type="dxa"/>
            <w:left w:w="108" w:type="dxa"/>
            <w:bottom w:w="0" w:type="dxa"/>
            <w:right w:w="108" w:type="dxa"/>
          </w:tblCellMar>
        </w:tblPrEx>
        <w:trPr>
          <w:jc w:val="center"/>
        </w:trPr>
        <w:tc>
          <w:tcPr>
            <w:tcW w:w="1487" w:type="dxa"/>
            <w:vMerge w:val="restart"/>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言行举止</w:t>
            </w:r>
          </w:p>
        </w:tc>
        <w:tc>
          <w:tcPr>
            <w:tcW w:w="720"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p>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2</w:t>
            </w:r>
          </w:p>
        </w:tc>
        <w:tc>
          <w:tcPr>
            <w:tcW w:w="4455"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遵守纪律，不迟到、不早退、不无故离岗。工作期间不睡觉、不做私事等；服从管理人员的工作分配</w:t>
            </w:r>
          </w:p>
        </w:tc>
        <w:tc>
          <w:tcPr>
            <w:tcW w:w="2507" w:type="dxa"/>
            <w:vMerge w:val="restart"/>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p>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p>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p>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每项扣1~2分，累计每月发生2次者，视严重程度予以扣罚处理。如发现私自出租/售卖任何物品，给予警告，若发现两次，则予辞职</w:t>
            </w:r>
          </w:p>
        </w:tc>
        <w:tc>
          <w:tcPr>
            <w:tcW w:w="7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ascii="宋体" w:eastAsia="宋体" w:hAnsi="宋体" w:cs="宋体" w:hint="eastAsia"/>
                <w:b w:val="0"/>
                <w:bCs w:val="0"/>
                <w:sz w:val="21"/>
                <w:szCs w:val="21"/>
                <w:highlight w:val="none"/>
                <w:vertAlign w:val="baseline"/>
                <w:lang w:val="en-US" w:eastAsia="zh-CN"/>
              </w:rPr>
            </w:pPr>
          </w:p>
        </w:tc>
      </w:tr>
      <w:tr>
        <w:tblPrEx>
          <w:tblW w:w="9897" w:type="dxa"/>
          <w:jc w:val="center"/>
          <w:tblCellMar>
            <w:top w:w="0" w:type="dxa"/>
            <w:left w:w="108" w:type="dxa"/>
            <w:bottom w:w="0" w:type="dxa"/>
            <w:right w:w="108" w:type="dxa"/>
          </w:tblCellMar>
        </w:tblPrEx>
        <w:trPr>
          <w:jc w:val="center"/>
        </w:trPr>
        <w:tc>
          <w:tcPr>
            <w:tcW w:w="1487" w:type="dxa"/>
            <w:vMerge/>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p>
        </w:tc>
        <w:tc>
          <w:tcPr>
            <w:tcW w:w="720"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2</w:t>
            </w:r>
          </w:p>
        </w:tc>
        <w:tc>
          <w:tcPr>
            <w:tcW w:w="4455"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主动服务，符合相应岗位的服务礼仪规范，让患者及家属感到尊重、舒适；善于沟通，不谈论有损患者健康和影响患者情绪的事情，无因言行举止不当而引起的投诉</w:t>
            </w:r>
          </w:p>
        </w:tc>
        <w:tc>
          <w:tcPr>
            <w:tcW w:w="2507" w:type="dxa"/>
            <w:vMerge/>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p>
        </w:tc>
        <w:tc>
          <w:tcPr>
            <w:tcW w:w="7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ascii="宋体" w:eastAsia="宋体" w:hAnsi="宋体" w:cs="宋体" w:hint="eastAsia"/>
                <w:b w:val="0"/>
                <w:bCs w:val="0"/>
                <w:sz w:val="21"/>
                <w:szCs w:val="21"/>
                <w:highlight w:val="none"/>
                <w:vertAlign w:val="baseline"/>
                <w:lang w:val="en-US" w:eastAsia="zh-CN"/>
              </w:rPr>
            </w:pPr>
          </w:p>
        </w:tc>
      </w:tr>
      <w:tr>
        <w:tblPrEx>
          <w:tblW w:w="9897" w:type="dxa"/>
          <w:jc w:val="center"/>
          <w:tblCellMar>
            <w:top w:w="0" w:type="dxa"/>
            <w:left w:w="108" w:type="dxa"/>
            <w:bottom w:w="0" w:type="dxa"/>
            <w:right w:w="108" w:type="dxa"/>
          </w:tblCellMar>
        </w:tblPrEx>
        <w:trPr>
          <w:jc w:val="center"/>
        </w:trPr>
        <w:tc>
          <w:tcPr>
            <w:tcW w:w="1487" w:type="dxa"/>
            <w:vMerge/>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p>
        </w:tc>
        <w:tc>
          <w:tcPr>
            <w:tcW w:w="720"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2</w:t>
            </w:r>
          </w:p>
        </w:tc>
        <w:tc>
          <w:tcPr>
            <w:tcW w:w="4455"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尊重患者，能设身处地为患者考虑，尊重患者的信仰及生活习惯、饮食习惯；不收受患者的赠品及钱财</w:t>
            </w:r>
          </w:p>
        </w:tc>
        <w:tc>
          <w:tcPr>
            <w:tcW w:w="2507" w:type="dxa"/>
            <w:vMerge/>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p>
        </w:tc>
        <w:tc>
          <w:tcPr>
            <w:tcW w:w="7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ascii="宋体" w:eastAsia="宋体" w:hAnsi="宋体" w:cs="宋体" w:hint="eastAsia"/>
                <w:b w:val="0"/>
                <w:bCs w:val="0"/>
                <w:sz w:val="21"/>
                <w:szCs w:val="21"/>
                <w:highlight w:val="none"/>
                <w:vertAlign w:val="baseline"/>
                <w:lang w:val="en-US" w:eastAsia="zh-CN"/>
              </w:rPr>
            </w:pPr>
          </w:p>
        </w:tc>
      </w:tr>
      <w:tr>
        <w:tblPrEx>
          <w:tblW w:w="9897" w:type="dxa"/>
          <w:jc w:val="center"/>
          <w:tblCellMar>
            <w:top w:w="0" w:type="dxa"/>
            <w:left w:w="108" w:type="dxa"/>
            <w:bottom w:w="0" w:type="dxa"/>
            <w:right w:w="108" w:type="dxa"/>
          </w:tblCellMar>
        </w:tblPrEx>
        <w:trPr>
          <w:jc w:val="center"/>
        </w:trPr>
        <w:tc>
          <w:tcPr>
            <w:tcW w:w="1487" w:type="dxa"/>
            <w:vMerge/>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p>
        </w:tc>
        <w:tc>
          <w:tcPr>
            <w:tcW w:w="720"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2</w:t>
            </w:r>
          </w:p>
        </w:tc>
        <w:tc>
          <w:tcPr>
            <w:tcW w:w="4455"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配合病房管理，不在病区或走廊聚众聊天、大声喧哗，影响患者休息。禁止私自出租/售卖任何物品</w:t>
            </w:r>
          </w:p>
        </w:tc>
        <w:tc>
          <w:tcPr>
            <w:tcW w:w="2507" w:type="dxa"/>
            <w:vMerge/>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p>
        </w:tc>
        <w:tc>
          <w:tcPr>
            <w:tcW w:w="7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ascii="宋体" w:eastAsia="宋体" w:hAnsi="宋体" w:cs="宋体" w:hint="eastAsia"/>
                <w:b w:val="0"/>
                <w:bCs w:val="0"/>
                <w:sz w:val="21"/>
                <w:szCs w:val="21"/>
                <w:highlight w:val="none"/>
                <w:vertAlign w:val="baseline"/>
                <w:lang w:val="en-US" w:eastAsia="zh-CN"/>
              </w:rPr>
            </w:pPr>
          </w:p>
        </w:tc>
      </w:tr>
      <w:tr>
        <w:tblPrEx>
          <w:tblW w:w="9897" w:type="dxa"/>
          <w:jc w:val="center"/>
          <w:tblCellMar>
            <w:top w:w="0" w:type="dxa"/>
            <w:left w:w="108" w:type="dxa"/>
            <w:bottom w:w="0" w:type="dxa"/>
            <w:right w:w="108" w:type="dxa"/>
          </w:tblCellMar>
        </w:tblPrEx>
        <w:trPr>
          <w:jc w:val="center"/>
        </w:trPr>
        <w:tc>
          <w:tcPr>
            <w:tcW w:w="1487" w:type="dxa"/>
            <w:vMerge w:val="restart"/>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饮食照料</w:t>
            </w:r>
          </w:p>
        </w:tc>
        <w:tc>
          <w:tcPr>
            <w:tcW w:w="720"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4455"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做好患者进餐前准备，协助患者排净大小便，洗手及清洁口腔；尽量协助患者下床用餐，卧床者协助患者取舒适就餐体位和姿势进食，患者如有假牙须戴好</w:t>
            </w:r>
          </w:p>
        </w:tc>
        <w:tc>
          <w:tcPr>
            <w:tcW w:w="2507" w:type="dxa"/>
            <w:vMerge w:val="restart"/>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操作不规范每次每项扣0.5分，并给予再培训，累计每月发生2次者，视严重程度予以处理</w:t>
            </w:r>
          </w:p>
        </w:tc>
        <w:tc>
          <w:tcPr>
            <w:tcW w:w="7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ascii="宋体" w:eastAsia="宋体" w:hAnsi="宋体" w:cs="宋体" w:hint="eastAsia"/>
                <w:b w:val="0"/>
                <w:bCs w:val="0"/>
                <w:sz w:val="21"/>
                <w:szCs w:val="21"/>
                <w:highlight w:val="none"/>
                <w:vertAlign w:val="baseline"/>
                <w:lang w:val="en-US" w:eastAsia="zh-CN"/>
              </w:rPr>
            </w:pPr>
          </w:p>
        </w:tc>
      </w:tr>
      <w:tr>
        <w:tblPrEx>
          <w:tblW w:w="9897" w:type="dxa"/>
          <w:jc w:val="center"/>
          <w:tblCellMar>
            <w:top w:w="0" w:type="dxa"/>
            <w:left w:w="108" w:type="dxa"/>
            <w:bottom w:w="0" w:type="dxa"/>
            <w:right w:w="108" w:type="dxa"/>
          </w:tblCellMar>
        </w:tblPrEx>
        <w:trPr>
          <w:jc w:val="center"/>
        </w:trPr>
        <w:tc>
          <w:tcPr>
            <w:tcW w:w="1487" w:type="dxa"/>
            <w:vMerge/>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p>
        </w:tc>
        <w:tc>
          <w:tcPr>
            <w:tcW w:w="720"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4455"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掌握患者饮食的一般特点。能根据医护人员建议的饮食类别，如普食、软食、半流质饮食、流质饮食、特殊饮食，为患者合理安排饮食</w:t>
            </w:r>
          </w:p>
        </w:tc>
        <w:tc>
          <w:tcPr>
            <w:tcW w:w="2507" w:type="dxa"/>
            <w:vMerg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ascii="宋体" w:eastAsia="宋体" w:hAnsi="宋体" w:cs="宋体" w:hint="eastAsia"/>
                <w:b w:val="0"/>
                <w:bCs w:val="0"/>
                <w:sz w:val="21"/>
                <w:szCs w:val="21"/>
                <w:highlight w:val="none"/>
                <w:vertAlign w:val="baseline"/>
                <w:lang w:val="en-US" w:eastAsia="zh-CN"/>
              </w:rPr>
            </w:pPr>
          </w:p>
        </w:tc>
        <w:tc>
          <w:tcPr>
            <w:tcW w:w="7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ascii="宋体" w:eastAsia="宋体" w:hAnsi="宋体" w:cs="宋体" w:hint="eastAsia"/>
                <w:b w:val="0"/>
                <w:bCs w:val="0"/>
                <w:sz w:val="21"/>
                <w:szCs w:val="21"/>
                <w:highlight w:val="none"/>
                <w:vertAlign w:val="baseline"/>
                <w:lang w:val="en-US" w:eastAsia="zh-CN"/>
              </w:rPr>
            </w:pPr>
          </w:p>
        </w:tc>
      </w:tr>
      <w:tr>
        <w:tblPrEx>
          <w:tblW w:w="9897" w:type="dxa"/>
          <w:jc w:val="center"/>
          <w:tblCellMar>
            <w:top w:w="0" w:type="dxa"/>
            <w:left w:w="108" w:type="dxa"/>
            <w:bottom w:w="0" w:type="dxa"/>
            <w:right w:w="108" w:type="dxa"/>
          </w:tblCellMar>
        </w:tblPrEx>
        <w:trPr>
          <w:jc w:val="center"/>
        </w:trPr>
        <w:tc>
          <w:tcPr>
            <w:tcW w:w="1487" w:type="dxa"/>
            <w:vMerge/>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p>
        </w:tc>
        <w:tc>
          <w:tcPr>
            <w:tcW w:w="720"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4455"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正确予患者进行喂食。注意食物温度，进餐速度要适中，进食时不催促患者，在协助患者进餐的过程中，应注意观察并及时处理异常情况，如恶心、呕吐等。禁止为患者执行鼻饲操作</w:t>
            </w:r>
          </w:p>
        </w:tc>
        <w:tc>
          <w:tcPr>
            <w:tcW w:w="2507" w:type="dxa"/>
            <w:vMerg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ascii="宋体" w:eastAsia="宋体" w:hAnsi="宋体" w:cs="宋体" w:hint="eastAsia"/>
                <w:b w:val="0"/>
                <w:bCs w:val="0"/>
                <w:sz w:val="21"/>
                <w:szCs w:val="21"/>
                <w:highlight w:val="none"/>
                <w:vertAlign w:val="baseline"/>
                <w:lang w:val="en-US" w:eastAsia="zh-CN"/>
              </w:rPr>
            </w:pPr>
          </w:p>
        </w:tc>
        <w:tc>
          <w:tcPr>
            <w:tcW w:w="7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ascii="宋体" w:eastAsia="宋体" w:hAnsi="宋体" w:cs="宋体" w:hint="eastAsia"/>
                <w:b w:val="0"/>
                <w:bCs w:val="0"/>
                <w:sz w:val="21"/>
                <w:szCs w:val="21"/>
                <w:highlight w:val="none"/>
                <w:vertAlign w:val="baseline"/>
                <w:lang w:val="en-US" w:eastAsia="zh-CN"/>
              </w:rPr>
            </w:pPr>
          </w:p>
        </w:tc>
      </w:tr>
      <w:tr>
        <w:tblPrEx>
          <w:tblW w:w="9897" w:type="dxa"/>
          <w:jc w:val="center"/>
          <w:tblCellMar>
            <w:top w:w="0" w:type="dxa"/>
            <w:left w:w="108" w:type="dxa"/>
            <w:bottom w:w="0" w:type="dxa"/>
            <w:right w:w="108" w:type="dxa"/>
          </w:tblCellMar>
        </w:tblPrEx>
        <w:trPr>
          <w:jc w:val="center"/>
        </w:trPr>
        <w:tc>
          <w:tcPr>
            <w:tcW w:w="1487" w:type="dxa"/>
            <w:vMerge/>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p>
        </w:tc>
        <w:tc>
          <w:tcPr>
            <w:tcW w:w="720"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4455"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做好进餐后用餐餐具的清洁。餐后注意清理地面，地面有油迹、水迹注意彻底抹干净，以防患者行走时滑倒</w:t>
            </w:r>
          </w:p>
        </w:tc>
        <w:tc>
          <w:tcPr>
            <w:tcW w:w="2507" w:type="dxa"/>
            <w:vMerg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ascii="宋体" w:eastAsia="宋体" w:hAnsi="宋体" w:cs="宋体" w:hint="eastAsia"/>
                <w:b w:val="0"/>
                <w:bCs w:val="0"/>
                <w:sz w:val="21"/>
                <w:szCs w:val="21"/>
                <w:highlight w:val="none"/>
                <w:vertAlign w:val="baseline"/>
                <w:lang w:val="en-US" w:eastAsia="zh-CN"/>
              </w:rPr>
            </w:pPr>
          </w:p>
        </w:tc>
        <w:tc>
          <w:tcPr>
            <w:tcW w:w="7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ascii="宋体" w:eastAsia="宋体" w:hAnsi="宋体" w:cs="宋体" w:hint="eastAsia"/>
                <w:b w:val="0"/>
                <w:bCs w:val="0"/>
                <w:sz w:val="21"/>
                <w:szCs w:val="21"/>
                <w:highlight w:val="none"/>
                <w:vertAlign w:val="baseline"/>
                <w:lang w:val="en-US" w:eastAsia="zh-CN"/>
              </w:rPr>
            </w:pPr>
          </w:p>
        </w:tc>
      </w:tr>
      <w:tr>
        <w:tblPrEx>
          <w:tblW w:w="9897" w:type="dxa"/>
          <w:jc w:val="center"/>
          <w:tblCellMar>
            <w:top w:w="0" w:type="dxa"/>
            <w:left w:w="108" w:type="dxa"/>
            <w:bottom w:w="0" w:type="dxa"/>
            <w:right w:w="108" w:type="dxa"/>
          </w:tblCellMar>
        </w:tblPrEx>
        <w:trPr>
          <w:trHeight w:val="317"/>
          <w:jc w:val="center"/>
        </w:trPr>
        <w:tc>
          <w:tcPr>
            <w:tcW w:w="1487" w:type="dxa"/>
            <w:vMerge w:val="restart"/>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卫生清理</w:t>
            </w:r>
          </w:p>
        </w:tc>
        <w:tc>
          <w:tcPr>
            <w:tcW w:w="720"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4455"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掌握病室环境要求，日间室内光线充足，夜间只保留必要的照明。保持室内空气流通，每天应定时开窗通风不少于两次，室内冷暖设备调控要征询患者感觉</w:t>
            </w:r>
          </w:p>
        </w:tc>
        <w:tc>
          <w:tcPr>
            <w:tcW w:w="2507" w:type="dxa"/>
            <w:vMerge w:val="restart"/>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如发现未遵守规定每次扣0.5分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ascii="宋体" w:eastAsia="宋体" w:hAnsi="宋体" w:cs="宋体" w:hint="eastAsia"/>
                <w:b w:val="0"/>
                <w:bCs w:val="0"/>
                <w:sz w:val="21"/>
                <w:szCs w:val="21"/>
                <w:highlight w:val="none"/>
                <w:vertAlign w:val="baseline"/>
                <w:lang w:val="en-US" w:eastAsia="zh-CN"/>
              </w:rPr>
            </w:pPr>
          </w:p>
        </w:tc>
        <w:tc>
          <w:tcPr>
            <w:tcW w:w="7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ascii="宋体" w:eastAsia="宋体" w:hAnsi="宋体" w:cs="宋体" w:hint="eastAsia"/>
                <w:b w:val="0"/>
                <w:bCs w:val="0"/>
                <w:sz w:val="21"/>
                <w:szCs w:val="21"/>
                <w:highlight w:val="none"/>
                <w:vertAlign w:val="baseline"/>
                <w:lang w:val="en-US" w:eastAsia="zh-CN"/>
              </w:rPr>
            </w:pPr>
          </w:p>
        </w:tc>
      </w:tr>
      <w:tr>
        <w:tblPrEx>
          <w:tblW w:w="9897" w:type="dxa"/>
          <w:jc w:val="center"/>
          <w:tblCellMar>
            <w:top w:w="0" w:type="dxa"/>
            <w:left w:w="108" w:type="dxa"/>
            <w:bottom w:w="0" w:type="dxa"/>
            <w:right w:w="108" w:type="dxa"/>
          </w:tblCellMar>
        </w:tblPrEx>
        <w:trPr>
          <w:jc w:val="center"/>
        </w:trPr>
        <w:tc>
          <w:tcPr>
            <w:tcW w:w="1487" w:type="dxa"/>
            <w:vMerge/>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p>
        </w:tc>
        <w:tc>
          <w:tcPr>
            <w:tcW w:w="720"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4455"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床单位日常用品整齐放置，只放置常用品，如纸巾、水杯、水壶。其他不常用物品放置柜内，保持床头柜干净整洁，并每天用消毒毛巾或湿巾擦拭</w:t>
            </w:r>
          </w:p>
        </w:tc>
        <w:tc>
          <w:tcPr>
            <w:tcW w:w="2507" w:type="dxa"/>
            <w:vMerge/>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p>
        </w:tc>
        <w:tc>
          <w:tcPr>
            <w:tcW w:w="7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ascii="宋体" w:eastAsia="宋体" w:hAnsi="宋体" w:cs="宋体" w:hint="eastAsia"/>
                <w:b w:val="0"/>
                <w:bCs w:val="0"/>
                <w:sz w:val="21"/>
                <w:szCs w:val="21"/>
                <w:highlight w:val="none"/>
                <w:vertAlign w:val="baseline"/>
                <w:lang w:val="en-US" w:eastAsia="zh-CN"/>
              </w:rPr>
            </w:pPr>
          </w:p>
        </w:tc>
      </w:tr>
      <w:tr>
        <w:tblPrEx>
          <w:tblW w:w="9897" w:type="dxa"/>
          <w:jc w:val="center"/>
          <w:tblCellMar>
            <w:top w:w="0" w:type="dxa"/>
            <w:left w:w="108" w:type="dxa"/>
            <w:bottom w:w="0" w:type="dxa"/>
            <w:right w:w="108" w:type="dxa"/>
          </w:tblCellMar>
        </w:tblPrEx>
        <w:trPr>
          <w:trHeight w:val="332"/>
          <w:jc w:val="center"/>
        </w:trPr>
        <w:tc>
          <w:tcPr>
            <w:tcW w:w="1487" w:type="dxa"/>
            <w:vMerge w:val="restart"/>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日常起居照护</w:t>
            </w:r>
          </w:p>
        </w:tc>
        <w:tc>
          <w:tcPr>
            <w:tcW w:w="720"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4455"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协助患者进行恰当舒适的晨间护理，如患者起床（包括检查皮肤受压情况）、梳头、洗脸、洗手、口腔护理（刷牙、漱口）等，每周为患者洗头1~2次</w:t>
            </w:r>
          </w:p>
        </w:tc>
        <w:tc>
          <w:tcPr>
            <w:tcW w:w="2507" w:type="dxa"/>
            <w:vMerge w:val="restart"/>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操作不规范每次每项扣0.5分，并给予再培训，累计每月发生2次者，视严重程度予以处理。未做好安全措施每次扣0.5分，患者坠床或摔倒每次扣5分</w:t>
            </w:r>
          </w:p>
        </w:tc>
        <w:tc>
          <w:tcPr>
            <w:tcW w:w="7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ascii="宋体" w:eastAsia="宋体" w:hAnsi="宋体" w:cs="宋体" w:hint="eastAsia"/>
                <w:b w:val="0"/>
                <w:bCs w:val="0"/>
                <w:sz w:val="21"/>
                <w:szCs w:val="21"/>
                <w:highlight w:val="none"/>
                <w:vertAlign w:val="baseline"/>
                <w:lang w:val="en-US" w:eastAsia="zh-CN"/>
              </w:rPr>
            </w:pPr>
          </w:p>
        </w:tc>
      </w:tr>
      <w:tr>
        <w:tblPrEx>
          <w:tblW w:w="9897" w:type="dxa"/>
          <w:jc w:val="center"/>
          <w:tblCellMar>
            <w:top w:w="0" w:type="dxa"/>
            <w:left w:w="108" w:type="dxa"/>
            <w:bottom w:w="0" w:type="dxa"/>
            <w:right w:w="108" w:type="dxa"/>
          </w:tblCellMar>
        </w:tblPrEx>
        <w:trPr>
          <w:jc w:val="center"/>
        </w:trPr>
        <w:tc>
          <w:tcPr>
            <w:tcW w:w="1487" w:type="dxa"/>
            <w:vMerge/>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p>
        </w:tc>
        <w:tc>
          <w:tcPr>
            <w:tcW w:w="720"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4455"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协助患者进行恰当舒适的晚间护理，如洗脸、漱口、洗脚或泡脚、二便等，协助患者入睡</w:t>
            </w:r>
          </w:p>
        </w:tc>
        <w:tc>
          <w:tcPr>
            <w:tcW w:w="2507" w:type="dxa"/>
            <w:vMerge/>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p>
        </w:tc>
        <w:tc>
          <w:tcPr>
            <w:tcW w:w="7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ascii="宋体" w:eastAsia="宋体" w:hAnsi="宋体" w:cs="宋体" w:hint="eastAsia"/>
                <w:b w:val="0"/>
                <w:bCs w:val="0"/>
                <w:sz w:val="21"/>
                <w:szCs w:val="21"/>
                <w:highlight w:val="none"/>
                <w:vertAlign w:val="baseline"/>
                <w:lang w:val="en-US" w:eastAsia="zh-CN"/>
              </w:rPr>
            </w:pPr>
          </w:p>
        </w:tc>
      </w:tr>
      <w:tr>
        <w:tblPrEx>
          <w:tblW w:w="9897" w:type="dxa"/>
          <w:jc w:val="center"/>
          <w:tblCellMar>
            <w:top w:w="0" w:type="dxa"/>
            <w:left w:w="108" w:type="dxa"/>
            <w:bottom w:w="0" w:type="dxa"/>
            <w:right w:w="108" w:type="dxa"/>
          </w:tblCellMar>
        </w:tblPrEx>
        <w:trPr>
          <w:jc w:val="center"/>
        </w:trPr>
        <w:tc>
          <w:tcPr>
            <w:tcW w:w="1487" w:type="dxa"/>
            <w:vMerge/>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p>
        </w:tc>
        <w:tc>
          <w:tcPr>
            <w:tcW w:w="720"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4455"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协助患者更换卧位，不能自主活动者要定时给予翻身、拍背，按摩骨突处，预防压疮等并发症</w:t>
            </w:r>
          </w:p>
        </w:tc>
        <w:tc>
          <w:tcPr>
            <w:tcW w:w="2507" w:type="dxa"/>
            <w:vMerge/>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p>
        </w:tc>
        <w:tc>
          <w:tcPr>
            <w:tcW w:w="7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ascii="宋体" w:eastAsia="宋体" w:hAnsi="宋体" w:cs="宋体" w:hint="eastAsia"/>
                <w:b w:val="0"/>
                <w:bCs w:val="0"/>
                <w:sz w:val="21"/>
                <w:szCs w:val="21"/>
                <w:highlight w:val="none"/>
                <w:vertAlign w:val="baseline"/>
                <w:lang w:val="en-US" w:eastAsia="zh-CN"/>
              </w:rPr>
            </w:pPr>
          </w:p>
        </w:tc>
      </w:tr>
      <w:tr>
        <w:tblPrEx>
          <w:tblW w:w="9897" w:type="dxa"/>
          <w:jc w:val="center"/>
          <w:tblCellMar>
            <w:top w:w="0" w:type="dxa"/>
            <w:left w:w="108" w:type="dxa"/>
            <w:bottom w:w="0" w:type="dxa"/>
            <w:right w:w="108" w:type="dxa"/>
          </w:tblCellMar>
        </w:tblPrEx>
        <w:trPr>
          <w:jc w:val="center"/>
        </w:trPr>
        <w:tc>
          <w:tcPr>
            <w:tcW w:w="1487" w:type="dxa"/>
            <w:vMerge/>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p>
        </w:tc>
        <w:tc>
          <w:tcPr>
            <w:tcW w:w="720"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4455"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协助患者叩背排痰、功能锻炼、下床活动。过程中，无因照护不当、防范措施不足或人为失职，致患者发生坠床、摔倒等意外</w:t>
            </w:r>
          </w:p>
        </w:tc>
        <w:tc>
          <w:tcPr>
            <w:tcW w:w="2507" w:type="dxa"/>
            <w:vMerge/>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p>
        </w:tc>
        <w:tc>
          <w:tcPr>
            <w:tcW w:w="7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ascii="宋体" w:eastAsia="宋体" w:hAnsi="宋体" w:cs="宋体" w:hint="eastAsia"/>
                <w:b w:val="0"/>
                <w:bCs w:val="0"/>
                <w:sz w:val="21"/>
                <w:szCs w:val="21"/>
                <w:highlight w:val="none"/>
                <w:vertAlign w:val="baseline"/>
                <w:lang w:val="en-US" w:eastAsia="zh-CN"/>
              </w:rPr>
            </w:pPr>
          </w:p>
        </w:tc>
      </w:tr>
      <w:tr>
        <w:tblPrEx>
          <w:tblW w:w="9897" w:type="dxa"/>
          <w:jc w:val="center"/>
          <w:tblCellMar>
            <w:top w:w="0" w:type="dxa"/>
            <w:left w:w="108" w:type="dxa"/>
            <w:bottom w:w="0" w:type="dxa"/>
            <w:right w:w="108" w:type="dxa"/>
          </w:tblCellMar>
        </w:tblPrEx>
        <w:trPr>
          <w:trHeight w:val="317"/>
          <w:jc w:val="center"/>
        </w:trPr>
        <w:tc>
          <w:tcPr>
            <w:tcW w:w="1487" w:type="dxa"/>
            <w:vMerge w:val="restart"/>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医疗照护</w:t>
            </w:r>
          </w:p>
        </w:tc>
        <w:tc>
          <w:tcPr>
            <w:tcW w:w="720"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4455"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能够观察并发现患者的行为或情绪异常情况，并及时通知医护人员。禁止为患者进行吸痰、调节吸氧开关等行为</w:t>
            </w:r>
          </w:p>
        </w:tc>
        <w:tc>
          <w:tcPr>
            <w:tcW w:w="2507" w:type="dxa"/>
            <w:vMerge w:val="restart"/>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落实不到位，每次扣1分，如有自行给患者调节补液或吸痰等违规行为，每次扣5分</w:t>
            </w:r>
          </w:p>
        </w:tc>
        <w:tc>
          <w:tcPr>
            <w:tcW w:w="7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ascii="宋体" w:eastAsia="宋体" w:hAnsi="宋体" w:cs="宋体" w:hint="eastAsia"/>
                <w:b w:val="0"/>
                <w:bCs w:val="0"/>
                <w:sz w:val="21"/>
                <w:szCs w:val="21"/>
                <w:highlight w:val="none"/>
                <w:vertAlign w:val="baseline"/>
                <w:lang w:val="en-US" w:eastAsia="zh-CN"/>
              </w:rPr>
            </w:pPr>
          </w:p>
        </w:tc>
      </w:tr>
      <w:tr>
        <w:tblPrEx>
          <w:tblW w:w="9897" w:type="dxa"/>
          <w:jc w:val="center"/>
          <w:tblCellMar>
            <w:top w:w="0" w:type="dxa"/>
            <w:left w:w="108" w:type="dxa"/>
            <w:bottom w:w="0" w:type="dxa"/>
            <w:right w:w="108" w:type="dxa"/>
          </w:tblCellMar>
        </w:tblPrEx>
        <w:trPr>
          <w:jc w:val="center"/>
        </w:trPr>
        <w:tc>
          <w:tcPr>
            <w:tcW w:w="1487" w:type="dxa"/>
            <w:vMerge/>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p>
        </w:tc>
        <w:tc>
          <w:tcPr>
            <w:tcW w:w="7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firstLine="0" w:leftChars="0" w:firstLineChars="0"/>
              <w:jc w:val="center"/>
              <w:textAlignment w:val="auto"/>
              <w:rPr>
                <w:rFonts w:ascii="宋体" w:eastAsia="宋体" w:hAnsi="宋体" w:cs="宋体" w:hint="eastAsia"/>
                <w:b w:val="0"/>
                <w:bCs w:val="0"/>
                <w:sz w:val="21"/>
                <w:szCs w:val="21"/>
                <w:highlight w:val="none"/>
                <w:vertAlign w:val="baseline"/>
                <w:lang w:val="en-US" w:eastAsia="zh-CN"/>
              </w:rPr>
            </w:pPr>
            <w:r>
              <w:rPr>
                <w:rFonts w:ascii="宋体" w:eastAsia="宋体" w:hAnsi="宋体" w:cs="宋体" w:hint="eastAsia"/>
                <w:b w:val="0"/>
                <w:bCs w:val="0"/>
                <w:sz w:val="21"/>
                <w:szCs w:val="21"/>
                <w:highlight w:val="none"/>
                <w:vertAlign w:val="baseline"/>
                <w:lang w:val="en-US" w:eastAsia="zh-CN"/>
              </w:rPr>
              <w:t>5</w:t>
            </w:r>
          </w:p>
        </w:tc>
        <w:tc>
          <w:tcPr>
            <w:tcW w:w="4455"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协助患者按时、按量服药。禁止擅自主张给患者服药</w:t>
            </w:r>
          </w:p>
        </w:tc>
        <w:tc>
          <w:tcPr>
            <w:tcW w:w="2507" w:type="dxa"/>
            <w:vMerg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ascii="宋体" w:eastAsia="宋体" w:hAnsi="宋体" w:cs="宋体" w:hint="eastAsia"/>
                <w:b w:val="0"/>
                <w:bCs w:val="0"/>
                <w:sz w:val="21"/>
                <w:szCs w:val="21"/>
                <w:highlight w:val="none"/>
                <w:vertAlign w:val="baseline"/>
                <w:lang w:val="en-US" w:eastAsia="zh-CN"/>
              </w:rPr>
            </w:pPr>
          </w:p>
        </w:tc>
        <w:tc>
          <w:tcPr>
            <w:tcW w:w="7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ascii="宋体" w:eastAsia="宋体" w:hAnsi="宋体" w:cs="宋体" w:hint="eastAsia"/>
                <w:b w:val="0"/>
                <w:bCs w:val="0"/>
                <w:sz w:val="21"/>
                <w:szCs w:val="21"/>
                <w:highlight w:val="none"/>
                <w:vertAlign w:val="baseline"/>
                <w:lang w:val="en-US" w:eastAsia="zh-CN"/>
              </w:rPr>
            </w:pPr>
          </w:p>
        </w:tc>
      </w:tr>
      <w:tr>
        <w:tblPrEx>
          <w:tblW w:w="9897" w:type="dxa"/>
          <w:jc w:val="center"/>
          <w:tblCellMar>
            <w:top w:w="0" w:type="dxa"/>
            <w:left w:w="108" w:type="dxa"/>
            <w:bottom w:w="0" w:type="dxa"/>
            <w:right w:w="108" w:type="dxa"/>
          </w:tblCellMar>
        </w:tblPrEx>
        <w:trPr>
          <w:jc w:val="center"/>
        </w:trPr>
        <w:tc>
          <w:tcPr>
            <w:tcW w:w="1487" w:type="dxa"/>
            <w:vMerge/>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p>
        </w:tc>
        <w:tc>
          <w:tcPr>
            <w:tcW w:w="7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firstLine="0" w:leftChars="0" w:firstLineChars="0"/>
              <w:jc w:val="center"/>
              <w:textAlignment w:val="auto"/>
              <w:rPr>
                <w:rFonts w:ascii="宋体" w:eastAsia="宋体" w:hAnsi="宋体" w:cs="宋体" w:hint="eastAsia"/>
                <w:b w:val="0"/>
                <w:bCs w:val="0"/>
                <w:sz w:val="21"/>
                <w:szCs w:val="21"/>
                <w:highlight w:val="none"/>
                <w:vertAlign w:val="baseline"/>
                <w:lang w:val="en-US" w:eastAsia="zh-CN"/>
              </w:rPr>
            </w:pPr>
            <w:r>
              <w:rPr>
                <w:rFonts w:ascii="宋体" w:eastAsia="宋体" w:hAnsi="宋体" w:cs="宋体" w:hint="eastAsia"/>
                <w:b w:val="0"/>
                <w:bCs w:val="0"/>
                <w:sz w:val="21"/>
                <w:szCs w:val="21"/>
                <w:highlight w:val="none"/>
                <w:vertAlign w:val="baseline"/>
                <w:lang w:val="en-US" w:eastAsia="zh-CN"/>
              </w:rPr>
              <w:t>5</w:t>
            </w:r>
          </w:p>
        </w:tc>
        <w:tc>
          <w:tcPr>
            <w:tcW w:w="4455"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协助医护人员做好患者的静脉输液护理，不得擅自调节滴速、拔针等，如果发现滴速过快、过慢或液滴停止，及时寻求医护人员的帮助</w:t>
            </w:r>
          </w:p>
        </w:tc>
        <w:tc>
          <w:tcPr>
            <w:tcW w:w="2507" w:type="dxa"/>
            <w:vMerge/>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p>
        </w:tc>
        <w:tc>
          <w:tcPr>
            <w:tcW w:w="728"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p>
        </w:tc>
      </w:tr>
      <w:tr>
        <w:tblPrEx>
          <w:tblW w:w="9897" w:type="dxa"/>
          <w:jc w:val="center"/>
          <w:tblCellMar>
            <w:top w:w="0" w:type="dxa"/>
            <w:left w:w="108" w:type="dxa"/>
            <w:bottom w:w="0" w:type="dxa"/>
            <w:right w:w="108" w:type="dxa"/>
          </w:tblCellMar>
        </w:tblPrEx>
        <w:trPr>
          <w:jc w:val="center"/>
        </w:trPr>
        <w:tc>
          <w:tcPr>
            <w:tcW w:w="1487" w:type="dxa"/>
            <w:vMerge/>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p>
        </w:tc>
        <w:tc>
          <w:tcPr>
            <w:tcW w:w="7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firstLine="0" w:leftChars="0" w:firstLineChars="0"/>
              <w:jc w:val="center"/>
              <w:textAlignment w:val="auto"/>
              <w:rPr>
                <w:rFonts w:ascii="宋体" w:eastAsia="宋体" w:hAnsi="宋体" w:cs="宋体" w:hint="eastAsia"/>
                <w:b w:val="0"/>
                <w:bCs w:val="0"/>
                <w:sz w:val="21"/>
                <w:szCs w:val="21"/>
                <w:highlight w:val="none"/>
                <w:vertAlign w:val="baseline"/>
                <w:lang w:val="en-US" w:eastAsia="zh-CN"/>
              </w:rPr>
            </w:pPr>
            <w:r>
              <w:rPr>
                <w:rFonts w:ascii="宋体" w:eastAsia="宋体" w:hAnsi="宋体" w:cs="宋体" w:hint="eastAsia"/>
                <w:b w:val="0"/>
                <w:bCs w:val="0"/>
                <w:sz w:val="21"/>
                <w:szCs w:val="21"/>
                <w:highlight w:val="none"/>
                <w:vertAlign w:val="baseline"/>
                <w:lang w:val="en-US" w:eastAsia="zh-CN"/>
              </w:rPr>
              <w:t>5</w:t>
            </w:r>
          </w:p>
        </w:tc>
        <w:tc>
          <w:tcPr>
            <w:tcW w:w="4455"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协助患者正确收集二便标本，并及时通知医护人员送检</w:t>
            </w:r>
          </w:p>
        </w:tc>
        <w:tc>
          <w:tcPr>
            <w:tcW w:w="2507" w:type="dxa"/>
            <w:vMerge/>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p>
        </w:tc>
        <w:tc>
          <w:tcPr>
            <w:tcW w:w="728"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p>
        </w:tc>
      </w:tr>
      <w:tr>
        <w:tblPrEx>
          <w:tblW w:w="9897" w:type="dxa"/>
          <w:jc w:val="center"/>
          <w:tblCellMar>
            <w:top w:w="0" w:type="dxa"/>
            <w:left w:w="108" w:type="dxa"/>
            <w:bottom w:w="0" w:type="dxa"/>
            <w:right w:w="108" w:type="dxa"/>
          </w:tblCellMar>
        </w:tblPrEx>
        <w:trPr>
          <w:jc w:val="center"/>
        </w:trPr>
        <w:tc>
          <w:tcPr>
            <w:tcW w:w="1487" w:type="dxa"/>
            <w:vMerge/>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p>
        </w:tc>
        <w:tc>
          <w:tcPr>
            <w:tcW w:w="7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firstLine="0" w:leftChars="0" w:firstLineChars="0"/>
              <w:jc w:val="center"/>
              <w:textAlignment w:val="auto"/>
              <w:rPr>
                <w:rFonts w:ascii="宋体" w:eastAsia="宋体" w:hAnsi="宋体" w:cs="宋体" w:hint="eastAsia"/>
                <w:b w:val="0"/>
                <w:bCs w:val="0"/>
                <w:sz w:val="21"/>
                <w:szCs w:val="21"/>
                <w:highlight w:val="none"/>
                <w:vertAlign w:val="baseline"/>
                <w:lang w:val="en-US" w:eastAsia="zh-CN"/>
              </w:rPr>
            </w:pPr>
            <w:r>
              <w:rPr>
                <w:rFonts w:ascii="宋体" w:eastAsia="宋体" w:hAnsi="宋体" w:cs="宋体" w:hint="eastAsia"/>
                <w:b w:val="0"/>
                <w:bCs w:val="0"/>
                <w:sz w:val="21"/>
                <w:szCs w:val="21"/>
                <w:highlight w:val="none"/>
                <w:vertAlign w:val="baseline"/>
                <w:lang w:val="en-US" w:eastAsia="zh-CN"/>
              </w:rPr>
              <w:t>5</w:t>
            </w:r>
          </w:p>
        </w:tc>
        <w:tc>
          <w:tcPr>
            <w:tcW w:w="4455"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陪同患者进行医疗检查，患者外出检查时需整理好床单位</w:t>
            </w:r>
          </w:p>
        </w:tc>
        <w:tc>
          <w:tcPr>
            <w:tcW w:w="2507" w:type="dxa"/>
            <w:vMerge/>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p>
        </w:tc>
        <w:tc>
          <w:tcPr>
            <w:tcW w:w="728"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p>
        </w:tc>
      </w:tr>
      <w:tr>
        <w:tblPrEx>
          <w:tblW w:w="9897" w:type="dxa"/>
          <w:jc w:val="center"/>
          <w:tblCellMar>
            <w:top w:w="0" w:type="dxa"/>
            <w:left w:w="108" w:type="dxa"/>
            <w:bottom w:w="0" w:type="dxa"/>
            <w:right w:w="108" w:type="dxa"/>
          </w:tblCellMar>
        </w:tblPrEx>
        <w:trPr>
          <w:trHeight w:val="347"/>
          <w:jc w:val="center"/>
        </w:trPr>
        <w:tc>
          <w:tcPr>
            <w:tcW w:w="1487" w:type="dxa"/>
            <w:vMerge w:val="restart"/>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精神慰藉</w:t>
            </w:r>
          </w:p>
        </w:tc>
        <w:tc>
          <w:tcPr>
            <w:tcW w:w="7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firstLine="0" w:leftChars="0" w:firstLineChars="0"/>
              <w:jc w:val="center"/>
              <w:textAlignment w:val="auto"/>
              <w:rPr>
                <w:rFonts w:ascii="宋体" w:eastAsia="宋体" w:hAnsi="宋体" w:cs="宋体" w:hint="eastAsia"/>
                <w:b w:val="0"/>
                <w:bCs w:val="0"/>
                <w:sz w:val="21"/>
                <w:szCs w:val="21"/>
                <w:highlight w:val="none"/>
                <w:vertAlign w:val="baseline"/>
                <w:lang w:val="en-US" w:eastAsia="zh-CN"/>
              </w:rPr>
            </w:pPr>
            <w:r>
              <w:rPr>
                <w:rFonts w:ascii="宋体" w:eastAsia="宋体" w:hAnsi="宋体" w:cs="宋体" w:hint="eastAsia"/>
                <w:b w:val="0"/>
                <w:bCs w:val="0"/>
                <w:sz w:val="21"/>
                <w:szCs w:val="21"/>
                <w:highlight w:val="none"/>
                <w:vertAlign w:val="baseline"/>
                <w:lang w:val="en-US" w:eastAsia="zh-CN"/>
              </w:rPr>
              <w:t>3</w:t>
            </w:r>
          </w:p>
        </w:tc>
        <w:tc>
          <w:tcPr>
            <w:tcW w:w="4455"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协助医务人员进行必要的沟通和心理疏导，对患者进行一定的精神慰藉</w:t>
            </w:r>
          </w:p>
        </w:tc>
        <w:tc>
          <w:tcPr>
            <w:tcW w:w="2507" w:type="dxa"/>
            <w:vMerge w:val="restart"/>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落实不到位，每次扣1分</w:t>
            </w:r>
          </w:p>
        </w:tc>
        <w:tc>
          <w:tcPr>
            <w:tcW w:w="728"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p>
        </w:tc>
      </w:tr>
      <w:tr>
        <w:tblPrEx>
          <w:tblW w:w="9897" w:type="dxa"/>
          <w:jc w:val="center"/>
          <w:tblCellMar>
            <w:top w:w="0" w:type="dxa"/>
            <w:left w:w="108" w:type="dxa"/>
            <w:bottom w:w="0" w:type="dxa"/>
            <w:right w:w="108" w:type="dxa"/>
          </w:tblCellMar>
        </w:tblPrEx>
        <w:trPr>
          <w:jc w:val="center"/>
        </w:trPr>
        <w:tc>
          <w:tcPr>
            <w:tcW w:w="1487" w:type="dxa"/>
            <w:vMerge/>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p>
        </w:tc>
        <w:tc>
          <w:tcPr>
            <w:tcW w:w="7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firstLine="0" w:leftChars="0" w:firstLineChars="0"/>
              <w:jc w:val="center"/>
              <w:textAlignment w:val="auto"/>
              <w:rPr>
                <w:rFonts w:ascii="宋体" w:eastAsia="宋体" w:hAnsi="宋体" w:cs="宋体" w:hint="eastAsia"/>
                <w:b w:val="0"/>
                <w:bCs w:val="0"/>
                <w:sz w:val="21"/>
                <w:szCs w:val="21"/>
                <w:highlight w:val="none"/>
                <w:vertAlign w:val="baseline"/>
                <w:lang w:val="en-US" w:eastAsia="zh-CN"/>
              </w:rPr>
            </w:pPr>
            <w:r>
              <w:rPr>
                <w:rFonts w:ascii="宋体" w:eastAsia="宋体" w:hAnsi="宋体" w:cs="宋体" w:hint="eastAsia"/>
                <w:b w:val="0"/>
                <w:bCs w:val="0"/>
                <w:sz w:val="21"/>
                <w:szCs w:val="21"/>
                <w:highlight w:val="none"/>
                <w:vertAlign w:val="baseline"/>
                <w:lang w:val="en-US" w:eastAsia="zh-CN"/>
              </w:rPr>
              <w:t>3</w:t>
            </w:r>
          </w:p>
        </w:tc>
        <w:tc>
          <w:tcPr>
            <w:tcW w:w="4455"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服务过程充分体现人文关怀</w:t>
            </w:r>
          </w:p>
        </w:tc>
        <w:tc>
          <w:tcPr>
            <w:tcW w:w="2507" w:type="dxa"/>
            <w:vMerge/>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p>
        </w:tc>
        <w:tc>
          <w:tcPr>
            <w:tcW w:w="728"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p>
        </w:tc>
      </w:tr>
      <w:tr>
        <w:tblPrEx>
          <w:tblW w:w="9897" w:type="dxa"/>
          <w:jc w:val="center"/>
          <w:tblCellMar>
            <w:top w:w="0" w:type="dxa"/>
            <w:left w:w="108" w:type="dxa"/>
            <w:bottom w:w="0" w:type="dxa"/>
            <w:right w:w="108" w:type="dxa"/>
          </w:tblCellMar>
        </w:tblPrEx>
        <w:trPr>
          <w:jc w:val="center"/>
        </w:trPr>
        <w:tc>
          <w:tcPr>
            <w:tcW w:w="1487" w:type="dxa"/>
            <w:vMerge w:val="restart"/>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center"/>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奖励</w:t>
            </w:r>
          </w:p>
        </w:tc>
        <w:tc>
          <w:tcPr>
            <w:tcW w:w="7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firstLine="0" w:leftChars="0" w:firstLineChars="0"/>
              <w:jc w:val="center"/>
              <w:textAlignment w:val="auto"/>
              <w:rPr>
                <w:rFonts w:ascii="宋体" w:eastAsia="宋体" w:hAnsi="宋体" w:cs="宋体" w:hint="eastAsia"/>
                <w:b w:val="0"/>
                <w:bCs w:val="0"/>
                <w:sz w:val="21"/>
                <w:szCs w:val="21"/>
                <w:highlight w:val="none"/>
                <w:vertAlign w:val="baseline"/>
                <w:lang w:val="en-US" w:eastAsia="zh-CN"/>
              </w:rPr>
            </w:pPr>
            <w:r>
              <w:rPr>
                <w:rFonts w:ascii="宋体" w:eastAsia="宋体" w:hAnsi="宋体" w:cs="宋体" w:hint="eastAsia"/>
                <w:b w:val="0"/>
                <w:bCs w:val="0"/>
                <w:sz w:val="21"/>
                <w:szCs w:val="21"/>
                <w:highlight w:val="none"/>
                <w:vertAlign w:val="baseline"/>
                <w:lang w:val="en-US" w:eastAsia="zh-CN"/>
              </w:rPr>
              <w:t>2</w:t>
            </w:r>
          </w:p>
        </w:tc>
        <w:tc>
          <w:tcPr>
            <w:tcW w:w="4455"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服务质量好、态度好，受到患者赠送的表扬信、锦旗</w:t>
            </w:r>
          </w:p>
        </w:tc>
        <w:tc>
          <w:tcPr>
            <w:tcW w:w="2507" w:type="dxa"/>
            <w:vMerge w:val="restart"/>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核实后给予对应的奖励</w:t>
            </w:r>
          </w:p>
        </w:tc>
        <w:tc>
          <w:tcPr>
            <w:tcW w:w="728"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p>
        </w:tc>
      </w:tr>
      <w:tr>
        <w:tblPrEx>
          <w:tblW w:w="9897" w:type="dxa"/>
          <w:jc w:val="center"/>
          <w:tblCellMar>
            <w:top w:w="0" w:type="dxa"/>
            <w:left w:w="108" w:type="dxa"/>
            <w:bottom w:w="0" w:type="dxa"/>
            <w:right w:w="108" w:type="dxa"/>
          </w:tblCellMar>
        </w:tblPrEx>
        <w:trPr>
          <w:jc w:val="center"/>
        </w:trPr>
        <w:tc>
          <w:tcPr>
            <w:tcW w:w="1487" w:type="dxa"/>
            <w:vMerg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ascii="宋体" w:eastAsia="宋体" w:hAnsi="宋体" w:cs="宋体" w:hint="eastAsia"/>
                <w:b w:val="0"/>
                <w:bCs w:val="0"/>
                <w:sz w:val="21"/>
                <w:szCs w:val="21"/>
                <w:highlight w:val="none"/>
                <w:vertAlign w:val="baseline"/>
                <w:lang w:val="en-US" w:eastAsia="zh-CN"/>
              </w:rPr>
            </w:pPr>
          </w:p>
        </w:tc>
        <w:tc>
          <w:tcPr>
            <w:tcW w:w="7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firstLine="0" w:leftChars="0" w:firstLineChars="0"/>
              <w:jc w:val="center"/>
              <w:textAlignment w:val="auto"/>
              <w:rPr>
                <w:rFonts w:ascii="宋体" w:eastAsia="宋体" w:hAnsi="宋体" w:cs="宋体" w:hint="eastAsia"/>
                <w:b w:val="0"/>
                <w:bCs w:val="0"/>
                <w:sz w:val="21"/>
                <w:szCs w:val="21"/>
                <w:highlight w:val="none"/>
                <w:vertAlign w:val="baseline"/>
                <w:lang w:val="en-US" w:eastAsia="zh-CN"/>
              </w:rPr>
            </w:pPr>
            <w:r>
              <w:rPr>
                <w:rFonts w:ascii="宋体" w:eastAsia="宋体" w:hAnsi="宋体" w:cs="宋体" w:hint="eastAsia"/>
                <w:b w:val="0"/>
                <w:bCs w:val="0"/>
                <w:sz w:val="21"/>
                <w:szCs w:val="21"/>
                <w:highlight w:val="none"/>
                <w:vertAlign w:val="baseline"/>
                <w:lang w:val="en-US" w:eastAsia="zh-CN"/>
              </w:rPr>
              <w:t>2</w:t>
            </w:r>
          </w:p>
        </w:tc>
        <w:tc>
          <w:tcPr>
            <w:tcW w:w="4455"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拾获患者财物并如数上交或归还</w:t>
            </w:r>
          </w:p>
        </w:tc>
        <w:tc>
          <w:tcPr>
            <w:tcW w:w="2507" w:type="dxa"/>
            <w:vMerge/>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p>
        </w:tc>
        <w:tc>
          <w:tcPr>
            <w:tcW w:w="728"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p>
        </w:tc>
      </w:tr>
      <w:tr>
        <w:tblPrEx>
          <w:tblW w:w="9897" w:type="dxa"/>
          <w:jc w:val="center"/>
          <w:tblCellMar>
            <w:top w:w="0" w:type="dxa"/>
            <w:left w:w="108" w:type="dxa"/>
            <w:bottom w:w="0" w:type="dxa"/>
            <w:right w:w="108" w:type="dxa"/>
          </w:tblCellMar>
        </w:tblPrEx>
        <w:trPr>
          <w:jc w:val="center"/>
        </w:trPr>
        <w:tc>
          <w:tcPr>
            <w:tcW w:w="1487" w:type="dxa"/>
            <w:vMerg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ascii="宋体" w:eastAsia="宋体" w:hAnsi="宋体" w:cs="宋体" w:hint="eastAsia"/>
                <w:b w:val="0"/>
                <w:bCs w:val="0"/>
                <w:sz w:val="21"/>
                <w:szCs w:val="21"/>
                <w:highlight w:val="none"/>
                <w:vertAlign w:val="baseline"/>
                <w:lang w:val="en-US" w:eastAsia="zh-CN"/>
              </w:rPr>
            </w:pPr>
          </w:p>
        </w:tc>
        <w:tc>
          <w:tcPr>
            <w:tcW w:w="7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firstLine="0" w:leftChars="0" w:firstLineChars="0"/>
              <w:jc w:val="center"/>
              <w:textAlignment w:val="auto"/>
              <w:rPr>
                <w:rFonts w:ascii="宋体" w:eastAsia="宋体" w:hAnsi="宋体" w:cs="宋体" w:hint="eastAsia"/>
                <w:b w:val="0"/>
                <w:bCs w:val="0"/>
                <w:sz w:val="21"/>
                <w:szCs w:val="21"/>
                <w:highlight w:val="none"/>
                <w:vertAlign w:val="baseline"/>
                <w:lang w:val="en-US" w:eastAsia="zh-CN"/>
              </w:rPr>
            </w:pPr>
            <w:r>
              <w:rPr>
                <w:rFonts w:ascii="宋体" w:eastAsia="宋体" w:hAnsi="宋体" w:cs="宋体" w:hint="eastAsia"/>
                <w:b w:val="0"/>
                <w:bCs w:val="0"/>
                <w:sz w:val="21"/>
                <w:szCs w:val="21"/>
                <w:highlight w:val="none"/>
                <w:vertAlign w:val="baseline"/>
                <w:lang w:val="en-US" w:eastAsia="zh-CN"/>
              </w:rPr>
              <w:t>2</w:t>
            </w:r>
          </w:p>
        </w:tc>
        <w:tc>
          <w:tcPr>
            <w:tcW w:w="4455"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发现患者存在重大安全隐患及时报告医务人员及时处理，经核查属实者</w:t>
            </w:r>
          </w:p>
        </w:tc>
        <w:tc>
          <w:tcPr>
            <w:tcW w:w="2507" w:type="dxa"/>
            <w:vMerge/>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p>
        </w:tc>
        <w:tc>
          <w:tcPr>
            <w:tcW w:w="728"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p>
        </w:tc>
      </w:tr>
      <w:tr>
        <w:tblPrEx>
          <w:tblW w:w="9897" w:type="dxa"/>
          <w:jc w:val="center"/>
          <w:tblCellMar>
            <w:top w:w="0" w:type="dxa"/>
            <w:left w:w="108" w:type="dxa"/>
            <w:bottom w:w="0" w:type="dxa"/>
            <w:right w:w="108" w:type="dxa"/>
          </w:tblCellMar>
        </w:tblPrEx>
        <w:trPr>
          <w:jc w:val="center"/>
        </w:trPr>
        <w:tc>
          <w:tcPr>
            <w:tcW w:w="1487" w:type="dxa"/>
            <w:vMerg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ascii="宋体" w:eastAsia="宋体" w:hAnsi="宋体" w:cs="宋体" w:hint="eastAsia"/>
                <w:b w:val="0"/>
                <w:bCs w:val="0"/>
                <w:sz w:val="21"/>
                <w:szCs w:val="21"/>
                <w:highlight w:val="none"/>
                <w:vertAlign w:val="baseline"/>
                <w:lang w:val="en-US" w:eastAsia="zh-CN"/>
              </w:rPr>
            </w:pPr>
          </w:p>
        </w:tc>
        <w:tc>
          <w:tcPr>
            <w:tcW w:w="7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firstLine="0" w:leftChars="0" w:firstLineChars="0"/>
              <w:jc w:val="center"/>
              <w:textAlignment w:val="auto"/>
              <w:rPr>
                <w:rFonts w:ascii="宋体" w:eastAsia="宋体" w:hAnsi="宋体" w:cs="宋体" w:hint="eastAsia"/>
                <w:b w:val="0"/>
                <w:bCs w:val="0"/>
                <w:sz w:val="21"/>
                <w:szCs w:val="21"/>
                <w:highlight w:val="none"/>
                <w:vertAlign w:val="baseline"/>
                <w:lang w:val="en-US" w:eastAsia="zh-CN"/>
              </w:rPr>
            </w:pPr>
            <w:r>
              <w:rPr>
                <w:rFonts w:ascii="宋体" w:eastAsia="宋体" w:hAnsi="宋体" w:cs="宋体" w:hint="eastAsia"/>
                <w:b w:val="0"/>
                <w:bCs w:val="0"/>
                <w:sz w:val="21"/>
                <w:szCs w:val="21"/>
                <w:highlight w:val="none"/>
                <w:vertAlign w:val="baseline"/>
                <w:lang w:val="en-US" w:eastAsia="zh-CN"/>
              </w:rPr>
              <w:t>1</w:t>
            </w:r>
          </w:p>
        </w:tc>
        <w:tc>
          <w:tcPr>
            <w:tcW w:w="4455"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揭发、举报他人偷窃行为，情况属实</w:t>
            </w:r>
          </w:p>
        </w:tc>
        <w:tc>
          <w:tcPr>
            <w:tcW w:w="2507" w:type="dxa"/>
            <w:vMerge/>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p>
        </w:tc>
        <w:tc>
          <w:tcPr>
            <w:tcW w:w="728" w:type="dxa"/>
            <w:noWrap w:val="0"/>
            <w:vAlign w:val="center"/>
          </w:tcPr>
          <w:p>
            <w:pPr>
              <w:keepNext w:val="0"/>
              <w:keepLines w:val="0"/>
              <w:pageBreakBefore w:val="0"/>
              <w:widowControl w:val="0"/>
              <w:tabs>
                <w:tab w:val="left" w:pos="426"/>
              </w:tabs>
              <w:kinsoku/>
              <w:wordWrap/>
              <w:overflowPunct/>
              <w:topLinePunct w:val="0"/>
              <w:autoSpaceDE/>
              <w:autoSpaceDN/>
              <w:bidi w:val="0"/>
              <w:adjustRightInd/>
              <w:snapToGrid w:val="0"/>
              <w:spacing w:line="240" w:lineRule="auto"/>
              <w:contextualSpacing/>
              <w:jc w:val="left"/>
              <w:textAlignment w:val="auto"/>
              <w:rPr>
                <w:rFonts w:ascii="宋体" w:eastAsia="宋体" w:hAnsi="宋体" w:cs="宋体" w:hint="eastAsia"/>
                <w:sz w:val="21"/>
                <w:szCs w:val="21"/>
                <w:highlight w:val="none"/>
                <w:lang w:val="en-US" w:eastAsia="zh-CN"/>
              </w:rPr>
            </w:pPr>
          </w:p>
        </w:tc>
      </w:tr>
      <w:tr>
        <w:tblPrEx>
          <w:tblW w:w="9897" w:type="dxa"/>
          <w:jc w:val="center"/>
          <w:tblCellMar>
            <w:top w:w="0" w:type="dxa"/>
            <w:left w:w="108" w:type="dxa"/>
            <w:bottom w:w="0" w:type="dxa"/>
            <w:right w:w="108" w:type="dxa"/>
          </w:tblCellMar>
        </w:tblPrEx>
        <w:trPr>
          <w:trHeight w:val="486"/>
          <w:jc w:val="center"/>
        </w:trPr>
        <w:tc>
          <w:tcPr>
            <w:tcW w:w="9169"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ascii="宋体" w:eastAsia="宋体" w:hAnsi="宋体" w:cs="宋体" w:hint="eastAsia"/>
                <w:b w:val="0"/>
                <w:bCs w:val="0"/>
                <w:sz w:val="21"/>
                <w:szCs w:val="21"/>
                <w:highlight w:val="none"/>
                <w:vertAlign w:val="baseline"/>
                <w:lang w:val="en-US" w:eastAsia="zh-CN"/>
              </w:rPr>
            </w:pPr>
            <w:r>
              <w:rPr>
                <w:rFonts w:ascii="宋体" w:eastAsia="宋体" w:hAnsi="宋体" w:cs="宋体" w:hint="eastAsia"/>
                <w:b w:val="0"/>
                <w:bCs w:val="0"/>
                <w:sz w:val="21"/>
                <w:szCs w:val="21"/>
                <w:highlight w:val="none"/>
                <w:vertAlign w:val="baseline"/>
                <w:lang w:val="en-US" w:eastAsia="zh-CN"/>
              </w:rPr>
              <w:t>总分</w:t>
            </w:r>
          </w:p>
        </w:tc>
        <w:tc>
          <w:tcPr>
            <w:tcW w:w="7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ascii="宋体" w:eastAsia="宋体" w:hAnsi="宋体" w:cs="宋体" w:hint="eastAsia"/>
                <w:b w:val="0"/>
                <w:bCs w:val="0"/>
                <w:sz w:val="21"/>
                <w:szCs w:val="21"/>
                <w:highlight w:val="none"/>
                <w:vertAlign w:val="baseline"/>
                <w:lang w:val="en-US" w:eastAsia="zh-CN"/>
              </w:rPr>
            </w:pPr>
          </w:p>
        </w:tc>
      </w:tr>
    </w:tbl>
    <w:p>
      <w:pPr>
        <w:numPr>
          <w:ilvl w:val="0"/>
          <w:numId w:val="0"/>
        </w:numPr>
        <w:adjustRightInd w:val="0"/>
        <w:snapToGrid w:val="0"/>
        <w:ind w:firstLine="420" w:firstLineChars="200"/>
        <w:rPr>
          <w:rFonts w:ascii="宋体" w:eastAsia="宋体" w:hAnsi="宋体" w:cs="宋体" w:hint="eastAsia"/>
          <w:b/>
          <w:bCs/>
          <w:color w:val="FF0000"/>
          <w:szCs w:val="21"/>
          <w:highlight w:val="none"/>
        </w:rPr>
      </w:pPr>
    </w:p>
    <w:p>
      <w:pPr>
        <w:numPr>
          <w:ilvl w:val="0"/>
          <w:numId w:val="0"/>
        </w:numPr>
        <w:adjustRightInd w:val="0"/>
        <w:snapToGrid w:val="0"/>
        <w:ind w:firstLine="420" w:firstLineChars="200"/>
        <w:rPr>
          <w:rFonts w:ascii="宋体" w:hAnsi="宋体" w:cs="宋体"/>
          <w:b/>
          <w:color w:val="FF0000"/>
          <w:szCs w:val="21"/>
          <w:highlight w:val="none"/>
        </w:rPr>
      </w:pPr>
      <w:r>
        <w:rPr>
          <w:rFonts w:ascii="宋体" w:hAnsi="宋体" w:cs="宋体" w:hint="eastAsia"/>
          <w:b/>
          <w:color w:val="000000" w:themeColor="text1"/>
          <w:szCs w:val="21"/>
          <w:highlight w:val="none"/>
          <w:lang w:val="en-US" w:eastAsia="zh-CN"/>
          <w14:textFill>
            <w14:solidFill>
              <w14:schemeClr w14:val="tx1"/>
            </w14:solidFill>
          </w14:textFill>
        </w:rPr>
        <w:t>七、</w:t>
      </w:r>
      <w:r>
        <w:rPr>
          <w:rFonts w:ascii="宋体" w:hAnsi="宋体" w:cs="宋体" w:hint="eastAsia"/>
          <w:b/>
          <w:color w:val="000000" w:themeColor="text1"/>
          <w:szCs w:val="21"/>
          <w:highlight w:val="none"/>
          <w14:textFill>
            <w14:solidFill>
              <w14:schemeClr w14:val="tx1"/>
            </w14:solidFill>
          </w14:textFill>
        </w:rPr>
        <w:t>商务要求</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服务期限</w:t>
      </w:r>
      <w:r>
        <w:rPr>
          <w:rFonts w:ascii="宋体" w:hAnsi="宋体" w:cs="宋体" w:hint="eastAsia"/>
          <w:b/>
          <w:bCs/>
          <w:color w:val="FF0000"/>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自合同签订之日起一年，服务期结束前，采购方根据项目需求和中标人的履约考评情况决定协议到期是否续签，合同一年一签，总服务期限最长不得超过三十六个月。</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bookmarkStart w:id="12" w:name="OLE_LINK14"/>
      <w:r>
        <w:rPr>
          <w:rFonts w:ascii="宋体" w:eastAsia="宋体" w:hAnsi="宋体" w:cs="宋体" w:hint="eastAsia"/>
          <w:b/>
          <w:bCs/>
          <w:color w:val="FF0000"/>
          <w:szCs w:val="21"/>
          <w:highlight w:val="none"/>
        </w:rPr>
        <w:t>付款</w:t>
      </w:r>
      <w:bookmarkEnd w:id="12"/>
      <w:r>
        <w:rPr>
          <w:rFonts w:ascii="宋体" w:eastAsia="宋体" w:hAnsi="宋体" w:cs="宋体" w:hint="eastAsia"/>
          <w:b/>
          <w:bCs/>
          <w:color w:val="FF0000"/>
          <w:szCs w:val="21"/>
          <w:highlight w:val="none"/>
        </w:rPr>
        <w:t>方式</w:t>
      </w:r>
      <w:r>
        <w:rPr>
          <w:rFonts w:ascii="宋体" w:hAnsi="宋体" w:cs="宋体" w:hint="eastAsia"/>
          <w:b/>
          <w:bCs/>
          <w:color w:val="FF0000"/>
          <w:szCs w:val="21"/>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b/>
          <w:bCs/>
          <w:color w:val="FF0000"/>
          <w:highlight w:val="none"/>
        </w:rPr>
      </w:pPr>
      <w:r>
        <w:rPr>
          <w:rFonts w:ascii="宋体" w:hAnsi="宋体" w:cs="宋体" w:hint="eastAsia"/>
          <w:b w:val="0"/>
          <w:bCs w:val="0"/>
          <w:strike w:val="0"/>
          <w:color w:val="FF0000"/>
          <w:sz w:val="21"/>
          <w:szCs w:val="21"/>
          <w:highlight w:val="none"/>
          <w:lang w:val="en-US" w:eastAsia="zh-CN"/>
        </w:rPr>
        <w:t>免陪照护服务：服务</w:t>
      </w:r>
      <w:r>
        <w:rPr>
          <w:rFonts w:ascii="宋体" w:eastAsia="宋体" w:hAnsi="宋体" w:cs="宋体" w:hint="eastAsia"/>
          <w:b w:val="0"/>
          <w:bCs w:val="0"/>
          <w:strike w:val="0"/>
          <w:color w:val="FF0000"/>
          <w:sz w:val="21"/>
          <w:szCs w:val="21"/>
          <w:highlight w:val="none"/>
          <w:lang w:val="en-US" w:eastAsia="zh-CN"/>
        </w:rPr>
        <w:t>费用由患者</w:t>
      </w:r>
      <w:r>
        <w:rPr>
          <w:rFonts w:ascii="宋体" w:eastAsia="宋体" w:hAnsi="宋体" w:cs="宋体" w:hint="eastAsia"/>
          <w:b w:val="0"/>
          <w:bCs w:val="0"/>
          <w:strike w:val="0"/>
          <w:color w:val="FF0000"/>
          <w:sz w:val="21"/>
          <w:szCs w:val="21"/>
          <w:highlight w:val="none"/>
          <w:lang w:eastAsia="zh-CN"/>
        </w:rPr>
        <w:t>直接支付给</w:t>
      </w:r>
      <w:r>
        <w:rPr>
          <w:rFonts w:ascii="宋体" w:hAnsi="宋体" w:cs="宋体" w:hint="eastAsia"/>
          <w:b w:val="0"/>
          <w:bCs w:val="0"/>
          <w:strike w:val="0"/>
          <w:color w:val="FF0000"/>
          <w:sz w:val="21"/>
          <w:szCs w:val="21"/>
          <w:highlight w:val="none"/>
          <w:lang w:val="en-US" w:eastAsia="zh-CN"/>
        </w:rPr>
        <w:t>医院，</w:t>
      </w:r>
      <w:r>
        <w:rPr>
          <w:rFonts w:ascii="宋体" w:eastAsia="宋体" w:hAnsi="宋体" w:cs="宋体" w:hint="eastAsia"/>
          <w:b w:val="0"/>
          <w:bCs w:val="0"/>
          <w:strike w:val="0"/>
          <w:color w:val="FF0000"/>
          <w:sz w:val="21"/>
          <w:szCs w:val="21"/>
          <w:highlight w:val="none"/>
          <w:lang w:val="en-US" w:eastAsia="zh-CN"/>
        </w:rPr>
        <w:t>中标人</w:t>
      </w:r>
      <w:r>
        <w:rPr>
          <w:rFonts w:ascii="宋体" w:eastAsia="宋体" w:hAnsi="宋体" w:cs="宋体" w:hint="default"/>
          <w:b w:val="0"/>
          <w:bCs w:val="0"/>
          <w:strike w:val="0"/>
          <w:color w:val="FF0000"/>
          <w:sz w:val="21"/>
          <w:szCs w:val="21"/>
          <w:highlight w:val="none"/>
          <w:lang w:val="en-US" w:eastAsia="zh-CN"/>
        </w:rPr>
        <w:t>负责</w:t>
      </w:r>
      <w:r>
        <w:rPr>
          <w:rFonts w:ascii="宋体" w:eastAsia="宋体" w:hAnsi="宋体" w:cs="宋体" w:hint="eastAsia"/>
          <w:b w:val="0"/>
          <w:bCs w:val="0"/>
          <w:strike w:val="0"/>
          <w:color w:val="FF0000"/>
          <w:sz w:val="21"/>
          <w:szCs w:val="21"/>
          <w:highlight w:val="none"/>
          <w:lang w:val="en-US" w:eastAsia="zh-CN"/>
        </w:rPr>
        <w:t>医疗护理员</w:t>
      </w:r>
      <w:r>
        <w:rPr>
          <w:rFonts w:ascii="宋体" w:eastAsia="宋体" w:hAnsi="宋体" w:cs="宋体" w:hint="default"/>
          <w:b w:val="0"/>
          <w:bCs w:val="0"/>
          <w:strike w:val="0"/>
          <w:color w:val="FF0000"/>
          <w:sz w:val="21"/>
          <w:szCs w:val="21"/>
          <w:highlight w:val="none"/>
          <w:lang w:val="en-US" w:eastAsia="zh-CN"/>
        </w:rPr>
        <w:t>的所有待遇及相关管理费用。</w:t>
      </w:r>
      <w:r>
        <w:rPr>
          <w:rFonts w:ascii="宋体" w:eastAsia="宋体" w:hAnsi="宋体" w:cs="宋体" w:hint="eastAsia"/>
          <w:b w:val="0"/>
          <w:bCs w:val="0"/>
          <w:strike w:val="0"/>
          <w:color w:val="FF0000"/>
          <w:sz w:val="21"/>
          <w:szCs w:val="21"/>
          <w:highlight w:val="none"/>
        </w:rPr>
        <w:t>采购人按月向</w:t>
      </w:r>
      <w:r>
        <w:rPr>
          <w:rFonts w:ascii="宋体" w:eastAsia="宋体" w:hAnsi="宋体" w:cs="宋体" w:hint="eastAsia"/>
          <w:b w:val="0"/>
          <w:bCs w:val="0"/>
          <w:strike w:val="0"/>
          <w:color w:val="FF0000"/>
          <w:sz w:val="21"/>
          <w:szCs w:val="21"/>
          <w:highlight w:val="none"/>
          <w:lang w:eastAsia="zh-CN"/>
        </w:rPr>
        <w:t>中标人</w:t>
      </w:r>
      <w:r>
        <w:rPr>
          <w:rFonts w:ascii="宋体" w:eastAsia="宋体" w:hAnsi="宋体" w:cs="宋体" w:hint="eastAsia"/>
          <w:b w:val="0"/>
          <w:bCs w:val="0"/>
          <w:strike w:val="0"/>
          <w:color w:val="FF0000"/>
          <w:sz w:val="21"/>
          <w:szCs w:val="21"/>
          <w:highlight w:val="none"/>
        </w:rPr>
        <w:t>支付费用，计算公式为：</w:t>
      </w:r>
      <w:r>
        <w:rPr>
          <w:rFonts w:ascii="宋体" w:eastAsia="宋体" w:hAnsi="宋体" w:cs="宋体" w:hint="default"/>
          <w:b w:val="0"/>
          <w:bCs w:val="0"/>
          <w:strike w:val="0"/>
          <w:color w:val="FF0000"/>
          <w:sz w:val="21"/>
          <w:szCs w:val="21"/>
          <w:highlight w:val="none"/>
        </w:rPr>
        <w:t>当月支付金额=</w:t>
      </w:r>
      <w:r>
        <w:rPr>
          <w:rFonts w:ascii="宋体" w:eastAsia="宋体" w:hAnsi="宋体" w:cs="宋体" w:hint="eastAsia"/>
          <w:b w:val="0"/>
          <w:bCs w:val="0"/>
          <w:strike w:val="0"/>
          <w:color w:val="FF0000"/>
          <w:sz w:val="21"/>
          <w:szCs w:val="21"/>
          <w:highlight w:val="none"/>
          <w:lang w:val="en-US" w:eastAsia="zh-CN"/>
        </w:rPr>
        <w:t>各项</w:t>
      </w:r>
      <w:r>
        <w:rPr>
          <w:rFonts w:ascii="宋体" w:eastAsia="宋体" w:hAnsi="宋体" w:cs="宋体" w:hint="default"/>
          <w:b w:val="0"/>
          <w:bCs w:val="0"/>
          <w:strike w:val="0"/>
          <w:color w:val="FF0000"/>
          <w:sz w:val="21"/>
          <w:szCs w:val="21"/>
          <w:highlight w:val="none"/>
        </w:rPr>
        <w:t>招标</w:t>
      </w:r>
      <w:r>
        <w:rPr>
          <w:rFonts w:ascii="宋体" w:hAnsi="宋体" w:cs="宋体" w:hint="eastAsia"/>
          <w:b w:val="0"/>
          <w:bCs w:val="0"/>
          <w:strike w:val="0"/>
          <w:color w:val="FF0000"/>
          <w:sz w:val="21"/>
          <w:szCs w:val="21"/>
          <w:highlight w:val="none"/>
          <w:lang w:val="en-US" w:eastAsia="zh-CN"/>
        </w:rPr>
        <w:t>单价</w:t>
      </w:r>
      <w:r>
        <w:rPr>
          <w:rFonts w:ascii="宋体" w:eastAsia="宋体" w:hAnsi="宋体" w:cs="宋体" w:hint="default"/>
          <w:b w:val="0"/>
          <w:bCs w:val="0"/>
          <w:strike w:val="0"/>
          <w:color w:val="FF0000"/>
          <w:sz w:val="21"/>
          <w:szCs w:val="21"/>
          <w:highlight w:val="none"/>
        </w:rPr>
        <w:t>最高限价×中标折扣率×实际服务量，</w:t>
      </w:r>
      <w:r>
        <w:rPr>
          <w:rFonts w:ascii="宋体" w:eastAsia="宋体" w:hAnsi="宋体" w:cs="宋体" w:hint="eastAsia"/>
          <w:b w:val="0"/>
          <w:bCs w:val="0"/>
          <w:strike w:val="0"/>
          <w:color w:val="FF0000"/>
          <w:sz w:val="21"/>
          <w:szCs w:val="21"/>
          <w:highlight w:val="none"/>
          <w:lang w:val="en-US" w:eastAsia="zh-CN"/>
        </w:rPr>
        <w:t>请投标人根据企业经营管理成本和</w:t>
      </w:r>
      <w:r>
        <w:rPr>
          <w:rFonts w:ascii="宋体" w:eastAsia="宋体" w:hAnsi="宋体" w:cs="宋体" w:hint="eastAsia"/>
          <w:b w:val="0"/>
          <w:bCs w:val="0"/>
          <w:strike w:val="0"/>
          <w:color w:val="FF0000"/>
          <w:sz w:val="21"/>
          <w:szCs w:val="21"/>
          <w:highlight w:val="none"/>
          <w:lang w:eastAsia="zh-CN"/>
        </w:rPr>
        <w:t>护理服务的收费标准</w:t>
      </w:r>
      <w:r>
        <w:rPr>
          <w:rFonts w:ascii="宋体" w:eastAsia="宋体" w:hAnsi="宋体" w:cs="宋体" w:hint="eastAsia"/>
          <w:b w:val="0"/>
          <w:bCs w:val="0"/>
          <w:strike w:val="0"/>
          <w:color w:val="FF0000"/>
          <w:sz w:val="21"/>
          <w:szCs w:val="21"/>
          <w:highlight w:val="none"/>
          <w:lang w:val="en-US" w:eastAsia="zh-CN"/>
        </w:rPr>
        <w:t>进行报价。</w:t>
      </w:r>
    </w:p>
    <w:p>
      <w:pPr>
        <w:pStyle w:val="ListParagraph"/>
        <w:keepNext w:val="0"/>
        <w:keepLines w:val="0"/>
        <w:pageBreakBefore w:val="0"/>
        <w:widowControl w:val="0"/>
        <w:numPr>
          <w:ilvl w:val="0"/>
          <w:numId w:val="0"/>
        </w:numPr>
        <w:kinsoku/>
        <w:wordWrap/>
        <w:overflowPunct/>
        <w:topLinePunct w:val="0"/>
        <w:autoSpaceDE/>
        <w:autoSpaceDN/>
        <w:bidi w:val="0"/>
        <w:adjustRightInd/>
        <w:snapToGrid/>
        <w:ind w:left="0" w:firstLine="420" w:leftChars="0" w:firstLineChars="200"/>
        <w:textAlignment w:val="auto"/>
        <w:rPr>
          <w:rFonts w:ascii="宋体" w:hAnsi="宋体" w:cs="宋体" w:hint="eastAsia"/>
          <w:b w:val="0"/>
          <w:bCs w:val="0"/>
          <w:color w:val="FF0000"/>
          <w:highlight w:val="none"/>
          <w:lang w:eastAsia="zh-CN"/>
        </w:rPr>
      </w:pPr>
      <w:r>
        <w:rPr>
          <w:rFonts w:ascii="宋体" w:hAnsi="宋体" w:cs="宋体" w:hint="eastAsia"/>
          <w:b/>
          <w:bCs/>
          <w:color w:val="000000" w:themeColor="text1"/>
          <w:highlight w:val="none"/>
          <w:lang w:eastAsia="zh-CN"/>
          <w14:textFill>
            <w14:solidFill>
              <w14:schemeClr w14:val="tx1"/>
            </w14:solidFill>
          </w14:textFill>
        </w:rPr>
        <w:t>（</w:t>
      </w:r>
      <w:r>
        <w:rPr>
          <w:rFonts w:ascii="宋体" w:hAnsi="宋体" w:cs="宋体" w:hint="eastAsia"/>
          <w:b/>
          <w:bCs/>
          <w:color w:val="000000" w:themeColor="text1"/>
          <w:highlight w:val="none"/>
          <w:lang w:val="en-US" w:eastAsia="zh-CN"/>
          <w14:textFill>
            <w14:solidFill>
              <w14:schemeClr w14:val="tx1"/>
            </w14:solidFill>
          </w14:textFill>
        </w:rPr>
        <w:t>三</w:t>
      </w:r>
      <w:r>
        <w:rPr>
          <w:rFonts w:ascii="宋体" w:hAnsi="宋体" w:cs="宋体" w:hint="eastAsia"/>
          <w:b/>
          <w:bCs/>
          <w:color w:val="000000" w:themeColor="text1"/>
          <w:highlight w:val="none"/>
          <w:lang w:eastAsia="zh-CN"/>
          <w14:textFill>
            <w14:solidFill>
              <w14:schemeClr w14:val="tx1"/>
            </w14:solidFill>
          </w14:textFill>
        </w:rPr>
        <w:t>）</w:t>
      </w:r>
      <w:r>
        <w:rPr>
          <w:rFonts w:ascii="宋体" w:eastAsia="宋体" w:hAnsi="宋体" w:cs="宋体" w:hint="eastAsia"/>
          <w:b/>
          <w:bCs/>
          <w:color w:val="000000" w:themeColor="text1"/>
          <w:szCs w:val="21"/>
          <w:highlight w:val="none"/>
          <w14:textFill>
            <w14:solidFill>
              <w14:schemeClr w14:val="tx1"/>
            </w14:solidFill>
          </w14:textFill>
        </w:rPr>
        <w:t>服务地点：</w:t>
      </w:r>
      <w:r>
        <w:rPr>
          <w:rFonts w:ascii="宋体" w:eastAsia="宋体" w:hAnsi="宋体" w:cs="宋体" w:hint="eastAsia"/>
          <w:b w:val="0"/>
          <w:bCs w:val="0"/>
          <w:color w:val="000000" w:themeColor="text1"/>
          <w:szCs w:val="21"/>
          <w:highlight w:val="none"/>
          <w14:textFill>
            <w14:solidFill>
              <w14:schemeClr w14:val="tx1"/>
            </w14:solidFill>
          </w14:textFill>
        </w:rPr>
        <w:t>深圳市人民医院院本部+坂田院区（不含龙华分院）。</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default"/>
          <w:b/>
          <w:bCs/>
          <w:color w:val="FF0000"/>
          <w:szCs w:val="21"/>
          <w:highlight w:val="none"/>
          <w:lang w:val="en-US"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投标报价</w:t>
      </w:r>
      <w:r>
        <w:rPr>
          <w:rFonts w:ascii="宋体" w:eastAsia="宋体" w:hAnsi="宋体" w:cs="宋体" w:hint="eastAsia"/>
          <w:b/>
          <w:bCs/>
          <w:color w:val="FF0000"/>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firstLineChars="200"/>
        <w:jc w:val="both"/>
        <w:textAlignment w:val="auto"/>
        <w:rPr>
          <w:rFonts w:ascii="宋体" w:eastAsia="宋体" w:hAnsi="宋体" w:cs="宋体" w:hint="eastAsia"/>
          <w:bCs/>
          <w:color w:val="FF0000"/>
          <w:szCs w:val="21"/>
          <w:highlight w:val="none"/>
          <w:lang w:val="en-US" w:eastAsia="zh-CN"/>
        </w:rPr>
      </w:pPr>
      <w:r>
        <w:rPr>
          <w:rFonts w:ascii="宋体" w:hAnsi="宋体" w:cs="宋体" w:hint="eastAsia"/>
          <w:bCs/>
          <w:color w:val="FF0000"/>
          <w:szCs w:val="21"/>
          <w:highlight w:val="none"/>
          <w:lang w:val="en-US" w:eastAsia="zh-CN"/>
        </w:rPr>
        <w:t>1、</w:t>
      </w:r>
      <w:r>
        <w:rPr>
          <w:rFonts w:ascii="宋体" w:eastAsia="宋体" w:hAnsi="宋体" w:cs="宋体" w:hint="eastAsia"/>
          <w:bCs/>
          <w:color w:val="FF0000"/>
          <w:szCs w:val="21"/>
          <w:highlight w:val="none"/>
          <w:lang w:val="en-US" w:eastAsia="zh-CN"/>
        </w:rPr>
        <w:t>本项目以折扣率的形式报价，只允许报一个折扣率，且所报的折扣率应当适用于本项目所有</w:t>
      </w:r>
      <w:r>
        <w:rPr>
          <w:rFonts w:ascii="宋体" w:hAnsi="宋体" w:cs="宋体" w:hint="eastAsia"/>
          <w:bCs/>
          <w:color w:val="FF0000"/>
          <w:szCs w:val="21"/>
          <w:highlight w:val="none"/>
          <w:lang w:val="en-US" w:eastAsia="zh-CN"/>
        </w:rPr>
        <w:t>服务</w:t>
      </w:r>
      <w:r>
        <w:rPr>
          <w:rFonts w:ascii="宋体" w:eastAsia="宋体" w:hAnsi="宋体" w:cs="宋体" w:hint="eastAsia"/>
          <w:bCs/>
          <w:color w:val="FF0000"/>
          <w:szCs w:val="21"/>
          <w:highlight w:val="none"/>
          <w:lang w:val="en-US" w:eastAsia="zh-CN"/>
        </w:rPr>
        <w:t>，填报的“折扣率”满足“0＜折扣率≤0.</w:t>
      </w:r>
      <w:r>
        <w:rPr>
          <w:rFonts w:ascii="宋体" w:hAnsi="宋体" w:cs="宋体" w:hint="eastAsia"/>
          <w:bCs/>
          <w:color w:val="FF0000"/>
          <w:szCs w:val="21"/>
          <w:highlight w:val="none"/>
          <w:lang w:val="en-US" w:eastAsia="zh-CN"/>
        </w:rPr>
        <w:t>97</w:t>
      </w:r>
      <w:r>
        <w:rPr>
          <w:rFonts w:ascii="宋体" w:eastAsia="宋体" w:hAnsi="宋体" w:cs="宋体" w:hint="eastAsia"/>
          <w:bCs/>
          <w:color w:val="FF0000"/>
          <w:szCs w:val="21"/>
          <w:highlight w:val="none"/>
          <w:lang w:val="en-US" w:eastAsia="zh-CN"/>
        </w:rPr>
        <w:t xml:space="preserve">”，否则投标无效。 </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firstLineChars="200"/>
        <w:jc w:val="both"/>
        <w:textAlignment w:val="auto"/>
        <w:rPr>
          <w:rFonts w:ascii="宋体" w:hAnsi="宋体" w:cs="宋体" w:hint="eastAsia"/>
          <w:bCs/>
          <w:color w:val="FF0000"/>
          <w:szCs w:val="21"/>
          <w:highlight w:val="none"/>
          <w:lang w:val="en-US" w:eastAsia="zh-CN"/>
        </w:rPr>
      </w:pPr>
      <w:r>
        <w:rPr>
          <w:rFonts w:ascii="宋体" w:hAnsi="宋体" w:cs="宋体" w:hint="eastAsia"/>
          <w:bCs/>
          <w:color w:val="FF0000"/>
          <w:szCs w:val="21"/>
          <w:highlight w:val="none"/>
          <w:lang w:val="en-US" w:eastAsia="zh-CN"/>
        </w:rPr>
        <w:t>注意：</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firstLineChars="200"/>
        <w:jc w:val="both"/>
        <w:textAlignment w:val="auto"/>
        <w:rPr>
          <w:rFonts w:ascii="宋体" w:eastAsia="宋体" w:hAnsi="宋体" w:cs="宋体" w:hint="eastAsia"/>
          <w:b w:val="0"/>
          <w:bCs/>
          <w:snapToGrid w:val="0"/>
          <w:color w:val="FF0000"/>
          <w:sz w:val="21"/>
          <w:szCs w:val="21"/>
          <w:highlight w:val="none"/>
        </w:rPr>
      </w:pPr>
      <w:r>
        <w:rPr>
          <w:rFonts w:ascii="宋体" w:eastAsia="宋体" w:hAnsi="宋体" w:cs="宋体" w:hint="eastAsia"/>
          <w:b w:val="0"/>
          <w:bCs/>
          <w:snapToGrid w:val="0"/>
          <w:color w:val="FF0000"/>
          <w:sz w:val="21"/>
          <w:szCs w:val="21"/>
          <w:highlight w:val="none"/>
          <w:lang w:val="en-US" w:eastAsia="zh-CN"/>
        </w:rPr>
        <w:t>（1）</w:t>
      </w:r>
      <w:r>
        <w:rPr>
          <w:rFonts w:ascii="宋体" w:eastAsia="宋体" w:hAnsi="宋体" w:cs="宋体" w:hint="eastAsia"/>
          <w:b w:val="0"/>
          <w:bCs/>
          <w:snapToGrid w:val="0"/>
          <w:color w:val="FF0000"/>
          <w:sz w:val="21"/>
          <w:szCs w:val="21"/>
          <w:highlight w:val="none"/>
        </w:rPr>
        <w:t>填写要求：</w:t>
      </w:r>
      <w:r>
        <w:rPr>
          <w:rFonts w:ascii="宋体" w:eastAsia="宋体" w:hAnsi="宋体" w:cs="宋体" w:hint="eastAsia"/>
          <w:b w:val="0"/>
          <w:bCs/>
          <w:snapToGrid w:val="0"/>
          <w:color w:val="FF0000"/>
          <w:sz w:val="21"/>
          <w:szCs w:val="21"/>
          <w:highlight w:val="none"/>
          <w:lang w:eastAsia="zh-CN"/>
        </w:rPr>
        <w:t>0＜折扣率≤0.</w:t>
      </w:r>
      <w:r>
        <w:rPr>
          <w:rFonts w:ascii="宋体" w:hAnsi="宋体" w:cs="宋体" w:hint="eastAsia"/>
          <w:b w:val="0"/>
          <w:bCs/>
          <w:snapToGrid w:val="0"/>
          <w:color w:val="FF0000"/>
          <w:sz w:val="21"/>
          <w:szCs w:val="21"/>
          <w:highlight w:val="none"/>
          <w:lang w:val="en-US" w:eastAsia="zh-CN"/>
        </w:rPr>
        <w:t>97</w:t>
      </w:r>
      <w:r>
        <w:rPr>
          <w:rFonts w:ascii="宋体" w:eastAsia="宋体" w:hAnsi="宋体" w:cs="宋体" w:hint="eastAsia"/>
          <w:b w:val="0"/>
          <w:bCs/>
          <w:snapToGrid w:val="0"/>
          <w:color w:val="FF0000"/>
          <w:sz w:val="21"/>
          <w:szCs w:val="21"/>
          <w:highlight w:val="none"/>
        </w:rPr>
        <w:t>，未按此要求填写将作</w:t>
      </w:r>
      <w:r>
        <w:rPr>
          <w:rFonts w:ascii="宋体" w:hAnsi="宋体" w:cs="宋体" w:hint="eastAsia"/>
          <w:b w:val="0"/>
          <w:bCs/>
          <w:snapToGrid w:val="0"/>
          <w:color w:val="FF0000"/>
          <w:sz w:val="21"/>
          <w:szCs w:val="21"/>
          <w:highlight w:val="none"/>
          <w:lang w:val="en-US" w:eastAsia="zh-CN"/>
        </w:rPr>
        <w:t>投标无效</w:t>
      </w:r>
      <w:r>
        <w:rPr>
          <w:rFonts w:ascii="宋体" w:eastAsia="宋体" w:hAnsi="宋体" w:cs="宋体" w:hint="eastAsia"/>
          <w:b w:val="0"/>
          <w:bCs/>
          <w:snapToGrid w:val="0"/>
          <w:color w:val="FF0000"/>
          <w:sz w:val="21"/>
          <w:szCs w:val="21"/>
          <w:highlight w:val="none"/>
        </w:rPr>
        <w:t>处理。</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firstLineChars="200"/>
        <w:jc w:val="both"/>
        <w:textAlignment w:val="auto"/>
        <w:rPr>
          <w:rFonts w:ascii="宋体" w:eastAsia="宋体" w:hAnsi="宋体" w:cs="宋体" w:hint="eastAsia"/>
          <w:b w:val="0"/>
          <w:bCs/>
          <w:snapToGrid w:val="0"/>
          <w:color w:val="FF0000"/>
          <w:sz w:val="21"/>
          <w:szCs w:val="21"/>
          <w:highlight w:val="none"/>
        </w:rPr>
      </w:pPr>
      <w:r>
        <w:rPr>
          <w:rFonts w:ascii="宋体" w:eastAsia="宋体" w:hAnsi="宋体" w:cs="宋体" w:hint="eastAsia"/>
          <w:b w:val="0"/>
          <w:bCs/>
          <w:snapToGrid w:val="0"/>
          <w:color w:val="FF0000"/>
          <w:sz w:val="21"/>
          <w:szCs w:val="21"/>
          <w:highlight w:val="none"/>
          <w:lang w:val="en-US" w:eastAsia="zh-CN"/>
        </w:rPr>
        <w:t>（2）</w:t>
      </w:r>
      <w:r>
        <w:rPr>
          <w:rFonts w:ascii="宋体" w:eastAsia="宋体" w:hAnsi="宋体" w:cs="宋体" w:hint="eastAsia"/>
          <w:b w:val="0"/>
          <w:bCs/>
          <w:snapToGrid w:val="0"/>
          <w:color w:val="FF0000"/>
          <w:sz w:val="21"/>
          <w:szCs w:val="21"/>
          <w:highlight w:val="none"/>
          <w:u w:val="none"/>
          <w:lang w:val="en-US" w:eastAsia="zh-CN"/>
        </w:rPr>
        <w:t>填写的“报价折扣率”应为小数，保留2位小数点；如 0.83（表示折扣率为 83.00%）、0.80（表示折扣率为80.00%）、0.70（表示折扣率为 70.00%）等。折扣率必须为固定报价，不能为区间值，报价不能为负数，小数点保留至后两位；</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leftChars="0" w:firstLineChars="200"/>
        <w:jc w:val="both"/>
        <w:textAlignment w:val="auto"/>
        <w:rPr>
          <w:rFonts w:ascii="宋体" w:eastAsia="宋体" w:hAnsi="宋体" w:cs="宋体" w:hint="eastAsia"/>
          <w:b w:val="0"/>
          <w:bCs/>
          <w:snapToGrid w:val="0"/>
          <w:color w:val="FF0000"/>
          <w:sz w:val="21"/>
          <w:szCs w:val="21"/>
          <w:highlight w:val="none"/>
        </w:rPr>
      </w:pPr>
      <w:r>
        <w:rPr>
          <w:rFonts w:ascii="宋体" w:eastAsia="宋体" w:hAnsi="宋体" w:cs="宋体" w:hint="eastAsia"/>
          <w:b w:val="0"/>
          <w:bCs/>
          <w:snapToGrid w:val="0"/>
          <w:color w:val="FF0000"/>
          <w:sz w:val="21"/>
          <w:szCs w:val="21"/>
          <w:highlight w:val="none"/>
          <w:lang w:val="en-US" w:eastAsia="zh-CN"/>
        </w:rPr>
        <w:t>（3）</w:t>
      </w:r>
      <w:r>
        <w:rPr>
          <w:rFonts w:ascii="宋体" w:eastAsia="宋体" w:hAnsi="宋体" w:cs="宋体" w:hint="eastAsia"/>
          <w:b w:val="0"/>
          <w:bCs/>
          <w:snapToGrid w:val="0"/>
          <w:color w:val="FF0000"/>
          <w:sz w:val="21"/>
          <w:szCs w:val="21"/>
          <w:highlight w:val="none"/>
        </w:rPr>
        <w:t>“折扣率”缺填、漏填将直接作</w:t>
      </w:r>
      <w:r>
        <w:rPr>
          <w:rFonts w:ascii="宋体" w:hAnsi="宋体" w:cs="宋体" w:hint="eastAsia"/>
          <w:b w:val="0"/>
          <w:bCs/>
          <w:snapToGrid w:val="0"/>
          <w:color w:val="FF0000"/>
          <w:sz w:val="21"/>
          <w:szCs w:val="21"/>
          <w:highlight w:val="none"/>
          <w:lang w:val="en-US" w:eastAsia="zh-CN"/>
        </w:rPr>
        <w:t>投标无效</w:t>
      </w:r>
      <w:r>
        <w:rPr>
          <w:rFonts w:ascii="宋体" w:eastAsia="宋体" w:hAnsi="宋体" w:cs="宋体" w:hint="eastAsia"/>
          <w:b w:val="0"/>
          <w:bCs/>
          <w:snapToGrid w:val="0"/>
          <w:color w:val="FF0000"/>
          <w:sz w:val="21"/>
          <w:szCs w:val="21"/>
          <w:highlight w:val="none"/>
        </w:rPr>
        <w:t>处理。</w:t>
      </w:r>
    </w:p>
    <w:p>
      <w:pPr>
        <w:adjustRightInd w:val="0"/>
        <w:snapToGrid w:val="0"/>
        <w:ind w:firstLine="420" w:firstLineChars="200"/>
        <w:jc w:val="left"/>
        <w:rPr>
          <w:rFonts w:ascii="宋体" w:eastAsia="宋体" w:hAnsi="等线" w:cs="宋体" w:hint="eastAsia"/>
          <w:b w:val="0"/>
          <w:bCs/>
          <w:color w:val="FF0000"/>
          <w:kern w:val="0"/>
          <w:szCs w:val="21"/>
          <w:highlight w:val="none"/>
        </w:rPr>
      </w:pPr>
      <w:r>
        <w:rPr>
          <w:rFonts w:ascii="宋体" w:eastAsia="宋体" w:hAnsi="宋体" w:cs="宋体" w:hint="eastAsia"/>
          <w:b w:val="0"/>
          <w:bCs/>
          <w:snapToGrid w:val="0"/>
          <w:color w:val="FF0000"/>
          <w:sz w:val="21"/>
          <w:szCs w:val="21"/>
          <w:highlight w:val="none"/>
          <w:lang w:val="en-US" w:eastAsia="zh-CN"/>
        </w:rPr>
        <w:t>（4）</w:t>
      </w:r>
      <w:r>
        <w:rPr>
          <w:rFonts w:ascii="宋体" w:eastAsia="宋体" w:hAnsi="等线" w:cs="宋体" w:hint="eastAsia"/>
          <w:b w:val="0"/>
          <w:bCs/>
          <w:color w:val="FF0000"/>
          <w:kern w:val="0"/>
          <w:szCs w:val="21"/>
          <w:highlight w:val="none"/>
        </w:rPr>
        <w:t>供应商参与投标只允许填报唯一1个“折扣率”,不允许填报2个(或以上)的“折扣率”；填报了2个或以上“折扣率”的，其投标将直接作投标无效处理。</w:t>
      </w:r>
    </w:p>
    <w:p>
      <w:pPr>
        <w:snapToGrid w:val="0"/>
        <w:ind w:firstLine="420" w:firstLineChars="200"/>
        <w:rPr>
          <w:rFonts w:ascii="宋体" w:eastAsia="宋体" w:hAnsi="宋体" w:cs="宋体" w:hint="eastAsia"/>
          <w:bCs/>
          <w:color w:val="FF0000"/>
          <w:szCs w:val="21"/>
          <w:highlight w:val="none"/>
        </w:rPr>
      </w:pPr>
      <w:r>
        <w:rPr>
          <w:rFonts w:ascii="宋体" w:eastAsia="宋体" w:hAnsi="宋体" w:cs="宋体" w:hint="eastAsia"/>
          <w:b w:val="0"/>
          <w:bCs/>
          <w:snapToGrid w:val="0"/>
          <w:color w:val="FF0000"/>
          <w:sz w:val="21"/>
          <w:szCs w:val="21"/>
          <w:highlight w:val="none"/>
          <w:lang w:val="en-US" w:eastAsia="zh-CN"/>
        </w:rPr>
        <w:t>（</w:t>
      </w:r>
      <w:r>
        <w:rPr>
          <w:rFonts w:ascii="宋体" w:hAnsi="宋体" w:cs="宋体" w:hint="eastAsia"/>
          <w:b w:val="0"/>
          <w:bCs/>
          <w:snapToGrid w:val="0"/>
          <w:color w:val="FF0000"/>
          <w:sz w:val="21"/>
          <w:szCs w:val="21"/>
          <w:highlight w:val="none"/>
          <w:lang w:val="en-US" w:eastAsia="zh-CN"/>
        </w:rPr>
        <w:t>5</w:t>
      </w:r>
      <w:r>
        <w:rPr>
          <w:rFonts w:ascii="宋体" w:eastAsia="宋体" w:hAnsi="宋体" w:cs="宋体" w:hint="eastAsia"/>
          <w:b w:val="0"/>
          <w:bCs/>
          <w:snapToGrid w:val="0"/>
          <w:color w:val="FF0000"/>
          <w:sz w:val="21"/>
          <w:szCs w:val="21"/>
          <w:highlight w:val="none"/>
          <w:lang w:val="en-US" w:eastAsia="zh-CN"/>
        </w:rPr>
        <w:t>）</w:t>
      </w:r>
      <w:r>
        <w:rPr>
          <w:rFonts w:ascii="宋体" w:eastAsia="宋体" w:hAnsi="宋体" w:cs="宋体" w:hint="eastAsia"/>
          <w:bCs/>
          <w:color w:val="FF0000"/>
          <w:szCs w:val="21"/>
          <w:highlight w:val="none"/>
        </w:rPr>
        <w:t>本项目的</w:t>
      </w:r>
      <w:r>
        <w:rPr>
          <w:rFonts w:ascii="宋体" w:hAnsi="宋体" w:cs="宋体" w:hint="eastAsia"/>
          <w:bCs/>
          <w:color w:val="FF0000"/>
          <w:szCs w:val="21"/>
          <w:highlight w:val="none"/>
          <w:lang w:val="en-US" w:eastAsia="zh-CN"/>
        </w:rPr>
        <w:t>投标报价</w:t>
      </w:r>
      <w:r>
        <w:rPr>
          <w:rFonts w:ascii="宋体" w:eastAsia="宋体" w:hAnsi="宋体" w:cs="宋体" w:hint="eastAsia"/>
          <w:bCs/>
          <w:color w:val="FF0000"/>
          <w:szCs w:val="21"/>
          <w:highlight w:val="none"/>
        </w:rPr>
        <w:t>已包含设计费、人工费、保险费、管理费、技术培训费、调试费、售后服务费、现场及国家规定的其他各项应纳税费、服务成本、法定税费和企业的利润。由企业根据招标文件所提供的资料自行测算投标报价。投标人应根据本企业的成本自行决定报价，</w:t>
      </w:r>
      <w:r>
        <w:rPr>
          <w:rFonts w:ascii="宋体" w:hAnsi="宋体" w:cs="宋体" w:hint="eastAsia"/>
          <w:bCs/>
          <w:color w:val="FF0000"/>
          <w:szCs w:val="21"/>
          <w:highlight w:val="none"/>
          <w:lang w:val="en-US" w:eastAsia="zh-CN"/>
        </w:rPr>
        <w:t>可合理报价但</w:t>
      </w:r>
      <w:r>
        <w:rPr>
          <w:rFonts w:ascii="宋体" w:eastAsia="宋体" w:hAnsi="宋体" w:cs="宋体" w:hint="eastAsia"/>
          <w:bCs/>
          <w:color w:val="FF0000"/>
          <w:szCs w:val="21"/>
          <w:highlight w:val="none"/>
        </w:rPr>
        <w:t>不得以低于其企业成本的报价投标</w:t>
      </w:r>
      <w:r>
        <w:rPr>
          <w:rFonts w:ascii="宋体" w:hAnsi="宋体" w:cs="宋体" w:hint="eastAsia"/>
          <w:bCs/>
          <w:color w:val="FF0000"/>
          <w:szCs w:val="21"/>
          <w:highlight w:val="none"/>
          <w:lang w:eastAsia="zh-CN"/>
        </w:rPr>
        <w:t>。</w:t>
      </w:r>
    </w:p>
    <w:p>
      <w:pPr>
        <w:snapToGrid w:val="0"/>
        <w:ind w:firstLine="420" w:firstLineChars="200"/>
        <w:rPr>
          <w:rFonts w:ascii="宋体" w:eastAsia="宋体" w:hAnsi="宋体" w:cs="宋体" w:hint="eastAsia"/>
          <w:bCs/>
          <w:color w:val="FF0000"/>
          <w:szCs w:val="21"/>
          <w:highlight w:val="none"/>
        </w:rPr>
      </w:pPr>
      <w:r>
        <w:rPr>
          <w:rFonts w:ascii="宋体" w:eastAsia="宋体" w:hAnsi="宋体" w:cs="宋体" w:hint="eastAsia"/>
          <w:b w:val="0"/>
          <w:bCs/>
          <w:snapToGrid w:val="0"/>
          <w:color w:val="FF0000"/>
          <w:sz w:val="21"/>
          <w:szCs w:val="21"/>
          <w:highlight w:val="none"/>
          <w:lang w:val="en-US" w:eastAsia="zh-CN"/>
        </w:rPr>
        <w:t>（</w:t>
      </w:r>
      <w:r>
        <w:rPr>
          <w:rFonts w:ascii="宋体" w:hAnsi="宋体" w:cs="宋体" w:hint="eastAsia"/>
          <w:b w:val="0"/>
          <w:bCs/>
          <w:snapToGrid w:val="0"/>
          <w:color w:val="FF0000"/>
          <w:sz w:val="21"/>
          <w:szCs w:val="21"/>
          <w:highlight w:val="none"/>
          <w:lang w:val="en-US" w:eastAsia="zh-CN"/>
        </w:rPr>
        <w:t>6</w:t>
      </w:r>
      <w:r>
        <w:rPr>
          <w:rFonts w:ascii="宋体" w:eastAsia="宋体" w:hAnsi="宋体" w:cs="宋体" w:hint="eastAsia"/>
          <w:b w:val="0"/>
          <w:bCs/>
          <w:snapToGrid w:val="0"/>
          <w:color w:val="FF0000"/>
          <w:sz w:val="21"/>
          <w:szCs w:val="21"/>
          <w:highlight w:val="none"/>
          <w:lang w:val="en-US" w:eastAsia="zh-CN"/>
        </w:rPr>
        <w:t>）</w:t>
      </w:r>
      <w:r>
        <w:rPr>
          <w:rFonts w:ascii="宋体" w:eastAsia="宋体" w:hAnsi="宋体" w:cs="宋体" w:hint="eastAsia"/>
          <w:bCs/>
          <w:color w:val="FF0000"/>
          <w:szCs w:val="21"/>
          <w:highlight w:val="none"/>
        </w:rPr>
        <w:t>投标人的投标报价，应是本项目招标范围和招标文件及合同条款上所列的各项内容中所述的全部，不得以任何理由予以重复，并以投标人在投标文件中</w:t>
      </w:r>
      <w:r>
        <w:rPr>
          <w:rFonts w:ascii="宋体" w:hAnsi="宋体" w:cs="宋体" w:hint="eastAsia"/>
          <w:bCs/>
          <w:color w:val="FF0000"/>
          <w:szCs w:val="21"/>
          <w:highlight w:val="none"/>
          <w:lang w:val="en-US" w:eastAsia="zh-CN"/>
        </w:rPr>
        <w:t>填写的</w:t>
      </w:r>
      <w:r>
        <w:rPr>
          <w:rFonts w:ascii="宋体" w:eastAsia="宋体" w:hAnsi="宋体" w:cs="宋体" w:hint="eastAsia"/>
          <w:b w:val="0"/>
          <w:bCs/>
          <w:snapToGrid w:val="0"/>
          <w:color w:val="FF0000"/>
          <w:sz w:val="21"/>
          <w:szCs w:val="21"/>
          <w:highlight w:val="none"/>
        </w:rPr>
        <w:t>“折扣率”</w:t>
      </w:r>
      <w:r>
        <w:rPr>
          <w:rFonts w:ascii="宋体" w:eastAsia="宋体" w:hAnsi="宋体" w:cs="宋体" w:hint="eastAsia"/>
          <w:bCs/>
          <w:color w:val="FF0000"/>
          <w:szCs w:val="21"/>
          <w:highlight w:val="none"/>
        </w:rPr>
        <w:t>为依据。</w:t>
      </w:r>
    </w:p>
    <w:p>
      <w:pPr>
        <w:snapToGrid w:val="0"/>
        <w:ind w:firstLine="420" w:firstLineChars="200"/>
        <w:rPr>
          <w:rFonts w:ascii="宋体" w:eastAsia="宋体" w:hAnsi="宋体" w:cs="宋体" w:hint="eastAsia"/>
          <w:bCs/>
          <w:color w:val="FF0000"/>
          <w:szCs w:val="21"/>
          <w:highlight w:val="none"/>
        </w:rPr>
      </w:pPr>
      <w:r>
        <w:rPr>
          <w:rFonts w:ascii="宋体" w:eastAsia="宋体" w:hAnsi="宋体" w:cs="宋体" w:hint="eastAsia"/>
          <w:b w:val="0"/>
          <w:bCs/>
          <w:snapToGrid w:val="0"/>
          <w:color w:val="FF0000"/>
          <w:sz w:val="21"/>
          <w:szCs w:val="21"/>
          <w:highlight w:val="none"/>
          <w:lang w:val="en-US" w:eastAsia="zh-CN"/>
        </w:rPr>
        <w:t>（</w:t>
      </w:r>
      <w:r>
        <w:rPr>
          <w:rFonts w:ascii="宋体" w:hAnsi="宋体" w:cs="宋体" w:hint="eastAsia"/>
          <w:b w:val="0"/>
          <w:bCs/>
          <w:snapToGrid w:val="0"/>
          <w:color w:val="FF0000"/>
          <w:sz w:val="21"/>
          <w:szCs w:val="21"/>
          <w:highlight w:val="none"/>
          <w:lang w:val="en-US" w:eastAsia="zh-CN"/>
        </w:rPr>
        <w:t>7</w:t>
      </w:r>
      <w:r>
        <w:rPr>
          <w:rFonts w:ascii="宋体" w:eastAsia="宋体" w:hAnsi="宋体" w:cs="宋体" w:hint="eastAsia"/>
          <w:b w:val="0"/>
          <w:bCs/>
          <w:snapToGrid w:val="0"/>
          <w:color w:val="FF0000"/>
          <w:sz w:val="21"/>
          <w:szCs w:val="21"/>
          <w:highlight w:val="none"/>
          <w:lang w:val="en-US" w:eastAsia="zh-CN"/>
        </w:rPr>
        <w:t>）</w:t>
      </w:r>
      <w:r>
        <w:rPr>
          <w:rFonts w:ascii="宋体" w:eastAsia="宋体" w:hAnsi="宋体" w:cs="宋体" w:hint="eastAsia"/>
          <w:bCs/>
          <w:color w:val="FF0000"/>
          <w:szCs w:val="21"/>
          <w:highlight w:val="none"/>
        </w:rPr>
        <w:t>投标人应</w:t>
      </w:r>
      <w:r>
        <w:rPr>
          <w:rFonts w:ascii="宋体" w:eastAsia="宋体" w:hAnsi="宋体" w:cs="宋体" w:hint="eastAsia"/>
          <w:bCs/>
          <w:color w:val="FF0000"/>
          <w:szCs w:val="21"/>
          <w:highlight w:val="none"/>
          <w:lang w:val="en-US" w:eastAsia="zh-CN"/>
        </w:rPr>
        <w:t>十</w:t>
      </w:r>
      <w:r>
        <w:rPr>
          <w:rFonts w:ascii="宋体" w:eastAsia="宋体" w:hAnsi="宋体" w:cs="宋体" w:hint="eastAsia"/>
          <w:bCs/>
          <w:color w:val="FF0000"/>
          <w:szCs w:val="21"/>
          <w:highlight w:val="none"/>
        </w:rPr>
        <w:t>分了解项目的位置、情况、道路及任何其他足以影响投标报价的情况，任何因忽视或误解项目情况而导致的索赔或服务期限延长申请将不获批准。</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hAnsi="宋体" w:cs="宋体" w:hint="eastAsia"/>
          <w:b w:val="0"/>
          <w:bCs w:val="0"/>
          <w:color w:val="FF0000"/>
          <w:highlight w:val="none"/>
          <w:lang w:val="en-US" w:eastAsia="zh-CN"/>
        </w:rPr>
      </w:pPr>
      <w:r>
        <w:rPr>
          <w:rFonts w:ascii="宋体" w:eastAsia="宋体" w:hAnsi="宋体" w:cs="宋体" w:hint="eastAsia"/>
          <w:b w:val="0"/>
          <w:bCs/>
          <w:snapToGrid w:val="0"/>
          <w:color w:val="FF0000"/>
          <w:sz w:val="21"/>
          <w:szCs w:val="21"/>
          <w:highlight w:val="none"/>
          <w:lang w:val="en-US" w:eastAsia="zh-CN"/>
        </w:rPr>
        <w:t>（</w:t>
      </w:r>
      <w:r>
        <w:rPr>
          <w:rFonts w:ascii="宋体" w:hAnsi="宋体" w:cs="宋体" w:hint="eastAsia"/>
          <w:b w:val="0"/>
          <w:bCs/>
          <w:snapToGrid w:val="0"/>
          <w:color w:val="FF0000"/>
          <w:sz w:val="21"/>
          <w:szCs w:val="21"/>
          <w:highlight w:val="none"/>
          <w:lang w:val="en-US" w:eastAsia="zh-CN"/>
        </w:rPr>
        <w:t>8</w:t>
      </w:r>
      <w:r>
        <w:rPr>
          <w:rFonts w:ascii="宋体" w:eastAsia="宋体" w:hAnsi="宋体" w:cs="宋体" w:hint="eastAsia"/>
          <w:b w:val="0"/>
          <w:bCs/>
          <w:snapToGrid w:val="0"/>
          <w:color w:val="FF0000"/>
          <w:sz w:val="21"/>
          <w:szCs w:val="21"/>
          <w:highlight w:val="none"/>
          <w:lang w:val="en-US" w:eastAsia="zh-CN"/>
        </w:rPr>
        <w:t>）</w:t>
      </w:r>
      <w:r>
        <w:rPr>
          <w:rFonts w:ascii="宋体" w:eastAsia="宋体" w:hAnsi="宋体" w:cs="宋体" w:hint="eastAsia"/>
          <w:bCs/>
          <w:color w:val="FF0000"/>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hAnsi="宋体" w:cs="宋体" w:hint="default"/>
          <w:b w:val="0"/>
          <w:bCs w:val="0"/>
          <w:color w:val="FF0000"/>
          <w:highlight w:val="none"/>
          <w:lang w:val="en-US" w:eastAsia="zh-CN"/>
        </w:rPr>
      </w:pPr>
      <w:r>
        <w:rPr>
          <w:rFonts w:ascii="宋体" w:hAnsi="宋体" w:cs="宋体" w:hint="eastAsia"/>
          <w:b w:val="0"/>
          <w:bCs w:val="0"/>
          <w:color w:val="FF0000"/>
          <w:highlight w:val="none"/>
          <w:lang w:val="en-US" w:eastAsia="zh-CN"/>
        </w:rPr>
        <w:t>2、中标人需要给医院监管部门全透明信息化端口，实时掌握营收。</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hAnsi="宋体" w:cs="宋体" w:hint="eastAsia"/>
          <w:b/>
          <w:bCs/>
          <w:color w:val="000000" w:themeColor="text1"/>
          <w:szCs w:val="21"/>
          <w:highlight w:val="none"/>
          <w:lang w:val="en-US" w:eastAsia="zh-CN"/>
          <w14:textFill>
            <w14:solidFill>
              <w14:schemeClr w14:val="tx1"/>
            </w14:solidFill>
          </w14:textFill>
        </w:rPr>
      </w:pPr>
      <w:r>
        <w:rPr>
          <w:rFonts w:ascii="宋体" w:hAnsi="宋体" w:cs="宋体" w:hint="eastAsia"/>
          <w:b/>
          <w:bCs/>
          <w:color w:val="000000" w:themeColor="text1"/>
          <w:highlight w:val="none"/>
          <w:lang w:eastAsia="zh-CN"/>
          <w14:textFill>
            <w14:solidFill>
              <w14:schemeClr w14:val="tx1"/>
            </w14:solidFill>
          </w14:textFill>
        </w:rPr>
        <w:t>（</w:t>
      </w:r>
      <w:r>
        <w:rPr>
          <w:rFonts w:ascii="宋体" w:hAnsi="宋体" w:cs="宋体" w:hint="eastAsia"/>
          <w:b/>
          <w:bCs/>
          <w:color w:val="000000" w:themeColor="text1"/>
          <w:highlight w:val="none"/>
          <w:lang w:val="en-US" w:eastAsia="zh-CN"/>
          <w14:textFill>
            <w14:solidFill>
              <w14:schemeClr w14:val="tx1"/>
            </w14:solidFill>
          </w14:textFill>
        </w:rPr>
        <w:t>五</w:t>
      </w:r>
      <w:r>
        <w:rPr>
          <w:rFonts w:ascii="宋体" w:hAnsi="宋体" w:cs="宋体" w:hint="eastAsia"/>
          <w:b/>
          <w:bCs/>
          <w:color w:val="000000" w:themeColor="text1"/>
          <w:highlight w:val="none"/>
          <w:lang w:eastAsia="zh-CN"/>
          <w14:textFill>
            <w14:solidFill>
              <w14:schemeClr w14:val="tx1"/>
            </w14:solidFill>
          </w14:textFill>
        </w:rPr>
        <w:t>）验收要求</w:t>
      </w:r>
      <w:r>
        <w:rPr>
          <w:rFonts w:ascii="宋体" w:hAnsi="宋体" w:cs="宋体" w:hint="eastAsia"/>
          <w:b/>
          <w:bCs/>
          <w:color w:val="000000" w:themeColor="text1"/>
          <w:szCs w:val="21"/>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hAnsi="宋体" w:cs="宋体" w:hint="eastAsia"/>
          <w:b w:val="0"/>
          <w:bCs w:val="0"/>
          <w:color w:val="000000" w:themeColor="text1"/>
          <w:szCs w:val="21"/>
          <w:highlight w:val="none"/>
          <w:lang w:val="en-US" w:eastAsia="zh-CN"/>
          <w14:textFill>
            <w14:solidFill>
              <w14:schemeClr w14:val="tx1"/>
            </w14:solidFill>
          </w14:textFill>
        </w:rPr>
      </w:pPr>
      <w:r>
        <w:rPr>
          <w:rFonts w:ascii="宋体" w:hAnsi="宋体" w:cs="宋体" w:hint="eastAsia"/>
          <w:b w:val="0"/>
          <w:bCs w:val="0"/>
          <w:color w:val="000000" w:themeColor="text1"/>
          <w:szCs w:val="21"/>
          <w:highlight w:val="none"/>
          <w:lang w:val="en-US" w:eastAsia="zh-CN"/>
          <w14:textFill>
            <w14:solidFill>
              <w14:schemeClr w14:val="tx1"/>
            </w14:solidFill>
          </w14:textFill>
        </w:rPr>
        <w:t>1、项目服务期届满前一个月对服务项目进行考核。</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hAnsi="宋体" w:cs="宋体" w:hint="eastAsia"/>
          <w:b w:val="0"/>
          <w:bCs w:val="0"/>
          <w:color w:val="000000" w:themeColor="text1"/>
          <w:szCs w:val="21"/>
          <w:highlight w:val="none"/>
          <w:lang w:val="en-US" w:eastAsia="zh-CN"/>
          <w14:textFill>
            <w14:solidFill>
              <w14:schemeClr w14:val="tx1"/>
            </w14:solidFill>
          </w14:textFill>
        </w:rPr>
      </w:pPr>
      <w:r>
        <w:rPr>
          <w:rFonts w:ascii="宋体" w:hAnsi="宋体" w:cs="宋体" w:hint="eastAsia"/>
          <w:b w:val="0"/>
          <w:bCs w:val="0"/>
          <w:color w:val="000000" w:themeColor="text1"/>
          <w:szCs w:val="21"/>
          <w:highlight w:val="none"/>
          <w:lang w:val="en-US" w:eastAsia="zh-CN"/>
          <w14:textFill>
            <w14:solidFill>
              <w14:schemeClr w14:val="tx1"/>
            </w14:solidFill>
          </w14:textFill>
        </w:rPr>
        <w:t>2、中标人提供的服务人员数量和资质是否满足项目需求。</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color w:val="FF0000"/>
          <w:highlight w:val="none"/>
        </w:rPr>
      </w:pPr>
      <w:r>
        <w:rPr>
          <w:rFonts w:ascii="宋体" w:hAnsi="宋体" w:cs="宋体" w:hint="eastAsia"/>
          <w:b w:val="0"/>
          <w:bCs w:val="0"/>
          <w:color w:val="000000" w:themeColor="text1"/>
          <w:szCs w:val="21"/>
          <w:highlight w:val="none"/>
          <w:lang w:val="en-US" w:eastAsia="zh-CN"/>
          <w14:textFill>
            <w14:solidFill>
              <w14:schemeClr w14:val="tx1"/>
            </w14:solidFill>
          </w14:textFill>
        </w:rPr>
        <w:t>3、中标人对采购人的日常检查和有效投诉是否在时限内完成整改。</w:t>
      </w:r>
    </w:p>
    <w:p>
      <w:pPr>
        <w:adjustRightInd w:val="0"/>
        <w:snapToGrid w:val="0"/>
        <w:ind w:firstLine="420" w:firstLineChars="200"/>
        <w:jc w:val="left"/>
        <w:rPr>
          <w:rFonts w:ascii="宋体" w:hAnsi="宋体" w:cs="宋体" w:hint="eastAsia"/>
          <w:b/>
          <w:bCs/>
          <w:color w:val="000000" w:themeColor="text1"/>
          <w:highlight w:val="none"/>
          <w:lang w:eastAsia="zh-CN"/>
          <w14:textFill>
            <w14:solidFill>
              <w14:schemeClr w14:val="tx1"/>
            </w14:solidFill>
          </w14:textFill>
        </w:rPr>
      </w:pPr>
      <w:r>
        <w:rPr>
          <w:rFonts w:ascii="宋体" w:hAnsi="宋体" w:cs="宋体" w:hint="eastAsia"/>
          <w:b/>
          <w:bCs/>
          <w:color w:val="000000" w:themeColor="text1"/>
          <w:highlight w:val="none"/>
          <w:lang w:eastAsia="zh-CN"/>
          <w14:textFill>
            <w14:solidFill>
              <w14:schemeClr w14:val="tx1"/>
            </w14:solidFill>
          </w14:textFill>
        </w:rPr>
        <w:t>（六）违约责任：</w:t>
      </w:r>
    </w:p>
    <w:p>
      <w:pPr>
        <w:adjustRightInd w:val="0"/>
        <w:snapToGrid w:val="0"/>
        <w:ind w:firstLine="420" w:firstLineChars="200"/>
        <w:jc w:val="left"/>
        <w:rPr>
          <w:rFonts w:ascii="宋体" w:hAnsi="宋体" w:cs="宋体" w:hint="eastAsia"/>
          <w:b w:val="0"/>
          <w:bCs w:val="0"/>
          <w:color w:val="000000" w:themeColor="text1"/>
          <w:highlight w:val="none"/>
          <w:lang w:eastAsia="zh-CN"/>
          <w14:textFill>
            <w14:solidFill>
              <w14:schemeClr w14:val="tx1"/>
            </w14:solidFill>
          </w14:textFill>
        </w:rPr>
      </w:pPr>
      <w:r>
        <w:rPr>
          <w:rFonts w:ascii="宋体" w:hAnsi="宋体" w:cs="宋体" w:hint="eastAsia"/>
          <w:b w:val="0"/>
          <w:bCs w:val="0"/>
          <w:color w:val="000000" w:themeColor="text1"/>
          <w:highlight w:val="none"/>
          <w:lang w:eastAsia="zh-CN"/>
          <w14:textFill>
            <w14:solidFill>
              <w14:schemeClr w14:val="tx1"/>
            </w14:solidFill>
          </w14:textFill>
        </w:rPr>
        <w:t>1、如投标人未按照投标文件中承诺的时间提供服务，投标人应承担延期延期服务的违约责任，并可要求投标人赔偿采购人因此造成的实际经济损失。</w:t>
      </w:r>
    </w:p>
    <w:p>
      <w:pPr>
        <w:adjustRightInd w:val="0"/>
        <w:snapToGrid w:val="0"/>
        <w:ind w:firstLine="420" w:firstLineChars="200"/>
        <w:jc w:val="left"/>
        <w:rPr>
          <w:rFonts w:ascii="宋体" w:hAnsi="宋体" w:cs="宋体" w:hint="eastAsia"/>
          <w:b w:val="0"/>
          <w:bCs w:val="0"/>
          <w:color w:val="000000" w:themeColor="text1"/>
          <w:highlight w:val="none"/>
          <w:lang w:eastAsia="zh-CN"/>
          <w14:textFill>
            <w14:solidFill>
              <w14:schemeClr w14:val="tx1"/>
            </w14:solidFill>
          </w14:textFill>
        </w:rPr>
      </w:pPr>
      <w:r>
        <w:rPr>
          <w:rFonts w:ascii="宋体" w:hAnsi="宋体" w:cs="宋体" w:hint="eastAsia"/>
          <w:b w:val="0"/>
          <w:bCs w:val="0"/>
          <w:color w:val="000000" w:themeColor="text1"/>
          <w:highlight w:val="none"/>
          <w:lang w:eastAsia="zh-CN"/>
          <w14:textFill>
            <w14:solidFill>
              <w14:schemeClr w14:val="tx1"/>
            </w14:solidFill>
          </w14:textFill>
        </w:rPr>
        <w:t>2、采购人按合同约定履行支付义务后，投标人因自身原因未按合同约定或双方确定的计划完成本项目，投标人应每日承担本合同总金额0.5%的违约金；如果投标人因自身原因未按合同约定或双方确定的计划完成本项目超过15天，采购人有权解除合同，投标人应退还采购人已支付的款项，并向采购人支付本合同总金额15%的违约金。</w:t>
      </w:r>
    </w:p>
    <w:p>
      <w:pPr>
        <w:adjustRightInd w:val="0"/>
        <w:snapToGrid w:val="0"/>
        <w:ind w:firstLine="420" w:firstLineChars="200"/>
        <w:jc w:val="left"/>
        <w:rPr>
          <w:rFonts w:ascii="宋体" w:hAnsi="宋体" w:cs="宋体" w:hint="eastAsia"/>
          <w:b/>
          <w:bCs/>
          <w:color w:val="000000" w:themeColor="text1"/>
          <w:highlight w:val="none"/>
          <w:lang w:eastAsia="zh-CN"/>
          <w14:textFill>
            <w14:solidFill>
              <w14:schemeClr w14:val="tx1"/>
            </w14:solidFill>
          </w14:textFill>
        </w:rPr>
      </w:pPr>
      <w:r>
        <w:rPr>
          <w:rFonts w:ascii="宋体" w:hAnsi="宋体" w:cs="宋体" w:hint="eastAsia"/>
          <w:b/>
          <w:bCs/>
          <w:color w:val="000000" w:themeColor="text1"/>
          <w:highlight w:val="none"/>
          <w:lang w:eastAsia="zh-CN"/>
          <w14:textFill>
            <w14:solidFill>
              <w14:schemeClr w14:val="tx1"/>
            </w14:solidFill>
          </w14:textFill>
        </w:rPr>
        <w:t>（七）其他商务要求：</w:t>
      </w:r>
    </w:p>
    <w:p>
      <w:pPr>
        <w:adjustRightInd w:val="0"/>
        <w:snapToGrid w:val="0"/>
        <w:ind w:firstLine="420" w:firstLineChars="200"/>
        <w:jc w:val="left"/>
        <w:rPr>
          <w:rFonts w:ascii="宋体" w:hAnsi="宋体" w:cs="宋体" w:hint="eastAsia"/>
          <w:b w:val="0"/>
          <w:bCs w:val="0"/>
          <w:color w:val="000000" w:themeColor="text1"/>
          <w:highlight w:val="none"/>
          <w:lang w:eastAsia="zh-CN"/>
          <w14:textFill>
            <w14:solidFill>
              <w14:schemeClr w14:val="tx1"/>
            </w14:solidFill>
          </w14:textFill>
        </w:rPr>
      </w:pPr>
      <w:r>
        <w:rPr>
          <w:rFonts w:ascii="宋体" w:hAnsi="宋体" w:cs="宋体" w:hint="eastAsia"/>
          <w:b w:val="0"/>
          <w:bCs w:val="0"/>
          <w:color w:val="000000" w:themeColor="text1"/>
          <w:highlight w:val="none"/>
          <w:lang w:eastAsia="zh-CN"/>
          <w14:textFill>
            <w14:solidFill>
              <w14:schemeClr w14:val="tx1"/>
            </w14:solidFill>
          </w14:textFill>
        </w:rPr>
        <w:t>1、投标人应自行预估工作量的随机性，不得以工作量超出预算成本为由，中标后拒绝提供服务。</w:t>
      </w:r>
    </w:p>
    <w:p>
      <w:pPr>
        <w:adjustRightInd w:val="0"/>
        <w:snapToGrid w:val="0"/>
        <w:ind w:firstLine="420" w:firstLineChars="200"/>
        <w:jc w:val="left"/>
        <w:rPr>
          <w:rFonts w:ascii="宋体" w:hAnsi="宋体" w:cs="宋体" w:hint="eastAsia"/>
          <w:b w:val="0"/>
          <w:bCs w:val="0"/>
          <w:color w:val="000000" w:themeColor="text1"/>
          <w:highlight w:val="none"/>
          <w:lang w:eastAsia="zh-CN"/>
          <w14:textFill>
            <w14:solidFill>
              <w14:schemeClr w14:val="tx1"/>
            </w14:solidFill>
          </w14:textFill>
        </w:rPr>
      </w:pPr>
      <w:r>
        <w:rPr>
          <w:rFonts w:ascii="宋体" w:hAnsi="宋体" w:cs="宋体" w:hint="eastAsia"/>
          <w:b w:val="0"/>
          <w:bCs w:val="0"/>
          <w:color w:val="000000" w:themeColor="text1"/>
          <w:highlight w:val="none"/>
          <w:lang w:eastAsia="zh-CN"/>
          <w14:textFill>
            <w14:solidFill>
              <w14:schemeClr w14:val="tx1"/>
            </w14:solidFill>
          </w14:textFill>
        </w:rPr>
        <w:t>2、保密义务：中标人在采购和履行合同过程中所获悉的所有客户信息都属于保密的内容，中标人有保密义务，不向患者咨询其他信息。</w:t>
      </w:r>
    </w:p>
    <w:p>
      <w:pPr>
        <w:adjustRightInd w:val="0"/>
        <w:snapToGrid w:val="0"/>
        <w:ind w:firstLine="420" w:firstLineChars="200"/>
        <w:jc w:val="left"/>
        <w:rPr>
          <w:rFonts w:ascii="宋体" w:hAnsi="宋体" w:cs="宋体" w:hint="eastAsia"/>
          <w:b w:val="0"/>
          <w:bCs w:val="0"/>
          <w:color w:val="000000" w:themeColor="text1"/>
          <w:highlight w:val="none"/>
          <w:lang w:eastAsia="zh-CN"/>
          <w14:textFill>
            <w14:solidFill>
              <w14:schemeClr w14:val="tx1"/>
            </w14:solidFill>
          </w14:textFill>
        </w:rPr>
      </w:pPr>
      <w:r>
        <w:rPr>
          <w:rFonts w:ascii="宋体" w:hAnsi="宋体" w:cs="宋体" w:hint="eastAsia"/>
          <w:b w:val="0"/>
          <w:bCs w:val="0"/>
          <w:color w:val="000000" w:themeColor="text1"/>
          <w:highlight w:val="none"/>
          <w:lang w:eastAsia="zh-CN"/>
          <w14:textFill>
            <w14:solidFill>
              <w14:schemeClr w14:val="tx1"/>
            </w14:solidFill>
          </w14:textFill>
        </w:rPr>
        <w:t>3、中标人能自行解决管理服务时所需的日常工具和劳保用品、办公用品，并能根据医院的行业形象要求及规范，保证文明工作。</w:t>
      </w:r>
    </w:p>
    <w:p>
      <w:pPr>
        <w:adjustRightInd w:val="0"/>
        <w:snapToGrid w:val="0"/>
        <w:ind w:firstLine="420" w:firstLineChars="200"/>
        <w:jc w:val="left"/>
        <w:rPr>
          <w:rFonts w:ascii="宋体" w:hAnsi="宋体" w:cs="宋体" w:hint="eastAsia"/>
          <w:b w:val="0"/>
          <w:bCs w:val="0"/>
          <w:color w:val="000000" w:themeColor="text1"/>
          <w:highlight w:val="none"/>
          <w:lang w:eastAsia="zh-CN"/>
          <w14:textFill>
            <w14:solidFill>
              <w14:schemeClr w14:val="tx1"/>
            </w14:solidFill>
          </w14:textFill>
        </w:rPr>
      </w:pPr>
      <w:r>
        <w:rPr>
          <w:rFonts w:ascii="宋体" w:hAnsi="宋体" w:cs="宋体" w:hint="eastAsia"/>
          <w:b w:val="0"/>
          <w:bCs w:val="0"/>
          <w:color w:val="000000" w:themeColor="text1"/>
          <w:highlight w:val="none"/>
          <w:lang w:eastAsia="zh-CN"/>
          <w14:textFill>
            <w14:solidFill>
              <w14:schemeClr w14:val="tx1"/>
            </w14:solidFill>
          </w14:textFill>
        </w:rPr>
        <w:t>4、中标人严格按照标准化的操作程序、完善的培训体系和质量控制体系完成本项目，以保证服务质量。</w:t>
      </w:r>
    </w:p>
    <w:p>
      <w:pPr>
        <w:adjustRightInd w:val="0"/>
        <w:snapToGrid w:val="0"/>
        <w:ind w:firstLine="420" w:firstLineChars="200"/>
        <w:jc w:val="left"/>
        <w:rPr>
          <w:rFonts w:ascii="宋体" w:hAnsi="宋体" w:cs="宋体" w:hint="eastAsia"/>
          <w:b w:val="0"/>
          <w:bCs w:val="0"/>
          <w:color w:val="000000" w:themeColor="text1"/>
          <w:highlight w:val="none"/>
          <w:lang w:eastAsia="zh-CN"/>
          <w14:textFill>
            <w14:solidFill>
              <w14:schemeClr w14:val="tx1"/>
            </w14:solidFill>
          </w14:textFill>
        </w:rPr>
      </w:pPr>
      <w:r>
        <w:rPr>
          <w:rFonts w:ascii="宋体" w:hAnsi="宋体" w:cs="宋体" w:hint="eastAsia"/>
          <w:b w:val="0"/>
          <w:bCs w:val="0"/>
          <w:color w:val="000000" w:themeColor="text1"/>
          <w:highlight w:val="none"/>
          <w:lang w:eastAsia="zh-CN"/>
          <w14:textFill>
            <w14:solidFill>
              <w14:schemeClr w14:val="tx1"/>
            </w14:solidFill>
          </w14:textFill>
        </w:rPr>
        <w:t>5、中标人有责任配合采购人接受上级领导部门的监督、检查，提供必须的资料。</w:t>
      </w:r>
    </w:p>
    <w:p>
      <w:pPr>
        <w:adjustRightInd w:val="0"/>
        <w:snapToGrid w:val="0"/>
        <w:ind w:firstLine="420" w:firstLineChars="200"/>
        <w:jc w:val="left"/>
        <w:rPr>
          <w:rFonts w:ascii="宋体" w:hAnsi="宋体" w:cs="宋体" w:hint="eastAsia"/>
          <w:b w:val="0"/>
          <w:bCs w:val="0"/>
          <w:color w:val="000000" w:themeColor="text1"/>
          <w:highlight w:val="none"/>
          <w:lang w:eastAsia="zh-CN"/>
          <w14:textFill>
            <w14:solidFill>
              <w14:schemeClr w14:val="tx1"/>
            </w14:solidFill>
          </w14:textFill>
        </w:rPr>
      </w:pPr>
      <w:r>
        <w:rPr>
          <w:rFonts w:ascii="宋体" w:hAnsi="宋体" w:cs="宋体" w:hint="eastAsia"/>
          <w:b w:val="0"/>
          <w:bCs w:val="0"/>
          <w:color w:val="000000" w:themeColor="text1"/>
          <w:highlight w:val="none"/>
          <w:lang w:eastAsia="zh-CN"/>
          <w14:textFill>
            <w14:solidFill>
              <w14:schemeClr w14:val="tx1"/>
            </w14:solidFill>
          </w14:textFill>
        </w:rPr>
        <w:t>6、中标人自行负责其所有安排入院服务的医疗护理员的一切工资、福利、伙食；如医疗护理员发生工伤、纠葛、打架斗殴、疾病乃至死亡的一切责任及费用由中标人全部负责；中标人要处理好内部员工纠纷问题，不得将矛盾激化或将矛盾推向采购方而影响采购方的正常工作。</w:t>
      </w:r>
    </w:p>
    <w:p>
      <w:pPr>
        <w:adjustRightInd w:val="0"/>
        <w:snapToGrid w:val="0"/>
        <w:ind w:firstLine="420" w:firstLineChars="200"/>
        <w:jc w:val="left"/>
        <w:rPr>
          <w:rFonts w:ascii="宋体" w:hAnsi="宋体" w:cs="宋体" w:hint="eastAsia"/>
          <w:b w:val="0"/>
          <w:bCs w:val="0"/>
          <w:color w:val="000000" w:themeColor="text1"/>
          <w:highlight w:val="none"/>
          <w:lang w:eastAsia="zh-CN"/>
          <w14:textFill>
            <w14:solidFill>
              <w14:schemeClr w14:val="tx1"/>
            </w14:solidFill>
          </w14:textFill>
        </w:rPr>
      </w:pPr>
      <w:r>
        <w:rPr>
          <w:rFonts w:ascii="宋体" w:hAnsi="宋体" w:cs="宋体" w:hint="eastAsia"/>
          <w:b w:val="0"/>
          <w:bCs w:val="0"/>
          <w:color w:val="000000" w:themeColor="text1"/>
          <w:highlight w:val="none"/>
          <w:lang w:eastAsia="zh-CN"/>
          <w14:textFill>
            <w14:solidFill>
              <w14:schemeClr w14:val="tx1"/>
            </w14:solidFill>
          </w14:textFill>
        </w:rPr>
        <w:t>7、若发生劳动争议均由中标人自行解决，采购方无任何连带关系和责任。</w:t>
      </w:r>
    </w:p>
    <w:p>
      <w:pPr>
        <w:adjustRightInd w:val="0"/>
        <w:snapToGrid w:val="0"/>
        <w:ind w:firstLine="420" w:firstLineChars="200"/>
        <w:jc w:val="left"/>
        <w:rPr>
          <w:rFonts w:ascii="宋体" w:hAnsi="宋体" w:cs="宋体" w:hint="eastAsia"/>
          <w:b/>
          <w:bCs/>
          <w:color w:val="FF0000"/>
          <w:highlight w:val="none"/>
          <w:lang w:eastAsia="zh-CN"/>
        </w:rPr>
      </w:pPr>
      <w:r>
        <w:rPr>
          <w:rFonts w:ascii="宋体" w:hAnsi="宋体" w:cs="宋体" w:hint="eastAsia"/>
          <w:b w:val="0"/>
          <w:bCs w:val="0"/>
          <w:color w:val="000000" w:themeColor="text1"/>
          <w:highlight w:val="none"/>
          <w:lang w:eastAsia="zh-CN"/>
          <w14:textFill>
            <w14:solidFill>
              <w14:schemeClr w14:val="tx1"/>
            </w14:solidFill>
          </w14:textFill>
        </w:rPr>
        <w:t>8、中标人签约后正式进场前做好员工上岗前培训工作，并跟原服务方做好交接工作，确保采购方的正常工作。</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bookmarkEnd w:id="5"/>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rPr>
          <w:rFonts w:ascii="宋体" w:hAnsi="宋体" w:cs="宋体"/>
          <w:b/>
          <w:kern w:val="0"/>
          <w:sz w:val="28"/>
          <w:szCs w:val="28"/>
          <w:highlight w:val="none"/>
        </w:rPr>
      </w:pPr>
      <w:bookmarkEnd w:id="8"/>
      <w:bookmarkEnd w:id="9"/>
    </w:p>
    <w:p>
      <w:pPr>
        <w:rPr>
          <w:rFonts w:ascii="宋体" w:hAnsi="宋体" w:cs="宋体"/>
          <w:b/>
          <w:kern w:val="0"/>
          <w:sz w:val="28"/>
          <w:szCs w:val="28"/>
          <w:highlight w:val="none"/>
        </w:rPr>
      </w:pPr>
      <w:r>
        <w:rPr>
          <w:rFonts w:ascii="宋体" w:hAnsi="宋体" w:cs="宋体" w:hint="eastAsia"/>
          <w:b/>
          <w:kern w:val="0"/>
          <w:sz w:val="28"/>
          <w:szCs w:val="28"/>
          <w:highlight w:val="none"/>
        </w:rPr>
        <w:br w:type="page"/>
      </w:r>
    </w:p>
    <w:p>
      <w:pPr>
        <w:jc w:val="center"/>
        <w:rPr>
          <w:rFonts w:ascii="宋体" w:hAnsi="宋体" w:cs="宋体"/>
          <w:szCs w:val="21"/>
          <w:highlight w:val="none"/>
        </w:rPr>
      </w:pPr>
      <w:r>
        <w:rPr>
          <w:rFonts w:ascii="宋体" w:hAnsi="宋体" w:cs="宋体" w:hint="eastAsia"/>
          <w:b/>
          <w:kern w:val="0"/>
          <w:sz w:val="28"/>
          <w:szCs w:val="28"/>
          <w:highlight w:val="none"/>
        </w:rPr>
        <w:t>第三部分　投标人须知</w:t>
      </w:r>
    </w:p>
    <w:p>
      <w:pPr>
        <w:ind w:firstLine="420" w:firstLineChars="200"/>
        <w:rPr>
          <w:rFonts w:ascii="宋体" w:hAnsi="宋体" w:cs="宋体"/>
          <w:b/>
          <w:szCs w:val="21"/>
          <w:highlight w:val="none"/>
        </w:rPr>
      </w:pPr>
      <w:r>
        <w:rPr>
          <w:rFonts w:ascii="宋体" w:hAnsi="宋体" w:cs="宋体" w:hint="eastAsia"/>
          <w:b/>
          <w:szCs w:val="21"/>
          <w:highlight w:val="none"/>
        </w:rPr>
        <w:t>一、说  明</w:t>
      </w:r>
    </w:p>
    <w:p>
      <w:pPr>
        <w:ind w:firstLine="420" w:firstLineChars="200"/>
        <w:rPr>
          <w:rFonts w:ascii="宋体" w:hAnsi="宋体" w:cs="宋体"/>
          <w:szCs w:val="21"/>
          <w:highlight w:val="none"/>
        </w:rPr>
      </w:pPr>
      <w:r>
        <w:rPr>
          <w:rFonts w:ascii="宋体" w:hAnsi="宋体" w:cs="宋体" w:hint="eastAsia"/>
          <w:szCs w:val="21"/>
          <w:highlight w:val="none"/>
        </w:rPr>
        <w:t>1．适用范围</w:t>
      </w:r>
    </w:p>
    <w:p>
      <w:pPr>
        <w:ind w:firstLine="420" w:firstLineChars="200"/>
        <w:rPr>
          <w:rFonts w:ascii="宋体" w:hAnsi="宋体" w:cs="宋体"/>
          <w:szCs w:val="21"/>
          <w:highlight w:val="none"/>
        </w:rPr>
      </w:pPr>
      <w:r>
        <w:rPr>
          <w:rFonts w:ascii="宋体" w:hAnsi="宋体" w:cs="宋体" w:hint="eastAsia"/>
          <w:szCs w:val="21"/>
          <w:highlight w:val="none"/>
        </w:rPr>
        <w:t>1.1本招标文件适用于本投标邀请函中所述项目的政府采购。</w:t>
      </w:r>
    </w:p>
    <w:p>
      <w:pPr>
        <w:ind w:firstLine="420" w:firstLineChars="200"/>
        <w:rPr>
          <w:rFonts w:ascii="宋体" w:hAnsi="宋体" w:cs="宋体"/>
          <w:szCs w:val="21"/>
          <w:highlight w:val="none"/>
        </w:rPr>
      </w:pPr>
      <w:r>
        <w:rPr>
          <w:rFonts w:ascii="宋体" w:hAnsi="宋体" w:cs="宋体" w:hint="eastAsia"/>
          <w:szCs w:val="21"/>
          <w:highlight w:val="none"/>
        </w:rPr>
        <w:t>2.定义</w:t>
      </w:r>
    </w:p>
    <w:p>
      <w:pPr>
        <w:ind w:firstLine="420" w:firstLineChars="200"/>
        <w:rPr>
          <w:rFonts w:ascii="宋体" w:hAnsi="宋体" w:cs="宋体"/>
          <w:szCs w:val="21"/>
          <w:highlight w:val="none"/>
        </w:rPr>
      </w:pPr>
      <w:r>
        <w:rPr>
          <w:rFonts w:ascii="宋体" w:hAnsi="宋体" w:cs="宋体" w:hint="eastAsia"/>
          <w:szCs w:val="21"/>
          <w:highlight w:val="none"/>
        </w:rPr>
        <w:t>2.1“采购人”是指：</w:t>
      </w:r>
      <w:r>
        <w:rPr>
          <w:rFonts w:ascii="宋体" w:hAnsi="宋体" w:cs="宋体" w:hint="eastAsia"/>
          <w:szCs w:val="21"/>
          <w:highlight w:val="none"/>
          <w:u w:val="single"/>
        </w:rPr>
        <w:t>深圳市人民医院</w:t>
      </w:r>
      <w:r>
        <w:rPr>
          <w:rFonts w:ascii="宋体" w:hAnsi="宋体" w:cs="宋体" w:hint="eastAsia"/>
          <w:szCs w:val="21"/>
          <w:highlight w:val="none"/>
        </w:rPr>
        <w:t>。</w:t>
      </w:r>
    </w:p>
    <w:p>
      <w:pPr>
        <w:ind w:firstLine="420" w:firstLineChars="200"/>
        <w:rPr>
          <w:rFonts w:ascii="宋体" w:hAnsi="宋体" w:cs="宋体"/>
          <w:szCs w:val="21"/>
          <w:highlight w:val="none"/>
          <w:u w:val="single"/>
        </w:rPr>
      </w:pPr>
      <w:r>
        <w:rPr>
          <w:rFonts w:ascii="宋体" w:hAnsi="宋体" w:cs="宋体" w:hint="eastAsia"/>
          <w:szCs w:val="21"/>
          <w:highlight w:val="none"/>
        </w:rPr>
        <w:t>2.2“监管部门”是指：</w:t>
      </w:r>
      <w:r>
        <w:rPr>
          <w:rFonts w:ascii="宋体" w:hAnsi="宋体" w:cs="宋体" w:hint="eastAsia"/>
          <w:szCs w:val="21"/>
          <w:highlight w:val="none"/>
          <w:u w:val="single"/>
        </w:rPr>
        <w:t>深圳市财政局</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2.3“采购代理机构”是指：</w:t>
      </w:r>
      <w:r>
        <w:rPr>
          <w:rFonts w:ascii="宋体" w:hAnsi="宋体" w:cs="宋体" w:hint="eastAsia"/>
          <w:szCs w:val="21"/>
          <w:highlight w:val="none"/>
          <w:u w:val="single"/>
        </w:rPr>
        <w:t>国义招标股份有限公司</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2.4“招标采购单位”是指：</w:t>
      </w:r>
      <w:r>
        <w:rPr>
          <w:rFonts w:ascii="宋体" w:hAnsi="宋体" w:cs="宋体" w:hint="eastAsia"/>
          <w:szCs w:val="21"/>
          <w:highlight w:val="none"/>
          <w:u w:val="single"/>
        </w:rPr>
        <w:t>采购人，采购代理机构。</w:t>
      </w:r>
    </w:p>
    <w:p>
      <w:pPr>
        <w:ind w:firstLine="420" w:firstLineChars="200"/>
        <w:rPr>
          <w:rFonts w:ascii="宋体" w:hAnsi="宋体" w:cs="宋体"/>
          <w:szCs w:val="21"/>
          <w:highlight w:val="none"/>
        </w:rPr>
      </w:pPr>
      <w:r>
        <w:rPr>
          <w:rFonts w:ascii="宋体" w:hAnsi="宋体" w:cs="宋体" w:hint="eastAsia"/>
          <w:szCs w:val="21"/>
          <w:highlight w:val="none"/>
        </w:rPr>
        <w:t>2.5合格的投标人</w:t>
      </w:r>
    </w:p>
    <w:p>
      <w:pPr>
        <w:tabs>
          <w:tab w:val="left" w:pos="360"/>
        </w:tabs>
        <w:ind w:firstLine="420" w:firstLineChars="200"/>
        <w:rPr>
          <w:rFonts w:ascii="宋体" w:hAnsi="宋体" w:cs="宋体"/>
          <w:snapToGrid w:val="0"/>
          <w:kern w:val="0"/>
          <w:szCs w:val="21"/>
          <w:highlight w:val="none"/>
        </w:rPr>
      </w:pPr>
      <w:r>
        <w:rPr>
          <w:rFonts w:ascii="宋体" w:hAnsi="宋体" w:cs="宋体" w:hint="eastAsia"/>
          <w:snapToGrid w:val="0"/>
          <w:kern w:val="0"/>
          <w:szCs w:val="21"/>
          <w:highlight w:val="none"/>
        </w:rPr>
        <w:t>1）符合《政府采购法》第二十二条规定的投标人。</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2）符合招标文件规定的资格要求及实质性要求。</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3）在采购代理机构登记并购买了招标文件。</w:t>
      </w:r>
    </w:p>
    <w:p>
      <w:pPr>
        <w:tabs>
          <w:tab w:val="left" w:pos="360"/>
        </w:tabs>
        <w:ind w:firstLine="420" w:firstLineChars="200"/>
        <w:rPr>
          <w:rFonts w:ascii="宋体" w:hAnsi="宋体" w:cs="宋体"/>
          <w:szCs w:val="21"/>
          <w:highlight w:val="none"/>
        </w:rPr>
      </w:pPr>
      <w:r>
        <w:rPr>
          <w:rFonts w:ascii="宋体" w:hAnsi="宋体" w:cs="宋体" w:hint="eastAsia"/>
          <w:kern w:val="0"/>
          <w:szCs w:val="21"/>
          <w:highlight w:val="none"/>
        </w:rPr>
        <w:t>2.6“中标人”是指经法定程序确定并授予合同</w:t>
      </w:r>
      <w:r>
        <w:rPr>
          <w:rFonts w:ascii="宋体" w:hAnsi="宋体" w:cs="宋体" w:hint="eastAsia"/>
          <w:szCs w:val="21"/>
          <w:highlight w:val="none"/>
        </w:rPr>
        <w:t>的投标人。</w:t>
      </w:r>
    </w:p>
    <w:p>
      <w:pPr>
        <w:ind w:firstLine="420" w:firstLineChars="200"/>
        <w:rPr>
          <w:rFonts w:ascii="宋体" w:hAnsi="宋体" w:cs="宋体"/>
          <w:szCs w:val="21"/>
          <w:highlight w:val="none"/>
        </w:rPr>
      </w:pPr>
      <w:r>
        <w:rPr>
          <w:rFonts w:ascii="宋体" w:hAnsi="宋体" w:cs="宋体" w:hint="eastAsia"/>
          <w:szCs w:val="21"/>
          <w:highlight w:val="none"/>
        </w:rPr>
        <w:t>3.合格的货物、工程和服务</w:t>
      </w:r>
    </w:p>
    <w:p>
      <w:pPr>
        <w:ind w:firstLine="420" w:firstLineChars="200"/>
        <w:rPr>
          <w:rFonts w:ascii="宋体" w:hAnsi="宋体" w:cs="宋体"/>
          <w:szCs w:val="21"/>
          <w:highlight w:val="none"/>
        </w:rPr>
      </w:pPr>
      <w:r>
        <w:rPr>
          <w:rFonts w:ascii="宋体" w:hAnsi="宋体" w:cs="宋体" w:hint="eastAsia"/>
          <w:szCs w:val="21"/>
          <w:highlight w:val="none"/>
        </w:rPr>
        <w:t>3.1 “货物”是指投标人制造或组织符合招标文件要求的货物等。</w:t>
      </w:r>
      <w:r>
        <w:rPr>
          <w:rFonts w:ascii="宋体" w:hAnsi="宋体" w:cs="宋体" w:hint="eastAsia"/>
          <w:snapToGrid w:val="0"/>
          <w:kern w:val="0"/>
          <w:szCs w:val="21"/>
          <w:highlight w:val="none"/>
        </w:rPr>
        <w:t>投标的货物必须是其合法生产的符合国家有关标准要求的货物，并满足政府采购文件规定的规格、参数、质量、价格、有效期、售后服务等要求。</w:t>
      </w:r>
    </w:p>
    <w:p>
      <w:pPr>
        <w:ind w:firstLine="420" w:firstLineChars="200"/>
        <w:rPr>
          <w:rFonts w:ascii="宋体" w:hAnsi="宋体" w:cs="宋体"/>
          <w:szCs w:val="21"/>
          <w:highlight w:val="none"/>
        </w:rPr>
      </w:pPr>
      <w:r>
        <w:rPr>
          <w:rFonts w:ascii="宋体" w:hAnsi="宋体" w:cs="宋体" w:hint="eastAsia"/>
          <w:szCs w:val="21"/>
          <w:highlight w:val="none"/>
        </w:rPr>
        <w:t>3.2 “工程”是指满足国家相关法律、法规、规章等规定，并符合本项目相关质量要求、安全文明施工要求的工程。</w:t>
      </w:r>
    </w:p>
    <w:p>
      <w:pPr>
        <w:ind w:firstLine="420" w:firstLineChars="200"/>
        <w:rPr>
          <w:rFonts w:ascii="宋体" w:hAnsi="宋体" w:cs="宋体"/>
          <w:szCs w:val="21"/>
          <w:highlight w:val="none"/>
        </w:rPr>
      </w:pPr>
      <w:r>
        <w:rPr>
          <w:rFonts w:ascii="宋体" w:hAnsi="宋体" w:cs="宋体" w:hint="eastAsia"/>
          <w:szCs w:val="21"/>
          <w:highlight w:val="none"/>
        </w:rPr>
        <w:t>3.3 “服务”是指除货物和工程以外的其他政府采购对象，其中包括：投标人须承担的运输、安装、技术支持、培训以及符合招标文件规定的其他服务。</w:t>
      </w:r>
    </w:p>
    <w:p>
      <w:pPr>
        <w:ind w:firstLine="420" w:firstLineChars="200"/>
        <w:rPr>
          <w:rFonts w:ascii="宋体" w:hAnsi="宋体" w:cs="宋体"/>
          <w:szCs w:val="21"/>
          <w:highlight w:val="none"/>
        </w:rPr>
      </w:pPr>
      <w:r>
        <w:rPr>
          <w:rFonts w:ascii="宋体" w:hAnsi="宋体" w:cs="宋体" w:hint="eastAsia"/>
          <w:szCs w:val="21"/>
          <w:highlight w:val="none"/>
        </w:rPr>
        <w:t>4．投标费用</w:t>
      </w:r>
    </w:p>
    <w:p>
      <w:pPr>
        <w:ind w:firstLine="420" w:firstLineChars="200"/>
        <w:rPr>
          <w:rFonts w:ascii="宋体" w:hAnsi="宋体" w:cs="宋体"/>
          <w:szCs w:val="21"/>
          <w:highlight w:val="none"/>
        </w:rPr>
      </w:pPr>
      <w:r>
        <w:rPr>
          <w:rFonts w:ascii="宋体" w:hAnsi="宋体" w:cs="宋体" w:hint="eastAsia"/>
          <w:szCs w:val="21"/>
          <w:highlight w:val="none"/>
        </w:rPr>
        <w:t>4.1 投标人应承担所有与准备和参加投标有关的费用。不论投标的结果如何，招标采购单位均无义务和责任承担这些费用。</w:t>
      </w:r>
    </w:p>
    <w:p>
      <w:pPr>
        <w:ind w:firstLine="420" w:firstLineChars="200"/>
        <w:rPr>
          <w:rFonts w:ascii="宋体" w:hAnsi="宋体" w:cs="宋体"/>
          <w:szCs w:val="21"/>
          <w:highlight w:val="none"/>
        </w:rPr>
      </w:pPr>
      <w:r>
        <w:rPr>
          <w:rFonts w:ascii="宋体" w:hAnsi="宋体" w:cs="宋体" w:hint="eastAsia"/>
          <w:szCs w:val="21"/>
          <w:highlight w:val="none"/>
        </w:rPr>
        <w:t>4.2本次招标向中标人收取的中标服务费，按国家发展计划委员会颁发的[2002]1980号文《招标代理服务收费管理暂行办法》、[2011]534号文《国家发改委关于降低部分建设项目收费标准规范收费行为等有关问题的通知》及《深圳市财政委员会关于规范深圳市社会采购代理机构管理有关事项的补充通知》（深财购〔2018〕27号）的有关规定执行，具体如下：</w:t>
      </w:r>
    </w:p>
    <w:p>
      <w:pPr>
        <w:ind w:firstLine="420" w:firstLineChars="200"/>
        <w:rPr>
          <w:rFonts w:ascii="宋体" w:hAnsi="宋体" w:cs="宋体"/>
          <w:szCs w:val="21"/>
          <w:highlight w:val="none"/>
        </w:rPr>
      </w:pPr>
      <w:r>
        <w:rPr>
          <w:rFonts w:hAnsi="宋体" w:cs="宋体" w:hint="eastAsia"/>
          <w:highlight w:val="none"/>
        </w:rPr>
        <w:t>招标代理服务收费按差额定率累进法计算，以本项目的预算金额作为收费的计算依据</w:t>
      </w:r>
      <w:r>
        <w:rPr>
          <w:rFonts w:ascii="宋体" w:hAnsi="宋体" w:cs="宋体" w:hint="eastAsia"/>
          <w:szCs w:val="21"/>
          <w:highlight w:val="none"/>
        </w:rPr>
        <w:t>。该项目中标服务费按《深圳市财政委员会关于规范深圳市社会采购代理机构管理有关事项的补充通知》（深财购〔2018〕27号）货物采购代理服务收费标准差额定率累进法计算后</w:t>
      </w:r>
      <w:r>
        <w:rPr>
          <w:rFonts w:ascii="宋体" w:hAnsi="宋体" w:cs="宋体" w:hint="eastAsia"/>
          <w:b/>
          <w:bCs/>
          <w:szCs w:val="21"/>
          <w:highlight w:val="none"/>
          <w:u w:val="single"/>
        </w:rPr>
        <w:t>下浮</w:t>
      </w:r>
      <w:r>
        <w:rPr>
          <w:rFonts w:ascii="宋体" w:hAnsi="宋体" w:cs="宋体" w:hint="eastAsia"/>
          <w:b/>
          <w:bCs/>
          <w:szCs w:val="21"/>
          <w:highlight w:val="none"/>
          <w:u w:val="single"/>
          <w:lang w:val="en-US" w:eastAsia="zh-CN"/>
        </w:rPr>
        <w:t>30</w:t>
      </w:r>
      <w:r>
        <w:rPr>
          <w:rFonts w:ascii="宋体" w:hAnsi="宋体" w:cs="宋体" w:hint="eastAsia"/>
          <w:b/>
          <w:bCs/>
          <w:szCs w:val="21"/>
          <w:highlight w:val="none"/>
          <w:u w:val="single"/>
        </w:rPr>
        <w:t>%</w:t>
      </w:r>
      <w:r>
        <w:rPr>
          <w:rFonts w:ascii="宋体" w:hAnsi="宋体" w:cs="宋体" w:hint="eastAsia"/>
          <w:szCs w:val="21"/>
          <w:highlight w:val="none"/>
        </w:rPr>
        <w:t>收取。</w:t>
      </w:r>
    </w:p>
    <w:p>
      <w:pPr>
        <w:ind w:firstLine="420" w:firstLineChars="200"/>
        <w:rPr>
          <w:rFonts w:ascii="宋体" w:hAnsi="宋体" w:cs="宋体"/>
          <w:szCs w:val="21"/>
          <w:highlight w:val="none"/>
        </w:rPr>
      </w:pPr>
      <w:r>
        <w:rPr>
          <w:rFonts w:ascii="宋体" w:hAnsi="宋体" w:cs="宋体" w:hint="eastAsia"/>
          <w:szCs w:val="21"/>
          <w:highlight w:val="none"/>
        </w:rPr>
        <w:t>中标金额的各部分费率如下表，本项目类型为</w:t>
      </w:r>
      <w:r>
        <w:rPr>
          <w:rFonts w:ascii="宋体" w:hAnsi="宋体" w:cs="宋体" w:hint="eastAsia"/>
          <w:b/>
          <w:bCs/>
          <w:szCs w:val="21"/>
          <w:highlight w:val="none"/>
          <w:u w:val="single"/>
        </w:rPr>
        <w:t>服务采购</w:t>
      </w:r>
      <w:r>
        <w:rPr>
          <w:rFonts w:ascii="宋体" w:hAnsi="宋体" w:cs="宋体" w:hint="eastAsia"/>
          <w:szCs w:val="21"/>
          <w:highlight w:val="none"/>
        </w:rPr>
        <w:t>：</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781"/>
        <w:gridCol w:w="1980"/>
        <w:gridCol w:w="1980"/>
        <w:gridCol w:w="198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35"/>
          <w:jc w:val="center"/>
        </w:trPr>
        <w:tc>
          <w:tcPr>
            <w:tcW w:w="2781"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firstLine="1228" w:firstLineChars="585"/>
              <w:rPr>
                <w:rFonts w:ascii="宋体" w:hAnsi="宋体" w:cs="宋体" w:hint="default"/>
                <w:b/>
                <w:highlight w:val="none"/>
              </w:rPr>
            </w:pPr>
            <w:r>
              <w:rPr>
                <w:rFonts w:ascii="宋体" w:hAnsi="宋体" w:cs="宋体" w:hint="eastAsia"/>
                <w:highlight w:val="none"/>
              </w:rPr>
              <w:pict>
                <v:line id="_x0000_s1025" o:spid="_x0000_s1025" style="flip:x y;mso-height-relative:page;mso-width-relative:page;position:absolute;z-index:251660288" from="29.45pt,1.5pt" to="133.8pt,98.5pt" coordsize="21600,21600" stroked="t">
                  <v:stroke joinstyle="round"/>
                  <o:lock v:ext="edit" aspectratio="f"/>
                </v:line>
              </w:pict>
            </w:r>
          </w:p>
          <w:p>
            <w:pPr>
              <w:keepNext w:val="0"/>
              <w:keepLines w:val="0"/>
              <w:suppressLineNumbers w:val="0"/>
              <w:spacing w:before="0" w:beforeAutospacing="0" w:after="0" w:afterAutospacing="0"/>
              <w:ind w:left="0" w:right="0" w:firstLine="1434" w:firstLineChars="683"/>
              <w:rPr>
                <w:rFonts w:ascii="宋体" w:hAnsi="宋体" w:cs="宋体" w:hint="default"/>
                <w:b/>
                <w:highlight w:val="none"/>
              </w:rPr>
            </w:pPr>
            <w:r>
              <w:rPr>
                <w:rFonts w:ascii="宋体" w:hAnsi="宋体" w:cs="宋体" w:hint="eastAsia"/>
                <w:b/>
                <w:highlight w:val="none"/>
              </w:rPr>
              <w:t>类型</w:t>
            </w:r>
          </w:p>
          <w:p>
            <w:pPr>
              <w:keepNext w:val="0"/>
              <w:keepLines w:val="0"/>
              <w:suppressLineNumbers w:val="0"/>
              <w:spacing w:before="0" w:beforeAutospacing="0" w:after="0" w:afterAutospacing="0"/>
              <w:ind w:left="0" w:right="0" w:firstLine="412" w:firstLineChars="196"/>
              <w:rPr>
                <w:rFonts w:ascii="宋体" w:hAnsi="宋体" w:cs="宋体" w:hint="default"/>
                <w:b/>
                <w:highlight w:val="none"/>
              </w:rPr>
            </w:pPr>
            <w:r>
              <w:rPr>
                <w:rFonts w:ascii="宋体" w:hAnsi="宋体" w:cs="宋体" w:hint="eastAsia"/>
                <w:highlight w:val="none"/>
              </w:rPr>
              <w:pict>
                <v:line id="_x0000_s1026" o:spid="_x0000_s1026" style="flip:x y;mso-height-relative:page;mso-width-relative:page;position:absolute;z-index:251659264" from="-5.15pt,12.4pt" to="132.55pt,65.95pt" coordsize="21600,21600" stroked="t">
                  <v:stroke joinstyle="round"/>
                  <o:lock v:ext="edit" aspectratio="f"/>
                </v:line>
              </w:pict>
            </w:r>
            <w:r>
              <w:rPr>
                <w:rFonts w:ascii="宋体" w:hAnsi="宋体" w:cs="宋体" w:hint="eastAsia"/>
                <w:b/>
                <w:highlight w:val="none"/>
              </w:rPr>
              <w:t>费率</w:t>
            </w:r>
          </w:p>
          <w:p>
            <w:pPr>
              <w:keepNext w:val="0"/>
              <w:keepLines w:val="0"/>
              <w:suppressLineNumbers w:val="0"/>
              <w:spacing w:before="0" w:beforeAutospacing="0" w:after="0" w:afterAutospacing="0"/>
              <w:ind w:left="0" w:right="0"/>
              <w:rPr>
                <w:rFonts w:ascii="宋体" w:hAnsi="宋体" w:cs="宋体" w:hint="default"/>
                <w:b/>
                <w:highlight w:val="none"/>
              </w:rPr>
            </w:pPr>
          </w:p>
          <w:p>
            <w:pPr>
              <w:keepNext w:val="0"/>
              <w:keepLines w:val="0"/>
              <w:suppressLineNumbers w:val="0"/>
              <w:spacing w:before="0" w:beforeAutospacing="0" w:after="0" w:afterAutospacing="0"/>
              <w:ind w:left="0" w:right="0"/>
              <w:rPr>
                <w:rFonts w:ascii="宋体" w:hAnsi="宋体" w:cs="宋体" w:hint="default"/>
                <w:b/>
                <w:highlight w:val="none"/>
              </w:rPr>
            </w:pPr>
          </w:p>
          <w:p>
            <w:pPr>
              <w:keepNext w:val="0"/>
              <w:keepLines w:val="0"/>
              <w:suppressLineNumbers w:val="0"/>
              <w:spacing w:before="0" w:beforeAutospacing="0" w:after="0" w:afterAutospacing="0"/>
              <w:ind w:left="0" w:right="0" w:firstLine="630" w:firstLineChars="300"/>
              <w:rPr>
                <w:rFonts w:ascii="宋体" w:hAnsi="宋体" w:cs="宋体" w:hint="default"/>
                <w:b/>
                <w:highlight w:val="none"/>
              </w:rPr>
            </w:pPr>
            <w:r>
              <w:rPr>
                <w:rFonts w:ascii="宋体" w:hAnsi="宋体" w:cs="宋体" w:hint="eastAsia"/>
                <w:b/>
                <w:highlight w:val="none"/>
              </w:rPr>
              <w:t>中标金额</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货物采购</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服务采购</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工程采购</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100万元以下</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1.0%</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100万元（含）-500万元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1.1%</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0.7%</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500万元（含）-1000万元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0.45%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0.55%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1000万元（含）-5000万元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0.35%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5000万元（含）-1亿元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0.1%</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1亿元（含）-5亿元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5亿元（含）-10亿元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10亿元（含）-50亿元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50亿元（含）-100亿元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100亿元（含）以上</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r>
    </w:tbl>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例如：某服务招标代理项目中标金额为300万元，计算招标代理服务收费额如下：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100万元×1.5%=1.5万元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（300-100）万元×0.8%=1.6万元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合计收费=（1.5+1.6）*0.7=2.17万元</w:t>
      </w:r>
    </w:p>
    <w:p>
      <w:pPr>
        <w:ind w:firstLine="420" w:firstLineChars="200"/>
        <w:rPr>
          <w:rFonts w:ascii="宋体" w:hAnsi="宋体" w:cs="宋体"/>
          <w:szCs w:val="21"/>
          <w:highlight w:val="none"/>
        </w:rPr>
      </w:pPr>
      <w:r>
        <w:rPr>
          <w:rFonts w:ascii="宋体" w:hAnsi="宋体" w:cs="宋体" w:hint="eastAsia"/>
          <w:szCs w:val="21"/>
          <w:highlight w:val="none"/>
        </w:rPr>
        <w:t>中标人在收到中标通知书前向采购代理机构缴纳中标服务费，以电汇方式缴纳，缴费账户为：</w:t>
      </w:r>
    </w:p>
    <w:p>
      <w:pPr>
        <w:ind w:firstLine="420" w:firstLineChars="200"/>
        <w:rPr>
          <w:rFonts w:ascii="宋体" w:hAnsi="宋体" w:cs="宋体"/>
          <w:b/>
          <w:bCs/>
          <w:szCs w:val="21"/>
          <w:highlight w:val="none"/>
        </w:rPr>
      </w:pPr>
      <w:r>
        <w:rPr>
          <w:rFonts w:ascii="宋体" w:hAnsi="宋体" w:cs="宋体" w:hint="eastAsia"/>
          <w:b/>
          <w:bCs/>
          <w:szCs w:val="21"/>
          <w:highlight w:val="none"/>
        </w:rPr>
        <w:t>收款人：国义招标股份有限公司深圳分公司</w:t>
      </w:r>
    </w:p>
    <w:p>
      <w:pPr>
        <w:ind w:firstLine="420" w:firstLineChars="200"/>
        <w:rPr>
          <w:rFonts w:ascii="宋体" w:hAnsi="宋体" w:cs="宋体"/>
          <w:b/>
          <w:bCs/>
          <w:szCs w:val="21"/>
          <w:highlight w:val="none"/>
        </w:rPr>
      </w:pPr>
      <w:r>
        <w:rPr>
          <w:rFonts w:ascii="宋体" w:hAnsi="宋体" w:cs="宋体" w:hint="eastAsia"/>
          <w:b/>
          <w:bCs/>
          <w:szCs w:val="21"/>
          <w:highlight w:val="none"/>
        </w:rPr>
        <w:t>开户银行：招商银行股份有限公司深圳翠竹支行</w:t>
      </w:r>
    </w:p>
    <w:p>
      <w:pPr>
        <w:ind w:firstLine="420" w:firstLineChars="200"/>
        <w:rPr>
          <w:rFonts w:ascii="宋体" w:hAnsi="宋体" w:cs="宋体"/>
          <w:b/>
          <w:bCs/>
          <w:szCs w:val="21"/>
          <w:highlight w:val="none"/>
        </w:rPr>
      </w:pPr>
      <w:r>
        <w:rPr>
          <w:rFonts w:ascii="宋体" w:hAnsi="宋体" w:cs="宋体" w:hint="eastAsia"/>
          <w:b/>
          <w:bCs/>
          <w:szCs w:val="21"/>
          <w:highlight w:val="none"/>
        </w:rPr>
        <w:t>银行账号：755918055510201</w:t>
      </w:r>
    </w:p>
    <w:p>
      <w:pPr>
        <w:ind w:firstLine="420" w:firstLineChars="200"/>
        <w:rPr>
          <w:rFonts w:ascii="宋体" w:hAnsi="宋体" w:cs="宋体"/>
          <w:szCs w:val="21"/>
          <w:highlight w:val="none"/>
        </w:rPr>
      </w:pPr>
      <w:r>
        <w:rPr>
          <w:rFonts w:ascii="宋体" w:hAnsi="宋体" w:cs="宋体" w:hint="eastAsia"/>
          <w:szCs w:val="21"/>
          <w:highlight w:val="none"/>
        </w:rPr>
        <w:t>用    途：“</w:t>
      </w:r>
      <w:r>
        <w:rPr>
          <w:rFonts w:ascii="宋体" w:hAnsi="宋体" w:cs="宋体" w:hint="eastAsia"/>
          <w:szCs w:val="21"/>
          <w:highlight w:val="none"/>
          <w:lang w:eastAsia="zh-CN"/>
        </w:rPr>
        <w:t>0724-2531SZ267470</w:t>
      </w:r>
      <w:r>
        <w:rPr>
          <w:rFonts w:ascii="宋体" w:hAnsi="宋体" w:cs="宋体" w:hint="eastAsia"/>
          <w:szCs w:val="21"/>
          <w:highlight w:val="none"/>
        </w:rPr>
        <w:t>”中标费</w:t>
      </w:r>
    </w:p>
    <w:p>
      <w:pPr>
        <w:ind w:firstLine="420" w:firstLineChars="200"/>
        <w:rPr>
          <w:rFonts w:ascii="宋体" w:hAnsi="宋体" w:cs="宋体"/>
          <w:b/>
          <w:szCs w:val="21"/>
          <w:highlight w:val="none"/>
        </w:rPr>
      </w:pPr>
      <w:r>
        <w:rPr>
          <w:rFonts w:ascii="宋体" w:hAnsi="宋体" w:cs="宋体" w:hint="eastAsia"/>
          <w:b/>
          <w:szCs w:val="21"/>
          <w:highlight w:val="none"/>
        </w:rPr>
        <w:t>二、招标文件</w:t>
      </w:r>
    </w:p>
    <w:p>
      <w:pPr>
        <w:ind w:firstLine="420" w:firstLineChars="200"/>
        <w:rPr>
          <w:rFonts w:ascii="宋体" w:hAnsi="宋体" w:cs="宋体"/>
          <w:szCs w:val="21"/>
          <w:highlight w:val="none"/>
        </w:rPr>
      </w:pPr>
      <w:r>
        <w:rPr>
          <w:rFonts w:ascii="宋体" w:hAnsi="宋体" w:cs="宋体" w:hint="eastAsia"/>
          <w:szCs w:val="21"/>
          <w:highlight w:val="none"/>
        </w:rPr>
        <w:t>5. 招标文件的构成</w:t>
      </w:r>
    </w:p>
    <w:p>
      <w:pPr>
        <w:ind w:firstLine="420" w:firstLineChars="200"/>
        <w:rPr>
          <w:rFonts w:ascii="宋体" w:hAnsi="宋体" w:cs="宋体"/>
          <w:szCs w:val="21"/>
          <w:highlight w:val="none"/>
        </w:rPr>
      </w:pPr>
      <w:r>
        <w:rPr>
          <w:rFonts w:ascii="宋体" w:hAnsi="宋体" w:cs="宋体" w:hint="eastAsia"/>
          <w:szCs w:val="21"/>
          <w:highlight w:val="none"/>
        </w:rPr>
        <w:t>5.1招标文件由下列文件组成：</w:t>
      </w:r>
    </w:p>
    <w:p>
      <w:pPr>
        <w:ind w:firstLine="420" w:firstLineChars="200"/>
        <w:rPr>
          <w:rFonts w:ascii="宋体" w:hAnsi="宋体" w:cs="宋体"/>
          <w:szCs w:val="21"/>
          <w:highlight w:val="none"/>
        </w:rPr>
      </w:pPr>
      <w:r>
        <w:rPr>
          <w:rFonts w:ascii="宋体" w:hAnsi="宋体" w:cs="宋体" w:hint="eastAsia"/>
          <w:szCs w:val="21"/>
          <w:highlight w:val="none"/>
        </w:rPr>
        <w:t>1) 投标邀请函</w:t>
      </w:r>
    </w:p>
    <w:p>
      <w:pPr>
        <w:ind w:firstLine="420" w:firstLineChars="200"/>
        <w:rPr>
          <w:rFonts w:ascii="宋体" w:hAnsi="宋体" w:cs="宋体"/>
          <w:szCs w:val="21"/>
          <w:highlight w:val="none"/>
        </w:rPr>
      </w:pPr>
      <w:r>
        <w:rPr>
          <w:rFonts w:ascii="宋体" w:hAnsi="宋体" w:cs="宋体" w:hint="eastAsia"/>
          <w:szCs w:val="21"/>
          <w:highlight w:val="none"/>
        </w:rPr>
        <w:t>2) 采购项目内容</w:t>
      </w:r>
    </w:p>
    <w:p>
      <w:pPr>
        <w:ind w:firstLine="420" w:firstLineChars="200"/>
        <w:rPr>
          <w:rFonts w:ascii="宋体" w:hAnsi="宋体" w:cs="宋体"/>
          <w:szCs w:val="21"/>
          <w:highlight w:val="none"/>
        </w:rPr>
      </w:pPr>
      <w:r>
        <w:rPr>
          <w:rFonts w:ascii="宋体" w:hAnsi="宋体" w:cs="宋体" w:hint="eastAsia"/>
          <w:szCs w:val="21"/>
          <w:highlight w:val="none"/>
        </w:rPr>
        <w:t>3) 投标人须知</w:t>
      </w:r>
    </w:p>
    <w:p>
      <w:pPr>
        <w:ind w:firstLine="420" w:firstLineChars="200"/>
        <w:rPr>
          <w:rFonts w:ascii="宋体" w:hAnsi="宋体" w:cs="宋体"/>
          <w:szCs w:val="21"/>
          <w:highlight w:val="none"/>
        </w:rPr>
      </w:pPr>
      <w:r>
        <w:rPr>
          <w:rFonts w:ascii="宋体" w:hAnsi="宋体" w:cs="宋体" w:hint="eastAsia"/>
          <w:szCs w:val="21"/>
          <w:highlight w:val="none"/>
        </w:rPr>
        <w:t>4) 合同格式</w:t>
      </w:r>
    </w:p>
    <w:p>
      <w:pPr>
        <w:ind w:firstLine="420" w:firstLineChars="200"/>
        <w:rPr>
          <w:rFonts w:ascii="宋体" w:hAnsi="宋体" w:cs="宋体"/>
          <w:szCs w:val="21"/>
          <w:highlight w:val="none"/>
        </w:rPr>
      </w:pPr>
      <w:r>
        <w:rPr>
          <w:rFonts w:ascii="宋体" w:hAnsi="宋体" w:cs="宋体" w:hint="eastAsia"/>
          <w:szCs w:val="21"/>
          <w:highlight w:val="none"/>
        </w:rPr>
        <w:t xml:space="preserve">5) 投标文件格式 </w:t>
      </w:r>
    </w:p>
    <w:p>
      <w:pPr>
        <w:ind w:firstLine="420" w:firstLineChars="200"/>
        <w:rPr>
          <w:rFonts w:ascii="宋体" w:hAnsi="宋体" w:cs="宋体"/>
          <w:szCs w:val="21"/>
          <w:highlight w:val="none"/>
        </w:rPr>
      </w:pPr>
      <w:r>
        <w:rPr>
          <w:rFonts w:ascii="宋体" w:hAnsi="宋体" w:cs="宋体" w:hint="eastAsia"/>
          <w:szCs w:val="21"/>
          <w:highlight w:val="none"/>
        </w:rPr>
        <w:t>5.2投标人应认真阅读、并充分理解招标文件的全部内容（包括所有的补充、修改内容、重要事项、格式、条款和技术规范、标的参数及服务需求等）。投标人没有按照招标文件要求提交全部资料，或者投标没有对招标文件在各方面都做出实质性响应是投标人的风险，有可能导致其投标被拒绝，或被认定为无效投标。</w:t>
      </w:r>
    </w:p>
    <w:p>
      <w:pPr>
        <w:ind w:firstLine="420" w:firstLineChars="200"/>
        <w:rPr>
          <w:rFonts w:ascii="宋体" w:hAnsi="宋体" w:cs="宋体"/>
          <w:szCs w:val="21"/>
          <w:highlight w:val="none"/>
        </w:rPr>
      </w:pPr>
      <w:r>
        <w:rPr>
          <w:rFonts w:ascii="宋体" w:hAnsi="宋体" w:cs="宋体" w:hint="eastAsia"/>
          <w:szCs w:val="21"/>
          <w:highlight w:val="none"/>
        </w:rPr>
        <w:t>6. 招标文件的澄清</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6.1招标文件澄清的目的是澄清、解答投标人在查阅招标文件后或现场踏勘中可能提出的与投标有关的疑问或询问。</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6.2投标人如对招标文件内容有疑问，应当在招标公告规定的澄清（提问）截止时间前以网上提问的形式通过网上政府采购系统提交</w:t>
      </w:r>
      <w:r>
        <w:rPr>
          <w:rFonts w:ascii="宋体" w:hAnsi="宋体" w:cs="宋体" w:hint="eastAsia"/>
          <w:kern w:val="0"/>
          <w:szCs w:val="21"/>
          <w:highlight w:val="none"/>
        </w:rPr>
        <w:t>采购代理机构</w:t>
      </w:r>
      <w:r>
        <w:rPr>
          <w:rFonts w:ascii="宋体" w:hAnsi="宋体" w:cs="宋体" w:hint="eastAsia"/>
          <w:spacing w:val="-6"/>
          <w:szCs w:val="21"/>
          <w:highlight w:val="none"/>
        </w:rPr>
        <w:t>。</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6.3不论是</w:t>
      </w:r>
      <w:r>
        <w:rPr>
          <w:rFonts w:ascii="宋体" w:hAnsi="宋体" w:cs="宋体" w:hint="eastAsia"/>
          <w:kern w:val="0"/>
          <w:szCs w:val="21"/>
          <w:highlight w:val="none"/>
        </w:rPr>
        <w:t>采购代理机构</w:t>
      </w:r>
      <w:r>
        <w:rPr>
          <w:rFonts w:ascii="宋体" w:hAnsi="宋体" w:cs="宋体" w:hint="eastAsia"/>
          <w:spacing w:val="-6"/>
          <w:szCs w:val="21"/>
          <w:highlight w:val="none"/>
        </w:rPr>
        <w:t>根据需要主动对招标文件进行必要的澄清或是根据投标人的要求对招标文件做出澄清，</w:t>
      </w:r>
      <w:r>
        <w:rPr>
          <w:rFonts w:ascii="宋体" w:hAnsi="宋体" w:cs="宋体" w:hint="eastAsia"/>
          <w:kern w:val="0"/>
          <w:szCs w:val="21"/>
          <w:highlight w:val="none"/>
        </w:rPr>
        <w:t>采购代理机构</w:t>
      </w:r>
      <w:r>
        <w:rPr>
          <w:rFonts w:ascii="宋体" w:hAnsi="宋体" w:cs="宋体" w:hint="eastAsia"/>
          <w:spacing w:val="-6"/>
          <w:szCs w:val="21"/>
          <w:highlight w:val="none"/>
        </w:rPr>
        <w:t>都将在投标截止日期前以书面形式（包括</w:t>
      </w:r>
      <w:r>
        <w:rPr>
          <w:rFonts w:ascii="宋体" w:hAnsi="宋体" w:cs="宋体" w:hint="eastAsia"/>
          <w:kern w:val="0"/>
          <w:szCs w:val="21"/>
          <w:highlight w:val="none"/>
        </w:rPr>
        <w:t>采购代理机构</w:t>
      </w:r>
      <w:r>
        <w:rPr>
          <w:rFonts w:ascii="宋体" w:hAnsi="宋体" w:cs="宋体" w:hint="eastAsia"/>
          <w:spacing w:val="-6"/>
          <w:szCs w:val="21"/>
          <w:highlight w:val="none"/>
        </w:rPr>
        <w:t>网站发布方式）答复或发送给所有投标人。答复内容是招标文件的组成部分，对投标人起约束作用，其有效性按照本通用条款第7.3、7.4款规定执行。</w:t>
      </w:r>
    </w:p>
    <w:p>
      <w:pPr>
        <w:ind w:firstLine="420" w:firstLineChars="200"/>
        <w:rPr>
          <w:rFonts w:ascii="宋体" w:hAnsi="宋体" w:cs="宋体"/>
          <w:szCs w:val="21"/>
          <w:highlight w:val="none"/>
        </w:rPr>
      </w:pPr>
      <w:r>
        <w:rPr>
          <w:rFonts w:ascii="宋体" w:hAnsi="宋体" w:cs="宋体" w:hint="eastAsia"/>
          <w:szCs w:val="21"/>
          <w:highlight w:val="none"/>
        </w:rPr>
        <w:t>7. 招标文件的修改</w:t>
      </w:r>
    </w:p>
    <w:p>
      <w:pPr>
        <w:ind w:firstLine="420" w:firstLineChars="200"/>
        <w:rPr>
          <w:rFonts w:ascii="宋体" w:hAnsi="宋体" w:cs="宋体"/>
          <w:szCs w:val="21"/>
          <w:highlight w:val="none"/>
        </w:rPr>
      </w:pPr>
      <w:r>
        <w:rPr>
          <w:rFonts w:ascii="宋体" w:hAnsi="宋体" w:cs="宋体" w:hint="eastAsia"/>
          <w:szCs w:val="21"/>
          <w:highlight w:val="none"/>
        </w:rPr>
        <w:t>7.1招标文件发出后，在投标截止日期前任何时候，确需要变更招标文件内容的，</w:t>
      </w:r>
      <w:r>
        <w:rPr>
          <w:rFonts w:ascii="宋体" w:hAnsi="宋体" w:cs="宋体" w:hint="eastAsia"/>
          <w:kern w:val="0"/>
          <w:szCs w:val="21"/>
          <w:highlight w:val="none"/>
        </w:rPr>
        <w:t>采购代理机构</w:t>
      </w:r>
      <w:r>
        <w:rPr>
          <w:rFonts w:ascii="宋体" w:hAnsi="宋体" w:cs="宋体" w:hint="eastAsia"/>
          <w:szCs w:val="21"/>
          <w:highlight w:val="none"/>
        </w:rPr>
        <w:t>可主动或在解答投标人提出的澄清问题时对招标文件进行修改。</w:t>
      </w:r>
    </w:p>
    <w:p>
      <w:pPr>
        <w:ind w:firstLine="420" w:firstLineChars="200"/>
        <w:rPr>
          <w:rFonts w:ascii="宋体" w:hAnsi="宋体" w:cs="宋体"/>
          <w:szCs w:val="21"/>
          <w:highlight w:val="none"/>
        </w:rPr>
      </w:pPr>
      <w:r>
        <w:rPr>
          <w:rFonts w:ascii="宋体" w:hAnsi="宋体" w:cs="宋体" w:hint="eastAsia"/>
          <w:szCs w:val="21"/>
          <w:highlight w:val="none"/>
        </w:rPr>
        <w:t>7.2招标文件的修改以书面形式（包括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网站发布方式，如更正公告等）发送给所有投标人，招标文件的修改内容作为招标文件的组成部分，并具有约束力。</w:t>
      </w:r>
    </w:p>
    <w:p>
      <w:pPr>
        <w:ind w:firstLine="420" w:firstLineChars="200"/>
        <w:rPr>
          <w:rFonts w:ascii="宋体" w:hAnsi="宋体" w:cs="宋体"/>
          <w:szCs w:val="21"/>
          <w:highlight w:val="none"/>
        </w:rPr>
      </w:pPr>
      <w:r>
        <w:rPr>
          <w:rFonts w:ascii="宋体" w:hAnsi="宋体" w:cs="宋体" w:hint="eastAsia"/>
          <w:szCs w:val="21"/>
          <w:highlight w:val="none"/>
        </w:rPr>
        <w:t>7.3招标文件、招标文件澄清答复内容、招标文件修改补充内容均以书面形式（包括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网站公开发布方式，如更正公告等）明确的内容为准。当招标文件、修改补充通知、招标文件澄清答复内容相互矛盾时，以最后发出的内容为准。</w:t>
      </w:r>
    </w:p>
    <w:p>
      <w:pPr>
        <w:ind w:firstLine="420" w:firstLineChars="200"/>
        <w:rPr>
          <w:rFonts w:ascii="宋体" w:hAnsi="宋体" w:cs="宋体"/>
          <w:szCs w:val="21"/>
          <w:highlight w:val="none"/>
        </w:rPr>
      </w:pPr>
      <w:r>
        <w:rPr>
          <w:rFonts w:ascii="宋体" w:hAnsi="宋体" w:cs="宋体" w:hint="eastAsia"/>
          <w:szCs w:val="21"/>
          <w:highlight w:val="none"/>
        </w:rPr>
        <w:t>7.4</w:t>
      </w:r>
      <w:r>
        <w:rPr>
          <w:rFonts w:ascii="宋体" w:hAnsi="宋体" w:cs="宋体" w:hint="eastAsia"/>
          <w:kern w:val="0"/>
          <w:szCs w:val="21"/>
          <w:highlight w:val="none"/>
        </w:rPr>
        <w:t>采购代理机构</w:t>
      </w:r>
      <w:r>
        <w:rPr>
          <w:rFonts w:ascii="宋体" w:hAnsi="宋体" w:cs="宋体" w:hint="eastAsia"/>
          <w:szCs w:val="21"/>
          <w:highlight w:val="none"/>
        </w:rPr>
        <w:t>保证招标文件澄清答复内容和招标文件修改补充内容在投标截止时间前以书面形式（包括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网站发布方式，如更正公告等）发送给所有投标人。为使投标人在编制投标文件时有充分时间对招标文件的修改部分进行研究，</w:t>
      </w:r>
      <w:r>
        <w:rPr>
          <w:rFonts w:ascii="宋体" w:hAnsi="宋体" w:cs="宋体" w:hint="eastAsia"/>
          <w:kern w:val="0"/>
          <w:szCs w:val="21"/>
          <w:highlight w:val="none"/>
        </w:rPr>
        <w:t>采购代理机构</w:t>
      </w:r>
      <w:r>
        <w:rPr>
          <w:rFonts w:ascii="宋体" w:hAnsi="宋体" w:cs="宋体" w:hint="eastAsia"/>
          <w:szCs w:val="21"/>
          <w:highlight w:val="none"/>
        </w:rPr>
        <w:t>可以酌情延长递交投标文件的截止日期。</w:t>
      </w:r>
    </w:p>
    <w:p>
      <w:pPr>
        <w:ind w:firstLine="420" w:firstLineChars="200"/>
        <w:rPr>
          <w:rFonts w:ascii="宋体" w:hAnsi="宋体" w:cs="宋体"/>
          <w:b/>
          <w:szCs w:val="21"/>
          <w:highlight w:val="none"/>
        </w:rPr>
      </w:pPr>
      <w:r>
        <w:rPr>
          <w:rFonts w:ascii="宋体" w:hAnsi="宋体" w:cs="宋体" w:hint="eastAsia"/>
          <w:b/>
          <w:szCs w:val="21"/>
          <w:highlight w:val="none"/>
        </w:rPr>
        <w:t>三、投标文件的编制</w:t>
      </w:r>
    </w:p>
    <w:p>
      <w:pPr>
        <w:ind w:firstLine="420" w:firstLineChars="200"/>
        <w:rPr>
          <w:rFonts w:ascii="宋体" w:hAnsi="宋体" w:cs="宋体"/>
          <w:szCs w:val="21"/>
          <w:highlight w:val="none"/>
        </w:rPr>
      </w:pPr>
      <w:r>
        <w:rPr>
          <w:rFonts w:ascii="宋体" w:hAnsi="宋体" w:cs="宋体" w:hint="eastAsia"/>
          <w:szCs w:val="21"/>
          <w:highlight w:val="none"/>
        </w:rPr>
        <w:t>8．投标的语言及计量</w:t>
      </w:r>
    </w:p>
    <w:p>
      <w:pPr>
        <w:ind w:firstLine="420" w:firstLineChars="200"/>
        <w:rPr>
          <w:rFonts w:ascii="宋体" w:hAnsi="宋体" w:cs="宋体"/>
          <w:szCs w:val="21"/>
          <w:highlight w:val="none"/>
        </w:rPr>
      </w:pPr>
      <w:r>
        <w:rPr>
          <w:rFonts w:ascii="宋体" w:hAnsi="宋体" w:cs="宋体" w:hint="eastAsia"/>
          <w:szCs w:val="21"/>
          <w:highlight w:val="none"/>
        </w:rPr>
        <w:t>8.1投标人提交的投标文件以及投标人与招标采购单位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ind w:firstLine="420" w:firstLineChars="200"/>
        <w:rPr>
          <w:rFonts w:ascii="宋体" w:hAnsi="宋体" w:cs="宋体"/>
          <w:szCs w:val="21"/>
          <w:highlight w:val="none"/>
        </w:rPr>
      </w:pPr>
      <w:r>
        <w:rPr>
          <w:rFonts w:ascii="宋体" w:hAnsi="宋体" w:cs="宋体" w:hint="eastAsia"/>
          <w:szCs w:val="21"/>
          <w:highlight w:val="none"/>
        </w:rPr>
        <w:t>8.2 除非招标文件中另有规定，投标人在投标文件中及其与招标采购单位的所有往来文件中的计量单位均应采用中华人民共和国法定计量单位。</w:t>
      </w:r>
    </w:p>
    <w:p>
      <w:pPr>
        <w:ind w:firstLine="420" w:firstLineChars="200"/>
        <w:rPr>
          <w:rFonts w:ascii="宋体" w:hAnsi="宋体" w:cs="宋体"/>
          <w:szCs w:val="21"/>
          <w:highlight w:val="none"/>
        </w:rPr>
      </w:pPr>
      <w:r>
        <w:rPr>
          <w:rFonts w:ascii="宋体" w:hAnsi="宋体" w:cs="宋体" w:hint="eastAsia"/>
          <w:szCs w:val="21"/>
          <w:highlight w:val="none"/>
        </w:rPr>
        <w:t>9．投标文件的构成应符合法律法规及招标文件的要求。</w:t>
      </w:r>
    </w:p>
    <w:p>
      <w:pPr>
        <w:ind w:firstLine="420" w:firstLineChars="200"/>
        <w:rPr>
          <w:rFonts w:ascii="宋体" w:hAnsi="宋体" w:cs="宋体"/>
          <w:szCs w:val="21"/>
          <w:highlight w:val="none"/>
        </w:rPr>
      </w:pPr>
      <w:r>
        <w:rPr>
          <w:rFonts w:ascii="宋体" w:hAnsi="宋体" w:cs="宋体" w:hint="eastAsia"/>
          <w:szCs w:val="21"/>
          <w:highlight w:val="none"/>
        </w:rPr>
        <w:t>10. 投标文件编制</w:t>
      </w:r>
    </w:p>
    <w:p>
      <w:pPr>
        <w:ind w:firstLine="420" w:firstLineChars="200"/>
        <w:rPr>
          <w:rFonts w:ascii="宋体" w:hAnsi="宋体" w:cs="宋体"/>
          <w:szCs w:val="21"/>
          <w:highlight w:val="none"/>
        </w:rPr>
      </w:pPr>
      <w:r>
        <w:rPr>
          <w:rFonts w:ascii="宋体" w:hAnsi="宋体" w:cs="宋体" w:hint="eastAsia"/>
          <w:szCs w:val="21"/>
          <w:highlight w:val="none"/>
        </w:rPr>
        <w:t>10.1 投标人对招标文件中多个包进行投标的，其投标文件的编制应按每个包的要求分别编制。</w:t>
      </w:r>
    </w:p>
    <w:p>
      <w:pPr>
        <w:ind w:firstLine="420" w:firstLineChars="200"/>
        <w:rPr>
          <w:rFonts w:ascii="宋体" w:hAnsi="宋体" w:cs="宋体"/>
          <w:szCs w:val="21"/>
          <w:highlight w:val="none"/>
        </w:rPr>
      </w:pPr>
      <w:r>
        <w:rPr>
          <w:rFonts w:ascii="宋体" w:hAnsi="宋体" w:cs="宋体" w:hint="eastAsia"/>
          <w:szCs w:val="21"/>
          <w:highlight w:val="none"/>
        </w:rPr>
        <w:t>10.2投标人应完整、真实、准确地填写招标文件中规定的所有内容，对投标文件所提供的全部资料的真实性承担法律责任，并无条件接受招标采购单位及政府采购监督管理部门等对其中任何资料及招标采购单位或政府采购监督管理部门认为有必要的资料进行核实的要求。</w:t>
      </w:r>
    </w:p>
    <w:p>
      <w:pPr>
        <w:ind w:firstLine="420" w:firstLineChars="200"/>
        <w:rPr>
          <w:rFonts w:ascii="宋体" w:hAnsi="宋体" w:cs="宋体"/>
          <w:szCs w:val="21"/>
          <w:highlight w:val="none"/>
        </w:rPr>
      </w:pPr>
      <w:r>
        <w:rPr>
          <w:rFonts w:ascii="宋体" w:hAnsi="宋体" w:cs="宋体" w:hint="eastAsia"/>
          <w:szCs w:val="21"/>
          <w:highlight w:val="none"/>
        </w:rPr>
        <w:t>10.3如果因为投标人投标文件填报的内容不详，或没有提供招标文件中所要求的全部资料及数据，由此造成的后果，其责任由投标人承担。</w:t>
      </w:r>
    </w:p>
    <w:p>
      <w:pPr>
        <w:ind w:firstLine="420" w:firstLineChars="200"/>
        <w:rPr>
          <w:rFonts w:ascii="宋体" w:hAnsi="宋体" w:cs="宋体"/>
          <w:szCs w:val="21"/>
          <w:highlight w:val="none"/>
        </w:rPr>
      </w:pPr>
      <w:r>
        <w:rPr>
          <w:rFonts w:ascii="宋体" w:hAnsi="宋体" w:cs="宋体" w:hint="eastAsia"/>
          <w:szCs w:val="21"/>
          <w:highlight w:val="none"/>
        </w:rPr>
        <w:t>11. 投标报价</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11.1 如招标文件无特殊规定，投标价格以人民币填报。</w:t>
      </w:r>
    </w:p>
    <w:p>
      <w:pPr>
        <w:ind w:firstLine="420" w:firstLineChars="200"/>
        <w:rPr>
          <w:rFonts w:ascii="宋体" w:hAnsi="宋体" w:cs="宋体"/>
          <w:kern w:val="0"/>
          <w:szCs w:val="21"/>
          <w:highlight w:val="none"/>
        </w:rPr>
      </w:pPr>
      <w:r>
        <w:rPr>
          <w:rFonts w:ascii="宋体" w:hAnsi="宋体" w:cs="宋体" w:hint="eastAsia"/>
          <w:kern w:val="0"/>
          <w:szCs w:val="21"/>
          <w:highlight w:val="none"/>
        </w:rPr>
        <w:t>11.2</w:t>
      </w:r>
      <w:r>
        <w:rPr>
          <w:rFonts w:ascii="宋体" w:hAnsi="宋体" w:cs="宋体" w:hint="eastAsia"/>
          <w:szCs w:val="21"/>
          <w:highlight w:val="none"/>
        </w:rPr>
        <w:t>投标人应按照招标文件“第二部分 采购项目内容”中规定的内容、责任范围以及合同条款进行报价，并按《开标一览表》和《投标明细报价表》确定的格式报出分项价格和总价</w:t>
      </w:r>
      <w:r>
        <w:rPr>
          <w:rFonts w:ascii="宋体" w:hAnsi="宋体" w:cs="宋体" w:hint="eastAsia"/>
          <w:kern w:val="0"/>
          <w:szCs w:val="21"/>
          <w:highlight w:val="none"/>
        </w:rPr>
        <w:t>。投标总价中不得包含招标文件要求以外的内容，否则在评标时不予核减。投标总价中也不得缺漏招标文件所要求的相应内容，否则</w:t>
      </w:r>
      <w:r>
        <w:rPr>
          <w:rFonts w:ascii="宋体" w:hAnsi="宋体" w:cs="宋体" w:hint="eastAsia"/>
          <w:szCs w:val="21"/>
          <w:highlight w:val="none"/>
          <w:lang w:val="zh-CN"/>
        </w:rPr>
        <w:t>将导致投标无效</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11.3《投标明细报价表》填写时应响应下列要求：</w:t>
      </w:r>
    </w:p>
    <w:p>
      <w:pPr>
        <w:ind w:firstLine="420" w:firstLineChars="200"/>
        <w:rPr>
          <w:rFonts w:ascii="宋体" w:hAnsi="宋体" w:cs="宋体"/>
          <w:szCs w:val="21"/>
          <w:highlight w:val="none"/>
        </w:rPr>
      </w:pPr>
      <w:r>
        <w:rPr>
          <w:rFonts w:ascii="宋体" w:hAnsi="宋体" w:cs="宋体" w:hint="eastAsia"/>
          <w:szCs w:val="21"/>
          <w:highlight w:val="none"/>
        </w:rPr>
        <w:t>1）投标人应报货交采购人指定地点/仓库（包括安装至指定位置）人民币含税价（包括但不限于运输、保险、安装、伴随服务、关税、销售税、其他税以及合同包含的所有风险、责任等各项应有费用）。</w:t>
      </w:r>
    </w:p>
    <w:p>
      <w:pPr>
        <w:ind w:firstLine="420" w:firstLineChars="200"/>
        <w:rPr>
          <w:rFonts w:ascii="宋体" w:hAnsi="宋体" w:cs="宋体"/>
          <w:szCs w:val="21"/>
          <w:highlight w:val="none"/>
        </w:rPr>
      </w:pPr>
      <w:r>
        <w:rPr>
          <w:rFonts w:ascii="宋体" w:hAnsi="宋体" w:cs="宋体" w:hint="eastAsia"/>
          <w:szCs w:val="21"/>
          <w:highlight w:val="none"/>
        </w:rPr>
        <w:t>11.4 每种规格货物或每项标准服务只允许有一个报价，否则将被视为无效投标。</w:t>
      </w:r>
    </w:p>
    <w:p>
      <w:pPr>
        <w:ind w:firstLine="420" w:firstLineChars="200"/>
        <w:rPr>
          <w:rFonts w:ascii="宋体" w:hAnsi="宋体" w:cs="宋体"/>
          <w:szCs w:val="21"/>
          <w:highlight w:val="none"/>
        </w:rPr>
      </w:pPr>
      <w:r>
        <w:rPr>
          <w:rFonts w:ascii="宋体" w:hAnsi="宋体" w:cs="宋体" w:hint="eastAsia"/>
          <w:szCs w:val="21"/>
          <w:highlight w:val="none"/>
        </w:rPr>
        <w:t>12. 备选方案</w:t>
      </w:r>
    </w:p>
    <w:p>
      <w:pPr>
        <w:ind w:firstLine="420" w:firstLineChars="200"/>
        <w:rPr>
          <w:rFonts w:ascii="宋体" w:hAnsi="宋体" w:cs="宋体"/>
          <w:kern w:val="0"/>
          <w:szCs w:val="21"/>
          <w:highlight w:val="none"/>
        </w:rPr>
      </w:pPr>
      <w:r>
        <w:rPr>
          <w:rFonts w:ascii="宋体" w:hAnsi="宋体" w:cs="宋体" w:hint="eastAsia"/>
          <w:szCs w:val="21"/>
          <w:highlight w:val="none"/>
        </w:rPr>
        <w:t>12.1</w:t>
      </w:r>
      <w:r>
        <w:rPr>
          <w:rFonts w:ascii="宋体" w:hAnsi="宋体" w:cs="宋体" w:hint="eastAsia"/>
          <w:kern w:val="0"/>
          <w:szCs w:val="21"/>
          <w:highlight w:val="none"/>
        </w:rPr>
        <w:t>只允许投标人有一个投标方案，否则</w:t>
      </w:r>
      <w:r>
        <w:rPr>
          <w:rFonts w:ascii="宋体" w:hAnsi="宋体" w:cs="宋体" w:hint="eastAsia"/>
          <w:szCs w:val="21"/>
          <w:highlight w:val="none"/>
        </w:rPr>
        <w:t>将被视为无效投标</w:t>
      </w:r>
      <w:r>
        <w:rPr>
          <w:rFonts w:ascii="宋体" w:hAnsi="宋体" w:cs="宋体" w:hint="eastAsia"/>
          <w:kern w:val="0"/>
          <w:szCs w:val="21"/>
          <w:highlight w:val="none"/>
        </w:rPr>
        <w:t>。（招标文件允许有备选方案的除外）</w:t>
      </w:r>
    </w:p>
    <w:p>
      <w:pPr>
        <w:ind w:firstLine="420" w:firstLineChars="200"/>
        <w:rPr>
          <w:rFonts w:ascii="宋体" w:hAnsi="宋体" w:cs="宋体"/>
          <w:kern w:val="0"/>
          <w:szCs w:val="21"/>
          <w:highlight w:val="none"/>
        </w:rPr>
      </w:pPr>
      <w:r>
        <w:rPr>
          <w:rFonts w:ascii="宋体" w:hAnsi="宋体" w:cs="宋体" w:hint="eastAsia"/>
          <w:kern w:val="0"/>
          <w:szCs w:val="21"/>
          <w:highlight w:val="none"/>
        </w:rPr>
        <w:t>13. 联合体投标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13.1本项目不接受联合体投标。</w:t>
      </w:r>
    </w:p>
    <w:p>
      <w:pPr>
        <w:ind w:firstLine="420" w:firstLineChars="200"/>
        <w:rPr>
          <w:rFonts w:ascii="宋体" w:hAnsi="宋体" w:cs="宋体"/>
          <w:szCs w:val="21"/>
          <w:highlight w:val="none"/>
        </w:rPr>
      </w:pPr>
      <w:r>
        <w:rPr>
          <w:rFonts w:ascii="宋体" w:hAnsi="宋体" w:cs="宋体" w:hint="eastAsia"/>
          <w:kern w:val="0"/>
          <w:szCs w:val="21"/>
          <w:highlight w:val="none"/>
        </w:rPr>
        <w:t>13.2 如招标项目接受联合体投标的，则组成联合体投标的按政府采购的法律、法规、规章等有关规定执行，并提供《联合体共同投标协议书》。</w:t>
      </w:r>
    </w:p>
    <w:p>
      <w:pPr>
        <w:ind w:firstLine="420" w:firstLineChars="200"/>
        <w:rPr>
          <w:rFonts w:ascii="宋体" w:hAnsi="宋体" w:cs="宋体"/>
          <w:szCs w:val="21"/>
          <w:highlight w:val="none"/>
        </w:rPr>
      </w:pPr>
      <w:r>
        <w:rPr>
          <w:rFonts w:ascii="宋体" w:hAnsi="宋体" w:cs="宋体" w:hint="eastAsia"/>
          <w:szCs w:val="21"/>
          <w:highlight w:val="none"/>
        </w:rPr>
        <w:t>14. 投标人资格证明文件</w:t>
      </w:r>
    </w:p>
    <w:p>
      <w:pPr>
        <w:autoSpaceDE w:val="0"/>
        <w:autoSpaceDN w:val="0"/>
        <w:ind w:firstLine="420" w:firstLineChars="200"/>
        <w:rPr>
          <w:rFonts w:ascii="宋体" w:hAnsi="宋体" w:cs="宋体"/>
          <w:highlight w:val="none"/>
        </w:rPr>
      </w:pPr>
      <w:r>
        <w:rPr>
          <w:rFonts w:ascii="宋体" w:hAnsi="宋体" w:cs="宋体" w:hint="eastAsia"/>
          <w:kern w:val="0"/>
          <w:szCs w:val="21"/>
          <w:highlight w:val="none"/>
        </w:rPr>
        <w:t>14.1投标人应按招标文件的要求，提交证明其有资格参加投标和中标后有履行合同能力的文件，并作为其投标文件的组成部分，包括但不限于《资格审查表》中所列要求及相关证明文件。</w:t>
      </w:r>
      <w:r>
        <w:rPr>
          <w:rFonts w:ascii="宋体" w:hAnsi="宋体" w:cs="宋体" w:hint="eastAsia"/>
          <w:kern w:val="0"/>
          <w:highlight w:val="none"/>
        </w:rPr>
        <w:t>资格文件是投标文件的必要文件，必须真实有效。</w:t>
      </w:r>
    </w:p>
    <w:p>
      <w:pPr>
        <w:ind w:firstLine="420" w:firstLineChars="200"/>
        <w:rPr>
          <w:rFonts w:ascii="宋体" w:hAnsi="宋体" w:cs="宋体"/>
          <w:szCs w:val="21"/>
          <w:highlight w:val="none"/>
        </w:rPr>
      </w:pPr>
      <w:r>
        <w:rPr>
          <w:rFonts w:ascii="宋体" w:hAnsi="宋体" w:cs="宋体" w:hint="eastAsia"/>
          <w:szCs w:val="21"/>
          <w:highlight w:val="none"/>
        </w:rPr>
        <w:t>15. 证明投标标的的合格性和符合招标文件规定的文件</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16. 投标保证金、履约保证金、融资担保</w:t>
      </w:r>
    </w:p>
    <w:p>
      <w:pPr>
        <w:ind w:firstLine="420" w:firstLineChars="200"/>
        <w:rPr>
          <w:rFonts w:ascii="宋体" w:hAnsi="宋体" w:cs="宋体"/>
          <w:szCs w:val="21"/>
          <w:highlight w:val="none"/>
        </w:rPr>
      </w:pPr>
      <w:r>
        <w:rPr>
          <w:rFonts w:ascii="宋体" w:hAnsi="宋体" w:cs="宋体" w:hint="eastAsia"/>
          <w:szCs w:val="21"/>
          <w:highlight w:val="none"/>
        </w:rPr>
        <w:t>16.1根据《深圳市财政局关于明确政府采购保证金管理工作的通知》（深财购〔2019〕42号）的规定，采购代理机构将不再收取投标保证金。</w:t>
      </w:r>
    </w:p>
    <w:p>
      <w:pPr>
        <w:ind w:firstLine="420" w:firstLineChars="200"/>
        <w:rPr>
          <w:rFonts w:ascii="宋体" w:hAnsi="宋体" w:cs="宋体"/>
          <w:szCs w:val="21"/>
          <w:highlight w:val="none"/>
        </w:rPr>
      </w:pPr>
      <w:r>
        <w:rPr>
          <w:rFonts w:ascii="宋体" w:hAnsi="宋体" w:cs="宋体" w:hint="eastAsia"/>
          <w:szCs w:val="21"/>
          <w:highlight w:val="none"/>
        </w:rPr>
        <w:t>16.2若供应商在政府采购活动中出现《深圳经济特区政府采购条例实施细则》第八十四条规定情形的，采购人或招标机构可将有关情况报同级财政部门，由财政部门根据实际情况记入供应商诚信档案，予以通报。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16.3《深圳经济特区政府采购条例实施细则》第八十四条：供应商有下列行为之一的，招标机构或采购人不予退还其交纳的投标保证金，情节严重的，并由主管部门记入供应商诚信档案，予以通报。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（一）投标截止后，撤销投标的；</w:t>
      </w:r>
    </w:p>
    <w:p>
      <w:pPr>
        <w:ind w:firstLine="420" w:firstLineChars="200"/>
        <w:rPr>
          <w:rFonts w:ascii="宋体" w:hAnsi="宋体" w:cs="宋体"/>
          <w:szCs w:val="21"/>
          <w:highlight w:val="none"/>
        </w:rPr>
      </w:pPr>
      <w:r>
        <w:rPr>
          <w:rFonts w:ascii="宋体" w:hAnsi="宋体" w:cs="宋体" w:hint="eastAsia"/>
          <w:szCs w:val="21"/>
          <w:highlight w:val="none"/>
        </w:rPr>
        <w:t>（二）中标后无正当理由未在规定期限内签订合同的；</w:t>
      </w:r>
    </w:p>
    <w:p>
      <w:pPr>
        <w:ind w:firstLine="420" w:firstLineChars="200"/>
        <w:rPr>
          <w:rFonts w:ascii="宋体" w:hAnsi="宋体" w:cs="宋体"/>
          <w:szCs w:val="21"/>
          <w:highlight w:val="none"/>
        </w:rPr>
      </w:pPr>
      <w:r>
        <w:rPr>
          <w:rFonts w:ascii="宋体" w:hAnsi="宋体" w:cs="宋体" w:hint="eastAsia"/>
          <w:szCs w:val="21"/>
          <w:highlight w:val="none"/>
        </w:rPr>
        <w:t>（三）将中标项目转让给他人或者在投标文件中未说明且未经采购人、采购招标机构同意，将中标项目分包给他人的；</w:t>
      </w:r>
    </w:p>
    <w:p>
      <w:pPr>
        <w:ind w:firstLine="420" w:firstLineChars="200"/>
        <w:rPr>
          <w:rFonts w:ascii="宋体" w:hAnsi="宋体" w:cs="宋体"/>
          <w:szCs w:val="21"/>
          <w:highlight w:val="none"/>
        </w:rPr>
      </w:pPr>
      <w:r>
        <w:rPr>
          <w:rFonts w:ascii="宋体" w:hAnsi="宋体" w:cs="宋体" w:hint="eastAsia"/>
          <w:szCs w:val="21"/>
          <w:highlight w:val="none"/>
        </w:rPr>
        <w:t>（四）拒绝履行合同义务的；</w:t>
      </w:r>
    </w:p>
    <w:p>
      <w:pPr>
        <w:ind w:firstLine="420" w:firstLineChars="200"/>
        <w:rPr>
          <w:rFonts w:ascii="宋体" w:hAnsi="宋体" w:cs="宋体"/>
          <w:szCs w:val="21"/>
          <w:highlight w:val="none"/>
        </w:rPr>
      </w:pPr>
      <w:r>
        <w:rPr>
          <w:rFonts w:ascii="宋体" w:hAnsi="宋体" w:cs="宋体" w:hint="eastAsia"/>
          <w:szCs w:val="21"/>
          <w:highlight w:val="none"/>
        </w:rPr>
        <w:t>不予退还的投标保证金及其利息应当上缴国库。</w:t>
      </w:r>
    </w:p>
    <w:p>
      <w:pPr>
        <w:ind w:firstLine="420" w:firstLineChars="200"/>
        <w:rPr>
          <w:rFonts w:ascii="宋体" w:hAnsi="宋体" w:cs="宋体"/>
          <w:szCs w:val="21"/>
          <w:highlight w:val="none"/>
        </w:rPr>
      </w:pPr>
      <w:r>
        <w:rPr>
          <w:rFonts w:ascii="宋体" w:hAnsi="宋体" w:cs="宋体" w:hint="eastAsia"/>
          <w:szCs w:val="21"/>
          <w:highlight w:val="none"/>
        </w:rPr>
        <w:t>16.4履约保证金</w:t>
      </w:r>
    </w:p>
    <w:p>
      <w:pPr>
        <w:ind w:firstLine="420" w:firstLineChars="200"/>
        <w:rPr>
          <w:rFonts w:ascii="宋体" w:hAnsi="宋体" w:cs="宋体"/>
          <w:szCs w:val="21"/>
          <w:highlight w:val="none"/>
        </w:rPr>
      </w:pPr>
      <w:r>
        <w:rPr>
          <w:rFonts w:ascii="宋体" w:hAnsi="宋体" w:cs="宋体" w:hint="eastAsia"/>
          <w:szCs w:val="21"/>
          <w:highlight w:val="none"/>
        </w:rPr>
        <w:t>16.4.1采购人可根据采购合同履行需要，要求中标人提交履约保证金。</w:t>
      </w:r>
    </w:p>
    <w:p>
      <w:pPr>
        <w:ind w:firstLine="420" w:firstLineChars="200"/>
        <w:rPr>
          <w:rFonts w:ascii="宋体" w:hAnsi="宋体" w:cs="宋体"/>
          <w:szCs w:val="21"/>
          <w:highlight w:val="none"/>
        </w:rPr>
      </w:pPr>
      <w:r>
        <w:rPr>
          <w:rFonts w:ascii="宋体" w:hAnsi="宋体" w:cs="宋体" w:hint="eastAsia"/>
          <w:szCs w:val="21"/>
          <w:highlight w:val="none"/>
        </w:rPr>
        <w:t>16.4.2履约保证金缴纳金额、形式</w:t>
      </w:r>
    </w:p>
    <w:p>
      <w:pPr>
        <w:ind w:firstLine="420" w:firstLineChars="200"/>
        <w:rPr>
          <w:rFonts w:ascii="宋体" w:hAnsi="宋体" w:cs="宋体"/>
          <w:szCs w:val="21"/>
          <w:highlight w:val="none"/>
        </w:rPr>
      </w:pPr>
      <w:r>
        <w:rPr>
          <w:rFonts w:ascii="宋体" w:hAnsi="宋体" w:cs="宋体" w:hint="eastAsia"/>
          <w:szCs w:val="21"/>
          <w:highlight w:val="none"/>
        </w:rPr>
        <w:t>履约保证金数额不超过采购合同金额的10%，采购人可根据履行合同的实际需要，在以上范围内规定履约保证金具体金额。</w:t>
      </w:r>
    </w:p>
    <w:p>
      <w:pPr>
        <w:ind w:firstLine="420" w:firstLineChars="200"/>
        <w:rPr>
          <w:rFonts w:ascii="宋体" w:hAnsi="宋体" w:cs="宋体"/>
          <w:szCs w:val="21"/>
          <w:highlight w:val="none"/>
        </w:rPr>
      </w:pPr>
      <w:r>
        <w:rPr>
          <w:rFonts w:ascii="宋体" w:hAnsi="宋体" w:cs="宋体" w:hint="eastAsia"/>
          <w:szCs w:val="21"/>
          <w:highlight w:val="none"/>
        </w:rPr>
        <w:t>履约保证金应当以支票、汇票、本票或者金融机构、担保机构出具的保函等非现金形式提交。</w:t>
      </w:r>
    </w:p>
    <w:p>
      <w:pPr>
        <w:ind w:firstLine="420" w:firstLineChars="200"/>
        <w:rPr>
          <w:rFonts w:ascii="宋体" w:hAnsi="宋体" w:cs="宋体"/>
          <w:szCs w:val="21"/>
          <w:highlight w:val="none"/>
        </w:rPr>
      </w:pPr>
      <w:r>
        <w:rPr>
          <w:rFonts w:ascii="宋体" w:hAnsi="宋体" w:cs="宋体" w:hint="eastAsia"/>
          <w:szCs w:val="21"/>
          <w:highlight w:val="none"/>
        </w:rPr>
        <w:t>16.4.3履约保证金在中标人履行完采购合同主要义务后，采购人按照合同约定原额退还，履约保证金以履约担保函形式提交的，担保责任终止。</w:t>
      </w:r>
    </w:p>
    <w:p>
      <w:pPr>
        <w:ind w:firstLine="420" w:firstLineChars="200"/>
        <w:rPr>
          <w:rFonts w:ascii="宋体" w:hAnsi="宋体" w:cs="宋体"/>
          <w:szCs w:val="21"/>
          <w:highlight w:val="none"/>
        </w:rPr>
      </w:pPr>
      <w:r>
        <w:rPr>
          <w:rFonts w:ascii="宋体" w:hAnsi="宋体" w:cs="宋体" w:hint="eastAsia"/>
          <w:szCs w:val="21"/>
          <w:highlight w:val="none"/>
        </w:rPr>
        <w:t>16.5融资担保</w:t>
      </w:r>
    </w:p>
    <w:p>
      <w:pPr>
        <w:ind w:firstLine="420" w:firstLineChars="200"/>
        <w:rPr>
          <w:rFonts w:ascii="宋体" w:hAnsi="宋体" w:cs="宋体"/>
          <w:szCs w:val="21"/>
          <w:highlight w:val="none"/>
        </w:rPr>
      </w:pPr>
      <w:r>
        <w:rPr>
          <w:rFonts w:ascii="宋体" w:hAnsi="宋体" w:cs="宋体" w:hint="eastAsia"/>
          <w:szCs w:val="21"/>
          <w:highlight w:val="none"/>
        </w:rPr>
        <w:t>16.5.1融资担保，是指专业担保机构为中标人向银行融资提供的保证担保。</w:t>
      </w:r>
    </w:p>
    <w:p>
      <w:pPr>
        <w:ind w:firstLine="420" w:firstLineChars="200"/>
        <w:rPr>
          <w:rFonts w:ascii="宋体" w:hAnsi="宋体" w:cs="宋体"/>
          <w:szCs w:val="21"/>
          <w:highlight w:val="none"/>
        </w:rPr>
      </w:pPr>
      <w:r>
        <w:rPr>
          <w:rFonts w:ascii="宋体" w:hAnsi="宋体" w:cs="宋体" w:hint="eastAsia"/>
          <w:szCs w:val="21"/>
          <w:highlight w:val="none"/>
        </w:rPr>
        <w:t>16.5.2中标人可以自愿选择是否采取融资担保的形式为本项目采购合同履约进行融资。</w:t>
      </w:r>
    </w:p>
    <w:p>
      <w:pPr>
        <w:tabs>
          <w:tab w:val="left" w:pos="7740"/>
        </w:tabs>
        <w:ind w:firstLine="420" w:firstLineChars="200"/>
        <w:rPr>
          <w:rFonts w:ascii="宋体" w:hAnsi="宋体" w:cs="宋体"/>
          <w:szCs w:val="21"/>
          <w:highlight w:val="none"/>
        </w:rPr>
      </w:pPr>
      <w:bookmarkStart w:id="13" w:name="_Toc230597966"/>
      <w:bookmarkStart w:id="14" w:name="_Toc42923352"/>
      <w:bookmarkStart w:id="15" w:name="_Toc222823292"/>
      <w:r>
        <w:rPr>
          <w:rFonts w:ascii="宋体" w:hAnsi="宋体" w:cs="宋体" w:hint="eastAsia"/>
          <w:szCs w:val="21"/>
          <w:highlight w:val="none"/>
        </w:rPr>
        <w:t>17. 投标有效期</w:t>
      </w:r>
      <w:bookmarkEnd w:id="13"/>
      <w:bookmarkEnd w:id="14"/>
      <w:bookmarkEnd w:id="15"/>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17.1投标文件应在投标截止日后的90天内保持有效。投标有效期比规定时间短的将被作为非实质性响应招标文件而予以拒绝。</w:t>
      </w:r>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17.2特殊情况下，招标采购单位可于投标有效期期满之前，要求投标人同意延长投标有效期，要求与答复均应为书面形式。投标人可以拒绝上述要求而其投标保证金不被没收。对于同意该要求的投标人，既不要求也不允许其修改报价文件。但将要求其相应延长投标保证金的有效期，有关退还和没收投标保证金的规定在投标有效期的延长期内继续有效。</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四、投标文件的制作要求</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18.1投标人应准备所投项目的电子投标文件一份。此电子投标文件须由投标人根据代理机构提供的后缀名为.szczf的电子招标文件，下载并使用相应的深圳智慧采购平台投标文件制作专用软件打开招标文件（.szczf格式）【下载地址：http://zfcg.szggzy.com/TPBidder/DownLoad/深圳市智慧采购平台投标文件制作专用软件.zip】。</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18.2投标人在使用《投标书编制软件》编制投标书时须注意：</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18.2.1导入《投标书编制软件》的招标文件项目编号、包号应与以此制作的投标文件项目编号、包号一致。例如，不能将甲项目A包的招标书导入《投标书编制软件》，制作乙项目B包的投标书。</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18.2.2不能用非本公司的电子密钥加密本公司的投标文件，或者用其他公司的登录用户上传本公司的投标文件。</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18.2.3要求用《投标书编制软件》编制投标书的包，不能用其他方式编制投标书。编制投标文件时，电脑须连通互联网。</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18.2.4投标文件不能带病毒。代理机构将用专业杀毒软件对投标文件进行病毒检测，如果这两种软件均报告发现病毒，则代理机构认为该投标文件带病毒。</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18.2.5完整填写“投标关键信息”，如下图所示：</w:t>
      </w:r>
    </w:p>
    <w:p>
      <w:pPr>
        <w:autoSpaceDE w:val="0"/>
        <w:autoSpaceDN w:val="0"/>
        <w:adjustRightInd w:val="0"/>
        <w:snapToGrid w:val="0"/>
        <w:ind w:right="32"/>
        <w:jc w:val="center"/>
        <w:rPr>
          <w:rFonts w:ascii="宋体" w:hAnsi="宋体" w:cs="宋体"/>
          <w:b/>
          <w:szCs w:val="21"/>
          <w:highlight w:val="none"/>
        </w:rPr>
      </w:pPr>
      <w:r>
        <w:rPr>
          <w:rFonts w:ascii="宋体" w:hAnsi="宋体" w:cs="宋体" w:hint="eastAsia"/>
          <w:highlight w:val="none"/>
        </w:rPr>
        <w:drawing>
          <wp:inline distT="0" distB="0" distL="114300" distR="114300">
            <wp:extent cx="5271770" cy="1769745"/>
            <wp:effectExtent l="0" t="0" r="5080" b="1905"/>
            <wp:docPr id="18" name="图片 1"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图形用户界面, 应用程序&#10;&#10;描述已自动生成"/>
                    <pic:cNvPicPr>
                      <a:picLocks noChangeAspect="1"/>
                    </pic:cNvPicPr>
                  </pic:nvPicPr>
                  <pic:blipFill>
                    <a:blip xmlns:r="http://schemas.openxmlformats.org/officeDocument/2006/relationships" r:embed="rId12"/>
                    <a:stretch>
                      <a:fillRect/>
                    </a:stretch>
                  </pic:blipFill>
                  <pic:spPr>
                    <a:xfrm>
                      <a:off x="0" y="0"/>
                      <a:ext cx="5271770" cy="1769745"/>
                    </a:xfrm>
                    <a:prstGeom prst="rect">
                      <a:avLst/>
                    </a:prstGeom>
                    <a:noFill/>
                    <a:ln>
                      <a:noFill/>
                    </a:ln>
                  </pic:spPr>
                </pic:pic>
              </a:graphicData>
            </a:graphic>
          </wp:inline>
        </w:drawing>
      </w:r>
    </w:p>
    <w:p>
      <w:pPr>
        <w:autoSpaceDE w:val="0"/>
        <w:autoSpaceDN w:val="0"/>
        <w:ind w:firstLine="420" w:firstLineChars="200"/>
        <w:rPr>
          <w:rFonts w:ascii="宋体" w:hAnsi="宋体" w:cs="宋体"/>
          <w:bCs/>
          <w:color w:val="FF0000"/>
          <w:szCs w:val="21"/>
          <w:highlight w:val="none"/>
        </w:rPr>
      </w:pPr>
      <w:r>
        <w:rPr>
          <w:rFonts w:ascii="宋体" w:hAnsi="宋体" w:cs="宋体" w:hint="eastAsia"/>
          <w:b/>
          <w:color w:val="FF0000"/>
          <w:szCs w:val="21"/>
          <w:highlight w:val="none"/>
        </w:rPr>
        <w:t>备注：上述“开标一览表”中的“投标总价”将作为价格分计算依据；其他信息仅是对投标文件相关内容的概括性表述，不作为评审依据。</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18.2.6投标人在编辑投标文件时，在投标文件目录中属于本节点内容的必须在本节点中填写，填写到其他节点或附件，一切后果由供应商自行承担。</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18.2.7投标书编写完成后，必须用属于本公司的电子密钥进行加密，否则视同未盖公章，将导致投标文件无效。</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18.2.8代理机构不接受投标截止时间后递交的纸质、电子、传真等所有形式的投标文件。由于对网上招投标操作不熟悉或自身电脑、网络等原因导致不能在投标截止时间之前上传投标文件，代理机构概不负责。建议于开标前一个工作日完成投标文件的制作与上传，如上传确有困难，请及时咨询。</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18.2.9如果开标时出现网络故障、技术故障，影响了招投标活动，代理机构有权采取措施如延期、接受无法从网上上传的投标书等，以保障招投标活动的公开、公平和公正。</w:t>
      </w:r>
    </w:p>
    <w:p>
      <w:pPr>
        <w:autoSpaceDE w:val="0"/>
        <w:autoSpaceDN w:val="0"/>
        <w:ind w:firstLine="420" w:firstLineChars="200"/>
        <w:rPr>
          <w:rFonts w:ascii="宋体" w:hAnsi="宋体" w:cs="宋体"/>
          <w:b/>
          <w:szCs w:val="21"/>
          <w:highlight w:val="none"/>
        </w:rPr>
      </w:pPr>
      <w:r>
        <w:rPr>
          <w:rFonts w:ascii="宋体" w:hAnsi="宋体" w:cs="宋体" w:hint="eastAsia"/>
          <w:bCs/>
          <w:szCs w:val="21"/>
          <w:highlight w:val="none"/>
        </w:rPr>
        <w:t>18.3电报、电话、传真形式的投标概不接受。</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五、投标文件的递交</w:t>
      </w:r>
    </w:p>
    <w:p>
      <w:pPr>
        <w:ind w:firstLine="420" w:firstLineChars="200"/>
        <w:rPr>
          <w:rFonts w:ascii="宋体" w:hAnsi="宋体" w:cs="宋体"/>
          <w:szCs w:val="21"/>
          <w:highlight w:val="none"/>
        </w:rPr>
      </w:pPr>
      <w:r>
        <w:rPr>
          <w:rFonts w:ascii="宋体" w:hAnsi="宋体" w:cs="宋体" w:hint="eastAsia"/>
          <w:szCs w:val="21"/>
          <w:highlight w:val="none"/>
        </w:rPr>
        <w:t>19．投标书的保密</w:t>
      </w:r>
    </w:p>
    <w:p>
      <w:pPr>
        <w:ind w:firstLine="420" w:firstLineChars="200"/>
        <w:rPr>
          <w:rFonts w:ascii="宋体" w:hAnsi="宋体" w:cs="宋体"/>
          <w:szCs w:val="21"/>
          <w:highlight w:val="none"/>
        </w:rPr>
      </w:pPr>
      <w:r>
        <w:rPr>
          <w:rFonts w:ascii="宋体" w:hAnsi="宋体" w:cs="宋体" w:hint="eastAsia"/>
          <w:szCs w:val="21"/>
          <w:highlight w:val="none"/>
        </w:rPr>
        <w:t>19.1在投标文件制作完成后，在投标文件制作软件点击【生成标书】按钮进入【填写开标一览表界面】界面，在该界面填写完开标一览表信息后点击【确定】，进入投标文件生成环节。投标文件制作软件会在投标文件生成过程中，提示用户输入密码，输入密码后对目标文件自动进行加密，此加密程序确保投标文件在到达开标时间后才能解密查看。在加密过程中，请按照软件提示进行操作。加密操作界面如下图所示：</w:t>
      </w:r>
    </w:p>
    <w:p>
      <w:pPr>
        <w:adjustRightInd w:val="0"/>
        <w:snapToGrid w:val="0"/>
        <w:ind w:right="32"/>
        <w:jc w:val="center"/>
        <w:rPr>
          <w:rFonts w:ascii="宋体" w:hAnsi="宋体" w:cs="宋体"/>
          <w:szCs w:val="21"/>
          <w:highlight w:val="none"/>
        </w:rPr>
      </w:pPr>
      <w:r>
        <w:rPr>
          <w:rFonts w:ascii="宋体" w:hAnsi="宋体" w:cs="宋体" w:hint="eastAsia"/>
          <w:szCs w:val="21"/>
          <w:highlight w:val="none"/>
        </w:rPr>
        <w:drawing>
          <wp:inline distT="0" distB="0" distL="114300" distR="114300">
            <wp:extent cx="5278755" cy="2721610"/>
            <wp:effectExtent l="0" t="0" r="17145" b="2540"/>
            <wp:docPr id="16" name="图片 2"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图形用户界面, 应用程序&#10;&#10;描述已自动生成"/>
                    <pic:cNvPicPr>
                      <a:picLocks noChangeAspect="1"/>
                    </pic:cNvPicPr>
                  </pic:nvPicPr>
                  <pic:blipFill>
                    <a:blip xmlns:r="http://schemas.openxmlformats.org/officeDocument/2006/relationships" r:embed="rId13"/>
                    <a:stretch>
                      <a:fillRect/>
                    </a:stretch>
                  </pic:blipFill>
                  <pic:spPr>
                    <a:xfrm>
                      <a:off x="0" y="0"/>
                      <a:ext cx="5278755" cy="2721610"/>
                    </a:xfrm>
                    <a:prstGeom prst="rect">
                      <a:avLst/>
                    </a:prstGeom>
                    <a:noFill/>
                    <a:ln>
                      <a:noFill/>
                    </a:ln>
                  </pic:spPr>
                </pic:pic>
              </a:graphicData>
            </a:graphic>
          </wp:inline>
        </w:drawing>
      </w:r>
    </w:p>
    <w:p>
      <w:pPr>
        <w:ind w:firstLine="420" w:firstLineChars="200"/>
        <w:rPr>
          <w:rFonts w:ascii="宋体" w:hAnsi="宋体" w:cs="宋体"/>
          <w:szCs w:val="21"/>
          <w:highlight w:val="none"/>
        </w:rPr>
      </w:pPr>
      <w:r>
        <w:rPr>
          <w:rFonts w:ascii="宋体" w:hAnsi="宋体" w:cs="宋体" w:hint="eastAsia"/>
          <w:szCs w:val="21"/>
          <w:highlight w:val="none"/>
        </w:rPr>
        <w:t>在投标文件制作软件点击【生成标书】按钮进入【填写开标一览表界面】界面，在该界面填写完开标一览表信息后点击【确定】，进入投标文件生成环节。</w:t>
      </w:r>
    </w:p>
    <w:p>
      <w:pPr>
        <w:jc w:val="center"/>
        <w:rPr>
          <w:rFonts w:ascii="宋体" w:hAnsi="宋体" w:cs="宋体"/>
          <w:sz w:val="24"/>
          <w:highlight w:val="none"/>
        </w:rPr>
      </w:pPr>
      <w:r>
        <w:rPr>
          <w:rFonts w:ascii="宋体" w:hAnsi="宋体" w:cs="宋体" w:hint="eastAsia"/>
          <w:highlight w:val="none"/>
        </w:rPr>
        <w:drawing>
          <wp:inline distT="0" distB="0" distL="114300" distR="114300">
            <wp:extent cx="5278755" cy="2404745"/>
            <wp:effectExtent l="0" t="0" r="17145" b="14605"/>
            <wp:docPr id="19" name="图片 3"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descr="图形用户界面&#10;&#10;描述已自动生成"/>
                    <pic:cNvPicPr>
                      <a:picLocks noChangeAspect="1"/>
                    </pic:cNvPicPr>
                  </pic:nvPicPr>
                  <pic:blipFill>
                    <a:blip xmlns:r="http://schemas.openxmlformats.org/officeDocument/2006/relationships" r:embed="rId14"/>
                    <a:stretch>
                      <a:fillRect/>
                    </a:stretch>
                  </pic:blipFill>
                  <pic:spPr>
                    <a:xfrm>
                      <a:off x="0" y="0"/>
                      <a:ext cx="5278755" cy="2404745"/>
                    </a:xfrm>
                    <a:prstGeom prst="rect">
                      <a:avLst/>
                    </a:prstGeom>
                    <a:noFill/>
                    <a:ln>
                      <a:noFill/>
                    </a:ln>
                  </pic:spPr>
                </pic:pic>
              </a:graphicData>
            </a:graphic>
          </wp:inline>
        </w:drawing>
      </w:r>
    </w:p>
    <w:p>
      <w:pPr>
        <w:ind w:firstLine="420" w:firstLineChars="200"/>
        <w:rPr>
          <w:rFonts w:ascii="宋体" w:hAnsi="宋体" w:cs="宋体"/>
          <w:highlight w:val="none"/>
        </w:rPr>
      </w:pPr>
      <w:r>
        <w:rPr>
          <w:rFonts w:ascii="宋体" w:hAnsi="宋体" w:cs="宋体" w:hint="eastAsia"/>
          <w:highlight w:val="none"/>
        </w:rPr>
        <w:t>投标文件制作软件会在投标文件生成过程中，提示用户输入密码，输入密码后对标文件自动进行加密。</w:t>
      </w:r>
    </w:p>
    <w:p>
      <w:pPr>
        <w:ind w:firstLine="420" w:firstLineChars="200"/>
        <w:rPr>
          <w:rFonts w:ascii="宋体" w:hAnsi="宋体" w:cs="宋体"/>
          <w:szCs w:val="21"/>
          <w:highlight w:val="none"/>
        </w:rPr>
      </w:pPr>
      <w:r>
        <w:rPr>
          <w:rFonts w:ascii="宋体" w:hAnsi="宋体" w:cs="宋体" w:hint="eastAsia"/>
          <w:szCs w:val="21"/>
          <w:highlight w:val="none"/>
        </w:rPr>
        <w:t>19.2若采购项目出现延期情况：</w:t>
      </w:r>
    </w:p>
    <w:p>
      <w:pPr>
        <w:ind w:firstLine="420" w:firstLineChars="200"/>
        <w:rPr>
          <w:rFonts w:ascii="宋体" w:hAnsi="宋体" w:cs="宋体"/>
          <w:szCs w:val="21"/>
          <w:highlight w:val="none"/>
        </w:rPr>
      </w:pPr>
      <w:r>
        <w:rPr>
          <w:rFonts w:ascii="宋体" w:hAnsi="宋体" w:cs="宋体" w:hint="eastAsia"/>
          <w:szCs w:val="21"/>
          <w:highlight w:val="none"/>
        </w:rPr>
        <w:t>如果供下载的招标文件（后缀名为.szczf）有更新，投标人必须重新下载招标文件、重新制作投标文件、重新加密投标文件、重新上传投标文件；如果供下载的招标文件（后缀名为.szczf）没有更新，投标人必须重新加密投标文件、重新上传投标文件（是否重新制作投标文件根据项目实际情况确定）。否则，投标人自行承担投标文件无法解密导致投标无效的后果。</w:t>
      </w:r>
    </w:p>
    <w:p>
      <w:pPr>
        <w:ind w:firstLine="420" w:firstLineChars="200"/>
        <w:rPr>
          <w:rFonts w:ascii="宋体" w:hAnsi="宋体" w:cs="宋体"/>
          <w:szCs w:val="21"/>
          <w:highlight w:val="none"/>
        </w:rPr>
      </w:pPr>
      <w:r>
        <w:rPr>
          <w:rFonts w:ascii="宋体" w:hAnsi="宋体" w:cs="宋体" w:hint="eastAsia"/>
          <w:szCs w:val="21"/>
          <w:highlight w:val="none"/>
        </w:rPr>
        <w:t>20．投标截止日期</w:t>
      </w:r>
    </w:p>
    <w:p>
      <w:pPr>
        <w:ind w:firstLine="420" w:firstLineChars="200"/>
        <w:rPr>
          <w:rFonts w:ascii="宋体" w:hAnsi="宋体" w:cs="宋体"/>
          <w:szCs w:val="21"/>
          <w:highlight w:val="none"/>
        </w:rPr>
      </w:pPr>
      <w:r>
        <w:rPr>
          <w:rFonts w:ascii="宋体" w:hAnsi="宋体" w:cs="宋体" w:hint="eastAsia"/>
          <w:szCs w:val="21"/>
          <w:highlight w:val="none"/>
        </w:rPr>
        <w:t>20.1实行网上投标，投标人必须在招标文件规定的投标截止时间前用电子密钥登录“深圳政府采购智慧平台用户网上办事子系统（http://zfcg.szggzy.com/TPBidder/memberLogin）”，用“【我的项目】→【项目流程】→【递交投标（应答）文件】”功能点上传投标文件。如上传过程中遇到问题，可拨打技术支持电话，联系方式：36568999。</w:t>
      </w:r>
    </w:p>
    <w:p>
      <w:pPr>
        <w:ind w:firstLine="420" w:firstLineChars="200"/>
        <w:rPr>
          <w:rFonts w:ascii="宋体" w:hAnsi="宋体" w:cs="宋体"/>
          <w:szCs w:val="21"/>
          <w:highlight w:val="none"/>
        </w:rPr>
      </w:pPr>
      <w:r>
        <w:rPr>
          <w:rFonts w:ascii="宋体" w:hAnsi="宋体" w:cs="宋体" w:hint="eastAsia"/>
          <w:szCs w:val="21"/>
          <w:highlight w:val="none"/>
        </w:rPr>
        <w:t>20.2代理机构可以按投标人须知第7条规定，通过修改招标文件自行决定酌情延长投标截止期。在此情况下，代理机构、采购人和投标人受投标截止期制约的所有权利和义务均应延长至新的截止期。</w:t>
      </w:r>
    </w:p>
    <w:p>
      <w:pPr>
        <w:ind w:firstLine="420" w:firstLineChars="200"/>
        <w:rPr>
          <w:rFonts w:ascii="宋体" w:hAnsi="宋体" w:cs="宋体"/>
          <w:szCs w:val="21"/>
          <w:highlight w:val="none"/>
        </w:rPr>
      </w:pPr>
      <w:r>
        <w:rPr>
          <w:rFonts w:ascii="宋体" w:hAnsi="宋体" w:cs="宋体" w:hint="eastAsia"/>
          <w:szCs w:val="21"/>
          <w:highlight w:val="none"/>
        </w:rPr>
        <w:t>20.3投标截止时间以后不得上传投标文件。</w:t>
      </w:r>
    </w:p>
    <w:p>
      <w:pPr>
        <w:ind w:firstLine="420" w:firstLineChars="200"/>
        <w:rPr>
          <w:rFonts w:ascii="宋体" w:hAnsi="宋体" w:cs="宋体"/>
          <w:szCs w:val="21"/>
          <w:highlight w:val="none"/>
        </w:rPr>
      </w:pPr>
      <w:r>
        <w:rPr>
          <w:rFonts w:ascii="宋体" w:hAnsi="宋体" w:cs="宋体" w:hint="eastAsia"/>
          <w:szCs w:val="21"/>
          <w:highlight w:val="none"/>
        </w:rPr>
        <w:t>20.4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21．投标文件的修改和撤销</w:t>
      </w:r>
    </w:p>
    <w:p>
      <w:pPr>
        <w:ind w:firstLine="420" w:firstLineChars="200"/>
        <w:rPr>
          <w:rFonts w:ascii="宋体" w:hAnsi="宋体" w:cs="宋体"/>
          <w:szCs w:val="21"/>
          <w:highlight w:val="none"/>
        </w:rPr>
      </w:pPr>
      <w:r>
        <w:rPr>
          <w:rFonts w:ascii="宋体" w:hAnsi="宋体" w:cs="宋体" w:hint="eastAsia"/>
          <w:szCs w:val="21"/>
          <w:highlight w:val="none"/>
        </w:rPr>
        <w:t>21.1投标人在提交投标文件后可对其投标文件进行修改并重新上传投标文件或在网上进行撤销投标的操作。</w:t>
      </w:r>
    </w:p>
    <w:p>
      <w:pPr>
        <w:ind w:firstLine="420" w:firstLineChars="200"/>
        <w:rPr>
          <w:rFonts w:ascii="宋体" w:hAnsi="宋体" w:cs="宋体"/>
          <w:szCs w:val="21"/>
          <w:highlight w:val="none"/>
        </w:rPr>
      </w:pPr>
      <w:r>
        <w:rPr>
          <w:rFonts w:ascii="宋体" w:hAnsi="宋体" w:cs="宋体" w:hint="eastAsia"/>
          <w:szCs w:val="21"/>
          <w:highlight w:val="none"/>
        </w:rPr>
        <w:t>21.2投标截止时间以后不得修改投标文件。</w:t>
      </w:r>
    </w:p>
    <w:p>
      <w:pPr>
        <w:ind w:firstLine="420" w:firstLineChars="200"/>
        <w:rPr>
          <w:rFonts w:ascii="宋体" w:hAnsi="宋体" w:cs="宋体"/>
          <w:szCs w:val="21"/>
          <w:highlight w:val="none"/>
        </w:rPr>
      </w:pPr>
      <w:r>
        <w:rPr>
          <w:rFonts w:ascii="宋体" w:hAnsi="宋体" w:cs="宋体" w:hint="eastAsia"/>
          <w:szCs w:val="21"/>
          <w:highlight w:val="none"/>
        </w:rPr>
        <w:t>21.3从投标截止期至投标人在投标书中确定的投标有效期之间的这段时间内，投标人不得撤回其投标。</w:t>
      </w:r>
    </w:p>
    <w:p>
      <w:pPr>
        <w:ind w:firstLine="420" w:firstLineChars="200"/>
        <w:rPr>
          <w:rFonts w:ascii="宋体" w:hAnsi="宋体" w:cs="宋体"/>
          <w:szCs w:val="21"/>
          <w:highlight w:val="none"/>
        </w:rPr>
      </w:pPr>
      <w:r>
        <w:rPr>
          <w:rFonts w:ascii="宋体" w:hAnsi="宋体" w:cs="宋体" w:hint="eastAsia"/>
          <w:szCs w:val="21"/>
          <w:highlight w:val="none"/>
        </w:rPr>
        <w:t>21.4代理机构不退还投标文件，招标文件另有规定的除外。</w:t>
      </w:r>
    </w:p>
    <w:p>
      <w:pPr>
        <w:ind w:firstLine="420" w:firstLineChars="200"/>
        <w:rPr>
          <w:rFonts w:ascii="宋体" w:hAnsi="宋体" w:cs="宋体"/>
          <w:szCs w:val="21"/>
          <w:highlight w:val="none"/>
        </w:rPr>
      </w:pPr>
      <w:r>
        <w:rPr>
          <w:rFonts w:ascii="宋体" w:hAnsi="宋体" w:cs="宋体" w:hint="eastAsia"/>
          <w:szCs w:val="21"/>
          <w:highlight w:val="none"/>
        </w:rPr>
        <w:t>22.投标人有下列情形之一的，视为投标人串通投标，其投标无效：</w:t>
      </w:r>
    </w:p>
    <w:p>
      <w:pPr>
        <w:ind w:firstLine="420" w:firstLineChars="200"/>
        <w:rPr>
          <w:rFonts w:ascii="宋体" w:hAnsi="宋体" w:cs="宋体"/>
          <w:szCs w:val="21"/>
          <w:highlight w:val="none"/>
        </w:rPr>
      </w:pPr>
      <w:r>
        <w:rPr>
          <w:rFonts w:ascii="宋体" w:hAnsi="宋体" w:cs="宋体" w:hint="eastAsia"/>
          <w:szCs w:val="21"/>
          <w:highlight w:val="none"/>
        </w:rPr>
        <w:t>（一）不同投标人的投标文件由同一单位或者个人编制；</w:t>
      </w:r>
    </w:p>
    <w:p>
      <w:pPr>
        <w:ind w:firstLine="420" w:firstLineChars="200"/>
        <w:rPr>
          <w:rFonts w:ascii="宋体" w:hAnsi="宋体" w:cs="宋体"/>
          <w:szCs w:val="21"/>
          <w:highlight w:val="none"/>
        </w:rPr>
      </w:pPr>
      <w:r>
        <w:rPr>
          <w:rFonts w:ascii="宋体" w:hAnsi="宋体" w:cs="宋体" w:hint="eastAsia"/>
          <w:szCs w:val="21"/>
          <w:highlight w:val="none"/>
        </w:rPr>
        <w:t>（二）不同投标人委托同一单位或者个人办理投标事宜；</w:t>
      </w:r>
    </w:p>
    <w:p>
      <w:pPr>
        <w:ind w:firstLine="420" w:firstLineChars="200"/>
        <w:rPr>
          <w:rFonts w:ascii="宋体" w:hAnsi="宋体" w:cs="宋体"/>
          <w:szCs w:val="21"/>
          <w:highlight w:val="none"/>
        </w:rPr>
      </w:pPr>
      <w:r>
        <w:rPr>
          <w:rFonts w:ascii="宋体" w:hAnsi="宋体" w:cs="宋体" w:hint="eastAsia"/>
          <w:szCs w:val="21"/>
          <w:highlight w:val="none"/>
        </w:rPr>
        <w:t>（三）不同投标人的投标文件载明的项目管理成员或者联系人员为同一人；</w:t>
      </w:r>
    </w:p>
    <w:p>
      <w:pPr>
        <w:ind w:firstLine="420" w:firstLineChars="200"/>
        <w:rPr>
          <w:rFonts w:ascii="宋体" w:hAnsi="宋体" w:cs="宋体"/>
          <w:szCs w:val="21"/>
          <w:highlight w:val="none"/>
        </w:rPr>
      </w:pPr>
      <w:r>
        <w:rPr>
          <w:rFonts w:ascii="宋体" w:hAnsi="宋体" w:cs="宋体" w:hint="eastAsia"/>
          <w:szCs w:val="21"/>
          <w:highlight w:val="none"/>
        </w:rPr>
        <w:t>（四）不同投标人的投标文件异常一致或者投标报价呈规律性差异；</w:t>
      </w:r>
    </w:p>
    <w:p>
      <w:pPr>
        <w:ind w:firstLine="420" w:firstLineChars="200"/>
        <w:rPr>
          <w:rFonts w:ascii="宋体" w:hAnsi="宋体" w:cs="宋体"/>
          <w:szCs w:val="21"/>
          <w:highlight w:val="none"/>
        </w:rPr>
      </w:pPr>
      <w:r>
        <w:rPr>
          <w:rFonts w:ascii="宋体" w:hAnsi="宋体" w:cs="宋体" w:hint="eastAsia"/>
          <w:szCs w:val="21"/>
          <w:highlight w:val="none"/>
        </w:rPr>
        <w:t>（五）不同投标人的投标文件相互混装；</w:t>
      </w:r>
    </w:p>
    <w:p>
      <w:pPr>
        <w:ind w:firstLine="420" w:firstLineChars="200"/>
        <w:rPr>
          <w:rFonts w:ascii="宋体" w:hAnsi="宋体" w:cs="宋体"/>
          <w:szCs w:val="21"/>
          <w:highlight w:val="none"/>
        </w:rPr>
      </w:pPr>
      <w:r>
        <w:rPr>
          <w:rFonts w:ascii="宋体" w:hAnsi="宋体" w:cs="宋体" w:hint="eastAsia"/>
          <w:szCs w:val="21"/>
          <w:highlight w:val="none"/>
        </w:rPr>
        <w:t>（六）不同投标人的投标保证金从同一单位或者个人的账户转出。</w:t>
      </w:r>
    </w:p>
    <w:p>
      <w:pPr>
        <w:ind w:firstLine="420" w:firstLineChars="200"/>
        <w:rPr>
          <w:rFonts w:ascii="宋体" w:hAnsi="宋体" w:cs="宋体"/>
          <w:b/>
          <w:szCs w:val="21"/>
          <w:highlight w:val="none"/>
        </w:rPr>
      </w:pPr>
      <w:r>
        <w:rPr>
          <w:rFonts w:ascii="宋体" w:hAnsi="宋体" w:cs="宋体" w:hint="eastAsia"/>
          <w:b/>
          <w:szCs w:val="21"/>
          <w:highlight w:val="none"/>
        </w:rPr>
        <w:t>六、开标、资格审查、评标与授标</w:t>
      </w:r>
    </w:p>
    <w:p>
      <w:pPr>
        <w:ind w:firstLine="420" w:firstLineChars="200"/>
        <w:rPr>
          <w:rFonts w:ascii="宋体" w:hAnsi="宋体" w:cs="宋体"/>
          <w:szCs w:val="21"/>
          <w:highlight w:val="none"/>
        </w:rPr>
      </w:pPr>
      <w:r>
        <w:rPr>
          <w:rFonts w:ascii="宋体" w:hAnsi="宋体" w:cs="宋体" w:hint="eastAsia"/>
          <w:szCs w:val="21"/>
          <w:highlight w:val="none"/>
        </w:rPr>
        <w:t>23.1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23.2代理机构将在满足开标条件（①解密时间结束，解密后的投标供应商数量满足开标要求或②解密时间结束前所有投标供应商均完成投标文件解密）后，对投标文件进行开标，并在网上公布开标结果。</w:t>
      </w:r>
    </w:p>
    <w:p>
      <w:pPr>
        <w:ind w:firstLine="420" w:firstLineChars="200"/>
        <w:rPr>
          <w:rFonts w:ascii="宋体" w:hAnsi="宋体" w:cs="宋体"/>
          <w:szCs w:val="21"/>
          <w:highlight w:val="none"/>
        </w:rPr>
      </w:pPr>
      <w:r>
        <w:rPr>
          <w:rFonts w:ascii="宋体" w:hAnsi="宋体" w:cs="宋体" w:hint="eastAsia"/>
          <w:szCs w:val="21"/>
          <w:highlight w:val="none"/>
        </w:rPr>
        <w:t>24投标人的资格审查：</w:t>
      </w:r>
    </w:p>
    <w:p>
      <w:pPr>
        <w:ind w:firstLine="420" w:firstLineChars="200"/>
        <w:rPr>
          <w:rFonts w:ascii="宋体" w:hAnsi="宋体" w:cs="宋体"/>
          <w:szCs w:val="21"/>
          <w:highlight w:val="none"/>
        </w:rPr>
      </w:pPr>
      <w:r>
        <w:rPr>
          <w:rFonts w:ascii="宋体" w:hAnsi="宋体" w:cs="宋体" w:hint="eastAsia"/>
          <w:szCs w:val="21"/>
          <w:highlight w:val="none"/>
        </w:rPr>
        <w:t>24.1投标人应按照招标文件要求提交资格文件，采购人及采购代理机构将依法对投标人的资格进行审查，资格审查不通过的投标为无效投标。具体审查内容详见《资格审查表》。</w:t>
      </w:r>
    </w:p>
    <w:p>
      <w:pPr>
        <w:ind w:firstLine="420" w:firstLineChars="200"/>
        <w:rPr>
          <w:rFonts w:ascii="宋体" w:hAnsi="宋体" w:cs="宋体"/>
          <w:szCs w:val="21"/>
          <w:highlight w:val="none"/>
        </w:rPr>
      </w:pPr>
      <w:r>
        <w:rPr>
          <w:rFonts w:ascii="宋体" w:hAnsi="宋体" w:cs="宋体" w:hint="eastAsia"/>
          <w:szCs w:val="21"/>
          <w:highlight w:val="none"/>
        </w:rPr>
        <w:t>25. 评标委员会的组成和评标方法</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 xml:space="preserve">26.1 </w:t>
      </w:r>
      <w:r>
        <w:rPr>
          <w:rFonts w:ascii="宋体" w:hAnsi="宋体" w:cs="宋体" w:hint="eastAsia"/>
          <w:kern w:val="0"/>
          <w:szCs w:val="21"/>
          <w:highlight w:val="none"/>
        </w:rPr>
        <w:t>评标由</w:t>
      </w:r>
      <w:r>
        <w:rPr>
          <w:rFonts w:ascii="宋体" w:hAnsi="宋体" w:cs="宋体" w:hint="eastAsia"/>
          <w:szCs w:val="21"/>
          <w:highlight w:val="none"/>
        </w:rPr>
        <w:t>采购代理机构</w:t>
      </w:r>
      <w:r>
        <w:rPr>
          <w:rFonts w:ascii="宋体" w:hAnsi="宋体" w:cs="宋体" w:hint="eastAsia"/>
          <w:kern w:val="0"/>
          <w:szCs w:val="21"/>
          <w:highlight w:val="none"/>
        </w:rPr>
        <w:t>依照政府采购法律、法规、规章、政策的规定，组建的评标委员会负责。评标委员会成员由采购人代表和评审专家组成，采购人代表人数、专家人数及专业构成按政府采购规定确定。评审专家依法从政府采购专家库中随机抽取。</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25.2 评标委员会将按照招标文件确定的评标方法进行评标。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25.3 本次评标采用综合评分法方法，具体见本部分“十 评标方法、步骤及标准”。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26</w:t>
      </w:r>
      <w:r>
        <w:rPr>
          <w:rFonts w:ascii="宋体" w:hAnsi="宋体" w:cs="宋体" w:hint="eastAsia"/>
          <w:szCs w:val="21"/>
          <w:highlight w:val="none"/>
        </w:rPr>
        <w:t>投标文件的符合性审</w:t>
      </w:r>
      <w:r>
        <w:rPr>
          <w:rFonts w:ascii="宋体" w:hAnsi="宋体" w:cs="宋体" w:hint="eastAsia"/>
          <w:kern w:val="0"/>
          <w:szCs w:val="21"/>
          <w:highlight w:val="none"/>
        </w:rPr>
        <w:t>查</w:t>
      </w:r>
    </w:p>
    <w:p>
      <w:pPr>
        <w:ind w:firstLine="420" w:firstLineChars="200"/>
        <w:rPr>
          <w:rFonts w:ascii="宋体" w:hAnsi="宋体" w:cs="宋体"/>
          <w:kern w:val="0"/>
          <w:szCs w:val="21"/>
          <w:highlight w:val="none"/>
        </w:rPr>
      </w:pPr>
      <w:r>
        <w:rPr>
          <w:rFonts w:ascii="宋体" w:hAnsi="宋体" w:cs="宋体" w:hint="eastAsia"/>
          <w:kern w:val="0"/>
          <w:szCs w:val="21"/>
          <w:highlight w:val="none"/>
        </w:rPr>
        <w:t>26.1评标委员会将依法审查符合资格投标人的投标文件是否实质上响应了招标文件要求。具体审查内容详见</w:t>
      </w:r>
      <w:r>
        <w:rPr>
          <w:rFonts w:ascii="宋体" w:hAnsi="宋体" w:cs="宋体" w:hint="eastAsia"/>
          <w:szCs w:val="21"/>
          <w:highlight w:val="none"/>
        </w:rPr>
        <w:t>《符合性审查表》</w:t>
      </w:r>
      <w:r>
        <w:rPr>
          <w:rFonts w:ascii="宋体" w:hAnsi="宋体" w:cs="宋体" w:hint="eastAsia"/>
          <w:kern w:val="0"/>
          <w:szCs w:val="21"/>
          <w:highlight w:val="none"/>
        </w:rPr>
        <w:t>。只有实质性响应的投标文件才能进行后续的比较与评价，否则将作无效投标处理。投标人不得通过修正或撤销不合要求的偏离从而使其投标文件成为实质上响应的投标。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26.2 评标委员会决定投标文件的响应程度只依据投标文件本身的真实无误的内容，而不依据外部的证据。但投标文件有不真实、不正确内容的除外。</w:t>
      </w:r>
    </w:p>
    <w:p>
      <w:pPr>
        <w:ind w:firstLine="420" w:firstLineChars="200"/>
        <w:rPr>
          <w:rFonts w:ascii="宋体" w:hAnsi="宋体" w:cs="宋体"/>
          <w:kern w:val="0"/>
          <w:szCs w:val="21"/>
          <w:highlight w:val="none"/>
          <w:u w:val="single"/>
        </w:rPr>
      </w:pPr>
      <w:r>
        <w:rPr>
          <w:rFonts w:ascii="宋体" w:hAnsi="宋体" w:cs="宋体" w:hint="eastAsia"/>
          <w:kern w:val="0"/>
          <w:szCs w:val="21"/>
          <w:highlight w:val="none"/>
        </w:rPr>
        <w:t>26.3 评标委员会对投标文件中的报价出现前后不一致的，按照下列规定修正：</w:t>
      </w:r>
    </w:p>
    <w:p>
      <w:pPr>
        <w:ind w:firstLine="420" w:firstLineChars="200"/>
        <w:rPr>
          <w:rFonts w:ascii="宋体" w:hAnsi="宋体" w:cs="宋体"/>
          <w:kern w:val="0"/>
          <w:szCs w:val="21"/>
          <w:highlight w:val="none"/>
        </w:rPr>
      </w:pPr>
      <w:r>
        <w:rPr>
          <w:rFonts w:ascii="宋体" w:hAnsi="宋体" w:cs="宋体" w:hint="eastAsia"/>
          <w:kern w:val="0"/>
          <w:szCs w:val="21"/>
          <w:highlight w:val="none"/>
        </w:rPr>
        <w:t>（一）投标文件中开标一览表（报价表）内容与投标文件中相应内容不一致的，以开标一览表（报价表）为准；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（二）大写金额和小写金额不一致的，以大写金额为准；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（三）单价金额小数点或者百分比有明显错位的，以开标一览表的总价为准，并修改单价；</w:t>
      </w:r>
    </w:p>
    <w:p>
      <w:pPr>
        <w:ind w:firstLine="420" w:firstLineChars="200"/>
        <w:rPr>
          <w:rFonts w:ascii="宋体" w:hAnsi="宋体" w:cs="宋体"/>
          <w:kern w:val="0"/>
          <w:szCs w:val="21"/>
          <w:highlight w:val="none"/>
        </w:rPr>
      </w:pPr>
      <w:r>
        <w:rPr>
          <w:rFonts w:ascii="宋体" w:hAnsi="宋体" w:cs="宋体" w:hint="eastAsia"/>
          <w:kern w:val="0"/>
          <w:szCs w:val="21"/>
          <w:highlight w:val="none"/>
        </w:rPr>
        <w:t>（四）总价金额与按单价汇总金额不一致的，以单价金额计算结果为准。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同时出现两种以上不一致的，按照该条款规定的顺序修正。修正后的报价经投标人书面确认后产生约束力，投标人不确认的，其投标无效。</w:t>
      </w:r>
    </w:p>
    <w:p>
      <w:pPr>
        <w:ind w:firstLine="420" w:firstLineChars="200"/>
        <w:rPr>
          <w:rFonts w:ascii="宋体" w:hAnsi="宋体" w:cs="宋体"/>
          <w:kern w:val="0"/>
          <w:szCs w:val="21"/>
          <w:highlight w:val="none"/>
        </w:rPr>
      </w:pPr>
      <w:r>
        <w:rPr>
          <w:rFonts w:ascii="宋体" w:hAnsi="宋体" w:cs="宋体" w:hint="eastAsia"/>
          <w:kern w:val="0"/>
          <w:szCs w:val="21"/>
          <w:highlight w:val="none"/>
        </w:rPr>
        <w:t>26.4 若评标委员会对是否需由投标人作出报价合理性说明，以及书面说明是否采纳等判断不一致的，按照“少数服从多数”的原则确定评审委员会的意见。</w:t>
      </w:r>
    </w:p>
    <w:p>
      <w:pPr>
        <w:ind w:firstLine="420" w:firstLineChars="200"/>
        <w:rPr>
          <w:rFonts w:ascii="宋体" w:hAnsi="宋体" w:cs="宋体"/>
          <w:kern w:val="0"/>
          <w:szCs w:val="21"/>
          <w:highlight w:val="none"/>
        </w:rPr>
      </w:pPr>
      <w:r>
        <w:rPr>
          <w:rFonts w:ascii="宋体" w:hAnsi="宋体" w:cs="宋体" w:hint="eastAsia"/>
          <w:kern w:val="0"/>
          <w:szCs w:val="21"/>
          <w:highlight w:val="none"/>
        </w:rPr>
        <w:t>26.5评标委员会成员对需要共同认定的事项存在争议的，应当按照少数服从多数的原则作出结论。持不同意见的评标委员会成员应当在评标报告上签署不同意见及理由，否则视为同意评标报告。</w:t>
      </w:r>
    </w:p>
    <w:p>
      <w:pPr>
        <w:ind w:firstLine="420" w:firstLineChars="200"/>
        <w:rPr>
          <w:rFonts w:ascii="宋体" w:hAnsi="宋体" w:cs="宋体"/>
          <w:szCs w:val="21"/>
          <w:highlight w:val="none"/>
        </w:rPr>
      </w:pPr>
      <w:r>
        <w:rPr>
          <w:rFonts w:ascii="宋体" w:hAnsi="宋体" w:cs="宋体" w:hint="eastAsia"/>
          <w:szCs w:val="21"/>
          <w:highlight w:val="none"/>
        </w:rPr>
        <w:t>27. 投标文件的澄清</w:t>
      </w:r>
    </w:p>
    <w:p>
      <w:pPr>
        <w:ind w:firstLine="420" w:firstLineChars="200"/>
        <w:rPr>
          <w:rFonts w:ascii="宋体" w:hAnsi="宋体" w:cs="宋体"/>
          <w:szCs w:val="21"/>
          <w:highlight w:val="none"/>
        </w:rPr>
      </w:pPr>
      <w:r>
        <w:rPr>
          <w:rFonts w:ascii="宋体" w:hAnsi="宋体" w:cs="宋体" w:hint="eastAsia"/>
          <w:szCs w:val="21"/>
          <w:highlight w:val="none"/>
        </w:rPr>
        <w:t>27.1 评标期间，对投标文件中含义不明确、同类问题表述不一致或者有明显文字和计算错误的内容，评标委员会可以书面形式（应当由评标委员会签字）要求投标人做出必要的澄清、说明或者纠正，</w:t>
      </w:r>
      <w:r>
        <w:rPr>
          <w:rFonts w:ascii="宋体" w:hAnsi="宋体" w:cs="宋体" w:hint="eastAsia"/>
          <w:kern w:val="0"/>
          <w:szCs w:val="21"/>
          <w:highlight w:val="none"/>
        </w:rPr>
        <w:t>但不得允许投标人对投标报价等实质性内容做任何更改</w:t>
      </w:r>
      <w:r>
        <w:rPr>
          <w:rFonts w:ascii="宋体" w:hAnsi="宋体" w:cs="宋体" w:hint="eastAsia"/>
          <w:szCs w:val="21"/>
          <w:highlight w:val="none"/>
        </w:rPr>
        <w:t>。投标人的澄清、说明或者补正应当采用书面形式，由其授权的代表签字，并不得超出投标文件的范围或者改变投标文件的实质性内容。</w:t>
      </w:r>
      <w:r>
        <w:rPr>
          <w:rFonts w:ascii="宋体" w:hAnsi="宋体" w:cs="宋体" w:hint="eastAsia"/>
          <w:kern w:val="0"/>
          <w:szCs w:val="21"/>
          <w:highlight w:val="none"/>
        </w:rPr>
        <w:t>有关澄清的答复均应由投标人的法定代表人或授权代表签字（或加盖投标人的印章）的书面形式作出。</w:t>
      </w:r>
    </w:p>
    <w:p>
      <w:pPr>
        <w:ind w:firstLine="420" w:firstLineChars="200"/>
        <w:rPr>
          <w:rFonts w:ascii="宋体" w:hAnsi="宋体" w:cs="宋体"/>
          <w:szCs w:val="21"/>
          <w:highlight w:val="none"/>
        </w:rPr>
      </w:pPr>
      <w:r>
        <w:rPr>
          <w:rFonts w:ascii="宋体" w:hAnsi="宋体" w:cs="宋体" w:hint="eastAsia"/>
          <w:szCs w:val="21"/>
          <w:highlight w:val="none"/>
        </w:rPr>
        <w:t>27.2 投标人的澄清文件是其投标文件的组成部分。</w:t>
      </w:r>
    </w:p>
    <w:p>
      <w:pPr>
        <w:tabs>
          <w:tab w:val="left" w:pos="8280"/>
        </w:tabs>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 投标的比较和评价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28.1 评标委员会按招标文件中规定的评标方法和标准，对资格审查、符合性审查合格的投标文件进行商务和技术评估，综合比较与评价。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 中标候选人的确定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29.1评标委员会按照招标文件确定的评标方法、步骤、标准，对投标文件进行评审，依据综合得分情况由高到低排序，推荐中标候选人名单，综合得分相同的，按投标报价由低到高顺序排列确定中标候选人。综合得分且投标报价相同的并列。并提出书面评标报告。</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29.2中标候选人并列的，采购人可委托评标委员会按下列顺序比较确定中标人：（1）技术评分（由高到低）；（2）节能产品；（3）环保产品。如以上都相同的，名次由采购人采取随机抽取方式确定。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30. 采购人在收到评标报告后的法定时间内，按照评标报告中推荐的中标候选人顺序确定中标人。中标人确定后，招标采购单位将在政府采购监督管理部门指定的媒体上发布中标公告，并向中标人发出《中标通知书》，《中标通知书》对中标人和采购人具有同等法律效力。</w:t>
      </w:r>
    </w:p>
    <w:p>
      <w:pPr>
        <w:autoSpaceDE w:val="0"/>
        <w:autoSpaceDN w:val="0"/>
        <w:ind w:firstLine="420" w:firstLineChars="200"/>
        <w:rPr>
          <w:rFonts w:ascii="宋体" w:hAnsi="宋体" w:cs="宋体"/>
          <w:b/>
          <w:kern w:val="0"/>
          <w:szCs w:val="21"/>
          <w:highlight w:val="none"/>
        </w:rPr>
      </w:pPr>
      <w:r>
        <w:rPr>
          <w:rFonts w:ascii="宋体" w:hAnsi="宋体" w:cs="宋体" w:hint="eastAsia"/>
          <w:b/>
          <w:kern w:val="0"/>
          <w:szCs w:val="21"/>
          <w:highlight w:val="none"/>
        </w:rPr>
        <w:t>七、质疑及投诉</w:t>
      </w:r>
    </w:p>
    <w:p>
      <w:pPr>
        <w:autoSpaceDE w:val="0"/>
        <w:autoSpaceDN w:val="0"/>
        <w:ind w:firstLine="420" w:firstLineChars="200"/>
        <w:rPr>
          <w:rFonts w:ascii="宋体" w:hAnsi="宋体" w:cs="宋体"/>
          <w:b/>
          <w:bCs/>
          <w:szCs w:val="21"/>
          <w:highlight w:val="none"/>
        </w:rPr>
      </w:pPr>
      <w:r>
        <w:rPr>
          <w:rFonts w:ascii="宋体" w:hAnsi="宋体" w:cs="宋体" w:hint="eastAsia"/>
          <w:b/>
          <w:bCs/>
          <w:szCs w:val="21"/>
          <w:highlight w:val="none"/>
        </w:rPr>
        <w:t>31. 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31.1 供应商认为采购文件、采购过程和中标、成交结果使自己的权益受到损害的，应当自知道或者应当知道其权益受到损害之日起七个工作日内，以书面形式向采购人、采购代理机构提出质疑。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31.2 供应商应在法定质疑期内一次性提出针对同一采购程序环节的质疑。若对项目的某一分包进行质疑，质疑函中应列明具体分包号。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31.3 提出质疑的供应商（以下简称质疑供应商）应当是参与所质疑项目采购活动的供应商。各环节质疑时效的规定如下：</w:t>
      </w:r>
    </w:p>
    <w:p>
      <w:pPr>
        <w:ind w:firstLine="420" w:firstLineChars="200"/>
        <w:rPr>
          <w:rFonts w:ascii="宋体" w:hAnsi="宋体" w:cs="宋体"/>
          <w:szCs w:val="21"/>
          <w:highlight w:val="none"/>
        </w:rPr>
      </w:pPr>
      <w:r>
        <w:rPr>
          <w:rFonts w:ascii="宋体" w:hAnsi="宋体" w:cs="宋体" w:hint="eastAsia"/>
          <w:szCs w:val="21"/>
          <w:highlight w:val="none"/>
        </w:rPr>
        <w:t xml:space="preserve">（1）对采购文件提出质疑的，应当在采购文件公布之日起七个工作日内提出；  </w:t>
      </w:r>
    </w:p>
    <w:p>
      <w:pPr>
        <w:ind w:firstLine="420" w:firstLineChars="200"/>
        <w:rPr>
          <w:rFonts w:ascii="宋体" w:hAnsi="宋体" w:cs="宋体"/>
          <w:szCs w:val="21"/>
          <w:highlight w:val="none"/>
        </w:rPr>
      </w:pPr>
      <w:r>
        <w:rPr>
          <w:rFonts w:ascii="宋体" w:hAnsi="宋体" w:cs="宋体" w:hint="eastAsia"/>
          <w:szCs w:val="21"/>
          <w:highlight w:val="none"/>
        </w:rPr>
        <w:t xml:space="preserve">（2）对采购过程提出质疑的，应当在各采购程序环节结束之日起七个工作日内提出；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（3）对中标或者成交结果以及评审委员会、谈判小组、竞价小组组成人员提出质疑的，应当在中标或者成交结果公示之日起七个工作日内提出。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超出法定质疑期限的质疑函，采购人或采购代理机构将依法不予接收。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31.4供应商提出质疑应当提交质疑函和必要的证明材料（包括证明材料清单、证明文件及获取途径说明）。质疑函应当包括下列内容：</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（1）供应商的姓名或者名称、地址、邮编、联系人及联系电话；</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（2）质疑项目的名称、编号；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（3）具体、明确的质疑事项和与质疑事项相关的请求；</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（4）事实依据；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（5）必要的法律依据；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（6）提出质疑的日期。</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供应商为自然人的，应当由本人签字；供应商为法人或者其他组织的，应当由法定代表人、主要负责人，或者其授权代表签字或者盖章，并加盖公章。</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31.5接收质疑的联系方式：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质疑接收机构名称：国义招标股份有限公司</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质疑接收机构地址：广州市东风东路726号9楼903室</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质疑接收部门联系人：郭小姐、李小姐</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质疑接收机构电话：020-37860713/715（工作/接收时间：8：30-17：00）</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质疑接收机构邮箱：guochunxi@ebidding.com</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32.投诉</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质疑供应商对采购人、采购代理机构的答复不满意或者采购人、采购代理机构未在规定的时间内作出答复的，可以自收到答复之日或者答复期满之日起十五个工作日内向深圳市财政局投诉。</w:t>
      </w:r>
    </w:p>
    <w:p>
      <w:pPr>
        <w:ind w:firstLine="420" w:firstLineChars="200"/>
        <w:rPr>
          <w:rFonts w:ascii="宋体" w:hAnsi="宋体" w:cs="宋体"/>
          <w:b/>
          <w:szCs w:val="21"/>
          <w:highlight w:val="none"/>
        </w:rPr>
      </w:pPr>
      <w:r>
        <w:rPr>
          <w:rFonts w:ascii="宋体" w:hAnsi="宋体" w:cs="宋体" w:hint="eastAsia"/>
          <w:b/>
          <w:szCs w:val="21"/>
          <w:highlight w:val="none"/>
        </w:rPr>
        <w:t>八、合同的订立和履行</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33. 合同的订立</w:t>
      </w:r>
    </w:p>
    <w:p>
      <w:pPr>
        <w:autoSpaceDE w:val="0"/>
        <w:autoSpaceDN w:val="0"/>
        <w:ind w:firstLine="420" w:firstLineChars="200"/>
        <w:rPr>
          <w:rFonts w:ascii="宋体" w:hAnsi="宋体" w:cs="宋体"/>
          <w:szCs w:val="21"/>
          <w:highlight w:val="none"/>
        </w:rPr>
      </w:pPr>
      <w:r>
        <w:rPr>
          <w:rFonts w:ascii="宋体" w:hAnsi="宋体" w:cs="宋体" w:hint="eastAsia"/>
          <w:kern w:val="0"/>
          <w:szCs w:val="21"/>
          <w:highlight w:val="none"/>
        </w:rPr>
        <w:t>33.1采购人与中标人应当自中标或者成交通知书发出之日起十个工作日内，按招标文件要求和中标人投标文件承诺签订政府采购合同，但</w:t>
      </w:r>
      <w:r>
        <w:rPr>
          <w:rFonts w:ascii="宋体" w:hAnsi="宋体" w:cs="宋体" w:hint="eastAsia"/>
          <w:szCs w:val="21"/>
          <w:highlight w:val="none"/>
        </w:rPr>
        <w:t>不得超出招标文件和中标人投标文件的范围，也不得再行订立背离合同实质性内容的其他协议。如果</w:t>
      </w:r>
      <w:r>
        <w:rPr>
          <w:rFonts w:ascii="宋体" w:hAnsi="宋体" w:cs="宋体" w:hint="eastAsia"/>
          <w:kern w:val="0"/>
          <w:szCs w:val="21"/>
          <w:highlight w:val="none"/>
        </w:rPr>
        <w:t>中标候选人放弃中标或者</w:t>
      </w:r>
      <w:r>
        <w:rPr>
          <w:rFonts w:ascii="宋体" w:hAnsi="宋体" w:cs="宋体" w:hint="eastAsia"/>
          <w:szCs w:val="21"/>
          <w:highlight w:val="none"/>
        </w:rPr>
        <w:t>没有按照规定签订合同，采购人或招标机构可将有关情况报同级财政部门，由财政部门根据实际情况记入供应商诚信档案。</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33.2中标供应商放弃中标资格的，或者中标供应商的中标资格被依法确认无效的，应当重新组织采购。因情况紧急，重新组织采购不能满足采购人要求的，经主管部门核实，采购人可以按照招标文件规定的定标方法，从其他候选中标供应商中确定替补中标供应商。</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33.3中标或者成交供应商拒绝与采购人签订合同的，采购人可以按照评审报告推荐的中标或者成交候选人名单排序，确定下一候选人为中标或者成交供应商，也可以重新开展政府采购活动。</w:t>
      </w:r>
    </w:p>
    <w:p>
      <w:pPr>
        <w:ind w:firstLine="420" w:firstLineChars="200"/>
        <w:rPr>
          <w:rFonts w:ascii="宋体" w:hAnsi="宋体" w:cs="宋体"/>
          <w:kern w:val="0"/>
          <w:szCs w:val="21"/>
          <w:highlight w:val="none"/>
        </w:rPr>
      </w:pPr>
      <w:r>
        <w:rPr>
          <w:rFonts w:ascii="宋体" w:hAnsi="宋体" w:cs="宋体" w:hint="eastAsia"/>
          <w:kern w:val="0"/>
          <w:szCs w:val="21"/>
          <w:highlight w:val="none"/>
        </w:rPr>
        <w:t>34. 合同的履行</w:t>
      </w:r>
    </w:p>
    <w:p>
      <w:pPr>
        <w:ind w:firstLine="420" w:firstLineChars="200"/>
        <w:rPr>
          <w:rFonts w:ascii="宋体" w:hAnsi="宋体" w:cs="宋体"/>
          <w:szCs w:val="21"/>
          <w:highlight w:val="none"/>
        </w:rPr>
      </w:pPr>
      <w:r>
        <w:rPr>
          <w:rFonts w:ascii="宋体" w:hAnsi="宋体" w:cs="宋体" w:hint="eastAsia"/>
          <w:szCs w:val="21"/>
          <w:highlight w:val="none"/>
        </w:rPr>
        <w:t>34.1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20" w:firstLineChars="200"/>
        <w:rPr>
          <w:rFonts w:ascii="宋体" w:hAnsi="宋体" w:cs="宋体"/>
          <w:szCs w:val="21"/>
          <w:highlight w:val="none"/>
        </w:rPr>
      </w:pPr>
      <w:r>
        <w:rPr>
          <w:rFonts w:ascii="宋体" w:hAnsi="宋体" w:cs="宋体" w:hint="eastAsia"/>
          <w:szCs w:val="21"/>
          <w:highlight w:val="none"/>
        </w:rPr>
        <w:t>34.2 政府采购合同履行中，采购人需增加与合同标的相同的货物、工程或者服务的，在不改变合同其他条款的前提下，经主管部门批准，可以与中标人签订补充采购合同，但所补充采购合同的采购金额不得超过原合同金额的10%，但合同总金额不得超过原计划数额。签订补充合同的必须按照规定备案。</w:t>
      </w:r>
    </w:p>
    <w:p>
      <w:pPr>
        <w:ind w:firstLine="420" w:firstLineChars="200"/>
        <w:rPr>
          <w:rFonts w:ascii="宋体" w:hAnsi="宋体" w:cs="宋体"/>
          <w:b/>
          <w:szCs w:val="21"/>
          <w:highlight w:val="none"/>
        </w:rPr>
      </w:pPr>
      <w:r>
        <w:rPr>
          <w:rFonts w:ascii="宋体" w:hAnsi="宋体" w:cs="宋体" w:hint="eastAsia"/>
          <w:b/>
          <w:szCs w:val="21"/>
          <w:highlight w:val="none"/>
        </w:rPr>
        <w:t>九、适用法律</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35.招标采购单位及投标人的一切招标投标活动均适用《深圳经济特区政府采购条例》《深圳经济特区政府采购条例实施细则》《中华人民共和国政府采购法》及其配套的法规、规章、政策。</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 根据《政府采购促进中小企业发展管理办法》（财库〔2020〕46号）的规定，投标人投标时需注意：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35.1.1 本办法所称中小企业（含中型、小型、微型企业，下同）应当同时符合以下条件：（一）符合中小企业划分标准；（二）提供本企业制造的货物、承担的工程或者服务，或者提供其他中小企业制造的货物。本项所称货物不包括使用大型企业注册商标的货物。本办法所称中小企业划分标准，是指国务院有关部门根据企业从业人员、营业收入、资产总额等指标制定的中小企业划分标准。小型、微型企业提供中型企业制造的货物的，视同为中型企业，中小企业划分标准参照《关于印发中小企业划型标准规定的通知》（工信部联企业[2011]300号）执行。</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35.1.2 参加政府采购活动的中小企业投标时需提供《中小企业声明函》（格式见第五部分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35.1.3 政府采购货物时要求，投标人应提供满足要求的货物的政策适用性说明表（格式见第五部分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35.1.4 组成联合体的大中型企业和其他自然人、法人或者其他组织，与小型、微型企业之间不得存在投资关系。</w:t>
      </w:r>
    </w:p>
    <w:p>
      <w:pPr>
        <w:autoSpaceDE w:val="0"/>
        <w:autoSpaceDN w:val="0"/>
        <w:ind w:firstLine="420" w:firstLineChars="200"/>
        <w:rPr>
          <w:rFonts w:ascii="宋体" w:hAnsi="宋体" w:cs="宋体"/>
          <w:szCs w:val="21"/>
          <w:highlight w:val="none"/>
        </w:rPr>
      </w:pPr>
      <w:r>
        <w:rPr>
          <w:rFonts w:ascii="宋体" w:hAnsi="宋体" w:cs="宋体" w:hint="eastAsia"/>
          <w:b/>
          <w:bCs/>
          <w:szCs w:val="21"/>
          <w:highlight w:val="none"/>
        </w:rPr>
        <w:t>35.2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存在以上情形的供应商应主动予以回避，否则自行承担相应的法律责任及后果。</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35.3 在招标采购中，出现下列情形之一的，应予废标：</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1）符合专业条件的供应商或者对招标文件做实质响应的供应商不足三家的；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2）出现影响采购公正的违法、违规行为的；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3）投标人的报价均超过了采购预算，采购人不能支付的；</w:t>
      </w:r>
    </w:p>
    <w:p>
      <w:pPr>
        <w:pStyle w:val="NormalIndent"/>
        <w:ind w:firstLine="420" w:firstLineChars="200"/>
        <w:rPr>
          <w:rFonts w:ascii="宋体" w:hAnsi="宋体" w:cs="宋体"/>
          <w:szCs w:val="21"/>
          <w:highlight w:val="none"/>
        </w:rPr>
      </w:pPr>
      <w:r>
        <w:rPr>
          <w:rFonts w:ascii="宋体" w:hAnsi="宋体" w:cs="宋体" w:hint="eastAsia"/>
          <w:szCs w:val="21"/>
          <w:highlight w:val="none"/>
        </w:rPr>
        <w:t>4）因重大变故，采购任务取消的。</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十、资格审查</w:t>
      </w:r>
    </w:p>
    <w:p>
      <w:pPr>
        <w:pStyle w:val="NormalIndent"/>
        <w:ind w:firstLine="359"/>
        <w:jc w:val="center"/>
        <w:rPr>
          <w:rFonts w:ascii="宋体" w:hAnsi="宋体" w:cs="宋体"/>
          <w:szCs w:val="21"/>
          <w:highlight w:val="none"/>
        </w:rPr>
      </w:pPr>
      <w:r>
        <w:rPr>
          <w:rFonts w:ascii="宋体" w:hAnsi="宋体" w:cs="宋体" w:hint="eastAsia"/>
          <w:b/>
          <w:szCs w:val="21"/>
          <w:highlight w:val="none"/>
        </w:rPr>
        <w:t>《资格审查表》</w:t>
      </w:r>
    </w:p>
    <w:tbl>
      <w:tblPr>
        <w:tblStyle w:val="TableNormal"/>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2"/>
        <w:gridCol w:w="8089"/>
      </w:tblGrid>
      <w:tr>
        <w:tblPrEx>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52" w:type="dxa"/>
          </w:tcPr>
          <w:p>
            <w:pPr>
              <w:keepNext w:val="0"/>
              <w:keepLines w:val="0"/>
              <w:suppressLineNumbers w:val="0"/>
              <w:autoSpaceDE w:val="0"/>
              <w:autoSpaceDN w:val="0"/>
              <w:adjustRightInd w:val="0"/>
              <w:snapToGrid w:val="0"/>
              <w:spacing w:before="0" w:beforeAutospacing="0" w:after="0" w:afterAutospacing="0"/>
              <w:ind w:left="0" w:right="32"/>
              <w:rPr>
                <w:rFonts w:ascii="宋体" w:hAnsi="宋体" w:cs="宋体" w:hint="default"/>
                <w:b/>
                <w:bCs/>
                <w:szCs w:val="21"/>
                <w:highlight w:val="none"/>
              </w:rPr>
            </w:pPr>
            <w:r>
              <w:rPr>
                <w:rFonts w:ascii="宋体" w:hAnsi="宋体" w:cs="宋体" w:hint="eastAsia"/>
                <w:b/>
                <w:bCs/>
                <w:szCs w:val="21"/>
                <w:highlight w:val="none"/>
              </w:rPr>
              <w:t>序号</w:t>
            </w:r>
          </w:p>
        </w:tc>
        <w:tc>
          <w:tcPr>
            <w:tcW w:w="8089" w:type="dxa"/>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b/>
                <w:bCs/>
                <w:szCs w:val="21"/>
                <w:highlight w:val="none"/>
              </w:rPr>
            </w:pPr>
            <w:r>
              <w:rPr>
                <w:rFonts w:ascii="宋体" w:hAnsi="宋体" w:cs="宋体" w:hint="eastAsia"/>
                <w:b/>
                <w:bCs/>
                <w:szCs w:val="21"/>
                <w:highlight w:val="none"/>
              </w:rPr>
              <w:t>内容</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1</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2</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3</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szCs w:val="21"/>
                <w:highlight w:val="none"/>
              </w:rPr>
            </w:pPr>
            <w:r>
              <w:rPr>
                <w:rFonts w:ascii="宋体" w:hAnsi="宋体" w:cs="宋体" w:hint="eastAsia"/>
                <w:color w:val="000000"/>
                <w:kern w:val="0"/>
                <w:szCs w:val="21"/>
                <w:highlight w:val="none"/>
              </w:rPr>
              <w:t>落实政府采购政策需满足的资格要求：</w:t>
            </w:r>
            <w:r>
              <w:rPr>
                <w:rFonts w:ascii="宋体" w:hAnsi="宋体" w:cs="宋体" w:hint="eastAsia"/>
                <w:color w:val="000000"/>
                <w:kern w:val="0"/>
                <w:szCs w:val="21"/>
                <w:highlight w:val="none"/>
                <w:lang w:val="en-US" w:eastAsia="zh-CN"/>
              </w:rPr>
              <w:t>无</w:t>
            </w:r>
            <w:r>
              <w:rPr>
                <w:rFonts w:hint="eastAsia"/>
                <w:highlight w:val="none"/>
              </w:rPr>
              <w:t>。</w:t>
            </w:r>
          </w:p>
        </w:tc>
      </w:tr>
      <w:tr>
        <w:tblPrEx>
          <w:tblW w:w="8841" w:type="dxa"/>
          <w:jc w:val="center"/>
          <w:tblLayout w:type="fixed"/>
          <w:tblCellMar>
            <w:top w:w="0" w:type="dxa"/>
            <w:left w:w="108" w:type="dxa"/>
            <w:bottom w:w="0" w:type="dxa"/>
            <w:right w:w="108" w:type="dxa"/>
          </w:tblCellMar>
        </w:tblPrEx>
        <w:trPr>
          <w:trHeight w:val="197"/>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4</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default"/>
                <w:color w:val="000000"/>
                <w:kern w:val="0"/>
                <w:szCs w:val="21"/>
                <w:highlight w:val="none"/>
              </w:rPr>
              <w:t>本项目的特定资格要求：</w:t>
            </w:r>
            <w:r>
              <w:rPr>
                <w:rFonts w:ascii="宋体" w:hAnsi="宋体" w:cs="宋体" w:hint="eastAsia"/>
                <w:color w:val="000000"/>
                <w:kern w:val="0"/>
                <w:szCs w:val="21"/>
                <w:highlight w:val="none"/>
              </w:rPr>
              <w:t>无。</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5</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kern w:val="0"/>
                <w:szCs w:val="21"/>
                <w:highlight w:val="none"/>
                <w:lang w:val="zh-CN"/>
              </w:rPr>
            </w:pP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6</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7</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color w:val="000000"/>
                <w:kern w:val="0"/>
                <w:szCs w:val="21"/>
                <w:highlight w:val="none"/>
              </w:rPr>
            </w:pP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keepNext w:val="0"/>
              <w:keepLines w:val="0"/>
              <w:widowControl/>
              <w:suppressLineNumbers w:val="0"/>
              <w:autoSpaceDE w:val="0"/>
              <w:autoSpaceDN w:val="0"/>
              <w:adjustRightInd w:val="0"/>
              <w:snapToGrid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8</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9</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color w:val="000000"/>
                <w:kern w:val="0"/>
                <w:szCs w:val="21"/>
                <w:highlight w:val="none"/>
                <w:lang w:val="zh-CN"/>
              </w:rPr>
            </w:pP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hAnsi="宋体" w:cs="宋体" w:hint="eastAsia"/>
                <w:color w:val="000000"/>
                <w:kern w:val="0"/>
                <w:szCs w:val="21"/>
                <w:highlight w:val="none"/>
              </w:rPr>
              <w:t>（</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r>
              <w:rPr>
                <w:rFonts w:ascii="宋体" w:hAnsi="宋体" w:cs="宋体" w:hint="eastAsia"/>
                <w:color w:val="000000"/>
                <w:kern w:val="0"/>
                <w:szCs w:val="21"/>
                <w:highlight w:val="none"/>
                <w:lang w:val="zh-CN"/>
              </w:rPr>
              <w:t>。</w:t>
            </w:r>
          </w:p>
        </w:tc>
      </w:tr>
    </w:tbl>
    <w:p>
      <w:pPr>
        <w:pStyle w:val="NormalIndent"/>
        <w:ind w:firstLine="359"/>
        <w:rPr>
          <w:rFonts w:ascii="宋体" w:hAnsi="宋体" w:cs="宋体"/>
          <w:b/>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十一、评标方法、步骤及标准</w:t>
      </w:r>
    </w:p>
    <w:p>
      <w:pPr>
        <w:pStyle w:val="NormalIndent"/>
        <w:ind w:firstLine="420" w:firstLineChars="200"/>
        <w:rPr>
          <w:rFonts w:ascii="宋体" w:hAnsi="宋体" w:cs="宋体"/>
          <w:szCs w:val="21"/>
          <w:highlight w:val="none"/>
        </w:rPr>
      </w:pPr>
      <w:r>
        <w:rPr>
          <w:rFonts w:ascii="宋体" w:hAnsi="宋体" w:cs="宋体" w:hint="eastAsia"/>
          <w:szCs w:val="21"/>
          <w:highlight w:val="none"/>
        </w:rPr>
        <w:t>根据政府采购的相关规定确定以下评标方法、步骤及标准：</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36.评标方法</w:t>
      </w:r>
    </w:p>
    <w:p>
      <w:pPr>
        <w:ind w:firstLine="420" w:firstLineChars="200"/>
        <w:rPr>
          <w:rFonts w:ascii="宋体" w:hAnsi="宋体" w:cs="宋体"/>
          <w:kern w:val="0"/>
          <w:szCs w:val="21"/>
          <w:highlight w:val="none"/>
        </w:rPr>
      </w:pPr>
      <w:r>
        <w:rPr>
          <w:rFonts w:ascii="宋体" w:hAnsi="宋体" w:cs="宋体" w:hint="eastAsia"/>
          <w:kern w:val="0"/>
          <w:szCs w:val="21"/>
          <w:highlight w:val="none"/>
        </w:rPr>
        <w:t>本次评标采用</w:t>
      </w:r>
      <w:r>
        <w:rPr>
          <w:rFonts w:ascii="宋体" w:hAnsi="宋体" w:cs="宋体" w:hint="eastAsia"/>
          <w:b/>
          <w:bCs/>
          <w:kern w:val="0"/>
          <w:szCs w:val="21"/>
          <w:highlight w:val="none"/>
          <w:u w:val="single"/>
        </w:rPr>
        <w:t>综合评分法</w:t>
      </w:r>
      <w:r>
        <w:rPr>
          <w:rFonts w:ascii="宋体" w:hAnsi="宋体" w:cs="宋体" w:hint="eastAsia"/>
          <w:kern w:val="0"/>
          <w:szCs w:val="21"/>
          <w:highlight w:val="none"/>
        </w:rPr>
        <w:t>，在最大限度地满足招标文件实质性要求的前提下，按照招标文件中规定的各项因素进行综合评审，评标总得分排名前列的投标人，作为推荐的候选中标供应商。</w:t>
      </w:r>
      <w:r>
        <w:rPr>
          <w:rFonts w:ascii="宋体" w:hAnsi="宋体" w:cs="宋体" w:hint="eastAsia"/>
          <w:b/>
          <w:bCs/>
          <w:kern w:val="0"/>
          <w:szCs w:val="21"/>
          <w:highlight w:val="none"/>
          <w:u w:val="single"/>
        </w:rPr>
        <w:t>本项目三项总分为100分，其中</w:t>
      </w:r>
      <w:r>
        <w:rPr>
          <w:rFonts w:ascii="宋体" w:hAnsi="宋体" w:cs="宋体" w:hint="eastAsia"/>
          <w:b/>
          <w:bCs/>
          <w:szCs w:val="21"/>
          <w:highlight w:val="none"/>
          <w:u w:val="single"/>
          <w:lang w:val="en-US" w:eastAsia="zh-CN"/>
        </w:rPr>
        <w:t>服务</w:t>
      </w:r>
      <w:r>
        <w:rPr>
          <w:rFonts w:ascii="宋体" w:hAnsi="宋体" w:cs="宋体" w:hint="eastAsia"/>
          <w:b/>
          <w:bCs/>
          <w:kern w:val="0"/>
          <w:szCs w:val="21"/>
          <w:highlight w:val="none"/>
          <w:u w:val="single"/>
        </w:rPr>
        <w:t>得分占</w:t>
      </w:r>
      <w:r>
        <w:rPr>
          <w:rFonts w:ascii="宋体" w:hAnsi="宋体" w:cs="宋体" w:hint="eastAsia"/>
          <w:b/>
          <w:bCs/>
          <w:kern w:val="0"/>
          <w:szCs w:val="21"/>
          <w:highlight w:val="none"/>
          <w:u w:val="single"/>
          <w:lang w:val="en-US" w:eastAsia="zh-CN"/>
        </w:rPr>
        <w:t>52</w:t>
      </w:r>
      <w:r>
        <w:rPr>
          <w:rFonts w:ascii="宋体" w:hAnsi="宋体" w:cs="宋体" w:hint="eastAsia"/>
          <w:b/>
          <w:bCs/>
          <w:kern w:val="0"/>
          <w:szCs w:val="21"/>
          <w:highlight w:val="none"/>
          <w:u w:val="single"/>
        </w:rPr>
        <w:t>分，商务得分占</w:t>
      </w:r>
      <w:r>
        <w:rPr>
          <w:rFonts w:ascii="宋体" w:hAnsi="宋体" w:cs="宋体" w:hint="eastAsia"/>
          <w:b/>
          <w:bCs/>
          <w:kern w:val="0"/>
          <w:szCs w:val="21"/>
          <w:highlight w:val="none"/>
          <w:u w:val="single"/>
          <w:lang w:val="en-US" w:eastAsia="zh-CN"/>
        </w:rPr>
        <w:t>38</w:t>
      </w:r>
      <w:r>
        <w:rPr>
          <w:rFonts w:ascii="宋体" w:hAnsi="宋体" w:cs="宋体" w:hint="eastAsia"/>
          <w:b/>
          <w:bCs/>
          <w:kern w:val="0"/>
          <w:szCs w:val="21"/>
          <w:highlight w:val="none"/>
          <w:u w:val="single"/>
        </w:rPr>
        <w:t>分，价格得分占</w:t>
      </w:r>
      <w:r>
        <w:rPr>
          <w:rFonts w:ascii="宋体" w:hAnsi="宋体" w:cs="宋体" w:hint="eastAsia"/>
          <w:b/>
          <w:bCs/>
          <w:kern w:val="0"/>
          <w:szCs w:val="21"/>
          <w:highlight w:val="none"/>
          <w:u w:val="single"/>
          <w:lang w:val="en-US" w:eastAsia="zh-CN"/>
        </w:rPr>
        <w:t>10</w:t>
      </w:r>
      <w:r>
        <w:rPr>
          <w:rFonts w:ascii="宋体" w:hAnsi="宋体" w:cs="宋体" w:hint="eastAsia"/>
          <w:b/>
          <w:bCs/>
          <w:kern w:val="0"/>
          <w:szCs w:val="21"/>
          <w:highlight w:val="none"/>
          <w:u w:val="single"/>
        </w:rPr>
        <w:t>分</w:t>
      </w:r>
      <w:r>
        <w:rPr>
          <w:rFonts w:ascii="宋体" w:hAnsi="宋体" w:cs="宋体" w:hint="eastAsia"/>
          <w:b/>
          <w:bCs/>
          <w:szCs w:val="21"/>
          <w:highlight w:val="none"/>
          <w:u w:val="single"/>
        </w:rPr>
        <w:t>。</w:t>
      </w:r>
      <w:r>
        <w:rPr>
          <w:rFonts w:ascii="宋体" w:hAnsi="宋体" w:cs="宋体" w:hint="eastAsia"/>
          <w:b/>
          <w:bCs/>
          <w:kern w:val="0"/>
          <w:szCs w:val="21"/>
          <w:highlight w:val="none"/>
          <w:u w:val="single"/>
        </w:rPr>
        <w:t>以综合总得分排名</w:t>
      </w:r>
      <w:r>
        <w:rPr>
          <w:rFonts w:ascii="宋体" w:hAnsi="宋体" w:cs="宋体" w:hint="eastAsia"/>
          <w:b/>
          <w:bCs/>
          <w:kern w:val="0"/>
          <w:szCs w:val="21"/>
          <w:highlight w:val="none"/>
          <w:u w:val="single"/>
          <w:lang w:val="en-US" w:eastAsia="zh-CN"/>
        </w:rPr>
        <w:t>第一名</w:t>
      </w:r>
      <w:r>
        <w:rPr>
          <w:rFonts w:ascii="宋体" w:hAnsi="宋体" w:cs="宋体" w:hint="eastAsia"/>
          <w:b/>
          <w:bCs/>
          <w:kern w:val="0"/>
          <w:szCs w:val="21"/>
          <w:highlight w:val="none"/>
          <w:u w:val="single"/>
        </w:rPr>
        <w:t>的投标人为中标候选人。</w:t>
      </w:r>
    </w:p>
    <w:tbl>
      <w:tblPr>
        <w:tblStyle w:val="TableGrid"/>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844"/>
        <w:gridCol w:w="1642"/>
      </w:tblGrid>
      <w:tr>
        <w:tblPrEx>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szCs w:val="21"/>
                <w:highlight w:val="none"/>
              </w:rPr>
              <w:t>评标方法</w:t>
            </w:r>
          </w:p>
        </w:tc>
        <w:tc>
          <w:tcPr>
            <w:tcW w:w="1830" w:type="pct"/>
            <w:vAlign w:val="center"/>
          </w:tcPr>
          <w:p>
            <w:pPr>
              <w:keepNext w:val="0"/>
              <w:keepLines w:val="0"/>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szCs w:val="21"/>
                <w:highlight w:val="none"/>
              </w:rPr>
              <w:t>综合评分法</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候选中标供应商数量</w:t>
            </w:r>
          </w:p>
        </w:tc>
        <w:tc>
          <w:tcPr>
            <w:tcW w:w="1830" w:type="pct"/>
            <w:vAlign w:val="center"/>
          </w:tcPr>
          <w:p>
            <w:pPr>
              <w:keepNext w:val="0"/>
              <w:keepLines w:val="0"/>
              <w:suppressLineNumbers w:val="0"/>
              <w:spacing w:before="0" w:beforeAutospacing="0" w:after="0" w:afterAutospacing="0"/>
              <w:ind w:left="0" w:right="0"/>
              <w:jc w:val="center"/>
              <w:rPr>
                <w:rFonts w:ascii="宋体" w:eastAsia="宋体" w:hAnsi="宋体" w:cs="宋体" w:hint="eastAsia"/>
                <w:szCs w:val="21"/>
                <w:highlight w:val="none"/>
                <w:lang w:eastAsia="zh-CN"/>
              </w:rPr>
            </w:pPr>
            <w:r>
              <w:rPr>
                <w:rFonts w:ascii="宋体" w:hAnsi="宋体" w:cs="宋体" w:hint="eastAsia"/>
                <w:szCs w:val="21"/>
                <w:highlight w:val="none"/>
                <w:lang w:val="en-US" w:eastAsia="zh-CN"/>
              </w:rPr>
              <w:t>1</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中标供应商数量</w:t>
            </w:r>
          </w:p>
        </w:tc>
        <w:tc>
          <w:tcPr>
            <w:tcW w:w="1830"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1</w:t>
            </w:r>
          </w:p>
        </w:tc>
      </w:tr>
    </w:tbl>
    <w:p>
      <w:pPr>
        <w:pStyle w:val="NormalIndent"/>
        <w:ind w:firstLine="420" w:firstLineChars="200"/>
        <w:rPr>
          <w:rFonts w:ascii="宋体" w:hAnsi="宋体" w:cs="宋体"/>
          <w:b/>
          <w:szCs w:val="21"/>
          <w:highlight w:val="none"/>
        </w:rPr>
      </w:pPr>
      <w:r>
        <w:rPr>
          <w:rFonts w:ascii="宋体" w:hAnsi="宋体" w:cs="宋体" w:hint="eastAsia"/>
          <w:b/>
          <w:szCs w:val="21"/>
          <w:highlight w:val="none"/>
        </w:rPr>
        <w:t>37.评标步骤</w:t>
      </w:r>
    </w:p>
    <w:p>
      <w:pPr>
        <w:pStyle w:val="NormalIndent"/>
        <w:ind w:firstLine="420" w:firstLineChars="200"/>
        <w:rPr>
          <w:rFonts w:ascii="宋体" w:hAnsi="宋体" w:cs="宋体"/>
          <w:szCs w:val="21"/>
          <w:highlight w:val="none"/>
        </w:rPr>
      </w:pPr>
      <w:r>
        <w:rPr>
          <w:rFonts w:ascii="宋体" w:hAnsi="宋体" w:cs="宋体" w:hint="eastAsia"/>
          <w:szCs w:val="21"/>
          <w:highlight w:val="none"/>
        </w:rPr>
        <w:t xml:space="preserve">一、评标委员会对投标文件的符合性审查、服务商务比较与评价： </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（一）符合性审查</w:t>
      </w:r>
    </w:p>
    <w:p>
      <w:pPr>
        <w:pStyle w:val="NormalIndent"/>
        <w:ind w:firstLine="359"/>
        <w:jc w:val="center"/>
        <w:rPr>
          <w:rFonts w:ascii="宋体" w:hAnsi="宋体" w:cs="宋体"/>
          <w:b/>
          <w:szCs w:val="21"/>
          <w:highlight w:val="none"/>
        </w:rPr>
      </w:pPr>
      <w:r>
        <w:rPr>
          <w:rFonts w:ascii="宋体" w:hAnsi="宋体" w:cs="宋体" w:hint="eastAsia"/>
          <w:b/>
          <w:szCs w:val="21"/>
          <w:highlight w:val="none"/>
        </w:rPr>
        <w:t>《符合性审查表》</w:t>
      </w:r>
    </w:p>
    <w:tbl>
      <w:tblPr>
        <w:tblStyle w:val="TableNormal"/>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
      <w:tblGrid>
        <w:gridCol w:w="794"/>
        <w:gridCol w:w="8284"/>
      </w:tblGrid>
      <w:tr>
        <w:tblPrEx>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kern w:val="0"/>
                <w:szCs w:val="21"/>
                <w:highlight w:val="none"/>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kern w:val="0"/>
                <w:szCs w:val="21"/>
                <w:highlight w:val="none"/>
              </w:rPr>
              <w:t>内容</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不得将一个包内容拆开投标；</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对同一项目投标时，不得提供两套以上的投标方案（招标文件另有规定的除外）；</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分项报价或投标总价不得高于</w:t>
            </w:r>
            <w:bookmarkStart w:id="16" w:name="_Hlk71832186"/>
            <w:r>
              <w:rPr>
                <w:rFonts w:ascii="宋体" w:hAnsi="宋体" w:cs="宋体" w:hint="eastAsia"/>
                <w:szCs w:val="21"/>
                <w:highlight w:val="none"/>
              </w:rPr>
              <w:t>相应预算金额（或设定的预算金额下的最高限价）</w:t>
            </w:r>
            <w:bookmarkEnd w:id="16"/>
            <w:r>
              <w:rPr>
                <w:rFonts w:ascii="宋体" w:hAnsi="宋体" w:cs="宋体" w:hint="eastAsia"/>
                <w:szCs w:val="21"/>
                <w:highlight w:val="none"/>
              </w:rPr>
              <w:t>或投标报价存在缺漏项的；</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所投货物、服务在技术、商务等方面没有实质性满足招标文件要求的“★”号条款（是否实质性满足招标文件要求，由评审委员会根据实质性条款响应情况作出评判）；</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未按招标文件所提供的样式填写《投标函》；未按招标文件所提供的《政府采购投标及履约承诺函》进行承诺或不符合承诺的；未按招标文件对投标文件组成的要求提供投标文件；</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投标报价有缺漏项目,或者对招标文件规定的项目需求内容或者需求数量进行修改，评审委员会判定投标响应不满足采购需求；</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投标文件存在列放位置错误，导致属于信息公开情形的没有被公开；</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投标文件电子文档不得带病毒；</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投标文件用不属于本公司的电子密钥进行加密的；</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kern w:val="0"/>
                <w:szCs w:val="21"/>
                <w:highlight w:val="none"/>
              </w:rPr>
            </w:pPr>
            <w:r>
              <w:rPr>
                <w:rFonts w:ascii="宋体" w:hAnsi="宋体" w:cs="宋体" w:hint="eastAsia"/>
                <w:kern w:val="0"/>
                <w:szCs w:val="21"/>
                <w:highlight w:val="none"/>
              </w:rPr>
              <w:t>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不同投标供应商投标文件“文件制作机器码”一致；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kern w:val="0"/>
                <w:szCs w:val="21"/>
                <w:highlight w:val="none"/>
              </w:rPr>
            </w:pPr>
            <w:r>
              <w:rPr>
                <w:rFonts w:ascii="宋体" w:hAnsi="宋体" w:cs="宋体" w:hint="eastAsia"/>
                <w:kern w:val="0"/>
                <w:szCs w:val="21"/>
                <w:highlight w:val="none"/>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不同投标供应商投标文件“文件创建标识码”一致；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法律、法规、规章、规范性文件规定的其他情形。</w:t>
            </w:r>
          </w:p>
        </w:tc>
      </w:tr>
    </w:tbl>
    <w:p>
      <w:pPr>
        <w:pStyle w:val="NormalIndent"/>
        <w:widowControl/>
        <w:ind w:firstLine="420" w:firstLineChars="200"/>
        <w:rPr>
          <w:rFonts w:ascii="宋体" w:hAnsi="宋体" w:cs="宋体"/>
          <w:b/>
          <w:szCs w:val="21"/>
          <w:highlight w:val="none"/>
        </w:rPr>
      </w:pPr>
    </w:p>
    <w:p>
      <w:pPr>
        <w:widowControl/>
        <w:ind w:firstLine="420" w:firstLineChars="200"/>
        <w:rPr>
          <w:rFonts w:ascii="宋体" w:hAnsi="宋体" w:cs="宋体"/>
          <w:b/>
          <w:szCs w:val="21"/>
          <w:highlight w:val="none"/>
        </w:rPr>
      </w:pPr>
      <w:r>
        <w:rPr>
          <w:rFonts w:ascii="宋体" w:hAnsi="宋体" w:cs="宋体" w:hint="eastAsia"/>
          <w:b/>
          <w:szCs w:val="21"/>
          <w:highlight w:val="none"/>
        </w:rPr>
        <w:t>（二）比较与评价</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备注：评标信息内评分方法的说明：</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（1）权重：按百分比进行设置；</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（2）评分准则：按照评标系统设置要求，每项“评分准则”皆按百分制打分；</w:t>
      </w:r>
    </w:p>
    <w:p>
      <w:pPr>
        <w:widowControl/>
        <w:snapToGrid w:val="0"/>
        <w:ind w:firstLine="420"/>
        <w:rPr>
          <w:rFonts w:ascii="宋体" w:hAnsi="宋体" w:cs="宋体"/>
          <w:szCs w:val="21"/>
          <w:highlight w:val="none"/>
        </w:rPr>
      </w:pPr>
      <w:r>
        <w:rPr>
          <w:rFonts w:ascii="宋体" w:hAnsi="宋体" w:cs="宋体" w:hint="eastAsia"/>
          <w:color w:val="FF0000"/>
          <w:szCs w:val="21"/>
          <w:highlight w:val="none"/>
        </w:rPr>
        <w:t>（3）每项“评分因素”的得分=对应“评分准则”的分值×对应权重%。</w:t>
      </w:r>
    </w:p>
    <w:p>
      <w:pPr>
        <w:widowControl/>
        <w:ind w:firstLine="420"/>
        <w:rPr>
          <w:rFonts w:ascii="宋体" w:hAnsi="宋体" w:cs="宋体"/>
          <w:b/>
          <w:bCs/>
          <w:color w:val="FF0000"/>
          <w:szCs w:val="21"/>
          <w:highlight w:val="none"/>
        </w:rPr>
      </w:pPr>
      <w:r>
        <w:rPr>
          <w:rFonts w:ascii="宋体" w:hAnsi="宋体" w:cs="宋体" w:hint="eastAsia"/>
          <w:b/>
          <w:bCs/>
          <w:color w:val="FF0000"/>
          <w:szCs w:val="21"/>
          <w:highlight w:val="none"/>
        </w:rPr>
        <w:t>（4）投标人的“技术（服务）要求偏离表”等必须与客观实际保持一致，响应不实且情节严重的，经查实，将依法记入供应商诚信档案或受到行政处罚。</w:t>
      </w:r>
    </w:p>
    <w:p>
      <w:pPr>
        <w:pStyle w:val="NormalIndent"/>
        <w:widowControl/>
        <w:rPr>
          <w:rFonts w:ascii="宋体" w:hAnsi="宋体" w:cs="宋体"/>
          <w:szCs w:val="21"/>
          <w:highlight w:val="none"/>
        </w:rPr>
      </w:pPr>
      <w:r>
        <w:rPr>
          <w:rFonts w:ascii="宋体" w:hAnsi="宋体" w:cs="宋体" w:hint="eastAsia"/>
          <w:szCs w:val="21"/>
          <w:highlight w:val="none"/>
        </w:rPr>
        <w:t>1</w:t>
      </w:r>
      <w:r>
        <w:rPr>
          <w:rFonts w:ascii="宋体" w:hAnsi="宋体" w:cs="宋体" w:hint="eastAsia"/>
          <w:szCs w:val="21"/>
          <w:highlight w:val="none"/>
          <w:lang w:eastAsia="zh-CN"/>
        </w:rPr>
        <w:t>、</w:t>
      </w:r>
      <w:r>
        <w:rPr>
          <w:rFonts w:ascii="宋体" w:hAnsi="宋体" w:cs="宋体" w:hint="eastAsia"/>
          <w:szCs w:val="21"/>
          <w:highlight w:val="none"/>
          <w:lang w:val="en-US" w:eastAsia="zh-CN"/>
        </w:rPr>
        <w:t>服务</w:t>
      </w:r>
      <w:r>
        <w:rPr>
          <w:rFonts w:ascii="宋体" w:hAnsi="宋体" w:cs="宋体" w:hint="eastAsia"/>
          <w:szCs w:val="21"/>
          <w:highlight w:val="none"/>
        </w:rPr>
        <w:t>评价（</w:t>
      </w:r>
      <w:r>
        <w:rPr>
          <w:rFonts w:ascii="宋体" w:hAnsi="宋体" w:cs="宋体" w:hint="eastAsia"/>
          <w:szCs w:val="21"/>
          <w:highlight w:val="none"/>
          <w:lang w:val="en-US" w:eastAsia="zh-CN"/>
        </w:rPr>
        <w:t>52</w:t>
      </w:r>
      <w:r>
        <w:rPr>
          <w:rFonts w:ascii="宋体" w:hAnsi="宋体" w:cs="宋体" w:hint="eastAsia"/>
          <w:szCs w:val="21"/>
          <w:highlight w:val="none"/>
        </w:rPr>
        <w:t>分）：</w:t>
      </w:r>
    </w:p>
    <w:tbl>
      <w:tblPr>
        <w:tblStyle w:val="TableNormal"/>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0"/>
        <w:gridCol w:w="1497"/>
        <w:gridCol w:w="798"/>
        <w:gridCol w:w="1131"/>
        <w:gridCol w:w="5709"/>
      </w:tblGrid>
      <w:tr>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序号</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评议内容</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权重（%）</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bCs/>
                <w:sz w:val="21"/>
                <w:szCs w:val="21"/>
                <w:highlight w:val="none"/>
              </w:rPr>
              <w:t>评分方式</w:t>
            </w:r>
          </w:p>
        </w:tc>
        <w:tc>
          <w:tcPr>
            <w:tcW w:w="570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评分细则</w:t>
            </w:r>
          </w:p>
        </w:tc>
      </w:tr>
      <w:tr>
        <w:tblPrEx>
          <w:tblW w:w="9885" w:type="dxa"/>
          <w:jc w:val="center"/>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bCs/>
                <w:sz w:val="21"/>
                <w:szCs w:val="21"/>
                <w:highlight w:val="none"/>
              </w:rPr>
            </w:pPr>
            <w:r>
              <w:rPr>
                <w:rFonts w:ascii="宋体" w:eastAsia="宋体" w:hAnsi="宋体" w:cs="宋体" w:hint="eastAsia"/>
                <w:sz w:val="21"/>
                <w:szCs w:val="21"/>
                <w:highlight w:val="none"/>
              </w:rPr>
              <w:t>1</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Cs w:val="21"/>
                <w:highlight w:val="none"/>
              </w:rPr>
              <w:t>实施方案 （工作措施、工作方法、工作手段、工作流程）</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default"/>
                <w:bCs/>
                <w:sz w:val="21"/>
                <w:szCs w:val="21"/>
                <w:highlight w:val="none"/>
                <w:lang w:val="en-US" w:eastAsia="zh-CN"/>
              </w:rPr>
            </w:pPr>
            <w:r>
              <w:rPr>
                <w:rFonts w:ascii="宋体" w:hAnsi="宋体" w:cs="宋体" w:hint="eastAsia"/>
                <w:sz w:val="21"/>
                <w:szCs w:val="21"/>
                <w:highlight w:val="none"/>
                <w:lang w:val="en-US" w:eastAsia="zh-CN"/>
              </w:rPr>
              <w:t>15</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jc w:val="center"/>
              <w:rPr>
                <w:rFonts w:ascii="宋体" w:eastAsia="宋体" w:hAnsi="宋体" w:cs="宋体" w:hint="eastAsia"/>
                <w:bCs/>
                <w:sz w:val="21"/>
                <w:szCs w:val="21"/>
                <w:highlight w:val="none"/>
              </w:rPr>
            </w:pPr>
            <w:r>
              <w:rPr>
                <w:rFonts w:ascii="宋体" w:eastAsia="宋体" w:hAnsi="宋体" w:cs="宋体" w:hint="eastAsia"/>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snapToGrid w:val="0"/>
              <w:textAlignment w:val="top"/>
              <w:rPr>
                <w:rFonts w:ascii="宋体" w:eastAsia="宋体" w:hAnsi="宋体" w:cs="宋体" w:hint="eastAsia"/>
                <w:sz w:val="21"/>
                <w:szCs w:val="21"/>
                <w:highlight w:val="none"/>
              </w:rPr>
            </w:pPr>
            <w:r>
              <w:rPr>
                <w:rFonts w:ascii="宋体" w:eastAsia="宋体" w:hAnsi="宋体" w:cs="宋体" w:hint="eastAsia"/>
                <w:b/>
                <w:bCs/>
                <w:sz w:val="21"/>
                <w:szCs w:val="21"/>
                <w:highlight w:val="none"/>
              </w:rPr>
              <w:t>（一）评分内容：</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根据投标人提供的服务方案响应情况进行评分：</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hAnsi="宋体" w:cs="宋体" w:hint="eastAsia"/>
                <w:sz w:val="21"/>
                <w:szCs w:val="21"/>
                <w:highlight w:val="none"/>
                <w:lang w:eastAsia="zh-CN"/>
              </w:rPr>
              <w:t>、</w:t>
            </w:r>
            <w:r>
              <w:rPr>
                <w:rFonts w:ascii="宋体" w:eastAsia="宋体" w:hAnsi="宋体" w:cs="宋体" w:hint="eastAsia"/>
                <w:sz w:val="21"/>
                <w:szCs w:val="21"/>
                <w:highlight w:val="none"/>
              </w:rPr>
              <w:t>提供总体服务方案，包括但不限于：项目组织架构、服务内容、</w:t>
            </w:r>
            <w:r>
              <w:rPr>
                <w:rFonts w:ascii="宋体" w:eastAsia="宋体" w:hAnsi="宋体" w:cs="宋体" w:hint="eastAsia"/>
                <w:sz w:val="21"/>
                <w:szCs w:val="21"/>
                <w:highlight w:val="none"/>
                <w:lang w:val="en-US" w:eastAsia="zh-CN"/>
              </w:rPr>
              <w:t>人员</w:t>
            </w:r>
            <w:r>
              <w:rPr>
                <w:rFonts w:ascii="宋体" w:eastAsia="宋体" w:hAnsi="宋体" w:cs="宋体" w:hint="eastAsia"/>
                <w:sz w:val="21"/>
                <w:szCs w:val="21"/>
                <w:highlight w:val="none"/>
              </w:rPr>
              <w:t>配备</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工作标准、服务优势与亮点；</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w:t>
            </w:r>
            <w:r>
              <w:rPr>
                <w:rFonts w:ascii="宋体" w:hAnsi="宋体" w:cs="宋体" w:hint="eastAsia"/>
                <w:sz w:val="21"/>
                <w:szCs w:val="21"/>
                <w:highlight w:val="none"/>
                <w:lang w:eastAsia="zh-CN"/>
              </w:rPr>
              <w:t>、</w:t>
            </w:r>
            <w:r>
              <w:rPr>
                <w:rFonts w:ascii="宋体" w:eastAsia="宋体" w:hAnsi="宋体" w:cs="宋体" w:hint="eastAsia"/>
                <w:sz w:val="21"/>
                <w:szCs w:val="21"/>
                <w:highlight w:val="none"/>
              </w:rPr>
              <w:t>提供服务工作目标及项目实施方案，包括但不限于：服务工作目标、岗位工作职责及工作流程、项目实施、风险防控方案；</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3</w:t>
            </w:r>
            <w:r>
              <w:rPr>
                <w:rFonts w:ascii="宋体" w:hAnsi="宋体" w:cs="宋体" w:hint="eastAsia"/>
                <w:sz w:val="21"/>
                <w:szCs w:val="21"/>
                <w:highlight w:val="none"/>
                <w:lang w:eastAsia="zh-CN"/>
              </w:rPr>
              <w:t>、</w:t>
            </w:r>
            <w:r>
              <w:rPr>
                <w:rFonts w:ascii="宋体" w:eastAsia="宋体" w:hAnsi="宋体" w:cs="宋体" w:hint="eastAsia"/>
                <w:sz w:val="21"/>
                <w:szCs w:val="21"/>
                <w:highlight w:val="none"/>
              </w:rPr>
              <w:t>提供工作人员培训及管理方案，包括但不限于：</w:t>
            </w:r>
            <w:r>
              <w:rPr>
                <w:rFonts w:ascii="宋体" w:hAnsi="宋体" w:cs="宋体" w:hint="eastAsia"/>
                <w:sz w:val="21"/>
                <w:szCs w:val="21"/>
                <w:highlight w:val="none"/>
                <w:lang w:eastAsia="zh-CN"/>
              </w:rPr>
              <w:t>（</w:t>
            </w:r>
            <w:r>
              <w:rPr>
                <w:rFonts w:ascii="宋体" w:hAnsi="宋体" w:cs="宋体" w:hint="eastAsia"/>
                <w:sz w:val="21"/>
                <w:szCs w:val="21"/>
                <w:highlight w:val="none"/>
                <w:lang w:val="en-US" w:eastAsia="zh-CN"/>
              </w:rPr>
              <w:t>1）</w:t>
            </w:r>
            <w:r>
              <w:rPr>
                <w:rFonts w:ascii="宋体" w:eastAsia="宋体" w:hAnsi="宋体" w:cs="宋体" w:hint="eastAsia"/>
                <w:sz w:val="21"/>
                <w:szCs w:val="21"/>
                <w:highlight w:val="none"/>
              </w:rPr>
              <w:t>员工培训及考核方案、</w:t>
            </w:r>
            <w:r>
              <w:rPr>
                <w:rFonts w:ascii="宋体" w:hAnsi="宋体" w:cs="宋体" w:hint="eastAsia"/>
                <w:sz w:val="21"/>
                <w:szCs w:val="21"/>
                <w:highlight w:val="none"/>
                <w:lang w:eastAsia="zh-CN"/>
              </w:rPr>
              <w:t>（</w:t>
            </w:r>
            <w:r>
              <w:rPr>
                <w:rFonts w:ascii="宋体" w:hAnsi="宋体" w:cs="宋体" w:hint="eastAsia"/>
                <w:sz w:val="21"/>
                <w:szCs w:val="21"/>
                <w:highlight w:val="none"/>
                <w:lang w:val="en-US" w:eastAsia="zh-CN"/>
              </w:rPr>
              <w:t>2）</w:t>
            </w:r>
            <w:r>
              <w:rPr>
                <w:rFonts w:ascii="宋体" w:eastAsia="宋体" w:hAnsi="宋体" w:cs="宋体" w:hint="eastAsia"/>
                <w:sz w:val="21"/>
                <w:szCs w:val="21"/>
                <w:highlight w:val="none"/>
              </w:rPr>
              <w:t>安全责任培训方案、</w:t>
            </w:r>
            <w:r>
              <w:rPr>
                <w:rFonts w:ascii="宋体" w:hAnsi="宋体" w:cs="宋体" w:hint="eastAsia"/>
                <w:sz w:val="21"/>
                <w:szCs w:val="21"/>
                <w:highlight w:val="none"/>
                <w:lang w:eastAsia="zh-CN"/>
              </w:rPr>
              <w:t>（</w:t>
            </w:r>
            <w:r>
              <w:rPr>
                <w:rFonts w:ascii="宋体" w:hAnsi="宋体" w:cs="宋体" w:hint="eastAsia"/>
                <w:sz w:val="21"/>
                <w:szCs w:val="21"/>
                <w:highlight w:val="none"/>
                <w:lang w:val="en-US" w:eastAsia="zh-CN"/>
              </w:rPr>
              <w:t>3）</w:t>
            </w:r>
            <w:r>
              <w:rPr>
                <w:rFonts w:ascii="宋体" w:eastAsia="宋体" w:hAnsi="宋体" w:cs="宋体" w:hint="eastAsia"/>
                <w:sz w:val="21"/>
                <w:szCs w:val="21"/>
                <w:highlight w:val="none"/>
              </w:rPr>
              <w:t>档案管理方案、</w:t>
            </w:r>
            <w:r>
              <w:rPr>
                <w:rFonts w:ascii="宋体" w:hAnsi="宋体" w:cs="宋体" w:hint="eastAsia"/>
                <w:sz w:val="21"/>
                <w:szCs w:val="21"/>
                <w:highlight w:val="none"/>
                <w:lang w:eastAsia="zh-CN"/>
              </w:rPr>
              <w:t>（</w:t>
            </w:r>
            <w:r>
              <w:rPr>
                <w:rFonts w:ascii="宋体" w:hAnsi="宋体" w:cs="宋体" w:hint="eastAsia"/>
                <w:sz w:val="21"/>
                <w:szCs w:val="21"/>
                <w:highlight w:val="none"/>
                <w:lang w:val="en-US" w:eastAsia="zh-CN"/>
              </w:rPr>
              <w:t>4）</w:t>
            </w:r>
            <w:r>
              <w:rPr>
                <w:rFonts w:ascii="宋体" w:eastAsia="宋体" w:hAnsi="宋体" w:cs="宋体" w:hint="eastAsia"/>
                <w:sz w:val="21"/>
                <w:szCs w:val="21"/>
                <w:highlight w:val="none"/>
              </w:rPr>
              <w:t>规章制度及工作流程培训方案、</w:t>
            </w:r>
            <w:r>
              <w:rPr>
                <w:rFonts w:ascii="宋体" w:hAnsi="宋体" w:cs="宋体" w:hint="eastAsia"/>
                <w:sz w:val="21"/>
                <w:szCs w:val="21"/>
                <w:highlight w:val="none"/>
                <w:lang w:eastAsia="zh-CN"/>
              </w:rPr>
              <w:t>（</w:t>
            </w:r>
            <w:r>
              <w:rPr>
                <w:rFonts w:ascii="宋体" w:hAnsi="宋体" w:cs="宋体" w:hint="eastAsia"/>
                <w:sz w:val="21"/>
                <w:szCs w:val="21"/>
                <w:highlight w:val="none"/>
                <w:lang w:val="en-US" w:eastAsia="zh-CN"/>
              </w:rPr>
              <w:t>5）</w:t>
            </w:r>
            <w:r>
              <w:rPr>
                <w:rFonts w:ascii="宋体" w:eastAsia="宋体" w:hAnsi="宋体" w:cs="宋体" w:hint="eastAsia"/>
                <w:sz w:val="21"/>
                <w:szCs w:val="21"/>
                <w:highlight w:val="none"/>
              </w:rPr>
              <w:t>人员储备方案、</w:t>
            </w:r>
            <w:r>
              <w:rPr>
                <w:rFonts w:ascii="宋体" w:hAnsi="宋体" w:cs="宋体" w:hint="eastAsia"/>
                <w:sz w:val="21"/>
                <w:szCs w:val="21"/>
                <w:highlight w:val="none"/>
                <w:lang w:eastAsia="zh-CN"/>
              </w:rPr>
              <w:t>（</w:t>
            </w:r>
            <w:r>
              <w:rPr>
                <w:rFonts w:ascii="宋体" w:hAnsi="宋体" w:cs="宋体" w:hint="eastAsia"/>
                <w:sz w:val="21"/>
                <w:szCs w:val="21"/>
                <w:highlight w:val="none"/>
                <w:lang w:val="en-US" w:eastAsia="zh-CN"/>
              </w:rPr>
              <w:t>6）</w:t>
            </w:r>
            <w:r>
              <w:rPr>
                <w:rFonts w:ascii="宋体" w:eastAsia="宋体" w:hAnsi="宋体" w:cs="宋体" w:hint="eastAsia"/>
                <w:sz w:val="21"/>
                <w:szCs w:val="21"/>
                <w:highlight w:val="none"/>
              </w:rPr>
              <w:t>巡查制度、</w:t>
            </w:r>
            <w:r>
              <w:rPr>
                <w:rFonts w:ascii="宋体" w:hAnsi="宋体" w:cs="宋体" w:hint="eastAsia"/>
                <w:sz w:val="21"/>
                <w:szCs w:val="21"/>
                <w:highlight w:val="none"/>
                <w:lang w:eastAsia="zh-CN"/>
              </w:rPr>
              <w:t>（</w:t>
            </w:r>
            <w:r>
              <w:rPr>
                <w:rFonts w:ascii="宋体" w:hAnsi="宋体" w:cs="宋体" w:hint="eastAsia"/>
                <w:sz w:val="21"/>
                <w:szCs w:val="21"/>
                <w:highlight w:val="none"/>
                <w:lang w:val="en-US" w:eastAsia="zh-CN"/>
              </w:rPr>
              <w:t>7）</w:t>
            </w:r>
            <w:r>
              <w:rPr>
                <w:rFonts w:ascii="宋体" w:eastAsia="宋体" w:hAnsi="宋体" w:cs="宋体" w:hint="eastAsia"/>
                <w:sz w:val="21"/>
                <w:szCs w:val="21"/>
                <w:highlight w:val="none"/>
              </w:rPr>
              <w:t>工作奖惩机制、</w:t>
            </w:r>
            <w:r>
              <w:rPr>
                <w:rFonts w:ascii="宋体" w:hAnsi="宋体" w:cs="宋体" w:hint="eastAsia"/>
                <w:sz w:val="21"/>
                <w:szCs w:val="21"/>
                <w:highlight w:val="none"/>
                <w:lang w:eastAsia="zh-CN"/>
              </w:rPr>
              <w:t>（</w:t>
            </w:r>
            <w:r>
              <w:rPr>
                <w:rFonts w:ascii="宋体" w:hAnsi="宋体" w:cs="宋体" w:hint="eastAsia"/>
                <w:sz w:val="21"/>
                <w:szCs w:val="21"/>
                <w:highlight w:val="none"/>
                <w:lang w:val="en-US" w:eastAsia="zh-CN"/>
              </w:rPr>
              <w:t>8）</w:t>
            </w:r>
            <w:r>
              <w:rPr>
                <w:rFonts w:ascii="宋体" w:eastAsia="宋体" w:hAnsi="宋体" w:cs="宋体" w:hint="eastAsia"/>
                <w:sz w:val="21"/>
                <w:szCs w:val="21"/>
                <w:highlight w:val="none"/>
              </w:rPr>
              <w:t>绩效考核机制。</w:t>
            </w:r>
          </w:p>
          <w:p>
            <w:pPr>
              <w:outlineLvl w:val="0"/>
              <w:rPr>
                <w:rFonts w:ascii="宋体" w:eastAsia="宋体" w:hAnsi="宋体" w:cs="宋体" w:hint="eastAsia"/>
                <w:b/>
                <w:bCs/>
                <w:snapToGrid w:val="0"/>
                <w:kern w:val="0"/>
                <w:sz w:val="21"/>
                <w:szCs w:val="21"/>
                <w:highlight w:val="none"/>
                <w:lang w:val="en-US" w:eastAsia="zh-CN"/>
              </w:rPr>
            </w:pPr>
            <w:r>
              <w:rPr>
                <w:rFonts w:ascii="宋体" w:eastAsia="宋体" w:hAnsi="宋体" w:cs="宋体" w:hint="eastAsia"/>
                <w:b/>
                <w:sz w:val="21"/>
                <w:szCs w:val="21"/>
                <w:highlight w:val="none"/>
              </w:rPr>
              <w:t>（二）评分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snapToGrid w:val="0"/>
                <w:kern w:val="0"/>
                <w:sz w:val="21"/>
                <w:szCs w:val="21"/>
                <w:highlight w:val="none"/>
              </w:rPr>
              <w:t>：</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Cs w:val="21"/>
                <w:highlight w:val="none"/>
              </w:rPr>
              <w:t>实施方案</w:t>
            </w:r>
            <w:r>
              <w:rPr>
                <w:rFonts w:ascii="宋体" w:eastAsia="宋体" w:hAnsi="宋体" w:cs="宋体" w:hint="eastAsia"/>
                <w:sz w:val="21"/>
                <w:szCs w:val="21"/>
                <w:highlight w:val="none"/>
              </w:rPr>
              <w:t>内容包含以上每1点得</w:t>
            </w:r>
            <w:r>
              <w:rPr>
                <w:rFonts w:ascii="宋体" w:hAnsi="宋体" w:cs="宋体" w:hint="eastAsia"/>
                <w:sz w:val="21"/>
                <w:szCs w:val="21"/>
                <w:highlight w:val="none"/>
                <w:lang w:val="en-US" w:eastAsia="zh-CN"/>
              </w:rPr>
              <w:t>20</w:t>
            </w:r>
            <w:r>
              <w:rPr>
                <w:rFonts w:ascii="宋体" w:eastAsia="宋体" w:hAnsi="宋体" w:cs="宋体" w:hint="eastAsia"/>
                <w:sz w:val="21"/>
                <w:szCs w:val="21"/>
                <w:highlight w:val="none"/>
              </w:rPr>
              <w:t>分，本小项最高得</w:t>
            </w:r>
            <w:r>
              <w:rPr>
                <w:rFonts w:ascii="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2、在此基础上，专家根据投标人提供的方案内容进行下一步评审：</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（1）实施方案满足本项目采购需求且针对性强</w:t>
            </w:r>
            <w:r>
              <w:rPr>
                <w:rFonts w:ascii="宋体" w:eastAsia="宋体" w:hAnsi="宋体" w:cs="宋体" w:hint="eastAsia"/>
                <w:sz w:val="21"/>
                <w:szCs w:val="21"/>
                <w:highlight w:val="none"/>
                <w:lang w:eastAsia="zh-CN"/>
              </w:rPr>
              <w:t>，</w:t>
            </w:r>
            <w:r>
              <w:rPr>
                <w:rFonts w:ascii="宋体" w:eastAsia="宋体" w:hAnsi="宋体" w:cs="宋体" w:hint="eastAsia"/>
                <w:szCs w:val="21"/>
                <w:highlight w:val="none"/>
              </w:rPr>
              <w:t>条理清晰</w:t>
            </w:r>
            <w:r>
              <w:rPr>
                <w:rFonts w:ascii="宋体" w:eastAsia="宋体" w:hAnsi="宋体" w:cs="宋体" w:hint="eastAsia"/>
                <w:sz w:val="21"/>
                <w:szCs w:val="21"/>
                <w:highlight w:val="none"/>
              </w:rPr>
              <w:t xml:space="preserve">； </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（2）</w:t>
            </w:r>
            <w:r>
              <w:rPr>
                <w:rFonts w:ascii="宋体" w:eastAsia="宋体" w:hAnsi="宋体" w:cs="宋体" w:hint="eastAsia"/>
                <w:color w:val="000000"/>
                <w:szCs w:val="21"/>
                <w:highlight w:val="none"/>
              </w:rPr>
              <w:t>项目实施</w:t>
            </w:r>
            <w:r>
              <w:rPr>
                <w:rFonts w:ascii="宋体" w:eastAsia="宋体" w:hAnsi="宋体" w:cs="宋体" w:hint="eastAsia"/>
                <w:color w:val="000000"/>
                <w:szCs w:val="21"/>
                <w:highlight w:val="none"/>
                <w:lang w:val="en-US" w:eastAsia="zh-CN"/>
              </w:rPr>
              <w:t>计划、安排科学合理，</w:t>
            </w:r>
            <w:r>
              <w:rPr>
                <w:rFonts w:ascii="宋体" w:eastAsia="宋体" w:hAnsi="宋体" w:cs="宋体" w:hint="eastAsia"/>
                <w:szCs w:val="21"/>
                <w:highlight w:val="none"/>
              </w:rPr>
              <w:t>流程明确</w:t>
            </w:r>
            <w:r>
              <w:rPr>
                <w:rFonts w:ascii="宋体" w:eastAsia="宋体" w:hAnsi="宋体" w:cs="宋体" w:hint="eastAsia"/>
                <w:sz w:val="21"/>
                <w:szCs w:val="21"/>
                <w:highlight w:val="none"/>
              </w:rPr>
              <w:t>；</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（3）明确的质量保障团队，团队</w:t>
            </w:r>
            <w:bookmarkStart w:id="17" w:name="OLE_LINK3"/>
            <w:r>
              <w:rPr>
                <w:rFonts w:ascii="宋体" w:eastAsia="宋体" w:hAnsi="宋体" w:cs="宋体" w:hint="eastAsia"/>
                <w:sz w:val="21"/>
                <w:szCs w:val="21"/>
                <w:highlight w:val="none"/>
              </w:rPr>
              <w:t>成员配备</w:t>
            </w:r>
            <w:bookmarkEnd w:id="17"/>
            <w:r>
              <w:rPr>
                <w:rFonts w:ascii="宋体" w:eastAsia="宋体" w:hAnsi="宋体" w:cs="宋体" w:hint="eastAsia"/>
                <w:sz w:val="21"/>
                <w:szCs w:val="21"/>
                <w:highlight w:val="none"/>
              </w:rPr>
              <w:t xml:space="preserve">齐全，合理； </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（4）</w:t>
            </w:r>
            <w:r>
              <w:rPr>
                <w:rFonts w:ascii="宋体" w:eastAsia="宋体" w:hAnsi="宋体" w:cs="Times New Roman" w:hint="eastAsia"/>
                <w:b w:val="0"/>
                <w:bCs w:val="0"/>
                <w:szCs w:val="21"/>
                <w:highlight w:val="none"/>
                <w:u w:val="none"/>
              </w:rPr>
              <w:t>服务目标</w:t>
            </w:r>
            <w:r>
              <w:rPr>
                <w:rFonts w:ascii="宋体" w:hAnsi="宋体" w:hint="eastAsia"/>
                <w:szCs w:val="21"/>
                <w:highlight w:val="none"/>
              </w:rPr>
              <w:t>、提出的具体措施和最终能达到的效果</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 xml:space="preserve"> </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项要求的评价为优，加</w:t>
            </w:r>
            <w:r>
              <w:rPr>
                <w:rFonts w:ascii="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项要求的评价为良，加</w:t>
            </w:r>
            <w:r>
              <w:rPr>
                <w:rFonts w:ascii="宋体" w:hAnsi="宋体" w:cs="宋体" w:hint="eastAsia"/>
                <w:sz w:val="21"/>
                <w:szCs w:val="21"/>
                <w:highlight w:val="none"/>
                <w:lang w:val="en-US" w:eastAsia="zh-CN"/>
              </w:rPr>
              <w:t>30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二</w:t>
            </w:r>
            <w:r>
              <w:rPr>
                <w:rFonts w:ascii="宋体" w:eastAsia="宋体" w:hAnsi="宋体" w:cs="宋体" w:hint="eastAsia"/>
                <w:sz w:val="21"/>
                <w:szCs w:val="21"/>
                <w:highlight w:val="none"/>
              </w:rPr>
              <w:t>项要求的评价为中，加</w:t>
            </w:r>
            <w:r>
              <w:rPr>
                <w:rFonts w:ascii="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2</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项目重点难点分析、应对措施及相关的合理化建议</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default"/>
                <w:sz w:val="21"/>
                <w:szCs w:val="21"/>
                <w:highlight w:val="none"/>
                <w:lang w:val="en-US" w:eastAsia="zh-CN"/>
              </w:rPr>
            </w:pPr>
            <w:r>
              <w:rPr>
                <w:rFonts w:ascii="宋体" w:hAnsi="宋体" w:cs="宋体" w:hint="eastAsia"/>
                <w:sz w:val="21"/>
                <w:szCs w:val="21"/>
                <w:highlight w:val="none"/>
                <w:lang w:val="en-US" w:eastAsia="zh-CN"/>
              </w:rPr>
              <w:t>12</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widowControl/>
              <w:spacing w:line="240" w:lineRule="auto"/>
              <w:jc w:val="left"/>
              <w:rPr>
                <w:rFonts w:ascii="宋体" w:eastAsia="宋体" w:hAnsi="宋体" w:cs="宋体" w:hint="eastAsia"/>
                <w:b/>
                <w:bCs/>
                <w:color w:val="000000"/>
                <w:sz w:val="21"/>
                <w:szCs w:val="21"/>
                <w:highlight w:val="none"/>
              </w:rPr>
            </w:pPr>
            <w:r>
              <w:rPr>
                <w:rFonts w:ascii="宋体" w:eastAsia="宋体" w:hAnsi="宋体" w:cs="宋体" w:hint="eastAsia"/>
                <w:b/>
                <w:bCs/>
                <w:color w:val="000000"/>
                <w:sz w:val="21"/>
                <w:szCs w:val="21"/>
                <w:highlight w:val="none"/>
              </w:rPr>
              <w:t>（一）评分内容：</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 xml:space="preserve">对投标人提供的项目重难点分析、应对措施及相关的合理化方案内容进行评价： </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hAnsi="宋体" w:cs="宋体" w:hint="eastAsia"/>
                <w:sz w:val="21"/>
                <w:szCs w:val="21"/>
                <w:highlight w:val="none"/>
                <w:lang w:eastAsia="zh-CN"/>
              </w:rPr>
              <w:t>、</w:t>
            </w:r>
            <w:r>
              <w:rPr>
                <w:rFonts w:ascii="宋体" w:eastAsia="宋体" w:hAnsi="宋体" w:cs="宋体" w:hint="eastAsia"/>
                <w:sz w:val="21"/>
                <w:szCs w:val="21"/>
                <w:highlight w:val="none"/>
              </w:rPr>
              <w:t>投标人需针对项目中存在的重点难点</w:t>
            </w:r>
            <w:r>
              <w:rPr>
                <w:rFonts w:ascii="宋体" w:eastAsia="宋体" w:hAnsi="宋体" w:cs="宋体" w:hint="eastAsia"/>
                <w:sz w:val="21"/>
                <w:szCs w:val="21"/>
                <w:highlight w:val="none"/>
                <w:lang w:val="en-US" w:eastAsia="zh-CN"/>
              </w:rPr>
              <w:t>进行分析</w:t>
            </w:r>
            <w:r>
              <w:rPr>
                <w:rFonts w:ascii="宋体" w:hAnsi="宋体" w:cs="宋体" w:hint="eastAsia"/>
                <w:sz w:val="21"/>
                <w:szCs w:val="21"/>
                <w:highlight w:val="none"/>
                <w:lang w:val="en-US" w:eastAsia="zh-CN"/>
              </w:rPr>
              <w:t>，</w:t>
            </w:r>
            <w:r>
              <w:rPr>
                <w:rFonts w:ascii="宋体" w:hAnsi="宋体" w:cs="宋体" w:hint="eastAsia"/>
                <w:szCs w:val="21"/>
                <w:highlight w:val="none"/>
                <w:lang w:val="en-US" w:eastAsia="zh-CN"/>
              </w:rPr>
              <w:t>包括但不限于</w:t>
            </w:r>
            <w:r>
              <w:rPr>
                <w:rFonts w:ascii="宋体" w:eastAsia="宋体" w:hAnsi="宋体" w:cs="宋体" w:hint="eastAsia"/>
                <w:highlight w:val="none"/>
              </w:rPr>
              <w:t>组织</w:t>
            </w:r>
            <w:r>
              <w:rPr>
                <w:rFonts w:ascii="宋体" w:eastAsia="宋体" w:hAnsi="宋体" w:cs="宋体" w:hint="eastAsia"/>
                <w:highlight w:val="none"/>
                <w:lang w:val="en-US" w:eastAsia="zh-CN"/>
              </w:rPr>
              <w:t>活动</w:t>
            </w:r>
            <w:r>
              <w:rPr>
                <w:rFonts w:ascii="宋体" w:eastAsia="宋体" w:hAnsi="宋体" w:cs="宋体" w:hint="eastAsia"/>
                <w:highlight w:val="none"/>
              </w:rPr>
              <w:t>管理</w:t>
            </w:r>
            <w:r>
              <w:rPr>
                <w:rFonts w:ascii="宋体" w:eastAsia="宋体" w:hAnsi="宋体" w:cs="宋体" w:hint="eastAsia"/>
                <w:highlight w:val="none"/>
                <w:lang w:eastAsia="zh-CN"/>
              </w:rPr>
              <w:t>、</w:t>
            </w:r>
            <w:r>
              <w:rPr>
                <w:rFonts w:ascii="宋体" w:eastAsia="宋体" w:hAnsi="宋体" w:cs="宋体" w:hint="eastAsia"/>
                <w:color w:val="auto"/>
                <w:szCs w:val="21"/>
                <w:highlight w:val="none"/>
              </w:rPr>
              <w:t>重点难点分析</w:t>
            </w:r>
            <w:r>
              <w:rPr>
                <w:rFonts w:ascii="宋体" w:eastAsia="宋体" w:hAnsi="宋体" w:cs="宋体" w:hint="eastAsia"/>
                <w:highlight w:val="none"/>
              </w:rPr>
              <w:t>（需要分别对人员、时间、内容</w:t>
            </w:r>
            <w:r>
              <w:rPr>
                <w:rFonts w:ascii="宋体" w:eastAsia="宋体" w:hAnsi="宋体" w:cs="宋体" w:hint="eastAsia"/>
                <w:highlight w:val="none"/>
                <w:lang w:val="en-US" w:eastAsia="zh-CN"/>
              </w:rPr>
              <w:t>等</w:t>
            </w:r>
            <w:r>
              <w:rPr>
                <w:rFonts w:ascii="宋体" w:eastAsia="宋体" w:hAnsi="宋体" w:cs="宋体" w:hint="eastAsia"/>
                <w:highlight w:val="none"/>
              </w:rPr>
              <w:t>进行描述）</w:t>
            </w:r>
            <w:r>
              <w:rPr>
                <w:rFonts w:ascii="宋体" w:hAnsi="宋体" w:cs="宋体" w:hint="eastAsia"/>
                <w:highlight w:val="none"/>
                <w:lang w:val="en-US" w:eastAsia="zh-CN"/>
              </w:rPr>
              <w:t>、</w:t>
            </w:r>
            <w:r>
              <w:rPr>
                <w:rFonts w:ascii="宋体" w:eastAsia="宋体" w:hAnsi="宋体" w:cs="宋体" w:hint="eastAsia"/>
                <w:highlight w:val="none"/>
              </w:rPr>
              <w:t>风险防控、</w:t>
            </w:r>
            <w:r>
              <w:rPr>
                <w:rFonts w:ascii="宋体" w:eastAsia="宋体" w:hAnsi="宋体" w:cs="宋体" w:hint="eastAsia"/>
                <w:highlight w:val="none"/>
                <w:lang w:val="en-US" w:eastAsia="zh-CN"/>
              </w:rPr>
              <w:t>商业</w:t>
            </w:r>
            <w:r>
              <w:rPr>
                <w:rFonts w:ascii="宋体" w:eastAsia="宋体" w:hAnsi="宋体" w:cs="宋体" w:hint="eastAsia"/>
                <w:highlight w:val="none"/>
              </w:rPr>
              <w:t>保密措施</w:t>
            </w:r>
            <w:r>
              <w:rPr>
                <w:rFonts w:ascii="宋体" w:eastAsia="宋体" w:hAnsi="宋体" w:cs="宋体" w:hint="eastAsia"/>
                <w:szCs w:val="21"/>
                <w:highlight w:val="none"/>
              </w:rPr>
              <w:t>及方案</w:t>
            </w:r>
            <w:r>
              <w:rPr>
                <w:rFonts w:ascii="宋体" w:eastAsia="宋体" w:hAnsi="宋体" w:cs="宋体" w:hint="eastAsia"/>
                <w:sz w:val="21"/>
                <w:szCs w:val="21"/>
                <w:highlight w:val="none"/>
              </w:rPr>
              <w:t>；</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2</w:t>
            </w:r>
            <w:r>
              <w:rPr>
                <w:rFonts w:ascii="宋体" w:hAnsi="宋体" w:cs="宋体" w:hint="eastAsia"/>
                <w:sz w:val="21"/>
                <w:szCs w:val="21"/>
                <w:highlight w:val="none"/>
                <w:lang w:eastAsia="zh-CN"/>
              </w:rPr>
              <w:t>、</w:t>
            </w:r>
            <w:r>
              <w:rPr>
                <w:rStyle w:val="NormalCharacter"/>
                <w:rFonts w:ascii="宋体" w:hAnsi="宋体" w:cs="宋体" w:hint="eastAsia"/>
                <w:szCs w:val="21"/>
                <w:highlight w:val="none"/>
              </w:rPr>
              <w:t>提供符合本项目特点的</w:t>
            </w:r>
            <w:r>
              <w:rPr>
                <w:rFonts w:ascii="宋体" w:eastAsia="宋体" w:hAnsi="宋体" w:cs="宋体" w:hint="eastAsia"/>
                <w:sz w:val="21"/>
                <w:szCs w:val="21"/>
                <w:highlight w:val="none"/>
              </w:rPr>
              <w:t>解决方案及合理化建议</w:t>
            </w:r>
            <w:r>
              <w:rPr>
                <w:rFonts w:ascii="宋体" w:eastAsia="宋体" w:hAnsi="宋体" w:cs="宋体" w:hint="eastAsia"/>
                <w:sz w:val="21"/>
                <w:szCs w:val="21"/>
                <w:highlight w:val="none"/>
                <w:lang w:val="en-US" w:eastAsia="zh-CN"/>
              </w:rPr>
              <w:t>以及</w:t>
            </w:r>
            <w:r>
              <w:rPr>
                <w:rFonts w:ascii="宋体" w:hAnsi="宋体" w:cs="宋体" w:hint="eastAsia"/>
                <w:szCs w:val="21"/>
                <w:highlight w:val="none"/>
              </w:rPr>
              <w:t>突发事件处理保障措施及相关应急处置方案</w:t>
            </w:r>
            <w:r>
              <w:rPr>
                <w:rFonts w:ascii="宋体" w:hAnsi="宋体" w:cs="宋体" w:hint="eastAsia"/>
                <w:szCs w:val="21"/>
                <w:highlight w:val="none"/>
                <w:lang w:eastAsia="zh-CN"/>
              </w:rPr>
              <w:t>。</w:t>
            </w:r>
          </w:p>
          <w:p>
            <w:pPr>
              <w:spacing w:line="240" w:lineRule="auto"/>
              <w:rPr>
                <w:rFonts w:ascii="宋体" w:eastAsia="宋体" w:hAnsi="宋体" w:cs="宋体" w:hint="eastAsia"/>
                <w:b/>
                <w:bCs/>
                <w:sz w:val="21"/>
                <w:szCs w:val="21"/>
                <w:highlight w:val="none"/>
              </w:rPr>
            </w:pPr>
            <w:r>
              <w:rPr>
                <w:rFonts w:ascii="宋体" w:eastAsia="宋体" w:hAnsi="宋体" w:cs="宋体" w:hint="eastAsia"/>
                <w:b/>
                <w:bCs/>
                <w:sz w:val="21"/>
                <w:szCs w:val="21"/>
                <w:highlight w:val="none"/>
              </w:rPr>
              <w:t>（二）评分标准</w:t>
            </w:r>
            <w:r>
              <w:rPr>
                <w:rFonts w:ascii="宋体" w:eastAsia="宋体" w:hAnsi="宋体" w:cs="宋体" w:hint="eastAsia"/>
                <w:b/>
                <w:bCs/>
                <w:color w:val="000000"/>
                <w:sz w:val="21"/>
                <w:szCs w:val="21"/>
                <w:highlight w:val="none"/>
              </w:rPr>
              <w:t>：</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1、项目重点难点分析、应对措施及相关的合理化建议包含以上每1点得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0分，本小项最高得40分。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 xml:space="preserve">在此基础上，专家根据各供应商的具体响应内容按照量化的评审因素指标进一步评审： </w:t>
            </w:r>
          </w:p>
          <w:p>
            <w:pPr>
              <w:pStyle w:val="a"/>
              <w:spacing w:line="240" w:lineRule="auto"/>
              <w:ind w:firstLine="0" w:firstLineChars="0"/>
              <w:rPr>
                <w:rStyle w:val="NormalCharacte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1）</w:t>
            </w:r>
            <w:r>
              <w:rPr>
                <w:rStyle w:val="NormalCharacter"/>
                <w:rFonts w:ascii="宋体" w:eastAsia="宋体" w:hAnsi="宋体" w:cs="宋体" w:hint="eastAsia"/>
                <w:szCs w:val="21"/>
                <w:highlight w:val="none"/>
              </w:rPr>
              <w:t>提供符合本项目服务特点的相关重点难点分析</w:t>
            </w:r>
            <w:r>
              <w:rPr>
                <w:rFonts w:ascii="宋体" w:eastAsia="宋体" w:hAnsi="宋体" w:cs="宋体" w:hint="eastAsia"/>
                <w:sz w:val="21"/>
                <w:szCs w:val="21"/>
                <w:highlight w:val="none"/>
              </w:rPr>
              <w:t>且针对性强</w:t>
            </w:r>
            <w:r>
              <w:rPr>
                <w:rFonts w:ascii="宋体" w:eastAsia="宋体" w:hAnsi="宋体" w:cs="宋体" w:hint="eastAsia"/>
                <w:sz w:val="21"/>
                <w:szCs w:val="21"/>
                <w:highlight w:val="none"/>
                <w:lang w:eastAsia="zh-CN"/>
              </w:rPr>
              <w:t>，全面具体</w:t>
            </w:r>
            <w:r>
              <w:rPr>
                <w:rStyle w:val="NormalCharacter"/>
                <w:rFonts w:ascii="宋体" w:eastAsia="宋体" w:hAnsi="宋体" w:cs="宋体" w:hint="eastAsia"/>
                <w:szCs w:val="21"/>
                <w:highlight w:val="none"/>
              </w:rPr>
              <w:t>；</w:t>
            </w:r>
          </w:p>
          <w:p>
            <w:pPr>
              <w:pStyle w:val="a"/>
              <w:spacing w:line="240" w:lineRule="auto"/>
              <w:ind w:firstLine="0" w:firstLineChars="0"/>
              <w:rPr>
                <w:rStyle w:val="NormalCharacte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2）</w:t>
            </w:r>
            <w:r>
              <w:rPr>
                <w:rFonts w:ascii="宋体" w:eastAsia="宋体" w:hAnsi="宋体" w:cs="宋体" w:hint="eastAsia"/>
                <w:szCs w:val="21"/>
                <w:highlight w:val="none"/>
              </w:rPr>
              <w:t>针对重点、难点问题提出</w:t>
            </w:r>
            <w:r>
              <w:rPr>
                <w:rFonts w:ascii="宋体" w:eastAsia="宋体" w:hAnsi="宋体" w:cs="宋体" w:hint="eastAsia"/>
                <w:szCs w:val="21"/>
                <w:highlight w:val="none"/>
                <w:lang w:val="en-US" w:eastAsia="zh-CN"/>
              </w:rPr>
              <w:t>的</w:t>
            </w:r>
            <w:r>
              <w:rPr>
                <w:rFonts w:ascii="宋体" w:eastAsia="宋体" w:hAnsi="宋体" w:cs="宋体" w:hint="eastAsia"/>
                <w:szCs w:val="21"/>
                <w:highlight w:val="none"/>
              </w:rPr>
              <w:t>解决思路和应对措施及相关</w:t>
            </w:r>
            <w:r>
              <w:rPr>
                <w:rStyle w:val="NormalCharacter"/>
                <w:rFonts w:ascii="宋体" w:eastAsia="宋体" w:hAnsi="宋体" w:cs="宋体" w:hint="eastAsia"/>
                <w:szCs w:val="21"/>
                <w:highlight w:val="none"/>
              </w:rPr>
              <w:t>合理化建议</w:t>
            </w:r>
            <w:r>
              <w:rPr>
                <w:rFonts w:ascii="宋体" w:eastAsia="宋体" w:hAnsi="宋体" w:cs="宋体" w:hint="eastAsia"/>
                <w:sz w:val="21"/>
                <w:szCs w:val="21"/>
                <w:highlight w:val="none"/>
              </w:rPr>
              <w:t>科学合理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可操作性强</w:t>
            </w:r>
            <w:r>
              <w:rPr>
                <w:rStyle w:val="NormalCharacter"/>
                <w:rFonts w:ascii="宋体" w:eastAsia="宋体" w:hAnsi="宋体" w:cs="宋体" w:hint="eastAsia"/>
                <w:szCs w:val="21"/>
                <w:highlight w:val="none"/>
              </w:rPr>
              <w:t>；</w:t>
            </w:r>
          </w:p>
          <w:p>
            <w:pPr>
              <w:pStyle w:val="a"/>
              <w:spacing w:line="240" w:lineRule="auto"/>
              <w:ind w:firstLine="0" w:firstLineChars="0"/>
              <w:rP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3）</w:t>
            </w:r>
            <w:r>
              <w:rPr>
                <w:rStyle w:val="NormalCharacter"/>
                <w:rFonts w:ascii="宋体" w:eastAsia="宋体" w:hAnsi="宋体" w:cs="宋体" w:hint="eastAsia"/>
                <w:szCs w:val="21"/>
                <w:highlight w:val="none"/>
              </w:rPr>
              <w:t>提供相关的</w:t>
            </w:r>
            <w:r>
              <w:rPr>
                <w:rFonts w:ascii="宋体" w:eastAsia="宋体" w:hAnsi="宋体" w:cs="宋体" w:hint="eastAsia"/>
                <w:szCs w:val="21"/>
                <w:highlight w:val="none"/>
              </w:rPr>
              <w:t>风险防控、保密措施</w:t>
            </w:r>
            <w:r>
              <w:rPr>
                <w:rFonts w:ascii="宋体" w:eastAsia="宋体" w:hAnsi="宋体" w:cs="宋体" w:hint="eastAsia"/>
                <w:szCs w:val="21"/>
                <w:highlight w:val="none"/>
                <w:lang w:val="en-US" w:eastAsia="zh-CN"/>
              </w:rPr>
              <w:t>等</w:t>
            </w:r>
            <w:r>
              <w:rPr>
                <w:rFonts w:ascii="宋体" w:eastAsia="宋体" w:hAnsi="宋体" w:cs="宋体" w:hint="eastAsia"/>
                <w:sz w:val="21"/>
                <w:szCs w:val="21"/>
                <w:highlight w:val="none"/>
              </w:rPr>
              <w:t>应急方案流程</w:t>
            </w:r>
            <w:r>
              <w:rPr>
                <w:rFonts w:ascii="宋体" w:eastAsia="宋体" w:hAnsi="宋体" w:cs="宋体" w:hint="eastAsia"/>
                <w:szCs w:val="21"/>
                <w:highlight w:val="none"/>
              </w:rPr>
              <w:t>合理、有针对性</w:t>
            </w:r>
            <w:r>
              <w:rPr>
                <w:rFonts w:ascii="宋体" w:eastAsia="宋体" w:hAnsi="宋体" w:cs="宋体" w:hint="eastAsia"/>
                <w:szCs w:val="21"/>
                <w:highlight w:val="none"/>
                <w:lang w:val="en-US" w:eastAsia="zh-CN"/>
              </w:rPr>
              <w:t>并</w:t>
            </w:r>
            <w:r>
              <w:rPr>
                <w:rFonts w:ascii="宋体" w:eastAsia="宋体" w:hAnsi="宋体" w:cs="宋体" w:hint="eastAsia"/>
                <w:szCs w:val="21"/>
                <w:highlight w:val="none"/>
              </w:rPr>
              <w:t>具备调优能力</w:t>
            </w:r>
            <w:r>
              <w:rPr>
                <w:rStyle w:val="NormalCharacter"/>
                <w:rFonts w:ascii="宋体" w:eastAsia="宋体" w:hAnsi="宋体" w:cs="宋体" w:hint="eastAsia"/>
                <w:szCs w:val="21"/>
                <w:highlight w:val="none"/>
              </w:rPr>
              <w:t>。</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二</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一</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numPr>
                <w:ilvl w:val="0"/>
                <w:numId w:val="0"/>
              </w:numPr>
              <w:ind w:leftChars="0"/>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2945"/>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3</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Cs w:val="21"/>
                <w:highlight w:val="none"/>
              </w:rPr>
              <w:t>质量（完成时间、安全、环保）保障措施及方案</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default"/>
                <w:sz w:val="21"/>
                <w:szCs w:val="21"/>
                <w:highlight w:val="none"/>
                <w:lang w:val="en-US"/>
              </w:rPr>
            </w:pPr>
            <w:r>
              <w:rPr>
                <w:rFonts w:ascii="宋体" w:hAnsi="宋体" w:cs="宋体" w:hint="eastAsia"/>
                <w:sz w:val="21"/>
                <w:szCs w:val="21"/>
                <w:highlight w:val="none"/>
                <w:lang w:val="en-US" w:eastAsia="zh-CN"/>
              </w:rPr>
              <w:t>12</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tabs>
                <w:tab w:val="left" w:pos="2869"/>
                <w:tab w:val="left" w:pos="3010"/>
              </w:tabs>
              <w:jc w:val="left"/>
              <w:rPr>
                <w:rFonts w:ascii="宋体" w:eastAsia="宋体" w:hAnsi="宋体" w:cs="宋体" w:hint="eastAsia"/>
                <w:b/>
                <w:bCs/>
                <w:szCs w:val="21"/>
                <w:highlight w:val="none"/>
              </w:rPr>
            </w:pPr>
            <w:r>
              <w:rPr>
                <w:rFonts w:ascii="宋体" w:eastAsia="宋体" w:hAnsi="宋体" w:cs="宋体" w:hint="eastAsia"/>
                <w:b/>
                <w:bCs/>
                <w:szCs w:val="21"/>
                <w:highlight w:val="none"/>
              </w:rPr>
              <w:t>（一）评分内容：</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both"/>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为保证服务质量和项目的顺利实施，重点考察投标人对项目服务质量控制体系、服务质量控制指标、</w:t>
            </w:r>
            <w:r>
              <w:rPr>
                <w:rFonts w:ascii="宋体" w:eastAsia="宋体" w:hAnsi="宋体" w:cs="宋体" w:hint="eastAsia"/>
                <w:szCs w:val="21"/>
                <w:highlight w:val="none"/>
              </w:rPr>
              <w:t>保障</w:t>
            </w:r>
            <w:r>
              <w:rPr>
                <w:rFonts w:ascii="宋体" w:eastAsia="宋体" w:hAnsi="宋体" w:cs="宋体" w:hint="eastAsia"/>
                <w:kern w:val="0"/>
                <w:sz w:val="21"/>
                <w:szCs w:val="21"/>
                <w:highlight w:val="none"/>
                <w:lang w:val="en-US" w:eastAsia="zh-CN" w:bidi="ar-SA"/>
              </w:rPr>
              <w:t>响应进度等方面的具体措施与安排。内容包括但不限于：</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1、质量控制方案（制定质量控制计划等）；</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2、</w:t>
            </w:r>
            <w:r>
              <w:rPr>
                <w:rFonts w:ascii="宋体" w:hAnsi="宋体" w:cs="宋体" w:hint="eastAsia"/>
                <w:kern w:val="0"/>
                <w:sz w:val="21"/>
                <w:szCs w:val="21"/>
                <w:highlight w:val="none"/>
                <w:lang w:val="en-US" w:eastAsia="zh-CN" w:bidi="ar-SA"/>
              </w:rPr>
              <w:t>人员</w:t>
            </w:r>
            <w:r>
              <w:rPr>
                <w:rFonts w:ascii="宋体" w:eastAsia="宋体" w:hAnsi="宋体" w:cs="宋体" w:hint="eastAsia"/>
                <w:kern w:val="0"/>
                <w:sz w:val="21"/>
                <w:szCs w:val="21"/>
                <w:highlight w:val="none"/>
                <w:lang w:val="en-US" w:eastAsia="zh-CN" w:bidi="ar-SA"/>
              </w:rPr>
              <w:t>响应、</w:t>
            </w:r>
            <w:r>
              <w:rPr>
                <w:rFonts w:ascii="宋体" w:eastAsia="宋体" w:hAnsi="宋体" w:cs="宋体" w:hint="eastAsia"/>
                <w:szCs w:val="21"/>
                <w:highlight w:val="none"/>
              </w:rPr>
              <w:t>保障</w:t>
            </w:r>
            <w:r>
              <w:rPr>
                <w:rFonts w:ascii="宋体" w:eastAsia="宋体" w:hAnsi="宋体" w:cs="宋体" w:hint="eastAsia"/>
                <w:kern w:val="0"/>
                <w:sz w:val="21"/>
                <w:szCs w:val="21"/>
                <w:highlight w:val="none"/>
                <w:lang w:val="en-US" w:eastAsia="zh-CN" w:bidi="ar-SA"/>
              </w:rPr>
              <w:t>措施；</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3、团队</w:t>
            </w:r>
            <w:r>
              <w:rPr>
                <w:rFonts w:ascii="宋体" w:hAnsi="宋体" w:cs="宋体" w:hint="eastAsia"/>
                <w:kern w:val="0"/>
                <w:sz w:val="21"/>
                <w:szCs w:val="21"/>
                <w:highlight w:val="none"/>
                <w:lang w:val="en-US" w:eastAsia="zh-CN" w:bidi="ar-SA"/>
              </w:rPr>
              <w:t>服务</w:t>
            </w:r>
            <w:r>
              <w:rPr>
                <w:rFonts w:ascii="宋体" w:eastAsia="宋体" w:hAnsi="宋体" w:cs="宋体" w:hint="eastAsia"/>
                <w:kern w:val="0"/>
                <w:sz w:val="21"/>
                <w:szCs w:val="21"/>
                <w:highlight w:val="none"/>
                <w:lang w:val="en-US" w:eastAsia="zh-CN" w:bidi="ar-SA"/>
              </w:rPr>
              <w:t>能力</w:t>
            </w:r>
            <w:r>
              <w:rPr>
                <w:rFonts w:ascii="宋体" w:hAnsi="宋体" w:cs="宋体" w:hint="eastAsia"/>
                <w:kern w:val="0"/>
                <w:sz w:val="21"/>
                <w:szCs w:val="21"/>
                <w:highlight w:val="none"/>
                <w:lang w:val="en-US" w:eastAsia="zh-CN" w:bidi="ar-SA"/>
              </w:rPr>
              <w:t>（项目经验情况）、素质</w:t>
            </w:r>
            <w:r>
              <w:rPr>
                <w:rFonts w:ascii="宋体" w:eastAsia="宋体" w:hAnsi="宋体" w:cs="宋体" w:hint="eastAsia"/>
                <w:kern w:val="0"/>
                <w:sz w:val="21"/>
                <w:szCs w:val="21"/>
                <w:highlight w:val="none"/>
                <w:lang w:val="en-US" w:eastAsia="zh-CN" w:bidi="ar-SA"/>
              </w:rPr>
              <w:t>保障方案；</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4、</w:t>
            </w:r>
            <w:r>
              <w:rPr>
                <w:rFonts w:ascii="宋体" w:hAnsi="宋体" w:cs="宋体" w:hint="eastAsia"/>
                <w:kern w:val="0"/>
                <w:sz w:val="21"/>
                <w:szCs w:val="21"/>
                <w:highlight w:val="none"/>
                <w:lang w:val="en-US" w:eastAsia="zh-CN" w:bidi="ar-SA"/>
              </w:rPr>
              <w:t>项目</w:t>
            </w:r>
            <w:r>
              <w:rPr>
                <w:rFonts w:ascii="宋体" w:eastAsia="宋体" w:hAnsi="宋体" w:cs="宋体" w:hint="eastAsia"/>
                <w:kern w:val="0"/>
                <w:sz w:val="21"/>
                <w:szCs w:val="21"/>
                <w:highlight w:val="none"/>
                <w:lang w:val="en-US" w:eastAsia="zh-CN" w:bidi="ar-SA"/>
              </w:rPr>
              <w:t>管理制度监管方案。</w:t>
            </w:r>
          </w:p>
          <w:p>
            <w:pPr>
              <w:pageBreakBefore w:val="0"/>
              <w:kinsoku/>
              <w:overflowPunct/>
              <w:bidi w:val="0"/>
              <w:spacing w:beforeAutospacing="0" w:after="0" w:afterAutospacing="0" w:line="240" w:lineRule="auto"/>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1、质量（完成时间、安全、环保）保障措施及方案</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1</w:t>
            </w:r>
            <w:r>
              <w:rPr>
                <w:rFonts w:ascii="宋体" w:eastAsia="宋体" w:hAnsi="宋体" w:cs="宋体" w:hint="eastAsia"/>
                <w:sz w:val="21"/>
                <w:szCs w:val="21"/>
                <w:highlight w:val="none"/>
              </w:rPr>
              <w:t>0分，本小项最高得</w:t>
            </w:r>
            <w:r>
              <w:rPr>
                <w:rFonts w:ascii="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质量保障措施及方案内容全面；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质量保障措施及方案内容具体；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质量保障措施及方案内容针对性强；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质量保障措施及方案内容科学合理；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质量保障措施及方案内容可操作性强。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hAnsi="宋体" w:cs="宋体" w:hint="eastAsia"/>
                <w:sz w:val="21"/>
                <w:szCs w:val="21"/>
                <w:highlight w:val="none"/>
                <w:lang w:val="en-US" w:eastAsia="zh-CN"/>
              </w:rPr>
              <w:t>4</w:t>
            </w:r>
            <w:r>
              <w:rPr>
                <w:rFonts w:ascii="宋体" w:eastAsia="宋体" w:hAnsi="宋体" w:cs="宋体" w:hint="eastAsia"/>
                <w:sz w:val="21"/>
                <w:szCs w:val="21"/>
                <w:highlight w:val="none"/>
                <w:lang w:val="en-US" w:eastAsia="zh-CN"/>
              </w:rPr>
              <w:t>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outlineLvl w:val="0"/>
              <w:rPr>
                <w:rFonts w:ascii="宋体" w:eastAsia="宋体" w:hAnsi="宋体" w:cs="宋体" w:hint="eastAsia"/>
                <w:snapToGrid w:val="0"/>
                <w:kern w:val="0"/>
                <w:sz w:val="21"/>
                <w:szCs w:val="21"/>
                <w:highlight w:val="none"/>
                <w:lang w:val="en-US" w:eastAsia="zh-CN"/>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136"/>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color w:val="000000"/>
                <w:sz w:val="21"/>
                <w:szCs w:val="21"/>
                <w:highlight w:val="none"/>
                <w:lang w:val="en-US" w:eastAsia="zh-CN"/>
              </w:rPr>
            </w:pPr>
            <w:r>
              <w:rPr>
                <w:rFonts w:ascii="宋体" w:hAnsi="宋体" w:cs="宋体" w:hint="eastAsia"/>
                <w:color w:val="000000"/>
                <w:sz w:val="21"/>
                <w:szCs w:val="21"/>
                <w:highlight w:val="none"/>
                <w:lang w:val="en-US" w:eastAsia="zh-CN"/>
              </w:rPr>
              <w:t>4</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pStyle w:val="21"/>
              <w:wordWrap/>
              <w:adjustRightInd/>
              <w:snapToGrid/>
              <w:spacing w:line="240" w:lineRule="auto"/>
              <w:ind w:firstLine="0" w:firstLineChars="0"/>
              <w:jc w:val="center"/>
              <w:rPr>
                <w:rFonts w:ascii="宋体" w:eastAsia="宋体" w:hAnsi="宋体" w:cs="宋体" w:hint="eastAsia"/>
                <w:sz w:val="21"/>
                <w:szCs w:val="21"/>
                <w:highlight w:val="none"/>
                <w:lang w:eastAsia="zh-CN"/>
              </w:rPr>
            </w:pPr>
            <w:r>
              <w:rPr>
                <w:rFonts w:ascii="宋体" w:eastAsia="宋体" w:hAnsi="宋体" w:cs="宋体" w:hint="eastAsia"/>
                <w:color w:val="auto"/>
                <w:spacing w:val="0"/>
                <w:sz w:val="21"/>
                <w:szCs w:val="21"/>
                <w:highlight w:val="none"/>
                <w:u w:val="none"/>
                <w:lang w:eastAsia="zh-CN"/>
              </w:rPr>
              <w:t>法务保障应对护理事故纠纷处理能力</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color w:val="000000"/>
                <w:sz w:val="21"/>
                <w:szCs w:val="21"/>
                <w:highlight w:val="none"/>
                <w:lang w:val="en-US" w:eastAsia="zh-CN"/>
              </w:rPr>
            </w:pPr>
            <w:r>
              <w:rPr>
                <w:rFonts w:ascii="宋体" w:eastAsia="宋体" w:hAnsi="宋体" w:cs="宋体" w:hint="eastAsia"/>
                <w:color w:val="000000"/>
                <w:sz w:val="21"/>
                <w:szCs w:val="21"/>
                <w:highlight w:val="none"/>
                <w:lang w:val="en-US" w:eastAsia="zh-CN"/>
              </w:rPr>
              <w:t>5</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outlineLvl w:val="0"/>
              <w:rPr>
                <w:rFonts w:ascii="宋体" w:eastAsia="宋体" w:hAnsi="宋体" w:cs="宋体" w:hint="eastAsia"/>
                <w:sz w:val="21"/>
                <w:szCs w:val="21"/>
                <w:highlight w:val="none"/>
              </w:rPr>
            </w:pPr>
            <w:r>
              <w:rPr>
                <w:rFonts w:ascii="宋体" w:eastAsia="宋体" w:hAnsi="宋体" w:cs="宋体" w:hint="eastAsia"/>
                <w:b/>
                <w:bCs/>
                <w:szCs w:val="21"/>
                <w:highlight w:val="none"/>
              </w:rPr>
              <w:t>（一）评分内容：</w:t>
            </w:r>
          </w:p>
          <w:p>
            <w:pPr>
              <w:outlineLvl w:val="0"/>
              <w:rPr>
                <w:rFonts w:ascii="宋体" w:eastAsia="宋体" w:hAnsi="宋体" w:cs="宋体" w:hint="eastAsia"/>
                <w:b/>
                <w:bCs/>
                <w:sz w:val="21"/>
                <w:szCs w:val="21"/>
                <w:highlight w:val="none"/>
              </w:rPr>
            </w:pPr>
            <w:r>
              <w:rPr>
                <w:rFonts w:ascii="宋体" w:eastAsia="宋体" w:hAnsi="宋体" w:cs="宋体" w:hint="eastAsia"/>
                <w:b/>
                <w:bCs/>
                <w:sz w:val="21"/>
                <w:szCs w:val="21"/>
                <w:highlight w:val="none"/>
              </w:rPr>
              <w:t>投标人承诺以下内容，</w:t>
            </w:r>
            <w:r>
              <w:rPr>
                <w:rFonts w:ascii="宋体" w:hAnsi="宋体" w:cs="宋体" w:hint="eastAsia"/>
                <w:b/>
                <w:bCs/>
                <w:sz w:val="21"/>
                <w:szCs w:val="21"/>
                <w:highlight w:val="none"/>
                <w:lang w:val="en-US" w:eastAsia="zh-CN"/>
              </w:rPr>
              <w:t>全部满足</w:t>
            </w:r>
            <w:r>
              <w:rPr>
                <w:rFonts w:ascii="宋体" w:eastAsia="宋体" w:hAnsi="宋体" w:cs="宋体" w:hint="eastAsia"/>
                <w:b/>
                <w:bCs/>
                <w:sz w:val="21"/>
                <w:szCs w:val="21"/>
                <w:highlight w:val="none"/>
              </w:rPr>
              <w:t>的</w:t>
            </w:r>
            <w:r>
              <w:rPr>
                <w:rFonts w:ascii="宋体" w:hAnsi="宋体" w:cs="宋体" w:hint="eastAsia"/>
                <w:b/>
                <w:bCs/>
                <w:sz w:val="21"/>
                <w:szCs w:val="21"/>
                <w:highlight w:val="none"/>
                <w:lang w:val="en-US" w:eastAsia="zh-CN"/>
              </w:rPr>
              <w:t>可</w:t>
            </w:r>
            <w:r>
              <w:rPr>
                <w:rFonts w:ascii="宋体" w:eastAsia="宋体" w:hAnsi="宋体" w:cs="宋体" w:hint="eastAsia"/>
                <w:b/>
                <w:bCs/>
                <w:sz w:val="21"/>
                <w:szCs w:val="21"/>
                <w:highlight w:val="none"/>
              </w:rPr>
              <w:t>得100分。</w:t>
            </w:r>
          </w:p>
          <w:p>
            <w:pPr>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具有法务服务保障能力，负责处理</w:t>
            </w:r>
            <w:r>
              <w:rPr>
                <w:rFonts w:hint="eastAsia"/>
                <w:highlight w:val="none"/>
              </w:rPr>
              <w:t>护理员</w:t>
            </w:r>
            <w:r>
              <w:rPr>
                <w:rFonts w:ascii="宋体" w:eastAsia="宋体" w:hAnsi="宋体" w:cs="宋体" w:hint="eastAsia"/>
                <w:sz w:val="21"/>
                <w:szCs w:val="21"/>
                <w:highlight w:val="none"/>
              </w:rPr>
              <w:t>的工伤理赔、劳动纠纷、经济损失赔偿、劳动仲裁、劳动诉讼事件及法律咨询，有效化解各类劳动争议和赔偿问题，避免妨碍采购人的正常工作或给采购人带来不利的社会影响。</w:t>
            </w:r>
          </w:p>
          <w:p>
            <w:pPr>
              <w:outlineLvl w:val="0"/>
              <w:rPr>
                <w:rFonts w:ascii="宋体" w:eastAsia="宋体" w:hAnsi="宋体" w:cs="宋体" w:hint="eastAsia"/>
                <w:sz w:val="21"/>
                <w:szCs w:val="21"/>
                <w:highlight w:val="none"/>
              </w:rPr>
            </w:pPr>
            <w:r>
              <w:rPr>
                <w:rFonts w:ascii="宋体" w:eastAsia="宋体" w:hAnsi="宋体" w:cs="宋体" w:hint="eastAsia"/>
                <w:b/>
                <w:bCs/>
                <w:szCs w:val="21"/>
                <w:highlight w:val="none"/>
              </w:rPr>
              <w:t>（二）评分标准：</w:t>
            </w:r>
          </w:p>
          <w:p>
            <w:pPr>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提供承诺函（格式自拟）</w:t>
            </w:r>
            <w:r>
              <w:rPr>
                <w:rFonts w:ascii="宋体" w:hAnsi="宋体" w:cs="宋体" w:hint="eastAsia"/>
                <w:sz w:val="21"/>
                <w:szCs w:val="21"/>
                <w:highlight w:val="none"/>
                <w:lang w:val="en-US" w:eastAsia="zh-CN"/>
              </w:rPr>
              <w:t>并加盖公章</w:t>
            </w:r>
            <w:r>
              <w:rPr>
                <w:rFonts w:ascii="宋体" w:eastAsia="宋体" w:hAnsi="宋体" w:cs="宋体" w:hint="eastAsia"/>
                <w:sz w:val="21"/>
                <w:szCs w:val="21"/>
                <w:highlight w:val="none"/>
              </w:rPr>
              <w:t>，未按要求提供相关证明材料（或相关证明材料无法判断是否符合评分要求）的不计得分，原件备查。</w:t>
            </w:r>
          </w:p>
        </w:tc>
      </w:tr>
      <w:tr>
        <w:tblPrEx>
          <w:tblW w:w="9885" w:type="dxa"/>
          <w:jc w:val="center"/>
          <w:tblLayout w:type="fixed"/>
          <w:tblCellMar>
            <w:top w:w="0" w:type="dxa"/>
            <w:left w:w="108" w:type="dxa"/>
            <w:bottom w:w="0" w:type="dxa"/>
            <w:right w:w="108" w:type="dxa"/>
          </w:tblCellMar>
        </w:tblPrEx>
        <w:trPr>
          <w:trHeight w:val="136"/>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default"/>
                <w:sz w:val="21"/>
                <w:szCs w:val="21"/>
                <w:highlight w:val="none"/>
                <w:lang w:val="en-US" w:eastAsia="zh-CN"/>
              </w:rPr>
            </w:pPr>
            <w:r>
              <w:rPr>
                <w:rFonts w:ascii="宋体" w:hAnsi="宋体" w:cs="宋体" w:hint="eastAsia"/>
                <w:sz w:val="21"/>
                <w:szCs w:val="21"/>
                <w:highlight w:val="none"/>
                <w:lang w:val="en-US" w:eastAsia="zh-CN"/>
              </w:rPr>
              <w:t>5</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宋体" w:eastAsia="宋体" w:hAnsi="宋体" w:cs="宋体" w:hint="eastAsia"/>
                <w:color w:val="auto"/>
                <w:szCs w:val="21"/>
                <w:highlight w:val="none"/>
              </w:rPr>
            </w:pPr>
            <w:r>
              <w:rPr>
                <w:rFonts w:ascii="宋体" w:eastAsia="宋体" w:hAnsi="宋体" w:cs="宋体" w:hint="eastAsia"/>
                <w:sz w:val="21"/>
                <w:szCs w:val="21"/>
                <w:highlight w:val="none"/>
              </w:rPr>
              <w:t>项目</w:t>
            </w:r>
            <w:r>
              <w:rPr>
                <w:rFonts w:ascii="宋体" w:eastAsia="宋体" w:hAnsi="宋体" w:cs="宋体" w:hint="eastAsia"/>
                <w:color w:val="auto"/>
                <w:szCs w:val="21"/>
                <w:highlight w:val="none"/>
              </w:rPr>
              <w:t>组织</w:t>
            </w:r>
          </w:p>
          <w:p>
            <w:pPr>
              <w:wordWrap w:val="0"/>
              <w:adjustRightInd w:val="0"/>
              <w:snapToGrid w:val="0"/>
              <w:jc w:val="center"/>
              <w:rPr>
                <w:rFonts w:ascii="宋体" w:eastAsia="宋体" w:hAnsi="宋体" w:cs="宋体" w:hint="eastAsia"/>
                <w:szCs w:val="21"/>
                <w:highlight w:val="none"/>
              </w:rPr>
            </w:pPr>
            <w:r>
              <w:rPr>
                <w:rFonts w:ascii="宋体" w:eastAsia="宋体" w:hAnsi="宋体" w:cs="宋体" w:hint="eastAsia"/>
                <w:color w:val="auto"/>
                <w:szCs w:val="21"/>
                <w:highlight w:val="none"/>
              </w:rPr>
              <w:t>管理</w:t>
            </w:r>
            <w:r>
              <w:rPr>
                <w:rFonts w:ascii="宋体" w:eastAsia="宋体" w:hAnsi="宋体" w:cs="宋体" w:hint="eastAsia"/>
                <w:sz w:val="21"/>
                <w:szCs w:val="21"/>
                <w:highlight w:val="none"/>
              </w:rPr>
              <w:t>承诺</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default"/>
                <w:sz w:val="21"/>
                <w:szCs w:val="21"/>
                <w:highlight w:val="none"/>
                <w:lang w:val="en-US" w:eastAsia="zh-CN"/>
              </w:rPr>
            </w:pPr>
            <w:r>
              <w:rPr>
                <w:rFonts w:ascii="宋体" w:hAnsi="宋体" w:cs="宋体" w:hint="eastAsia"/>
                <w:sz w:val="21"/>
                <w:szCs w:val="21"/>
                <w:highlight w:val="none"/>
                <w:lang w:val="en-US" w:eastAsia="zh-CN"/>
              </w:rPr>
              <w:t>8</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snapToGrid w:val="0"/>
              <w:rPr>
                <w:rFonts w:ascii="宋体" w:eastAsia="宋体" w:hAnsi="宋体" w:cs="宋体" w:hint="eastAsia"/>
                <w:b/>
                <w:bCs/>
                <w:szCs w:val="21"/>
                <w:highlight w:val="none"/>
              </w:rPr>
            </w:pPr>
            <w:r>
              <w:rPr>
                <w:rFonts w:ascii="宋体" w:eastAsia="宋体" w:hAnsi="宋体" w:cs="宋体" w:hint="eastAsia"/>
                <w:b/>
                <w:bCs/>
                <w:szCs w:val="21"/>
                <w:highlight w:val="none"/>
              </w:rPr>
              <w:t>（一）</w:t>
            </w:r>
            <w:r>
              <w:rPr>
                <w:rFonts w:ascii="宋体" w:eastAsia="宋体" w:hAnsi="宋体" w:cs="宋体" w:hint="eastAsia"/>
                <w:b/>
                <w:bCs/>
                <w:color w:val="000000"/>
                <w:sz w:val="21"/>
                <w:szCs w:val="21"/>
                <w:highlight w:val="none"/>
              </w:rPr>
              <w:t>评分内容</w:t>
            </w:r>
            <w:r>
              <w:rPr>
                <w:rFonts w:ascii="宋体" w:eastAsia="宋体" w:hAnsi="宋体" w:cs="宋体" w:hint="eastAsia"/>
                <w:b/>
                <w:bCs/>
                <w:szCs w:val="21"/>
                <w:highlight w:val="none"/>
              </w:rPr>
              <w:t>：</w:t>
            </w:r>
          </w:p>
          <w:p>
            <w:pPr>
              <w:rPr>
                <w:rFonts w:ascii="宋体" w:eastAsia="宋体" w:hAnsi="宋体" w:cs="宋体" w:hint="eastAsia"/>
                <w:b/>
                <w:bCs/>
                <w:szCs w:val="21"/>
                <w:highlight w:val="none"/>
                <w:lang w:eastAsia="zh-CN"/>
              </w:rPr>
            </w:pPr>
            <w:r>
              <w:rPr>
                <w:rFonts w:ascii="宋体" w:eastAsia="宋体" w:hAnsi="宋体" w:cs="宋体" w:hint="eastAsia"/>
                <w:b/>
                <w:bCs/>
                <w:color w:val="auto"/>
                <w:szCs w:val="21"/>
                <w:highlight w:val="none"/>
                <w:lang w:val="en-US" w:eastAsia="zh-CN"/>
              </w:rPr>
              <w:t>1、</w:t>
            </w:r>
            <w:r>
              <w:rPr>
                <w:rFonts w:ascii="宋体" w:eastAsia="宋体" w:hAnsi="宋体" w:cs="宋体" w:hint="eastAsia"/>
                <w:b/>
                <w:bCs/>
                <w:color w:val="000000"/>
                <w:kern w:val="0"/>
                <w:sz w:val="21"/>
                <w:szCs w:val="21"/>
                <w:highlight w:val="none"/>
                <w:lang w:val="en-US" w:eastAsia="zh-CN"/>
              </w:rPr>
              <w:t>投标人</w:t>
            </w:r>
            <w:r>
              <w:rPr>
                <w:rFonts w:ascii="宋体" w:eastAsia="宋体" w:hAnsi="宋体" w:cs="宋体" w:hint="eastAsia"/>
                <w:b/>
                <w:bCs/>
                <w:color w:val="auto"/>
                <w:szCs w:val="21"/>
                <w:highlight w:val="none"/>
              </w:rPr>
              <w:t>人员费用发放承诺</w:t>
            </w:r>
            <w:r>
              <w:rPr>
                <w:rFonts w:ascii="宋体" w:eastAsia="宋体" w:hAnsi="宋体" w:cs="宋体" w:hint="eastAsia"/>
                <w:b/>
                <w:bCs/>
                <w:color w:val="auto"/>
                <w:szCs w:val="21"/>
                <w:highlight w:val="none"/>
                <w:lang w:eastAsia="zh-CN"/>
              </w:rPr>
              <w:t>：</w:t>
            </w:r>
          </w:p>
          <w:p>
            <w:pPr>
              <w:keepNext w:val="0"/>
              <w:keepLines w:val="0"/>
              <w:pageBreakBefore w:val="0"/>
              <w:kinsoku/>
              <w:wordWrap/>
              <w:overflowPunct/>
              <w:topLinePunct w:val="0"/>
              <w:autoSpaceDE/>
              <w:autoSpaceDN/>
              <w:bidi w:val="0"/>
              <w:adjustRightInd/>
              <w:snapToGrid/>
              <w:spacing w:line="240" w:lineRule="auto"/>
              <w:jc w:val="left"/>
              <w:textAlignment w:val="auto"/>
              <w:rPr>
                <w:rFonts w:ascii="宋体" w:eastAsia="宋体" w:hAnsi="宋体" w:cs="宋体" w:hint="eastAsia"/>
                <w:szCs w:val="21"/>
                <w:highlight w:val="none"/>
              </w:rPr>
            </w:pPr>
            <w:r>
              <w:rPr>
                <w:rFonts w:ascii="宋体" w:eastAsia="宋体" w:hAnsi="宋体" w:cs="宋体" w:hint="eastAsia"/>
                <w:szCs w:val="21"/>
                <w:highlight w:val="none"/>
                <w:lang w:eastAsia="zh-CN"/>
              </w:rPr>
              <w:t>（</w:t>
            </w:r>
            <w:r>
              <w:rPr>
                <w:rFonts w:ascii="宋体" w:eastAsia="宋体" w:hAnsi="宋体" w:cs="宋体" w:hint="eastAsia"/>
                <w:szCs w:val="21"/>
                <w:highlight w:val="none"/>
                <w:lang w:val="en-US" w:eastAsia="zh-CN"/>
              </w:rPr>
              <w:t>1）</w:t>
            </w:r>
            <w:r>
              <w:rPr>
                <w:rFonts w:ascii="宋体" w:eastAsia="宋体" w:hAnsi="宋体" w:cs="宋体" w:hint="eastAsia"/>
                <w:szCs w:val="21"/>
                <w:highlight w:val="none"/>
              </w:rPr>
              <w:t>投标人承诺，按时支付员工工资。有下列情况的，同意由采购人按国家或广东省、深圳市有关规定给予处罚：</w:t>
            </w:r>
          </w:p>
          <w:p>
            <w:pPr>
              <w:keepNext w:val="0"/>
              <w:keepLines w:val="0"/>
              <w:pageBreakBefore w:val="0"/>
              <w:kinsoku/>
              <w:wordWrap/>
              <w:overflowPunct/>
              <w:topLinePunct w:val="0"/>
              <w:autoSpaceDE/>
              <w:autoSpaceDN/>
              <w:bidi w:val="0"/>
              <w:adjustRightInd/>
              <w:snapToGrid/>
              <w:spacing w:line="240" w:lineRule="auto"/>
              <w:jc w:val="left"/>
              <w:textAlignment w:val="auto"/>
              <w:rPr>
                <w:rFonts w:ascii="宋体" w:eastAsia="宋体" w:hAnsi="宋体" w:cs="宋体" w:hint="eastAsia"/>
                <w:szCs w:val="21"/>
                <w:highlight w:val="none"/>
              </w:rPr>
            </w:pPr>
            <w:r>
              <w:rPr>
                <w:rFonts w:ascii="宋体" w:eastAsia="宋体" w:hAnsi="宋体" w:cs="宋体" w:hint="eastAsia"/>
                <w:szCs w:val="21"/>
                <w:highlight w:val="none"/>
              </w:rPr>
              <w:t>逾期发放员工工资的，采购人收取相应的滞纳金。每逾期一天，收取员工工资总额的0.3%，逾期十五天以上的，可有权终止合同，并按合同相应条款追究经济和法律责任。</w:t>
            </w:r>
          </w:p>
          <w:p>
            <w:pPr>
              <w:keepNext w:val="0"/>
              <w:keepLines w:val="0"/>
              <w:pageBreakBefore w:val="0"/>
              <w:kinsoku/>
              <w:wordWrap/>
              <w:overflowPunct/>
              <w:topLinePunct w:val="0"/>
              <w:autoSpaceDE/>
              <w:autoSpaceDN/>
              <w:bidi w:val="0"/>
              <w:adjustRightInd/>
              <w:snapToGrid/>
              <w:spacing w:line="240" w:lineRule="auto"/>
              <w:jc w:val="left"/>
              <w:textAlignment w:val="auto"/>
              <w:rPr>
                <w:rFonts w:ascii="宋体" w:eastAsia="宋体" w:hAnsi="宋体" w:cs="宋体" w:hint="eastAsia"/>
                <w:szCs w:val="21"/>
                <w:highlight w:val="none"/>
              </w:rPr>
            </w:pPr>
            <w:r>
              <w:rPr>
                <w:rFonts w:ascii="宋体" w:eastAsia="宋体" w:hAnsi="宋体" w:cs="宋体" w:hint="eastAsia"/>
                <w:szCs w:val="21"/>
                <w:highlight w:val="none"/>
              </w:rPr>
              <w:t>如发生无故克扣员工工资的，采购人有权责令在两个工作日内返还，并保证不再发生类似事件，多次发生的，采购人有权终止合同，并按合同相应条款追究经济和法律责任。</w:t>
            </w:r>
          </w:p>
          <w:p>
            <w:pPr>
              <w:keepNext w:val="0"/>
              <w:keepLines w:val="0"/>
              <w:pageBreakBefore w:val="0"/>
              <w:kinsoku/>
              <w:wordWrap/>
              <w:overflowPunct/>
              <w:topLinePunct w:val="0"/>
              <w:autoSpaceDE/>
              <w:autoSpaceDN/>
              <w:bidi w:val="0"/>
              <w:adjustRightInd/>
              <w:snapToGrid/>
              <w:spacing w:line="240" w:lineRule="auto"/>
              <w:jc w:val="left"/>
              <w:textAlignment w:val="auto"/>
              <w:rPr>
                <w:rFonts w:ascii="宋体" w:eastAsia="宋体" w:hAnsi="宋体" w:cs="宋体" w:hint="eastAsia"/>
                <w:szCs w:val="21"/>
                <w:highlight w:val="none"/>
                <w:lang w:eastAsia="zh-CN"/>
              </w:rPr>
            </w:pPr>
            <w:r>
              <w:rPr>
                <w:rFonts w:ascii="宋体" w:eastAsia="宋体" w:hAnsi="宋体" w:cs="宋体" w:hint="eastAsia"/>
                <w:szCs w:val="21"/>
                <w:highlight w:val="none"/>
                <w:lang w:eastAsia="zh-CN"/>
              </w:rPr>
              <w:t>（</w:t>
            </w:r>
            <w:r>
              <w:rPr>
                <w:rFonts w:ascii="宋体" w:eastAsia="宋体" w:hAnsi="宋体" w:cs="宋体" w:hint="eastAsia"/>
                <w:szCs w:val="21"/>
                <w:highlight w:val="none"/>
                <w:lang w:val="en-US" w:eastAsia="zh-CN"/>
              </w:rPr>
              <w:t>2）</w:t>
            </w:r>
            <w:r>
              <w:rPr>
                <w:rFonts w:ascii="宋体" w:eastAsia="宋体" w:hAnsi="宋体" w:cs="宋体" w:hint="eastAsia"/>
                <w:szCs w:val="21"/>
                <w:highlight w:val="none"/>
              </w:rPr>
              <w:t>投标人承诺，将切实保障为本项目服务人员按时足额发放工资，不因采购人支付流程等特殊情況延误</w:t>
            </w:r>
            <w:r>
              <w:rPr>
                <w:rFonts w:ascii="宋体" w:hAnsi="宋体" w:cs="宋体" w:hint="eastAsia"/>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hint="default"/>
                <w:b/>
                <w:bCs/>
                <w:szCs w:val="21"/>
                <w:highlight w:val="none"/>
                <w:lang w:val="en-US" w:eastAsia="zh-CN"/>
              </w:rPr>
            </w:pPr>
            <w:r>
              <w:rPr>
                <w:rFonts w:ascii="宋体" w:hAnsi="宋体" w:cs="宋体" w:hint="eastAsia"/>
                <w:b/>
                <w:bCs/>
                <w:szCs w:val="21"/>
                <w:highlight w:val="none"/>
                <w:lang w:val="en-US" w:eastAsia="zh-CN"/>
              </w:rPr>
              <w:t>2、</w:t>
            </w:r>
            <w:r>
              <w:rPr>
                <w:rFonts w:ascii="宋体" w:eastAsia="宋体" w:hAnsi="宋体" w:cs="宋体" w:hint="eastAsia"/>
                <w:b/>
                <w:bCs/>
                <w:color w:val="000000"/>
                <w:kern w:val="0"/>
                <w:sz w:val="21"/>
                <w:szCs w:val="21"/>
                <w:highlight w:val="none"/>
                <w:lang w:val="en-US" w:eastAsia="zh-CN"/>
              </w:rPr>
              <w:t>考察投标人</w:t>
            </w:r>
            <w:r>
              <w:rPr>
                <w:rFonts w:ascii="宋体" w:eastAsia="宋体" w:hAnsi="宋体" w:cs="宋体" w:hint="eastAsia"/>
                <w:b/>
                <w:bCs/>
                <w:color w:val="000000"/>
                <w:kern w:val="2"/>
                <w:sz w:val="21"/>
                <w:szCs w:val="21"/>
                <w:highlight w:val="none"/>
                <w:lang w:val="en-US" w:eastAsia="zh-CN"/>
              </w:rPr>
              <w:t>违约承诺承诺及方案</w:t>
            </w:r>
            <w:r>
              <w:rPr>
                <w:rFonts w:ascii="宋体" w:eastAsia="宋体" w:hAnsi="宋体" w:cs="宋体" w:hint="eastAsia"/>
                <w:b/>
                <w:bCs/>
                <w:szCs w:val="21"/>
                <w:highlight w:val="none"/>
              </w:rPr>
              <w:t>，内容包括</w:t>
            </w:r>
            <w:r>
              <w:rPr>
                <w:rFonts w:ascii="宋体" w:hAnsi="宋体" w:cs="宋体" w:hint="eastAsia"/>
                <w:b/>
                <w:bCs/>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eastAsia="宋体" w:hAnsi="宋体" w:cs="宋体" w:hint="eastAsia"/>
                <w:szCs w:val="21"/>
                <w:highlight w:val="none"/>
              </w:rPr>
            </w:pPr>
            <w:r>
              <w:rPr>
                <w:rFonts w:ascii="宋体" w:eastAsia="宋体" w:hAnsi="宋体" w:cs="宋体" w:hint="eastAsia"/>
                <w:szCs w:val="21"/>
                <w:highlight w:val="none"/>
                <w:lang w:eastAsia="zh-CN"/>
              </w:rPr>
              <w:t>（</w:t>
            </w:r>
            <w:r>
              <w:rPr>
                <w:rFonts w:ascii="宋体" w:eastAsia="宋体" w:hAnsi="宋体" w:cs="宋体" w:hint="eastAsia"/>
                <w:szCs w:val="21"/>
                <w:highlight w:val="none"/>
                <w:lang w:val="en-US" w:eastAsia="zh-CN"/>
              </w:rPr>
              <w:t>1）</w:t>
            </w:r>
            <w:r>
              <w:rPr>
                <w:rFonts w:ascii="宋体" w:hAnsi="宋体" w:cs="宋体" w:hint="eastAsia"/>
                <w:color w:val="000000"/>
                <w:kern w:val="2"/>
                <w:sz w:val="21"/>
                <w:szCs w:val="21"/>
                <w:highlight w:val="none"/>
                <w:lang w:val="en-US" w:eastAsia="zh-CN"/>
              </w:rPr>
              <w:t>项目组织管理</w:t>
            </w:r>
            <w:r>
              <w:rPr>
                <w:rFonts w:ascii="宋体" w:eastAsia="宋体" w:hAnsi="宋体" w:cs="宋体" w:hint="eastAsia"/>
                <w:color w:val="000000"/>
                <w:kern w:val="2"/>
                <w:sz w:val="21"/>
                <w:szCs w:val="21"/>
                <w:highlight w:val="none"/>
                <w:lang w:val="en-US" w:eastAsia="zh-CN"/>
              </w:rPr>
              <w:t>承诺</w:t>
            </w:r>
            <w:r>
              <w:rPr>
                <w:rFonts w:ascii="宋体" w:eastAsia="宋体" w:hAnsi="宋体" w:cs="宋体" w:hint="eastAsia"/>
                <w:szCs w:val="21"/>
                <w:highlight w:val="none"/>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eastAsia="宋体" w:hAnsi="宋体" w:cs="宋体" w:hint="eastAsia"/>
                <w:szCs w:val="21"/>
                <w:highlight w:val="none"/>
              </w:rPr>
            </w:pPr>
            <w:r>
              <w:rPr>
                <w:rFonts w:ascii="宋体" w:eastAsia="宋体" w:hAnsi="宋体" w:cs="宋体" w:hint="eastAsia"/>
                <w:szCs w:val="21"/>
                <w:highlight w:val="none"/>
                <w:lang w:eastAsia="zh-CN"/>
              </w:rPr>
              <w:t>（</w:t>
            </w:r>
            <w:r>
              <w:rPr>
                <w:rFonts w:ascii="宋体" w:eastAsia="宋体" w:hAnsi="宋体" w:cs="宋体" w:hint="eastAsia"/>
                <w:szCs w:val="21"/>
                <w:highlight w:val="none"/>
                <w:lang w:val="en-US" w:eastAsia="zh-CN"/>
              </w:rPr>
              <w:t>2）</w:t>
            </w:r>
            <w:r>
              <w:rPr>
                <w:rFonts w:ascii="宋体" w:eastAsia="宋体" w:hAnsi="宋体" w:cs="宋体" w:hint="eastAsia"/>
                <w:color w:val="000000"/>
                <w:kern w:val="2"/>
                <w:sz w:val="21"/>
                <w:szCs w:val="21"/>
                <w:highlight w:val="none"/>
                <w:lang w:val="en-US" w:eastAsia="zh-CN"/>
              </w:rPr>
              <w:t>项目的违约赔偿承诺</w:t>
            </w:r>
            <w:r>
              <w:rPr>
                <w:rFonts w:ascii="宋体" w:eastAsia="宋体" w:hAnsi="宋体" w:cs="宋体" w:hint="eastAsia"/>
                <w:szCs w:val="21"/>
                <w:highlight w:val="none"/>
              </w:rPr>
              <w:t>。</w:t>
            </w:r>
          </w:p>
          <w:p>
            <w:pPr>
              <w:snapToGrid w:val="0"/>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rPr>
                <w:rFonts w:asciiTheme="minorEastAsia" w:eastAsiaTheme="minorEastAsia" w:hAnsiTheme="minorEastAsia" w:cstheme="minorEastAsia" w:hint="eastAsia"/>
                <w:bCs/>
                <w:color w:val="000000"/>
                <w:kern w:val="0"/>
                <w:sz w:val="21"/>
                <w:szCs w:val="21"/>
                <w:highlight w:val="none"/>
                <w:lang w:val="en-US" w:eastAsia="zh-CN"/>
              </w:rPr>
            </w:pPr>
            <w:r>
              <w:rPr>
                <w:rFonts w:asciiTheme="minorEastAsia" w:eastAsiaTheme="minorEastAsia" w:hAnsiTheme="minorEastAsia" w:cstheme="minorEastAsia" w:hint="eastAsia"/>
                <w:bCs/>
                <w:color w:val="000000"/>
                <w:kern w:val="0"/>
                <w:sz w:val="21"/>
                <w:szCs w:val="21"/>
                <w:highlight w:val="none"/>
                <w:lang w:val="en-US" w:eastAsia="zh-CN"/>
              </w:rPr>
              <w:t>1、针对第1项评分内容：满足以上二项要求得50分；满足以上一项要求得25分；不满足或未提供均不得分。</w:t>
            </w:r>
          </w:p>
          <w:p>
            <w:pPr>
              <w:rPr>
                <w:rFonts w:asciiTheme="minorEastAsia" w:eastAsiaTheme="minorEastAsia" w:hAnsiTheme="minorEastAsia" w:cstheme="minorEastAsia" w:hint="eastAsia"/>
                <w:bCs/>
                <w:color w:val="000000"/>
                <w:kern w:val="0"/>
                <w:sz w:val="21"/>
                <w:szCs w:val="21"/>
                <w:highlight w:val="none"/>
                <w:lang w:val="en-US" w:eastAsia="zh-CN"/>
              </w:rPr>
            </w:pPr>
            <w:r>
              <w:rPr>
                <w:rFonts w:asciiTheme="minorEastAsia" w:eastAsiaTheme="minorEastAsia" w:hAnsiTheme="minorEastAsia" w:cstheme="minorEastAsia" w:hint="eastAsia"/>
                <w:bCs/>
                <w:color w:val="000000"/>
                <w:kern w:val="0"/>
                <w:sz w:val="21"/>
                <w:szCs w:val="21"/>
                <w:highlight w:val="none"/>
                <w:lang w:val="en-US" w:eastAsia="zh-CN"/>
              </w:rPr>
              <w:t>2、针对第2项评分内容：满足以上二项要求得50分；满足以上一项要求得25分；不满足或未提供均不得分。</w:t>
            </w:r>
          </w:p>
          <w:p>
            <w:pPr>
              <w:outlineLvl w:val="0"/>
              <w:rPr>
                <w:rFonts w:ascii="宋体" w:eastAsia="宋体" w:hAnsi="宋体" w:cs="宋体" w:hint="eastAsia"/>
                <w:sz w:val="21"/>
                <w:szCs w:val="21"/>
                <w:highlight w:val="none"/>
              </w:rPr>
            </w:pPr>
            <w:r>
              <w:rPr>
                <w:rFonts w:asciiTheme="minorEastAsia" w:eastAsiaTheme="minorEastAsia" w:hAnsiTheme="minorEastAsia" w:cstheme="minorEastAsia" w:hint="eastAsia"/>
                <w:b/>
                <w:bCs w:val="0"/>
                <w:color w:val="000000"/>
                <w:kern w:val="0"/>
                <w:sz w:val="21"/>
                <w:szCs w:val="21"/>
                <w:highlight w:val="none"/>
                <w:lang w:val="en-US" w:eastAsia="zh-CN"/>
              </w:rPr>
              <w:t>以上1-2项累计得分，最高得100分。</w:t>
            </w:r>
          </w:p>
        </w:tc>
      </w:tr>
    </w:tbl>
    <w:p>
      <w:pPr>
        <w:pStyle w:val="NormalIndent"/>
        <w:widowControl/>
        <w:adjustRightInd w:val="0"/>
        <w:snapToGrid w:val="0"/>
        <w:ind w:firstLine="0"/>
        <w:rPr>
          <w:rFonts w:ascii="宋体" w:hAnsi="宋体" w:cs="宋体" w:hint="eastAsia"/>
          <w:szCs w:val="21"/>
          <w:highlight w:val="none"/>
        </w:rPr>
      </w:pPr>
    </w:p>
    <w:p>
      <w:pPr>
        <w:pStyle w:val="NormalIndent"/>
        <w:widowControl/>
        <w:numPr>
          <w:ilvl w:val="0"/>
          <w:numId w:val="0"/>
        </w:numPr>
        <w:adjustRightInd w:val="0"/>
        <w:snapToGrid w:val="0"/>
        <w:ind w:firstLine="210" w:firstLineChars="100"/>
        <w:rPr>
          <w:rFonts w:ascii="宋体" w:eastAsia="宋体" w:hAnsi="宋体" w:cs="宋体" w:hint="eastAsia"/>
          <w:kern w:val="2"/>
          <w:sz w:val="21"/>
          <w:szCs w:val="21"/>
          <w:highlight w:val="none"/>
          <w:lang w:val="en-US" w:eastAsia="zh-CN" w:bidi="ar-SA"/>
        </w:rPr>
      </w:pPr>
    </w:p>
    <w:p>
      <w:pPr>
        <w:pStyle w:val="NormalIndent"/>
        <w:widowControl/>
        <w:numPr>
          <w:ilvl w:val="0"/>
          <w:numId w:val="0"/>
        </w:numPr>
        <w:adjustRightInd w:val="0"/>
        <w:snapToGrid w:val="0"/>
        <w:ind w:firstLine="210" w:firstLineChars="100"/>
        <w:rPr>
          <w:rFonts w:ascii="宋体" w:eastAsia="宋体" w:hAnsi="宋体" w:cs="宋体" w:hint="eastAsia"/>
          <w:kern w:val="2"/>
          <w:sz w:val="21"/>
          <w:szCs w:val="21"/>
          <w:highlight w:val="none"/>
          <w:lang w:val="en-US" w:eastAsia="zh-CN" w:bidi="ar-SA"/>
        </w:rPr>
      </w:pPr>
    </w:p>
    <w:p>
      <w:pPr>
        <w:pStyle w:val="NormalIndent"/>
        <w:widowControl/>
        <w:numPr>
          <w:ilvl w:val="0"/>
          <w:numId w:val="0"/>
        </w:numPr>
        <w:adjustRightInd w:val="0"/>
        <w:snapToGrid w:val="0"/>
        <w:ind w:firstLine="210" w:firstLineChars="100"/>
        <w:rPr>
          <w:rFonts w:ascii="宋体" w:hAnsi="宋体" w:cs="宋体" w:hint="eastAsia"/>
          <w:szCs w:val="21"/>
          <w:highlight w:val="none"/>
        </w:rPr>
      </w:pPr>
      <w:r>
        <w:rPr>
          <w:rFonts w:ascii="宋体" w:eastAsia="宋体" w:hAnsi="宋体" w:cs="宋体" w:hint="eastAsia"/>
          <w:kern w:val="2"/>
          <w:sz w:val="21"/>
          <w:szCs w:val="21"/>
          <w:highlight w:val="none"/>
          <w:lang w:val="en-US" w:eastAsia="zh-CN" w:bidi="ar-SA"/>
        </w:rPr>
        <w:t>2、</w:t>
      </w:r>
      <w:r>
        <w:rPr>
          <w:rFonts w:ascii="宋体" w:hAnsi="宋体" w:cs="宋体" w:hint="eastAsia"/>
          <w:szCs w:val="21"/>
          <w:highlight w:val="none"/>
        </w:rPr>
        <w:t>商务评价（</w:t>
      </w:r>
      <w:r>
        <w:rPr>
          <w:rFonts w:ascii="宋体" w:hAnsi="宋体" w:cs="宋体" w:hint="eastAsia"/>
          <w:szCs w:val="21"/>
          <w:highlight w:val="none"/>
          <w:lang w:val="en-US" w:eastAsia="zh-CN"/>
        </w:rPr>
        <w:t>38</w:t>
      </w:r>
      <w:r>
        <w:rPr>
          <w:rFonts w:ascii="宋体" w:hAnsi="宋体" w:cs="宋体" w:hint="eastAsia"/>
          <w:szCs w:val="21"/>
          <w:highlight w:val="none"/>
        </w:rPr>
        <w:t>分）：</w:t>
      </w:r>
    </w:p>
    <w:tbl>
      <w:tblPr>
        <w:tblStyle w:val="TableNormal"/>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3"/>
        <w:gridCol w:w="1464"/>
        <w:gridCol w:w="809"/>
        <w:gridCol w:w="1119"/>
        <w:gridCol w:w="5694"/>
      </w:tblGrid>
      <w:tr>
        <w:tblPrEx>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7"/>
          <w:jc w:val="center"/>
        </w:trPr>
        <w:tc>
          <w:tcPr>
            <w:tcW w:w="743"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序号</w:t>
            </w:r>
          </w:p>
        </w:tc>
        <w:tc>
          <w:tcPr>
            <w:tcW w:w="1464"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评审内容</w:t>
            </w:r>
          </w:p>
        </w:tc>
        <w:tc>
          <w:tcPr>
            <w:tcW w:w="809"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权重（%）</w:t>
            </w:r>
          </w:p>
        </w:tc>
        <w:tc>
          <w:tcPr>
            <w:tcW w:w="1119"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bCs/>
                <w:szCs w:val="21"/>
                <w:highlight w:val="none"/>
              </w:rPr>
              <w:t>评分方式</w:t>
            </w:r>
          </w:p>
        </w:tc>
        <w:tc>
          <w:tcPr>
            <w:tcW w:w="5694"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评分细则</w:t>
            </w:r>
          </w:p>
        </w:tc>
      </w:tr>
      <w:tr>
        <w:tblPrEx>
          <w:tblW w:w="9829" w:type="dxa"/>
          <w:jc w:val="center"/>
          <w:tblLayout w:type="fixed"/>
          <w:tblCellMar>
            <w:top w:w="0" w:type="dxa"/>
            <w:left w:w="108" w:type="dxa"/>
            <w:bottom w:w="0" w:type="dxa"/>
            <w:right w:w="108" w:type="dxa"/>
          </w:tblCellMar>
        </w:tblPrEx>
        <w:trPr>
          <w:trHeight w:val="464"/>
          <w:jc w:val="center"/>
        </w:trPr>
        <w:tc>
          <w:tcPr>
            <w:tcW w:w="743" w:type="dxa"/>
            <w:vAlign w:val="center"/>
          </w:tcPr>
          <w:p>
            <w:pPr>
              <w:adjustRightInd w:val="0"/>
              <w:snapToGrid w:val="0"/>
              <w:jc w:val="center"/>
              <w:rPr>
                <w:rFonts w:ascii="宋体" w:hAnsi="宋体" w:cs="宋体"/>
                <w:bCs/>
                <w:szCs w:val="21"/>
                <w:highlight w:val="none"/>
              </w:rPr>
            </w:pPr>
            <w:r>
              <w:rPr>
                <w:rFonts w:ascii="宋体" w:hAnsi="宋体" w:cs="宋体" w:hint="eastAsia"/>
                <w:szCs w:val="21"/>
                <w:highlight w:val="none"/>
              </w:rPr>
              <w:t>1</w:t>
            </w:r>
          </w:p>
        </w:tc>
        <w:tc>
          <w:tcPr>
            <w:tcW w:w="1464" w:type="dxa"/>
            <w:vAlign w:val="center"/>
          </w:tcPr>
          <w:p>
            <w:pPr>
              <w:wordWrap w:val="0"/>
              <w:snapToGrid w:val="0"/>
              <w:jc w:val="center"/>
              <w:rPr>
                <w:rFonts w:ascii="宋体" w:hAnsi="宋体" w:cs="宋体" w:hint="eastAsia"/>
                <w:szCs w:val="21"/>
                <w:highlight w:val="none"/>
              </w:rPr>
            </w:pPr>
            <w:r>
              <w:rPr>
                <w:rFonts w:ascii="宋体" w:hAnsi="宋体" w:cs="宋体" w:hint="eastAsia"/>
                <w:szCs w:val="21"/>
                <w:highlight w:val="none"/>
              </w:rPr>
              <w:t>同类项目</w:t>
            </w:r>
          </w:p>
          <w:p>
            <w:pPr>
              <w:wordWrap w:val="0"/>
              <w:snapToGrid w:val="0"/>
              <w:jc w:val="center"/>
              <w:rPr>
                <w:rFonts w:ascii="宋体" w:hAnsi="宋体" w:cs="宋体"/>
                <w:kern w:val="0"/>
                <w:szCs w:val="21"/>
                <w:highlight w:val="none"/>
              </w:rPr>
            </w:pPr>
            <w:r>
              <w:rPr>
                <w:rFonts w:ascii="宋体" w:hAnsi="宋体" w:cs="宋体" w:hint="eastAsia"/>
                <w:szCs w:val="21"/>
                <w:highlight w:val="none"/>
              </w:rPr>
              <w:t>业绩情况</w:t>
            </w:r>
          </w:p>
        </w:tc>
        <w:tc>
          <w:tcPr>
            <w:tcW w:w="809" w:type="dxa"/>
            <w:vAlign w:val="center"/>
          </w:tcPr>
          <w:p>
            <w:pPr>
              <w:adjustRightInd w:val="0"/>
              <w:snapToGrid w:val="0"/>
              <w:jc w:val="center"/>
              <w:rPr>
                <w:rFonts w:hint="default"/>
                <w:highlight w:val="none"/>
                <w:lang w:val="en-US" w:eastAsia="zh-CN"/>
              </w:rPr>
            </w:pPr>
            <w:r>
              <w:rPr>
                <w:rFonts w:ascii="宋体" w:hAnsi="宋体" w:cs="宋体" w:hint="eastAsia"/>
                <w:szCs w:val="21"/>
                <w:highlight w:val="none"/>
                <w:lang w:val="en-US" w:eastAsia="zh-CN"/>
              </w:rPr>
              <w:t>12</w:t>
            </w:r>
          </w:p>
        </w:tc>
        <w:tc>
          <w:tcPr>
            <w:tcW w:w="1119" w:type="dxa"/>
            <w:vAlign w:val="center"/>
          </w:tcPr>
          <w:p>
            <w:pPr>
              <w:adjustRightInd w:val="0"/>
              <w:snapToGrid w:val="0"/>
              <w:jc w:val="center"/>
              <w:rPr>
                <w:rFonts w:ascii="宋体" w:hAnsi="宋体" w:cs="宋体"/>
                <w:kern w:val="0"/>
                <w:szCs w:val="21"/>
                <w:highlight w:val="none"/>
              </w:rPr>
            </w:pPr>
            <w:r>
              <w:rPr>
                <w:rFonts w:ascii="宋体" w:hAnsi="宋体" w:cs="宋体" w:hint="eastAsia"/>
                <w:szCs w:val="21"/>
                <w:highlight w:val="none"/>
              </w:rPr>
              <w:t>专家评分</w:t>
            </w:r>
          </w:p>
        </w:tc>
        <w:tc>
          <w:tcPr>
            <w:tcW w:w="5694" w:type="dxa"/>
          </w:tcPr>
          <w:p>
            <w:pPr>
              <w:autoSpaceDE w:val="0"/>
              <w:autoSpaceDN w:val="0"/>
              <w:adjustRightInd w:val="0"/>
              <w:snapToGrid w:val="0"/>
              <w:jc w:val="left"/>
              <w:rPr>
                <w:rFonts w:ascii="宋体" w:eastAsia="宋体" w:hAnsi="宋体" w:cs="宋体" w:hint="eastAsia"/>
                <w:b/>
                <w:bCs/>
                <w:szCs w:val="21"/>
                <w:highlight w:val="none"/>
                <w:lang w:eastAsia="zh-CN"/>
              </w:rPr>
            </w:pPr>
            <w:r>
              <w:rPr>
                <w:rFonts w:ascii="宋体" w:hAnsi="宋体" w:cs="宋体" w:hint="eastAsia"/>
                <w:b/>
                <w:bCs/>
                <w:szCs w:val="21"/>
                <w:highlight w:val="none"/>
              </w:rPr>
              <w:t>（一）评分内容</w:t>
            </w:r>
            <w:r>
              <w:rPr>
                <w:rFonts w:ascii="宋体" w:hAnsi="宋体" w:cs="宋体" w:hint="eastAsia"/>
                <w:b/>
                <w:bCs/>
                <w:szCs w:val="21"/>
                <w:highlight w:val="none"/>
                <w:lang w:eastAsia="zh-CN"/>
              </w:rPr>
              <w:t>：</w:t>
            </w:r>
          </w:p>
          <w:p>
            <w:pPr>
              <w:autoSpaceDE w:val="0"/>
              <w:autoSpaceDN w:val="0"/>
              <w:adjustRightInd w:val="0"/>
              <w:snapToGrid w:val="0"/>
              <w:jc w:val="left"/>
              <w:rPr>
                <w:rFonts w:ascii="宋体" w:hAnsi="宋体" w:cs="宋体" w:hint="eastAsia"/>
                <w:szCs w:val="21"/>
                <w:highlight w:val="none"/>
              </w:rPr>
            </w:pPr>
            <w:r>
              <w:rPr>
                <w:rFonts w:ascii="宋体" w:hAnsi="宋体" w:cs="宋体" w:hint="eastAsia"/>
                <w:szCs w:val="21"/>
                <w:highlight w:val="none"/>
                <w:lang w:val="en-US" w:eastAsia="zh-CN"/>
              </w:rPr>
              <w:t>投标人自</w:t>
            </w:r>
            <w:r>
              <w:rPr>
                <w:rFonts w:ascii="宋体" w:hAnsi="宋体" w:cs="宋体" w:hint="eastAsia"/>
                <w:szCs w:val="21"/>
                <w:highlight w:val="none"/>
              </w:rPr>
              <w:t>20</w:t>
            </w:r>
            <w:r>
              <w:rPr>
                <w:rFonts w:ascii="宋体" w:hAnsi="宋体" w:cs="宋体" w:hint="eastAsia"/>
                <w:szCs w:val="21"/>
                <w:highlight w:val="none"/>
                <w:lang w:val="en-US" w:eastAsia="zh-CN"/>
              </w:rPr>
              <w:t>22</w:t>
            </w:r>
            <w:r>
              <w:rPr>
                <w:rFonts w:ascii="宋体" w:hAnsi="宋体" w:cs="宋体" w:hint="eastAsia"/>
                <w:szCs w:val="21"/>
                <w:highlight w:val="none"/>
              </w:rPr>
              <w:t>年</w:t>
            </w:r>
            <w:r>
              <w:rPr>
                <w:rFonts w:ascii="宋体" w:hAnsi="宋体" w:cs="宋体" w:hint="eastAsia"/>
                <w:szCs w:val="21"/>
                <w:highlight w:val="none"/>
                <w:lang w:val="en-US" w:eastAsia="zh-CN"/>
              </w:rPr>
              <w:t>10</w:t>
            </w:r>
            <w:r>
              <w:rPr>
                <w:rFonts w:ascii="宋体" w:hAnsi="宋体" w:cs="宋体" w:hint="eastAsia"/>
                <w:szCs w:val="21"/>
                <w:highlight w:val="none"/>
              </w:rPr>
              <w:t>月1日至本项目投标截止日（以合同签订日期为准），投标人具有同类</w:t>
            </w:r>
            <w:r>
              <w:rPr>
                <w:rFonts w:ascii="宋体" w:hAnsi="宋体" w:cs="宋体" w:hint="eastAsia"/>
                <w:szCs w:val="21"/>
                <w:highlight w:val="none"/>
                <w:lang w:val="en-US" w:eastAsia="zh-CN"/>
              </w:rPr>
              <w:t>医院</w:t>
            </w:r>
            <w:r>
              <w:rPr>
                <w:rFonts w:ascii="宋体" w:hAnsi="宋体" w:cs="宋体" w:hint="eastAsia"/>
                <w:color w:val="auto"/>
                <w:spacing w:val="6"/>
                <w:sz w:val="21"/>
                <w:szCs w:val="21"/>
                <w:highlight w:val="none"/>
                <w:u w:val="none"/>
                <w:lang w:val="en-US" w:eastAsia="zh-CN"/>
              </w:rPr>
              <w:t>免陪照护</w:t>
            </w:r>
            <w:r>
              <w:rPr>
                <w:rFonts w:ascii="宋体" w:eastAsia="宋体" w:hAnsi="宋体" w:cs="宋体" w:hint="eastAsia"/>
                <w:color w:val="auto"/>
                <w:spacing w:val="6"/>
                <w:sz w:val="21"/>
                <w:szCs w:val="21"/>
                <w:highlight w:val="none"/>
                <w:u w:val="none"/>
              </w:rPr>
              <w:t>相关项目经验</w:t>
            </w:r>
            <w:r>
              <w:rPr>
                <w:rFonts w:ascii="宋体" w:hAnsi="宋体" w:cs="宋体" w:hint="eastAsia"/>
                <w:szCs w:val="21"/>
                <w:highlight w:val="none"/>
              </w:rPr>
              <w:t>，每提供1个</w:t>
            </w:r>
            <w:r>
              <w:rPr>
                <w:rFonts w:ascii="宋体" w:hAnsi="宋体" w:cs="宋体" w:hint="eastAsia"/>
                <w:szCs w:val="21"/>
                <w:highlight w:val="none"/>
                <w:lang w:val="en-US" w:eastAsia="zh-CN"/>
              </w:rPr>
              <w:t>有效的</w:t>
            </w:r>
            <w:r>
              <w:rPr>
                <w:rFonts w:ascii="宋体" w:hAnsi="宋体" w:cs="宋体" w:hint="eastAsia"/>
                <w:szCs w:val="21"/>
                <w:highlight w:val="none"/>
              </w:rPr>
              <w:t>项目得</w:t>
            </w:r>
            <w:r>
              <w:rPr>
                <w:rFonts w:ascii="宋体" w:hAnsi="宋体" w:cs="宋体" w:hint="eastAsia"/>
                <w:szCs w:val="21"/>
                <w:highlight w:val="none"/>
                <w:lang w:val="en-US" w:eastAsia="zh-CN"/>
              </w:rPr>
              <w:t>25</w:t>
            </w:r>
            <w:r>
              <w:rPr>
                <w:rFonts w:ascii="宋体" w:hAnsi="宋体" w:cs="宋体" w:hint="eastAsia"/>
                <w:szCs w:val="21"/>
                <w:highlight w:val="none"/>
              </w:rPr>
              <w:t>分,最高得100分。提供同一家采购单位多份合同的，只计一个项目。</w:t>
            </w:r>
          </w:p>
          <w:p>
            <w:pPr>
              <w:autoSpaceDE w:val="0"/>
              <w:autoSpaceDN w:val="0"/>
              <w:adjustRightInd w:val="0"/>
              <w:snapToGrid w:val="0"/>
              <w:jc w:val="left"/>
              <w:rPr>
                <w:rFonts w:ascii="宋体" w:eastAsia="宋体" w:hAnsi="宋体" w:cs="宋体" w:hint="eastAsia"/>
                <w:b/>
                <w:bCs/>
                <w:szCs w:val="21"/>
                <w:highlight w:val="none"/>
                <w:lang w:eastAsia="zh-CN"/>
              </w:rPr>
            </w:pPr>
            <w:r>
              <w:rPr>
                <w:rFonts w:ascii="宋体" w:hAnsi="宋体" w:cs="宋体" w:hint="eastAsia"/>
                <w:b/>
                <w:bCs/>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hAnsi="宋体" w:cs="宋体" w:hint="eastAsia"/>
                <w:b/>
                <w:bCs/>
                <w:szCs w:val="21"/>
                <w:highlight w:val="none"/>
                <w:lang w:eastAsia="zh-CN"/>
              </w:rPr>
              <w:t>：</w:t>
            </w:r>
          </w:p>
          <w:p>
            <w:pPr>
              <w:spacing w:line="240" w:lineRule="auto"/>
              <w:jc w:val="left"/>
              <w:rPr>
                <w:rFonts w:ascii="宋体" w:eastAsia="宋体" w:hAnsi="宋体" w:cs="宋体" w:hint="eastAsia"/>
                <w:color w:val="000000" w:themeColor="text1"/>
                <w:szCs w:val="21"/>
                <w:highlight w:val="none"/>
                <w14:textFill>
                  <w14:solidFill>
                    <w14:schemeClr w14:val="tx1"/>
                  </w14:solidFill>
                </w14:textFill>
              </w:rPr>
            </w:pPr>
            <w:r>
              <w:rPr>
                <w:rFonts w:ascii="宋体" w:eastAsia="宋体" w:hAnsi="宋体" w:cs="宋体" w:hint="eastAsia"/>
                <w:color w:val="000000" w:themeColor="text1"/>
                <w:szCs w:val="21"/>
                <w:highlight w:val="none"/>
                <w14:textFill>
                  <w14:solidFill>
                    <w14:schemeClr w14:val="tx1"/>
                  </w14:solidFill>
                </w14:textFill>
              </w:rPr>
              <w:t>1</w:t>
            </w:r>
            <w:r>
              <w:rPr>
                <w:rFonts w:ascii="宋体" w:hAnsi="宋体" w:cs="宋体" w:hint="eastAsia"/>
                <w:color w:val="000000" w:themeColor="text1"/>
                <w:szCs w:val="21"/>
                <w:highlight w:val="none"/>
                <w:lang w:eastAsia="zh-CN"/>
                <w14:textFill>
                  <w14:solidFill>
                    <w14:schemeClr w14:val="tx1"/>
                  </w14:solidFill>
                </w14:textFill>
              </w:rPr>
              <w:t>、</w:t>
            </w:r>
            <w:r>
              <w:rPr>
                <w:rFonts w:ascii="宋体" w:eastAsia="宋体" w:hAnsi="宋体" w:cs="宋体" w:hint="eastAsia"/>
                <w:color w:val="000000" w:themeColor="text1"/>
                <w:szCs w:val="21"/>
                <w:highlight w:val="none"/>
                <w14:textFill>
                  <w14:solidFill>
                    <w14:schemeClr w14:val="tx1"/>
                  </w14:solidFill>
                </w14:textFill>
              </w:rPr>
              <w:t>提供合同关键页信息</w:t>
            </w:r>
            <w:r>
              <w:rPr>
                <w:rFonts w:ascii="宋体" w:eastAsia="宋体" w:hAnsi="宋体" w:cs="宋体" w:hint="eastAsia"/>
                <w:sz w:val="21"/>
                <w:szCs w:val="21"/>
                <w:highlight w:val="none"/>
              </w:rPr>
              <w:t>（包括但不限于：合同名称页、合同主要内容页、合同签订日期页、合同双方签字盖章页）</w:t>
            </w:r>
            <w:r>
              <w:rPr>
                <w:rFonts w:ascii="宋体" w:hAnsi="宋体" w:cs="宋体" w:hint="eastAsia"/>
                <w:color w:val="000000" w:themeColor="text1"/>
                <w:szCs w:val="21"/>
                <w:highlight w:val="none"/>
                <w:lang w:val="en-US" w:eastAsia="zh-CN"/>
                <w14:textFill>
                  <w14:solidFill>
                    <w14:schemeClr w14:val="tx1"/>
                  </w14:solidFill>
                </w14:textFill>
              </w:rPr>
              <w:t>扫描</w:t>
            </w:r>
            <w:r>
              <w:rPr>
                <w:rFonts w:ascii="宋体" w:eastAsia="宋体" w:hAnsi="宋体" w:cs="宋体" w:hint="eastAsia"/>
                <w:color w:val="000000" w:themeColor="text1"/>
                <w:szCs w:val="21"/>
                <w:highlight w:val="none"/>
                <w:lang w:val="en-US" w:eastAsia="zh-CN"/>
                <w14:textFill>
                  <w14:solidFill>
                    <w14:schemeClr w14:val="tx1"/>
                  </w14:solidFill>
                </w14:textFill>
              </w:rPr>
              <w:t>件</w:t>
            </w:r>
            <w:r>
              <w:rPr>
                <w:rFonts w:ascii="宋体" w:hAnsi="宋体" w:cs="宋体" w:hint="eastAsia"/>
                <w:color w:val="000000" w:themeColor="text1"/>
                <w:szCs w:val="21"/>
                <w:highlight w:val="none"/>
                <w:lang w:val="en-US" w:eastAsia="zh-CN"/>
                <w14:textFill>
                  <w14:solidFill>
                    <w14:schemeClr w14:val="tx1"/>
                  </w14:solidFill>
                </w14:textFill>
              </w:rPr>
              <w:t>并加盖公章，原件备查</w:t>
            </w:r>
            <w:r>
              <w:rPr>
                <w:rFonts w:ascii="宋体" w:eastAsia="宋体" w:hAnsi="宋体" w:cs="宋体" w:hint="eastAsia"/>
                <w:color w:val="000000" w:themeColor="text1"/>
                <w:szCs w:val="21"/>
                <w:highlight w:val="none"/>
                <w14:textFill>
                  <w14:solidFill>
                    <w14:schemeClr w14:val="tx1"/>
                  </w14:solidFill>
                </w14:textFill>
              </w:rPr>
              <w:t>。</w:t>
            </w:r>
          </w:p>
          <w:p>
            <w:pPr>
              <w:spacing w:line="240" w:lineRule="auto"/>
              <w:jc w:val="left"/>
              <w:rPr>
                <w:rFonts w:ascii="宋体" w:eastAsia="宋体" w:hAnsi="宋体" w:cs="宋体" w:hint="eastAsia"/>
                <w:color w:val="000000" w:themeColor="text1"/>
                <w:szCs w:val="21"/>
                <w:highlight w:val="none"/>
                <w14:textFill>
                  <w14:solidFill>
                    <w14:schemeClr w14:val="tx1"/>
                  </w14:solidFill>
                </w14:textFill>
              </w:rPr>
            </w:pPr>
            <w:r>
              <w:rPr>
                <w:rFonts w:ascii="宋体" w:eastAsia="宋体" w:hAnsi="宋体" w:cs="宋体" w:hint="eastAsia"/>
                <w:color w:val="000000" w:themeColor="text1"/>
                <w:szCs w:val="21"/>
                <w:highlight w:val="none"/>
                <w14:textFill>
                  <w14:solidFill>
                    <w14:schemeClr w14:val="tx1"/>
                  </w14:solidFill>
                </w14:textFill>
              </w:rPr>
              <w:t>2</w:t>
            </w:r>
            <w:r>
              <w:rPr>
                <w:rFonts w:ascii="宋体" w:hAnsi="宋体" w:cs="宋体" w:hint="eastAsia"/>
                <w:color w:val="000000" w:themeColor="text1"/>
                <w:szCs w:val="21"/>
                <w:highlight w:val="none"/>
                <w:lang w:eastAsia="zh-CN"/>
                <w14:textFill>
                  <w14:solidFill>
                    <w14:schemeClr w14:val="tx1"/>
                  </w14:solidFill>
                </w14:textFill>
              </w:rPr>
              <w:t>、</w:t>
            </w:r>
            <w:r>
              <w:rPr>
                <w:rFonts w:ascii="宋体" w:eastAsia="宋体" w:hAnsi="宋体" w:cs="宋体" w:hint="eastAsia"/>
                <w:color w:val="000000" w:themeColor="text1"/>
                <w:szCs w:val="21"/>
                <w:highlight w:val="none"/>
                <w14:textFill>
                  <w14:solidFill>
                    <w14:schemeClr w14:val="tx1"/>
                  </w14:solidFill>
                </w14:textFill>
              </w:rPr>
              <w:t>通过合同关键信息无法判断是否得分的，还需同时提供能证明得分的其它证明资料，如项目报告或合同甲方出具的证明文件等。</w:t>
            </w:r>
          </w:p>
          <w:p>
            <w:pPr>
              <w:autoSpaceDE w:val="0"/>
              <w:autoSpaceDN w:val="0"/>
              <w:adjustRightInd w:val="0"/>
              <w:snapToGrid w:val="0"/>
              <w:jc w:val="left"/>
              <w:rPr>
                <w:rFonts w:ascii="宋体" w:hAnsi="宋体" w:cs="宋体"/>
                <w:szCs w:val="21"/>
                <w:highlight w:val="none"/>
              </w:rPr>
            </w:pPr>
            <w:r>
              <w:rPr>
                <w:rFonts w:ascii="宋体" w:eastAsia="宋体" w:hAnsi="宋体" w:cs="宋体" w:hint="eastAsia"/>
                <w:color w:val="000000" w:themeColor="text1"/>
                <w:szCs w:val="21"/>
                <w:highlight w:val="none"/>
                <w14:textFill>
                  <w14:solidFill>
                    <w14:schemeClr w14:val="tx1"/>
                  </w14:solidFill>
                </w14:textFill>
              </w:rPr>
              <w:t>3</w:t>
            </w:r>
            <w:r>
              <w:rPr>
                <w:rFonts w:ascii="宋体" w:hAnsi="宋体" w:cs="宋体" w:hint="eastAsia"/>
                <w:color w:val="000000" w:themeColor="text1"/>
                <w:szCs w:val="21"/>
                <w:highlight w:val="none"/>
                <w:lang w:eastAsia="zh-CN"/>
                <w14:textFill>
                  <w14:solidFill>
                    <w14:schemeClr w14:val="tx1"/>
                  </w14:solidFill>
                </w14:textFill>
              </w:rPr>
              <w:t>、</w:t>
            </w:r>
            <w:r>
              <w:rPr>
                <w:rFonts w:ascii="宋体" w:eastAsia="宋体" w:hAnsi="宋体" w:cs="宋体" w:hint="eastAsia"/>
                <w:color w:val="000000" w:themeColor="text1"/>
                <w:szCs w:val="21"/>
                <w:highlight w:val="none"/>
                <w14:textFill>
                  <w14:solidFill>
                    <w14:schemeClr w14:val="tx1"/>
                  </w14:solidFill>
                </w14:textFill>
              </w:rPr>
              <w:t>评分中出现无证明资料或专家无法凭所提供资料判断是否得分的情况，一律作不得分处理。</w:t>
            </w:r>
          </w:p>
        </w:tc>
      </w:tr>
      <w:tr>
        <w:tblPrEx>
          <w:tblW w:w="9829" w:type="dxa"/>
          <w:jc w:val="center"/>
          <w:tblLayout w:type="fixed"/>
          <w:tblCellMar>
            <w:top w:w="0" w:type="dxa"/>
            <w:left w:w="108" w:type="dxa"/>
            <w:bottom w:w="0" w:type="dxa"/>
            <w:right w:w="108" w:type="dxa"/>
          </w:tblCellMar>
        </w:tblPrEx>
        <w:trPr>
          <w:trHeight w:val="28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2</w:t>
            </w:r>
          </w:p>
        </w:tc>
        <w:tc>
          <w:tcPr>
            <w:tcW w:w="1464" w:type="dxa"/>
            <w:vAlign w:val="center"/>
          </w:tcPr>
          <w:p>
            <w:pPr>
              <w:shd w:val="clear" w:color="auto" w:fill="auto"/>
              <w:wordWrap w:val="0"/>
              <w:snapToGrid w:val="0"/>
              <w:jc w:val="center"/>
              <w:rPr>
                <w:rFonts w:ascii="宋体" w:hAnsi="宋体" w:cs="宋体" w:hint="eastAsia"/>
                <w:szCs w:val="21"/>
                <w:highlight w:val="none"/>
                <w:lang w:val="en-US" w:eastAsia="zh-CN"/>
              </w:rPr>
            </w:pPr>
            <w:r>
              <w:rPr>
                <w:rFonts w:ascii="宋体" w:hAnsi="宋体" w:cs="宋体" w:hint="eastAsia"/>
                <w:strike w:val="0"/>
                <w:kern w:val="2"/>
                <w:sz w:val="21"/>
                <w:szCs w:val="21"/>
                <w:highlight w:val="none"/>
                <w:lang w:eastAsia="zh-CN"/>
              </w:rPr>
              <w:t>履约评价</w:t>
            </w:r>
          </w:p>
        </w:tc>
        <w:tc>
          <w:tcPr>
            <w:tcW w:w="809"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12</w:t>
            </w:r>
          </w:p>
        </w:tc>
        <w:tc>
          <w:tcPr>
            <w:tcW w:w="1119" w:type="dxa"/>
            <w:vAlign w:val="center"/>
          </w:tcPr>
          <w:p>
            <w:pPr>
              <w:adjustRightInd w:val="0"/>
              <w:snapToGrid w:val="0"/>
              <w:jc w:val="center"/>
              <w:rPr>
                <w:rFonts w:ascii="宋体" w:hAnsi="宋体" w:cs="宋体" w:hint="eastAsia"/>
                <w:szCs w:val="21"/>
                <w:highlight w:val="none"/>
              </w:rPr>
            </w:pPr>
            <w:r>
              <w:rPr>
                <w:rFonts w:ascii="宋体" w:hAnsi="宋体" w:cs="宋体" w:hint="eastAsia"/>
                <w:szCs w:val="21"/>
                <w:highlight w:val="none"/>
              </w:rPr>
              <w:t>专家评分</w:t>
            </w:r>
          </w:p>
        </w:tc>
        <w:tc>
          <w:tcPr>
            <w:tcW w:w="5694" w:type="dxa"/>
          </w:tcPr>
          <w:p>
            <w:pPr>
              <w:pStyle w:val="CommentText"/>
              <w:rPr>
                <w:rFonts w:ascii="宋体" w:hAnsi="宋体" w:cs="宋体"/>
                <w:szCs w:val="21"/>
                <w:highlight w:val="none"/>
              </w:rPr>
            </w:pPr>
            <w:r>
              <w:rPr>
                <w:rFonts w:ascii="宋体" w:hAnsi="宋体" w:cs="宋体" w:hint="eastAsia"/>
                <w:b/>
                <w:bCs/>
                <w:color w:val="000000"/>
                <w:szCs w:val="21"/>
                <w:highlight w:val="none"/>
              </w:rPr>
              <w:t>（一）</w:t>
            </w:r>
            <w:r>
              <w:rPr>
                <w:rFonts w:ascii="宋体" w:eastAsia="宋体" w:hAnsi="宋体" w:cs="宋体" w:hint="eastAsia"/>
                <w:b/>
                <w:bCs/>
                <w:color w:val="000000" w:themeColor="text1"/>
                <w:szCs w:val="21"/>
                <w:highlight w:val="none"/>
                <w14:textFill>
                  <w14:solidFill>
                    <w14:schemeClr w14:val="tx1"/>
                  </w14:solidFill>
                </w14:textFill>
              </w:rPr>
              <w:t>评分内容</w:t>
            </w:r>
            <w:r>
              <w:rPr>
                <w:rFonts w:ascii="宋体" w:hAnsi="宋体" w:cs="宋体" w:hint="eastAsia"/>
                <w:szCs w:val="21"/>
                <w:highlight w:val="none"/>
              </w:rPr>
              <w:t>：</w:t>
            </w:r>
          </w:p>
          <w:p>
            <w:pPr>
              <w:pStyle w:val="CommentText"/>
              <w:rPr>
                <w:rFonts w:ascii="宋体" w:hAnsi="宋体" w:cs="宋体"/>
                <w:szCs w:val="21"/>
                <w:highlight w:val="none"/>
              </w:rPr>
            </w:pPr>
            <w:r>
              <w:rPr>
                <w:rFonts w:ascii="宋体" w:hAnsi="宋体" w:cs="宋体" w:hint="eastAsia"/>
                <w:szCs w:val="21"/>
                <w:highlight w:val="none"/>
              </w:rPr>
              <w:t>投标人在上述“</w:t>
            </w:r>
            <w:r>
              <w:rPr>
                <w:rFonts w:ascii="宋体" w:eastAsia="宋体" w:hAnsi="宋体" w:cs="宋体" w:hint="eastAsia"/>
                <w:color w:val="000000"/>
                <w:szCs w:val="21"/>
                <w:highlight w:val="none"/>
              </w:rPr>
              <w:t>同类业绩</w:t>
            </w:r>
            <w:r>
              <w:rPr>
                <w:rFonts w:ascii="宋体" w:hAnsi="宋体" w:cs="宋体" w:hint="eastAsia"/>
                <w:szCs w:val="21"/>
                <w:highlight w:val="none"/>
              </w:rPr>
              <w:t>”评审项中参加评审并被认定有效的业绩，能够提供用户出具的履约评价书且</w:t>
            </w:r>
            <w:r>
              <w:rPr>
                <w:rFonts w:ascii="宋体" w:hAnsi="宋体" w:cs="宋体" w:hint="eastAsia"/>
                <w:szCs w:val="21"/>
                <w:highlight w:val="none"/>
                <w:lang w:val="en-US" w:eastAsia="zh-CN"/>
              </w:rPr>
              <w:t>履约</w:t>
            </w:r>
            <w:r>
              <w:rPr>
                <w:rFonts w:ascii="宋体" w:hAnsi="宋体" w:cs="宋体" w:hint="eastAsia"/>
                <w:szCs w:val="21"/>
                <w:highlight w:val="none"/>
              </w:rPr>
              <w:t>评价等级为最高评价等级（如非常满意、非常优秀等）的，每份评价书得</w:t>
            </w:r>
            <w:r>
              <w:rPr>
                <w:rFonts w:ascii="宋体" w:hAnsi="宋体" w:cs="宋体" w:hint="eastAsia"/>
                <w:szCs w:val="21"/>
                <w:highlight w:val="none"/>
                <w:lang w:val="en-US" w:eastAsia="zh-CN"/>
              </w:rPr>
              <w:t>25</w:t>
            </w:r>
            <w:r>
              <w:rPr>
                <w:rFonts w:ascii="宋体" w:hAnsi="宋体" w:cs="宋体" w:hint="eastAsia"/>
                <w:szCs w:val="21"/>
                <w:highlight w:val="none"/>
              </w:rPr>
              <w:t>分，最高得</w:t>
            </w:r>
            <w:r>
              <w:rPr>
                <w:rFonts w:ascii="宋体" w:hAnsi="宋体" w:cs="宋体" w:hint="eastAsia"/>
                <w:szCs w:val="21"/>
                <w:highlight w:val="none"/>
                <w:lang w:val="en-US" w:eastAsia="zh-CN"/>
              </w:rPr>
              <w:t>100</w:t>
            </w:r>
            <w:r>
              <w:rPr>
                <w:rFonts w:ascii="宋体" w:hAnsi="宋体" w:cs="宋体" w:hint="eastAsia"/>
                <w:szCs w:val="21"/>
                <w:highlight w:val="none"/>
              </w:rPr>
              <w:t>分。</w:t>
            </w:r>
          </w:p>
          <w:p>
            <w:pPr>
              <w:pStyle w:val="CommentText"/>
              <w:rPr>
                <w:rFonts w:ascii="宋体" w:hAnsi="宋体" w:cs="宋体"/>
                <w:b/>
                <w:bCs/>
                <w:color w:val="000000"/>
                <w:szCs w:val="21"/>
                <w:highlight w:val="none"/>
              </w:rPr>
            </w:pPr>
            <w:r>
              <w:rPr>
                <w:rFonts w:ascii="宋体" w:eastAsia="宋体" w:hAnsi="宋体" w:cs="宋体" w:hint="eastAsia"/>
                <w:b/>
                <w:bCs/>
                <w:color w:val="000000" w:themeColor="text1"/>
                <w:szCs w:val="21"/>
                <w:highlight w:val="none"/>
                <w:lang w:val="zh-CN"/>
                <w14:textFill>
                  <w14:solidFill>
                    <w14:schemeClr w14:val="tx1"/>
                  </w14:solidFill>
                </w14:textFill>
              </w:rPr>
              <w:t>（二）评分</w:t>
            </w:r>
            <w:r>
              <w:rPr>
                <w:rFonts w:ascii="宋体" w:eastAsia="宋体" w:hAnsi="宋体" w:cs="宋体" w:hint="eastAsia"/>
                <w:b/>
                <w:bCs/>
                <w:color w:val="000000" w:themeColor="text1"/>
                <w:szCs w:val="21"/>
                <w:highlight w:val="none"/>
                <w14:textFill>
                  <w14:solidFill>
                    <w14:schemeClr w14:val="tx1"/>
                  </w14:solidFill>
                </w14:textFill>
              </w:rPr>
              <w:t>标准</w:t>
            </w:r>
            <w:r>
              <w:rPr>
                <w:rFonts w:ascii="宋体" w:hAnsi="宋体" w:cs="宋体" w:hint="eastAsia"/>
                <w:b/>
                <w:bCs/>
                <w:color w:val="000000"/>
                <w:szCs w:val="21"/>
                <w:highlight w:val="none"/>
              </w:rPr>
              <w:t>：</w:t>
            </w:r>
          </w:p>
          <w:p>
            <w:pPr>
              <w:pStyle w:val="BodyText"/>
              <w:spacing w:line="240" w:lineRule="auto"/>
              <w:rPr>
                <w:rFonts w:ascii="宋体" w:hAnsi="宋体" w:cs="宋体" w:hint="eastAsia"/>
                <w:highlight w:val="none"/>
                <w:lang w:val="en-US" w:eastAsia="zh-CN"/>
              </w:rPr>
            </w:pPr>
            <w:r>
              <w:rPr>
                <w:rFonts w:ascii="宋体" w:hAnsi="宋体" w:cs="宋体" w:hint="eastAsia"/>
                <w:szCs w:val="21"/>
                <w:highlight w:val="none"/>
              </w:rPr>
              <w:t>提供满意度调查表或</w:t>
            </w:r>
            <w:r>
              <w:rPr>
                <w:rFonts w:ascii="宋体" w:hAnsi="宋体" w:hint="eastAsia"/>
                <w:color w:val="000000"/>
                <w:szCs w:val="21"/>
                <w:highlight w:val="none"/>
              </w:rPr>
              <w:t>甲方反馈材料</w:t>
            </w:r>
            <w:r>
              <w:rPr>
                <w:rFonts w:ascii="宋体" w:hAnsi="宋体" w:cs="宋体" w:hint="eastAsia"/>
                <w:szCs w:val="21"/>
                <w:highlight w:val="none"/>
              </w:rPr>
              <w:t>（需加盖甲方公章或甲方科室章），并加盖投标人公章。不提供或无法辨别的，不得分。未提供证明文件者或提供的证明文件不符合要求（或不清晰）导致评委无法辨别，一律作不得分处理。</w:t>
            </w:r>
          </w:p>
        </w:tc>
      </w:tr>
      <w:tr>
        <w:tblPrEx>
          <w:tblW w:w="9829" w:type="dxa"/>
          <w:jc w:val="center"/>
          <w:tblLayout w:type="fixed"/>
          <w:tblCellMar>
            <w:top w:w="0" w:type="dxa"/>
            <w:left w:w="108" w:type="dxa"/>
            <w:bottom w:w="0" w:type="dxa"/>
            <w:right w:w="108" w:type="dxa"/>
          </w:tblCellMar>
        </w:tblPrEx>
        <w:trPr>
          <w:trHeight w:val="28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3</w:t>
            </w:r>
          </w:p>
        </w:tc>
        <w:tc>
          <w:tcPr>
            <w:tcW w:w="1464" w:type="dxa"/>
            <w:vAlign w:val="center"/>
          </w:tcPr>
          <w:p>
            <w:pPr>
              <w:shd w:val="clear" w:color="auto" w:fill="auto"/>
              <w:wordWrap w:val="0"/>
              <w:snapToGrid w:val="0"/>
              <w:jc w:val="center"/>
              <w:rPr>
                <w:rFonts w:ascii="宋体" w:hAnsi="宋体" w:cs="宋体" w:hint="eastAsia"/>
                <w:szCs w:val="21"/>
                <w:highlight w:val="none"/>
              </w:rPr>
            </w:pPr>
            <w:r>
              <w:rPr>
                <w:rFonts w:ascii="宋体" w:hAnsi="宋体" w:cs="宋体" w:hint="eastAsia"/>
                <w:strike w:val="0"/>
                <w:szCs w:val="21"/>
                <w:highlight w:val="none"/>
                <w:lang w:eastAsia="zh-CN"/>
              </w:rPr>
              <w:t>投标人认证情况</w:t>
            </w:r>
          </w:p>
        </w:tc>
        <w:tc>
          <w:tcPr>
            <w:tcW w:w="809"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9</w:t>
            </w:r>
          </w:p>
        </w:tc>
        <w:tc>
          <w:tcPr>
            <w:tcW w:w="1119" w:type="dxa"/>
            <w:vAlign w:val="center"/>
          </w:tcPr>
          <w:p>
            <w:pPr>
              <w:adjustRightInd w:val="0"/>
              <w:snapToGrid w:val="0"/>
              <w:jc w:val="center"/>
              <w:rPr>
                <w:rFonts w:ascii="宋体" w:hAnsi="宋体" w:cs="宋体" w:hint="eastAsia"/>
                <w:szCs w:val="21"/>
                <w:highlight w:val="none"/>
              </w:rPr>
            </w:pPr>
            <w:r>
              <w:rPr>
                <w:rFonts w:ascii="宋体" w:hAnsi="宋体" w:cs="宋体" w:hint="eastAsia"/>
                <w:szCs w:val="21"/>
                <w:highlight w:val="none"/>
              </w:rPr>
              <w:t>专家评分</w:t>
            </w:r>
          </w:p>
        </w:tc>
        <w:tc>
          <w:tcPr>
            <w:tcW w:w="5694" w:type="dxa"/>
          </w:tcPr>
          <w:p>
            <w:pPr>
              <w:rPr>
                <w:rFonts w:ascii="宋体" w:hAnsi="宋体" w:cs="宋体"/>
                <w:b/>
                <w:bCs/>
                <w:szCs w:val="21"/>
                <w:highlight w:val="none"/>
              </w:rPr>
            </w:pPr>
            <w:r>
              <w:rPr>
                <w:rFonts w:ascii="宋体" w:hAnsi="宋体" w:cs="宋体" w:hint="eastAsia"/>
                <w:b/>
                <w:bCs/>
                <w:szCs w:val="21"/>
                <w:highlight w:val="none"/>
              </w:rPr>
              <w:t>（一）评分内容：</w:t>
            </w:r>
          </w:p>
          <w:p>
            <w:pPr>
              <w:rPr>
                <w:rFonts w:ascii="宋体" w:hAnsi="宋体" w:cs="宋体"/>
                <w:szCs w:val="21"/>
                <w:highlight w:val="none"/>
              </w:rPr>
            </w:pPr>
            <w:r>
              <w:rPr>
                <w:rFonts w:ascii="宋体" w:hAnsi="宋体" w:cs="宋体" w:hint="eastAsia"/>
                <w:szCs w:val="21"/>
                <w:highlight w:val="none"/>
              </w:rPr>
              <w:t>1、具有ISO9001质量管理体系认证，得</w:t>
            </w:r>
            <w:r>
              <w:rPr>
                <w:rFonts w:ascii="宋体" w:hAnsi="宋体" w:cs="宋体" w:hint="eastAsia"/>
                <w:szCs w:val="21"/>
                <w:highlight w:val="none"/>
                <w:lang w:val="en-US" w:eastAsia="zh-CN"/>
              </w:rPr>
              <w:t>33</w:t>
            </w:r>
            <w:r>
              <w:rPr>
                <w:rFonts w:ascii="宋体" w:hAnsi="宋体" w:cs="宋体" w:hint="eastAsia"/>
                <w:szCs w:val="21"/>
                <w:highlight w:val="none"/>
              </w:rPr>
              <w:t>分；</w:t>
            </w:r>
          </w:p>
          <w:p>
            <w:pPr>
              <w:rPr>
                <w:rFonts w:ascii="宋体" w:hAnsi="宋体" w:cs="宋体"/>
                <w:szCs w:val="21"/>
                <w:highlight w:val="none"/>
              </w:rPr>
            </w:pPr>
            <w:r>
              <w:rPr>
                <w:rFonts w:ascii="宋体" w:hAnsi="宋体" w:cs="宋体" w:hint="eastAsia"/>
                <w:szCs w:val="21"/>
                <w:highlight w:val="none"/>
              </w:rPr>
              <w:t>2、具有ISO14001环境管理体系认证，得</w:t>
            </w:r>
            <w:r>
              <w:rPr>
                <w:rFonts w:ascii="宋体" w:hAnsi="宋体" w:cs="宋体" w:hint="eastAsia"/>
                <w:szCs w:val="21"/>
                <w:highlight w:val="none"/>
                <w:lang w:val="en-US" w:eastAsia="zh-CN"/>
              </w:rPr>
              <w:t>33</w:t>
            </w:r>
            <w:r>
              <w:rPr>
                <w:rFonts w:ascii="宋体" w:hAnsi="宋体" w:cs="宋体" w:hint="eastAsia"/>
                <w:szCs w:val="21"/>
                <w:highlight w:val="none"/>
              </w:rPr>
              <w:t>分；</w:t>
            </w:r>
          </w:p>
          <w:p>
            <w:pPr>
              <w:rPr>
                <w:rFonts w:ascii="宋体" w:hAnsi="宋体" w:cs="宋体"/>
                <w:szCs w:val="21"/>
                <w:highlight w:val="none"/>
              </w:rPr>
            </w:pPr>
            <w:r>
              <w:rPr>
                <w:rFonts w:ascii="宋体" w:hAnsi="宋体" w:cs="宋体" w:hint="eastAsia"/>
                <w:szCs w:val="21"/>
                <w:highlight w:val="none"/>
              </w:rPr>
              <w:t>3、具有ISO45001职业健康安全管理体系认证，得</w:t>
            </w:r>
            <w:r>
              <w:rPr>
                <w:rFonts w:ascii="宋体" w:hAnsi="宋体" w:cs="宋体" w:hint="eastAsia"/>
                <w:szCs w:val="21"/>
                <w:highlight w:val="none"/>
                <w:lang w:val="en-US" w:eastAsia="zh-CN"/>
              </w:rPr>
              <w:t>34</w:t>
            </w:r>
            <w:r>
              <w:rPr>
                <w:rFonts w:ascii="宋体" w:hAnsi="宋体" w:cs="宋体" w:hint="eastAsia"/>
                <w:szCs w:val="21"/>
                <w:highlight w:val="none"/>
              </w:rPr>
              <w:t>分。</w:t>
            </w:r>
          </w:p>
          <w:p>
            <w:pPr>
              <w:rPr>
                <w:rFonts w:ascii="宋体" w:eastAsia="宋体" w:hAnsi="宋体" w:cs="宋体" w:hint="default"/>
                <w:b/>
                <w:bCs/>
                <w:szCs w:val="21"/>
                <w:highlight w:val="none"/>
                <w:lang w:val="en-US" w:eastAsia="zh-CN"/>
              </w:rPr>
            </w:pPr>
            <w:r>
              <w:rPr>
                <w:rFonts w:ascii="宋体" w:hAnsi="宋体" w:cs="宋体" w:hint="eastAsia"/>
                <w:b/>
                <w:bCs/>
                <w:szCs w:val="21"/>
                <w:highlight w:val="none"/>
                <w:lang w:val="en-US" w:eastAsia="zh-CN"/>
              </w:rPr>
              <w:t>以上累计得分，本项最高得100</w:t>
            </w:r>
            <w:r>
              <w:rPr>
                <w:rFonts w:ascii="宋体" w:hAnsi="宋体" w:cs="宋体" w:hint="eastAsia"/>
                <w:b/>
                <w:bCs/>
                <w:szCs w:val="21"/>
                <w:highlight w:val="none"/>
              </w:rPr>
              <w:t>分</w:t>
            </w:r>
            <w:r>
              <w:rPr>
                <w:rFonts w:ascii="宋体" w:hAnsi="宋体" w:cs="宋体" w:hint="eastAsia"/>
                <w:szCs w:val="21"/>
                <w:highlight w:val="none"/>
              </w:rPr>
              <w:t>。</w:t>
            </w:r>
          </w:p>
          <w:p>
            <w:pPr>
              <w:rPr>
                <w:rFonts w:ascii="宋体" w:hAnsi="宋体" w:cs="宋体"/>
                <w:b/>
                <w:bCs/>
                <w:szCs w:val="21"/>
                <w:highlight w:val="none"/>
              </w:rPr>
            </w:pPr>
            <w:r>
              <w:rPr>
                <w:rFonts w:ascii="宋体" w:hAnsi="宋体" w:cs="宋体" w:hint="eastAsia"/>
                <w:b/>
                <w:bCs/>
                <w:szCs w:val="21"/>
                <w:highlight w:val="none"/>
              </w:rPr>
              <w:t>（二）</w:t>
            </w:r>
            <w:r>
              <w:rPr>
                <w:rFonts w:ascii="宋体" w:hAnsi="宋体" w:cs="宋体" w:hint="eastAsia"/>
                <w:b/>
                <w:bCs/>
                <w:color w:val="000000"/>
                <w:szCs w:val="21"/>
                <w:highlight w:val="none"/>
              </w:rPr>
              <w:t>评分标准</w:t>
            </w:r>
            <w:r>
              <w:rPr>
                <w:rFonts w:ascii="宋体" w:hAnsi="宋体" w:cs="宋体" w:hint="eastAsia"/>
                <w:b/>
                <w:bCs/>
                <w:szCs w:val="21"/>
                <w:highlight w:val="none"/>
              </w:rPr>
              <w:t>：</w:t>
            </w:r>
          </w:p>
          <w:p>
            <w:pPr>
              <w:rPr>
                <w:rFonts w:ascii="宋体" w:eastAsia="宋体" w:hAnsi="宋体" w:cs="宋体" w:hint="eastAsia"/>
                <w:szCs w:val="21"/>
                <w:highlight w:val="none"/>
                <w:lang w:eastAsia="zh-CN"/>
              </w:rPr>
            </w:pPr>
            <w:r>
              <w:rPr>
                <w:rFonts w:ascii="宋体" w:hAnsi="宋体" w:cs="宋体" w:hint="eastAsia"/>
                <w:szCs w:val="21"/>
                <w:highlight w:val="none"/>
              </w:rPr>
              <w:t>1、提供有效</w:t>
            </w:r>
            <w:r>
              <w:rPr>
                <w:rFonts w:ascii="宋体" w:hAnsi="宋体" w:cs="宋体" w:hint="eastAsia"/>
                <w:szCs w:val="21"/>
                <w:highlight w:val="none"/>
                <w:lang w:val="en-US" w:eastAsia="zh-CN"/>
              </w:rPr>
              <w:t>的</w:t>
            </w:r>
            <w:r>
              <w:rPr>
                <w:rFonts w:ascii="宋体" w:hAnsi="宋体" w:cs="宋体" w:hint="eastAsia"/>
                <w:szCs w:val="21"/>
                <w:highlight w:val="none"/>
              </w:rPr>
              <w:t>体系认证</w:t>
            </w:r>
            <w:r>
              <w:rPr>
                <w:rFonts w:ascii="宋体" w:hAnsi="宋体" w:cs="宋体" w:hint="eastAsia"/>
                <w:szCs w:val="21"/>
                <w:highlight w:val="none"/>
                <w:lang w:val="en-US" w:eastAsia="zh-CN"/>
              </w:rPr>
              <w:t>证书扫描件</w:t>
            </w:r>
            <w:r>
              <w:rPr>
                <w:rFonts w:ascii="宋体" w:hAnsi="宋体" w:cs="宋体" w:hint="eastAsia"/>
                <w:szCs w:val="21"/>
                <w:highlight w:val="none"/>
              </w:rPr>
              <w:t>作为评分依据</w:t>
            </w:r>
            <w:r>
              <w:rPr>
                <w:rFonts w:ascii="宋体" w:hAnsi="宋体" w:cs="宋体" w:hint="eastAsia"/>
                <w:szCs w:val="21"/>
                <w:highlight w:val="none"/>
                <w:lang w:eastAsia="zh-CN"/>
              </w:rPr>
              <w:t>。</w:t>
            </w:r>
          </w:p>
          <w:p>
            <w:pPr>
              <w:rPr>
                <w:rFonts w:ascii="宋体" w:eastAsia="宋体" w:hAnsi="宋体" w:cs="宋体" w:hint="eastAsia"/>
                <w:szCs w:val="21"/>
                <w:highlight w:val="none"/>
                <w:lang w:eastAsia="zh-CN"/>
              </w:rPr>
            </w:pPr>
            <w:r>
              <w:rPr>
                <w:rFonts w:ascii="宋体" w:hAnsi="宋体" w:cs="宋体" w:hint="eastAsia"/>
                <w:szCs w:val="21"/>
                <w:highlight w:val="none"/>
              </w:rPr>
              <w:t>2、提供证书官网或国家认监委网站【全国认证认可信息公共服务平台（cx.cnca.cn）】认证信息查询截图（截图需显示证书状态为有效）。相关证书在公开渠道无法查询的，投标人需提供颁发部门的证明材料，证明证书真实有效且为合法机构颁发</w:t>
            </w:r>
            <w:r>
              <w:rPr>
                <w:rFonts w:ascii="宋体" w:hAnsi="宋体" w:cs="宋体" w:hint="eastAsia"/>
                <w:szCs w:val="21"/>
                <w:highlight w:val="none"/>
                <w:lang w:eastAsia="zh-CN"/>
              </w:rPr>
              <w:t>。</w:t>
            </w:r>
            <w:r>
              <w:rPr>
                <w:rFonts w:ascii="宋体" w:eastAsia="宋体" w:hAnsi="宋体" w:cs="宋体" w:hint="eastAsia"/>
                <w:sz w:val="21"/>
                <w:szCs w:val="21"/>
                <w:highlight w:val="none"/>
                <w:lang w:val="en-US" w:eastAsia="zh-CN"/>
              </w:rPr>
              <w:t>如投标人成立时间不足三个月，可提供情况说明作为佐证材料，无需提供证书和认证信息查询截图亦视为满足评分要求。</w:t>
            </w:r>
          </w:p>
          <w:p>
            <w:pPr>
              <w:pStyle w:val="BodyText"/>
              <w:spacing w:line="240" w:lineRule="auto"/>
              <w:rPr>
                <w:rFonts w:eastAsia="宋体" w:hint="default"/>
                <w:highlight w:val="none"/>
                <w:lang w:val="en-US" w:eastAsia="zh-CN"/>
              </w:rPr>
            </w:pPr>
            <w:r>
              <w:rPr>
                <w:rFonts w:ascii="宋体" w:hAnsi="宋体" w:cs="宋体" w:hint="eastAsia"/>
                <w:szCs w:val="21"/>
                <w:highlight w:val="none"/>
              </w:rPr>
              <w:t>3、以上证明文件均提供</w:t>
            </w:r>
            <w:r>
              <w:rPr>
                <w:rFonts w:ascii="宋体" w:hAnsi="宋体" w:cs="宋体" w:hint="eastAsia"/>
                <w:szCs w:val="21"/>
                <w:highlight w:val="none"/>
                <w:lang w:val="en-US" w:eastAsia="zh-CN"/>
              </w:rPr>
              <w:t>扫描</w:t>
            </w:r>
            <w:r>
              <w:rPr>
                <w:rFonts w:ascii="宋体" w:hAnsi="宋体" w:cs="宋体" w:hint="eastAsia"/>
                <w:szCs w:val="21"/>
                <w:highlight w:val="none"/>
              </w:rPr>
              <w:t>件（或官方网站截图）。对于未提供有效证明文件，未提供查询记录且无其他证明材料的，或者提供不清晰导致评委无法判断的，均作不得分处理。</w:t>
            </w:r>
          </w:p>
        </w:tc>
      </w:tr>
      <w:tr>
        <w:tblPrEx>
          <w:tblW w:w="9829" w:type="dxa"/>
          <w:jc w:val="center"/>
          <w:tblLayout w:type="fixed"/>
          <w:tblCellMar>
            <w:top w:w="0" w:type="dxa"/>
            <w:left w:w="108" w:type="dxa"/>
            <w:bottom w:w="0" w:type="dxa"/>
            <w:right w:w="108" w:type="dxa"/>
          </w:tblCellMar>
        </w:tblPrEx>
        <w:trPr>
          <w:trHeight w:val="178"/>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4</w:t>
            </w:r>
          </w:p>
        </w:tc>
        <w:tc>
          <w:tcPr>
            <w:tcW w:w="1464" w:type="dxa"/>
            <w:vAlign w:val="center"/>
          </w:tcPr>
          <w:p>
            <w:pPr>
              <w:adjustRightInd w:val="0"/>
              <w:snapToGrid w:val="0"/>
              <w:jc w:val="center"/>
              <w:rPr>
                <w:rFonts w:ascii="宋体" w:hAnsi="宋体" w:cs="宋体"/>
                <w:kern w:val="0"/>
                <w:szCs w:val="21"/>
                <w:highlight w:val="none"/>
              </w:rPr>
            </w:pPr>
            <w:r>
              <w:rPr>
                <w:rFonts w:ascii="宋体" w:hAnsi="宋体" w:cs="宋体" w:hint="eastAsia"/>
                <w:kern w:val="0"/>
                <w:szCs w:val="21"/>
                <w:highlight w:val="none"/>
              </w:rPr>
              <w:t>市财政局</w:t>
            </w:r>
          </w:p>
          <w:p>
            <w:pPr>
              <w:adjustRightInd w:val="0"/>
              <w:snapToGrid w:val="0"/>
              <w:jc w:val="center"/>
              <w:rPr>
                <w:rFonts w:ascii="宋体" w:eastAsia="宋体" w:hAnsi="宋体" w:cs="宋体" w:hint="eastAsia"/>
                <w:szCs w:val="21"/>
                <w:highlight w:val="none"/>
              </w:rPr>
            </w:pPr>
            <w:r>
              <w:rPr>
                <w:rFonts w:ascii="宋体" w:hAnsi="宋体" w:cs="宋体" w:hint="eastAsia"/>
                <w:kern w:val="0"/>
                <w:szCs w:val="21"/>
                <w:highlight w:val="none"/>
              </w:rPr>
              <w:t>诚信管理情况</w:t>
            </w:r>
          </w:p>
        </w:tc>
        <w:tc>
          <w:tcPr>
            <w:tcW w:w="809" w:type="dxa"/>
            <w:vAlign w:val="center"/>
          </w:tcPr>
          <w:p>
            <w:pPr>
              <w:adjustRightInd w:val="0"/>
              <w:snapToGrid w:val="0"/>
              <w:jc w:val="center"/>
              <w:rPr>
                <w:rFonts w:ascii="宋体" w:hAnsi="宋体" w:cs="宋体" w:hint="eastAsia"/>
                <w:szCs w:val="21"/>
                <w:highlight w:val="none"/>
                <w:lang w:val="en-US" w:eastAsia="zh-CN"/>
              </w:rPr>
            </w:pPr>
            <w:r>
              <w:rPr>
                <w:rFonts w:ascii="宋体" w:hAnsi="宋体" w:cs="宋体" w:hint="eastAsia"/>
                <w:szCs w:val="21"/>
                <w:highlight w:val="none"/>
              </w:rPr>
              <w:t>5</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hAnsi="宋体" w:cs="宋体" w:hint="eastAsia"/>
                <w:szCs w:val="21"/>
                <w:highlight w:val="none"/>
              </w:rPr>
              <w:t>专家评分</w:t>
            </w:r>
          </w:p>
        </w:tc>
        <w:tc>
          <w:tcPr>
            <w:tcW w:w="5694" w:type="dxa"/>
            <w:vAlign w:val="top"/>
          </w:tcPr>
          <w:p>
            <w:pPr>
              <w:wordWrap w:val="0"/>
              <w:snapToGrid w:val="0"/>
              <w:rPr>
                <w:rFonts w:ascii="宋体" w:hAnsi="宋体" w:cs="宋体"/>
                <w:b/>
                <w:szCs w:val="21"/>
                <w:highlight w:val="none"/>
              </w:rPr>
            </w:pPr>
            <w:r>
              <w:rPr>
                <w:rFonts w:ascii="宋体" w:hAnsi="宋体" w:cs="宋体" w:hint="eastAsia"/>
                <w:b/>
                <w:szCs w:val="21"/>
                <w:highlight w:val="none"/>
              </w:rPr>
              <w:t>（一）评分内容：</w:t>
            </w:r>
          </w:p>
          <w:p>
            <w:pPr>
              <w:wordWrap w:val="0"/>
              <w:snapToGrid w:val="0"/>
              <w:rPr>
                <w:rFonts w:ascii="宋体" w:hAnsi="宋体" w:cs="宋体" w:hint="eastAsia"/>
                <w:szCs w:val="21"/>
                <w:highlight w:val="none"/>
                <w:lang w:eastAsia="zh-CN"/>
              </w:rPr>
            </w:pPr>
            <w:r>
              <w:rPr>
                <w:rFonts w:ascii="宋体" w:hAnsi="宋体" w:cs="宋体" w:hint="eastAsia"/>
                <w:szCs w:val="21"/>
                <w:highlight w:val="none"/>
              </w:rPr>
              <w:t>投标人在参与政府采购活动中存在诚信相关问题且在主管部门相关处理措施实施期限内的</w:t>
            </w:r>
            <w:r>
              <w:rPr>
                <w:rFonts w:ascii="宋体" w:hAnsi="宋体" w:cs="宋体" w:hint="eastAsia"/>
                <w:szCs w:val="21"/>
                <w:highlight w:val="none"/>
                <w:lang w:eastAsia="zh-CN"/>
              </w:rPr>
              <w:t>；</w:t>
            </w:r>
            <w:r>
              <w:rPr>
                <w:rFonts w:ascii="宋体" w:hAnsi="宋体" w:cs="宋体" w:hint="eastAsia"/>
                <w:szCs w:val="21"/>
                <w:highlight w:val="none"/>
                <w:lang w:val="en-US" w:eastAsia="zh-CN"/>
              </w:rPr>
              <w:t xml:space="preserve">投标人存在《深圳市财政局 </w:t>
            </w:r>
          </w:p>
          <w:p>
            <w:pPr>
              <w:wordWrap w:val="0"/>
              <w:snapToGrid w:val="0"/>
              <w:rPr>
                <w:rFonts w:ascii="宋体" w:hAnsi="宋体" w:cs="宋体"/>
                <w:szCs w:val="21"/>
                <w:highlight w:val="none"/>
              </w:rPr>
            </w:pPr>
            <w:r>
              <w:rPr>
                <w:rFonts w:ascii="宋体" w:hAnsi="宋体" w:cs="宋体" w:hint="eastAsia"/>
                <w:szCs w:val="21"/>
                <w:highlight w:val="none"/>
                <w:lang w:val="en-US" w:eastAsia="zh-CN"/>
              </w:rPr>
              <w:t>政府采购供应商信用信息管理办法》（深财规〔2023〕3 号）列明的一般行政处罚信息、一般违法失信记录信息的，</w:t>
            </w:r>
            <w:r>
              <w:rPr>
                <w:rFonts w:ascii="宋体" w:hAnsi="宋体" w:cs="宋体" w:hint="eastAsia"/>
                <w:szCs w:val="21"/>
                <w:highlight w:val="none"/>
              </w:rPr>
              <w:t>本项不得分，否则得满分。</w:t>
            </w:r>
          </w:p>
          <w:p>
            <w:pPr>
              <w:wordWrap w:val="0"/>
              <w:snapToGrid w:val="0"/>
              <w:rPr>
                <w:rFonts w:ascii="宋体" w:hAnsi="宋体" w:cs="宋体"/>
                <w:b/>
                <w:szCs w:val="21"/>
                <w:highlight w:val="none"/>
              </w:rPr>
            </w:pPr>
            <w:r>
              <w:rPr>
                <w:rFonts w:ascii="宋体" w:hAnsi="宋体" w:cs="宋体" w:hint="eastAsia"/>
                <w:b/>
                <w:szCs w:val="21"/>
                <w:highlight w:val="none"/>
              </w:rPr>
              <w:t>（二）评分</w:t>
            </w:r>
            <w:r>
              <w:rPr>
                <w:rFonts w:ascii="宋体" w:eastAsia="宋体" w:hAnsi="宋体" w:cs="宋体" w:hint="eastAsia"/>
                <w:b/>
                <w:sz w:val="21"/>
                <w:szCs w:val="21"/>
                <w:highlight w:val="none"/>
                <w:lang w:val="en-US" w:eastAsia="zh-CN"/>
              </w:rPr>
              <w:t>标准</w:t>
            </w:r>
            <w:r>
              <w:rPr>
                <w:rFonts w:ascii="宋体" w:hAnsi="宋体" w:cs="宋体" w:hint="eastAsia"/>
                <w:b/>
                <w:szCs w:val="21"/>
                <w:highlight w:val="none"/>
              </w:rPr>
              <w:t xml:space="preserve">： </w:t>
            </w:r>
          </w:p>
          <w:p>
            <w:pPr>
              <w:adjustRightInd w:val="0"/>
              <w:snapToGrid w:val="0"/>
              <w:rPr>
                <w:rFonts w:ascii="宋体" w:eastAsia="宋体" w:hAnsi="宋体" w:cs="宋体" w:hint="eastAsia"/>
                <w:bCs/>
                <w:color w:val="000000"/>
                <w:sz w:val="21"/>
                <w:szCs w:val="21"/>
                <w:highlight w:val="none"/>
                <w:lang w:val="en-US" w:eastAsia="zh-CN"/>
              </w:rPr>
            </w:pPr>
            <w:r>
              <w:rPr>
                <w:rFonts w:ascii="宋体" w:hAnsi="宋体" w:cs="宋体" w:hint="eastAsia"/>
                <w:szCs w:val="21"/>
                <w:highlight w:val="none"/>
              </w:rPr>
              <w:t>投标人无需提供任何证明材料，由工作人员向评审委员会提供相关信息。</w:t>
            </w:r>
          </w:p>
        </w:tc>
      </w:tr>
    </w:tbl>
    <w:p>
      <w:pPr>
        <w:numPr>
          <w:ilvl w:val="0"/>
          <w:numId w:val="0"/>
        </w:numPr>
        <w:ind w:firstLine="420" w:firstLineChars="200"/>
        <w:rPr>
          <w:rFonts w:ascii="宋体" w:hAnsi="宋体" w:cs="宋体"/>
          <w:color w:val="000000"/>
          <w:szCs w:val="21"/>
          <w:highlight w:val="none"/>
        </w:rPr>
      </w:pPr>
      <w:r>
        <w:rPr>
          <w:rFonts w:ascii="宋体" w:eastAsia="宋体" w:hAnsi="宋体" w:cs="宋体"/>
          <w:color w:val="000000"/>
          <w:kern w:val="2"/>
          <w:sz w:val="21"/>
          <w:szCs w:val="21"/>
          <w:highlight w:val="none"/>
          <w:lang w:val="en-US" w:eastAsia="zh-CN" w:bidi="ar-SA"/>
        </w:rPr>
        <w:t>3.</w:t>
      </w:r>
      <w:r>
        <w:rPr>
          <w:rFonts w:ascii="宋体" w:hAnsi="宋体" w:cs="宋体" w:hint="eastAsia"/>
          <w:szCs w:val="21"/>
          <w:highlight w:val="none"/>
        </w:rPr>
        <w:t>价格评价</w:t>
      </w:r>
      <w:r>
        <w:rPr>
          <w:rFonts w:ascii="宋体" w:hAnsi="宋体" w:cs="宋体" w:hint="eastAsia"/>
          <w:color w:val="000000"/>
          <w:szCs w:val="21"/>
          <w:highlight w:val="none"/>
        </w:rPr>
        <w:t>（</w:t>
      </w:r>
      <w:r>
        <w:rPr>
          <w:rFonts w:ascii="宋体" w:hAnsi="宋体" w:cs="宋体" w:hint="eastAsia"/>
          <w:color w:val="000000"/>
          <w:szCs w:val="21"/>
          <w:highlight w:val="none"/>
          <w:lang w:val="en-US" w:eastAsia="zh-CN"/>
        </w:rPr>
        <w:t>10分</w:t>
      </w:r>
      <w:r>
        <w:rPr>
          <w:rFonts w:ascii="宋体" w:hAnsi="宋体" w:cs="宋体" w:hint="eastAsia"/>
          <w:color w:val="000000"/>
          <w:szCs w:val="21"/>
          <w:highlight w:val="none"/>
        </w:rPr>
        <w:t>）</w:t>
      </w:r>
    </w:p>
    <w:p>
      <w:pPr>
        <w:ind w:left="420"/>
        <w:rPr>
          <w:rFonts w:ascii="宋体" w:hAnsi="宋体" w:cs="宋体"/>
          <w:szCs w:val="21"/>
          <w:highlight w:val="none"/>
        </w:rPr>
      </w:pPr>
      <w:r>
        <w:rPr>
          <w:rFonts w:ascii="宋体" w:hAnsi="宋体" w:cs="宋体" w:hint="eastAsia"/>
          <w:szCs w:val="21"/>
          <w:highlight w:val="none"/>
        </w:rPr>
        <w:t>（1）关于享受优惠政策的主体及价格扣除比例</w:t>
      </w:r>
    </w:p>
    <w:p>
      <w:pPr>
        <w:ind w:firstLine="420" w:firstLineChars="200"/>
        <w:rPr>
          <w:rFonts w:ascii="宋体" w:hAnsi="宋体" w:cs="宋体"/>
          <w:szCs w:val="21"/>
          <w:highlight w:val="none"/>
        </w:rPr>
      </w:pPr>
      <w:r>
        <w:rPr>
          <w:rFonts w:ascii="宋体" w:hAnsi="宋体" w:cs="宋体" w:hint="eastAsia"/>
          <w:szCs w:val="21"/>
          <w:highlight w:val="none"/>
        </w:rPr>
        <w:t>A、投标人提供的服务全部均由优惠主体承接，则对其投标总价给予</w:t>
      </w:r>
      <w:r>
        <w:rPr>
          <w:rFonts w:ascii="宋体" w:hAnsi="宋体" w:cs="宋体" w:hint="eastAsia"/>
          <w:b/>
          <w:bCs/>
          <w:color w:val="FF0000"/>
          <w:szCs w:val="21"/>
          <w:highlight w:val="none"/>
          <w:u w:val="single"/>
        </w:rPr>
        <w:t>10</w:t>
      </w:r>
      <w:r>
        <w:rPr>
          <w:rFonts w:ascii="宋体" w:hAnsi="宋体" w:cs="宋体"/>
          <w:b/>
          <w:bCs/>
          <w:color w:val="FF0000"/>
          <w:szCs w:val="21"/>
          <w:highlight w:val="none"/>
          <w:u w:val="single"/>
        </w:rPr>
        <w:t>%</w:t>
      </w:r>
      <w:r>
        <w:rPr>
          <w:rFonts w:ascii="宋体" w:hAnsi="宋体" w:cs="宋体" w:hint="eastAsia"/>
          <w:szCs w:val="21"/>
          <w:highlight w:val="none"/>
        </w:rPr>
        <w:t>的扣除，用扣除后的价格参与评审。满足多项优惠政策的企业，不重复享受多项价格扣除政策。</w:t>
      </w:r>
    </w:p>
    <w:p>
      <w:pPr>
        <w:ind w:firstLine="420" w:firstLineChars="200"/>
        <w:rPr>
          <w:rFonts w:ascii="宋体" w:hAnsi="宋体" w:cs="宋体"/>
          <w:szCs w:val="21"/>
          <w:highlight w:val="none"/>
        </w:rPr>
      </w:pPr>
      <w:r>
        <w:rPr>
          <w:rFonts w:ascii="宋体" w:hAnsi="宋体" w:cs="宋体" w:hint="eastAsia"/>
          <w:szCs w:val="21"/>
          <w:highlight w:val="none"/>
        </w:rPr>
        <w:t>备注：</w:t>
      </w:r>
    </w:p>
    <w:p>
      <w:pPr>
        <w:ind w:firstLine="420" w:firstLineChars="200"/>
        <w:rPr>
          <w:rFonts w:ascii="宋体" w:hAnsi="宋体" w:cs="宋体"/>
          <w:szCs w:val="21"/>
          <w:highlight w:val="none"/>
        </w:rPr>
      </w:pPr>
      <w:r>
        <w:rPr>
          <w:rFonts w:ascii="宋体" w:hAnsi="宋体" w:cs="宋体" w:hint="eastAsia"/>
          <w:szCs w:val="21"/>
          <w:highlight w:val="none"/>
        </w:rPr>
        <w:t>①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p>
    <w:p>
      <w:pPr>
        <w:ind w:firstLine="420" w:firstLineChars="200"/>
        <w:rPr>
          <w:rFonts w:ascii="宋体" w:hAnsi="宋体" w:cs="宋体"/>
          <w:szCs w:val="21"/>
          <w:highlight w:val="none"/>
        </w:rPr>
      </w:pPr>
      <w:r>
        <w:rPr>
          <w:rFonts w:ascii="宋体" w:hAnsi="宋体" w:cs="宋体" w:hint="eastAsia"/>
          <w:szCs w:val="21"/>
          <w:highlight w:val="none"/>
        </w:rPr>
        <w:t>②优惠主体承接是指提供服务的人员为中小企业依照《中华人民共和国劳动合同法》订立劳动合同的从业人员。</w:t>
      </w:r>
    </w:p>
    <w:p>
      <w:pPr>
        <w:ind w:firstLine="420" w:firstLineChars="200"/>
        <w:rPr>
          <w:rFonts w:ascii="宋体" w:hAnsi="宋体" w:cs="宋体"/>
          <w:szCs w:val="21"/>
          <w:highlight w:val="none"/>
        </w:rPr>
      </w:pPr>
      <w:r>
        <w:rPr>
          <w:rFonts w:ascii="宋体" w:hAnsi="宋体" w:cs="宋体" w:hint="eastAsia"/>
          <w:szCs w:val="21"/>
          <w:highlight w:val="none"/>
        </w:rPr>
        <w:t>B、根据《工业和信息化部、国家统计局、国家发展和改革委员会、财政部关于印发中小企业划型标准规定的通知》（工信部联企业〔2011〕300 号），</w:t>
      </w:r>
      <w:bookmarkStart w:id="18" w:name="_Hlk71970739"/>
      <w:r>
        <w:rPr>
          <w:rFonts w:ascii="宋体" w:hAnsi="宋体" w:cs="宋体" w:hint="eastAsia"/>
          <w:szCs w:val="21"/>
          <w:highlight w:val="none"/>
        </w:rPr>
        <w:t>本项目</w:t>
      </w:r>
      <w:bookmarkStart w:id="19" w:name="_Hlk71924718"/>
      <w:r>
        <w:rPr>
          <w:rFonts w:ascii="宋体" w:hAnsi="宋体" w:cs="宋体" w:hint="eastAsia"/>
          <w:szCs w:val="21"/>
          <w:highlight w:val="none"/>
        </w:rPr>
        <w:t>采购标的（服务需求）对应的中小企业划分标准所属行业</w:t>
      </w:r>
      <w:bookmarkEnd w:id="19"/>
      <w:r>
        <w:rPr>
          <w:rFonts w:ascii="宋体" w:hAnsi="宋体" w:cs="宋体" w:hint="eastAsia"/>
          <w:szCs w:val="21"/>
          <w:highlight w:val="none"/>
        </w:rPr>
        <w:t>为</w:t>
      </w:r>
      <w:r>
        <w:rPr>
          <w:rFonts w:ascii="宋体" w:hAnsi="宋体" w:cs="宋体" w:hint="eastAsia"/>
          <w:b/>
          <w:bCs/>
          <w:color w:val="FF0000"/>
          <w:szCs w:val="21"/>
          <w:highlight w:val="none"/>
          <w:u w:val="single"/>
        </w:rPr>
        <w:t>其他未列明行</w:t>
      </w:r>
      <w:r>
        <w:rPr>
          <w:rFonts w:ascii="宋体" w:hAnsi="宋体" w:cs="宋体"/>
          <w:b/>
          <w:bCs/>
          <w:color w:val="FF0000"/>
          <w:szCs w:val="21"/>
          <w:highlight w:val="none"/>
          <w:u w:val="single"/>
        </w:rPr>
        <w:t>业</w:t>
      </w:r>
      <w:r>
        <w:rPr>
          <w:rFonts w:ascii="宋体" w:hAnsi="宋体" w:cs="宋体" w:hint="eastAsia"/>
          <w:szCs w:val="21"/>
          <w:highlight w:val="none"/>
        </w:rPr>
        <w:t>。</w:t>
      </w:r>
      <w:bookmarkEnd w:id="18"/>
    </w:p>
    <w:p>
      <w:pPr>
        <w:ind w:firstLine="420" w:firstLineChars="200"/>
        <w:rPr>
          <w:rFonts w:ascii="宋体" w:hAnsi="宋体" w:cs="宋体"/>
          <w:szCs w:val="21"/>
          <w:highlight w:val="none"/>
        </w:rPr>
      </w:pPr>
      <w:r>
        <w:rPr>
          <w:rFonts w:ascii="宋体" w:hAnsi="宋体" w:cs="宋体" w:hint="eastAsia"/>
          <w:szCs w:val="21"/>
          <w:highlight w:val="none"/>
        </w:rPr>
        <w:t>C、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pPr>
        <w:ind w:firstLine="420" w:firstLineChars="200"/>
        <w:rPr>
          <w:rFonts w:ascii="宋体" w:hAnsi="宋体" w:cs="宋体"/>
          <w:szCs w:val="21"/>
          <w:highlight w:val="none"/>
        </w:rPr>
      </w:pPr>
      <w:r>
        <w:rPr>
          <w:rFonts w:ascii="宋体" w:hAnsi="宋体" w:cs="宋体" w:hint="eastAsia"/>
          <w:szCs w:val="21"/>
          <w:highlight w:val="none"/>
        </w:rPr>
        <w:t>D、享受价格扣除获得政府采购合同的，小微企业不得将合同分包给大中型企业。</w:t>
      </w:r>
    </w:p>
    <w:p>
      <w:pPr>
        <w:ind w:firstLine="420" w:firstLineChars="200"/>
        <w:rPr>
          <w:rFonts w:ascii="宋体" w:hAnsi="宋体" w:cs="宋体"/>
          <w:szCs w:val="21"/>
          <w:highlight w:val="none"/>
        </w:rPr>
      </w:pPr>
      <w:r>
        <w:rPr>
          <w:rFonts w:ascii="宋体" w:hAnsi="宋体" w:cs="宋体" w:hint="eastAsia"/>
          <w:szCs w:val="21"/>
          <w:highlight w:val="none"/>
        </w:rPr>
        <w:t>（2）投标人不得以低于成本的报价竞标。</w:t>
      </w:r>
    </w:p>
    <w:p>
      <w:pPr>
        <w:ind w:firstLine="420" w:firstLineChars="200"/>
        <w:rPr>
          <w:rFonts w:ascii="宋体" w:hAnsi="宋体" w:cs="宋体"/>
          <w:szCs w:val="21"/>
          <w:highlight w:val="none"/>
        </w:rPr>
      </w:pPr>
      <w:r>
        <w:rPr>
          <w:rFonts w:ascii="宋体" w:hAnsi="宋体" w:cs="宋体" w:hint="eastAsia"/>
          <w:szCs w:val="21"/>
          <w:highlight w:val="none"/>
        </w:rPr>
        <w:t>（3）如果评标委员会发现投标人的报价明显低于其他通过符合性审查投标人的报价，有可能影响产品质量或者不能诚信履约的，投标人不能合理说明或不能提供相关证明材料的，评标委员会将该投标作为投标无效处理。</w:t>
      </w:r>
    </w:p>
    <w:p>
      <w:pPr>
        <w:ind w:firstLine="420" w:firstLineChars="200"/>
        <w:rPr>
          <w:rFonts w:ascii="宋体" w:hAnsi="宋体" w:cs="宋体"/>
          <w:szCs w:val="21"/>
          <w:highlight w:val="none"/>
        </w:rPr>
      </w:pPr>
      <w:r>
        <w:rPr>
          <w:rFonts w:ascii="宋体" w:hAnsi="宋体" w:cs="宋体" w:hint="eastAsia"/>
          <w:szCs w:val="21"/>
          <w:highlight w:val="none"/>
        </w:rPr>
        <w:t>（4）评标价的确定：经投标文件符合性审查进行必要的价格更正及按上述条款的原则校核修正后的价</w:t>
      </w:r>
      <w:r>
        <w:rPr>
          <w:rFonts w:ascii="宋体" w:hAnsi="宋体" w:cs="宋体" w:hint="eastAsia"/>
          <w:color w:val="000000"/>
          <w:szCs w:val="21"/>
          <w:highlight w:val="none"/>
        </w:rPr>
        <w:t>格为评标价。</w:t>
      </w:r>
    </w:p>
    <w:p>
      <w:pPr>
        <w:ind w:firstLine="420" w:firstLineChars="200"/>
        <w:outlineLvl w:val="2"/>
        <w:rPr>
          <w:rFonts w:ascii="宋体" w:hAnsi="宋体" w:cs="宋体"/>
          <w:color w:val="000000"/>
          <w:szCs w:val="21"/>
          <w:highlight w:val="none"/>
        </w:rPr>
      </w:pPr>
      <w:r>
        <w:rPr>
          <w:rFonts w:ascii="宋体" w:hAnsi="宋体" w:cs="宋体" w:hint="eastAsia"/>
          <w:color w:val="000000"/>
          <w:szCs w:val="21"/>
          <w:highlight w:val="none"/>
        </w:rPr>
        <w:t>（5）计算价格评分（</w:t>
      </w:r>
      <w:r>
        <w:rPr>
          <w:rFonts w:ascii="宋体" w:hAnsi="宋体" w:cs="宋体" w:hint="eastAsia"/>
          <w:color w:val="000000"/>
          <w:szCs w:val="21"/>
          <w:highlight w:val="none"/>
          <w:lang w:val="en-US" w:eastAsia="zh-CN"/>
        </w:rPr>
        <w:t>10</w:t>
      </w:r>
      <w:r>
        <w:rPr>
          <w:rFonts w:ascii="宋体" w:hAnsi="宋体" w:cs="宋体" w:hint="eastAsia"/>
          <w:color w:val="000000"/>
          <w:szCs w:val="21"/>
          <w:highlight w:val="none"/>
        </w:rPr>
        <w:t>分）</w:t>
      </w:r>
    </w:p>
    <w:p>
      <w:pPr>
        <w:ind w:firstLine="420" w:firstLineChars="200"/>
        <w:rPr>
          <w:rFonts w:ascii="宋体" w:hAnsi="宋体" w:cs="宋体"/>
          <w:highlight w:val="none"/>
        </w:rPr>
      </w:pPr>
      <w:r>
        <w:rPr>
          <w:rFonts w:ascii="宋体" w:hAnsi="宋体" w:cs="宋体" w:hint="eastAsia"/>
          <w:highlight w:val="none"/>
        </w:rPr>
        <w:t>采用低价优先法计算，即满足招标文件要求且投标价格最低的投标报价</w:t>
      </w:r>
      <w:r>
        <w:rPr>
          <w:rFonts w:ascii="宋体" w:hAnsi="宋体" w:cs="宋体" w:hint="eastAsia"/>
          <w:highlight w:val="none"/>
          <w:lang w:eastAsia="zh-CN"/>
        </w:rPr>
        <w:t>（折扣率</w:t>
      </w:r>
      <w:r>
        <w:rPr>
          <w:rFonts w:ascii="宋体" w:hAnsi="宋体" w:cs="宋体" w:hint="eastAsia"/>
          <w:highlight w:val="none"/>
        </w:rPr>
        <w:t>最低</w:t>
      </w:r>
      <w:r>
        <w:rPr>
          <w:rFonts w:ascii="宋体" w:hAnsi="宋体" w:cs="宋体" w:hint="eastAsia"/>
          <w:highlight w:val="none"/>
          <w:lang w:eastAsia="zh-CN"/>
        </w:rPr>
        <w:t>）</w:t>
      </w:r>
      <w:r>
        <w:rPr>
          <w:rFonts w:ascii="宋体" w:hAnsi="宋体" w:cs="宋体" w:hint="eastAsia"/>
          <w:highlight w:val="none"/>
        </w:rPr>
        <w:t xml:space="preserve">为评标基准价，其价格分为满分。其他投标人的价格分统一按照下列公式计算： </w:t>
      </w:r>
    </w:p>
    <w:p>
      <w:pPr>
        <w:ind w:firstLine="420" w:firstLineChars="200"/>
        <w:rPr>
          <w:rFonts w:ascii="宋体" w:hAnsi="宋体" w:cs="宋体"/>
          <w:szCs w:val="21"/>
          <w:highlight w:val="none"/>
        </w:rPr>
      </w:pPr>
      <w:r>
        <w:rPr>
          <w:rFonts w:ascii="宋体" w:hAnsi="宋体" w:cs="宋体" w:hint="eastAsia"/>
          <w:highlight w:val="none"/>
        </w:rPr>
        <w:t>投标报价得分=(评标基准价／投标报价)×</w:t>
      </w:r>
      <w:r>
        <w:rPr>
          <w:rFonts w:ascii="宋体" w:hAnsi="宋体" w:cs="宋体" w:hint="eastAsia"/>
          <w:highlight w:val="none"/>
          <w:lang w:val="en-US" w:eastAsia="zh-CN"/>
        </w:rPr>
        <w:t>10</w:t>
      </w:r>
      <w:r>
        <w:rPr>
          <w:rFonts w:ascii="宋体" w:hAnsi="宋体" w:cs="宋体" w:hint="eastAsia"/>
          <w:highlight w:val="none"/>
        </w:rPr>
        <w:t>×100%</w:t>
      </w:r>
    </w:p>
    <w:p>
      <w:pPr>
        <w:ind w:firstLine="420" w:firstLineChars="200"/>
        <w:outlineLvl w:val="2"/>
        <w:rPr>
          <w:rFonts w:ascii="宋体" w:hAnsi="宋体" w:cs="宋体"/>
          <w:szCs w:val="21"/>
          <w:highlight w:val="none"/>
        </w:rPr>
      </w:pPr>
    </w:p>
    <w:p>
      <w:pPr>
        <w:ind w:firstLine="420" w:firstLineChars="200"/>
        <w:outlineLvl w:val="2"/>
        <w:rPr>
          <w:rFonts w:ascii="宋体" w:hAnsi="宋体" w:cs="宋体"/>
          <w:szCs w:val="21"/>
          <w:highlight w:val="none"/>
        </w:rPr>
      </w:pPr>
      <w:r>
        <w:rPr>
          <w:rFonts w:ascii="宋体" w:hAnsi="宋体" w:cs="宋体" w:hint="eastAsia"/>
          <w:szCs w:val="21"/>
          <w:highlight w:val="none"/>
        </w:rPr>
        <w:t>4.综合比较与评价：</w:t>
      </w:r>
    </w:p>
    <w:p>
      <w:pPr>
        <w:ind w:firstLine="420" w:firstLineChars="200"/>
        <w:rPr>
          <w:rFonts w:ascii="宋体" w:hAnsi="宋体" w:cs="宋体"/>
          <w:szCs w:val="21"/>
          <w:highlight w:val="none"/>
        </w:rPr>
      </w:pPr>
      <w:r>
        <w:rPr>
          <w:rFonts w:ascii="宋体" w:hAnsi="宋体" w:cs="宋体" w:hint="eastAsia"/>
          <w:szCs w:val="21"/>
          <w:highlight w:val="none"/>
        </w:rPr>
        <w:t xml:space="preserve">评标总得分＝F1×A1＋F2×A2＋……＋Fn×An </w:t>
      </w:r>
    </w:p>
    <w:p>
      <w:pPr>
        <w:ind w:firstLine="420" w:firstLineChars="200"/>
        <w:rPr>
          <w:rFonts w:ascii="宋体" w:hAnsi="宋体" w:cs="宋体"/>
          <w:szCs w:val="21"/>
          <w:highlight w:val="none"/>
        </w:rPr>
      </w:pPr>
      <w:r>
        <w:rPr>
          <w:rFonts w:ascii="宋体" w:hAnsi="宋体" w:cs="宋体" w:hint="eastAsia"/>
          <w:szCs w:val="21"/>
          <w:highlight w:val="none"/>
        </w:rPr>
        <w:t xml:space="preserve">F1、F2……Fn分别为各项评审因素的得分； </w:t>
      </w:r>
    </w:p>
    <w:p>
      <w:pPr>
        <w:ind w:firstLine="420" w:firstLineChars="200"/>
        <w:rPr>
          <w:rFonts w:ascii="宋体" w:hAnsi="宋体" w:cs="宋体"/>
          <w:szCs w:val="21"/>
          <w:highlight w:val="none"/>
        </w:rPr>
      </w:pPr>
      <w:r>
        <w:rPr>
          <w:rFonts w:ascii="宋体" w:hAnsi="宋体" w:cs="宋体" w:hint="eastAsia"/>
          <w:szCs w:val="21"/>
          <w:highlight w:val="none"/>
        </w:rPr>
        <w:t>A1、A2、……An 分别为各项评审因素所占的权重(A1＋A2＋……＋An＝1)。</w:t>
      </w:r>
    </w:p>
    <w:p>
      <w:pPr>
        <w:ind w:firstLine="420" w:firstLineChars="200"/>
        <w:rPr>
          <w:rFonts w:ascii="宋体" w:hAnsi="宋体" w:cs="宋体"/>
          <w:b/>
          <w:szCs w:val="21"/>
          <w:highlight w:val="none"/>
        </w:rPr>
      </w:pPr>
    </w:p>
    <w:p>
      <w:pPr>
        <w:ind w:firstLine="420" w:firstLineChars="200"/>
        <w:rPr>
          <w:rFonts w:ascii="宋体" w:hAnsi="宋体" w:cs="宋体"/>
          <w:b/>
          <w:szCs w:val="21"/>
          <w:highlight w:val="none"/>
        </w:rPr>
      </w:pPr>
      <w:r>
        <w:rPr>
          <w:rFonts w:ascii="宋体" w:hAnsi="宋体" w:cs="宋体" w:hint="eastAsia"/>
          <w:b/>
          <w:szCs w:val="21"/>
          <w:highlight w:val="none"/>
        </w:rPr>
        <w:t>（三）推荐中标候选人名单</w:t>
      </w:r>
    </w:p>
    <w:p>
      <w:pPr>
        <w:ind w:firstLine="420" w:firstLineChars="200"/>
        <w:rPr>
          <w:rFonts w:ascii="宋体" w:hAnsi="宋体" w:cs="宋体"/>
          <w:color w:val="000000"/>
          <w:szCs w:val="21"/>
          <w:highlight w:val="none"/>
        </w:rPr>
      </w:pPr>
      <w:r>
        <w:rPr>
          <w:rFonts w:ascii="宋体" w:hAnsi="宋体" w:cs="宋体" w:hint="eastAsia"/>
          <w:szCs w:val="21"/>
          <w:highlight w:val="none"/>
        </w:rPr>
        <w:t>评标委员会根据最终评审的结果，推荐综合总得分总分</w:t>
      </w:r>
      <w:r>
        <w:rPr>
          <w:rFonts w:ascii="宋体" w:hAnsi="宋体" w:cs="宋体" w:hint="eastAsia"/>
          <w:b/>
          <w:bCs/>
          <w:kern w:val="0"/>
          <w:szCs w:val="21"/>
          <w:highlight w:val="none"/>
          <w:u w:val="single"/>
        </w:rPr>
        <w:t>排名</w:t>
      </w:r>
      <w:r>
        <w:rPr>
          <w:rFonts w:ascii="宋体" w:hAnsi="宋体" w:cs="宋体" w:hint="eastAsia"/>
          <w:b/>
          <w:bCs/>
          <w:kern w:val="0"/>
          <w:szCs w:val="21"/>
          <w:highlight w:val="none"/>
          <w:u w:val="single"/>
          <w:lang w:val="en-US" w:eastAsia="zh-CN"/>
        </w:rPr>
        <w:t>第一名</w:t>
      </w:r>
      <w:r>
        <w:rPr>
          <w:rFonts w:ascii="宋体" w:hAnsi="宋体" w:cs="宋体" w:hint="eastAsia"/>
          <w:szCs w:val="21"/>
          <w:highlight w:val="none"/>
        </w:rPr>
        <w:t>的投标人作为中标候选人。综合得分相同的，按投标报价由低到高顺序排列确定候选中标人。</w:t>
      </w:r>
      <w:r>
        <w:rPr>
          <w:rFonts w:ascii="宋体" w:hAnsi="宋体" w:cs="宋体" w:hint="eastAsia"/>
          <w:color w:val="000000"/>
          <w:szCs w:val="21"/>
          <w:highlight w:val="none"/>
        </w:rPr>
        <w:t xml:space="preserve">综合得分且投标报价相同的并列。                                       </w:t>
      </w:r>
    </w:p>
    <w:p>
      <w:pPr>
        <w:pStyle w:val="NormalIndent"/>
        <w:ind w:firstLine="420" w:firstLineChars="200"/>
        <w:rPr>
          <w:rFonts w:ascii="宋体" w:hAnsi="宋体" w:cs="宋体"/>
          <w:color w:val="FF0000"/>
          <w:szCs w:val="21"/>
          <w:highlight w:val="none"/>
        </w:rPr>
      </w:pPr>
      <w:r>
        <w:rPr>
          <w:rFonts w:ascii="宋体" w:hAnsi="宋体" w:cs="宋体" w:hint="eastAsia"/>
          <w:color w:val="000000"/>
          <w:szCs w:val="21"/>
          <w:highlight w:val="none"/>
        </w:rPr>
        <w:t>中标候选人并列的，采购人可委托评标委员会按下列顺序比较确定中标人：（1）</w:t>
      </w:r>
      <w:r>
        <w:rPr>
          <w:rFonts w:ascii="宋体" w:hAnsi="宋体" w:cs="宋体" w:hint="eastAsia"/>
          <w:color w:val="000000"/>
          <w:szCs w:val="21"/>
          <w:highlight w:val="none"/>
          <w:lang w:val="en-US" w:eastAsia="zh-CN"/>
        </w:rPr>
        <w:t>服务</w:t>
      </w:r>
      <w:r>
        <w:rPr>
          <w:rFonts w:ascii="宋体" w:hAnsi="宋体" w:cs="宋体" w:hint="eastAsia"/>
          <w:color w:val="000000"/>
          <w:szCs w:val="21"/>
          <w:highlight w:val="none"/>
        </w:rPr>
        <w:t>评分（由高到低）；（2）商务评分（由高到低）。如以上都相同的，名次由采购人采取随机抽取方式确定。</w:t>
      </w:r>
    </w:p>
    <w:p>
      <w:pPr>
        <w:pStyle w:val="NormalIndent"/>
        <w:ind w:firstLine="420" w:firstLineChars="200"/>
        <w:rPr>
          <w:rFonts w:ascii="宋体" w:hAnsi="宋体" w:cs="宋体"/>
          <w:color w:val="FF0000"/>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十二、公开招标失败的后续处理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38．公开招标失败的处理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38.1本项目公开招标过程中若由于投标截止后实际递交投标文件的供应商数量不足、经评审委员会评审对招标文件作实质响应的供应商不足等原因造成公开招标失败，可由采购代理机构重新组织采购。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38.2对公开招标失败的项目，评审委员会在出具该项目招标失败结论的同时，提出重新采购组织形式的建议，以及进一步完善招标文件的资格、技术、商务要求的修改建议。</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38.3重新组织采购有以下两种组织形式：</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（1）由采购代理机构重新组织公开招标；</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（2）根据实际情况需要向政府采购监督管理部门提出非公开招标方式申请，经政府采购监督管理部门批准，公开招标失败采购项目可转为竞争性谈判或单一来源谈判方式采购。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38.4公开招标失败的采购项目重新组织公开招标，由采购代理机构重新按公开招标流程组织采购活动。</w:t>
      </w:r>
    </w:p>
    <w:p>
      <w:pPr>
        <w:pStyle w:val="NormalIndent"/>
        <w:ind w:firstLine="420" w:firstLineChars="200"/>
        <w:jc w:val="left"/>
        <w:rPr>
          <w:rFonts w:ascii="宋体" w:hAnsi="宋体" w:cs="宋体"/>
          <w:bCs/>
          <w:szCs w:val="21"/>
          <w:highlight w:val="none"/>
        </w:rPr>
      </w:pPr>
      <w:r>
        <w:rPr>
          <w:rFonts w:ascii="宋体" w:hAnsi="宋体" w:cs="宋体" w:hint="eastAsia"/>
          <w:bCs/>
          <w:szCs w:val="21"/>
          <w:highlight w:val="none"/>
        </w:rPr>
        <w:t>38.5公开招标失败的采购项目经政府采购监督管理部门批准转为竞争性谈判或单一来源谈判方式采购的，按规定要求组织政府采购工作。</w:t>
      </w:r>
    </w:p>
    <w:p>
      <w:pPr>
        <w:rPr>
          <w:rFonts w:ascii="宋体" w:hAnsi="宋体" w:cs="宋体"/>
          <w:kern w:val="0"/>
          <w:sz w:val="28"/>
          <w:szCs w:val="28"/>
          <w:highlight w:val="none"/>
        </w:rPr>
      </w:pPr>
      <w:bookmarkStart w:id="20" w:name="_Toc202819877"/>
      <w:bookmarkStart w:id="21" w:name="_Toc202251699"/>
      <w:bookmarkStart w:id="22" w:name="_Toc202816995"/>
      <w:bookmarkStart w:id="23" w:name="_Toc202254104"/>
      <w:bookmarkStart w:id="24" w:name="_Toc202252033"/>
      <w:bookmarkStart w:id="25" w:name="_Toc202820350"/>
      <w:bookmarkStart w:id="26" w:name="_Toc202251074"/>
      <w:r>
        <w:rPr>
          <w:rFonts w:ascii="宋体" w:hAnsi="宋体" w:cs="宋体" w:hint="eastAsia"/>
          <w:kern w:val="0"/>
          <w:sz w:val="28"/>
          <w:szCs w:val="28"/>
          <w:highlight w:val="none"/>
        </w:rPr>
        <w:br w:type="page"/>
      </w:r>
    </w:p>
    <w:p>
      <w:pPr>
        <w:pStyle w:val="Heading1"/>
        <w:spacing w:before="0" w:after="0" w:line="240" w:lineRule="auto"/>
        <w:jc w:val="center"/>
        <w:rPr>
          <w:rFonts w:ascii="宋体" w:hAnsi="宋体" w:cs="宋体"/>
          <w:bCs w:val="0"/>
          <w:kern w:val="0"/>
          <w:sz w:val="28"/>
          <w:szCs w:val="28"/>
          <w:highlight w:val="none"/>
        </w:rPr>
      </w:pPr>
      <w:r>
        <w:rPr>
          <w:rFonts w:ascii="宋体" w:hAnsi="宋体" w:cs="宋体" w:hint="eastAsia"/>
          <w:bCs w:val="0"/>
          <w:kern w:val="0"/>
          <w:sz w:val="28"/>
          <w:szCs w:val="28"/>
          <w:highlight w:val="none"/>
        </w:rPr>
        <w:t xml:space="preserve">第四部分 合同格式 </w:t>
      </w:r>
    </w:p>
    <w:p>
      <w:pPr>
        <w:jc w:val="center"/>
        <w:outlineLvl w:val="1"/>
        <w:rPr>
          <w:rFonts w:ascii="宋体" w:hAnsi="宋体" w:cs="宋体"/>
          <w:b/>
          <w:kern w:val="0"/>
          <w:sz w:val="28"/>
          <w:szCs w:val="28"/>
          <w:highlight w:val="none"/>
        </w:rPr>
      </w:pPr>
      <w:r>
        <w:rPr>
          <w:rFonts w:ascii="宋体" w:hAnsi="宋体" w:cs="宋体" w:hint="eastAsia"/>
          <w:b/>
          <w:kern w:val="0"/>
          <w:sz w:val="28"/>
          <w:szCs w:val="28"/>
          <w:highlight w:val="none"/>
        </w:rPr>
        <w:t>（仅供参考，以实际签订合同为准）</w:t>
      </w:r>
    </w:p>
    <w:p>
      <w:pPr>
        <w:jc w:val="center"/>
        <w:rPr>
          <w:rFonts w:ascii="宋体" w:hAnsi="宋体" w:cs="宋体"/>
          <w:b/>
          <w:bCs/>
          <w:spacing w:val="-20"/>
          <w:kern w:val="44"/>
          <w:sz w:val="48"/>
          <w:szCs w:val="48"/>
          <w:highlight w:val="none"/>
        </w:rPr>
      </w:pPr>
    </w:p>
    <w:p>
      <w:pPr>
        <w:tabs>
          <w:tab w:val="left" w:pos="720"/>
        </w:tabs>
        <w:spacing w:line="360" w:lineRule="auto"/>
        <w:jc w:val="center"/>
        <w:outlineLvl w:val="2"/>
        <w:rPr>
          <w:rFonts w:ascii="宋体" w:hAnsi="宋体" w:cs="宋体"/>
          <w:b/>
          <w:sz w:val="48"/>
          <w:szCs w:val="48"/>
          <w:highlight w:val="none"/>
          <w:u w:val="single"/>
        </w:rPr>
      </w:pPr>
      <w:bookmarkStart w:id="27" w:name="_Toc27624"/>
      <w:r>
        <w:rPr>
          <w:rFonts w:ascii="宋体" w:hAnsi="宋体" w:cs="宋体" w:hint="eastAsia"/>
          <w:b/>
          <w:sz w:val="48"/>
          <w:szCs w:val="48"/>
          <w:highlight w:val="none"/>
          <w:u w:val="single"/>
        </w:rPr>
        <w:t xml:space="preserve">        (项目)</w:t>
      </w:r>
    </w:p>
    <w:p>
      <w:pPr>
        <w:tabs>
          <w:tab w:val="left" w:pos="720"/>
        </w:tabs>
        <w:spacing w:line="360" w:lineRule="auto"/>
        <w:rPr>
          <w:rFonts w:ascii="宋体" w:hAnsi="宋体" w:cs="宋体"/>
          <w:b/>
          <w:sz w:val="48"/>
          <w:szCs w:val="48"/>
          <w:highlight w:val="none"/>
        </w:rPr>
      </w:pPr>
    </w:p>
    <w:p>
      <w:pPr>
        <w:tabs>
          <w:tab w:val="left" w:pos="720"/>
        </w:tabs>
        <w:spacing w:line="360" w:lineRule="auto"/>
        <w:jc w:val="center"/>
        <w:outlineLvl w:val="2"/>
        <w:rPr>
          <w:rFonts w:ascii="宋体" w:hAnsi="宋体" w:cs="宋体"/>
          <w:b/>
          <w:sz w:val="48"/>
          <w:szCs w:val="48"/>
          <w:highlight w:val="none"/>
        </w:rPr>
      </w:pPr>
      <w:r>
        <w:rPr>
          <w:rFonts w:ascii="宋体" w:hAnsi="宋体" w:cs="宋体" w:hint="eastAsia"/>
          <w:b/>
          <w:sz w:val="48"/>
          <w:szCs w:val="48"/>
          <w:highlight w:val="none"/>
        </w:rPr>
        <w:t>合 同 书</w:t>
      </w:r>
    </w:p>
    <w:p>
      <w:pPr>
        <w:tabs>
          <w:tab w:val="left" w:pos="720"/>
        </w:tabs>
        <w:spacing w:line="360" w:lineRule="auto"/>
        <w:jc w:val="center"/>
        <w:outlineLvl w:val="0"/>
        <w:rPr>
          <w:rFonts w:ascii="宋体" w:hAnsi="宋体" w:cs="宋体"/>
          <w:b/>
          <w:sz w:val="44"/>
          <w:szCs w:val="44"/>
          <w:highlight w:val="none"/>
        </w:rPr>
      </w:pPr>
      <w:r>
        <w:rPr>
          <w:rFonts w:ascii="宋体" w:hAnsi="宋体" w:cs="宋体" w:hint="eastAsia"/>
          <w:b/>
          <w:sz w:val="44"/>
          <w:szCs w:val="44"/>
          <w:highlight w:val="none"/>
        </w:rPr>
        <w:t>（服务类）</w:t>
      </w:r>
    </w:p>
    <w:p>
      <w:pPr>
        <w:tabs>
          <w:tab w:val="left" w:pos="720"/>
        </w:tabs>
        <w:spacing w:line="360" w:lineRule="auto"/>
        <w:rPr>
          <w:rFonts w:ascii="宋体" w:hAnsi="宋体" w:cs="宋体"/>
          <w:b/>
          <w:sz w:val="28"/>
          <w:szCs w:val="28"/>
          <w:highlight w:val="none"/>
        </w:rPr>
      </w:pPr>
    </w:p>
    <w:tbl>
      <w:tblPr>
        <w:tblStyle w:val="TableNormal"/>
        <w:tblW w:w="0" w:type="auto"/>
        <w:jc w:val="center"/>
        <w:tblLayout w:type="fixed"/>
        <w:tblCellMar>
          <w:top w:w="0" w:type="dxa"/>
          <w:left w:w="108" w:type="dxa"/>
          <w:bottom w:w="0" w:type="dxa"/>
          <w:right w:w="108" w:type="dxa"/>
        </w:tblCellMar>
      </w:tblPr>
      <w:tblGrid>
        <w:gridCol w:w="5400"/>
      </w:tblGrid>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u w:val="single"/>
              </w:rPr>
            </w:pPr>
            <w:r>
              <w:rPr>
                <w:rFonts w:ascii="宋体" w:hAnsi="宋体" w:cs="宋体" w:hint="eastAsia"/>
                <w:b/>
                <w:sz w:val="32"/>
                <w:szCs w:val="32"/>
                <w:highlight w:val="none"/>
              </w:rPr>
              <w:t>项目编号：</w:t>
            </w: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u w:val="single"/>
              </w:rPr>
            </w:pP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rPr>
            </w:pPr>
            <w:r>
              <w:rPr>
                <w:rFonts w:ascii="宋体" w:hAnsi="宋体" w:cs="宋体" w:hint="eastAsia"/>
                <w:b/>
                <w:sz w:val="32"/>
                <w:szCs w:val="32"/>
                <w:highlight w:val="none"/>
              </w:rPr>
              <w:t>项目名称：</w:t>
            </w:r>
          </w:p>
        </w:tc>
      </w:tr>
      <w:tr>
        <w:tblPrEx>
          <w:tblW w:w="0" w:type="auto"/>
          <w:jc w:val="center"/>
          <w:tblLayout w:type="fixed"/>
          <w:tblCellMar>
            <w:top w:w="0" w:type="dxa"/>
            <w:left w:w="108" w:type="dxa"/>
            <w:bottom w:w="0" w:type="dxa"/>
            <w:right w:w="108" w:type="dxa"/>
          </w:tblCellMar>
        </w:tblPrEx>
        <w:trPr>
          <w:trHeight w:val="460"/>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28"/>
                <w:szCs w:val="28"/>
                <w:highlight w:val="none"/>
              </w:rPr>
            </w:pPr>
          </w:p>
        </w:tc>
      </w:tr>
    </w:tbl>
    <w:p>
      <w:pPr>
        <w:tabs>
          <w:tab w:val="left" w:pos="720"/>
        </w:tabs>
        <w:spacing w:line="360" w:lineRule="auto"/>
        <w:rPr>
          <w:rFonts w:ascii="宋体" w:hAnsi="宋体" w:cs="宋体"/>
          <w:b/>
          <w:sz w:val="28"/>
          <w:szCs w:val="28"/>
          <w:highlight w:val="none"/>
        </w:rPr>
      </w:pPr>
    </w:p>
    <w:p>
      <w:pPr>
        <w:spacing w:line="360" w:lineRule="auto"/>
        <w:rPr>
          <w:rFonts w:ascii="宋体" w:hAnsi="宋体" w:cs="宋体"/>
          <w:sz w:val="28"/>
          <w:szCs w:val="28"/>
          <w:highlight w:val="none"/>
        </w:rPr>
      </w:pPr>
    </w:p>
    <w:p>
      <w:pPr>
        <w:spacing w:line="360" w:lineRule="auto"/>
        <w:rPr>
          <w:rFonts w:ascii="宋体" w:hAnsi="宋体" w:cs="宋体"/>
          <w:sz w:val="28"/>
          <w:szCs w:val="28"/>
          <w:highlight w:val="none"/>
        </w:rPr>
      </w:pPr>
    </w:p>
    <w:p>
      <w:pPr>
        <w:rPr>
          <w:rFonts w:ascii="宋体" w:hAnsi="宋体" w:cs="宋体"/>
          <w:b/>
          <w:sz w:val="24"/>
          <w:highlight w:val="none"/>
        </w:rPr>
      </w:pPr>
      <w:r>
        <w:rPr>
          <w:rFonts w:ascii="宋体" w:hAnsi="宋体" w:cs="宋体" w:hint="eastAsia"/>
          <w:b/>
          <w:sz w:val="24"/>
          <w:highlight w:val="none"/>
        </w:rPr>
        <w:t>注：本合同仅为合同的参考文本，合同签订双方可根据项目的具体要求进行修订，但不得偏离实质性条款。</w:t>
      </w:r>
    </w:p>
    <w:p>
      <w:pPr>
        <w:tabs>
          <w:tab w:val="left" w:pos="720"/>
        </w:tabs>
        <w:rPr>
          <w:rFonts w:ascii="宋体" w:eastAsia="宋体" w:hAnsi="宋体" w:cs="宋体" w:hint="eastAsia"/>
          <w:b/>
          <w:szCs w:val="21"/>
          <w:highlight w:val="none"/>
        </w:rPr>
      </w:pPr>
      <w:r>
        <w:rPr>
          <w:rFonts w:ascii="宋体" w:hAnsi="宋体" w:cs="宋体" w:hint="eastAsia"/>
          <w:b/>
          <w:sz w:val="24"/>
          <w:highlight w:val="none"/>
        </w:rPr>
        <w:br w:type="page"/>
      </w:r>
      <w:r>
        <w:rPr>
          <w:rFonts w:ascii="宋体" w:eastAsia="宋体" w:hAnsi="宋体" w:cs="宋体" w:hint="eastAsia"/>
          <w:b/>
          <w:szCs w:val="21"/>
          <w:highlight w:val="none"/>
        </w:rPr>
        <w:t>甲    方：</w:t>
      </w:r>
    </w:p>
    <w:p>
      <w:pPr>
        <w:rPr>
          <w:rFonts w:ascii="宋体" w:eastAsia="宋体" w:hAnsi="宋体" w:cs="宋体" w:hint="eastAsia"/>
          <w:szCs w:val="21"/>
          <w:highlight w:val="none"/>
        </w:rPr>
      </w:pPr>
      <w:r>
        <w:rPr>
          <w:rFonts w:ascii="宋体" w:eastAsia="宋体" w:hAnsi="宋体" w:cs="宋体" w:hint="eastAsia"/>
          <w:szCs w:val="21"/>
          <w:highlight w:val="none"/>
        </w:rPr>
        <w:t>电    话：           　   传  真：           地  址：</w:t>
      </w:r>
    </w:p>
    <w:p>
      <w:pPr>
        <w:rPr>
          <w:rFonts w:ascii="宋体" w:eastAsia="宋体" w:hAnsi="宋体" w:cs="宋体" w:hint="eastAsia"/>
          <w:b/>
          <w:szCs w:val="21"/>
          <w:highlight w:val="none"/>
          <w:u w:val="single"/>
        </w:rPr>
      </w:pPr>
      <w:r>
        <w:rPr>
          <w:rFonts w:ascii="宋体" w:eastAsia="宋体" w:hAnsi="宋体" w:cs="宋体" w:hint="eastAsia"/>
          <w:b/>
          <w:szCs w:val="21"/>
          <w:highlight w:val="none"/>
        </w:rPr>
        <w:t>乙    方：</w:t>
      </w:r>
    </w:p>
    <w:p>
      <w:pPr>
        <w:rPr>
          <w:rFonts w:ascii="宋体" w:eastAsia="宋体" w:hAnsi="宋体" w:cs="宋体" w:hint="eastAsia"/>
          <w:szCs w:val="21"/>
          <w:highlight w:val="none"/>
        </w:rPr>
      </w:pPr>
      <w:r>
        <w:rPr>
          <w:rFonts w:ascii="宋体" w:eastAsia="宋体" w:hAnsi="宋体" w:cs="宋体" w:hint="eastAsia"/>
          <w:szCs w:val="21"/>
          <w:highlight w:val="none"/>
        </w:rPr>
        <w:t xml:space="preserve">电    话：                传  真：           地  址：   </w:t>
      </w:r>
    </w:p>
    <w:p>
      <w:pPr>
        <w:wordWrap w:val="0"/>
        <w:rPr>
          <w:rFonts w:ascii="宋体" w:eastAsia="宋体" w:hAnsi="宋体" w:cs="宋体" w:hint="eastAsia"/>
          <w:szCs w:val="21"/>
          <w:highlight w:val="none"/>
        </w:rPr>
      </w:pPr>
      <w:r>
        <w:rPr>
          <w:rFonts w:ascii="宋体" w:eastAsia="宋体" w:hAnsi="宋体" w:cs="宋体" w:hint="eastAsia"/>
          <w:szCs w:val="21"/>
          <w:highlight w:val="none"/>
        </w:rPr>
        <w:t xml:space="preserve">项目名称：                                   采购编号：  </w:t>
      </w:r>
    </w:p>
    <w:p>
      <w:pPr>
        <w:ind w:firstLine="420" w:firstLineChars="200"/>
        <w:rPr>
          <w:rFonts w:ascii="宋体" w:eastAsia="宋体" w:hAnsi="宋体" w:cs="宋体" w:hint="eastAsia"/>
          <w:szCs w:val="21"/>
          <w:highlight w:val="none"/>
        </w:rPr>
      </w:pPr>
      <w:r>
        <w:rPr>
          <w:rFonts w:ascii="宋体" w:eastAsia="宋体" w:hAnsi="宋体" w:cs="宋体" w:hint="eastAsia"/>
          <w:szCs w:val="21"/>
          <w:highlight w:val="none"/>
        </w:rPr>
        <w:t>根据 项目的采购结果，按照《中华人民共和国政府采购法》、《中华人民共和国民法典》的规定，</w:t>
      </w:r>
      <w:r>
        <w:rPr>
          <w:rFonts w:ascii="宋体" w:eastAsia="宋体" w:hAnsi="宋体" w:cs="宋体" w:hint="eastAsia"/>
          <w:kern w:val="28"/>
          <w:szCs w:val="21"/>
          <w:highlight w:val="none"/>
        </w:rPr>
        <w:t>经双方协商，</w:t>
      </w:r>
      <w:r>
        <w:rPr>
          <w:rFonts w:ascii="宋体" w:eastAsia="宋体" w:hAnsi="宋体" w:cs="宋体" w:hint="eastAsia"/>
          <w:szCs w:val="21"/>
          <w:highlight w:val="none"/>
        </w:rPr>
        <w:t>本着平等互利和诚实信用的原则，</w:t>
      </w:r>
      <w:r>
        <w:rPr>
          <w:rFonts w:ascii="宋体" w:eastAsia="宋体" w:hAnsi="宋体" w:cs="宋体" w:hint="eastAsia"/>
          <w:kern w:val="28"/>
          <w:szCs w:val="21"/>
          <w:highlight w:val="none"/>
        </w:rPr>
        <w:t>一致同意签订本合同如下</w:t>
      </w:r>
      <w:r>
        <w:rPr>
          <w:rFonts w:ascii="宋体" w:eastAsia="宋体" w:hAnsi="宋体" w:cs="宋体" w:hint="eastAsia"/>
          <w:szCs w:val="21"/>
          <w:highlight w:val="none"/>
        </w:rPr>
        <w:t>。</w:t>
      </w:r>
    </w:p>
    <w:p>
      <w:pPr>
        <w:pStyle w:val="PlainText"/>
        <w:rPr>
          <w:rFonts w:ascii="宋体" w:eastAsia="宋体" w:hAnsi="宋体" w:cs="宋体" w:hint="eastAsia"/>
          <w:highlight w:val="none"/>
        </w:rPr>
      </w:pPr>
      <w:r>
        <w:rPr>
          <w:rFonts w:ascii="宋体" w:eastAsia="宋体" w:hAnsi="宋体" w:cs="宋体" w:hint="eastAsia"/>
          <w:b/>
          <w:highlight w:val="none"/>
        </w:rPr>
        <w:t>一、合同金额：</w:t>
      </w:r>
      <w:r>
        <w:rPr>
          <w:rFonts w:ascii="宋体" w:eastAsia="宋体" w:hAnsi="宋体" w:cs="宋体" w:hint="eastAsia"/>
          <w:highlight w:val="none"/>
        </w:rPr>
        <w:t>（大写）：元（￥元）人民币。</w:t>
      </w:r>
    </w:p>
    <w:p>
      <w:pPr>
        <w:rPr>
          <w:rFonts w:ascii="宋体" w:eastAsia="宋体" w:hAnsi="宋体" w:cs="宋体" w:hint="eastAsia"/>
          <w:b/>
          <w:szCs w:val="21"/>
          <w:highlight w:val="none"/>
        </w:rPr>
      </w:pPr>
      <w:r>
        <w:rPr>
          <w:rFonts w:ascii="宋体" w:eastAsia="宋体" w:hAnsi="宋体" w:cs="宋体" w:hint="eastAsia"/>
          <w:b/>
          <w:szCs w:val="21"/>
          <w:highlight w:val="none"/>
        </w:rPr>
        <w:t>二、服务范围</w:t>
      </w:r>
    </w:p>
    <w:p>
      <w:pPr>
        <w:rPr>
          <w:rFonts w:ascii="宋体" w:eastAsia="宋体" w:hAnsi="宋体" w:cs="宋体" w:hint="eastAsia"/>
          <w:szCs w:val="21"/>
          <w:highlight w:val="none"/>
        </w:rPr>
      </w:pPr>
      <w:r>
        <w:rPr>
          <w:rFonts w:ascii="宋体" w:eastAsia="宋体" w:hAnsi="宋体" w:cs="宋体" w:hint="eastAsia"/>
          <w:szCs w:val="21"/>
          <w:highlight w:val="none"/>
        </w:rPr>
        <w:t>　　甲方聘请乙方提供以下服务：</w:t>
      </w:r>
    </w:p>
    <w:p>
      <w:pPr>
        <w:rPr>
          <w:rFonts w:ascii="宋体" w:eastAsia="宋体" w:hAnsi="宋体" w:cs="宋体" w:hint="eastAsia"/>
          <w:szCs w:val="21"/>
          <w:highlight w:val="none"/>
          <w:u w:val="single"/>
        </w:rPr>
      </w:pPr>
      <w:r>
        <w:rPr>
          <w:rFonts w:ascii="宋体" w:eastAsia="宋体" w:hAnsi="宋体" w:cs="宋体" w:hint="eastAsia"/>
          <w:szCs w:val="21"/>
          <w:highlight w:val="none"/>
        </w:rPr>
        <w:t>　　1．本合同项下的服务指。</w:t>
      </w:r>
    </w:p>
    <w:p>
      <w:pPr>
        <w:rPr>
          <w:rFonts w:ascii="宋体" w:eastAsia="宋体" w:hAnsi="宋体" w:cs="宋体" w:hint="eastAsia"/>
          <w:szCs w:val="21"/>
          <w:highlight w:val="none"/>
        </w:rPr>
      </w:pPr>
      <w:r>
        <w:rPr>
          <w:rFonts w:ascii="宋体" w:eastAsia="宋体" w:hAnsi="宋体" w:cs="宋体" w:hint="eastAsia"/>
          <w:szCs w:val="21"/>
          <w:highlight w:val="none"/>
        </w:rPr>
        <w:t>　　2．......</w:t>
      </w:r>
    </w:p>
    <w:p>
      <w:pPr>
        <w:ind w:firstLine="420" w:firstLineChars="200"/>
        <w:rPr>
          <w:rFonts w:ascii="宋体" w:eastAsia="宋体" w:hAnsi="宋体" w:cs="宋体" w:hint="eastAsia"/>
          <w:szCs w:val="21"/>
          <w:highlight w:val="none"/>
        </w:rPr>
      </w:pPr>
      <w:r>
        <w:rPr>
          <w:rFonts w:ascii="宋体" w:eastAsia="宋体" w:hAnsi="宋体" w:cs="宋体" w:hint="eastAsia"/>
          <w:szCs w:val="21"/>
          <w:highlight w:val="none"/>
        </w:rPr>
        <w:t>3．......</w:t>
      </w:r>
    </w:p>
    <w:p>
      <w:pPr>
        <w:rPr>
          <w:rFonts w:ascii="宋体" w:eastAsia="宋体" w:hAnsi="宋体" w:cs="宋体" w:hint="eastAsia"/>
          <w:b/>
          <w:szCs w:val="21"/>
          <w:highlight w:val="none"/>
        </w:rPr>
      </w:pPr>
      <w:r>
        <w:rPr>
          <w:rFonts w:ascii="宋体" w:eastAsia="宋体" w:hAnsi="宋体" w:cs="宋体" w:hint="eastAsia"/>
          <w:b/>
          <w:szCs w:val="21"/>
          <w:highlight w:val="none"/>
        </w:rPr>
        <w:t>三、甲方乙方的权利和义务</w:t>
      </w:r>
    </w:p>
    <w:p>
      <w:pPr>
        <w:rPr>
          <w:rFonts w:ascii="宋体" w:eastAsia="宋体" w:hAnsi="宋体" w:cs="宋体" w:hint="eastAsia"/>
          <w:szCs w:val="21"/>
          <w:highlight w:val="none"/>
        </w:rPr>
      </w:pPr>
      <w:r>
        <w:rPr>
          <w:rFonts w:ascii="宋体" w:eastAsia="宋体" w:hAnsi="宋体" w:cs="宋体" w:hint="eastAsia"/>
          <w:szCs w:val="21"/>
          <w:highlight w:val="none"/>
        </w:rPr>
        <w:t>　　（一） 甲方的权利和义务</w:t>
      </w:r>
    </w:p>
    <w:p>
      <w:pPr>
        <w:rPr>
          <w:rFonts w:ascii="宋体" w:eastAsia="宋体" w:hAnsi="宋体" w:cs="宋体" w:hint="eastAsia"/>
          <w:szCs w:val="21"/>
          <w:highlight w:val="none"/>
        </w:rPr>
      </w:pPr>
      <w:r>
        <w:rPr>
          <w:rFonts w:ascii="宋体" w:eastAsia="宋体" w:hAnsi="宋体" w:cs="宋体" w:hint="eastAsia"/>
          <w:szCs w:val="21"/>
          <w:highlight w:val="none"/>
        </w:rPr>
        <w:t>　　（二） 乙方的权利和义务</w:t>
      </w:r>
    </w:p>
    <w:p>
      <w:pPr>
        <w:rPr>
          <w:rFonts w:ascii="宋体" w:eastAsia="宋体" w:hAnsi="宋体" w:cs="宋体" w:hint="eastAsia"/>
          <w:szCs w:val="21"/>
          <w:highlight w:val="none"/>
        </w:rPr>
      </w:pPr>
      <w:r>
        <w:rPr>
          <w:rFonts w:ascii="宋体" w:eastAsia="宋体" w:hAnsi="宋体" w:cs="宋体" w:hint="eastAsia"/>
          <w:b/>
          <w:szCs w:val="21"/>
          <w:highlight w:val="none"/>
        </w:rPr>
        <w:t>四、服务期间（项目完成期限）：</w:t>
      </w:r>
      <w:r>
        <w:rPr>
          <w:rFonts w:ascii="宋体" w:eastAsia="宋体" w:hAnsi="宋体" w:cs="宋体" w:hint="eastAsia"/>
          <w:szCs w:val="21"/>
          <w:highlight w:val="none"/>
        </w:rPr>
        <w:t>委托服务期间自年月至年月止。</w:t>
      </w:r>
    </w:p>
    <w:p>
      <w:pPr>
        <w:rPr>
          <w:rFonts w:ascii="宋体" w:eastAsia="宋体" w:hAnsi="宋体" w:cs="宋体" w:hint="eastAsia"/>
          <w:szCs w:val="21"/>
          <w:highlight w:val="none"/>
        </w:rPr>
      </w:pPr>
      <w:r>
        <w:rPr>
          <w:rFonts w:ascii="宋体" w:eastAsia="宋体" w:hAnsi="宋体" w:cs="宋体" w:hint="eastAsia"/>
          <w:b/>
          <w:szCs w:val="21"/>
          <w:highlight w:val="none"/>
        </w:rPr>
        <w:t>五、付款方式：</w:t>
      </w:r>
    </w:p>
    <w:p>
      <w:pPr>
        <w:tabs>
          <w:tab w:val="left" w:pos="900"/>
        </w:tabs>
        <w:rPr>
          <w:rFonts w:ascii="宋体" w:eastAsia="宋体" w:hAnsi="宋体" w:cs="宋体" w:hint="eastAsia"/>
          <w:b/>
          <w:szCs w:val="21"/>
          <w:highlight w:val="none"/>
        </w:rPr>
      </w:pPr>
      <w:r>
        <w:rPr>
          <w:rFonts w:ascii="宋体" w:eastAsia="宋体" w:hAnsi="宋体" w:cs="宋体" w:hint="eastAsia"/>
          <w:b/>
          <w:szCs w:val="21"/>
          <w:highlight w:val="none"/>
        </w:rPr>
        <w:t>六、知识产权产权归属：</w:t>
      </w:r>
    </w:p>
    <w:p>
      <w:pPr>
        <w:tabs>
          <w:tab w:val="left" w:pos="900"/>
        </w:tabs>
        <w:rPr>
          <w:rFonts w:ascii="宋体" w:eastAsia="宋体" w:hAnsi="宋体" w:cs="宋体" w:hint="eastAsia"/>
          <w:b/>
          <w:szCs w:val="21"/>
          <w:highlight w:val="none"/>
        </w:rPr>
      </w:pPr>
      <w:r>
        <w:rPr>
          <w:rFonts w:ascii="宋体" w:eastAsia="宋体" w:hAnsi="宋体" w:cs="宋体" w:hint="eastAsia"/>
          <w:b/>
          <w:szCs w:val="21"/>
          <w:highlight w:val="none"/>
        </w:rPr>
        <w:t>七、保密：</w:t>
      </w:r>
    </w:p>
    <w:p>
      <w:pPr>
        <w:tabs>
          <w:tab w:val="left" w:pos="900"/>
        </w:tabs>
        <w:rPr>
          <w:rFonts w:ascii="宋体" w:eastAsia="宋体" w:hAnsi="宋体" w:cs="宋体" w:hint="eastAsia"/>
          <w:b/>
          <w:szCs w:val="21"/>
          <w:highlight w:val="none"/>
        </w:rPr>
      </w:pPr>
      <w:r>
        <w:rPr>
          <w:rFonts w:ascii="宋体" w:eastAsia="宋体" w:hAnsi="宋体" w:cs="宋体" w:hint="eastAsia"/>
          <w:b/>
          <w:szCs w:val="21"/>
          <w:highlight w:val="none"/>
        </w:rPr>
        <w:t>八、违约责任与赔偿损失</w:t>
      </w:r>
    </w:p>
    <w:p>
      <w:pPr>
        <w:tabs>
          <w:tab w:val="left" w:pos="900"/>
        </w:tabs>
        <w:rPr>
          <w:rFonts w:ascii="宋体" w:eastAsia="宋体" w:hAnsi="宋体" w:cs="宋体" w:hint="eastAsia"/>
          <w:szCs w:val="21"/>
          <w:highlight w:val="none"/>
        </w:rPr>
      </w:pPr>
      <w:r>
        <w:rPr>
          <w:rFonts w:ascii="宋体" w:eastAsia="宋体" w:hAnsi="宋体" w:cs="宋体" w:hint="eastAsia"/>
          <w:szCs w:val="21"/>
          <w:highlight w:val="none"/>
        </w:rPr>
        <w:t>1) 乙方提供的服务不符合采购文件、报价文件或本合同规定的，甲方有权拒收，并且乙方须向甲方方支付本合同总价5%的违约金。</w:t>
      </w:r>
    </w:p>
    <w:p>
      <w:pPr>
        <w:tabs>
          <w:tab w:val="left" w:pos="720"/>
          <w:tab w:val="left" w:pos="900"/>
        </w:tabs>
        <w:ind w:right="210"/>
        <w:rPr>
          <w:rFonts w:ascii="宋体" w:eastAsia="宋体" w:hAnsi="宋体" w:cs="宋体" w:hint="eastAsia"/>
          <w:szCs w:val="21"/>
          <w:highlight w:val="none"/>
        </w:rPr>
      </w:pPr>
      <w:r>
        <w:rPr>
          <w:rFonts w:ascii="宋体" w:eastAsia="宋体" w:hAnsi="宋体" w:cs="宋体" w:hint="eastAsia"/>
          <w:szCs w:val="21"/>
          <w:highlight w:val="none"/>
        </w:rPr>
        <w:t>2) 乙方未能按本合同规定的交货时间提供服务，从逾期之日起每日按本合同总价3‰的数额向甲方支付违约金；逾期半个月以上的，甲方有权终止合同，由此造成的甲方经济损失由乙方承担。</w:t>
      </w:r>
    </w:p>
    <w:p>
      <w:pPr>
        <w:rPr>
          <w:rFonts w:ascii="宋体" w:eastAsia="宋体" w:hAnsi="宋体" w:cs="宋体" w:hint="eastAsia"/>
          <w:szCs w:val="21"/>
          <w:highlight w:val="none"/>
        </w:rPr>
      </w:pPr>
      <w:r>
        <w:rPr>
          <w:rFonts w:ascii="宋体" w:eastAsia="宋体" w:hAnsi="宋体" w:cs="宋体" w:hint="eastAsia"/>
          <w:szCs w:val="21"/>
          <w:highlight w:val="none"/>
        </w:rPr>
        <w:t>3) 甲方无正当理由拒收接受服务，到期拒付服务款项的，甲方向乙方偿付本合同总的5%的违约金。甲方人逾期付款，则每日按本合同总价的3‰向乙方偿付违约金。</w:t>
      </w:r>
    </w:p>
    <w:p>
      <w:pPr>
        <w:rPr>
          <w:rFonts w:ascii="宋体" w:eastAsia="宋体" w:hAnsi="宋体" w:cs="宋体" w:hint="eastAsia"/>
          <w:bCs/>
          <w:szCs w:val="21"/>
          <w:highlight w:val="none"/>
        </w:rPr>
      </w:pPr>
      <w:r>
        <w:rPr>
          <w:rFonts w:ascii="宋体" w:eastAsia="宋体" w:hAnsi="宋体" w:cs="宋体" w:hint="eastAsia"/>
          <w:bCs/>
          <w:szCs w:val="21"/>
          <w:highlight w:val="none"/>
        </w:rPr>
        <w:t>4) 其它违约责任按《中华人民共和国民法典》处理。</w:t>
      </w:r>
    </w:p>
    <w:p>
      <w:pPr>
        <w:rPr>
          <w:rFonts w:ascii="宋体" w:eastAsia="宋体" w:hAnsi="宋体" w:cs="宋体" w:hint="eastAsia"/>
          <w:b/>
          <w:szCs w:val="21"/>
          <w:highlight w:val="none"/>
        </w:rPr>
      </w:pPr>
      <w:r>
        <w:rPr>
          <w:rFonts w:ascii="宋体" w:eastAsia="宋体" w:hAnsi="宋体" w:cs="宋体" w:hint="eastAsia"/>
          <w:b/>
          <w:szCs w:val="21"/>
          <w:highlight w:val="none"/>
        </w:rPr>
        <w:t>九、争端的解决</w:t>
      </w:r>
    </w:p>
    <w:p>
      <w:pPr>
        <w:rPr>
          <w:rFonts w:ascii="宋体" w:eastAsia="宋体" w:hAnsi="宋体" w:cs="宋体" w:hint="eastAsia"/>
          <w:szCs w:val="21"/>
          <w:highlight w:val="none"/>
        </w:rPr>
      </w:pPr>
      <w:r>
        <w:rPr>
          <w:rFonts w:ascii="宋体" w:eastAsia="宋体" w:hAnsi="宋体" w:cs="宋体" w:hint="eastAsia"/>
          <w:szCs w:val="21"/>
          <w:highlight w:val="none"/>
        </w:rPr>
        <w:t>1)合同执行过程中发生的任何争议，如双方不能通过友好协商解决，按相关法律法规处理。</w:t>
      </w:r>
    </w:p>
    <w:p>
      <w:pPr>
        <w:rPr>
          <w:rFonts w:ascii="宋体" w:eastAsia="宋体" w:hAnsi="宋体" w:cs="宋体" w:hint="eastAsia"/>
          <w:szCs w:val="21"/>
          <w:highlight w:val="none"/>
        </w:rPr>
      </w:pPr>
      <w:r>
        <w:rPr>
          <w:rFonts w:ascii="宋体" w:eastAsia="宋体" w:hAnsi="宋体" w:cs="宋体" w:hint="eastAsia"/>
          <w:b/>
          <w:szCs w:val="21"/>
          <w:highlight w:val="none"/>
        </w:rPr>
        <w:t>十、不可抗力：</w:t>
      </w:r>
      <w:r>
        <w:rPr>
          <w:rFonts w:ascii="宋体" w:eastAsia="宋体" w:hAnsi="宋体" w:cs="宋体" w:hint="eastAsia"/>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rPr>
          <w:rFonts w:ascii="宋体" w:eastAsia="宋体" w:hAnsi="宋体" w:cs="宋体" w:hint="eastAsia"/>
          <w:szCs w:val="21"/>
          <w:highlight w:val="none"/>
        </w:rPr>
      </w:pPr>
      <w:r>
        <w:rPr>
          <w:rFonts w:ascii="宋体" w:eastAsia="宋体" w:hAnsi="宋体" w:cs="宋体" w:hint="eastAsia"/>
          <w:b/>
          <w:szCs w:val="21"/>
          <w:highlight w:val="none"/>
        </w:rPr>
        <w:t>十一、税费：</w:t>
      </w:r>
      <w:r>
        <w:rPr>
          <w:rFonts w:ascii="宋体" w:eastAsia="宋体" w:hAnsi="宋体" w:cs="宋体" w:hint="eastAsia"/>
          <w:szCs w:val="21"/>
          <w:highlight w:val="none"/>
        </w:rPr>
        <w:t>在中国境内、外发生的与本合同执行有关的一切税费均由乙方负担。</w:t>
      </w:r>
    </w:p>
    <w:p>
      <w:pPr>
        <w:rPr>
          <w:rFonts w:ascii="宋体" w:eastAsia="宋体" w:hAnsi="宋体" w:cs="宋体" w:hint="eastAsia"/>
          <w:b/>
          <w:szCs w:val="21"/>
          <w:highlight w:val="none"/>
        </w:rPr>
      </w:pPr>
      <w:r>
        <w:rPr>
          <w:rFonts w:ascii="宋体" w:eastAsia="宋体" w:hAnsi="宋体" w:cs="宋体" w:hint="eastAsia"/>
          <w:b/>
          <w:szCs w:val="21"/>
          <w:highlight w:val="none"/>
        </w:rPr>
        <w:t>十二、其它</w:t>
      </w:r>
    </w:p>
    <w:p>
      <w:pPr>
        <w:rPr>
          <w:rFonts w:ascii="宋体" w:eastAsia="宋体" w:hAnsi="宋体" w:cs="宋体" w:hint="eastAsia"/>
          <w:b/>
          <w:szCs w:val="21"/>
          <w:highlight w:val="none"/>
        </w:rPr>
      </w:pPr>
      <w:r>
        <w:rPr>
          <w:rFonts w:ascii="宋体" w:eastAsia="宋体" w:hAnsi="宋体" w:cs="宋体" w:hint="eastAsia"/>
          <w:szCs w:val="21"/>
          <w:highlight w:val="none"/>
        </w:rPr>
        <w:t>1) 本合同所有附件、采购文件、投标文件、中标通知书均为合同的有效组成部分，与本合同具有同等法律效力。</w:t>
      </w:r>
    </w:p>
    <w:p>
      <w:pPr>
        <w:rPr>
          <w:rFonts w:ascii="宋体" w:eastAsia="宋体" w:hAnsi="宋体" w:cs="宋体" w:hint="eastAsia"/>
          <w:szCs w:val="21"/>
          <w:highlight w:val="none"/>
        </w:rPr>
      </w:pPr>
      <w:r>
        <w:rPr>
          <w:rFonts w:ascii="宋体" w:eastAsia="宋体" w:hAnsi="宋体" w:cs="宋体" w:hint="eastAsia"/>
          <w:bCs/>
          <w:szCs w:val="21"/>
          <w:highlight w:val="none"/>
        </w:rPr>
        <w:t xml:space="preserve">2) </w:t>
      </w:r>
      <w:r>
        <w:rPr>
          <w:rFonts w:ascii="宋体" w:eastAsia="宋体" w:hAnsi="宋体" w:cs="宋体" w:hint="eastAsia"/>
          <w:szCs w:val="21"/>
          <w:highlight w:val="none"/>
        </w:rPr>
        <w:t>在执行本合同的过程中，所有经双方签署确认的文件（包括会议纪要、补充协议、往来信函）即成为本合同的有效组成部分。</w:t>
      </w:r>
    </w:p>
    <w:p>
      <w:pPr>
        <w:rPr>
          <w:rFonts w:ascii="宋体" w:eastAsia="宋体" w:hAnsi="宋体" w:cs="宋体" w:hint="eastAsia"/>
          <w:szCs w:val="21"/>
          <w:highlight w:val="none"/>
        </w:rPr>
      </w:pPr>
      <w:r>
        <w:rPr>
          <w:rFonts w:ascii="宋体" w:eastAsia="宋体" w:hAnsi="宋体" w:cs="宋体" w:hint="eastAsia"/>
          <w:szCs w:val="21"/>
          <w:highlight w:val="none"/>
        </w:rPr>
        <w:t xml:space="preserve">3) 如一方地址、电话、传真号码有变更，应在变更当日内书面通知对方，否则，应承担相应责任。 </w:t>
      </w:r>
    </w:p>
    <w:p>
      <w:pPr>
        <w:rPr>
          <w:rFonts w:ascii="宋体" w:eastAsia="宋体" w:hAnsi="宋体" w:cs="宋体" w:hint="eastAsia"/>
          <w:szCs w:val="21"/>
          <w:highlight w:val="none"/>
        </w:rPr>
      </w:pPr>
      <w:r>
        <w:rPr>
          <w:rFonts w:ascii="宋体" w:eastAsia="宋体" w:hAnsi="宋体" w:cs="宋体" w:hint="eastAsia"/>
          <w:szCs w:val="21"/>
          <w:highlight w:val="none"/>
        </w:rPr>
        <w:t>4) 除甲方事先书面同意外，乙方不得部分或全部转让其应履行的合同项下的义务。</w:t>
      </w:r>
    </w:p>
    <w:p>
      <w:pPr>
        <w:rPr>
          <w:rFonts w:ascii="宋体" w:eastAsia="宋体" w:hAnsi="宋体" w:cs="宋体" w:hint="eastAsia"/>
          <w:b/>
          <w:szCs w:val="21"/>
          <w:highlight w:val="none"/>
        </w:rPr>
      </w:pPr>
      <w:r>
        <w:rPr>
          <w:rFonts w:ascii="宋体" w:eastAsia="宋体" w:hAnsi="宋体" w:cs="宋体" w:hint="eastAsia"/>
          <w:b/>
          <w:szCs w:val="21"/>
          <w:highlight w:val="none"/>
        </w:rPr>
        <w:t>十二、合同生效：</w:t>
      </w:r>
    </w:p>
    <w:p>
      <w:pPr>
        <w:rPr>
          <w:rFonts w:ascii="宋体" w:eastAsia="宋体" w:hAnsi="宋体" w:cs="宋体" w:hint="eastAsia"/>
          <w:szCs w:val="21"/>
          <w:highlight w:val="none"/>
        </w:rPr>
      </w:pPr>
      <w:r>
        <w:rPr>
          <w:rFonts w:ascii="宋体" w:eastAsia="宋体" w:hAnsi="宋体" w:cs="宋体" w:hint="eastAsia"/>
          <w:szCs w:val="21"/>
          <w:highlight w:val="none"/>
        </w:rPr>
        <w:t>1）本合同在甲乙双方法人代表或其授权代表签字盖章后生效。</w:t>
      </w:r>
    </w:p>
    <w:p>
      <w:pPr>
        <w:rPr>
          <w:rFonts w:ascii="宋体" w:eastAsia="宋体" w:hAnsi="宋体" w:cs="宋体" w:hint="eastAsia"/>
          <w:szCs w:val="21"/>
          <w:highlight w:val="none"/>
        </w:rPr>
      </w:pPr>
      <w:r>
        <w:rPr>
          <w:rFonts w:ascii="宋体" w:eastAsia="宋体" w:hAnsi="宋体" w:cs="宋体" w:hint="eastAsia"/>
          <w:szCs w:val="21"/>
          <w:highlight w:val="none"/>
        </w:rPr>
        <w:t>2）合同一式份。</w:t>
      </w:r>
    </w:p>
    <w:p>
      <w:pPr>
        <w:rPr>
          <w:rFonts w:ascii="宋体" w:eastAsia="宋体" w:hAnsi="宋体" w:cs="宋体" w:hint="eastAsia"/>
          <w:b/>
          <w:szCs w:val="21"/>
          <w:highlight w:val="none"/>
        </w:rPr>
      </w:pPr>
    </w:p>
    <w:p>
      <w:pPr>
        <w:rPr>
          <w:rFonts w:ascii="宋体" w:eastAsia="宋体" w:hAnsi="宋体" w:cs="宋体" w:hint="eastAsia"/>
          <w:b/>
          <w:szCs w:val="21"/>
          <w:highlight w:val="none"/>
        </w:rPr>
      </w:pPr>
    </w:p>
    <w:p>
      <w:pPr>
        <w:rPr>
          <w:rFonts w:ascii="宋体" w:eastAsia="宋体" w:hAnsi="宋体" w:cs="宋体" w:hint="eastAsia"/>
          <w:b/>
          <w:szCs w:val="21"/>
          <w:highlight w:val="none"/>
        </w:rPr>
      </w:pPr>
      <w:r>
        <w:rPr>
          <w:rFonts w:ascii="宋体" w:eastAsia="宋体" w:hAnsi="宋体" w:cs="宋体" w:hint="eastAsia"/>
          <w:b/>
          <w:szCs w:val="21"/>
          <w:highlight w:val="none"/>
        </w:rPr>
        <w:t>甲方（盖章）：                                 乙方（盖章）：</w:t>
      </w:r>
    </w:p>
    <w:p>
      <w:pPr>
        <w:rPr>
          <w:rFonts w:ascii="宋体" w:eastAsia="宋体" w:hAnsi="宋体" w:cs="宋体" w:hint="eastAsia"/>
          <w:b/>
          <w:szCs w:val="21"/>
          <w:highlight w:val="none"/>
        </w:rPr>
      </w:pPr>
      <w:r>
        <w:rPr>
          <w:rFonts w:ascii="宋体" w:eastAsia="宋体" w:hAnsi="宋体" w:cs="宋体" w:hint="eastAsia"/>
          <w:b/>
          <w:szCs w:val="21"/>
          <w:highlight w:val="none"/>
        </w:rPr>
        <w:t xml:space="preserve">代表：                                        代表： </w:t>
      </w:r>
    </w:p>
    <w:p>
      <w:pPr>
        <w:rPr>
          <w:rFonts w:ascii="宋体" w:eastAsia="宋体" w:hAnsi="宋体" w:cs="宋体" w:hint="eastAsia"/>
          <w:szCs w:val="21"/>
          <w:highlight w:val="none"/>
        </w:rPr>
      </w:pPr>
      <w:r>
        <w:rPr>
          <w:rFonts w:ascii="宋体" w:eastAsia="宋体" w:hAnsi="宋体" w:cs="宋体" w:hint="eastAsia"/>
          <w:szCs w:val="21"/>
          <w:highlight w:val="none"/>
        </w:rPr>
        <w:t>签定地点：</w:t>
      </w:r>
    </w:p>
    <w:p>
      <w:pPr>
        <w:rPr>
          <w:rFonts w:ascii="宋体" w:eastAsia="宋体" w:hAnsi="宋体" w:cs="宋体" w:hint="eastAsia"/>
          <w:szCs w:val="21"/>
          <w:highlight w:val="none"/>
        </w:rPr>
      </w:pPr>
      <w:r>
        <w:rPr>
          <w:rFonts w:ascii="宋体" w:eastAsia="宋体" w:hAnsi="宋体" w:cs="宋体" w:hint="eastAsia"/>
          <w:szCs w:val="21"/>
          <w:highlight w:val="none"/>
        </w:rPr>
        <w:t xml:space="preserve">签定日期：        年     月    日             签定日期：        年     月     日    </w:t>
      </w:r>
    </w:p>
    <w:p>
      <w:pPr>
        <w:ind w:firstLine="4830"/>
        <w:rPr>
          <w:rFonts w:ascii="宋体" w:eastAsia="宋体" w:hAnsi="宋体" w:cs="宋体" w:hint="eastAsia"/>
          <w:szCs w:val="21"/>
          <w:highlight w:val="none"/>
        </w:rPr>
      </w:pPr>
      <w:r>
        <w:rPr>
          <w:rFonts w:ascii="宋体" w:eastAsia="宋体" w:hAnsi="宋体" w:cs="宋体" w:hint="eastAsia"/>
          <w:szCs w:val="21"/>
          <w:highlight w:val="none"/>
        </w:rPr>
        <w:t>开户名称：</w:t>
      </w:r>
    </w:p>
    <w:p>
      <w:pPr>
        <w:ind w:firstLine="4830"/>
        <w:rPr>
          <w:rFonts w:ascii="宋体" w:eastAsia="宋体" w:hAnsi="宋体" w:cs="宋体" w:hint="eastAsia"/>
          <w:szCs w:val="21"/>
          <w:highlight w:val="none"/>
        </w:rPr>
      </w:pPr>
      <w:r>
        <w:rPr>
          <w:rFonts w:ascii="宋体" w:eastAsia="宋体" w:hAnsi="宋体" w:cs="宋体" w:hint="eastAsia"/>
          <w:szCs w:val="21"/>
          <w:highlight w:val="none"/>
        </w:rPr>
        <w:t>银行帐号：</w:t>
      </w:r>
    </w:p>
    <w:p>
      <w:pPr>
        <w:jc w:val="center"/>
        <w:rPr>
          <w:rFonts w:ascii="宋体" w:eastAsia="宋体" w:hAnsi="宋体" w:cs="宋体" w:hint="eastAsia"/>
          <w:b/>
          <w:sz w:val="24"/>
          <w:highlight w:val="none"/>
        </w:rPr>
      </w:pPr>
      <w:r>
        <w:rPr>
          <w:rFonts w:ascii="宋体" w:eastAsia="宋体" w:hAnsi="宋体" w:cs="宋体" w:hint="eastAsia"/>
          <w:szCs w:val="21"/>
          <w:highlight w:val="none"/>
        </w:rPr>
        <w:t xml:space="preserve">              开 户 行：</w:t>
      </w:r>
    </w:p>
    <w:p>
      <w:pPr>
        <w:spacing w:line="440" w:lineRule="exact"/>
        <w:rPr>
          <w:rFonts w:ascii="宋体" w:hAnsi="宋体" w:cs="宋体"/>
          <w:szCs w:val="21"/>
          <w:highlight w:val="none"/>
        </w:rPr>
      </w:pPr>
      <w:r>
        <w:rPr>
          <w:rFonts w:ascii="宋体" w:hAnsi="宋体" w:cs="宋体" w:hint="eastAsia"/>
          <w:szCs w:val="21"/>
          <w:highlight w:val="none"/>
        </w:rPr>
        <w:t xml:space="preserve">     </w:t>
      </w:r>
    </w:p>
    <w:p>
      <w:pPr>
        <w:rPr>
          <w:rFonts w:ascii="宋体" w:hAnsi="宋体" w:cs="宋体"/>
          <w:szCs w:val="21"/>
          <w:highlight w:val="none"/>
        </w:rPr>
      </w:pPr>
      <w:r>
        <w:rPr>
          <w:rFonts w:ascii="宋体" w:hAnsi="宋体" w:cs="宋体" w:hint="eastAsia"/>
          <w:szCs w:val="21"/>
          <w:highlight w:val="none"/>
        </w:rPr>
        <w:br w:type="page"/>
      </w:r>
    </w:p>
    <w:p>
      <w:pPr>
        <w:pStyle w:val="Heading1"/>
        <w:spacing w:before="0" w:after="0" w:line="240" w:lineRule="auto"/>
        <w:jc w:val="center"/>
        <w:rPr>
          <w:rFonts w:ascii="宋体" w:hAnsi="宋体" w:cs="宋体"/>
          <w:bCs w:val="0"/>
          <w:kern w:val="0"/>
          <w:sz w:val="28"/>
          <w:szCs w:val="28"/>
          <w:highlight w:val="none"/>
        </w:rPr>
      </w:pPr>
      <w:bookmarkEnd w:id="27"/>
      <w:r>
        <w:rPr>
          <w:rFonts w:ascii="宋体" w:hAnsi="宋体" w:cs="宋体" w:hint="eastAsia"/>
          <w:bCs w:val="0"/>
          <w:kern w:val="0"/>
          <w:sz w:val="28"/>
          <w:szCs w:val="28"/>
          <w:highlight w:val="none"/>
        </w:rPr>
        <w:t>第五部分 投标文件格式</w:t>
      </w:r>
    </w:p>
    <w:p>
      <w:pPr>
        <w:jc w:val="center"/>
        <w:rPr>
          <w:rFonts w:ascii="宋体" w:hAnsi="宋体" w:cs="宋体"/>
          <w:b/>
          <w:color w:val="FF0000"/>
          <w:sz w:val="32"/>
          <w:szCs w:val="32"/>
          <w:highlight w:val="none"/>
        </w:rPr>
      </w:pPr>
      <w:r>
        <w:rPr>
          <w:rFonts w:ascii="宋体" w:hAnsi="宋体" w:cs="宋体" w:hint="eastAsia"/>
          <w:b/>
          <w:sz w:val="32"/>
          <w:szCs w:val="32"/>
          <w:highlight w:val="none"/>
        </w:rPr>
        <w:t>一、</w:t>
      </w:r>
      <w:r>
        <w:rPr>
          <w:rFonts w:ascii="宋体" w:hAnsi="宋体" w:cs="宋体" w:hint="eastAsia"/>
          <w:b/>
          <w:bCs/>
          <w:sz w:val="32"/>
          <w:szCs w:val="32"/>
          <w:highlight w:val="none"/>
        </w:rPr>
        <w:t>投标文件正文</w:t>
      </w:r>
      <w:r>
        <w:rPr>
          <w:rFonts w:ascii="宋体" w:hAnsi="宋体" w:cs="宋体" w:hint="eastAsia"/>
          <w:b/>
          <w:bCs/>
          <w:color w:val="FF0000"/>
          <w:sz w:val="32"/>
          <w:szCs w:val="32"/>
          <w:highlight w:val="none"/>
        </w:rPr>
        <w:t>（信息公开部分）</w:t>
      </w:r>
    </w:p>
    <w:p>
      <w:pPr>
        <w:adjustRightInd w:val="0"/>
        <w:snapToGrid w:val="0"/>
        <w:rPr>
          <w:rFonts w:ascii="宋体" w:hAnsi="宋体" w:cs="宋体"/>
          <w:b/>
          <w:sz w:val="24"/>
          <w:highlight w:val="none"/>
        </w:rPr>
      </w:pPr>
    </w:p>
    <w:p>
      <w:pPr>
        <w:autoSpaceDE w:val="0"/>
        <w:autoSpaceDN w:val="0"/>
        <w:spacing w:line="360" w:lineRule="auto"/>
        <w:jc w:val="center"/>
        <w:rPr>
          <w:rFonts w:ascii="宋体" w:hAnsi="宋体" w:cs="宋体"/>
          <w:b/>
          <w:sz w:val="24"/>
          <w:highlight w:val="none"/>
        </w:rPr>
      </w:pPr>
      <w:r>
        <w:rPr>
          <w:rFonts w:ascii="宋体" w:hAnsi="宋体" w:cs="宋体" w:hint="eastAsia"/>
          <w:b/>
          <w:sz w:val="32"/>
          <w:szCs w:val="32"/>
          <w:highlight w:val="none"/>
        </w:rPr>
        <w:t>（一）投标函</w:t>
      </w:r>
    </w:p>
    <w:p>
      <w:pPr>
        <w:spacing w:line="400" w:lineRule="exact"/>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 xml:space="preserve"> 国义招标股份有限公司 </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1.根据已收到贵方的招标编号为</w:t>
      </w:r>
      <w:r>
        <w:rPr>
          <w:rFonts w:ascii="宋体" w:hAnsi="宋体" w:cs="宋体" w:hint="eastAsia"/>
          <w:sz w:val="24"/>
          <w:highlight w:val="none"/>
          <w:u w:val="single"/>
        </w:rPr>
        <w:t xml:space="preserve">        </w:t>
      </w:r>
      <w:r>
        <w:rPr>
          <w:rFonts w:ascii="宋体" w:hAnsi="宋体" w:cs="宋体" w:hint="eastAsia"/>
          <w:sz w:val="24"/>
          <w:highlight w:val="none"/>
        </w:rPr>
        <w:t>的</w:t>
      </w:r>
      <w:r>
        <w:rPr>
          <w:rFonts w:ascii="宋体" w:hAnsi="宋体" w:cs="宋体" w:hint="eastAsia"/>
          <w:sz w:val="24"/>
          <w:highlight w:val="none"/>
          <w:u w:val="single"/>
        </w:rPr>
        <w:t xml:space="preserve">               </w:t>
      </w:r>
      <w:r>
        <w:rPr>
          <w:rFonts w:ascii="宋体" w:hAnsi="宋体" w:cs="宋体" w:hint="eastAsia"/>
          <w:sz w:val="24"/>
          <w:highlight w:val="none"/>
        </w:rPr>
        <w:t>项目的招标文件，遵照《深圳经济特区政府采购条例》和《深圳网上政府采购管理暂行办法》等有关规定，我单位经研究上述招标文件的专用条款及通用条款后，我方愿以投标书编制软件中《开标一览表》中填写的投标报价并按招标文件要求承包上述项目并修补其任何缺陷。</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2.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3.如果我方中标，我方将按照规定提交上述总价</w:t>
      </w:r>
      <w:r>
        <w:rPr>
          <w:rFonts w:ascii="宋体" w:hAnsi="宋体" w:cs="宋体" w:hint="eastAsia"/>
          <w:sz w:val="24"/>
          <w:highlight w:val="none"/>
          <w:u w:val="single"/>
        </w:rPr>
        <w:t xml:space="preserve">      </w:t>
      </w:r>
      <w:r>
        <w:rPr>
          <w:rFonts w:ascii="宋体" w:hAnsi="宋体" w:cs="宋体" w:hint="eastAsia"/>
          <w:sz w:val="24"/>
          <w:highlight w:val="none"/>
        </w:rPr>
        <w:t>％（或</w:t>
      </w:r>
      <w:r>
        <w:rPr>
          <w:rFonts w:ascii="宋体" w:hAnsi="宋体" w:cs="宋体" w:hint="eastAsia"/>
          <w:sz w:val="24"/>
          <w:highlight w:val="none"/>
          <w:u w:val="single"/>
        </w:rPr>
        <w:t xml:space="preserve">   </w:t>
      </w:r>
      <w:r>
        <w:rPr>
          <w:rFonts w:ascii="宋体" w:hAnsi="宋体" w:cs="宋体" w:hint="eastAsia"/>
          <w:sz w:val="24"/>
          <w:highlight w:val="none"/>
        </w:rPr>
        <w:t>万元）作为履约担保（可提供保函或现金）。</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4.我方同意所递交的投标文件在“对通用条款的补充内容”中的投标有效期内有效，在此期间内我方的投标有可能中标，我方将受此约束。如果在投标有效期内撤回其投标，其投标保证金将全部被没收。</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5.除非另外达成协议并生效，贵方的中标通知书和本投标文件将构成约束我们双方的合同。</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6.我方理解贵方将不受必须接受你们所收到的最低标价或其他任何投标文件的约束。</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7.如我单位按项目要求提供样品，且未在规定时间内取回样品的，视同放弃取回，同意深圳公共资源交易中心对样品进行清理。</w:t>
      </w:r>
    </w:p>
    <w:p>
      <w:pPr>
        <w:spacing w:line="400" w:lineRule="exact"/>
        <w:rPr>
          <w:rFonts w:ascii="宋体" w:hAnsi="宋体" w:cs="宋体"/>
          <w:sz w:val="24"/>
          <w:highlight w:val="none"/>
        </w:rPr>
      </w:pPr>
      <w:r>
        <w:rPr>
          <w:rFonts w:ascii="宋体" w:hAnsi="宋体" w:cs="宋体" w:hint="eastAsia"/>
          <w:sz w:val="24"/>
          <w:highlight w:val="none"/>
        </w:rPr>
        <w:t>投标人：</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法定代表人或其委托代理人：</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邮政编码：</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传真：</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电子邮箱：</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开户银行名称：</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rPr>
      </w:pPr>
      <w:r>
        <w:rPr>
          <w:rFonts w:ascii="宋体" w:hAnsi="宋体" w:cs="宋体" w:hint="eastAsia"/>
          <w:sz w:val="24"/>
          <w:highlight w:val="none"/>
        </w:rPr>
        <w:t>开户银行账号：</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rPr>
      </w:pPr>
      <w:r>
        <w:rPr>
          <w:rFonts w:ascii="宋体" w:hAnsi="宋体" w:cs="宋体" w:hint="eastAsia"/>
          <w:sz w:val="24"/>
          <w:highlight w:val="none"/>
        </w:rPr>
        <w:t>开户银行地址：</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u w:val="single"/>
        </w:rPr>
      </w:pPr>
      <w:r>
        <w:rPr>
          <w:rFonts w:ascii="宋体" w:hAnsi="宋体" w:cs="宋体" w:hint="eastAsia"/>
          <w:sz w:val="24"/>
          <w:highlight w:val="none"/>
        </w:rPr>
        <w:t>开户银行电话：</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u w:val="single"/>
        </w:rPr>
      </w:pPr>
      <w:r>
        <w:rPr>
          <w:rFonts w:ascii="宋体" w:hAnsi="宋体" w:cs="宋体" w:hint="eastAsia"/>
          <w:sz w:val="24"/>
          <w:highlight w:val="none"/>
        </w:rPr>
        <w:t>日期：</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w:t>
      </w:r>
    </w:p>
    <w:p>
      <w:pPr>
        <w:rPr>
          <w:rFonts w:ascii="宋体" w:hAnsi="宋体" w:cs="宋体"/>
          <w:b/>
          <w:sz w:val="24"/>
          <w:highlight w:val="none"/>
        </w:rPr>
      </w:pPr>
      <w:r>
        <w:rPr>
          <w:rFonts w:ascii="宋体" w:hAnsi="宋体" w:cs="宋体" w:hint="eastAsia"/>
          <w:b/>
          <w:sz w:val="24"/>
          <w:highlight w:val="none"/>
        </w:rPr>
        <w:br w:type="page"/>
      </w:r>
    </w:p>
    <w:p>
      <w:pPr>
        <w:autoSpaceDE w:val="0"/>
        <w:autoSpaceDN w:val="0"/>
        <w:spacing w:line="360" w:lineRule="auto"/>
        <w:jc w:val="center"/>
        <w:rPr>
          <w:rFonts w:ascii="宋体" w:hAnsi="宋体" w:cs="宋体"/>
          <w:b/>
          <w:sz w:val="32"/>
          <w:szCs w:val="32"/>
          <w:highlight w:val="none"/>
        </w:rPr>
      </w:pPr>
      <w:r>
        <w:rPr>
          <w:rFonts w:ascii="宋体" w:hAnsi="宋体" w:cs="宋体" w:hint="eastAsia"/>
          <w:b/>
          <w:sz w:val="32"/>
          <w:szCs w:val="32"/>
          <w:highlight w:val="none"/>
        </w:rPr>
        <w:t>（二）政府采购投标及履约承诺函</w:t>
      </w:r>
    </w:p>
    <w:p>
      <w:pPr>
        <w:spacing w:line="400" w:lineRule="exact"/>
        <w:rPr>
          <w:rFonts w:ascii="宋体" w:hAnsi="宋体" w:cs="宋体"/>
          <w:sz w:val="24"/>
          <w:highlight w:val="none"/>
        </w:rPr>
      </w:pPr>
    </w:p>
    <w:p>
      <w:pPr>
        <w:spacing w:line="400" w:lineRule="exact"/>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lang w:val="en-US" w:eastAsia="zh-CN"/>
        </w:rPr>
        <w:t>深圳市人民医院、</w:t>
      </w:r>
      <w:r>
        <w:rPr>
          <w:rFonts w:ascii="宋体" w:hAnsi="宋体" w:cs="宋体" w:hint="eastAsia"/>
          <w:sz w:val="24"/>
          <w:highlight w:val="none"/>
          <w:u w:val="single"/>
        </w:rPr>
        <w:t>国义招标股份有限公司</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我单位承诺：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1.我单位参与本项目所投标（响应）的货物、工程或服务，不存在侵犯知识产权的情况；已知悉并同意中标（成交）结果信息公示（公开）的内容。</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2.我单位参与该项目投标，符合招标文件关于联合体及进口产品的相关资格要求。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3.我单位参与本项目投标前三年内，在经营活动中没有重大违法记录。</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4.我单位参与本项目政府采购活动时不存在被有关部门禁止参与政府采购活动且在有效期内的情况。</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5.我单位具备《中华人民共和国政府采购法》第二十二条第一款的条件。</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8.我单位如果中标，做到守信，不偷工减料，依照本项目招标文件需求内容、签署的采购合同及本单位在投标中所做的一切承诺履约。我单位对本项目的报价负责，中标后将严格按照本项目招标文件需求、签署的采购合同及我单位在投标中所作的全部承诺履行。</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10.我单位承诺中标后项目不转包，未经采购人同意不进行分包。</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11</w:t>
      </w:r>
      <w:r>
        <w:rPr>
          <w:rFonts w:ascii="宋体" w:hAnsi="宋体" w:cs="宋体"/>
          <w:bCs/>
          <w:sz w:val="24"/>
          <w:highlight w:val="none"/>
        </w:rPr>
        <w:t>.</w:t>
      </w:r>
      <w:r>
        <w:rPr>
          <w:rFonts w:ascii="宋体" w:hAnsi="宋体" w:cs="宋体" w:hint="eastAsia"/>
          <w:bCs/>
          <w:sz w:val="24"/>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400" w:lineRule="exact"/>
        <w:ind w:firstLine="420" w:firstLineChars="200"/>
        <w:rPr>
          <w:rFonts w:ascii="宋体" w:hAnsi="宋体" w:cs="宋体"/>
          <w:bCs/>
          <w:sz w:val="24"/>
          <w:highlight w:val="none"/>
        </w:rPr>
      </w:pPr>
      <w:r>
        <w:rPr>
          <w:rFonts w:ascii="宋体" w:hAnsi="宋体" w:cs="宋体"/>
          <w:bCs/>
          <w:sz w:val="24"/>
          <w:highlight w:val="none"/>
        </w:rPr>
        <w:t>1</w:t>
      </w:r>
      <w:r>
        <w:rPr>
          <w:rFonts w:ascii="宋体" w:hAnsi="宋体" w:cs="宋体" w:hint="eastAsia"/>
          <w:bCs/>
          <w:sz w:val="24"/>
          <w:highlight w:val="none"/>
        </w:rPr>
        <w:t>2</w:t>
      </w:r>
      <w:r>
        <w:rPr>
          <w:rFonts w:ascii="宋体" w:hAnsi="宋体" w:cs="宋体"/>
          <w:bCs/>
          <w:sz w:val="24"/>
          <w:highlight w:val="none"/>
        </w:rPr>
        <w:t>.</w:t>
      </w:r>
      <w:r>
        <w:rPr>
          <w:rFonts w:ascii="宋体" w:hAnsi="宋体" w:cs="宋体" w:hint="eastAsia"/>
          <w:bCs/>
          <w:sz w:val="24"/>
          <w:highlight w:val="none"/>
        </w:rPr>
        <w:t>我单位保证，若所投货物涉及</w:t>
      </w:r>
      <w:r>
        <w:rPr>
          <w:rFonts w:ascii="宋体" w:hAnsi="宋体" w:cs="宋体"/>
          <w:bCs/>
          <w:sz w:val="24"/>
          <w:highlight w:val="none"/>
        </w:rPr>
        <w:t>《</w:t>
      </w:r>
      <w:r>
        <w:rPr>
          <w:rFonts w:ascii="宋体" w:hAnsi="宋体" w:cs="宋体" w:hint="eastAsia"/>
          <w:bCs/>
          <w:sz w:val="24"/>
          <w:highlight w:val="none"/>
        </w:rPr>
        <w:t>财政部生态环境部关于印发节能产品政府采购品目清单的通知》（财库〔20</w:t>
      </w:r>
      <w:r>
        <w:rPr>
          <w:rFonts w:ascii="宋体" w:hAnsi="宋体" w:cs="宋体"/>
          <w:bCs/>
          <w:sz w:val="24"/>
          <w:highlight w:val="none"/>
        </w:rPr>
        <w:t>19</w:t>
      </w:r>
      <w:r>
        <w:rPr>
          <w:rFonts w:ascii="宋体" w:hAnsi="宋体" w:cs="宋体" w:hint="eastAsia"/>
          <w:bCs/>
          <w:sz w:val="24"/>
          <w:highlight w:val="none"/>
        </w:rPr>
        <w:t>〕</w:t>
      </w:r>
      <w:r>
        <w:rPr>
          <w:rFonts w:ascii="宋体" w:hAnsi="宋体" w:cs="宋体"/>
          <w:bCs/>
          <w:sz w:val="24"/>
          <w:highlight w:val="none"/>
        </w:rPr>
        <w:t>19</w:t>
      </w:r>
      <w:r>
        <w:rPr>
          <w:rFonts w:ascii="宋体" w:hAnsi="宋体" w:cs="宋体" w:hint="eastAsia"/>
          <w:bCs/>
          <w:sz w:val="24"/>
          <w:highlight w:val="none"/>
        </w:rPr>
        <w:t>号）列明的政府采购强制产品，则所投该产品符合节能产品的认证要求。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14.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spacing w:line="400" w:lineRule="exact"/>
        <w:ind w:firstLine="420" w:firstLineChars="200"/>
        <w:rPr>
          <w:rFonts w:ascii="宋体" w:hAnsi="宋体" w:cs="宋体"/>
          <w:b/>
          <w:color w:val="FF0000"/>
          <w:sz w:val="24"/>
          <w:highlight w:val="none"/>
        </w:rPr>
      </w:pPr>
      <w:r>
        <w:rPr>
          <w:rFonts w:ascii="宋体" w:hAnsi="宋体" w:cs="宋体" w:hint="eastAsia"/>
          <w:b/>
          <w:color w:val="FF0000"/>
          <w:sz w:val="24"/>
          <w:highlight w:val="none"/>
        </w:rPr>
        <w:t>15.我单位清楚，如存在违反投标承诺行为情节严重的，将根据《深圳市财政局关于印发〈深圳市财政局政府采购供应商信用信息管理办法〉的通知》，依法被列入失信信息。</w:t>
      </w:r>
    </w:p>
    <w:p>
      <w:pPr>
        <w:spacing w:line="400" w:lineRule="exact"/>
        <w:ind w:firstLine="420" w:firstLineChars="200"/>
        <w:rPr>
          <w:rFonts w:ascii="宋体" w:hAnsi="宋体" w:cs="宋体"/>
          <w:b/>
          <w:color w:val="FF0000"/>
          <w:sz w:val="24"/>
          <w:highlight w:val="none"/>
        </w:rPr>
      </w:pPr>
      <w:r>
        <w:rPr>
          <w:rFonts w:ascii="宋体" w:hAnsi="宋体" w:cs="宋体" w:hint="eastAsia"/>
          <w:b/>
          <w:color w:val="FF0000"/>
          <w:sz w:val="24"/>
          <w:highlight w:val="none"/>
        </w:rPr>
        <w:t>16.我单位保证，开标前承诺所提供的一切资料真实有效，不存在串通投标和其他违法违纪行为等，如有不实，将取消投标资格，并列入医院招采不良行为黑名单，视其情节轻重，一至三年内不得参与医院招标活动。</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以上承诺，如有违反，愿依照国家相关法律法规处理，并承担由此给采购人带来的损失。</w:t>
      </w: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 xml:space="preserve">                     </w:t>
      </w:r>
    </w:p>
    <w:p>
      <w:pPr>
        <w:spacing w:line="360" w:lineRule="exact"/>
        <w:ind w:firstLine="420" w:firstLineChars="200"/>
        <w:jc w:val="center"/>
        <w:rPr>
          <w:rFonts w:ascii="宋体" w:hAnsi="宋体" w:cs="宋体"/>
          <w:bCs/>
          <w:sz w:val="24"/>
          <w:highlight w:val="none"/>
        </w:rPr>
      </w:pP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投标人：</w:t>
      </w:r>
    </w:p>
    <w:p>
      <w:pPr>
        <w:spacing w:line="360" w:lineRule="exact"/>
        <w:ind w:firstLine="420" w:firstLineChars="200"/>
        <w:rPr>
          <w:rFonts w:ascii="宋体" w:hAnsi="宋体" w:cs="宋体"/>
          <w:bCs/>
          <w:sz w:val="24"/>
          <w:highlight w:val="none"/>
        </w:rPr>
      </w:pPr>
      <w:r>
        <w:rPr>
          <w:rFonts w:ascii="宋体" w:hAnsi="宋体" w:cs="宋体" w:hint="eastAsia"/>
          <w:bCs/>
          <w:sz w:val="24"/>
          <w:highlight w:val="none"/>
        </w:rPr>
        <w:t xml:space="preserve">                                  日期：     年   月   日</w:t>
      </w:r>
    </w:p>
    <w:p>
      <w:pPr>
        <w:rPr>
          <w:highlight w:val="none"/>
        </w:rPr>
      </w:pPr>
      <w:r>
        <w:rPr>
          <w:rFonts w:ascii="宋体" w:hAnsi="宋体" w:cs="宋体" w:hint="eastAsia"/>
          <w:bCs/>
          <w:sz w:val="24"/>
          <w:highlight w:val="none"/>
        </w:rPr>
        <w:br w:type="page"/>
      </w:r>
    </w:p>
    <w:p>
      <w:pPr>
        <w:jc w:val="center"/>
        <w:rPr>
          <w:rFonts w:ascii="黑体" w:eastAsia="黑体"/>
          <w:sz w:val="24"/>
          <w:highlight w:val="none"/>
        </w:rPr>
      </w:pPr>
      <w:r>
        <w:rPr>
          <w:rFonts w:ascii="宋体" w:hAnsi="宋体" w:cs="宋体" w:hint="eastAsia"/>
          <w:b/>
          <w:sz w:val="32"/>
          <w:szCs w:val="32"/>
          <w:highlight w:val="none"/>
        </w:rPr>
        <w:t>（三）投标人情况及资格证明文件</w:t>
      </w:r>
    </w:p>
    <w:p>
      <w:pPr>
        <w:outlineLvl w:val="3"/>
        <w:rPr>
          <w:rFonts w:ascii="宋体" w:hAnsi="宋体" w:cs="宋体"/>
          <w:b/>
          <w:sz w:val="24"/>
          <w:highlight w:val="none"/>
        </w:rPr>
      </w:pPr>
    </w:p>
    <w:p>
      <w:pPr>
        <w:outlineLvl w:val="3"/>
        <w:rPr>
          <w:rFonts w:ascii="宋体" w:hAnsi="宋体" w:cs="宋体"/>
          <w:b/>
          <w:sz w:val="24"/>
          <w:highlight w:val="none"/>
        </w:rPr>
      </w:pPr>
      <w:r>
        <w:rPr>
          <w:rFonts w:ascii="宋体" w:hAnsi="宋体" w:cs="宋体" w:hint="eastAsia"/>
          <w:b/>
          <w:sz w:val="24"/>
          <w:highlight w:val="none"/>
        </w:rPr>
        <w:t>1、投标人资格证明文件</w:t>
      </w:r>
    </w:p>
    <w:p>
      <w:pPr>
        <w:rPr>
          <w:rFonts w:ascii="宋体" w:hAnsi="宋体" w:cs="宋体"/>
          <w:b/>
          <w:sz w:val="24"/>
          <w:highlight w:val="none"/>
        </w:rPr>
      </w:pPr>
      <w:r>
        <w:rPr>
          <w:rFonts w:hint="eastAsia"/>
          <w:b/>
          <w:bCs/>
          <w:color w:val="FF0000"/>
          <w:highlight w:val="none"/>
        </w:rPr>
        <w:t>（特别提示：投标人须按本招标文件第一部分 投标邀请函 “申请人的资格要求”（即投标人资格要求）提供相关的资格证明资料，未提供或提供不完整、不符合要求的，将作投标无效处理。）</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rPr>
        <w:t>1</w:t>
      </w:r>
      <w:r>
        <w:rPr>
          <w:rFonts w:ascii="宋体" w:hAnsi="宋体" w:cs="宋体" w:hint="eastAsia"/>
          <w:kern w:val="0"/>
          <w:szCs w:val="21"/>
          <w:highlight w:val="none"/>
          <w:lang w:eastAsia="zh-CN"/>
        </w:rPr>
        <w:t>）</w:t>
      </w: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2</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3</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落实政府采购政策需满足的资格要求：无。</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4</w:t>
      </w:r>
      <w:r>
        <w:rPr>
          <w:rFonts w:ascii="宋体" w:hAnsi="宋体" w:cs="宋体" w:hint="eastAsia"/>
          <w:kern w:val="0"/>
          <w:szCs w:val="21"/>
          <w:highlight w:val="none"/>
          <w:lang w:eastAsia="zh-CN"/>
        </w:rPr>
        <w:t>）</w:t>
      </w:r>
      <w:r>
        <w:rPr>
          <w:rFonts w:ascii="宋体" w:hAnsi="宋体" w:cs="宋体"/>
          <w:color w:val="000000"/>
          <w:kern w:val="0"/>
          <w:szCs w:val="21"/>
          <w:highlight w:val="none"/>
        </w:rPr>
        <w:t>本项目的特定资格要求：</w:t>
      </w:r>
      <w:r>
        <w:rPr>
          <w:rFonts w:ascii="宋体" w:hAnsi="宋体" w:cs="宋体" w:hint="eastAsia"/>
          <w:color w:val="000000"/>
          <w:kern w:val="0"/>
          <w:szCs w:val="21"/>
          <w:highlight w:val="none"/>
        </w:rPr>
        <w:t>无。</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5</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6</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7</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hAnsi="宋体" w:cs="宋体"/>
          <w:color w:val="000000"/>
          <w:kern w:val="0"/>
          <w:szCs w:val="21"/>
          <w:highlight w:val="none"/>
          <w:lang w:val="zh-CN"/>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8</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p>
      <w:pPr>
        <w:pStyle w:val="BodyText"/>
        <w:spacing w:line="240" w:lineRule="auto"/>
        <w:ind w:firstLine="420" w:firstLineChars="200"/>
        <w:rPr>
          <w:rFonts w:ascii="宋体" w:hAnsi="宋体" w:cs="宋体"/>
          <w:b/>
          <w:sz w:val="24"/>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9</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为采购项目提供整体设计、规范编制或者项目管理、监理、检测等服务的供应商，不得再参加该采购项目的其他采购活动（投标人出具声明函）。</w:t>
      </w:r>
    </w:p>
    <w:p>
      <w:pPr>
        <w:pStyle w:val="BodyText2"/>
        <w:rPr>
          <w:rFonts w:cs="宋体"/>
          <w:b/>
          <w:highlight w:val="none"/>
        </w:rPr>
      </w:pPr>
    </w:p>
    <w:p>
      <w:pPr>
        <w:pStyle w:val="BodyText2"/>
        <w:rPr>
          <w:rFonts w:cs="宋体"/>
          <w:b/>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r>
        <w:rPr>
          <w:rFonts w:ascii="宋体" w:hAnsi="宋体" w:cs="宋体" w:hint="eastAsia"/>
          <w:b/>
          <w:sz w:val="24"/>
          <w:highlight w:val="none"/>
        </w:rPr>
        <w:br w:type="page"/>
      </w:r>
    </w:p>
    <w:p>
      <w:pPr>
        <w:outlineLvl w:val="3"/>
        <w:rPr>
          <w:rFonts w:ascii="宋体" w:hAnsi="宋体" w:cs="宋体"/>
          <w:b/>
          <w:sz w:val="24"/>
          <w:highlight w:val="none"/>
        </w:rPr>
      </w:pPr>
      <w:r>
        <w:rPr>
          <w:rFonts w:ascii="宋体" w:hAnsi="宋体" w:cs="宋体" w:hint="eastAsia"/>
          <w:b/>
          <w:sz w:val="24"/>
          <w:highlight w:val="none"/>
        </w:rPr>
        <w:t>2、中小企业声明函、残疾人福利性单位声明函及监狱企业声明函</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填写指引：</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bCs/>
          <w:color w:val="FF0000"/>
          <w:kern w:val="0"/>
          <w:szCs w:val="21"/>
          <w:highlight w:val="none"/>
        </w:rPr>
        <w:t>1、该部分内容由供应商根据自身实际情况填写，</w:t>
      </w:r>
      <w:r>
        <w:rPr>
          <w:rFonts w:ascii="宋体" w:eastAsia="宋体" w:hAnsi="宋体" w:cs="宋体" w:hint="eastAsia"/>
          <w:color w:val="FF0000"/>
          <w:szCs w:val="21"/>
          <w:highlight w:val="none"/>
        </w:rPr>
        <w:t>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2、该部分内容填写需要参考的相关文件：</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(1)财政部《政府采购促进中小企业发展管理办法》（财库〔2020〕46号）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w:t>
      </w:r>
      <w:bookmarkStart w:id="28" w:name="_Hlk71925120"/>
      <w:r>
        <w:rPr>
          <w:rFonts w:ascii="宋体" w:eastAsia="宋体" w:hAnsi="宋体" w:cs="宋体" w:hint="eastAsia"/>
          <w:color w:val="FF0000"/>
          <w:szCs w:val="21"/>
          <w:highlight w:val="none"/>
        </w:rPr>
        <w:t>《工业和信息化部、国家统计局、国家发展和改革委员会、财政部关于印发中小企业划型标准规定的通知》（工信部联企业〔2011〕300 号</w:t>
      </w:r>
      <w:bookmarkEnd w:id="28"/>
      <w:r>
        <w:rPr>
          <w:rFonts w:ascii="宋体" w:eastAsia="宋体" w:hAnsi="宋体" w:cs="宋体" w:hint="eastAsia"/>
          <w:color w:val="FF0000"/>
          <w:szCs w:val="21"/>
          <w:highlight w:val="none"/>
        </w:rPr>
        <w:t>，以下简称300号文）</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(3)《统计上大中小微型企业划分办法(2017)》（国统字〔2017〕213 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(4)《关于促进残疾人就业政府采购政策的通知》（财库〔2017〕141号）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(5)《关于政府采购支持监狱企业发展有关问题的通知》（财库〔2014〕68号）</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3、请依照提供的格式和内容填写声明函，不要随意变更格式；声明函不需要盖章或签字；</w:t>
      </w:r>
      <w:r>
        <w:rPr>
          <w:rFonts w:ascii="宋体" w:eastAsia="宋体" w:hAnsi="宋体" w:cs="宋体" w:hint="eastAsia"/>
          <w:color w:val="FF0000"/>
          <w:szCs w:val="21"/>
          <w:highlight w:val="none"/>
        </w:rPr>
        <w:t>满足多项优惠政策的投标人，不重复享受多项价格扣除政策。</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4、声明函具体填写要求：</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（1）声明是中小企业须填写《中小企业声明函》的以下内容：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第一处，在“单位名称”下划线处应填写采购人名称（</w:t>
      </w:r>
      <w:r>
        <w:rPr>
          <w:rFonts w:ascii="宋体" w:eastAsia="宋体" w:hAnsi="宋体" w:cs="宋体" w:hint="eastAsia"/>
          <w:bCs/>
          <w:color w:val="FF0000"/>
          <w:kern w:val="0"/>
          <w:szCs w:val="21"/>
          <w:highlight w:val="none"/>
          <w:lang w:val="en-US" w:eastAsia="zh-CN"/>
        </w:rPr>
        <w:t>国义招标股份有限公司</w:t>
      </w:r>
      <w:r>
        <w:rPr>
          <w:rFonts w:ascii="宋体" w:eastAsia="宋体" w:hAnsi="宋体" w:cs="宋体" w:hint="eastAsia"/>
          <w:bCs/>
          <w:color w:val="FF0000"/>
          <w:kern w:val="0"/>
          <w:szCs w:val="21"/>
          <w:highlight w:val="none"/>
        </w:rPr>
        <w:t>不是本项目的采购人，而是组织实施机构）；</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四处，在“采购文件中明确的所属行业”下划线处应填写采购文件中明确的采购标的所属行业，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承担部分采购标的涉及的服务承接商本身的所属行业保持一致；</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五处，在“企业名称”下划线处应填写投标（响应）的服务承接商。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 xml:space="preserve">（2）从业人员、资产总额指标以上年度末数据为依据，营业收入指标以上年度累计数据为依据。无上年度数据的新成立企业可不填报。 </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（3）“中型企业/小型企业/微型企业”部分，供应商应依据企业上年度从业人员、营业收入、资产总额等指标，按照《中小企业划型标准规定》（工信部联企业〔2011〕300 号）、《金融业企业划型标准规定》（银发〔2015〕309 号），判断《中小企业声明函》载明的服务承接商是否属于采购文件所属行业的中型企业/小型企业/微型企业。</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（5）声明是残疾人福利性单位须填写《残疾人福利性单位声明函》的相关内容，具体参照以上《中小企业声明函》填写要求执行。</w:t>
      </w:r>
    </w:p>
    <w:p>
      <w:pPr>
        <w:ind w:firstLine="420" w:firstLineChars="200"/>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（6）声明是监狱企业须填写《监狱企业声明函》的三项内容（填写位置的字体已加粗），具体参照以上《中小企业声明函》填写要求执行。</w:t>
      </w:r>
    </w:p>
    <w:p>
      <w:pPr>
        <w:ind w:firstLine="420" w:firstLineChars="200"/>
        <w:rPr>
          <w:rFonts w:ascii="宋体" w:eastAsia="宋体" w:hAnsi="宋体" w:cs="宋体"/>
          <w:highlight w:val="none"/>
        </w:rPr>
      </w:pPr>
      <w:r>
        <w:rPr>
          <w:rFonts w:ascii="宋体" w:eastAsia="宋体" w:hAnsi="宋体" w:cs="宋体" w:hint="eastAsia"/>
          <w:bCs/>
          <w:color w:val="FF0000"/>
          <w:kern w:val="0"/>
          <w:szCs w:val="21"/>
          <w:highlight w:val="none"/>
        </w:rPr>
        <w:t>5、本项目非专门面向中小企业、残疾人福利性单位或监狱企业，声明函的有效性由评审委员会判定，如评审委员会判定声明函无效，相关供应商不享受价格扣除（但不作投标无效处理）。</w:t>
      </w:r>
    </w:p>
    <w:p>
      <w:pPr>
        <w:ind w:firstLine="420" w:firstLineChars="200"/>
        <w:rPr>
          <w:rFonts w:ascii="宋体" w:hAnsi="宋体" w:cs="宋体"/>
          <w:highlight w:val="none"/>
        </w:rPr>
      </w:pPr>
    </w:p>
    <w:p>
      <w:pPr>
        <w:tabs>
          <w:tab w:val="left" w:pos="567"/>
          <w:tab w:val="left" w:pos="993"/>
        </w:tabs>
        <w:spacing w:line="480" w:lineRule="exact"/>
        <w:jc w:val="cente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28"/>
          <w:szCs w:val="28"/>
          <w:highlight w:val="none"/>
        </w:rPr>
        <w:t xml:space="preserve">（1）中小企业声明函（服务类） </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本公司（联合体）郑重声明，根据《政府采购促进中小企业发展管理办法》（财库﹝2020﹞46号）的规定，本公司（联合体）参加</w:t>
      </w:r>
      <w:r>
        <w:rPr>
          <w:rFonts w:ascii="宋体" w:eastAsia="宋体" w:hAnsi="宋体" w:cs="宋体" w:hint="eastAsia"/>
          <w:b/>
          <w:bCs/>
          <w:i w:val="0"/>
          <w:iCs w:val="0"/>
          <w:szCs w:val="21"/>
          <w:highlight w:val="none"/>
          <w:u w:val="single"/>
        </w:rPr>
        <w:t xml:space="preserve">    （单位名称）    </w:t>
      </w:r>
      <w:r>
        <w:rPr>
          <w:rFonts w:ascii="宋体" w:eastAsia="宋体" w:hAnsi="宋体" w:cs="宋体" w:hint="eastAsia"/>
          <w:i w:val="0"/>
          <w:iCs w:val="0"/>
          <w:szCs w:val="21"/>
          <w:highlight w:val="none"/>
        </w:rPr>
        <w:t>的</w:t>
      </w:r>
      <w:r>
        <w:rPr>
          <w:rFonts w:ascii="宋体" w:eastAsia="宋体" w:hAnsi="宋体" w:cs="宋体" w:hint="eastAsia"/>
          <w:b/>
          <w:bCs/>
          <w:i w:val="0"/>
          <w:iCs w:val="0"/>
          <w:szCs w:val="21"/>
          <w:highlight w:val="none"/>
          <w:u w:val="single"/>
        </w:rPr>
        <w:t xml:space="preserve">    （项目名称）    </w:t>
      </w:r>
      <w:r>
        <w:rPr>
          <w:rFonts w:ascii="宋体" w:eastAsia="宋体" w:hAnsi="宋体" w:cs="宋体" w:hint="eastAsia"/>
          <w:i w:val="0"/>
          <w:iCs w:val="0"/>
          <w:szCs w:val="21"/>
          <w:highlight w:val="none"/>
        </w:rPr>
        <w:t>采购活动，服务全部由符合政策要求的中小企业承接。相关企业（含联合体中的中小企业、签订分包意向协议的中小企业）的具体情况如下：</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1.</w:t>
      </w:r>
      <w:r>
        <w:rPr>
          <w:rFonts w:ascii="宋体" w:eastAsia="宋体" w:hAnsi="宋体" w:cs="宋体" w:hint="eastAsia"/>
          <w:b/>
          <w:bCs/>
          <w:i w:val="0"/>
          <w:iCs w:val="0"/>
          <w:szCs w:val="21"/>
          <w:highlight w:val="none"/>
          <w:u w:val="single"/>
        </w:rPr>
        <w:t xml:space="preserve">    （标的名称）     </w:t>
      </w:r>
      <w:r>
        <w:rPr>
          <w:rFonts w:ascii="宋体" w:eastAsia="宋体" w:hAnsi="宋体" w:cs="宋体" w:hint="eastAsia"/>
          <w:i w:val="0"/>
          <w:iCs w:val="0"/>
          <w:szCs w:val="21"/>
          <w:highlight w:val="none"/>
        </w:rPr>
        <w:t>，属于</w:t>
      </w:r>
      <w:r>
        <w:rPr>
          <w:rFonts w:ascii="宋体" w:eastAsia="宋体" w:hAnsi="宋体" w:cs="宋体" w:hint="eastAsia"/>
          <w:b/>
          <w:bCs/>
          <w:i w:val="0"/>
          <w:iCs w:val="0"/>
          <w:szCs w:val="21"/>
          <w:highlight w:val="none"/>
          <w:u w:val="single"/>
        </w:rPr>
        <w:t xml:space="preserve">    （采购文件中明确的所属行业）    </w:t>
      </w:r>
      <w:r>
        <w:rPr>
          <w:rFonts w:ascii="宋体" w:eastAsia="宋体" w:hAnsi="宋体" w:cs="宋体" w:hint="eastAsia"/>
          <w:i w:val="0"/>
          <w:iCs w:val="0"/>
          <w:szCs w:val="21"/>
          <w:highlight w:val="none"/>
        </w:rPr>
        <w:t>行业；承接企业为</w:t>
      </w:r>
      <w:r>
        <w:rPr>
          <w:rFonts w:ascii="宋体" w:eastAsia="宋体" w:hAnsi="宋体" w:cs="宋体" w:hint="eastAsia"/>
          <w:b/>
          <w:bCs/>
          <w:i w:val="0"/>
          <w:iCs w:val="0"/>
          <w:szCs w:val="21"/>
          <w:highlight w:val="none"/>
          <w:u w:val="single"/>
        </w:rPr>
        <w:t xml:space="preserve">    （企业名称，要求承接企业本身所属行业应当与招标文件要求的行业相一致）    </w:t>
      </w:r>
      <w:r>
        <w:rPr>
          <w:rFonts w:ascii="宋体" w:eastAsia="宋体" w:hAnsi="宋体" w:cs="宋体" w:hint="eastAsia"/>
          <w:i w:val="0"/>
          <w:iCs w:val="0"/>
          <w:szCs w:val="21"/>
          <w:highlight w:val="none"/>
        </w:rPr>
        <w:t>，从业人员</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人，营业收入为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万元，资产总额为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万元，属于</w:t>
      </w:r>
      <w:r>
        <w:rPr>
          <w:rFonts w:ascii="宋体" w:eastAsia="宋体" w:hAnsi="宋体" w:cs="宋体" w:hint="eastAsia"/>
          <w:b/>
          <w:bCs/>
          <w:i w:val="0"/>
          <w:iCs w:val="0"/>
          <w:szCs w:val="21"/>
          <w:highlight w:val="none"/>
          <w:u w:val="single"/>
        </w:rPr>
        <w:t xml:space="preserve">    （中型企业、小型企业、微型企业）    </w:t>
      </w: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2.</w:t>
      </w:r>
      <w:r>
        <w:rPr>
          <w:rFonts w:ascii="宋体" w:eastAsia="宋体" w:hAnsi="宋体" w:cs="宋体" w:hint="eastAsia"/>
          <w:b/>
          <w:bCs/>
          <w:i w:val="0"/>
          <w:iCs w:val="0"/>
          <w:szCs w:val="21"/>
          <w:highlight w:val="none"/>
          <w:u w:val="single"/>
        </w:rPr>
        <w:t xml:space="preserve">    （标的名称）     </w:t>
      </w:r>
      <w:r>
        <w:rPr>
          <w:rFonts w:ascii="宋体" w:eastAsia="宋体" w:hAnsi="宋体" w:cs="宋体" w:hint="eastAsia"/>
          <w:i w:val="0"/>
          <w:iCs w:val="0"/>
          <w:szCs w:val="21"/>
          <w:highlight w:val="none"/>
        </w:rPr>
        <w:t>，属于</w:t>
      </w:r>
      <w:r>
        <w:rPr>
          <w:rFonts w:ascii="宋体" w:eastAsia="宋体" w:hAnsi="宋体" w:cs="宋体" w:hint="eastAsia"/>
          <w:b/>
          <w:bCs/>
          <w:i w:val="0"/>
          <w:iCs w:val="0"/>
          <w:szCs w:val="21"/>
          <w:highlight w:val="none"/>
          <w:u w:val="single"/>
        </w:rPr>
        <w:t xml:space="preserve">    （采购文件中明确的所属行业）    </w:t>
      </w:r>
      <w:r>
        <w:rPr>
          <w:rFonts w:ascii="宋体" w:eastAsia="宋体" w:hAnsi="宋体" w:cs="宋体" w:hint="eastAsia"/>
          <w:i w:val="0"/>
          <w:iCs w:val="0"/>
          <w:szCs w:val="21"/>
          <w:highlight w:val="none"/>
        </w:rPr>
        <w:t>行业；承接企业为</w:t>
      </w:r>
      <w:r>
        <w:rPr>
          <w:rFonts w:ascii="宋体" w:eastAsia="宋体" w:hAnsi="宋体" w:cs="宋体" w:hint="eastAsia"/>
          <w:b/>
          <w:bCs/>
          <w:i w:val="0"/>
          <w:iCs w:val="0"/>
          <w:szCs w:val="21"/>
          <w:highlight w:val="none"/>
          <w:u w:val="single"/>
        </w:rPr>
        <w:t xml:space="preserve">    （企业名称，要求承接企业本身所属行业应当与招标文件要求的行业相一致）    </w:t>
      </w:r>
      <w:r>
        <w:rPr>
          <w:rFonts w:ascii="宋体" w:eastAsia="宋体" w:hAnsi="宋体" w:cs="宋体" w:hint="eastAsia"/>
          <w:i w:val="0"/>
          <w:iCs w:val="0"/>
          <w:szCs w:val="21"/>
          <w:highlight w:val="none"/>
        </w:rPr>
        <w:t>，从业人员</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人，营业收入为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万元，资产总额为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万元，属于</w:t>
      </w:r>
      <w:r>
        <w:rPr>
          <w:rFonts w:ascii="宋体" w:eastAsia="宋体" w:hAnsi="宋体" w:cs="宋体" w:hint="eastAsia"/>
          <w:b/>
          <w:bCs/>
          <w:i w:val="0"/>
          <w:iCs w:val="0"/>
          <w:szCs w:val="21"/>
          <w:highlight w:val="none"/>
          <w:u w:val="single"/>
        </w:rPr>
        <w:t xml:space="preserve">    （中型企业、小型企业、微型企业）    </w:t>
      </w: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以上企业，不属于大企业的分支机构，不存在控股股东为大企业的情形，也不存在与大企业的负责人为同一人的情形。</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本企业对上述声明内容的真实性负责。如有虚假，将依法承担相应责任。</w:t>
      </w:r>
    </w:p>
    <w:p>
      <w:pPr>
        <w:spacing w:line="360" w:lineRule="auto"/>
        <w:ind w:firstLine="420" w:firstLineChars="200"/>
        <w:outlineLvl w:val="3"/>
        <w:rPr>
          <w:rFonts w:ascii="宋体" w:eastAsia="宋体" w:hAnsi="宋体" w:cs="宋体" w:hint="eastAsia"/>
          <w:i w:val="0"/>
          <w:iCs w:val="0"/>
          <w:szCs w:val="21"/>
          <w:highlight w:val="none"/>
        </w:rPr>
      </w:pPr>
      <w:bookmarkStart w:id="29" w:name="_Hlk73562275"/>
      <w:r>
        <w:rPr>
          <w:rFonts w:ascii="宋体" w:eastAsia="宋体" w:hAnsi="宋体" w:cs="宋体" w:hint="eastAsia"/>
          <w:i w:val="0"/>
          <w:iCs w:val="0"/>
          <w:szCs w:val="21"/>
          <w:highlight w:val="none"/>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9"/>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       </w:t>
      </w:r>
    </w:p>
    <w:p>
      <w:pPr>
        <w:spacing w:after="78" w:afterLines="25" w:line="300" w:lineRule="auto"/>
        <w:ind w:firstLine="420" w:firstLineChars="200"/>
        <w:rPr>
          <w:rFonts w:ascii="宋体" w:hAnsi="宋体" w:cs="宋体"/>
          <w:b/>
          <w:color w:val="FF0000"/>
          <w:sz w:val="24"/>
          <w:highlight w:val="none"/>
        </w:rPr>
      </w:pPr>
    </w:p>
    <w:p>
      <w:pPr>
        <w:spacing w:after="78" w:afterLines="25" w:line="300" w:lineRule="auto"/>
        <w:ind w:firstLine="420" w:firstLineChars="200"/>
        <w:rPr>
          <w:rFonts w:ascii="宋体" w:hAnsi="宋体" w:cs="宋体"/>
          <w:b/>
          <w:color w:val="FF0000"/>
          <w:sz w:val="24"/>
          <w:highlight w:val="none"/>
        </w:rPr>
      </w:pPr>
    </w:p>
    <w:p>
      <w:pPr>
        <w:spacing w:after="78" w:afterLines="25" w:line="300" w:lineRule="auto"/>
        <w:ind w:firstLine="420" w:firstLineChars="200"/>
        <w:rPr>
          <w:rFonts w:ascii="宋体" w:hAnsi="宋体" w:cs="宋体"/>
          <w:b/>
          <w:color w:val="FF0000"/>
          <w:sz w:val="24"/>
          <w:highlight w:val="none"/>
        </w:rPr>
      </w:pPr>
    </w:p>
    <w:p>
      <w:pPr>
        <w:rPr>
          <w:rFonts w:ascii="宋体" w:hAnsi="宋体" w:cs="宋体" w:hint="eastAsia"/>
          <w:b/>
          <w:color w:val="FF0000"/>
          <w:sz w:val="24"/>
          <w:highlight w:val="none"/>
        </w:rPr>
      </w:pPr>
      <w:r>
        <w:rPr>
          <w:rFonts w:ascii="宋体" w:hAnsi="宋体" w:cs="宋体" w:hint="eastAsia"/>
          <w:b/>
          <w:color w:val="FF0000"/>
          <w:sz w:val="24"/>
          <w:highlight w:val="none"/>
        </w:rPr>
        <w:br w:type="page"/>
      </w:r>
    </w:p>
    <w:p>
      <w:pPr>
        <w:spacing w:after="0" w:afterLines="0" w:line="360" w:lineRule="auto"/>
        <w:ind w:firstLine="420" w:firstLineChars="200"/>
        <w:rPr>
          <w:rFonts w:ascii="宋体" w:hAnsi="宋体" w:cs="宋体"/>
          <w:b/>
          <w:color w:val="FF0000"/>
          <w:sz w:val="24"/>
          <w:highlight w:val="none"/>
        </w:rPr>
      </w:pPr>
      <w:r>
        <w:rPr>
          <w:rFonts w:ascii="宋体" w:hAnsi="宋体" w:cs="宋体" w:hint="eastAsia"/>
          <w:b/>
          <w:color w:val="FF0000"/>
          <w:sz w:val="24"/>
          <w:highlight w:val="none"/>
        </w:rPr>
        <w:t>说明：</w:t>
      </w:r>
    </w:p>
    <w:p>
      <w:pPr>
        <w:spacing w:after="0" w:afterLines="0" w:line="36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1、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pStyle w:val="PlainText"/>
        <w:spacing w:afterLines="0" w:line="360" w:lineRule="auto"/>
        <w:ind w:firstLine="420" w:firstLineChars="200"/>
        <w:rPr>
          <w:highlight w:val="none"/>
        </w:rPr>
      </w:pPr>
      <w:r>
        <w:rPr>
          <w:rFonts w:hAnsi="宋体" w:cs="宋体" w:hint="eastAsia"/>
          <w:color w:val="FF0000"/>
          <w:sz w:val="24"/>
          <w:szCs w:val="24"/>
          <w:highlight w:val="none"/>
        </w:rPr>
        <w:t>2、从业人员、营业收入、资产总额填报上一年度数据，无上一年度数据的新成立企业可不填报；《中小企业声明函》中制造商、承接/承建企业所属行业应当与招标文件要求的行业相一致，供应商如有疑问，可根据《国民经济行业分类》（GB/T4754-2002），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pStyle w:val="PlainText"/>
        <w:rPr>
          <w:highlight w:val="none"/>
        </w:rPr>
      </w:pPr>
    </w:p>
    <w:p>
      <w:pPr>
        <w:spacing w:line="360" w:lineRule="auto"/>
        <w:jc w:val="center"/>
        <w:outlineLvl w:val="3"/>
        <w:rPr>
          <w:rFonts w:ascii="宋体" w:hAnsi="宋体" w:cs="宋体"/>
          <w:b/>
          <w:sz w:val="24"/>
          <w:highlight w:val="none"/>
        </w:rPr>
      </w:pPr>
      <w:r>
        <w:rPr>
          <w:rFonts w:ascii="宋体" w:hAnsi="宋体" w:cs="宋体" w:hint="eastAsia"/>
          <w:b/>
          <w:sz w:val="28"/>
          <w:szCs w:val="28"/>
          <w:highlight w:val="none"/>
        </w:rPr>
        <w:br w:type="page"/>
      </w:r>
      <w:r>
        <w:rPr>
          <w:rFonts w:ascii="宋体" w:hAnsi="宋体" w:cs="宋体" w:hint="eastAsia"/>
          <w:b/>
          <w:sz w:val="28"/>
          <w:szCs w:val="28"/>
          <w:highlight w:val="none"/>
        </w:rPr>
        <w:t>（2）残疾人福利性单位声明函（服务类）</w:t>
      </w:r>
    </w:p>
    <w:p>
      <w:pPr>
        <w:spacing w:line="360" w:lineRule="auto"/>
        <w:rPr>
          <w:rFonts w:ascii="宋体" w:hAnsi="宋体" w:cs="宋体"/>
          <w:b/>
          <w:bCs/>
          <w:highlight w:val="none"/>
        </w:rPr>
      </w:pP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sz w:val="24"/>
          <w:szCs w:val="24"/>
          <w:highlight w:val="none"/>
        </w:rPr>
        <w:t>本单位郑重声明，根据《财政部 民政部 中国残疾人联合会关于促进残疾人就业政府采购政策的通知》（财库〔2017〕141号）的规定，本单位为符合条件的残疾人福利性单位，且本单位参</w:t>
      </w:r>
      <w:r>
        <w:rPr>
          <w:rFonts w:ascii="宋体" w:eastAsia="宋体" w:hAnsi="宋体" w:cs="宋体" w:hint="eastAsia"/>
          <w:i w:val="0"/>
          <w:iCs w:val="0"/>
          <w:sz w:val="24"/>
          <w:szCs w:val="24"/>
          <w:highlight w:val="none"/>
        </w:rPr>
        <w:t>加</w:t>
      </w:r>
      <w:r>
        <w:rPr>
          <w:rFonts w:ascii="宋体" w:eastAsia="宋体" w:hAnsi="宋体" w:cs="宋体" w:hint="eastAsia"/>
          <w:b/>
          <w:bCs/>
          <w:i w:val="0"/>
          <w:iCs w:val="0"/>
          <w:sz w:val="24"/>
          <w:szCs w:val="24"/>
          <w:highlight w:val="none"/>
          <w:u w:val="single"/>
        </w:rPr>
        <w:t xml:space="preserve">    （单位名称）    </w:t>
      </w:r>
      <w:r>
        <w:rPr>
          <w:rFonts w:ascii="宋体" w:eastAsia="宋体" w:hAnsi="宋体" w:cs="宋体" w:hint="eastAsia"/>
          <w:i w:val="0"/>
          <w:iCs w:val="0"/>
          <w:sz w:val="24"/>
          <w:szCs w:val="24"/>
          <w:highlight w:val="none"/>
        </w:rPr>
        <w:t>单位的</w:t>
      </w:r>
      <w:r>
        <w:rPr>
          <w:rFonts w:ascii="宋体" w:eastAsia="宋体" w:hAnsi="宋体" w:cs="宋体" w:hint="eastAsia"/>
          <w:b/>
          <w:bCs/>
          <w:i w:val="0"/>
          <w:iCs w:val="0"/>
          <w:sz w:val="24"/>
          <w:szCs w:val="24"/>
          <w:highlight w:val="none"/>
          <w:u w:val="single"/>
        </w:rPr>
        <w:t xml:space="preserve">    （项目名称）    </w:t>
      </w:r>
      <w:r>
        <w:rPr>
          <w:rFonts w:ascii="宋体" w:eastAsia="宋体" w:hAnsi="宋体" w:cs="宋体" w:hint="eastAsia"/>
          <w:i w:val="0"/>
          <w:iCs w:val="0"/>
          <w:sz w:val="24"/>
          <w:szCs w:val="24"/>
          <w:highlight w:val="none"/>
        </w:rPr>
        <w:t>项目采购活动由本单位提供服务。</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本单位对上述声明的真实性负责。如有虚假，将依法承担相应责任。</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pPr>
        <w:spacing w:line="360" w:lineRule="auto"/>
        <w:ind w:firstLine="420" w:firstLineChars="200"/>
        <w:rPr>
          <w:rFonts w:ascii="宋体" w:hAnsi="宋体" w:cs="宋体"/>
          <w:sz w:val="24"/>
          <w:szCs w:val="24"/>
          <w:highlight w:val="none"/>
        </w:rPr>
      </w:pPr>
    </w:p>
    <w:p>
      <w:pPr>
        <w:spacing w:after="78" w:afterLines="25" w:line="560" w:lineRule="exact"/>
        <w:ind w:firstLine="420" w:firstLineChars="200"/>
        <w:jc w:val="center"/>
        <w:rPr>
          <w:rFonts w:ascii="宋体" w:hAnsi="宋体" w:cs="宋体"/>
          <w:sz w:val="24"/>
          <w:szCs w:val="24"/>
          <w:highlight w:val="none"/>
        </w:rPr>
      </w:pPr>
    </w:p>
    <w:p>
      <w:pPr>
        <w:wordWrap w:val="0"/>
        <w:spacing w:after="78" w:afterLines="25" w:line="300" w:lineRule="auto"/>
        <w:ind w:firstLine="420" w:firstLineChars="200"/>
        <w:jc w:val="right"/>
        <w:rPr>
          <w:rFonts w:ascii="宋体" w:hAnsi="宋体" w:cs="宋体"/>
          <w:sz w:val="24"/>
          <w:szCs w:val="24"/>
          <w:highlight w:val="none"/>
        </w:rPr>
      </w:pPr>
      <w:r>
        <w:rPr>
          <w:rFonts w:ascii="宋体" w:hAnsi="宋体" w:cs="宋体" w:hint="eastAsia"/>
          <w:sz w:val="24"/>
          <w:szCs w:val="24"/>
          <w:highlight w:val="none"/>
        </w:rPr>
        <w:t xml:space="preserve">     投标人（投标单位）：       </w:t>
      </w: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szCs w:val="24"/>
          <w:highlight w:val="none"/>
        </w:rPr>
        <w:t>日期：</w:t>
      </w:r>
      <w:r>
        <w:rPr>
          <w:rFonts w:ascii="宋体" w:hAnsi="宋体" w:cs="宋体" w:hint="eastAsia"/>
          <w:sz w:val="24"/>
          <w:highlight w:val="none"/>
        </w:rPr>
        <w:t xml:space="preserve">       </w:t>
      </w:r>
    </w:p>
    <w:p>
      <w:pPr>
        <w:spacing w:after="78" w:afterLines="25" w:line="560" w:lineRule="exact"/>
        <w:ind w:firstLine="420" w:firstLineChars="200"/>
        <w:jc w:val="center"/>
        <w:rPr>
          <w:rFonts w:ascii="宋体" w:hAnsi="宋体" w:cs="宋体"/>
          <w:sz w:val="24"/>
          <w:highlight w:val="none"/>
        </w:rPr>
      </w:pPr>
    </w:p>
    <w:p>
      <w:pPr>
        <w:rPr>
          <w:rFonts w:ascii="宋体" w:hAnsi="宋体" w:cs="宋体" w:hint="eastAsia"/>
          <w:b/>
          <w:color w:val="FF0000"/>
          <w:sz w:val="24"/>
          <w:highlight w:val="none"/>
        </w:rPr>
      </w:pPr>
      <w:r>
        <w:rPr>
          <w:rFonts w:ascii="宋体" w:hAnsi="宋体" w:cs="宋体" w:hint="eastAsia"/>
          <w:b/>
          <w:color w:val="FF0000"/>
          <w:sz w:val="24"/>
          <w:highlight w:val="none"/>
        </w:rPr>
        <w:br w:type="page"/>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b/>
          <w:color w:val="FF0000"/>
          <w:sz w:val="24"/>
          <w:highlight w:val="none"/>
        </w:rPr>
        <w:t>说明：</w:t>
      </w:r>
      <w:r>
        <w:rPr>
          <w:rFonts w:ascii="宋体" w:hAnsi="宋体" w:cs="宋体" w:hint="eastAsia"/>
          <w:color w:val="FF0000"/>
          <w:sz w:val="24"/>
          <w:highlight w:val="none"/>
        </w:rPr>
        <w:t>根据财库〔2017〕141号文件的规定，享受政府采购支持政策的残疾人福利性单位应当同时满足以下条件：</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（一）</w:t>
      </w:r>
      <w:r>
        <w:rPr>
          <w:rFonts w:ascii="宋体" w:hAnsi="宋体" w:cs="宋体" w:hint="eastAsia"/>
          <w:b/>
          <w:color w:val="FF0000"/>
          <w:sz w:val="24"/>
          <w:highlight w:val="none"/>
        </w:rPr>
        <w:t>安置的残疾人占本单位在职职工人数的比例不低于25%（含25%），并且安置的残疾人人数不少于10人（含10人）</w:t>
      </w:r>
      <w:r>
        <w:rPr>
          <w:rFonts w:ascii="宋体" w:hAnsi="宋体" w:cs="宋体" w:hint="eastAsia"/>
          <w:color w:val="FF0000"/>
          <w:sz w:val="24"/>
          <w:highlight w:val="none"/>
        </w:rPr>
        <w:t>；</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（二）依法与安置的每位残疾人签订了一年以上（含一年）的劳动合同或服务协议；</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（三）为安置的每位残疾人按月足额缴纳了基本养老保险、基本医疗保险、失业保险、工伤保险和生育保险等社会保险费；</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（四）通过银行等金融机构向安置的每位残疾人，按月支付了不低于单位所在区县适用的经省级人民政府批准的月最低工资标准的工资；</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3"/>
        <w:rPr>
          <w:rFonts w:ascii="宋体" w:eastAsia="宋体" w:hAnsi="宋体" w:cs="宋体" w:hint="eastAsia"/>
          <w:b/>
          <w:sz w:val="24"/>
          <w:szCs w:val="24"/>
          <w:highlight w:val="none"/>
        </w:rPr>
      </w:pPr>
      <w:r>
        <w:rPr>
          <w:rFonts w:ascii="宋体" w:hAnsi="宋体" w:cs="宋体" w:hint="eastAsia"/>
          <w:sz w:val="24"/>
          <w:highlight w:val="none"/>
        </w:rPr>
        <w:br w:type="page"/>
      </w:r>
      <w:r>
        <w:rPr>
          <w:rFonts w:ascii="宋体" w:hAnsi="宋体" w:cs="宋体" w:hint="eastAsia"/>
          <w:b/>
          <w:bCs/>
          <w:sz w:val="24"/>
          <w:szCs w:val="24"/>
          <w:highlight w:val="none"/>
        </w:rPr>
        <w:t>（3）</w:t>
      </w:r>
      <w:r>
        <w:rPr>
          <w:rFonts w:ascii="宋体" w:eastAsia="宋体" w:hAnsi="宋体" w:cs="宋体" w:hint="eastAsia"/>
          <w:b/>
          <w:sz w:val="24"/>
          <w:szCs w:val="24"/>
          <w:highlight w:val="none"/>
        </w:rPr>
        <w:t>监狱企业声明函【服务类，监狱企业如需享受优惠政策，还须另行提供省级以上监狱管理局、戒毒管理局（含新疆生产建设兵团）出具的监狱企业证明文件】</w:t>
      </w:r>
    </w:p>
    <w:p>
      <w:pPr>
        <w:ind w:firstLine="420" w:firstLineChars="200"/>
        <w:rPr>
          <w:rFonts w:ascii="宋体" w:eastAsia="宋体" w:hAnsi="宋体" w:cs="宋体" w:hint="eastAsia"/>
          <w:sz w:val="24"/>
          <w:szCs w:val="24"/>
          <w:highlight w:val="none"/>
        </w:rPr>
      </w:pP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本投标人郑重声明，根据《财政部司法部关于政府采购支持监狱企业发展有关问题的通知》（财库〔2014〕68号）的规定，本投标人参加</w:t>
      </w:r>
      <w:r>
        <w:rPr>
          <w:rFonts w:ascii="宋体" w:eastAsia="宋体" w:hAnsi="宋体" w:cs="宋体" w:hint="eastAsia"/>
          <w:b/>
          <w:bCs/>
          <w:i w:val="0"/>
          <w:iCs w:val="0"/>
          <w:sz w:val="24"/>
          <w:szCs w:val="24"/>
          <w:highlight w:val="none"/>
          <w:u w:val="single"/>
        </w:rPr>
        <w:t>（采购人名称）</w:t>
      </w:r>
      <w:r>
        <w:rPr>
          <w:rFonts w:ascii="宋体" w:eastAsia="宋体" w:hAnsi="宋体" w:cs="宋体" w:hint="eastAsia"/>
          <w:i w:val="0"/>
          <w:iCs w:val="0"/>
          <w:sz w:val="24"/>
          <w:szCs w:val="24"/>
          <w:highlight w:val="none"/>
        </w:rPr>
        <w:t>的</w:t>
      </w:r>
      <w:r>
        <w:rPr>
          <w:rFonts w:ascii="宋体" w:eastAsia="宋体" w:hAnsi="宋体" w:cs="宋体" w:hint="eastAsia"/>
          <w:b/>
          <w:bCs/>
          <w:i w:val="0"/>
          <w:iCs w:val="0"/>
          <w:sz w:val="24"/>
          <w:szCs w:val="24"/>
          <w:highlight w:val="none"/>
          <w:u w:val="single"/>
        </w:rPr>
        <w:t>（项目名称）</w:t>
      </w:r>
      <w:r>
        <w:rPr>
          <w:rFonts w:ascii="宋体" w:eastAsia="宋体" w:hAnsi="宋体" w:cs="宋体" w:hint="eastAsia"/>
          <w:i w:val="0"/>
          <w:iCs w:val="0"/>
          <w:sz w:val="24"/>
          <w:szCs w:val="24"/>
          <w:highlight w:val="none"/>
        </w:rPr>
        <w:t>采购活动，服务全部由符合政策要求的监狱企业承接。相关监狱企业的具体情况如下：</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1.</w:t>
      </w:r>
      <w:r>
        <w:rPr>
          <w:rFonts w:ascii="宋体" w:eastAsia="宋体" w:hAnsi="宋体" w:cs="宋体" w:hint="eastAsia"/>
          <w:b/>
          <w:bCs/>
          <w:i w:val="0"/>
          <w:iCs w:val="0"/>
          <w:sz w:val="24"/>
          <w:szCs w:val="24"/>
          <w:highlight w:val="none"/>
          <w:u w:val="single"/>
        </w:rPr>
        <w:t xml:space="preserve"> （标的名称）</w:t>
      </w:r>
      <w:r>
        <w:rPr>
          <w:rFonts w:ascii="宋体" w:eastAsia="宋体" w:hAnsi="宋体" w:cs="宋体" w:hint="eastAsia"/>
          <w:i w:val="0"/>
          <w:iCs w:val="0"/>
          <w:sz w:val="24"/>
          <w:szCs w:val="24"/>
          <w:highlight w:val="none"/>
        </w:rPr>
        <w:t xml:space="preserve"> ，承接单位为</w:t>
      </w:r>
      <w:r>
        <w:rPr>
          <w:rFonts w:ascii="宋体" w:eastAsia="宋体" w:hAnsi="宋体" w:cs="宋体" w:hint="eastAsia"/>
          <w:b/>
          <w:bCs/>
          <w:i w:val="0"/>
          <w:iCs w:val="0"/>
          <w:sz w:val="24"/>
          <w:szCs w:val="24"/>
          <w:highlight w:val="none"/>
          <w:u w:val="single"/>
        </w:rPr>
        <w:t>（企业名称）</w:t>
      </w:r>
      <w:r>
        <w:rPr>
          <w:rFonts w:ascii="宋体" w:eastAsia="宋体" w:hAnsi="宋体" w:cs="宋体" w:hint="eastAsia"/>
          <w:i w:val="0"/>
          <w:iCs w:val="0"/>
          <w:sz w:val="24"/>
          <w:szCs w:val="24"/>
          <w:highlight w:val="none"/>
        </w:rPr>
        <w:t>，属于</w:t>
      </w:r>
      <w:r>
        <w:rPr>
          <w:rFonts w:ascii="宋体" w:eastAsia="宋体" w:hAnsi="宋体" w:cs="宋体" w:hint="eastAsia"/>
          <w:b/>
          <w:bCs/>
          <w:i w:val="0"/>
          <w:iCs w:val="0"/>
          <w:sz w:val="24"/>
          <w:szCs w:val="24"/>
          <w:highlight w:val="none"/>
          <w:u w:val="single"/>
        </w:rPr>
        <w:t>监狱企业</w:t>
      </w:r>
      <w:r>
        <w:rPr>
          <w:rFonts w:ascii="宋体" w:eastAsia="宋体" w:hAnsi="宋体" w:cs="宋体" w:hint="eastAsia"/>
          <w:i w:val="0"/>
          <w:iCs w:val="0"/>
          <w:sz w:val="24"/>
          <w:szCs w:val="24"/>
          <w:highlight w:val="none"/>
        </w:rPr>
        <w:t>；</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2.</w:t>
      </w:r>
      <w:r>
        <w:rPr>
          <w:rFonts w:ascii="宋体" w:eastAsia="宋体" w:hAnsi="宋体" w:cs="宋体" w:hint="eastAsia"/>
          <w:b/>
          <w:bCs/>
          <w:i w:val="0"/>
          <w:iCs w:val="0"/>
          <w:sz w:val="24"/>
          <w:szCs w:val="24"/>
          <w:highlight w:val="none"/>
          <w:u w:val="single"/>
        </w:rPr>
        <w:t xml:space="preserve"> （标的名称）</w:t>
      </w:r>
      <w:r>
        <w:rPr>
          <w:rFonts w:ascii="宋体" w:eastAsia="宋体" w:hAnsi="宋体" w:cs="宋体" w:hint="eastAsia"/>
          <w:i w:val="0"/>
          <w:iCs w:val="0"/>
          <w:sz w:val="24"/>
          <w:szCs w:val="24"/>
          <w:highlight w:val="none"/>
        </w:rPr>
        <w:t xml:space="preserve"> ，承接单位为</w:t>
      </w:r>
      <w:r>
        <w:rPr>
          <w:rFonts w:ascii="宋体" w:eastAsia="宋体" w:hAnsi="宋体" w:cs="宋体" w:hint="eastAsia"/>
          <w:b/>
          <w:bCs/>
          <w:i w:val="0"/>
          <w:iCs w:val="0"/>
          <w:sz w:val="24"/>
          <w:szCs w:val="24"/>
          <w:highlight w:val="none"/>
          <w:u w:val="single"/>
        </w:rPr>
        <w:t>（企业名称）</w:t>
      </w:r>
      <w:r>
        <w:rPr>
          <w:rFonts w:ascii="宋体" w:eastAsia="宋体" w:hAnsi="宋体" w:cs="宋体" w:hint="eastAsia"/>
          <w:i w:val="0"/>
          <w:iCs w:val="0"/>
          <w:sz w:val="24"/>
          <w:szCs w:val="24"/>
          <w:highlight w:val="none"/>
        </w:rPr>
        <w:t>，属于</w:t>
      </w:r>
      <w:r>
        <w:rPr>
          <w:rFonts w:ascii="宋体" w:eastAsia="宋体" w:hAnsi="宋体" w:cs="宋体" w:hint="eastAsia"/>
          <w:b/>
          <w:bCs/>
          <w:i w:val="0"/>
          <w:iCs w:val="0"/>
          <w:sz w:val="24"/>
          <w:szCs w:val="24"/>
          <w:highlight w:val="none"/>
          <w:u w:val="single"/>
        </w:rPr>
        <w:t>监狱企业</w:t>
      </w:r>
      <w:r>
        <w:rPr>
          <w:rFonts w:ascii="宋体" w:eastAsia="宋体" w:hAnsi="宋体" w:cs="宋体" w:hint="eastAsia"/>
          <w:i w:val="0"/>
          <w:iCs w:val="0"/>
          <w:sz w:val="24"/>
          <w:szCs w:val="24"/>
          <w:highlight w:val="none"/>
        </w:rPr>
        <w:t>。</w:t>
      </w:r>
    </w:p>
    <w:p>
      <w:pPr>
        <w:spacing w:line="360" w:lineRule="auto"/>
        <w:ind w:firstLine="420" w:firstLineChars="200"/>
        <w:outlineLvl w:val="3"/>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 xml:space="preserve">…… </w:t>
      </w:r>
    </w:p>
    <w:p>
      <w:pPr>
        <w:spacing w:line="360" w:lineRule="auto"/>
        <w:ind w:firstLine="420" w:firstLineChars="200"/>
        <w:rPr>
          <w:rFonts w:ascii="宋体" w:hAnsi="宋体" w:cs="宋体"/>
          <w:i w:val="0"/>
          <w:iCs w:val="0"/>
          <w:sz w:val="24"/>
          <w:highlight w:val="none"/>
        </w:rPr>
      </w:pPr>
      <w:r>
        <w:rPr>
          <w:rFonts w:ascii="宋体" w:eastAsia="宋体" w:hAnsi="宋体" w:cs="宋体" w:hint="eastAsia"/>
          <w:i w:val="0"/>
          <w:iCs w:val="0"/>
          <w:sz w:val="24"/>
          <w:szCs w:val="24"/>
          <w:highlight w:val="none"/>
        </w:rPr>
        <w:t>本投标人对上述声明内容的真实性负责。如有虚假，将依法承担相应责任。</w:t>
      </w:r>
    </w:p>
    <w:p>
      <w:pPr>
        <w:spacing w:after="78" w:afterLines="25" w:line="300" w:lineRule="auto"/>
        <w:ind w:firstLine="420" w:firstLineChars="200"/>
        <w:rPr>
          <w:rFonts w:ascii="宋体" w:hAnsi="宋体" w:cs="宋体"/>
          <w:b/>
          <w:i w:val="0"/>
          <w:iCs w:val="0"/>
          <w:color w:val="FF0000"/>
          <w:sz w:val="24"/>
          <w:highlight w:val="none"/>
        </w:rPr>
      </w:pPr>
      <w:r>
        <w:rPr>
          <w:rFonts w:ascii="宋体" w:hAnsi="宋体" w:cs="宋体" w:hint="eastAsia"/>
          <w:b/>
          <w:i w:val="0"/>
          <w:iCs w:val="0"/>
          <w:color w:val="FF0000"/>
          <w:sz w:val="24"/>
          <w:highlight w:val="none"/>
        </w:rPr>
        <w:t>附：省级以上监狱管理局、戒毒管理局（含新疆生产建设兵团）出具的监狱企业证明文件。</w:t>
      </w: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投标人（投标单位）：          </w:t>
      </w:r>
    </w:p>
    <w:p>
      <w:pPr>
        <w:wordWrap w:val="0"/>
        <w:spacing w:after="78" w:afterLines="25" w:line="300" w:lineRule="auto"/>
        <w:ind w:firstLine="420" w:firstLineChars="200"/>
        <w:jc w:val="right"/>
        <w:rPr>
          <w:rFonts w:ascii="宋体" w:hAnsi="宋体" w:cs="宋体"/>
          <w:szCs w:val="21"/>
          <w:highlight w:val="none"/>
        </w:rPr>
      </w:pPr>
      <w:r>
        <w:rPr>
          <w:rFonts w:ascii="宋体" w:hAnsi="宋体" w:cs="宋体" w:hint="eastAsia"/>
          <w:sz w:val="24"/>
          <w:highlight w:val="none"/>
        </w:rPr>
        <w:t xml:space="preserve">日期：         </w:t>
      </w:r>
      <w:r>
        <w:rPr>
          <w:rFonts w:ascii="宋体" w:hAnsi="宋体" w:cs="宋体" w:hint="eastAsia"/>
          <w:szCs w:val="21"/>
          <w:highlight w:val="none"/>
        </w:rPr>
        <w:t xml:space="preserve"> </w:t>
      </w:r>
    </w:p>
    <w:p>
      <w:pPr>
        <w:widowControl/>
        <w:jc w:val="center"/>
        <w:rPr>
          <w:rFonts w:ascii="宋体" w:hAnsi="宋体" w:cs="宋体"/>
          <w:b/>
          <w:bCs/>
          <w:sz w:val="24"/>
          <w:highlight w:val="none"/>
        </w:rPr>
      </w:pPr>
      <w:r>
        <w:rPr>
          <w:rFonts w:ascii="宋体" w:hAnsi="宋体" w:cs="宋体" w:hint="eastAsia"/>
          <w:highlight w:val="none"/>
        </w:rPr>
        <w:br w:type="page"/>
      </w:r>
      <w:r>
        <w:rPr>
          <w:rFonts w:ascii="宋体" w:hAnsi="宋体" w:cs="宋体" w:hint="eastAsia"/>
          <w:b/>
          <w:bCs/>
          <w:sz w:val="24"/>
          <w:highlight w:val="none"/>
        </w:rPr>
        <w:t>（4）含有小型、微型企业的联合体声明函</w:t>
      </w:r>
    </w:p>
    <w:p>
      <w:pPr>
        <w:rPr>
          <w:rFonts w:ascii="宋体" w:hAnsi="宋体" w:cs="宋体"/>
          <w:sz w:val="32"/>
          <w:szCs w:val="20"/>
          <w:highlight w:val="none"/>
        </w:rPr>
      </w:pPr>
    </w:p>
    <w:p>
      <w:pPr>
        <w:numPr>
          <w:ilvl w:val="0"/>
          <w:numId w:val="7"/>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u w:val="single"/>
        </w:rPr>
        <w:t>（供应商名称、供应商名称）</w:t>
      </w:r>
      <w:r>
        <w:rPr>
          <w:rFonts w:ascii="宋体" w:hAnsi="宋体" w:cs="宋体" w:hint="eastAsia"/>
          <w:sz w:val="24"/>
          <w:highlight w:val="none"/>
        </w:rPr>
        <w:t>共同组成联合体（详见联合体协议）。根据《工业和信息化部、国家统计局、国家发展和改革委员会、财政部关于印发中小企业划型标准规定的通知》（工信部联企业〔2011〕300 号）规定的划分标准，本联合体中：□______单位为______（请填写：中型、小型、微型）企业，______单位为______（请填写：中型、小型、微型）企业；□联合体各方均为小微企业</w:t>
      </w:r>
      <w:r>
        <w:rPr>
          <w:rFonts w:ascii="宋体" w:hAnsi="宋体" w:cs="宋体" w:hint="eastAsia"/>
          <w:b/>
          <w:bCs/>
          <w:sz w:val="24"/>
          <w:highlight w:val="none"/>
        </w:rPr>
        <w:t>（承诺人在□处打√）</w:t>
      </w:r>
      <w:r>
        <w:rPr>
          <w:rFonts w:ascii="宋体" w:hAnsi="宋体" w:cs="宋体" w:hint="eastAsia"/>
          <w:sz w:val="24"/>
          <w:highlight w:val="none"/>
        </w:rPr>
        <w:t xml:space="preserve">。 </w:t>
      </w:r>
    </w:p>
    <w:p>
      <w:pPr>
        <w:numPr>
          <w:ilvl w:val="0"/>
          <w:numId w:val="7"/>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本联合体参加</w:t>
      </w:r>
      <w:r>
        <w:rPr>
          <w:rFonts w:ascii="宋体" w:hAnsi="宋体" w:cs="宋体" w:hint="eastAsia"/>
          <w:sz w:val="24"/>
          <w:highlight w:val="none"/>
          <w:u w:val="single"/>
        </w:rPr>
        <w:t>_（采购单位名称）_</w:t>
      </w:r>
      <w:r>
        <w:rPr>
          <w:rFonts w:ascii="宋体" w:hAnsi="宋体" w:cs="宋体" w:hint="eastAsia"/>
          <w:sz w:val="24"/>
          <w:highlight w:val="none"/>
        </w:rPr>
        <w:t>单位的</w:t>
      </w:r>
      <w:r>
        <w:rPr>
          <w:rFonts w:ascii="宋体" w:hAnsi="宋体" w:cs="宋体" w:hint="eastAsia"/>
          <w:sz w:val="24"/>
          <w:highlight w:val="none"/>
          <w:u w:val="single"/>
        </w:rPr>
        <w:t>_（采购项目名称）_</w:t>
      </w:r>
      <w:r>
        <w:rPr>
          <w:rFonts w:ascii="宋体" w:hAnsi="宋体" w:cs="宋体" w:hint="eastAsia"/>
          <w:sz w:val="24"/>
          <w:highlight w:val="none"/>
        </w:rPr>
        <w:t xml:space="preserve">项目采购活动，其中，小型、微型企业协议合同金额占到联合体协议总金额比例为_____%（该合同金额为：□小微企业制造的货物，□小微企业承担的工程、提供服务，□提供其他小微企业制造的货物；不包括使用大型企业注册商标的货物；请承诺人在□处打√），符合《政府采购促进中小企业发展管理办法》（财库〔2020〕46号）规定的优惠政策。 </w:t>
      </w:r>
    </w:p>
    <w:p>
      <w:pPr>
        <w:numPr>
          <w:ilvl w:val="0"/>
          <w:numId w:val="7"/>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 xml:space="preserve">本联合体对上述声明的真实性负责。如有虚假，将依法承担相应责任。 </w:t>
      </w:r>
    </w:p>
    <w:p>
      <w:pPr>
        <w:spacing w:after="120" w:line="360" w:lineRule="auto"/>
        <w:rPr>
          <w:rFonts w:ascii="宋体" w:hAnsi="宋体" w:cs="宋体"/>
          <w:sz w:val="24"/>
          <w:highlight w:val="none"/>
        </w:rPr>
      </w:pPr>
    </w:p>
    <w:p>
      <w:pPr>
        <w:spacing w:after="120" w:line="360" w:lineRule="auto"/>
        <w:ind w:firstLine="840" w:firstLineChars="400"/>
        <w:rPr>
          <w:rFonts w:ascii="宋体" w:hAnsi="宋体" w:cs="宋体"/>
          <w:sz w:val="24"/>
          <w:highlight w:val="none"/>
        </w:rPr>
      </w:pPr>
      <w:r>
        <w:rPr>
          <w:rFonts w:ascii="宋体" w:hAnsi="宋体" w:cs="宋体" w:hint="eastAsia"/>
          <w:sz w:val="24"/>
          <w:highlight w:val="none"/>
        </w:rPr>
        <w:t xml:space="preserve">企业名称：                      企业名称： </w:t>
      </w:r>
    </w:p>
    <w:p>
      <w:pPr>
        <w:autoSpaceDE w:val="0"/>
        <w:autoSpaceDN w:val="0"/>
        <w:spacing w:line="360" w:lineRule="auto"/>
        <w:ind w:firstLine="840" w:firstLineChars="400"/>
        <w:rPr>
          <w:rFonts w:ascii="宋体" w:eastAsia="宋体" w:hAnsi="宋体" w:cs="宋体"/>
          <w:b/>
          <w:color w:val="FF0000"/>
          <w:sz w:val="24"/>
          <w:highlight w:val="none"/>
        </w:rPr>
      </w:pPr>
      <w:r>
        <w:rPr>
          <w:rFonts w:ascii="宋体" w:hAnsi="宋体" w:cs="宋体" w:hint="eastAsia"/>
          <w:sz w:val="24"/>
          <w:highlight w:val="none"/>
        </w:rPr>
        <w:t>日 期：                          日期：</w:t>
      </w:r>
      <w:r>
        <w:rPr>
          <w:rFonts w:ascii="宋体" w:hAnsi="宋体" w:cs="宋体" w:hint="eastAsia"/>
          <w:b/>
          <w:sz w:val="24"/>
          <w:highlight w:val="none"/>
        </w:rPr>
        <w:br w:type="page"/>
      </w:r>
      <w:r>
        <w:rPr>
          <w:rFonts w:ascii="宋体" w:eastAsia="宋体" w:hAnsi="宋体" w:cs="宋体" w:hint="eastAsia"/>
          <w:b/>
          <w:color w:val="FF0000"/>
          <w:sz w:val="28"/>
          <w:szCs w:val="28"/>
          <w:highlight w:val="none"/>
        </w:rPr>
        <w:t>相关文件下载链接</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1、财政部、工业和信息化部《关于印发〈政府采购促进中小企业发展管理办法〉的通知》（财库〔2020〕46号）：http://gks.mof.gov.cn/guizhangzhidu/202012/t20201228_3637419.htm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2、</w:t>
      </w:r>
      <w:r>
        <w:rPr>
          <w:rFonts w:ascii="宋体" w:eastAsia="宋体" w:hAnsi="宋体" w:cs="宋体" w:hint="eastAsia"/>
          <w:b/>
          <w:color w:val="FF0000"/>
          <w:szCs w:val="21"/>
          <w:highlight w:val="none"/>
          <w:lang w:eastAsia="zh-CN"/>
        </w:rPr>
        <w:t>工业和信息化部</w:t>
      </w:r>
      <w:r>
        <w:rPr>
          <w:rFonts w:ascii="宋体" w:eastAsia="宋体" w:hAnsi="宋体" w:cs="宋体" w:hint="eastAsia"/>
          <w:b/>
          <w:color w:val="FF0000"/>
          <w:szCs w:val="21"/>
          <w:highlight w:val="none"/>
        </w:rPr>
        <w:t>、国家统计局、国家发展和改革委员会、财政部《关于印发〈中小企业划型标准规定〉的通知》（工信部联企〔2011〕300号）：http://www.mof.gov.cn/zhengwuxinxi/zhengcefabu/201107/t20110704_570692.htm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3、国家统计局《关于印发〈统计上大中小微型企业划分办法（2017）〉的通知》：http://www.stats.gov.cn/tjgz/tzgb/201801/t20180103_1569254.html</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4、财政部、民政部、中国残联《关于促进残疾人就业政府采购政策的通知》（财库〔2017〕141号）：http://gks.mof.gov.cn/ztztz/zhengfucaigouguanli/201709/t20170901_2689407.htm</w:t>
      </w:r>
    </w:p>
    <w:p>
      <w:pPr>
        <w:spacing w:line="360" w:lineRule="auto"/>
        <w:ind w:firstLine="420" w:firstLineChars="200"/>
        <w:jc w:val="left"/>
        <w:rPr>
          <w:rFonts w:ascii="宋体" w:hAnsi="宋体" w:cs="宋体"/>
          <w:b/>
          <w:color w:val="FF0000"/>
          <w:szCs w:val="21"/>
          <w:highlight w:val="none"/>
        </w:rPr>
      </w:pPr>
    </w:p>
    <w:p>
      <w:pPr>
        <w:spacing w:line="360" w:lineRule="auto"/>
        <w:ind w:firstLine="420" w:firstLineChars="200"/>
        <w:jc w:val="left"/>
        <w:rPr>
          <w:rFonts w:ascii="宋体" w:hAnsi="宋体" w:cs="宋体"/>
          <w:bCs/>
          <w:szCs w:val="21"/>
          <w:highlight w:val="none"/>
        </w:rPr>
      </w:pPr>
      <w:r>
        <w:rPr>
          <w:rFonts w:ascii="宋体" w:hAnsi="宋体" w:cs="宋体" w:hint="eastAsia"/>
          <w:b/>
          <w:szCs w:val="21"/>
          <w:highlight w:val="none"/>
        </w:rPr>
        <w:br w:type="page"/>
      </w:r>
    </w:p>
    <w:p>
      <w:pPr>
        <w:jc w:val="center"/>
        <w:rPr>
          <w:rFonts w:ascii="宋体" w:hAnsi="宋体" w:cs="宋体"/>
          <w:b/>
          <w:sz w:val="32"/>
          <w:szCs w:val="32"/>
          <w:highlight w:val="none"/>
        </w:rPr>
      </w:pPr>
      <w:r>
        <w:rPr>
          <w:rFonts w:ascii="宋体" w:hAnsi="宋体" w:cs="宋体" w:hint="eastAsia"/>
          <w:b/>
          <w:sz w:val="32"/>
          <w:szCs w:val="32"/>
          <w:highlight w:val="none"/>
        </w:rPr>
        <w:t>（四）价格部分</w:t>
      </w:r>
    </w:p>
    <w:p>
      <w:pPr>
        <w:outlineLvl w:val="3"/>
        <w:rPr>
          <w:rFonts w:ascii="宋体" w:hAnsi="宋体" w:cs="宋体"/>
          <w:b/>
          <w:sz w:val="24"/>
          <w:highlight w:val="none"/>
        </w:rPr>
      </w:pPr>
      <w:r>
        <w:rPr>
          <w:rFonts w:ascii="宋体" w:hAnsi="宋体" w:cs="宋体" w:hint="eastAsia"/>
          <w:b/>
          <w:sz w:val="24"/>
          <w:highlight w:val="none"/>
        </w:rPr>
        <w:t>1、开标一览表</w:t>
      </w:r>
    </w:p>
    <w:p>
      <w:pPr>
        <w:tabs>
          <w:tab w:val="left" w:pos="8364"/>
        </w:tabs>
        <w:snapToGrid w:val="0"/>
        <w:ind w:right="-58"/>
        <w:rPr>
          <w:rFonts w:ascii="宋体" w:hAnsi="宋体" w:cs="宋体"/>
          <w:sz w:val="24"/>
          <w:highlight w:val="none"/>
        </w:rPr>
      </w:pPr>
      <w:r>
        <w:rPr>
          <w:rFonts w:ascii="宋体" w:hAnsi="宋体" w:cs="宋体" w:hint="eastAsia"/>
          <w:sz w:val="24"/>
          <w:highlight w:val="none"/>
        </w:rPr>
        <w:t xml:space="preserve">投标人名称：                                              </w:t>
      </w:r>
    </w:p>
    <w:p>
      <w:pPr>
        <w:tabs>
          <w:tab w:val="left" w:pos="8364"/>
        </w:tabs>
        <w:snapToGrid w:val="0"/>
        <w:ind w:right="-58"/>
        <w:rPr>
          <w:rFonts w:ascii="宋体" w:hAnsi="宋体" w:cs="宋体"/>
          <w:sz w:val="24"/>
          <w:highlight w:val="none"/>
        </w:rPr>
      </w:pPr>
      <w:r>
        <w:rPr>
          <w:rFonts w:ascii="宋体" w:hAnsi="宋体" w:cs="宋体" w:hint="eastAsia"/>
          <w:sz w:val="24"/>
          <w:highlight w:val="none"/>
        </w:rPr>
        <w:t>采购项目名称：</w:t>
      </w:r>
    </w:p>
    <w:p>
      <w:pPr>
        <w:tabs>
          <w:tab w:val="left" w:pos="8364"/>
        </w:tabs>
        <w:snapToGrid w:val="0"/>
        <w:ind w:right="-58"/>
        <w:rPr>
          <w:rFonts w:ascii="宋体" w:hAnsi="宋体" w:cs="宋体"/>
          <w:sz w:val="24"/>
          <w:highlight w:val="none"/>
        </w:rPr>
      </w:pPr>
      <w:r>
        <w:rPr>
          <w:rFonts w:ascii="宋体" w:hAnsi="宋体" w:cs="宋体" w:hint="eastAsia"/>
          <w:sz w:val="24"/>
          <w:highlight w:val="none"/>
        </w:rPr>
        <w:t>项目编号：</w:t>
      </w:r>
    </w:p>
    <w:tbl>
      <w:tblPr>
        <w:tblStyle w:val="TableNormal"/>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98"/>
        <w:gridCol w:w="2322"/>
        <w:gridCol w:w="773"/>
        <w:gridCol w:w="2341"/>
        <w:gridCol w:w="2528"/>
      </w:tblGrid>
      <w:tr>
        <w:tblPrEx>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7"/>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sz w:val="21"/>
                <w:szCs w:val="21"/>
                <w:highlight w:val="none"/>
              </w:rPr>
              <w:t>采购计划编号</w:t>
            </w:r>
          </w:p>
        </w:tc>
        <w:tc>
          <w:tcPr>
            <w:tcW w:w="2322"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sz w:val="21"/>
                <w:szCs w:val="21"/>
                <w:highlight w:val="none"/>
              </w:rPr>
            </w:pPr>
            <w:r>
              <w:rPr>
                <w:rFonts w:ascii="宋体" w:hAnsi="宋体" w:cs="宋体" w:hint="eastAsia"/>
                <w:b/>
                <w:bCs/>
                <w:kern w:val="0"/>
                <w:szCs w:val="21"/>
                <w:highlight w:val="none"/>
                <w:lang w:val="en-US" w:eastAsia="zh-CN"/>
              </w:rPr>
              <w:t>服务</w:t>
            </w:r>
            <w:r>
              <w:rPr>
                <w:rFonts w:ascii="宋体" w:hAnsi="宋体" w:cs="宋体" w:hint="eastAsia"/>
                <w:b/>
                <w:bCs/>
                <w:kern w:val="0"/>
                <w:szCs w:val="21"/>
                <w:highlight w:val="none"/>
              </w:rPr>
              <w:t>名称</w:t>
            </w:r>
            <w:r>
              <w:rPr>
                <w:rFonts w:ascii="宋体" w:hAnsi="宋体" w:cs="宋体" w:hint="eastAsia"/>
                <w:b/>
                <w:bCs/>
                <w:kern w:val="0"/>
                <w:szCs w:val="21"/>
                <w:highlight w:val="none"/>
                <w:lang w:eastAsia="zh-CN"/>
              </w:rPr>
              <w:t>（</w:t>
            </w:r>
            <w:r>
              <w:rPr>
                <w:rFonts w:ascii="宋体" w:hAnsi="宋体" w:cs="宋体" w:hint="eastAsia"/>
                <w:b/>
                <w:bCs/>
                <w:kern w:val="0"/>
                <w:szCs w:val="21"/>
                <w:highlight w:val="none"/>
                <w:lang w:val="en-US" w:eastAsia="zh-CN"/>
              </w:rPr>
              <w:t>标的名称</w:t>
            </w:r>
            <w:r>
              <w:rPr>
                <w:rFonts w:ascii="宋体" w:hAnsi="宋体" w:cs="宋体" w:hint="eastAsia"/>
                <w:b/>
                <w:bCs/>
                <w:kern w:val="0"/>
                <w:szCs w:val="21"/>
                <w:highlight w:val="none"/>
                <w:lang w:eastAsia="zh-CN"/>
              </w:rPr>
              <w:t>）</w:t>
            </w:r>
          </w:p>
        </w:tc>
        <w:tc>
          <w:tcPr>
            <w:tcW w:w="773" w:type="dxa"/>
            <w:vAlign w:val="center"/>
          </w:tcPr>
          <w:p>
            <w:pPr>
              <w:keepNext w:val="0"/>
              <w:keepLines w:val="0"/>
              <w:suppressLineNumbers w:val="0"/>
              <w:spacing w:before="0" w:beforeAutospacing="0" w:after="0" w:afterAutospacing="0"/>
              <w:ind w:left="0" w:right="0" w:leftChars="0" w:rightChars="0"/>
              <w:jc w:val="center"/>
              <w:rPr>
                <w:rFonts w:ascii="宋体" w:hAnsi="宋体" w:cs="宋体" w:hint="default"/>
                <w:b/>
                <w:sz w:val="21"/>
                <w:szCs w:val="21"/>
                <w:highlight w:val="none"/>
              </w:rPr>
            </w:pPr>
            <w:r>
              <w:rPr>
                <w:rFonts w:ascii="宋体" w:hAnsi="宋体" w:cs="宋体" w:hint="eastAsia"/>
                <w:b/>
                <w:sz w:val="21"/>
                <w:szCs w:val="21"/>
                <w:highlight w:val="none"/>
              </w:rPr>
              <w:t>数量</w:t>
            </w:r>
          </w:p>
        </w:tc>
        <w:tc>
          <w:tcPr>
            <w:tcW w:w="2341" w:type="dxa"/>
            <w:vAlign w:val="center"/>
          </w:tcPr>
          <w:p>
            <w:pPr>
              <w:keepNext w:val="0"/>
              <w:keepLines w:val="0"/>
              <w:suppressLineNumbers w:val="0"/>
              <w:tabs>
                <w:tab w:val="left" w:pos="8364"/>
              </w:tabs>
              <w:snapToGrid w:val="0"/>
              <w:spacing w:before="0" w:beforeAutospacing="0" w:after="0" w:afterAutospacing="0"/>
              <w:ind w:left="0" w:right="-58" w:leftChars="0" w:rightChars="0"/>
              <w:jc w:val="center"/>
              <w:rPr>
                <w:rFonts w:ascii="宋体" w:hAnsi="宋体" w:cs="宋体" w:hint="default"/>
                <w:b/>
                <w:sz w:val="21"/>
                <w:szCs w:val="21"/>
                <w:highlight w:val="none"/>
              </w:rPr>
            </w:pPr>
            <w:r>
              <w:rPr>
                <w:rFonts w:ascii="宋体" w:eastAsia="宋体" w:hAnsi="宋体" w:cs="宋体" w:hint="eastAsia"/>
                <w:b/>
                <w:szCs w:val="21"/>
                <w:highlight w:val="none"/>
              </w:rPr>
              <w:t>投标折扣率</w:t>
            </w:r>
          </w:p>
        </w:tc>
        <w:tc>
          <w:tcPr>
            <w:tcW w:w="2528" w:type="dxa"/>
            <w:vAlign w:val="center"/>
          </w:tcPr>
          <w:p>
            <w:pPr>
              <w:keepNext w:val="0"/>
              <w:keepLines w:val="0"/>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kern w:val="0"/>
                <w:szCs w:val="21"/>
                <w:highlight w:val="none"/>
                <w:lang w:val="en-US" w:eastAsia="zh-CN"/>
              </w:rPr>
              <w:t>项目年度</w:t>
            </w:r>
            <w:r>
              <w:rPr>
                <w:rFonts w:ascii="宋体" w:hAnsi="宋体" w:cs="宋体" w:hint="eastAsia"/>
                <w:b/>
                <w:kern w:val="0"/>
                <w:szCs w:val="21"/>
                <w:highlight w:val="none"/>
              </w:rPr>
              <w:t>预算</w:t>
            </w:r>
            <w:r>
              <w:rPr>
                <w:rFonts w:ascii="宋体" w:hAnsi="宋体" w:cs="宋体" w:hint="eastAsia"/>
                <w:b/>
                <w:kern w:val="0"/>
                <w:szCs w:val="21"/>
                <w:highlight w:val="none"/>
                <w:lang w:val="en-US" w:eastAsia="zh-CN"/>
              </w:rPr>
              <w:t>支付上限</w:t>
            </w:r>
          </w:p>
        </w:tc>
      </w:tr>
      <w:tr>
        <w:tblPrEx>
          <w:tblW w:w="10162" w:type="dxa"/>
          <w:jc w:val="center"/>
          <w:tblLayout w:type="fixed"/>
          <w:tblCellMar>
            <w:top w:w="0" w:type="dxa"/>
            <w:left w:w="108" w:type="dxa"/>
            <w:bottom w:w="0" w:type="dxa"/>
            <w:right w:w="108" w:type="dxa"/>
          </w:tblCellMar>
        </w:tblPrEx>
        <w:trPr>
          <w:trHeight w:val="90"/>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Cs/>
                <w:sz w:val="21"/>
                <w:szCs w:val="21"/>
                <w:highlight w:val="none"/>
              </w:rPr>
            </w:pPr>
            <w:r>
              <w:rPr>
                <w:rFonts w:ascii="宋体" w:hAnsi="宋体" w:cs="宋体" w:hint="eastAsia"/>
                <w:bCs/>
                <w:sz w:val="21"/>
                <w:szCs w:val="21"/>
                <w:highlight w:val="none"/>
                <w:lang w:eastAsia="zh-CN"/>
              </w:rPr>
              <w:t>PLAN-2025-440300000-118017-15524</w:t>
            </w:r>
            <w:r>
              <w:rPr>
                <w:rFonts w:ascii="宋体" w:hAnsi="宋体" w:cs="宋体" w:hint="eastAsia"/>
                <w:bCs/>
                <w:sz w:val="21"/>
                <w:szCs w:val="21"/>
                <w:highlight w:val="none"/>
              </w:rPr>
              <w:t xml:space="preserve"> </w:t>
            </w:r>
          </w:p>
        </w:tc>
        <w:tc>
          <w:tcPr>
            <w:tcW w:w="2322"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sz w:val="21"/>
                <w:szCs w:val="21"/>
                <w:highlight w:val="none"/>
                <w:lang w:eastAsia="zh-CN"/>
              </w:rPr>
            </w:pPr>
            <w:r>
              <w:rPr>
                <w:rFonts w:ascii="宋体" w:hAnsi="宋体" w:cs="宋体" w:hint="eastAsia"/>
                <w:szCs w:val="21"/>
                <w:highlight w:val="none"/>
                <w:lang w:eastAsia="zh-CN"/>
              </w:rPr>
              <w:t>免陪照护服务</w:t>
            </w:r>
          </w:p>
        </w:tc>
        <w:tc>
          <w:tcPr>
            <w:tcW w:w="773" w:type="dxa"/>
            <w:vAlign w:val="center"/>
          </w:tcPr>
          <w:p>
            <w:pPr>
              <w:keepNext w:val="0"/>
              <w:keepLines w:val="0"/>
              <w:suppressLineNumbers w:val="0"/>
              <w:snapToGrid w:val="0"/>
              <w:spacing w:before="0" w:beforeAutospacing="0" w:after="0" w:afterAutospacing="0"/>
              <w:ind w:left="0" w:right="0" w:leftChars="0" w:rightChars="0"/>
              <w:jc w:val="center"/>
              <w:rPr>
                <w:rFonts w:ascii="宋体" w:hAnsi="宋体" w:cs="宋体" w:hint="default"/>
                <w:sz w:val="21"/>
                <w:szCs w:val="21"/>
                <w:highlight w:val="none"/>
              </w:rPr>
            </w:pPr>
            <w:r>
              <w:rPr>
                <w:rFonts w:ascii="宋体" w:hAnsi="宋体" w:cs="宋体" w:hint="eastAsia"/>
                <w:sz w:val="21"/>
                <w:szCs w:val="21"/>
                <w:highlight w:val="none"/>
                <w:lang w:val="en-US" w:eastAsia="zh-CN"/>
              </w:rPr>
              <w:t>1项</w:t>
            </w:r>
          </w:p>
        </w:tc>
        <w:tc>
          <w:tcPr>
            <w:tcW w:w="2341" w:type="dxa"/>
            <w:vAlign w:val="center"/>
          </w:tcPr>
          <w:p>
            <w:pPr>
              <w:keepNext w:val="0"/>
              <w:keepLines w:val="0"/>
              <w:suppressLineNumbers w:val="0"/>
              <w:spacing w:before="0" w:beforeAutospacing="0" w:after="0" w:afterAutospacing="0"/>
              <w:ind w:left="0" w:right="0" w:leftChars="0" w:rightChars="0"/>
              <w:jc w:val="center"/>
              <w:rPr>
                <w:rFonts w:ascii="宋体" w:hAnsi="宋体" w:cs="宋体" w:hint="default"/>
                <w:color w:val="000000"/>
                <w:sz w:val="21"/>
                <w:szCs w:val="21"/>
                <w:highlight w:val="none"/>
              </w:rPr>
            </w:pPr>
          </w:p>
        </w:tc>
        <w:tc>
          <w:tcPr>
            <w:tcW w:w="2528" w:type="dxa"/>
            <w:vAlign w:val="center"/>
          </w:tcPr>
          <w:p>
            <w:pPr>
              <w:keepNext w:val="0"/>
              <w:keepLines w:val="0"/>
              <w:suppressLineNumbers w:val="0"/>
              <w:spacing w:before="0" w:beforeAutospacing="0" w:after="0" w:afterAutospacing="0"/>
              <w:ind w:left="0" w:right="0"/>
              <w:jc w:val="center"/>
              <w:rPr>
                <w:rFonts w:ascii="宋体" w:hAnsi="宋体" w:cs="宋体" w:hint="default"/>
                <w:color w:val="000000"/>
                <w:sz w:val="21"/>
                <w:szCs w:val="21"/>
                <w:highlight w:val="none"/>
              </w:rPr>
            </w:pPr>
            <w:r>
              <w:rPr>
                <w:rFonts w:ascii="宋体" w:hAnsi="宋体" w:cs="宋体" w:hint="eastAsia"/>
                <w:bCs/>
                <w:kern w:val="0"/>
                <w:szCs w:val="21"/>
                <w:highlight w:val="none"/>
              </w:rPr>
              <w:t>人民币</w:t>
            </w:r>
            <w:r>
              <w:rPr>
                <w:rFonts w:ascii="宋体" w:hAnsi="宋体" w:cs="宋体" w:hint="eastAsia"/>
                <w:bCs/>
                <w:kern w:val="0"/>
                <w:szCs w:val="21"/>
                <w:highlight w:val="none"/>
                <w:lang w:val="en-US" w:eastAsia="zh-CN"/>
              </w:rPr>
              <w:t>9,342,000.00</w:t>
            </w:r>
            <w:r>
              <w:rPr>
                <w:rFonts w:ascii="宋体" w:hAnsi="宋体" w:cs="宋体" w:hint="eastAsia"/>
                <w:bCs/>
                <w:kern w:val="0"/>
                <w:szCs w:val="21"/>
                <w:highlight w:val="none"/>
              </w:rPr>
              <w:t>元</w:t>
            </w:r>
          </w:p>
        </w:tc>
      </w:tr>
    </w:tbl>
    <w:p>
      <w:pPr>
        <w:spacing w:line="280" w:lineRule="exact"/>
        <w:ind w:firstLine="420" w:firstLineChars="200"/>
        <w:rPr>
          <w:rFonts w:ascii="宋体" w:hAnsi="宋体" w:cs="宋体"/>
          <w:szCs w:val="21"/>
          <w:highlight w:val="none"/>
        </w:rPr>
      </w:pPr>
      <w:r>
        <w:rPr>
          <w:rFonts w:ascii="宋体" w:hAnsi="宋体" w:cs="宋体" w:hint="eastAsia"/>
          <w:szCs w:val="21"/>
          <w:highlight w:val="none"/>
        </w:rPr>
        <w:t>注：</w:t>
      </w:r>
    </w:p>
    <w:p>
      <w:pPr>
        <w:spacing w:line="280" w:lineRule="exact"/>
        <w:ind w:firstLine="420" w:firstLineChars="200"/>
        <w:rPr>
          <w:rFonts w:ascii="宋体" w:hAnsi="宋体" w:cs="宋体"/>
          <w:szCs w:val="21"/>
          <w:highlight w:val="none"/>
        </w:rPr>
      </w:pPr>
      <w:r>
        <w:rPr>
          <w:rFonts w:ascii="宋体" w:hAnsi="宋体" w:cs="宋体" w:hint="eastAsia"/>
          <w:szCs w:val="21"/>
          <w:highlight w:val="none"/>
        </w:rPr>
        <w:t>1.本表可按同样格式扩展。</w:t>
      </w:r>
    </w:p>
    <w:p>
      <w:pPr>
        <w:spacing w:line="280" w:lineRule="exact"/>
        <w:ind w:firstLine="420" w:firstLineChars="200"/>
        <w:rPr>
          <w:rFonts w:ascii="宋体" w:hAnsi="宋体" w:cs="宋体"/>
          <w:szCs w:val="21"/>
          <w:highlight w:val="none"/>
        </w:rPr>
      </w:pPr>
      <w:r>
        <w:rPr>
          <w:rFonts w:ascii="宋体" w:hAnsi="宋体" w:cs="宋体" w:hint="eastAsia"/>
          <w:b/>
          <w:bCs/>
          <w:szCs w:val="21"/>
          <w:highlight w:val="none"/>
        </w:rPr>
        <w:t>2.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做相应处理。</w:t>
      </w:r>
    </w:p>
    <w:p>
      <w:pPr>
        <w:spacing w:line="280" w:lineRule="exact"/>
        <w:ind w:firstLine="420" w:firstLineChars="200"/>
        <w:rPr>
          <w:rFonts w:ascii="宋体" w:hAnsi="宋体" w:cs="宋体"/>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sectPr>
          <w:headerReference w:type="default" r:id="rId15"/>
          <w:footerReference w:type="default" r:id="rId16"/>
          <w:pgSz w:w="11906" w:h="16838"/>
          <w:pgMar w:top="1134" w:right="1134" w:bottom="1134" w:left="1134" w:header="851" w:footer="992" w:gutter="0"/>
          <w:pgBorders>
            <w:top w:val="nil"/>
            <w:left w:val="nil"/>
            <w:bottom w:val="nil"/>
            <w:right w:val="nil"/>
          </w:pgBorders>
          <w:pgNumType w:fmt="decimal" w:start="1"/>
          <w:cols w:num="1" w:space="720"/>
          <w:docGrid w:type="lines" w:linePitch="312" w:charSpace="0"/>
        </w:sectPr>
      </w:pPr>
    </w:p>
    <w:p>
      <w:pPr>
        <w:rPr>
          <w:rFonts w:ascii="宋体" w:hAnsi="宋体" w:cs="宋体"/>
          <w:b/>
          <w:sz w:val="32"/>
          <w:szCs w:val="32"/>
          <w:highlight w:val="none"/>
        </w:rPr>
      </w:pPr>
      <w:r>
        <w:rPr>
          <w:rFonts w:ascii="宋体" w:hAnsi="宋体" w:cs="宋体" w:hint="eastAsia"/>
          <w:b/>
          <w:sz w:val="24"/>
          <w:highlight w:val="none"/>
        </w:rPr>
        <w:t>2、详细分项报价清单</w:t>
      </w:r>
    </w:p>
    <w:p>
      <w:pPr>
        <w:tabs>
          <w:tab w:val="left" w:pos="8364"/>
        </w:tabs>
        <w:snapToGrid w:val="0"/>
        <w:ind w:right="-58"/>
        <w:rPr>
          <w:rFonts w:ascii="宋体" w:hAnsi="宋体" w:cs="宋体"/>
          <w:highlight w:val="none"/>
        </w:rPr>
      </w:pPr>
      <w:r>
        <w:rPr>
          <w:rFonts w:ascii="宋体" w:hAnsi="宋体" w:cs="宋体" w:hint="eastAsia"/>
          <w:highlight w:val="none"/>
        </w:rPr>
        <w:t>项目名称：</w:t>
      </w:r>
    </w:p>
    <w:p>
      <w:pPr>
        <w:jc w:val="left"/>
        <w:rPr>
          <w:rFonts w:ascii="宋体" w:hAnsi="宋体" w:cs="宋体" w:hint="eastAsia"/>
          <w:highlight w:val="none"/>
        </w:rPr>
      </w:pPr>
      <w:r>
        <w:rPr>
          <w:rFonts w:ascii="宋体" w:hAnsi="宋体" w:cs="宋体" w:hint="eastAsia"/>
          <w:highlight w:val="none"/>
        </w:rPr>
        <w:t>项目编号：</w:t>
      </w:r>
    </w:p>
    <w:tbl>
      <w:tblPr>
        <w:tblStyle w:val="TableNormal"/>
        <w:tblW w:w="8529"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
      <w:tblGrid>
        <w:gridCol w:w="757"/>
        <w:gridCol w:w="990"/>
        <w:gridCol w:w="2992"/>
        <w:gridCol w:w="1544"/>
        <w:gridCol w:w="2246"/>
      </w:tblGrid>
      <w:tr>
        <w:tblPrEx>
          <w:tblW w:w="8529"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序号</w:t>
            </w:r>
          </w:p>
        </w:tc>
        <w:tc>
          <w:tcPr>
            <w:tcW w:w="3982" w:type="dxa"/>
            <w:gridSpan w:val="2"/>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需求名称</w:t>
            </w:r>
          </w:p>
        </w:tc>
        <w:tc>
          <w:tcPr>
            <w:tcW w:w="1544" w:type="dxa"/>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金额（元）</w:t>
            </w:r>
          </w:p>
        </w:tc>
        <w:tc>
          <w:tcPr>
            <w:tcW w:w="2246" w:type="dxa"/>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说明</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highlight w:val="none"/>
              </w:rPr>
            </w:pPr>
            <w:r>
              <w:rPr>
                <w:rFonts w:ascii="宋体" w:hAnsi="宋体" w:cs="宋体" w:hint="eastAsia"/>
                <w:kern w:val="0"/>
                <w:szCs w:val="21"/>
                <w:highlight w:val="none"/>
              </w:rPr>
              <w:t>一</w:t>
            </w:r>
          </w:p>
        </w:tc>
        <w:tc>
          <w:tcPr>
            <w:tcW w:w="3982" w:type="dxa"/>
            <w:gridSpan w:val="2"/>
            <w:vAlign w:val="center"/>
          </w:tcPr>
          <w:p>
            <w:pPr>
              <w:jc w:val="center"/>
              <w:rPr>
                <w:rFonts w:ascii="宋体" w:hAnsi="宋体" w:cs="宋体"/>
                <w:kern w:val="0"/>
                <w:szCs w:val="21"/>
                <w:highlight w:val="none"/>
              </w:rPr>
            </w:pPr>
            <w:r>
              <w:rPr>
                <w:rFonts w:ascii="宋体" w:hAnsi="宋体" w:cs="宋体" w:hint="eastAsia"/>
                <w:kern w:val="0"/>
                <w:szCs w:val="21"/>
                <w:highlight w:val="none"/>
              </w:rPr>
              <w:t>******</w:t>
            </w: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restart"/>
            <w:vAlign w:val="center"/>
          </w:tcPr>
          <w:p>
            <w:pPr>
              <w:jc w:val="center"/>
              <w:rPr>
                <w:rFonts w:ascii="宋体" w:hAnsi="宋体" w:cs="宋体"/>
                <w:kern w:val="0"/>
                <w:szCs w:val="21"/>
                <w:highlight w:val="none"/>
              </w:rPr>
            </w:pPr>
            <w:r>
              <w:rPr>
                <w:rFonts w:ascii="宋体" w:hAnsi="宋体" w:cs="宋体" w:hint="eastAsia"/>
                <w:kern w:val="0"/>
                <w:szCs w:val="21"/>
                <w:highlight w:val="none"/>
              </w:rPr>
              <w:t>二</w:t>
            </w:r>
          </w:p>
        </w:tc>
        <w:tc>
          <w:tcPr>
            <w:tcW w:w="990" w:type="dxa"/>
            <w:vMerge w:val="restart"/>
            <w:vAlign w:val="center"/>
          </w:tcPr>
          <w:p>
            <w:pPr>
              <w:jc w:val="center"/>
              <w:rPr>
                <w:rFonts w:ascii="宋体" w:hAnsi="宋体" w:cs="宋体"/>
                <w:kern w:val="0"/>
                <w:szCs w:val="21"/>
                <w:highlight w:val="none"/>
              </w:rPr>
            </w:pPr>
            <w:r>
              <w:rPr>
                <w:rFonts w:ascii="宋体" w:hAnsi="宋体" w:cs="宋体" w:hint="eastAsia"/>
                <w:kern w:val="0"/>
                <w:szCs w:val="21"/>
                <w:highlight w:val="none"/>
              </w:rPr>
              <w:t>**费用</w:t>
            </w: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restart"/>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3982" w:type="dxa"/>
            <w:gridSpan w:val="2"/>
            <w:vAlign w:val="center"/>
          </w:tcPr>
          <w:p>
            <w:pPr>
              <w:jc w:val="center"/>
              <w:rPr>
                <w:rFonts w:ascii="宋体" w:hAnsi="宋体" w:cs="宋体"/>
                <w:kern w:val="0"/>
                <w:szCs w:val="21"/>
                <w:highlight w:val="none"/>
              </w:rPr>
            </w:pPr>
            <w:r>
              <w:rPr>
                <w:rFonts w:ascii="宋体" w:hAnsi="宋体" w:cs="宋体" w:hint="eastAsia"/>
                <w:kern w:val="0"/>
                <w:szCs w:val="21"/>
                <w:highlight w:val="none"/>
              </w:rPr>
              <w:t>**费用小计</w:t>
            </w: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restart"/>
            <w:vAlign w:val="center"/>
          </w:tcPr>
          <w:p>
            <w:pPr>
              <w:jc w:val="center"/>
              <w:rPr>
                <w:rFonts w:ascii="宋体" w:hAnsi="宋体" w:cs="宋体"/>
                <w:kern w:val="0"/>
                <w:szCs w:val="21"/>
                <w:highlight w:val="none"/>
              </w:rPr>
            </w:pPr>
            <w:r>
              <w:rPr>
                <w:rFonts w:ascii="宋体" w:hAnsi="宋体" w:cs="宋体" w:hint="eastAsia"/>
                <w:kern w:val="0"/>
                <w:szCs w:val="21"/>
                <w:highlight w:val="none"/>
              </w:rPr>
              <w:t>三</w:t>
            </w:r>
          </w:p>
        </w:tc>
        <w:tc>
          <w:tcPr>
            <w:tcW w:w="990" w:type="dxa"/>
            <w:vMerge w:val="restart"/>
            <w:vAlign w:val="center"/>
          </w:tcPr>
          <w:p>
            <w:pPr>
              <w:jc w:val="center"/>
              <w:rPr>
                <w:rFonts w:ascii="宋体" w:hAnsi="宋体" w:cs="宋体"/>
                <w:kern w:val="0"/>
                <w:szCs w:val="21"/>
                <w:highlight w:val="none"/>
              </w:rPr>
            </w:pPr>
            <w:r>
              <w:rPr>
                <w:rFonts w:ascii="宋体" w:hAnsi="宋体" w:cs="宋体" w:hint="eastAsia"/>
                <w:kern w:val="0"/>
                <w:szCs w:val="21"/>
                <w:highlight w:val="none"/>
              </w:rPr>
              <w:t>其他费用</w:t>
            </w:r>
          </w:p>
        </w:tc>
        <w:tc>
          <w:tcPr>
            <w:tcW w:w="2992" w:type="dxa"/>
            <w:vAlign w:val="center"/>
          </w:tcPr>
          <w:p>
            <w:pPr>
              <w:jc w:val="left"/>
              <w:rPr>
                <w:rFonts w:ascii="宋体" w:hAnsi="宋体" w:cs="宋体"/>
                <w:kern w:val="0"/>
                <w:szCs w:val="21"/>
                <w:highlight w:val="none"/>
              </w:rPr>
            </w:pPr>
            <w:r>
              <w:rPr>
                <w:rFonts w:ascii="宋体" w:hAnsi="宋体" w:cs="宋体" w:hint="eastAsia"/>
                <w:kern w:val="0"/>
                <w:szCs w:val="21"/>
                <w:highlight w:val="none"/>
              </w:rPr>
              <w:t>**</w:t>
            </w: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3982" w:type="dxa"/>
            <w:gridSpan w:val="2"/>
            <w:vAlign w:val="center"/>
          </w:tcPr>
          <w:p>
            <w:pPr>
              <w:jc w:val="center"/>
              <w:rPr>
                <w:rFonts w:ascii="宋体" w:hAnsi="宋体" w:cs="宋体"/>
                <w:kern w:val="0"/>
                <w:szCs w:val="21"/>
                <w:highlight w:val="none"/>
              </w:rPr>
            </w:pPr>
            <w:r>
              <w:rPr>
                <w:rFonts w:ascii="宋体" w:hAnsi="宋体" w:cs="宋体" w:hint="eastAsia"/>
                <w:kern w:val="0"/>
                <w:szCs w:val="21"/>
                <w:highlight w:val="none"/>
              </w:rPr>
              <w:t>其他费用小计</w:t>
            </w: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highlight w:val="none"/>
              </w:rPr>
            </w:pPr>
            <w:r>
              <w:rPr>
                <w:rFonts w:ascii="宋体" w:hAnsi="宋体" w:cs="宋体" w:hint="eastAsia"/>
                <w:kern w:val="0"/>
                <w:szCs w:val="21"/>
                <w:highlight w:val="none"/>
              </w:rPr>
              <w:t>四</w:t>
            </w:r>
          </w:p>
        </w:tc>
        <w:tc>
          <w:tcPr>
            <w:tcW w:w="3982" w:type="dxa"/>
            <w:gridSpan w:val="2"/>
            <w:vAlign w:val="center"/>
          </w:tcPr>
          <w:p>
            <w:pPr>
              <w:jc w:val="left"/>
              <w:rPr>
                <w:rFonts w:ascii="宋体" w:hAnsi="宋体" w:cs="宋体"/>
                <w:kern w:val="0"/>
                <w:szCs w:val="21"/>
                <w:highlight w:val="none"/>
              </w:rPr>
            </w:pPr>
            <w:r>
              <w:rPr>
                <w:rFonts w:ascii="宋体" w:hAnsi="宋体" w:cs="宋体" w:hint="eastAsia"/>
                <w:kern w:val="0"/>
                <w:szCs w:val="21"/>
                <w:highlight w:val="none"/>
              </w:rPr>
              <w:t>税金</w:t>
            </w:r>
          </w:p>
        </w:tc>
        <w:tc>
          <w:tcPr>
            <w:tcW w:w="1544" w:type="dxa"/>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highlight w:val="none"/>
              </w:rPr>
            </w:pPr>
          </w:p>
        </w:tc>
        <w:tc>
          <w:tcPr>
            <w:tcW w:w="3982" w:type="dxa"/>
            <w:gridSpan w:val="2"/>
            <w:vAlign w:val="center"/>
          </w:tcPr>
          <w:p>
            <w:pPr>
              <w:jc w:val="left"/>
              <w:rPr>
                <w:rFonts w:ascii="宋体" w:hAnsi="宋体" w:cs="宋体"/>
                <w:kern w:val="0"/>
                <w:szCs w:val="21"/>
                <w:highlight w:val="none"/>
              </w:rPr>
            </w:pPr>
            <w:r>
              <w:rPr>
                <w:rFonts w:ascii="宋体" w:hAnsi="宋体" w:cs="宋体" w:hint="eastAsia"/>
                <w:b/>
                <w:bCs/>
                <w:kern w:val="0"/>
                <w:szCs w:val="21"/>
                <w:highlight w:val="none"/>
              </w:rPr>
              <w:t>……</w:t>
            </w:r>
          </w:p>
        </w:tc>
        <w:tc>
          <w:tcPr>
            <w:tcW w:w="1544" w:type="dxa"/>
            <w:vAlign w:val="center"/>
          </w:tcPr>
          <w:p>
            <w:pPr>
              <w:jc w:val="left"/>
              <w:rPr>
                <w:rFonts w:ascii="宋体" w:hAnsi="宋体" w:cs="宋体"/>
                <w:kern w:val="0"/>
                <w:szCs w:val="21"/>
                <w:highlight w:val="none"/>
              </w:rPr>
            </w:pPr>
          </w:p>
        </w:tc>
        <w:tc>
          <w:tcPr>
            <w:tcW w:w="2246" w:type="dxa"/>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highlight w:val="none"/>
              </w:rPr>
            </w:pPr>
          </w:p>
        </w:tc>
        <w:tc>
          <w:tcPr>
            <w:tcW w:w="3982" w:type="dxa"/>
            <w:gridSpan w:val="2"/>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合计(元)</w:t>
            </w:r>
          </w:p>
        </w:tc>
        <w:tc>
          <w:tcPr>
            <w:tcW w:w="1544" w:type="dxa"/>
            <w:vAlign w:val="center"/>
          </w:tcPr>
          <w:p>
            <w:pPr>
              <w:jc w:val="right"/>
              <w:rPr>
                <w:rFonts w:ascii="宋体" w:hAnsi="宋体" w:cs="宋体"/>
                <w:b/>
                <w:bCs/>
                <w:kern w:val="0"/>
                <w:szCs w:val="21"/>
                <w:highlight w:val="none"/>
              </w:rPr>
            </w:pPr>
            <w:r>
              <w:rPr>
                <w:rFonts w:ascii="宋体" w:hAnsi="宋体" w:cs="宋体" w:hint="eastAsia"/>
                <w:b/>
                <w:bCs/>
                <w:kern w:val="0"/>
                <w:szCs w:val="21"/>
                <w:highlight w:val="none"/>
              </w:rPr>
              <w:t>　</w:t>
            </w:r>
          </w:p>
        </w:tc>
        <w:tc>
          <w:tcPr>
            <w:tcW w:w="2246" w:type="dxa"/>
            <w:vAlign w:val="center"/>
          </w:tcPr>
          <w:p>
            <w:pPr>
              <w:jc w:val="center"/>
              <w:rPr>
                <w:rFonts w:ascii="宋体" w:hAnsi="宋体" w:cs="宋体"/>
                <w:kern w:val="0"/>
                <w:szCs w:val="21"/>
                <w:highlight w:val="none"/>
              </w:rPr>
            </w:pPr>
            <w:r>
              <w:rPr>
                <w:rFonts w:ascii="宋体" w:hAnsi="宋体" w:cs="宋体" w:hint="eastAsia"/>
                <w:kern w:val="0"/>
                <w:szCs w:val="21"/>
                <w:highlight w:val="none"/>
              </w:rPr>
              <w:t>　以上各项之和</w:t>
            </w:r>
          </w:p>
        </w:tc>
      </w:tr>
    </w:tbl>
    <w:p>
      <w:pPr>
        <w:ind w:firstLine="420" w:firstLineChars="200"/>
        <w:rPr>
          <w:rFonts w:ascii="宋体" w:hAnsi="宋体" w:cs="宋体"/>
          <w:szCs w:val="21"/>
          <w:highlight w:val="none"/>
        </w:rPr>
      </w:pPr>
      <w:r>
        <w:rPr>
          <w:rFonts w:ascii="宋体" w:hAnsi="宋体" w:cs="宋体" w:hint="eastAsia"/>
          <w:szCs w:val="21"/>
          <w:highlight w:val="none"/>
        </w:rPr>
        <w:t>注：</w:t>
      </w:r>
    </w:p>
    <w:p>
      <w:pPr>
        <w:ind w:firstLine="420" w:firstLineChars="200"/>
        <w:rPr>
          <w:rFonts w:ascii="宋体" w:hAnsi="宋体" w:cs="宋体"/>
          <w:szCs w:val="21"/>
          <w:highlight w:val="none"/>
        </w:rPr>
      </w:pPr>
      <w:r>
        <w:rPr>
          <w:rFonts w:ascii="宋体" w:hAnsi="宋体" w:cs="宋体" w:hint="eastAsia"/>
          <w:szCs w:val="21"/>
          <w:highlight w:val="none"/>
        </w:rPr>
        <w:t>1、以上内容必须与实施方案中所介绍的内容以及《开标一览表》一致。</w:t>
      </w:r>
    </w:p>
    <w:p>
      <w:pPr>
        <w:ind w:firstLine="420" w:firstLineChars="200"/>
        <w:rPr>
          <w:rFonts w:ascii="宋体" w:hAnsi="宋体" w:cs="宋体"/>
          <w:b/>
          <w:bCs/>
          <w:szCs w:val="21"/>
          <w:highlight w:val="none"/>
        </w:rPr>
      </w:pPr>
      <w:r>
        <w:rPr>
          <w:rFonts w:ascii="宋体" w:hAnsi="宋体" w:cs="宋体" w:hint="eastAsia"/>
          <w:szCs w:val="21"/>
          <w:highlight w:val="none"/>
        </w:rPr>
        <w:t>2、投标人应报投标人完成本项目全部内容所需费用的含税价（包括但不限于人工、保险、伴随服务、拟投入工具及材料、各类税费以及采购合同包含的所有风险、责任等各项应有费用）。</w:t>
      </w:r>
    </w:p>
    <w:p>
      <w:pPr>
        <w:rPr>
          <w:rFonts w:ascii="宋体" w:hAnsi="宋体" w:cs="宋体"/>
          <w:b/>
          <w:sz w:val="32"/>
          <w:szCs w:val="32"/>
          <w:highlight w:val="none"/>
        </w:rPr>
      </w:pPr>
      <w:r>
        <w:rPr>
          <w:rFonts w:ascii="宋体" w:hAnsi="宋体" w:cs="宋体" w:hint="eastAsia"/>
          <w:b/>
          <w:bCs/>
          <w:szCs w:val="21"/>
          <w:highlight w:val="none"/>
        </w:rPr>
        <w:t>3.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r>
        <w:rPr>
          <w:rFonts w:ascii="宋体" w:hAnsi="宋体" w:cs="宋体" w:hint="eastAsia"/>
          <w:szCs w:val="21"/>
          <w:highlight w:val="none"/>
        </w:rPr>
        <w:t>投标人法定代表人（或法定代表人授权代表）签字：</w:t>
      </w:r>
    </w:p>
    <w:p>
      <w:pPr>
        <w:adjustRightInd w:val="0"/>
        <w:snapToGrid w:val="0"/>
        <w:spacing w:line="300" w:lineRule="auto"/>
        <w:rPr>
          <w:rFonts w:ascii="宋体" w:hAnsi="宋体" w:cs="宋体"/>
          <w:szCs w:val="21"/>
          <w:highlight w:val="none"/>
        </w:rPr>
      </w:pPr>
      <w:r>
        <w:rPr>
          <w:rFonts w:ascii="宋体" w:hAnsi="宋体" w:cs="宋体" w:hint="eastAsia"/>
          <w:szCs w:val="21"/>
          <w:highlight w:val="none"/>
        </w:rPr>
        <w:t>投标人名称（加盖公章）：</w:t>
      </w:r>
    </w:p>
    <w:p>
      <w:pPr>
        <w:adjustRightInd w:val="0"/>
        <w:snapToGrid w:val="0"/>
        <w:spacing w:line="300" w:lineRule="auto"/>
        <w:rPr>
          <w:highlight w:val="none"/>
        </w:rPr>
      </w:pPr>
      <w:r>
        <w:rPr>
          <w:rFonts w:ascii="宋体" w:hAnsi="宋体" w:cs="宋体" w:hint="eastAsia"/>
          <w:szCs w:val="21"/>
          <w:highlight w:val="none"/>
        </w:rPr>
        <w:t>日期：   年   月   日</w:t>
      </w:r>
    </w:p>
    <w:p>
      <w:pPr>
        <w:pStyle w:val="PlainText"/>
        <w:rPr>
          <w:rFonts w:hAnsi="宋体" w:cs="宋体"/>
          <w:b/>
          <w:bCs/>
          <w:highlight w:val="none"/>
        </w:rPr>
        <w:sectPr>
          <w:pgSz w:w="11906" w:h="16838"/>
          <w:pgMar w:top="1134" w:right="1134" w:bottom="1134" w:left="1134" w:header="851" w:footer="992" w:gutter="0"/>
          <w:pgBorders>
            <w:top w:val="nil"/>
            <w:left w:val="nil"/>
            <w:bottom w:val="nil"/>
            <w:right w:val="nil"/>
          </w:pgBorders>
          <w:pgNumType w:fmt="decimal"/>
          <w:cols w:num="1" w:space="720"/>
          <w:docGrid w:type="lines" w:linePitch="312" w:charSpace="0"/>
        </w:sectPr>
      </w:pPr>
    </w:p>
    <w:p>
      <w:pPr>
        <w:jc w:val="center"/>
        <w:rPr>
          <w:rFonts w:ascii="宋体" w:hAnsi="宋体" w:cs="宋体"/>
          <w:b/>
          <w:sz w:val="32"/>
          <w:szCs w:val="32"/>
          <w:highlight w:val="none"/>
        </w:rPr>
      </w:pPr>
      <w:r>
        <w:rPr>
          <w:rFonts w:ascii="宋体" w:hAnsi="宋体" w:cs="宋体" w:hint="eastAsia"/>
          <w:b/>
          <w:sz w:val="32"/>
          <w:szCs w:val="32"/>
          <w:highlight w:val="none"/>
        </w:rPr>
        <w:t>（五）投标人通过相关认证情况（格式自拟）</w:t>
      </w:r>
    </w:p>
    <w:p>
      <w:pPr>
        <w:jc w:val="center"/>
        <w:rPr>
          <w:rFonts w:ascii="宋体" w:hAnsi="宋体" w:cs="宋体"/>
          <w:b/>
          <w:sz w:val="24"/>
          <w:highlight w:val="none"/>
        </w:rPr>
      </w:pPr>
      <w:r>
        <w:rPr>
          <w:rFonts w:hint="eastAsia"/>
          <w:b/>
          <w:bCs/>
          <w:color w:val="FF0000"/>
          <w:highlight w:val="none"/>
        </w:rPr>
        <w:t>（特别提示：涉及国家秘密、商业秘密的内容，不得公开）</w:t>
      </w:r>
    </w:p>
    <w:p>
      <w:pPr>
        <w:rPr>
          <w:rFonts w:ascii="宋体" w:hAnsi="宋体" w:cs="宋体"/>
          <w:b/>
          <w:sz w:val="32"/>
          <w:szCs w:val="32"/>
          <w:highlight w:val="none"/>
        </w:rPr>
      </w:pPr>
    </w:p>
    <w:p>
      <w:pPr>
        <w:rPr>
          <w:rFonts w:ascii="宋体" w:hAnsi="宋体" w:cs="宋体"/>
          <w:b/>
          <w:sz w:val="32"/>
          <w:szCs w:val="32"/>
          <w:highlight w:val="none"/>
        </w:rPr>
      </w:pPr>
    </w:p>
    <w:p>
      <w:pPr>
        <w:jc w:val="center"/>
        <w:rPr>
          <w:rFonts w:ascii="宋体" w:hAnsi="宋体" w:cs="宋体"/>
          <w:b/>
          <w:sz w:val="32"/>
          <w:szCs w:val="32"/>
          <w:highlight w:val="none"/>
        </w:rPr>
      </w:pPr>
      <w:r>
        <w:rPr>
          <w:rFonts w:ascii="宋体" w:hAnsi="宋体" w:cs="宋体" w:hint="eastAsia"/>
          <w:b/>
          <w:sz w:val="32"/>
          <w:szCs w:val="32"/>
          <w:highlight w:val="none"/>
        </w:rPr>
        <w:br w:type="page"/>
      </w:r>
      <w:r>
        <w:rPr>
          <w:rFonts w:ascii="宋体" w:hAnsi="宋体" w:cs="宋体" w:hint="eastAsia"/>
          <w:b/>
          <w:sz w:val="32"/>
          <w:szCs w:val="32"/>
          <w:highlight w:val="none"/>
        </w:rPr>
        <w:t>（六）投标人同类项目业绩情况（格式自拟）</w:t>
      </w:r>
    </w:p>
    <w:p>
      <w:pPr>
        <w:jc w:val="center"/>
        <w:rPr>
          <w:b/>
          <w:bCs/>
          <w:color w:val="FF0000"/>
          <w:highlight w:val="none"/>
        </w:rPr>
      </w:pPr>
      <w:r>
        <w:rPr>
          <w:rFonts w:hint="eastAsia"/>
          <w:b/>
          <w:bCs/>
          <w:color w:val="FF0000"/>
          <w:highlight w:val="none"/>
        </w:rPr>
        <w:t>（特别提示：涉及国家秘密、商业秘密的内容，不得公开）</w:t>
      </w:r>
    </w:p>
    <w:p>
      <w:pPr>
        <w:pStyle w:val="BodyText"/>
        <w:rPr>
          <w:b/>
          <w:bCs/>
          <w:color w:val="FF0000"/>
          <w:highlight w:val="none"/>
        </w:rPr>
      </w:pPr>
    </w:p>
    <w:p>
      <w:pPr>
        <w:pStyle w:val="BodyText2"/>
        <w:rPr>
          <w:b/>
          <w:bCs/>
          <w:color w:val="FF0000"/>
          <w:highlight w:val="none"/>
        </w:rPr>
      </w:pPr>
    </w:p>
    <w:p>
      <w:pPr>
        <w:pStyle w:val="BodyText2"/>
        <w:rPr>
          <w:b/>
          <w:bCs/>
          <w:color w:val="FF0000"/>
          <w:highlight w:val="none"/>
        </w:rPr>
      </w:pPr>
    </w:p>
    <w:p>
      <w:pPr>
        <w:jc w:val="center"/>
        <w:rPr>
          <w:rFonts w:ascii="宋体" w:hAnsi="宋体" w:cs="宋体"/>
          <w:b/>
          <w:sz w:val="32"/>
          <w:szCs w:val="32"/>
          <w:highlight w:val="none"/>
        </w:rPr>
      </w:pPr>
    </w:p>
    <w:p>
      <w:pPr>
        <w:pStyle w:val="BodyText"/>
        <w:ind w:left="420" w:leftChars="200"/>
        <w:rPr>
          <w:highlight w:val="none"/>
        </w:rPr>
      </w:pPr>
    </w:p>
    <w:p>
      <w:pPr>
        <w:pStyle w:val="BodyText2"/>
        <w:rPr>
          <w:highlight w:val="none"/>
        </w:rPr>
      </w:pPr>
    </w:p>
    <w:p>
      <w:pPr>
        <w:pStyle w:val="BodyText2"/>
        <w:rPr>
          <w:highlight w:val="none"/>
        </w:rPr>
      </w:pPr>
    </w:p>
    <w:p>
      <w:pPr>
        <w:pStyle w:val="BodyText2"/>
        <w:rPr>
          <w:highlight w:val="none"/>
        </w:rPr>
      </w:pPr>
    </w:p>
    <w:p>
      <w:pPr>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b/>
          <w:sz w:val="32"/>
          <w:szCs w:val="32"/>
          <w:highlight w:val="none"/>
        </w:rPr>
      </w:pPr>
      <w:r>
        <w:rPr>
          <w:rFonts w:ascii="宋体" w:hAnsi="宋体" w:cs="宋体" w:hint="eastAsia"/>
          <w:b/>
          <w:sz w:val="32"/>
          <w:szCs w:val="32"/>
          <w:highlight w:val="none"/>
        </w:rPr>
        <w:t>（七）投标人获奖情况（格式自拟）</w:t>
      </w:r>
    </w:p>
    <w:p>
      <w:pPr>
        <w:jc w:val="center"/>
        <w:rPr>
          <w:rFonts w:ascii="宋体" w:hAnsi="宋体" w:cs="宋体"/>
          <w:b/>
          <w:sz w:val="32"/>
          <w:szCs w:val="32"/>
          <w:highlight w:val="none"/>
        </w:rPr>
      </w:pPr>
      <w:r>
        <w:rPr>
          <w:rFonts w:hint="eastAsia"/>
          <w:b/>
          <w:bCs/>
          <w:color w:val="FF0000"/>
          <w:highlight w:val="none"/>
        </w:rPr>
        <w:t>（特别提示：涉及国家秘密、商业秘密的内容，不得公开）</w:t>
      </w:r>
      <w:r>
        <w:rPr>
          <w:rFonts w:ascii="宋体" w:hAnsi="宋体" w:cs="宋体" w:hint="eastAsia"/>
          <w:b/>
          <w:sz w:val="32"/>
          <w:szCs w:val="32"/>
          <w:highlight w:val="none"/>
        </w:rPr>
        <w:br w:type="page"/>
      </w:r>
      <w:r>
        <w:rPr>
          <w:rFonts w:ascii="宋体" w:hAnsi="宋体" w:cs="宋体" w:hint="eastAsia"/>
          <w:b/>
          <w:sz w:val="32"/>
          <w:szCs w:val="32"/>
          <w:highlight w:val="none"/>
        </w:rPr>
        <w:t>（八）投标人自主知识产权产品（创新、设计）情况（格式自拟）</w:t>
      </w:r>
    </w:p>
    <w:p>
      <w:pPr>
        <w:jc w:val="center"/>
        <w:rPr>
          <w:b/>
          <w:bCs/>
          <w:color w:val="FF0000"/>
          <w:highlight w:val="none"/>
        </w:rPr>
      </w:pPr>
      <w:r>
        <w:rPr>
          <w:rFonts w:hint="eastAsia"/>
          <w:b/>
          <w:bCs/>
          <w:color w:val="FF0000"/>
          <w:highlight w:val="none"/>
        </w:rPr>
        <w:t>（特别提示：涉及国家秘密、商业秘密的内容，不得公开）</w:t>
      </w:r>
    </w:p>
    <w:p>
      <w:pPr>
        <w:rPr>
          <w:b/>
          <w:bCs/>
          <w:color w:val="FF0000"/>
          <w:highlight w:val="none"/>
        </w:rPr>
      </w:pPr>
      <w:r>
        <w:rPr>
          <w:rFonts w:hint="eastAsia"/>
          <w:b/>
          <w:bCs/>
          <w:color w:val="FF0000"/>
          <w:highlight w:val="none"/>
        </w:rPr>
        <w:br w:type="page"/>
      </w:r>
    </w:p>
    <w:p>
      <w:pPr>
        <w:jc w:val="center"/>
        <w:rPr>
          <w:rFonts w:ascii="宋体" w:hAnsi="宋体" w:cs="宋体"/>
          <w:b/>
          <w:color w:val="FF0000"/>
          <w:sz w:val="24"/>
          <w:highlight w:val="none"/>
        </w:rPr>
      </w:pPr>
      <w:r>
        <w:rPr>
          <w:rFonts w:ascii="宋体" w:hAnsi="宋体" w:cs="宋体" w:hint="eastAsia"/>
          <w:b/>
          <w:sz w:val="32"/>
          <w:szCs w:val="32"/>
          <w:highlight w:val="none"/>
        </w:rPr>
        <w:t>（九）其他招标文件要求的内容及投标人认为需要补充的内容</w:t>
      </w: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bCs/>
          <w:color w:val="FF0000"/>
          <w:szCs w:val="21"/>
          <w:highlight w:val="none"/>
        </w:rPr>
        <w:sectPr>
          <w:pgSz w:w="11906" w:h="16838"/>
          <w:pgMar w:top="1134" w:right="1134" w:bottom="1134" w:left="1134" w:header="851" w:footer="992" w:gutter="0"/>
          <w:pgBorders>
            <w:top w:val="nil"/>
            <w:left w:val="nil"/>
            <w:bottom w:val="nil"/>
            <w:right w:val="nil"/>
          </w:pgBorders>
          <w:pgNumType w:fmt="decimal"/>
          <w:cols w:num="1" w:space="720"/>
          <w:docGrid w:type="lines" w:linePitch="312" w:charSpace="0"/>
        </w:sectPr>
      </w:pPr>
      <w:r>
        <w:rPr>
          <w:rFonts w:ascii="宋体" w:hAnsi="宋体" w:cs="宋体" w:hint="eastAsia"/>
          <w:b/>
          <w:color w:val="FF0000"/>
          <w:sz w:val="24"/>
          <w:highlight w:val="none"/>
        </w:rPr>
        <w:t>（信息公开部分的内容到此为止！以下为信息不公开部分）</w:t>
      </w:r>
    </w:p>
    <w:p>
      <w:pPr>
        <w:jc w:val="center"/>
        <w:rPr>
          <w:rFonts w:ascii="宋体" w:hAnsi="宋体" w:cs="宋体"/>
          <w:color w:val="FF0000"/>
          <w:szCs w:val="21"/>
          <w:highlight w:val="none"/>
        </w:rPr>
      </w:pPr>
      <w:r>
        <w:rPr>
          <w:rFonts w:ascii="宋体" w:hAnsi="宋体" w:cs="宋体" w:hint="eastAsia"/>
          <w:b/>
          <w:bCs/>
          <w:sz w:val="32"/>
          <w:szCs w:val="32"/>
          <w:highlight w:val="none"/>
        </w:rPr>
        <w:t>二、投标文件附件</w:t>
      </w:r>
      <w:r>
        <w:rPr>
          <w:rFonts w:ascii="宋体" w:hAnsi="宋体" w:cs="宋体" w:hint="eastAsia"/>
          <w:b/>
          <w:bCs/>
          <w:color w:val="FF0000"/>
          <w:sz w:val="32"/>
          <w:szCs w:val="32"/>
          <w:highlight w:val="none"/>
        </w:rPr>
        <w:t>（信息不公开部分）</w:t>
      </w:r>
    </w:p>
    <w:p>
      <w:pPr>
        <w:jc w:val="center"/>
        <w:rPr>
          <w:rFonts w:ascii="宋体" w:hAnsi="宋体" w:cs="宋体"/>
          <w:b/>
          <w:sz w:val="24"/>
          <w:highlight w:val="none"/>
        </w:rPr>
      </w:pPr>
      <w:r>
        <w:rPr>
          <w:rFonts w:ascii="宋体" w:hAnsi="宋体" w:cs="宋体" w:hint="eastAsia"/>
          <w:b/>
          <w:sz w:val="32"/>
          <w:szCs w:val="32"/>
          <w:highlight w:val="none"/>
        </w:rPr>
        <w:t>（一）其他文件</w:t>
      </w:r>
    </w:p>
    <w:p>
      <w:pPr>
        <w:outlineLvl w:val="2"/>
        <w:rPr>
          <w:rFonts w:ascii="宋体" w:hAnsi="宋体" w:cs="宋体"/>
          <w:b/>
          <w:sz w:val="24"/>
          <w:highlight w:val="none"/>
        </w:rPr>
      </w:pPr>
      <w:r>
        <w:rPr>
          <w:rFonts w:ascii="宋体" w:hAnsi="宋体" w:cs="宋体" w:hint="eastAsia"/>
          <w:b/>
          <w:sz w:val="24"/>
          <w:highlight w:val="none"/>
        </w:rPr>
        <w:t>1、投标人资格声明函</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关于贵公司</w:t>
      </w:r>
      <w:r>
        <w:rPr>
          <w:rFonts w:ascii="宋体" w:hAnsi="宋体" w:cs="宋体" w:hint="eastAsia"/>
          <w:sz w:val="24"/>
          <w:highlight w:val="none"/>
          <w:u w:val="single"/>
        </w:rPr>
        <w:t>　 　</w:t>
      </w:r>
      <w:r>
        <w:rPr>
          <w:rFonts w:ascii="宋体" w:hAnsi="宋体" w:cs="宋体" w:hint="eastAsia"/>
          <w:sz w:val="24"/>
          <w:highlight w:val="none"/>
        </w:rPr>
        <w:t>年</w:t>
      </w:r>
      <w:r>
        <w:rPr>
          <w:rFonts w:ascii="宋体" w:hAnsi="宋体" w:cs="宋体" w:hint="eastAsia"/>
          <w:sz w:val="24"/>
          <w:highlight w:val="none"/>
          <w:u w:val="single"/>
        </w:rPr>
        <w:t>　　</w:t>
      </w:r>
      <w:r>
        <w:rPr>
          <w:rFonts w:ascii="宋体" w:hAnsi="宋体" w:cs="宋体" w:hint="eastAsia"/>
          <w:sz w:val="24"/>
          <w:highlight w:val="none"/>
        </w:rPr>
        <w:t>月</w:t>
      </w:r>
      <w:r>
        <w:rPr>
          <w:rFonts w:ascii="宋体" w:hAnsi="宋体" w:cs="宋体" w:hint="eastAsia"/>
          <w:sz w:val="24"/>
          <w:highlight w:val="none"/>
          <w:u w:val="single"/>
        </w:rPr>
        <w:t>　　</w:t>
      </w:r>
      <w:r>
        <w:rPr>
          <w:rFonts w:ascii="宋体" w:hAnsi="宋体" w:cs="宋体" w:hint="eastAsia"/>
          <w:sz w:val="24"/>
          <w:highlight w:val="none"/>
        </w:rPr>
        <w:t>日发布</w:t>
      </w:r>
      <w:r>
        <w:rPr>
          <w:rFonts w:ascii="宋体" w:hAnsi="宋体" w:cs="宋体" w:hint="eastAsia"/>
          <w:sz w:val="24"/>
          <w:highlight w:val="none"/>
          <w:u w:val="single"/>
          <w:lang w:eastAsia="zh-CN"/>
        </w:rPr>
        <w:t>深圳市人民医院免陪照护服务项目</w:t>
      </w:r>
      <w:r>
        <w:rPr>
          <w:rFonts w:ascii="宋体" w:hAnsi="宋体" w:cs="宋体" w:hint="eastAsia"/>
          <w:sz w:val="24"/>
          <w:highlight w:val="none"/>
          <w:u w:val="single"/>
        </w:rPr>
        <w:t>（项目编号：</w:t>
      </w:r>
      <w:r>
        <w:rPr>
          <w:rFonts w:ascii="宋体" w:hAnsi="宋体" w:cs="宋体" w:hint="eastAsia"/>
          <w:sz w:val="24"/>
          <w:highlight w:val="none"/>
          <w:u w:val="single"/>
          <w:lang w:eastAsia="zh-CN"/>
        </w:rPr>
        <w:t>SZDL2025002061</w:t>
      </w:r>
      <w:r>
        <w:rPr>
          <w:rFonts w:ascii="宋体" w:hAnsi="宋体" w:cs="宋体" w:hint="eastAsia"/>
          <w:sz w:val="24"/>
          <w:highlight w:val="none"/>
          <w:u w:val="single"/>
        </w:rPr>
        <w:t>（</w:t>
      </w:r>
      <w:r>
        <w:rPr>
          <w:rFonts w:ascii="宋体" w:hAnsi="宋体" w:cs="宋体" w:hint="eastAsia"/>
          <w:sz w:val="24"/>
          <w:highlight w:val="none"/>
          <w:u w:val="single"/>
          <w:lang w:eastAsia="zh-CN"/>
        </w:rPr>
        <w:t>0724-2531SZ267470</w:t>
      </w:r>
      <w:r>
        <w:rPr>
          <w:rFonts w:ascii="宋体" w:hAnsi="宋体" w:cs="宋体" w:hint="eastAsia"/>
          <w:sz w:val="24"/>
          <w:highlight w:val="none"/>
          <w:u w:val="single"/>
        </w:rPr>
        <w:t>））</w:t>
      </w:r>
      <w:r>
        <w:rPr>
          <w:rFonts w:ascii="宋体" w:hAnsi="宋体" w:cs="宋体" w:hint="eastAsia"/>
          <w:sz w:val="24"/>
          <w:highlight w:val="none"/>
        </w:rPr>
        <w:t>的采购公告，本公司（企业）愿意参加投标，并声明：</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1.</w:t>
      </w:r>
      <w:r>
        <w:rPr>
          <w:rFonts w:ascii="宋体" w:hAnsi="宋体" w:cs="宋体" w:hint="eastAsia"/>
          <w:sz w:val="24"/>
          <w:highlight w:val="none"/>
        </w:rPr>
        <w:t>本公司（企业）具备《中华人民共和国政府采购法》第二十二条第一款资格条件，并已清楚招标文件的要求及有关文件规定。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2.</w:t>
      </w:r>
      <w:r>
        <w:rPr>
          <w:rFonts w:ascii="宋体" w:hAnsi="宋体" w:cs="宋体" w:hint="eastAsia"/>
          <w:sz w:val="24"/>
          <w:highlight w:val="none"/>
        </w:rPr>
        <w:t>本公司（企业）具有履行合同所必需的设备和专业技术能力，且本公司（企业）参加政府采购活动前3年内在经营活动中没有重大违法记录。否则，由此所造成的损失、不良后果及法律责任，一律由我公司（企业）承担。</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3.</w:t>
      </w:r>
      <w:r>
        <w:rPr>
          <w:rFonts w:ascii="宋体" w:hAnsi="宋体" w:cs="宋体" w:hint="eastAsia"/>
          <w:sz w:val="24"/>
          <w:highlight w:val="none"/>
        </w:rPr>
        <w:t>参与本项目投标前三年内，在经营活动中没有重大违法记录。</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4.</w:t>
      </w:r>
      <w:r>
        <w:rPr>
          <w:rFonts w:ascii="宋体" w:hAnsi="宋体" w:cs="宋体" w:hint="eastAsia"/>
          <w:sz w:val="24"/>
          <w:highlight w:val="none"/>
        </w:rPr>
        <w:t>参与本项目政府采购活动时不存在被有关部门禁止参与政府采购活动且在有效期内的情况。</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5.</w:t>
      </w:r>
      <w:r>
        <w:rPr>
          <w:rFonts w:ascii="宋体" w:hAnsi="宋体" w:cs="宋体" w:hint="eastAsia"/>
          <w:sz w:val="24"/>
          <w:highlight w:val="none"/>
        </w:rPr>
        <w:t>本公司（企业）不存在以下情况：单位负责人为同一人或者存在直接控股、管理关系的不同投标人，参加同一包号投标或者未划分包号的同一招标项目投标。</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6.</w:t>
      </w:r>
      <w:r>
        <w:rPr>
          <w:rFonts w:ascii="宋体" w:hAnsi="宋体" w:cs="宋体" w:hint="eastAsia"/>
          <w:sz w:val="24"/>
          <w:highlight w:val="none"/>
        </w:rPr>
        <w:t>本公司（企业）不存在以下情况：为采购项目提供整体设计、规范编制或者项目管理、监理、检测等服务的供应商，再参加本采购项目的其他采购活动。</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7.</w:t>
      </w:r>
      <w:r>
        <w:rPr>
          <w:rFonts w:ascii="宋体" w:hAnsi="宋体" w:cs="宋体" w:hint="eastAsia"/>
          <w:sz w:val="24"/>
          <w:highlight w:val="none"/>
        </w:rPr>
        <w:t>我单位已认真核实了投标文件的全部资料，所有资料均为真实资料。我单位对投标文件中全部投标资料的真实性负责，如被证实我单位的投标文件中存在虚假资料，则视我单位隐瞒真实情况、提供虚假资料，本单位愿意接受主管部门作出的行政处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以上承诺，如有违反，愿依照国家相关法律处理，并承担由此给采购人带来的损失。</w:t>
      </w:r>
    </w:p>
    <w:p>
      <w:pPr>
        <w:spacing w:line="360" w:lineRule="auto"/>
        <w:ind w:firstLine="420"/>
        <w:rPr>
          <w:rFonts w:ascii="宋体" w:hAnsi="宋体" w:cs="宋体"/>
          <w:b/>
          <w:sz w:val="24"/>
          <w:highlight w:val="none"/>
        </w:rPr>
      </w:pPr>
      <w:r>
        <w:rPr>
          <w:rFonts w:ascii="宋体" w:hAnsi="宋体" w:cs="宋体" w:hint="eastAsia"/>
          <w:b/>
          <w:sz w:val="24"/>
          <w:highlight w:val="none"/>
        </w:rPr>
        <w:t>特此声明！</w:t>
      </w:r>
    </w:p>
    <w:p>
      <w:pPr>
        <w:rPr>
          <w:rFonts w:ascii="宋体" w:eastAsia="宋体" w:hAnsi="宋体" w:cs="宋体" w:hint="eastAsia"/>
          <w:b/>
          <w:sz w:val="24"/>
          <w:highlight w:val="none"/>
          <w:lang w:eastAsia="zh-CN"/>
        </w:rPr>
      </w:pPr>
    </w:p>
    <w:p>
      <w:pPr>
        <w:adjustRightInd w:val="0"/>
        <w:snapToGrid w:val="0"/>
        <w:spacing w:line="360" w:lineRule="auto"/>
        <w:ind w:firstLine="420" w:firstLineChars="200"/>
        <w:rPr>
          <w:rFonts w:ascii="宋体" w:hAnsi="宋体" w:cs="宋体"/>
          <w:spacing w:val="4"/>
          <w:sz w:val="24"/>
          <w:highlight w:val="none"/>
        </w:rPr>
      </w:pPr>
      <w:r>
        <w:rPr>
          <w:rFonts w:ascii="宋体" w:hAnsi="宋体" w:cs="宋体" w:hint="eastAsia"/>
          <w:b/>
          <w:sz w:val="24"/>
          <w:highlight w:val="none"/>
        </w:rPr>
        <w:t>附件：</w:t>
      </w:r>
      <w:r>
        <w:rPr>
          <w:rFonts w:ascii="宋体" w:hAnsi="宋体" w:cs="宋体" w:hint="eastAsia"/>
          <w:sz w:val="24"/>
          <w:highlight w:val="none"/>
        </w:rPr>
        <w:t>企业股东构成情况表</w:t>
      </w:r>
    </w:p>
    <w:p>
      <w:pPr>
        <w:jc w:val="center"/>
        <w:rPr>
          <w:rFonts w:ascii="宋体" w:hAnsi="宋体" w:cs="宋体" w:hint="eastAsia"/>
          <w:b/>
          <w:sz w:val="24"/>
          <w:highlight w:val="none"/>
        </w:rPr>
        <w:sectPr>
          <w:headerReference w:type="default" r:id="rId17"/>
          <w:footerReference w:type="default" r:id="rId18"/>
          <w:pgSz w:w="11906" w:h="16838"/>
          <w:pgMar w:top="1134" w:right="1134" w:bottom="1134" w:left="1134" w:header="851" w:footer="992" w:gutter="0"/>
          <w:pgBorders>
            <w:top w:val="nil"/>
            <w:left w:val="nil"/>
            <w:bottom w:val="nil"/>
            <w:right w:val="nil"/>
          </w:pgBorders>
          <w:pgNumType w:fmt="decimal"/>
          <w:cols w:num="1" w:space="720"/>
          <w:docGrid w:type="lines" w:linePitch="312" w:charSpace="0"/>
        </w:sectPr>
      </w:pPr>
    </w:p>
    <w:p>
      <w:pPr>
        <w:jc w:val="center"/>
        <w:rPr>
          <w:rFonts w:ascii="宋体" w:hAnsi="宋体" w:cs="宋体"/>
          <w:b/>
          <w:sz w:val="24"/>
          <w:highlight w:val="none"/>
        </w:rPr>
      </w:pPr>
      <w:r>
        <w:rPr>
          <w:rFonts w:ascii="宋体" w:hAnsi="宋体" w:cs="宋体" w:hint="eastAsia"/>
          <w:b/>
          <w:sz w:val="24"/>
          <w:highlight w:val="none"/>
        </w:rPr>
        <w:t>企业股东构成情况表</w:t>
      </w:r>
    </w:p>
    <w:tbl>
      <w:tblPr>
        <w:tblStyle w:val="TableNormal"/>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Ex>
        <w:trPr>
          <w:trHeight w:val="56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企业名称</w:t>
            </w:r>
          </w:p>
        </w:tc>
        <w:tc>
          <w:tcPr>
            <w:tcW w:w="7088" w:type="dxa"/>
            <w:gridSpan w:val="8"/>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注册地址</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企业类型</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法定代表人姓名</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电话</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9039" w:type="dxa"/>
            <w:gridSpan w:val="10"/>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股东及出资信息</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序号</w:t>
            </w: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股东名称</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（姓名/股东全称）</w:t>
            </w: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股东类型</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（自然人股东/法人</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w:t>
            </w: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身份证号</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/统一社会信用</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代码</w:t>
            </w: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出资额（万元）</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出资</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方式</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占全部股份</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比例</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bl>
    <w:p>
      <w:pPr>
        <w:ind w:firstLine="420" w:firstLineChars="200"/>
        <w:jc w:val="left"/>
        <w:rPr>
          <w:rFonts w:ascii="宋体" w:hAnsi="宋体" w:cs="宋体"/>
          <w:sz w:val="24"/>
          <w:highlight w:val="none"/>
        </w:rPr>
      </w:pPr>
      <w:r>
        <w:rPr>
          <w:rFonts w:ascii="宋体" w:hAnsi="宋体" w:cs="宋体" w:hint="eastAsia"/>
          <w:sz w:val="24"/>
          <w:highlight w:val="none"/>
        </w:rPr>
        <w:t>备注：</w:t>
      </w:r>
    </w:p>
    <w:p>
      <w:pPr>
        <w:ind w:firstLine="420" w:firstLineChars="200"/>
        <w:jc w:val="left"/>
        <w:rPr>
          <w:rFonts w:ascii="宋体" w:hAnsi="宋体" w:cs="宋体"/>
          <w:sz w:val="24"/>
          <w:highlight w:val="none"/>
        </w:rPr>
      </w:pPr>
      <w:r>
        <w:rPr>
          <w:rFonts w:ascii="宋体" w:hAnsi="宋体" w:cs="宋体" w:hint="eastAsia"/>
          <w:sz w:val="24"/>
          <w:highlight w:val="none"/>
        </w:rPr>
        <w:t>1.股东或出资人为自然人的，填写自然人姓名及身份证号；股东或出资人为法人的，填写法人企业全称及统一社会信用代码。出资方式填写：货物、实物、工艺产权和非专利技术、土地使用权等。</w:t>
      </w:r>
    </w:p>
    <w:p>
      <w:pPr>
        <w:ind w:firstLine="420" w:firstLineChars="200"/>
        <w:jc w:val="left"/>
        <w:rPr>
          <w:rFonts w:ascii="宋体" w:hAnsi="宋体" w:cs="宋体"/>
          <w:sz w:val="24"/>
          <w:highlight w:val="none"/>
        </w:rPr>
      </w:pPr>
      <w:r>
        <w:rPr>
          <w:rFonts w:ascii="宋体" w:hAnsi="宋体" w:cs="宋体" w:hint="eastAsia"/>
          <w:sz w:val="24"/>
          <w:highlight w:val="none"/>
        </w:rPr>
        <w:t>2.投标人必须如实填写股东构成情况，同时打印“国家企业信用信息公示系统” （网站：</w:t>
      </w:r>
      <w:r>
        <w:rPr>
          <w:highlight w:val="none"/>
        </w:rPr>
        <w:fldChar w:fldCharType="begin"/>
      </w:r>
      <w:r>
        <w:rPr>
          <w:highlight w:val="none"/>
        </w:rPr>
        <w:instrText xml:space="preserve"> HYPERLINK "http://gsxt.gdgs.gov.cn/" </w:instrText>
      </w:r>
      <w:r>
        <w:rPr>
          <w:highlight w:val="none"/>
        </w:rPr>
        <w:fldChar w:fldCharType="separate"/>
      </w:r>
      <w:r>
        <w:rPr>
          <w:rFonts w:ascii="宋体" w:hAnsi="宋体" w:cs="宋体" w:hint="eastAsia"/>
          <w:color w:val="0000FF"/>
          <w:sz w:val="24"/>
          <w:highlight w:val="none"/>
          <w:u w:val="single"/>
        </w:rPr>
        <w:t>http://gsxt.gdgs.gov.cn/</w:t>
      </w:r>
      <w:r>
        <w:rPr>
          <w:rFonts w:ascii="宋体" w:hAnsi="宋体" w:cs="宋体" w:hint="eastAsia"/>
          <w:color w:val="0000FF"/>
          <w:sz w:val="24"/>
          <w:highlight w:val="none"/>
          <w:u w:val="single"/>
        </w:rPr>
        <w:fldChar w:fldCharType="end"/>
      </w:r>
      <w:r>
        <w:rPr>
          <w:rFonts w:ascii="宋体" w:hAnsi="宋体" w:cs="宋体" w:hint="eastAsia"/>
          <w:sz w:val="24"/>
          <w:highlight w:val="none"/>
        </w:rPr>
        <w:t>)网页查询的信息截图。</w:t>
      </w:r>
    </w:p>
    <w:p>
      <w:pPr>
        <w:rPr>
          <w:rFonts w:ascii="宋体" w:hAnsi="宋体" w:cs="宋体"/>
          <w:b/>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sectPr>
          <w:pgSz w:w="11906" w:h="16838"/>
          <w:pgMar w:top="1134" w:right="1134" w:bottom="1134" w:left="1134" w:header="851" w:footer="992" w:gutter="0"/>
          <w:pgBorders>
            <w:top w:val="nil"/>
            <w:left w:val="nil"/>
            <w:bottom w:val="nil"/>
            <w:right w:val="nil"/>
          </w:pgBorders>
          <w:pgNumType w:fmt="decimal"/>
          <w:cols w:num="1" w:space="720"/>
          <w:docGrid w:type="lines" w:linePitch="312" w:charSpace="0"/>
        </w:sectPr>
      </w:pPr>
      <w:r>
        <w:rPr>
          <w:rFonts w:ascii="宋体" w:hAnsi="宋体" w:cs="宋体" w:hint="eastAsia"/>
          <w:sz w:val="24"/>
          <w:highlight w:val="none"/>
        </w:rPr>
        <w:br w:type="page"/>
      </w:r>
    </w:p>
    <w:p>
      <w:pPr>
        <w:outlineLvl w:val="2"/>
        <w:rPr>
          <w:rFonts w:ascii="宋体" w:hAnsi="宋体" w:cs="宋体" w:hint="eastAsia"/>
          <w:b/>
          <w:sz w:val="24"/>
          <w:highlight w:val="none"/>
          <w:lang w:val="en-US" w:eastAsia="zh-CN"/>
        </w:rPr>
      </w:pPr>
      <w:r>
        <w:rPr>
          <w:rFonts w:ascii="宋体" w:hAnsi="宋体" w:cs="宋体" w:hint="eastAsia"/>
          <w:b/>
          <w:sz w:val="24"/>
          <w:highlight w:val="none"/>
          <w:lang w:val="en-US" w:eastAsia="zh-CN"/>
        </w:rPr>
        <w:t>2</w:t>
      </w:r>
      <w:r>
        <w:rPr>
          <w:rFonts w:ascii="宋体" w:hAnsi="宋体" w:cs="宋体" w:hint="eastAsia"/>
          <w:b/>
          <w:sz w:val="24"/>
          <w:highlight w:val="none"/>
        </w:rPr>
        <w:t>、</w:t>
      </w:r>
      <w:r>
        <w:rPr>
          <w:rFonts w:ascii="宋体" w:hAnsi="宋体" w:cs="宋体" w:hint="eastAsia"/>
          <w:b/>
          <w:sz w:val="24"/>
          <w:highlight w:val="none"/>
          <w:lang w:val="en-US" w:eastAsia="zh-CN"/>
        </w:rPr>
        <w:t>供应商基本情况表</w:t>
      </w:r>
    </w:p>
    <w:p>
      <w:pPr>
        <w:outlineLvl w:val="2"/>
        <w:rPr>
          <w:rFonts w:ascii="宋体" w:hAnsi="宋体" w:cs="宋体"/>
          <w:b/>
          <w:sz w:val="24"/>
          <w:highlight w:val="none"/>
        </w:rPr>
      </w:pPr>
    </w:p>
    <w:p>
      <w:pPr>
        <w:pStyle w:val="Title"/>
        <w:snapToGrid w:val="0"/>
        <w:spacing w:before="0" w:after="0" w:line="240" w:lineRule="auto"/>
        <w:rPr>
          <w:rFonts w:ascii="宋体" w:eastAsia="宋体" w:hAnsi="宋体" w:cs="宋体" w:hint="eastAsia"/>
          <w:b/>
          <w:bCs/>
          <w:color w:val="auto"/>
          <w:sz w:val="44"/>
          <w:szCs w:val="44"/>
          <w:highlight w:val="none"/>
          <w:lang w:val="en-US" w:eastAsia="zh-CN"/>
        </w:rPr>
      </w:pPr>
      <w:r>
        <w:rPr>
          <w:rFonts w:ascii="宋体" w:eastAsia="宋体" w:hAnsi="宋体" w:cs="宋体" w:hint="eastAsia"/>
          <w:b/>
          <w:bCs/>
          <w:color w:val="auto"/>
          <w:sz w:val="44"/>
          <w:szCs w:val="44"/>
          <w:highlight w:val="none"/>
          <w:lang w:val="en-US" w:eastAsia="zh-CN"/>
        </w:rPr>
        <w:t>供应商基本情况表</w:t>
      </w:r>
    </w:p>
    <w:tbl>
      <w:tblPr>
        <w:tblStyle w:val="TableGrid"/>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36"/>
        <w:gridCol w:w="676"/>
        <w:gridCol w:w="1606"/>
        <w:gridCol w:w="947"/>
        <w:gridCol w:w="791"/>
        <w:gridCol w:w="1200"/>
        <w:gridCol w:w="1500"/>
        <w:gridCol w:w="1485"/>
      </w:tblGrid>
      <w:tr>
        <w:tblPrEx>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1412"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投标（响应）供应商</w:t>
            </w:r>
          </w:p>
        </w:tc>
        <w:tc>
          <w:tcPr>
            <w:tcW w:w="2553"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项目名称及编号</w:t>
            </w:r>
          </w:p>
        </w:tc>
        <w:tc>
          <w:tcPr>
            <w:tcW w:w="2985"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投标（响应）供应商相关人员情况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282"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职务</w:t>
            </w:r>
          </w:p>
        </w:tc>
        <w:tc>
          <w:tcPr>
            <w:tcW w:w="947"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姓名</w:t>
            </w:r>
          </w:p>
        </w:tc>
        <w:tc>
          <w:tcPr>
            <w:tcW w:w="1991"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身份证号码</w:t>
            </w:r>
          </w:p>
        </w:tc>
        <w:tc>
          <w:tcPr>
            <w:tcW w:w="1500"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劳动合同</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关系单位</w:t>
            </w:r>
          </w:p>
        </w:tc>
        <w:tc>
          <w:tcPr>
            <w:tcW w:w="1485"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缴纳社会</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保险单位</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eastAsia="zh-CN"/>
              </w:rPr>
            </w:pPr>
            <w:r>
              <w:rPr>
                <w:rFonts w:ascii="宋体" w:eastAsia="宋体" w:hAnsi="宋体" w:cs="宋体" w:hint="eastAsia"/>
                <w:color w:val="auto"/>
                <w:sz w:val="22"/>
                <w:szCs w:val="22"/>
                <w:highlight w:val="none"/>
              </w:rPr>
              <w:t>法定代表人</w:t>
            </w:r>
            <w:r>
              <w:rPr>
                <w:rFonts w:ascii="宋体" w:eastAsia="宋体" w:hAnsi="宋体" w:cs="宋体" w:hint="eastAsia"/>
                <w:color w:val="auto"/>
                <w:sz w:val="22"/>
                <w:szCs w:val="22"/>
                <w:highlight w:val="none"/>
                <w:lang w:val="en-US" w:eastAsia="zh-CN"/>
              </w:rPr>
              <w:t>/单位负责人/主要经营负责人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2"/>
                <w:szCs w:val="22"/>
                <w:highlight w:val="none"/>
              </w:rPr>
              <w:t>项目投标授权代表人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3</w:t>
            </w:r>
          </w:p>
        </w:tc>
        <w:tc>
          <w:tcPr>
            <w:tcW w:w="2282"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项目负责人</w:t>
            </w:r>
          </w:p>
        </w:tc>
        <w:tc>
          <w:tcPr>
            <w:tcW w:w="947"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4</w:t>
            </w:r>
          </w:p>
        </w:tc>
        <w:tc>
          <w:tcPr>
            <w:tcW w:w="2282"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主要技术人员</w:t>
            </w: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5</w:t>
            </w:r>
          </w:p>
        </w:tc>
        <w:tc>
          <w:tcPr>
            <w:tcW w:w="2282" w:type="dxa"/>
            <w:gridSpan w:val="2"/>
            <w:noWrap w:val="0"/>
            <w:vAlign w:val="center"/>
          </w:tcPr>
          <w:p>
            <w:pPr>
              <w:pStyle w:val="NormalIndent"/>
              <w:keepNext w:val="0"/>
              <w:keepLines w:val="0"/>
              <w:suppressLineNumbers w:val="0"/>
              <w:snapToGrid w:val="0"/>
              <w:spacing w:before="0" w:beforeAutospacing="0" w:after="0" w:afterAutospacing="0" w:line="360" w:lineRule="auto"/>
              <w:ind w:left="0" w:right="0" w:firstLine="0" w:leftChars="0" w:firstLineChars="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rPr>
              <w:t>投标文件</w:t>
            </w:r>
            <w:r>
              <w:rPr>
                <w:rFonts w:ascii="宋体" w:eastAsia="宋体" w:hAnsi="宋体" w:cs="宋体" w:hint="eastAsia"/>
                <w:color w:val="auto"/>
                <w:sz w:val="24"/>
                <w:szCs w:val="24"/>
                <w:highlight w:val="none"/>
                <w:lang w:eastAsia="zh-CN"/>
              </w:rPr>
              <w:t>编制人员</w:t>
            </w: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说明：同一职务有多人担任（如主要技术人员），应分行填写。</w:t>
            </w:r>
          </w:p>
        </w:tc>
      </w:tr>
      <w:tr>
        <w:tblPrEx>
          <w:tblW w:w="8941" w:type="dxa"/>
          <w:jc w:val="center"/>
          <w:tblCellMar>
            <w:top w:w="0" w:type="dxa"/>
            <w:left w:w="108" w:type="dxa"/>
            <w:bottom w:w="0" w:type="dxa"/>
            <w:right w:w="108" w:type="dxa"/>
          </w:tblCellMar>
        </w:tblPrEx>
        <w:trPr>
          <w:trHeight w:val="539"/>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b/>
                <w:bCs/>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投标（响应）供应商关联关系情况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282"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vertAlign w:val="baseline"/>
                <w:lang w:val="en-US" w:eastAsia="zh-CN"/>
              </w:rPr>
              <w:t>关联关系类型</w:t>
            </w:r>
          </w:p>
        </w:tc>
        <w:tc>
          <w:tcPr>
            <w:tcW w:w="1738"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关联主体名称</w:t>
            </w:r>
          </w:p>
        </w:tc>
        <w:tc>
          <w:tcPr>
            <w:tcW w:w="4185" w:type="dxa"/>
            <w:gridSpan w:val="3"/>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备注</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控股股东</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8941" w:type="dxa"/>
          <w:jc w:val="center"/>
          <w:tblCellMar>
            <w:top w:w="0" w:type="dxa"/>
            <w:left w:w="108" w:type="dxa"/>
            <w:bottom w:w="0" w:type="dxa"/>
            <w:right w:w="108" w:type="dxa"/>
          </w:tblCellMar>
        </w:tblPrEx>
        <w:trPr>
          <w:trHeight w:val="789"/>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管理关系</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指对投标（响应）供应商不具有出资持股关系，但对其存在管理关系的主体。</w:t>
            </w:r>
          </w:p>
        </w:tc>
      </w:tr>
      <w:tr>
        <w:tblPrEx>
          <w:tblW w:w="8941" w:type="dxa"/>
          <w:jc w:val="center"/>
          <w:tblCellMar>
            <w:top w:w="0" w:type="dxa"/>
            <w:left w:w="108" w:type="dxa"/>
            <w:bottom w:w="0" w:type="dxa"/>
            <w:right w:w="108" w:type="dxa"/>
          </w:tblCellMar>
        </w:tblPrEx>
        <w:trPr>
          <w:trHeight w:val="455"/>
          <w:jc w:val="center"/>
        </w:trPr>
        <w:tc>
          <w:tcPr>
            <w:tcW w:w="8941" w:type="dxa"/>
            <w:gridSpan w:val="8"/>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说明：同一关联关系类型有多个主体的，应分行填写。</w:t>
            </w:r>
          </w:p>
        </w:tc>
      </w:tr>
    </w:tbl>
    <w:p>
      <w:pPr>
        <w:tabs>
          <w:tab w:val="left" w:pos="654"/>
          <w:tab w:val="left" w:pos="1734"/>
          <w:tab w:val="left" w:pos="2814"/>
          <w:tab w:val="left" w:pos="3894"/>
          <w:tab w:val="left" w:pos="5334"/>
          <w:tab w:val="left" w:pos="6414"/>
          <w:tab w:val="left" w:pos="7254"/>
          <w:tab w:val="left" w:pos="8574"/>
          <w:tab w:val="left" w:pos="9654"/>
        </w:tabs>
        <w:ind w:firstLine="420" w:firstLineChars="200"/>
        <w:rPr>
          <w:rFonts w:ascii="宋体" w:hAnsi="宋体" w:cs="宋体" w:hint="eastAsia"/>
          <w:sz w:val="24"/>
          <w:highlight w:val="none"/>
        </w:rPr>
      </w:pPr>
      <w:r>
        <w:rPr>
          <w:rFonts w:ascii="宋体" w:eastAsia="宋体" w:hAnsi="宋体" w:cs="宋体" w:hint="eastAsia"/>
          <w:color w:val="FF0000"/>
          <w:sz w:val="24"/>
          <w:szCs w:val="24"/>
          <w:highlight w:val="none"/>
          <w:vertAlign w:val="baseline"/>
          <w:lang w:val="en-US" w:eastAsia="zh-CN"/>
        </w:rPr>
        <w:t>备注：后附</w:t>
      </w:r>
      <w:r>
        <w:rPr>
          <w:rFonts w:ascii="宋体" w:hAnsi="宋体" w:cs="宋体" w:hint="eastAsia"/>
          <w:color w:val="FF0000"/>
          <w:sz w:val="24"/>
          <w:szCs w:val="24"/>
          <w:highlight w:val="none"/>
          <w:vertAlign w:val="baseline"/>
          <w:lang w:val="en-US" w:eastAsia="zh-CN"/>
        </w:rPr>
        <w:t>相关人员开标前最近一个月的社保缴纳</w:t>
      </w:r>
      <w:r>
        <w:rPr>
          <w:rFonts w:ascii="宋体" w:eastAsia="宋体" w:hAnsi="宋体" w:cs="宋体" w:hint="eastAsia"/>
          <w:color w:val="FF0000"/>
          <w:sz w:val="24"/>
          <w:szCs w:val="24"/>
          <w:highlight w:val="none"/>
          <w:vertAlign w:val="baseline"/>
          <w:lang w:val="en-US" w:eastAsia="zh-CN"/>
        </w:rPr>
        <w:t>证明材料。</w:t>
      </w: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pPr>
    </w:p>
    <w:p>
      <w:pPr>
        <w:rPr>
          <w:rFonts w:ascii="宋体" w:hAnsi="宋体" w:cs="宋体" w:hint="eastAsia"/>
          <w:sz w:val="24"/>
          <w:highlight w:val="none"/>
        </w:rPr>
      </w:pPr>
      <w:r>
        <w:rPr>
          <w:rFonts w:ascii="宋体" w:hAnsi="宋体" w:cs="宋体" w:hint="eastAsia"/>
          <w:sz w:val="24"/>
          <w:highlight w:val="none"/>
        </w:rPr>
        <w:br w:type="page"/>
      </w:r>
    </w:p>
    <w:p>
      <w:pPr>
        <w:snapToGrid w:val="0"/>
        <w:spacing w:line="360" w:lineRule="auto"/>
        <w:rPr>
          <w:rFonts w:ascii="宋体" w:eastAsia="宋体" w:hAnsi="宋体" w:cs="宋体" w:hint="default"/>
          <w:b/>
          <w:bCs w:val="0"/>
          <w:color w:val="auto"/>
          <w:sz w:val="24"/>
          <w:szCs w:val="24"/>
          <w:highlight w:val="none"/>
          <w:lang w:val="en-US" w:eastAsia="zh-CN"/>
        </w:rPr>
      </w:pPr>
      <w:r>
        <w:rPr>
          <w:rFonts w:ascii="宋体" w:hAnsi="宋体" w:cs="宋体" w:hint="eastAsia"/>
          <w:b/>
          <w:sz w:val="24"/>
          <w:highlight w:val="none"/>
          <w:lang w:val="en-US" w:eastAsia="zh-CN"/>
        </w:rPr>
        <w:t>3、供应商基本情况表</w:t>
      </w:r>
      <w:r>
        <w:rPr>
          <w:rFonts w:ascii="宋体" w:hAnsi="宋体" w:cs="宋体" w:hint="eastAsia"/>
          <w:b/>
          <w:bCs w:val="0"/>
          <w:color w:val="auto"/>
          <w:sz w:val="24"/>
          <w:szCs w:val="24"/>
          <w:highlight w:val="none"/>
          <w:lang w:val="en-US" w:eastAsia="zh-CN"/>
        </w:rPr>
        <w:t>附</w:t>
      </w:r>
      <w:r>
        <w:rPr>
          <w:rFonts w:ascii="宋体" w:hAnsi="宋体" w:cs="宋体" w:hint="eastAsia"/>
          <w:b/>
          <w:sz w:val="24"/>
          <w:highlight w:val="none"/>
          <w:lang w:val="en-US" w:eastAsia="zh-CN"/>
        </w:rPr>
        <w:t>表</w:t>
      </w:r>
    </w:p>
    <w:p>
      <w:pPr>
        <w:numPr>
          <w:ilvl w:val="0"/>
          <w:numId w:val="0"/>
        </w:numPr>
        <w:snapToGrid w:val="0"/>
        <w:spacing w:line="360" w:lineRule="auto"/>
        <w:rPr>
          <w:rFonts w:ascii="宋体" w:hAnsi="宋体" w:cs="宋体" w:hint="eastAsia"/>
          <w:bCs/>
          <w:color w:val="auto"/>
          <w:sz w:val="24"/>
          <w:szCs w:val="24"/>
          <w:highlight w:val="none"/>
          <w:lang w:val="en-US" w:eastAsia="zh-CN"/>
        </w:rPr>
      </w:pPr>
      <w:r>
        <w:rPr>
          <w:rFonts w:ascii="宋体" w:hAnsi="宋体" w:cs="宋体" w:hint="eastAsia"/>
          <w:bCs/>
          <w:color w:val="auto"/>
          <w:sz w:val="24"/>
          <w:szCs w:val="24"/>
          <w:highlight w:val="none"/>
          <w:lang w:val="en-US" w:eastAsia="zh-CN"/>
        </w:rPr>
        <w:t>（1）</w:t>
      </w:r>
      <w:r>
        <w:rPr>
          <w:rFonts w:ascii="宋体" w:hAnsi="宋体" w:cs="宋体" w:hint="eastAsia"/>
          <w:bCs/>
          <w:color w:val="auto"/>
          <w:sz w:val="24"/>
          <w:szCs w:val="24"/>
          <w:highlight w:val="none"/>
        </w:rPr>
        <w:t>法定代表人</w:t>
      </w:r>
      <w:r>
        <w:rPr>
          <w:rFonts w:ascii="宋体" w:hAnsi="宋体" w:cs="宋体" w:hint="eastAsia"/>
          <w:bCs/>
          <w:color w:val="auto"/>
          <w:sz w:val="24"/>
          <w:szCs w:val="24"/>
          <w:highlight w:val="none"/>
          <w:lang w:val="en-US" w:eastAsia="zh-CN"/>
        </w:rPr>
        <w:t>/单位负责人/主要经营负责人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2</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项目投标授权代表人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3</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4</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主要技术人员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5</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投标文件</w:t>
      </w:r>
      <w:r>
        <w:rPr>
          <w:rFonts w:ascii="宋体" w:hAnsi="宋体" w:cs="宋体" w:hint="eastAsia"/>
          <w:bCs/>
          <w:color w:val="auto"/>
          <w:sz w:val="24"/>
          <w:szCs w:val="24"/>
          <w:highlight w:val="none"/>
          <w:lang w:eastAsia="zh-CN"/>
        </w:rPr>
        <w:t>编制人员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b/>
          <w:sz w:val="24"/>
          <w:highlight w:val="none"/>
        </w:rPr>
        <w:sectPr>
          <w:pgSz w:w="11906" w:h="16838"/>
          <w:pgMar w:top="1134" w:right="1134" w:bottom="1134" w:left="1134" w:header="851" w:footer="992" w:gutter="0"/>
          <w:pgBorders>
            <w:top w:val="nil"/>
            <w:left w:val="nil"/>
            <w:bottom w:val="nil"/>
            <w:right w:val="nil"/>
          </w:pgBorders>
          <w:pgNumType w:fmt="decimal"/>
          <w:cols w:num="1" w:space="720"/>
          <w:docGrid w:type="lines" w:linePitch="312" w:charSpace="0"/>
        </w:sect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b/>
          <w:sz w:val="24"/>
          <w:highlight w:val="none"/>
        </w:rPr>
      </w:pPr>
      <w:r>
        <w:rPr>
          <w:rFonts w:ascii="宋体" w:hAnsi="宋体" w:cs="宋体" w:hint="eastAsia"/>
          <w:b/>
          <w:sz w:val="24"/>
          <w:highlight w:val="none"/>
          <w:lang w:val="en-US" w:eastAsia="zh-CN"/>
        </w:rPr>
        <w:t>4</w:t>
      </w:r>
      <w:r>
        <w:rPr>
          <w:rFonts w:ascii="宋体" w:hAnsi="宋体" w:cs="宋体" w:hint="eastAsia"/>
          <w:b/>
          <w:sz w:val="24"/>
          <w:highlight w:val="none"/>
        </w:rPr>
        <w:t>、政府采购活动信用记录自查承诺函</w:t>
      </w:r>
    </w:p>
    <w:p>
      <w:pPr>
        <w:ind w:left="405"/>
        <w:rPr>
          <w:rFonts w:ascii="宋体" w:hAnsi="宋体" w:cs="宋体"/>
          <w:sz w:val="24"/>
          <w:highlight w:val="none"/>
        </w:rPr>
      </w:pPr>
    </w:p>
    <w:p>
      <w:pPr>
        <w:adjustRightInd w:val="0"/>
        <w:snapToGrid w:val="0"/>
        <w:spacing w:line="360" w:lineRule="auto"/>
        <w:ind w:firstLine="420" w:firstLineChars="200"/>
        <w:rPr>
          <w:rFonts w:ascii="宋体" w:hAnsi="宋体" w:cs="宋体"/>
          <w:sz w:val="24"/>
          <w:highlight w:val="none"/>
        </w:rPr>
      </w:pPr>
    </w:p>
    <w:p>
      <w:pPr>
        <w:adjustRightInd w:val="0"/>
        <w:snapToGrid w:val="0"/>
        <w:spacing w:line="360" w:lineRule="auto"/>
        <w:rPr>
          <w:rFonts w:ascii="宋体" w:hAnsi="宋体" w:cs="宋体"/>
          <w:b/>
          <w:bCs/>
          <w:sz w:val="24"/>
          <w:highlight w:val="none"/>
        </w:rPr>
      </w:pPr>
      <w:r>
        <w:rPr>
          <w:rFonts w:ascii="宋体" w:hAnsi="宋体" w:cs="宋体" w:hint="eastAsia"/>
          <w:b/>
          <w:bCs/>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关于本企业信用情况，经对“信用中国”网站（www.creditchina.gov.cn）中企业信用信息、“中国政府采购网”（ www.ccgp.gov.cn）中“政府采购严重违法失信行为信息记录”、深圳市政府采购监督管理网（http://zfcg.sz.gov.cn/）“诚信档案”的网上查询，截至规定的投标截止时间，我司没有被列入失信被执行人、重大税收违法案件当事人名单（即税收违法黑名单）、政府采购严重违法失信行为记录名单及其他不符合规定条件的供应商名单中。特此承诺！</w:t>
      </w: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bCs/>
          <w:kern w:val="0"/>
          <w:sz w:val="28"/>
          <w:szCs w:val="28"/>
          <w:highlight w:val="none"/>
        </w:rPr>
      </w:pPr>
      <w:r>
        <w:rPr>
          <w:rFonts w:ascii="宋体" w:hAnsi="宋体" w:cs="宋体" w:hint="eastAsia"/>
          <w:b/>
          <w:sz w:val="24"/>
          <w:highlight w:val="none"/>
        </w:rPr>
        <w:br w:type="page"/>
      </w:r>
      <w:r>
        <w:rPr>
          <w:rFonts w:ascii="宋体" w:hAnsi="宋体" w:cs="宋体" w:hint="eastAsia"/>
          <w:b/>
          <w:sz w:val="24"/>
          <w:highlight w:val="none"/>
          <w:lang w:val="en-US" w:eastAsia="zh-CN"/>
        </w:rPr>
        <w:t>5</w:t>
      </w:r>
      <w:r>
        <w:rPr>
          <w:rFonts w:ascii="宋体" w:hAnsi="宋体" w:cs="宋体" w:hint="eastAsia"/>
          <w:b/>
          <w:sz w:val="24"/>
          <w:highlight w:val="none"/>
        </w:rPr>
        <w:t>、政府采购违法行为风险知悉确认书</w:t>
      </w:r>
    </w:p>
    <w:p>
      <w:pPr>
        <w:keepNext w:val="0"/>
        <w:keepLines w:val="0"/>
        <w:widowControl/>
        <w:suppressLineNumbers w:val="0"/>
        <w:jc w:val="center"/>
        <w:rPr>
          <w:rFonts w:ascii="宋体" w:eastAsia="宋体" w:hAnsi="宋体" w:cs="宋体" w:hint="eastAsia"/>
          <w:b/>
          <w:bCs/>
          <w:color w:val="auto"/>
          <w:kern w:val="0"/>
          <w:sz w:val="36"/>
          <w:szCs w:val="36"/>
          <w:highlight w:val="none"/>
          <w:lang w:val="en-US" w:eastAsia="zh-CN"/>
        </w:rPr>
      </w:pPr>
    </w:p>
    <w:p>
      <w:pPr>
        <w:keepNext w:val="0"/>
        <w:keepLines w:val="0"/>
        <w:widowControl/>
        <w:suppressLineNumbers w:val="0"/>
        <w:jc w:val="center"/>
        <w:rPr>
          <w:rFonts w:ascii="宋体" w:eastAsia="宋体" w:hAnsi="宋体" w:cs="宋体" w:hint="eastAsia"/>
          <w:b/>
          <w:bCs/>
          <w:color w:val="auto"/>
          <w:sz w:val="36"/>
          <w:szCs w:val="36"/>
          <w:highlight w:val="none"/>
        </w:rPr>
      </w:pPr>
      <w:r>
        <w:rPr>
          <w:rFonts w:ascii="宋体" w:eastAsia="宋体" w:hAnsi="宋体" w:cs="宋体" w:hint="eastAsia"/>
          <w:b/>
          <w:bCs/>
          <w:color w:val="auto"/>
          <w:kern w:val="0"/>
          <w:sz w:val="36"/>
          <w:szCs w:val="36"/>
          <w:highlight w:val="none"/>
          <w:lang w:val="en-US" w:eastAsia="zh-CN"/>
        </w:rPr>
        <w:t>政府采购违法行为风险知悉确认书</w:t>
      </w:r>
    </w:p>
    <w:p>
      <w:pPr>
        <w:spacing w:before="0" w:beforeLines="0" w:after="156" w:afterLines="50" w:line="360" w:lineRule="exact"/>
        <w:ind w:firstLine="420" w:firstLineChars="200"/>
        <w:rPr>
          <w:rFonts w:ascii="宋体" w:eastAsia="宋体" w:hAnsi="宋体" w:cs="宋体" w:hint="eastAsia"/>
          <w:b/>
          <w:bCs/>
          <w:color w:val="auto"/>
          <w:sz w:val="21"/>
          <w:szCs w:val="21"/>
          <w:highlight w:val="none"/>
          <w:lang w:val="en-US" w:eastAsia="zh-CN"/>
        </w:rPr>
      </w:pPr>
      <w:r>
        <w:rPr>
          <w:rFonts w:ascii="宋体" w:eastAsia="宋体" w:hAnsi="宋体" w:cs="宋体" w:hint="eastAsia"/>
          <w:b/>
          <w:bCs/>
          <w:color w:val="auto"/>
          <w:sz w:val="21"/>
          <w:szCs w:val="21"/>
          <w:highlight w:val="none"/>
          <w:lang w:eastAsia="zh-CN"/>
        </w:rPr>
        <w:t>我</w:t>
      </w:r>
      <w:r>
        <w:rPr>
          <w:rFonts w:ascii="宋体" w:eastAsia="宋体" w:hAnsi="宋体" w:cs="宋体" w:hint="eastAsia"/>
          <w:b/>
          <w:bCs/>
          <w:color w:val="auto"/>
          <w:sz w:val="21"/>
          <w:szCs w:val="21"/>
          <w:highlight w:val="none"/>
          <w:lang w:val="en-US" w:eastAsia="zh-CN"/>
        </w:rPr>
        <w:t>单位</w:t>
      </w:r>
      <w:r>
        <w:rPr>
          <w:rFonts w:ascii="宋体" w:eastAsia="宋体" w:hAnsi="宋体" w:cs="宋体" w:hint="eastAsia"/>
          <w:b/>
          <w:bCs/>
          <w:color w:val="auto"/>
          <w:sz w:val="21"/>
          <w:szCs w:val="21"/>
          <w:highlight w:val="none"/>
        </w:rPr>
        <w:t>在投标前已充分知悉以下情形为参与政府采购活动时的重大风险事项，并承诺已对下述风险提示事项重点排查，</w:t>
      </w:r>
      <w:r>
        <w:rPr>
          <w:rFonts w:ascii="宋体" w:eastAsia="宋体" w:hAnsi="宋体" w:cs="宋体" w:hint="eastAsia"/>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11"/>
        <w:gridCol w:w="8085"/>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51"/>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序号</w:t>
            </w:r>
          </w:p>
        </w:tc>
        <w:tc>
          <w:tcPr>
            <w:tcW w:w="808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1</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auto"/>
                <w:sz w:val="21"/>
                <w:szCs w:val="21"/>
                <w:highlight w:val="none"/>
                <w:lang w:val="en-US" w:eastAsia="zh-CN"/>
              </w:rPr>
              <w:t>同一人、属同一单位或者在同一单位缴纳社会保险</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2</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参与本项目政府采购活动时，与其他投标供应商存在单位负责人为</w:t>
            </w:r>
            <w:r>
              <w:rPr>
                <w:rFonts w:ascii="宋体" w:eastAsia="宋体" w:hAnsi="宋体" w:cs="宋体" w:hint="eastAsia"/>
                <w:b/>
                <w:bCs/>
                <w:color w:val="auto"/>
                <w:sz w:val="21"/>
                <w:szCs w:val="21"/>
                <w:highlight w:val="none"/>
                <w:lang w:val="en-US" w:eastAsia="zh-CN"/>
              </w:rPr>
              <w:t>同一人或直接控股、管理关系</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3</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与其他投标供应商的投标文件或部分投标文件</w:t>
            </w:r>
            <w:r>
              <w:rPr>
                <w:rFonts w:ascii="宋体" w:eastAsia="宋体" w:hAnsi="宋体" w:cs="宋体" w:hint="eastAsia"/>
                <w:b/>
                <w:bCs/>
                <w:color w:val="auto"/>
                <w:sz w:val="21"/>
                <w:szCs w:val="21"/>
                <w:highlight w:val="none"/>
                <w:lang w:val="en-US" w:eastAsia="zh-CN"/>
              </w:rPr>
              <w:t>相互混装或存在非正常一致</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4</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与其他投标供应商的投标文件由</w:t>
            </w:r>
            <w:r>
              <w:rPr>
                <w:rFonts w:ascii="宋体" w:eastAsia="宋体" w:hAnsi="宋体" w:cs="宋体" w:hint="eastAsia"/>
                <w:b/>
                <w:bCs/>
                <w:color w:val="auto"/>
                <w:sz w:val="21"/>
                <w:szCs w:val="21"/>
                <w:highlight w:val="none"/>
                <w:lang w:val="en-US" w:eastAsia="zh-CN"/>
              </w:rPr>
              <w:t>同一单位或者同一人编制</w:t>
            </w:r>
            <w:r>
              <w:rPr>
                <w:rFonts w:ascii="宋体" w:eastAsia="宋体" w:hAnsi="宋体" w:cs="宋体" w:hint="eastAsia"/>
                <w:color w:val="auto"/>
                <w:sz w:val="21"/>
                <w:szCs w:val="21"/>
                <w:highlight w:val="none"/>
                <w:lang w:val="en-US" w:eastAsia="zh-CN"/>
              </w:rPr>
              <w:t>，或者使用</w:t>
            </w:r>
            <w:r>
              <w:rPr>
                <w:rFonts w:ascii="宋体" w:eastAsia="宋体" w:hAnsi="宋体" w:cs="宋体" w:hint="eastAsia"/>
                <w:b/>
                <w:bCs/>
                <w:color w:val="auto"/>
                <w:sz w:val="21"/>
                <w:szCs w:val="21"/>
                <w:highlight w:val="none"/>
                <w:lang w:val="en-US" w:eastAsia="zh-CN"/>
              </w:rPr>
              <w:t>同一设备编制</w:t>
            </w:r>
            <w:r>
              <w:rPr>
                <w:rFonts w:ascii="宋体" w:eastAsia="宋体" w:hAnsi="宋体" w:cs="宋体" w:hint="eastAsia"/>
                <w:color w:val="auto"/>
                <w:sz w:val="21"/>
                <w:szCs w:val="21"/>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5</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提供</w:t>
            </w:r>
            <w:r>
              <w:rPr>
                <w:rFonts w:ascii="宋体" w:eastAsia="宋体" w:hAnsi="宋体" w:cs="宋体" w:hint="eastAsia"/>
                <w:b/>
                <w:bCs/>
                <w:color w:val="auto"/>
                <w:sz w:val="21"/>
                <w:szCs w:val="21"/>
                <w:highlight w:val="none"/>
                <w:lang w:val="en-US" w:eastAsia="zh-CN"/>
              </w:rPr>
              <w:t>未经出具机构核实</w:t>
            </w:r>
            <w:r>
              <w:rPr>
                <w:rFonts w:ascii="宋体" w:eastAsia="宋体" w:hAnsi="宋体" w:cs="宋体" w:hint="eastAsia"/>
                <w:color w:val="auto"/>
                <w:sz w:val="21"/>
                <w:szCs w:val="21"/>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6</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擅自将投标密钥或电子营业执照出借他人使用或未妥善保管。</w:t>
            </w:r>
          </w:p>
        </w:tc>
      </w:tr>
    </w:tbl>
    <w:p>
      <w:pPr>
        <w:spacing w:before="156" w:beforeLines="50" w:line="380" w:lineRule="exact"/>
        <w:ind w:firstLine="420" w:firstLineChars="200"/>
        <w:rPr>
          <w:rFonts w:ascii="宋体" w:eastAsia="宋体" w:hAnsi="宋体" w:cs="宋体" w:hint="eastAsia"/>
          <w:b/>
          <w:color w:val="auto"/>
          <w:szCs w:val="21"/>
          <w:highlight w:val="none"/>
        </w:rPr>
      </w:pPr>
      <w:r>
        <w:rPr>
          <w:rFonts w:ascii="宋体" w:eastAsia="宋体" w:hAnsi="宋体" w:cs="宋体" w:hint="eastAsia"/>
          <w:b/>
          <w:color w:val="auto"/>
          <w:szCs w:val="21"/>
          <w:highlight w:val="none"/>
        </w:rPr>
        <w:t>一、</w:t>
      </w:r>
      <w:r>
        <w:rPr>
          <w:rFonts w:ascii="宋体" w:eastAsia="宋体" w:hAnsi="宋体" w:cs="宋体" w:hint="eastAsia"/>
          <w:b/>
          <w:color w:val="auto"/>
          <w:szCs w:val="21"/>
          <w:highlight w:val="none"/>
          <w:lang w:eastAsia="zh-CN"/>
        </w:rPr>
        <w:t>我</w:t>
      </w:r>
      <w:r>
        <w:rPr>
          <w:rFonts w:ascii="宋体" w:eastAsia="宋体" w:hAnsi="宋体" w:cs="宋体" w:hint="eastAsia"/>
          <w:b/>
          <w:color w:val="auto"/>
          <w:szCs w:val="21"/>
          <w:highlight w:val="none"/>
          <w:lang w:val="en-US" w:eastAsia="zh-CN"/>
        </w:rPr>
        <w:t>单位</w:t>
      </w:r>
      <w:r>
        <w:rPr>
          <w:rFonts w:ascii="宋体" w:eastAsia="宋体" w:hAnsi="宋体" w:cs="宋体" w:hint="eastAsia"/>
          <w:b/>
          <w:color w:val="auto"/>
          <w:szCs w:val="21"/>
          <w:highlight w:val="none"/>
        </w:rPr>
        <w:t>已充分知悉“隐瞒真实情况，提供虚假资料”的法定情形，包括但不限于：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（一）通过转让或者租借等方式从其他单位获取资格或者资质证书投标的。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（二）由其他单位或者其他单位负责人在投标供应商编制的投标文件上加盖印章或者签字的。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（三）项目负责人或者主要技术人员不是本单位人员的。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（四）投标保证金不是从投标供应商基本账户转出的。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（五）其他隐瞒真实情况、提供虚假资料的行为。</w:t>
      </w:r>
    </w:p>
    <w:p>
      <w:pPr>
        <w:spacing w:beforeLines="0" w:line="38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二、</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已充分知悉“与其他采购参加人串通投标”的法定情形，包括但不限于：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（一）投标供应商之间相互约定给予未中标的供应商利益补偿。</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（三）不同投标供应商的投标文件由同一单位或者同一人编制，或者由同一人分阶段参与编制的。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（四）不同投标供应商的投标文件或部分投标文件相互混装。</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（五）不同投标供应商的投标文件内容存在非正常一致。</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（六）由同一单位工作人员为两家以上（含两家）供应商进行同一项投标活动的。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（七）不同投标人的投标报价呈规律性差异。</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（八）不同投标人的投标保证金从同一单位或者个人的账户转出。</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（九）主管部门依照法律、法规认定的其他情形。</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三、</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已充分知悉下列情形</w:t>
      </w:r>
      <w:r>
        <w:rPr>
          <w:rFonts w:ascii="宋体" w:eastAsia="宋体" w:hAnsi="宋体" w:cs="宋体" w:hint="eastAsia"/>
          <w:b/>
          <w:color w:val="auto"/>
          <w:highlight w:val="none"/>
          <w:lang w:eastAsia="zh-CN"/>
        </w:rPr>
        <w:t>存在</w:t>
      </w:r>
      <w:r>
        <w:rPr>
          <w:rFonts w:ascii="宋体" w:eastAsia="宋体" w:hAnsi="宋体" w:cs="宋体" w:hint="eastAsia"/>
          <w:b/>
          <w:color w:val="auto"/>
          <w:highlight w:val="none"/>
        </w:rPr>
        <w:t>法律风险，在投标前已对相关风险事项进行排查。</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color w:val="auto"/>
          <w:highlight w:val="none"/>
        </w:rPr>
        <w:t>（一）对于从其他主体获取的投标资料，</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应审慎核查，确保</w:t>
      </w:r>
      <w:r>
        <w:rPr>
          <w:rFonts w:ascii="宋体" w:eastAsia="宋体" w:hAnsi="宋体" w:cs="宋体" w:hint="eastAsia"/>
          <w:color w:val="auto"/>
          <w:highlight w:val="none"/>
          <w:lang w:eastAsia="zh-CN"/>
        </w:rPr>
        <w:t>其</w:t>
      </w:r>
      <w:r>
        <w:rPr>
          <w:rFonts w:ascii="宋体" w:eastAsia="宋体" w:hAnsi="宋体" w:cs="宋体" w:hint="eastAsia"/>
          <w:color w:val="auto"/>
          <w:highlight w:val="none"/>
        </w:rPr>
        <w:t>真实性。</w:t>
      </w:r>
      <w:r>
        <w:rPr>
          <w:rFonts w:ascii="宋体" w:eastAsia="宋体" w:hAnsi="宋体" w:cs="宋体"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ascii="宋体" w:eastAsia="宋体" w:hAnsi="宋体" w:cs="宋体" w:hint="eastAsia"/>
          <w:color w:val="auto"/>
          <w:highlight w:val="none"/>
          <w:lang w:eastAsia="zh-CN"/>
        </w:rPr>
        <w:t>处理</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w:t>
      </w:r>
      <w:r>
        <w:rPr>
          <w:rFonts w:ascii="宋体" w:eastAsia="宋体" w:hAnsi="宋体" w:cs="宋体" w:hint="eastAsia"/>
          <w:color w:val="auto"/>
          <w:highlight w:val="none"/>
          <w:lang w:eastAsia="zh-CN"/>
        </w:rPr>
        <w:t>三</w:t>
      </w:r>
      <w:r>
        <w:rPr>
          <w:rFonts w:ascii="宋体" w:eastAsia="宋体" w:hAnsi="宋体" w:cs="宋体" w:hint="eastAsia"/>
          <w:color w:val="auto"/>
          <w:highlight w:val="none"/>
        </w:rPr>
        <w:t>）</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对投标电子密钥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负有妥善保管、及时变更和续期等主体责任</w:t>
      </w:r>
      <w:r>
        <w:rPr>
          <w:rFonts w:ascii="宋体" w:eastAsia="宋体" w:hAnsi="宋体" w:cs="宋体" w:hint="eastAsia"/>
          <w:color w:val="auto"/>
          <w:highlight w:val="none"/>
          <w:lang w:eastAsia="zh-CN"/>
        </w:rPr>
        <w:t>；</w:t>
      </w:r>
      <w:r>
        <w:rPr>
          <w:rFonts w:ascii="宋体" w:eastAsia="宋体" w:hAnsi="宋体" w:cs="宋体" w:hint="eastAsia"/>
          <w:color w:val="auto"/>
          <w:highlight w:val="none"/>
        </w:rPr>
        <w:t>使用电子密钥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在深圳政府采购网站进行的活动，均具有法律效力，须承担相应的法律后果。</w:t>
      </w:r>
      <w:r>
        <w:rPr>
          <w:rFonts w:ascii="宋体" w:eastAsia="宋体" w:hAnsi="宋体" w:cs="宋体" w:hint="eastAsia"/>
          <w:color w:val="auto"/>
          <w:highlight w:val="none"/>
          <w:lang w:eastAsia="zh-CN"/>
        </w:rPr>
        <w:t>若</w:t>
      </w:r>
      <w:r>
        <w:rPr>
          <w:rFonts w:ascii="宋体" w:eastAsia="宋体" w:hAnsi="宋体" w:cs="宋体" w:hint="eastAsia"/>
          <w:b/>
          <w:bCs/>
          <w:color w:val="auto"/>
          <w:highlight w:val="none"/>
        </w:rPr>
        <w:t>擅自将投标密钥</w:t>
      </w:r>
      <w:r>
        <w:rPr>
          <w:rFonts w:ascii="宋体" w:eastAsia="宋体" w:hAnsi="宋体" w:cs="宋体" w:hint="eastAsia"/>
          <w:b/>
          <w:bCs/>
          <w:color w:val="auto"/>
          <w:highlight w:val="none"/>
          <w:lang w:eastAsia="zh-CN"/>
        </w:rPr>
        <w:t>或</w:t>
      </w:r>
      <w:r>
        <w:rPr>
          <w:rFonts w:ascii="宋体" w:eastAsia="宋体" w:hAnsi="宋体" w:cs="宋体" w:hint="eastAsia"/>
          <w:b/>
          <w:bCs/>
          <w:color w:val="auto"/>
          <w:highlight w:val="none"/>
          <w:lang w:val="en-US" w:eastAsia="zh-CN"/>
        </w:rPr>
        <w:t>电子营业执照</w:t>
      </w:r>
      <w:r>
        <w:rPr>
          <w:rFonts w:ascii="宋体" w:eastAsia="宋体" w:hAnsi="宋体" w:cs="宋体" w:hint="eastAsia"/>
          <w:b/>
          <w:bCs/>
          <w:color w:val="auto"/>
          <w:highlight w:val="none"/>
        </w:rPr>
        <w:t>出借他人使用所造成的法律后果，由</w:t>
      </w:r>
      <w:r>
        <w:rPr>
          <w:rFonts w:ascii="宋体" w:eastAsia="宋体" w:hAnsi="宋体" w:cs="宋体" w:hint="eastAsia"/>
          <w:b/>
          <w:bCs/>
          <w:color w:val="auto"/>
          <w:highlight w:val="none"/>
          <w:lang w:eastAsia="zh-CN"/>
        </w:rPr>
        <w:t>我</w:t>
      </w:r>
      <w:r>
        <w:rPr>
          <w:rFonts w:ascii="宋体" w:eastAsia="宋体" w:hAnsi="宋体" w:cs="宋体" w:hint="eastAsia"/>
          <w:b/>
          <w:bCs/>
          <w:color w:val="auto"/>
          <w:highlight w:val="none"/>
          <w:lang w:val="en-US" w:eastAsia="zh-CN"/>
        </w:rPr>
        <w:t>单位</w:t>
      </w:r>
      <w:r>
        <w:rPr>
          <w:rFonts w:ascii="宋体" w:eastAsia="宋体" w:hAnsi="宋体" w:cs="宋体" w:hint="eastAsia"/>
          <w:b/>
          <w:bCs/>
          <w:color w:val="auto"/>
          <w:highlight w:val="none"/>
        </w:rPr>
        <w:t>自行承担</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四、</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已充分知悉政府采购违法、违规行为的法律后果。</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经查实，若</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以下文字请投标供应商抄写并确认：“</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已仔细阅读《政府采购违法行为风险知悉确认书》，充分知悉违法行为的法律后果，并承诺将严谨、诚信、依法依规参与政府采购活动”。</w:t>
      </w:r>
    </w:p>
    <w:tbl>
      <w:tblPr>
        <w:tblStyle w:val="18"/>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
      <w:tblGrid>
        <w:gridCol w:w="8529"/>
      </w:tblGrid>
      <w:tr>
        <w:tblPrEx>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Ex>
        <w:trPr>
          <w:trHeight w:val="304"/>
          <w:jc w:val="center"/>
        </w:trPr>
        <w:tc>
          <w:tcPr>
            <w:tcW w:w="8529" w:type="dxa"/>
            <w:tcBorders>
              <w:top w:val="nil"/>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auto"/>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bl>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highlight w:val="none"/>
        </w:rPr>
      </w:pPr>
    </w:p>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lang w:eastAsia="zh-CN"/>
        </w:rPr>
        <w:t>单位</w:t>
      </w:r>
      <w:r>
        <w:rPr>
          <w:rFonts w:ascii="宋体" w:eastAsia="宋体" w:hAnsi="宋体" w:cs="宋体" w:hint="eastAsia"/>
          <w:color w:val="auto"/>
          <w:spacing w:val="-4"/>
          <w:kern w:val="0"/>
          <w:szCs w:val="21"/>
          <w:highlight w:val="none"/>
        </w:rPr>
        <w:t>负责人签名：</w:t>
      </w:r>
      <w:r>
        <w:rPr>
          <w:rFonts w:ascii="宋体" w:eastAsia="宋体" w:hAnsi="宋体" w:cs="宋体" w:hint="eastAsia"/>
          <w:color w:val="auto"/>
          <w:spacing w:val="-4"/>
          <w:kern w:val="0"/>
          <w:szCs w:val="21"/>
          <w:highlight w:val="none"/>
          <w:u w:val="single"/>
        </w:rPr>
        <w:t xml:space="preserve">              </w:t>
      </w:r>
    </w:p>
    <w:p>
      <w:pPr>
        <w:widowControl/>
        <w:wordWrap w:val="0"/>
        <w:autoSpaceDE w:val="0"/>
        <w:autoSpaceDN w:val="0"/>
        <w:spacing w:beforeLines="0" w:line="340" w:lineRule="exact"/>
        <w:ind w:right="808" w:firstLine="420" w:firstLineChars="200"/>
        <w:jc w:val="center"/>
        <w:rPr>
          <w:rFonts w:ascii="宋体" w:eastAsia="宋体" w:hAnsi="宋体" w:cs="宋体" w:hint="eastAsia"/>
          <w:color w:val="auto"/>
          <w:spacing w:val="-4"/>
          <w:kern w:val="0"/>
          <w:szCs w:val="21"/>
          <w:highlight w:val="none"/>
          <w:lang w:eastAsia="zh-CN"/>
        </w:rPr>
      </w:pPr>
      <w:r>
        <w:rPr>
          <w:rFonts w:ascii="宋体" w:eastAsia="宋体" w:hAnsi="宋体" w:cs="宋体" w:hint="eastAsia"/>
          <w:color w:val="auto"/>
          <w:spacing w:val="-4"/>
          <w:kern w:val="0"/>
          <w:szCs w:val="21"/>
          <w:highlight w:val="none"/>
          <w:lang w:val="en-US" w:eastAsia="zh-CN"/>
        </w:rPr>
        <w:t xml:space="preserve">                                 </w:t>
      </w:r>
      <w:r>
        <w:rPr>
          <w:rFonts w:ascii="宋体" w:eastAsia="宋体" w:hAnsi="宋体" w:cs="宋体" w:hint="eastAsia"/>
          <w:color w:val="auto"/>
          <w:spacing w:val="-4"/>
          <w:kern w:val="0"/>
          <w:szCs w:val="21"/>
          <w:highlight w:val="none"/>
          <w:lang w:eastAsia="zh-CN"/>
        </w:rPr>
        <w:t>（加盖</w:t>
      </w:r>
      <w:r>
        <w:rPr>
          <w:rFonts w:ascii="宋体" w:eastAsia="宋体" w:hAnsi="宋体" w:cs="宋体" w:hint="eastAsia"/>
          <w:color w:val="auto"/>
          <w:spacing w:val="-4"/>
          <w:kern w:val="0"/>
          <w:szCs w:val="21"/>
          <w:highlight w:val="none"/>
        </w:rPr>
        <w:t>公章</w:t>
      </w:r>
      <w:r>
        <w:rPr>
          <w:rFonts w:ascii="宋体" w:eastAsia="宋体" w:hAnsi="宋体" w:cs="宋体" w:hint="eastAsia"/>
          <w:color w:val="auto"/>
          <w:spacing w:val="-4"/>
          <w:kern w:val="0"/>
          <w:szCs w:val="21"/>
          <w:highlight w:val="none"/>
          <w:lang w:eastAsia="zh-CN"/>
        </w:rPr>
        <w:t>）</w:t>
      </w:r>
    </w:p>
    <w:p>
      <w:pPr>
        <w:pStyle w:val="Default"/>
        <w:ind w:firstLine="6090" w:firstLineChars="2900"/>
        <w:rPr>
          <w:rFonts w:eastAsia="宋体" w:hint="default"/>
          <w:sz w:val="21"/>
          <w:szCs w:val="21"/>
          <w:highlight w:val="none"/>
          <w:lang w:val="en-US" w:eastAsia="zh-CN"/>
        </w:rPr>
      </w:pPr>
      <w:r>
        <w:rPr>
          <w:rFonts w:ascii="宋体" w:eastAsia="宋体" w:hAnsi="宋体" w:cs="宋体" w:hint="eastAsia"/>
          <w:color w:val="auto"/>
          <w:spacing w:val="-4"/>
          <w:kern w:val="0"/>
          <w:sz w:val="21"/>
          <w:szCs w:val="21"/>
          <w:highlight w:val="none"/>
        </w:rPr>
        <w:t>日期：</w:t>
      </w:r>
      <w:r>
        <w:rPr>
          <w:rFonts w:ascii="宋体" w:eastAsia="宋体" w:hAnsi="宋体" w:cs="宋体" w:hint="eastAsia"/>
          <w:color w:val="auto"/>
          <w:spacing w:val="-4"/>
          <w:kern w:val="0"/>
          <w:sz w:val="21"/>
          <w:szCs w:val="21"/>
          <w:highlight w:val="none"/>
          <w:u w:val="single"/>
        </w:rPr>
        <w:t xml:space="preserve">              </w:t>
      </w:r>
      <w:r>
        <w:rPr>
          <w:rFonts w:ascii="宋体" w:eastAsia="宋体" w:hAnsi="宋体" w:cs="宋体" w:hint="eastAsia"/>
          <w:color w:val="auto"/>
          <w:spacing w:val="-4"/>
          <w:kern w:val="0"/>
          <w:sz w:val="21"/>
          <w:szCs w:val="21"/>
          <w:highlight w:val="none"/>
          <w:u w:val="single"/>
          <w:lang w:val="en-US" w:eastAsia="zh-CN"/>
        </w:rPr>
        <w:t xml:space="preserve">  </w:t>
      </w:r>
    </w:p>
    <w:p>
      <w:pPr>
        <w:keepNext w:val="0"/>
        <w:keepLines w:val="0"/>
        <w:pageBreakBefore w:val="0"/>
        <w:widowControl/>
        <w:kinsoku/>
        <w:wordWrap w:val="0"/>
        <w:overflowPunct/>
        <w:topLinePunct w:val="0"/>
        <w:autoSpaceDE w:val="0"/>
        <w:autoSpaceDN w:val="0"/>
        <w:bidi w:val="0"/>
        <w:adjustRightInd/>
        <w:snapToGrid/>
        <w:spacing w:before="0" w:beforeLines="0" w:line="240" w:lineRule="auto"/>
        <w:ind w:left="0" w:right="0" w:firstLine="0" w:leftChars="0" w:firstLineChars="0"/>
        <w:jc w:val="right"/>
        <w:textAlignment w:val="auto"/>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rPr>
        <w:t xml:space="preserve">   </w:t>
      </w:r>
    </w:p>
    <w:p>
      <w:pPr>
        <w:pStyle w:val="Default"/>
        <w:rPr>
          <w:rFonts w:ascii="宋体" w:eastAsia="宋体" w:hAnsi="宋体" w:cs="宋体" w:hint="eastAsia"/>
          <w:b/>
          <w:bCs/>
          <w:color w:val="FF0000"/>
          <w:spacing w:val="-4"/>
          <w:kern w:val="0"/>
          <w:szCs w:val="21"/>
          <w:highlight w:val="none"/>
        </w:rPr>
      </w:pPr>
    </w:p>
    <w:p>
      <w:pPr>
        <w:pStyle w:val="Default"/>
        <w:rPr>
          <w:rFonts w:hint="eastAsia"/>
          <w:highlight w:val="none"/>
        </w:rPr>
      </w:pPr>
      <w:r>
        <w:rPr>
          <w:rFonts w:ascii="宋体" w:eastAsia="宋体" w:hAnsi="宋体" w:cs="宋体" w:hint="eastAsia"/>
          <w:b/>
          <w:bCs/>
          <w:color w:val="FF0000"/>
          <w:spacing w:val="-4"/>
          <w:kern w:val="0"/>
          <w:szCs w:val="21"/>
          <w:highlight w:val="none"/>
        </w:rPr>
        <w:t>注：</w:t>
      </w:r>
      <w:r>
        <w:rPr>
          <w:rFonts w:ascii="宋体" w:eastAsia="宋体" w:hAnsi="宋体" w:cs="宋体" w:hint="eastAsia"/>
          <w:b/>
          <w:bCs/>
          <w:color w:val="FF0000"/>
          <w:spacing w:val="-4"/>
          <w:kern w:val="0"/>
          <w:szCs w:val="21"/>
          <w:highlight w:val="none"/>
          <w:lang w:eastAsia="zh-CN"/>
        </w:rPr>
        <w:t>《</w:t>
      </w:r>
      <w:r>
        <w:rPr>
          <w:rFonts w:ascii="宋体" w:eastAsia="宋体" w:hAnsi="宋体" w:cs="宋体" w:hint="eastAsia"/>
          <w:b/>
          <w:bCs/>
          <w:color w:val="FF0000"/>
          <w:spacing w:val="-4"/>
          <w:kern w:val="0"/>
          <w:szCs w:val="21"/>
          <w:highlight w:val="none"/>
          <w:lang w:val="en-US" w:eastAsia="zh-CN"/>
        </w:rPr>
        <w:t>政府采购违法行为风险知悉确认书</w:t>
      </w:r>
      <w:r>
        <w:rPr>
          <w:rFonts w:ascii="宋体" w:eastAsia="宋体" w:hAnsi="宋体" w:cs="宋体" w:hint="eastAsia"/>
          <w:b/>
          <w:bCs/>
          <w:color w:val="FF0000"/>
          <w:spacing w:val="-4"/>
          <w:kern w:val="0"/>
          <w:szCs w:val="21"/>
          <w:highlight w:val="none"/>
          <w:lang w:eastAsia="zh-CN"/>
        </w:rPr>
        <w:t>》需由</w:t>
      </w:r>
      <w:r>
        <w:rPr>
          <w:rFonts w:ascii="宋体" w:eastAsia="宋体" w:hAnsi="宋体" w:cs="宋体" w:hint="eastAsia"/>
          <w:b/>
          <w:bCs/>
          <w:color w:val="FF0000"/>
          <w:spacing w:val="-4"/>
          <w:kern w:val="0"/>
          <w:szCs w:val="21"/>
          <w:highlight w:val="none"/>
        </w:rPr>
        <w:t>投标供应商负责人签字并加盖单位公章后，扫描上传至投标文件一并提交。</w:t>
      </w:r>
    </w:p>
    <w:p>
      <w:pPr>
        <w:widowControl/>
        <w:wordWrap w:val="0"/>
        <w:autoSpaceDE w:val="0"/>
        <w:autoSpaceDN w:val="0"/>
        <w:adjustRightInd/>
        <w:spacing w:beforeLines="0" w:line="340" w:lineRule="exact"/>
        <w:ind w:right="808" w:firstLine="420" w:firstLineChars="200"/>
        <w:jc w:val="right"/>
        <w:textAlignment w:val="auto"/>
        <w:rPr>
          <w:rFonts w:ascii="宋体" w:hAnsi="宋体" w:cs="宋体"/>
          <w:bCs/>
          <w:kern w:val="0"/>
          <w:sz w:val="24"/>
          <w:szCs w:val="20"/>
          <w:highlight w:val="none"/>
        </w:rPr>
      </w:pPr>
      <w:r>
        <w:rPr>
          <w:rFonts w:ascii="宋体" w:hAnsi="宋体" w:cs="宋体" w:hint="eastAsia"/>
          <w:b/>
          <w:sz w:val="24"/>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6</w:t>
      </w:r>
      <w:r>
        <w:rPr>
          <w:rFonts w:ascii="宋体" w:hAnsi="宋体" w:cs="宋体" w:hint="eastAsia"/>
          <w:b/>
          <w:sz w:val="24"/>
          <w:highlight w:val="none"/>
        </w:rPr>
        <w:t>、政策适用性说明表</w:t>
      </w:r>
    </w:p>
    <w:tbl>
      <w:tblPr>
        <w:tblStyle w:val="TableNormal"/>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765"/>
        <w:gridCol w:w="2743"/>
        <w:gridCol w:w="1411"/>
        <w:gridCol w:w="1047"/>
        <w:gridCol w:w="1038"/>
        <w:gridCol w:w="1316"/>
        <w:gridCol w:w="1611"/>
      </w:tblGrid>
      <w:tr>
        <w:tblPrEx>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8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类别</w:t>
            </w:r>
          </w:p>
        </w:tc>
        <w:tc>
          <w:tcPr>
            <w:tcW w:w="2743"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主要产品/技术名称</w:t>
            </w:r>
          </w:p>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（规格型号、注册商标）</w:t>
            </w: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制造商 （开发商）</w:t>
            </w: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制造商</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企业</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类型</w:t>
            </w: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认证证书编号</w:t>
            </w:r>
          </w:p>
        </w:tc>
        <w:tc>
          <w:tcPr>
            <w:tcW w:w="1316" w:type="dxa"/>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清单/目录</w:t>
            </w:r>
          </w:p>
        </w:tc>
        <w:tc>
          <w:tcPr>
            <w:tcW w:w="1611"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该产品报价在总报价中占比（%）</w:t>
            </w: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节能产品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58"/>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24"/>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环境保护</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标志产品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深圳市循环经济目录产品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备注</w:t>
            </w:r>
          </w:p>
        </w:tc>
        <w:tc>
          <w:tcPr>
            <w:tcW w:w="9166" w:type="dxa"/>
            <w:gridSpan w:val="6"/>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bl>
    <w:p>
      <w:pPr>
        <w:autoSpaceDE w:val="0"/>
        <w:autoSpaceDN w:val="0"/>
        <w:adjustRightInd w:val="0"/>
        <w:spacing w:line="240" w:lineRule="atLeast"/>
        <w:rPr>
          <w:rFonts w:ascii="宋体" w:hAnsi="宋体" w:cs="宋体"/>
          <w:sz w:val="24"/>
          <w:highlight w:val="none"/>
        </w:rPr>
      </w:pPr>
      <w:r>
        <w:rPr>
          <w:rFonts w:ascii="宋体" w:hAnsi="宋体" w:cs="宋体" w:hint="eastAsia"/>
          <w:sz w:val="24"/>
          <w:highlight w:val="none"/>
        </w:rPr>
        <w:t>注： 1、制造商为小型或微型企业时才需要填“制造商企业类型”栏，填写内容为“小型”或“微型”；</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2、“节能产品、环保标志产品”是属于国家行业主管部门颁布的清单目录中的产品，应提供国家确定的认证机构出具的处于有效期之内的节能产品、环境标志产品认证证书，并填写证书号（如为复印件，加盖投标供应商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3、属于最新一期《深圳市政府采购循环经济产品（服务）目录》中的产品，提供投标产品所在目录页并加盖投标人公章。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4、进入以上清单范围的投标产品将在评标时获得竞争优势。</w:t>
      </w:r>
    </w:p>
    <w:p>
      <w:pPr>
        <w:spacing w:line="240" w:lineRule="atLeast"/>
        <w:ind w:firstLine="412" w:firstLineChars="196"/>
        <w:rPr>
          <w:rFonts w:ascii="宋体" w:hAnsi="宋体" w:cs="宋体"/>
          <w:b/>
          <w:bCs/>
          <w:sz w:val="24"/>
          <w:highlight w:val="none"/>
        </w:rPr>
      </w:pPr>
      <w:r>
        <w:rPr>
          <w:rFonts w:ascii="宋体" w:hAnsi="宋体" w:cs="宋体" w:hint="eastAsia"/>
          <w:sz w:val="24"/>
          <w:highlight w:val="none"/>
        </w:rPr>
        <w:t>5、最终报价中“该产品报价占总报价比重”视作不变。</w:t>
      </w: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jc w:val="left"/>
        <w:rPr>
          <w:rFonts w:ascii="宋体" w:hAnsi="宋体" w:cs="宋体"/>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jc w:val="left"/>
        <w:rPr>
          <w:rFonts w:ascii="宋体" w:hAnsi="宋体" w:cs="宋体"/>
          <w:bCs/>
          <w:sz w:val="24"/>
          <w:highlight w:val="none"/>
        </w:rPr>
      </w:pPr>
      <w:r>
        <w:rPr>
          <w:rFonts w:ascii="宋体" w:hAnsi="宋体" w:cs="宋体" w:hint="eastAsia"/>
          <w:bCs/>
          <w:sz w:val="24"/>
          <w:highlight w:val="none"/>
        </w:rPr>
        <w:t>备注：节能产品、环保标志产品相关信息可通过已与认证结果信息发布平台建立链接的网站（如中国政府采购网等）查询、了解</w:t>
      </w:r>
    </w:p>
    <w:p>
      <w:pPr>
        <w:rPr>
          <w:rFonts w:ascii="宋体" w:hAnsi="宋体" w:cs="宋体"/>
          <w:b/>
          <w:sz w:val="32"/>
          <w:szCs w:val="32"/>
          <w:highlight w:val="none"/>
        </w:rPr>
      </w:pPr>
      <w:r>
        <w:rPr>
          <w:rFonts w:ascii="宋体" w:hAnsi="宋体" w:cs="宋体" w:hint="eastAsia"/>
          <w:b/>
          <w:sz w:val="32"/>
          <w:szCs w:val="32"/>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7</w:t>
      </w:r>
      <w:r>
        <w:rPr>
          <w:rFonts w:ascii="宋体" w:hAnsi="宋体" w:cs="宋体" w:hint="eastAsia"/>
          <w:b/>
          <w:sz w:val="24"/>
          <w:highlight w:val="none"/>
        </w:rPr>
        <w:t>、中标服务费承诺书（格式）</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本</w:t>
      </w:r>
      <w:r>
        <w:rPr>
          <w:rFonts w:ascii="宋体" w:hAnsi="宋体" w:cs="宋体" w:hint="eastAsia"/>
          <w:sz w:val="24"/>
          <w:highlight w:val="none"/>
          <w:u w:val="single"/>
        </w:rPr>
        <w:t xml:space="preserve">   （投标人名称）   </w:t>
      </w:r>
      <w:r>
        <w:rPr>
          <w:rFonts w:ascii="宋体" w:hAnsi="宋体" w:cs="宋体" w:hint="eastAsia"/>
          <w:sz w:val="24"/>
          <w:highlight w:val="none"/>
        </w:rPr>
        <w:t>公司在参加在贵司进行的</w:t>
      </w:r>
      <w:r>
        <w:rPr>
          <w:rFonts w:ascii="宋体" w:hAnsi="宋体" w:cs="宋体" w:hint="eastAsia"/>
          <w:sz w:val="24"/>
          <w:highlight w:val="none"/>
          <w:u w:val="single"/>
        </w:rPr>
        <w:t xml:space="preserve">        （项目名称）                 （</w:t>
      </w:r>
      <w:r>
        <w:rPr>
          <w:rFonts w:ascii="宋体" w:hAnsi="宋体" w:cs="宋体" w:hint="eastAsia"/>
          <w:sz w:val="24"/>
          <w:highlight w:val="none"/>
        </w:rPr>
        <w:t>项目编号：</w:t>
      </w:r>
      <w:r>
        <w:rPr>
          <w:rFonts w:ascii="宋体" w:hAnsi="宋体" w:cs="宋体" w:hint="eastAsia"/>
          <w:sz w:val="24"/>
          <w:highlight w:val="none"/>
          <w:u w:val="single"/>
        </w:rPr>
        <w:t xml:space="preserve">                       ）</w:t>
      </w:r>
      <w:r>
        <w:rPr>
          <w:rFonts w:ascii="宋体" w:hAnsi="宋体" w:cs="宋体" w:hint="eastAsia"/>
          <w:sz w:val="24"/>
          <w:highlight w:val="none"/>
        </w:rPr>
        <w:t>招标中如获中标，我司保证在领取“中标通知书”前，按本项目投标人须知相关规定向贵司缴纳 “中标服务费”。</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如我方违约，愿凭贵方开出的违约通知，按上述承付金额的200%由采购人在支付我司的合同款中代为扣付。</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特此承诺。</w:t>
      </w:r>
    </w:p>
    <w:p>
      <w:pPr>
        <w:rPr>
          <w:rFonts w:ascii="宋体" w:hAnsi="宋体" w:cs="宋体"/>
          <w:sz w:val="24"/>
          <w:highlight w:val="none"/>
        </w:rPr>
      </w:pPr>
      <w:r>
        <w:rPr>
          <w:rFonts w:ascii="宋体" w:hAnsi="宋体" w:cs="宋体" w:hint="eastAsia"/>
          <w:sz w:val="24"/>
          <w:highlight w:val="none"/>
        </w:rPr>
        <w:t>另关于我司缴纳中标服务费后开具中标服务费发票的事宜，我司声明如下：</w:t>
      </w:r>
    </w:p>
    <w:p>
      <w:pPr>
        <w:rPr>
          <w:rFonts w:ascii="宋体" w:hAnsi="宋体" w:cs="宋体"/>
          <w:sz w:val="24"/>
          <w:highlight w:val="none"/>
        </w:rPr>
      </w:pPr>
      <w:r>
        <w:rPr>
          <w:rFonts w:ascii="宋体" w:hAnsi="宋体" w:cs="宋体" w:hint="eastAsia"/>
          <w:b/>
          <w:sz w:val="24"/>
          <w:highlight w:val="none"/>
        </w:rPr>
        <w:t>A：</w:t>
      </w:r>
      <w:r>
        <w:rPr>
          <w:rFonts w:ascii="宋体" w:hAnsi="宋体" w:cs="宋体" w:hint="eastAsia"/>
          <w:sz w:val="24"/>
          <w:highlight w:val="none"/>
        </w:rPr>
        <w:t>如需开具</w:t>
      </w:r>
      <w:r>
        <w:rPr>
          <w:rFonts w:ascii="宋体" w:hAnsi="宋体" w:cs="宋体" w:hint="eastAsia"/>
          <w:b/>
          <w:sz w:val="24"/>
          <w:highlight w:val="none"/>
          <w:u w:val="single"/>
        </w:rPr>
        <w:t>增值税普通发票</w:t>
      </w:r>
      <w:r>
        <w:rPr>
          <w:rFonts w:ascii="宋体" w:hAnsi="宋体" w:cs="宋体" w:hint="eastAsia"/>
          <w:sz w:val="24"/>
          <w:highlight w:val="none"/>
        </w:rPr>
        <w:t>，请于下方（ ）打“√”</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增值税普通发票</w:t>
      </w:r>
      <w:r>
        <w:rPr>
          <w:rFonts w:ascii="宋体" w:hAnsi="宋体" w:cs="宋体" w:hint="eastAsia"/>
          <w:b/>
          <w:sz w:val="24"/>
          <w:highlight w:val="none"/>
        </w:rPr>
        <w:t>”</w:t>
      </w:r>
      <w:r>
        <w:rPr>
          <w:rFonts w:ascii="宋体" w:hAnsi="宋体" w:cs="宋体" w:hint="eastAsia"/>
          <w:sz w:val="24"/>
          <w:highlight w:val="none"/>
        </w:rPr>
        <w:t>，开票信息如下：</w:t>
      </w:r>
    </w:p>
    <w:p>
      <w:pPr>
        <w:rPr>
          <w:rFonts w:ascii="宋体" w:hAnsi="宋体" w:cs="宋体"/>
          <w:sz w:val="24"/>
          <w:highlight w:val="none"/>
        </w:rPr>
      </w:pPr>
      <w:r>
        <w:rPr>
          <w:rFonts w:ascii="宋体" w:hAnsi="宋体" w:cs="宋体" w:hint="eastAsia"/>
          <w:bCs/>
          <w:sz w:val="24"/>
          <w:highlight w:val="none"/>
        </w:rPr>
        <w:t>1、</w:t>
      </w:r>
      <w:r>
        <w:rPr>
          <w:rFonts w:ascii="宋体" w:hAnsi="宋体" w:cs="宋体" w:hint="eastAsia"/>
          <w:sz w:val="24"/>
          <w:highlight w:val="none"/>
        </w:rPr>
        <w:t>我司工商注册名称为：</w:t>
      </w:r>
      <w:r>
        <w:rPr>
          <w:rFonts w:ascii="宋体" w:hAnsi="宋体" w:cs="宋体" w:hint="eastAsia"/>
          <w:sz w:val="24"/>
          <w:highlight w:val="none"/>
          <w:u w:val="single"/>
        </w:rPr>
        <w:t xml:space="preserve">                   </w:t>
      </w:r>
      <w:r>
        <w:rPr>
          <w:rFonts w:ascii="宋体" w:hAnsi="宋体" w:cs="宋体" w:hint="eastAsia"/>
          <w:sz w:val="24"/>
          <w:highlight w:val="none"/>
        </w:rPr>
        <w:t>；</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b/>
          <w:sz w:val="24"/>
          <w:highlight w:val="none"/>
        </w:rPr>
        <w:t>B：</w:t>
      </w:r>
      <w:r>
        <w:rPr>
          <w:rFonts w:ascii="宋体" w:hAnsi="宋体" w:cs="宋体" w:hint="eastAsia"/>
          <w:sz w:val="24"/>
          <w:highlight w:val="none"/>
        </w:rPr>
        <w:t>如需开具增值税专用发票，请于下方（ ）打“√”，并提供相关资料</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增值税专用发票</w:t>
      </w:r>
      <w:r>
        <w:rPr>
          <w:rFonts w:ascii="宋体" w:hAnsi="宋体" w:cs="宋体" w:hint="eastAsia"/>
          <w:b/>
          <w:sz w:val="24"/>
          <w:highlight w:val="none"/>
        </w:rPr>
        <w:t>”</w:t>
      </w:r>
      <w:r>
        <w:rPr>
          <w:rFonts w:ascii="宋体" w:hAnsi="宋体" w:cs="宋体" w:hint="eastAsia"/>
          <w:sz w:val="24"/>
          <w:highlight w:val="none"/>
        </w:rPr>
        <w:t>，开票信息为：</w:t>
      </w:r>
    </w:p>
    <w:p>
      <w:pPr>
        <w:rPr>
          <w:rFonts w:ascii="宋体" w:hAnsi="宋体" w:cs="宋体"/>
          <w:sz w:val="24"/>
          <w:highlight w:val="none"/>
        </w:rPr>
      </w:pPr>
      <w:r>
        <w:rPr>
          <w:rFonts w:ascii="宋体" w:hAnsi="宋体" w:cs="宋体" w:hint="eastAsia"/>
          <w:sz w:val="24"/>
          <w:highlight w:val="none"/>
        </w:rPr>
        <w:t>1、我司工商注册名称：</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3、注册地址：</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4、办公电话（固话）：</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5、开户银行及账号：</w:t>
      </w:r>
      <w:r>
        <w:rPr>
          <w:rFonts w:ascii="宋体" w:hAnsi="宋体" w:cs="宋体" w:hint="eastAsia"/>
          <w:sz w:val="24"/>
          <w:highlight w:val="none"/>
          <w:u w:val="single"/>
        </w:rPr>
        <w:t xml:space="preserve">    （请填写）              </w:t>
      </w:r>
    </w:p>
    <w:p>
      <w:pPr>
        <w:rPr>
          <w:rFonts w:ascii="宋体" w:hAnsi="宋体" w:cs="宋体"/>
          <w:sz w:val="24"/>
          <w:highlight w:val="none"/>
          <w:u w:val="single"/>
        </w:rPr>
      </w:pPr>
      <w:r>
        <w:rPr>
          <w:rFonts w:ascii="宋体" w:hAnsi="宋体" w:cs="宋体" w:hint="eastAsia"/>
          <w:sz w:val="24"/>
          <w:highlight w:val="none"/>
        </w:rPr>
        <w:t>6、一般纳税人资格证书/或加盖了税务局“增值税一般纳税人”条章的国税登记证扫描件/或在所属国税局网站的查询结果截图</w:t>
      </w:r>
      <w:r>
        <w:rPr>
          <w:rFonts w:ascii="宋体" w:hAnsi="宋体" w:cs="宋体" w:hint="eastAsia"/>
          <w:sz w:val="24"/>
          <w:highlight w:val="none"/>
          <w:u w:val="single"/>
        </w:rPr>
        <w:t>（截图后附）</w:t>
      </w:r>
    </w:p>
    <w:p>
      <w:pPr>
        <w:rPr>
          <w:rFonts w:ascii="宋体" w:hAnsi="宋体" w:cs="宋体"/>
          <w:sz w:val="24"/>
          <w:highlight w:val="none"/>
        </w:rPr>
      </w:pPr>
      <w:r>
        <w:rPr>
          <w:rFonts w:ascii="宋体" w:hAnsi="宋体" w:cs="宋体" w:hint="eastAsia"/>
          <w:sz w:val="24"/>
          <w:highlight w:val="none"/>
        </w:rPr>
        <w:t>中标单位联系人：</w:t>
      </w:r>
      <w:r>
        <w:rPr>
          <w:rFonts w:ascii="宋体" w:hAnsi="宋体" w:cs="宋体" w:hint="eastAsia"/>
          <w:sz w:val="24"/>
          <w:highlight w:val="none"/>
          <w:u w:val="single"/>
        </w:rPr>
        <w:t xml:space="preserve">          </w:t>
      </w:r>
      <w:r>
        <w:rPr>
          <w:rFonts w:ascii="宋体" w:hAnsi="宋体" w:cs="宋体" w:hint="eastAsia"/>
          <w:sz w:val="24"/>
          <w:highlight w:val="none"/>
        </w:rPr>
        <w:t>， 手机</w:t>
      </w:r>
      <w:r>
        <w:rPr>
          <w:rFonts w:ascii="宋体" w:hAnsi="宋体" w:cs="宋体" w:hint="eastAsia"/>
          <w:sz w:val="24"/>
          <w:highlight w:val="none"/>
          <w:u w:val="single"/>
        </w:rPr>
        <w:t>号：            ;</w:t>
      </w:r>
      <w:r>
        <w:rPr>
          <w:rFonts w:ascii="宋体" w:hAnsi="宋体" w:cs="宋体" w:hint="eastAsia"/>
          <w:sz w:val="24"/>
          <w:highlight w:val="none"/>
        </w:rPr>
        <w:t xml:space="preserve"> 邮箱</w:t>
      </w:r>
      <w:r>
        <w:rPr>
          <w:rFonts w:ascii="宋体" w:hAnsi="宋体" w:cs="宋体" w:hint="eastAsia"/>
          <w:sz w:val="24"/>
          <w:highlight w:val="none"/>
          <w:u w:val="single"/>
        </w:rPr>
        <w:t>：            ;</w:t>
      </w:r>
    </w:p>
    <w:p>
      <w:pPr>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r>
        <w:rPr>
          <w:rFonts w:ascii="宋体" w:hAnsi="宋体" w:cs="宋体" w:hint="eastAsia"/>
          <w:sz w:val="24"/>
          <w:highlight w:val="none"/>
        </w:rPr>
        <w:t>电话：</w:t>
      </w:r>
      <w:r>
        <w:rPr>
          <w:rFonts w:ascii="宋体" w:hAnsi="宋体" w:cs="宋体" w:hint="eastAsia"/>
          <w:sz w:val="24"/>
          <w:highlight w:val="none"/>
          <w:u w:val="single"/>
        </w:rPr>
        <w:t xml:space="preserve">          </w:t>
      </w:r>
      <w:r>
        <w:rPr>
          <w:rFonts w:ascii="宋体" w:hAnsi="宋体" w:cs="宋体" w:hint="eastAsia"/>
          <w:sz w:val="24"/>
          <w:highlight w:val="none"/>
        </w:rPr>
        <w:t>传真：</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特此声明。</w:t>
      </w:r>
    </w:p>
    <w:p>
      <w:pPr>
        <w:jc w:val="left"/>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b/>
          <w:sz w:val="24"/>
          <w:highlight w:val="none"/>
        </w:rPr>
      </w:pPr>
      <w:r>
        <w:rPr>
          <w:rFonts w:ascii="宋体" w:hAnsi="宋体" w:cs="宋体" w:hint="eastAsia"/>
          <w:b/>
          <w:sz w:val="32"/>
          <w:szCs w:val="32"/>
          <w:highlight w:val="none"/>
        </w:rPr>
        <w:t>（二）法定代表人/负责人证明书及授权委托书</w:t>
      </w:r>
    </w:p>
    <w:p>
      <w:pPr>
        <w:spacing w:line="480" w:lineRule="exact"/>
        <w:jc w:val="center"/>
        <w:rPr>
          <w:rFonts w:ascii="宋体" w:hAnsi="宋体" w:cs="宋体"/>
          <w:b/>
          <w:sz w:val="28"/>
          <w:szCs w:val="28"/>
          <w:highlight w:val="none"/>
        </w:rPr>
      </w:pPr>
    </w:p>
    <w:p>
      <w:pPr>
        <w:spacing w:line="480" w:lineRule="exact"/>
        <w:jc w:val="center"/>
        <w:rPr>
          <w:rFonts w:ascii="宋体" w:hAnsi="宋体" w:cs="宋体"/>
          <w:b/>
          <w:sz w:val="28"/>
          <w:szCs w:val="28"/>
          <w:highlight w:val="none"/>
        </w:rPr>
      </w:pPr>
      <w:r>
        <w:rPr>
          <w:rFonts w:ascii="宋体" w:hAnsi="宋体" w:cs="宋体" w:hint="eastAsia"/>
          <w:b/>
          <w:sz w:val="28"/>
          <w:szCs w:val="28"/>
          <w:highlight w:val="none"/>
        </w:rPr>
        <w:t>1、法定代表人/负责人证明书</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rPr>
          <w:rFonts w:ascii="宋体" w:hAnsi="宋体" w:cs="宋体"/>
          <w:sz w:val="24"/>
          <w:highlight w:val="none"/>
          <w:u w:val="single"/>
        </w:rPr>
      </w:pPr>
      <w:r>
        <w:rPr>
          <w:rFonts w:ascii="宋体" w:hAnsi="宋体" w:cs="宋体" w:hint="eastAsia"/>
          <w:sz w:val="24"/>
          <w:highlight w:val="none"/>
          <w:u w:val="single"/>
        </w:rPr>
        <w:t xml:space="preserve">            </w:t>
      </w:r>
      <w:r>
        <w:rPr>
          <w:rFonts w:ascii="宋体" w:hAnsi="宋体" w:cs="宋体" w:hint="eastAsia"/>
          <w:sz w:val="24"/>
          <w:highlight w:val="none"/>
        </w:rPr>
        <w:t>同志，现任我单位</w:t>
      </w:r>
      <w:r>
        <w:rPr>
          <w:rFonts w:ascii="宋体" w:hAnsi="宋体" w:cs="宋体" w:hint="eastAsia"/>
          <w:sz w:val="24"/>
          <w:highlight w:val="none"/>
          <w:u w:val="single"/>
        </w:rPr>
        <w:t xml:space="preserve">         </w:t>
      </w:r>
      <w:r>
        <w:rPr>
          <w:rFonts w:ascii="宋体" w:hAnsi="宋体" w:cs="宋体" w:hint="eastAsia"/>
          <w:sz w:val="24"/>
          <w:highlight w:val="none"/>
        </w:rPr>
        <w:t>职务，为法定代表人，特此证明。</w:t>
      </w:r>
    </w:p>
    <w:p>
      <w:pPr>
        <w:ind w:firstLine="210" w:firstLineChars="100"/>
        <w:rPr>
          <w:rFonts w:ascii="宋体" w:hAnsi="宋体" w:cs="宋体"/>
          <w:sz w:val="24"/>
          <w:highlight w:val="none"/>
        </w:rPr>
      </w:pPr>
    </w:p>
    <w:p>
      <w:pPr>
        <w:ind w:firstLine="210" w:firstLineChars="100"/>
        <w:rPr>
          <w:rFonts w:ascii="宋体" w:hAnsi="宋体" w:cs="宋体"/>
          <w:b/>
          <w:bCs/>
          <w:sz w:val="24"/>
          <w:highlight w:val="none"/>
        </w:rPr>
      </w:pPr>
      <w:r>
        <w:rPr>
          <w:rFonts w:ascii="宋体" w:hAnsi="宋体" w:cs="宋体" w:hint="eastAsia"/>
          <w:sz w:val="24"/>
          <w:highlight w:val="none"/>
        </w:rPr>
        <w:t>签发日期：</w:t>
      </w:r>
      <w:r>
        <w:rPr>
          <w:rFonts w:ascii="宋体" w:hAnsi="宋体" w:cs="宋体" w:hint="eastAsia"/>
          <w:sz w:val="24"/>
          <w:highlight w:val="none"/>
          <w:u w:val="single"/>
        </w:rPr>
        <w:t xml:space="preserve">                 </w:t>
      </w:r>
      <w:r>
        <w:rPr>
          <w:rFonts w:ascii="宋体" w:hAnsi="宋体" w:cs="宋体" w:hint="eastAsia"/>
          <w:sz w:val="24"/>
          <w:highlight w:val="none"/>
        </w:rPr>
        <w:t xml:space="preserve">               </w:t>
      </w:r>
      <w:r>
        <w:rPr>
          <w:rFonts w:ascii="宋体" w:hAnsi="宋体" w:cs="宋体" w:hint="eastAsia"/>
          <w:b/>
          <w:bCs/>
          <w:sz w:val="24"/>
          <w:highlight w:val="none"/>
        </w:rPr>
        <w:t>单位：</w:t>
      </w:r>
      <w:r>
        <w:rPr>
          <w:rFonts w:ascii="宋体" w:hAnsi="宋体" w:cs="宋体" w:hint="eastAsia"/>
          <w:b/>
          <w:bCs/>
          <w:sz w:val="24"/>
          <w:highlight w:val="none"/>
          <w:u w:val="single"/>
        </w:rPr>
        <w:t xml:space="preserve">                 </w:t>
      </w:r>
      <w:r>
        <w:rPr>
          <w:rFonts w:ascii="宋体" w:hAnsi="宋体" w:cs="宋体" w:hint="eastAsia"/>
          <w:b/>
          <w:bCs/>
          <w:sz w:val="24"/>
          <w:highlight w:val="none"/>
        </w:rPr>
        <w:t>（单位公章）</w:t>
      </w:r>
    </w:p>
    <w:p>
      <w:pPr>
        <w:ind w:firstLine="210" w:firstLineChars="100"/>
        <w:rPr>
          <w:rFonts w:ascii="宋体" w:hAnsi="宋体" w:cs="宋体"/>
          <w:sz w:val="24"/>
          <w:highlight w:val="none"/>
        </w:rPr>
      </w:pPr>
    </w:p>
    <w:p>
      <w:pPr>
        <w:ind w:firstLine="210" w:firstLineChars="100"/>
        <w:rPr>
          <w:rFonts w:ascii="宋体" w:hAnsi="宋体" w:cs="宋体"/>
          <w:sz w:val="24"/>
          <w:highlight w:val="none"/>
        </w:rPr>
      </w:pPr>
      <w:r>
        <w:rPr>
          <w:rFonts w:ascii="宋体" w:hAnsi="宋体" w:cs="宋体" w:hint="eastAsia"/>
          <w:sz w:val="24"/>
          <w:highlight w:val="none"/>
        </w:rPr>
        <w:t>附：代表人性别：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身份证号码：</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firstLine="210" w:firstLineChars="100"/>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说明：1.法定代表人为企业事业单位、国家机关、社会团体的主要行政负责人。</w:t>
      </w:r>
    </w:p>
    <w:p>
      <w:pPr>
        <w:rPr>
          <w:rFonts w:ascii="宋体" w:hAnsi="宋体" w:cs="宋体"/>
          <w:sz w:val="24"/>
          <w:highlight w:val="none"/>
        </w:rPr>
      </w:pPr>
      <w:r>
        <w:rPr>
          <w:rFonts w:ascii="宋体" w:hAnsi="宋体" w:cs="宋体" w:hint="eastAsia"/>
          <w:sz w:val="24"/>
          <w:highlight w:val="none"/>
        </w:rPr>
        <w:t xml:space="preserve">      2.内容必须填写真实、清楚、涂改无效，不得转让、买卖。</w:t>
      </w:r>
    </w:p>
    <w:p>
      <w:pPr>
        <w:ind w:firstLine="630" w:firstLineChars="300"/>
        <w:rPr>
          <w:rFonts w:ascii="宋体" w:hAnsi="宋体" w:cs="宋体"/>
          <w:szCs w:val="21"/>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630" w:firstLineChars="300"/>
        <w:jc w:val="left"/>
        <w:rPr>
          <w:rFonts w:ascii="宋体" w:hAnsi="宋体" w:cs="宋体"/>
          <w:sz w:val="28"/>
          <w:szCs w:val="28"/>
          <w:highlight w:val="none"/>
        </w:rPr>
      </w:pPr>
      <w:r>
        <w:rPr>
          <w:rFonts w:ascii="宋体" w:hAnsi="宋体" w:cs="宋体" w:hint="eastAsia"/>
          <w:color w:val="FF0000"/>
          <w:sz w:val="24"/>
          <w:szCs w:val="24"/>
          <w:highlight w:val="none"/>
          <w:lang w:val="en-US" w:eastAsia="zh-CN"/>
        </w:rPr>
        <w:t>4.</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13"/>
      </w:tblGrid>
      <w:tr>
        <w:tblPrEx>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410"/>
          <w:jc w:val="center"/>
        </w:trPr>
        <w:tc>
          <w:tcPr>
            <w:tcW w:w="9413" w:type="dxa"/>
            <w:vAlign w:val="center"/>
          </w:tcPr>
          <w:p>
            <w:pPr>
              <w:keepNext w:val="0"/>
              <w:keepLines w:val="0"/>
              <w:suppressLineNumbers w:val="0"/>
              <w:spacing w:before="0" w:beforeAutospacing="0" w:after="0" w:afterAutospacing="0"/>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粘贴法定代表人身份证复印件</w:t>
            </w:r>
          </w:p>
        </w:tc>
      </w:tr>
      <w:tr>
        <w:tblPrEx>
          <w:tblW w:w="9413" w:type="dxa"/>
          <w:jc w:val="center"/>
          <w:tblLayout w:type="fixed"/>
          <w:tblCellMar>
            <w:top w:w="0" w:type="dxa"/>
            <w:left w:w="108" w:type="dxa"/>
            <w:bottom w:w="0" w:type="dxa"/>
            <w:right w:w="108" w:type="dxa"/>
          </w:tblCellMar>
        </w:tblPrEx>
        <w:trPr>
          <w:trHeight w:val="13247"/>
          <w:jc w:val="center"/>
        </w:trPr>
        <w:tc>
          <w:tcPr>
            <w:tcW w:w="9413" w:type="dxa"/>
            <w:vAlign w:val="center"/>
          </w:tcPr>
          <w:p>
            <w:pPr>
              <w:keepNext w:val="0"/>
              <w:keepLines w:val="0"/>
              <w:suppressLineNumbers w:val="0"/>
              <w:spacing w:before="0" w:beforeAutospacing="0" w:after="0" w:afterAutospacing="0"/>
              <w:ind w:left="0" w:right="0"/>
              <w:rPr>
                <w:rFonts w:ascii="宋体" w:hAnsi="宋体" w:cs="宋体" w:hint="default"/>
                <w:b/>
                <w:bCs/>
                <w:color w:val="FF0000"/>
                <w:sz w:val="28"/>
                <w:szCs w:val="28"/>
                <w:highlight w:val="none"/>
              </w:rPr>
            </w:pPr>
            <w:r>
              <w:rPr>
                <w:rFonts w:ascii="宋体" w:hAnsi="宋体" w:cs="宋体" w:hint="eastAsia"/>
                <w:sz w:val="28"/>
                <w:szCs w:val="28"/>
                <w:highlight w:val="none"/>
                <w:u w:val="single"/>
              </w:rPr>
              <w:br w:type="page"/>
            </w:r>
            <w:r>
              <w:rPr>
                <w:rFonts w:ascii="宋体" w:hAnsi="宋体" w:cs="宋体" w:hint="eastAsia"/>
                <w:b/>
                <w:bCs/>
                <w:color w:val="FF0000"/>
                <w:sz w:val="28"/>
                <w:szCs w:val="28"/>
                <w:highlight w:val="none"/>
              </w:rPr>
              <w:t>粘贴法定代表人近一个月投标单位缴纳社保证明（如开标日上一个月的社保材料因社保部门原因暂时无法取得，则可以往前顺延一个月）</w:t>
            </w:r>
          </w:p>
          <w:p>
            <w:pPr>
              <w:pStyle w:val="BodyText"/>
              <w:keepNext w:val="0"/>
              <w:keepLines w:val="0"/>
              <w:suppressLineNumbers w:val="0"/>
              <w:spacing w:before="0" w:beforeAutospacing="0" w:after="0" w:afterAutospacing="0"/>
              <w:ind w:left="0" w:right="0"/>
              <w:rPr>
                <w:rFonts w:ascii="宋体" w:hAnsi="宋体" w:cs="宋体" w:hint="default"/>
                <w:highlight w:val="none"/>
              </w:rPr>
            </w:pPr>
            <w:r>
              <w:rPr>
                <w:rFonts w:ascii="宋体"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p>
        </w:tc>
      </w:tr>
    </w:tbl>
    <w:p>
      <w:pPr>
        <w:rPr>
          <w:rFonts w:ascii="宋体" w:hAnsi="宋体" w:cs="宋体"/>
          <w:b/>
          <w:sz w:val="28"/>
          <w:szCs w:val="28"/>
          <w:highlight w:val="none"/>
        </w:rPr>
      </w:pPr>
    </w:p>
    <w:p>
      <w:pPr>
        <w:rPr>
          <w:rFonts w:ascii="宋体" w:hAnsi="宋体" w:cs="宋体"/>
          <w:b/>
          <w:sz w:val="28"/>
          <w:szCs w:val="28"/>
          <w:highlight w:val="none"/>
        </w:rPr>
      </w:pPr>
    </w:p>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b/>
          <w:sz w:val="28"/>
          <w:szCs w:val="28"/>
          <w:highlight w:val="none"/>
        </w:rPr>
      </w:pPr>
      <w:r>
        <w:rPr>
          <w:rFonts w:ascii="宋体" w:hAnsi="宋体" w:cs="宋体" w:hint="eastAsia"/>
          <w:b/>
          <w:sz w:val="28"/>
          <w:szCs w:val="28"/>
          <w:highlight w:val="none"/>
        </w:rPr>
        <w:t>2、法定代表人/负责人授权委托书</w:t>
      </w:r>
    </w:p>
    <w:p>
      <w:pPr>
        <w:spacing w:line="360" w:lineRule="auto"/>
        <w:rPr>
          <w:rFonts w:ascii="宋体" w:hAnsi="宋体" w:cs="宋体"/>
          <w:sz w:val="28"/>
          <w:szCs w:val="28"/>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ind w:firstLine="420" w:firstLineChars="200"/>
        <w:rPr>
          <w:rFonts w:ascii="宋体" w:hAnsi="宋体" w:cs="宋体"/>
          <w:sz w:val="24"/>
          <w:highlight w:val="none"/>
        </w:rPr>
      </w:pPr>
      <w:r>
        <w:rPr>
          <w:rFonts w:ascii="宋体" w:hAnsi="宋体" w:cs="宋体" w:hint="eastAsia"/>
          <w:sz w:val="24"/>
          <w:highlight w:val="none"/>
        </w:rPr>
        <w:t>兹授权</w:t>
      </w:r>
      <w:r>
        <w:rPr>
          <w:rFonts w:ascii="宋体" w:hAnsi="宋体" w:cs="宋体" w:hint="eastAsia"/>
          <w:sz w:val="24"/>
          <w:highlight w:val="none"/>
          <w:u w:val="single"/>
        </w:rPr>
        <w:t xml:space="preserve">         </w:t>
      </w:r>
      <w:r>
        <w:rPr>
          <w:rFonts w:ascii="宋体" w:hAnsi="宋体" w:cs="宋体" w:hint="eastAsia"/>
          <w:sz w:val="24"/>
          <w:highlight w:val="none"/>
        </w:rPr>
        <w:t>同志，为我方签订经济合同及办理其他事务代理人，其权限是：</w:t>
      </w:r>
    </w:p>
    <w:p>
      <w:pPr>
        <w:rPr>
          <w:rFonts w:ascii="宋体" w:hAnsi="宋体" w:cs="宋体"/>
          <w:sz w:val="24"/>
          <w:highlight w:val="none"/>
        </w:rPr>
      </w:pPr>
    </w:p>
    <w:p>
      <w:pPr>
        <w:rPr>
          <w:rFonts w:ascii="宋体" w:hAnsi="宋体" w:cs="宋体"/>
          <w:b/>
          <w:bCs/>
          <w:sz w:val="24"/>
          <w:highlight w:val="none"/>
        </w:rPr>
      </w:pPr>
      <w:r>
        <w:rPr>
          <w:rFonts w:ascii="宋体" w:hAnsi="宋体" w:cs="宋体" w:hint="eastAsia"/>
          <w:b/>
          <w:bCs/>
          <w:sz w:val="24"/>
          <w:highlight w:val="none"/>
        </w:rPr>
        <w:t>授权单位：</w:t>
      </w:r>
      <w:r>
        <w:rPr>
          <w:rFonts w:ascii="宋体" w:hAnsi="宋体" w:cs="宋体" w:hint="eastAsia"/>
          <w:b/>
          <w:bCs/>
          <w:sz w:val="24"/>
          <w:highlight w:val="none"/>
          <w:u w:val="single"/>
        </w:rPr>
        <w:t xml:space="preserve">                </w:t>
      </w:r>
      <w:r>
        <w:rPr>
          <w:rFonts w:ascii="宋体" w:hAnsi="宋体" w:cs="宋体" w:hint="eastAsia"/>
          <w:b/>
          <w:bCs/>
          <w:sz w:val="24"/>
          <w:highlight w:val="none"/>
        </w:rPr>
        <w:t>（盖章）      法定代表人：</w:t>
      </w:r>
      <w:r>
        <w:rPr>
          <w:rFonts w:ascii="宋体" w:hAnsi="宋体" w:cs="宋体" w:hint="eastAsia"/>
          <w:b/>
          <w:bCs/>
          <w:sz w:val="24"/>
          <w:highlight w:val="none"/>
          <w:u w:val="single"/>
        </w:rPr>
        <w:t xml:space="preserve">        </w:t>
      </w:r>
      <w:r>
        <w:rPr>
          <w:rFonts w:ascii="宋体" w:hAnsi="宋体" w:cs="宋体" w:hint="eastAsia"/>
          <w:b/>
          <w:bCs/>
          <w:sz w:val="24"/>
          <w:highlight w:val="none"/>
        </w:rPr>
        <w:t>（签名或盖私章）</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有效期限：至</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       签发日期：</w:t>
      </w:r>
      <w:r>
        <w:rPr>
          <w:rFonts w:ascii="宋体" w:hAnsi="宋体" w:cs="宋体" w:hint="eastAsia"/>
          <w:sz w:val="24"/>
          <w:highlight w:val="none"/>
          <w:u w:val="single"/>
        </w:rPr>
        <w:t xml:space="preserve">              </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附：代理人性别：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职务：</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ind w:firstLine="420" w:firstLineChars="200"/>
        <w:rPr>
          <w:rFonts w:ascii="宋体" w:hAnsi="宋体" w:cs="宋体"/>
          <w:sz w:val="24"/>
          <w:highlight w:val="none"/>
        </w:rPr>
      </w:pPr>
      <w:r>
        <w:rPr>
          <w:rFonts w:ascii="宋体" w:hAnsi="宋体" w:cs="宋体" w:hint="eastAsia"/>
          <w:sz w:val="24"/>
          <w:highlight w:val="none"/>
        </w:rPr>
        <w:t>身份证号码：</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 xml:space="preserve">  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主营（产）：</w:t>
      </w:r>
    </w:p>
    <w:p>
      <w:pPr>
        <w:ind w:firstLine="210" w:firstLineChars="100"/>
        <w:rPr>
          <w:rFonts w:ascii="宋体" w:hAnsi="宋体" w:cs="宋体"/>
          <w:sz w:val="24"/>
          <w:highlight w:val="none"/>
        </w:rPr>
      </w:pPr>
      <w:r>
        <w:rPr>
          <w:rFonts w:ascii="宋体" w:hAnsi="宋体" w:cs="宋体" w:hint="eastAsia"/>
          <w:sz w:val="24"/>
          <w:highlight w:val="none"/>
        </w:rPr>
        <w:t>兼营（产）：</w:t>
      </w:r>
    </w:p>
    <w:p>
      <w:pPr>
        <w:ind w:firstLine="210" w:firstLineChars="100"/>
        <w:rPr>
          <w:rFonts w:ascii="宋体" w:hAnsi="宋体" w:cs="宋体"/>
          <w:sz w:val="24"/>
          <w:highlight w:val="none"/>
        </w:rPr>
      </w:pPr>
      <w:r>
        <w:rPr>
          <w:rFonts w:ascii="宋体" w:hAnsi="宋体" w:cs="宋体" w:hint="eastAsia"/>
          <w:sz w:val="24"/>
          <w:highlight w:val="none"/>
        </w:rPr>
        <w:t>进口物品经营许可证号码：</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left="1"/>
        <w:rPr>
          <w:rFonts w:ascii="宋体" w:hAnsi="宋体" w:cs="宋体"/>
          <w:sz w:val="24"/>
          <w:highlight w:val="none"/>
        </w:rPr>
      </w:pPr>
    </w:p>
    <w:p>
      <w:pPr>
        <w:ind w:left="1"/>
        <w:rPr>
          <w:rFonts w:ascii="宋体" w:hAnsi="宋体" w:cs="宋体"/>
          <w:sz w:val="24"/>
          <w:highlight w:val="none"/>
        </w:rPr>
      </w:pPr>
      <w:r>
        <w:rPr>
          <w:rFonts w:ascii="宋体" w:hAnsi="宋体" w:cs="宋体" w:hint="eastAsia"/>
          <w:sz w:val="24"/>
          <w:highlight w:val="none"/>
        </w:rPr>
        <w:t>说明：</w:t>
      </w:r>
    </w:p>
    <w:p>
      <w:pPr>
        <w:ind w:left="1" w:firstLine="470" w:firstLineChars="224"/>
        <w:rPr>
          <w:rFonts w:ascii="宋体" w:hAnsi="宋体" w:cs="宋体"/>
          <w:sz w:val="24"/>
          <w:highlight w:val="none"/>
        </w:rPr>
      </w:pPr>
      <w:r>
        <w:rPr>
          <w:rFonts w:ascii="宋体" w:hAnsi="宋体" w:cs="宋体" w:hint="eastAsia"/>
          <w:sz w:val="24"/>
          <w:highlight w:val="none"/>
        </w:rPr>
        <w:t>1.法定代表人为企业事业单位、国家机关、社会团体的主要行政负责人。</w:t>
      </w:r>
    </w:p>
    <w:p>
      <w:pPr>
        <w:ind w:firstLine="470" w:firstLineChars="224"/>
        <w:rPr>
          <w:rFonts w:ascii="宋体" w:hAnsi="宋体" w:cs="宋体"/>
          <w:sz w:val="24"/>
          <w:highlight w:val="none"/>
        </w:rPr>
      </w:pPr>
      <w:r>
        <w:rPr>
          <w:rFonts w:ascii="宋体" w:hAnsi="宋体" w:cs="宋体" w:hint="eastAsia"/>
          <w:sz w:val="24"/>
          <w:highlight w:val="none"/>
        </w:rPr>
        <w:t>2.内容必须填写真实、清楚、涂改无效，不得转让、买卖。</w:t>
      </w:r>
    </w:p>
    <w:p>
      <w:pPr>
        <w:ind w:firstLine="470" w:firstLineChars="224"/>
        <w:rPr>
          <w:rFonts w:ascii="宋体" w:hAnsi="宋体" w:cs="宋体"/>
          <w:b/>
          <w:sz w:val="24"/>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470" w:firstLineChars="224"/>
        <w:rPr>
          <w:rFonts w:ascii="宋体" w:hAnsi="宋体" w:cs="宋体"/>
          <w:sz w:val="24"/>
          <w:highlight w:val="none"/>
        </w:rPr>
      </w:pPr>
      <w:r>
        <w:rPr>
          <w:rFonts w:ascii="宋体" w:hAnsi="宋体" w:cs="宋体" w:hint="eastAsia"/>
          <w:sz w:val="24"/>
          <w:highlight w:val="none"/>
        </w:rPr>
        <w:t>4.授权权限：全权代表本公司参与上述采购项目的投标响应，负责提供与签署确认一切文书资料，以及向贵方递交的任何补充承诺。</w:t>
      </w:r>
    </w:p>
    <w:p>
      <w:pPr>
        <w:ind w:firstLine="470" w:firstLineChars="224"/>
        <w:rPr>
          <w:rFonts w:ascii="宋体" w:hAnsi="宋体" w:cs="宋体"/>
          <w:sz w:val="24"/>
          <w:highlight w:val="none"/>
        </w:rPr>
      </w:pPr>
      <w:r>
        <w:rPr>
          <w:rFonts w:ascii="宋体" w:hAnsi="宋体" w:cs="宋体" w:hint="eastAsia"/>
          <w:sz w:val="24"/>
          <w:highlight w:val="none"/>
        </w:rPr>
        <w:t>5.有效期限：与本公司投标文件中标注的投标有效期相同，自本单位盖公章之日起生效。</w:t>
      </w:r>
    </w:p>
    <w:p>
      <w:pPr>
        <w:ind w:left="1" w:firstLine="470" w:firstLineChars="224"/>
        <w:rPr>
          <w:rFonts w:ascii="宋体" w:hAnsi="宋体" w:cs="宋体" w:hint="eastAsia"/>
          <w:sz w:val="24"/>
          <w:highlight w:val="none"/>
        </w:rPr>
      </w:pPr>
      <w:r>
        <w:rPr>
          <w:rFonts w:ascii="宋体" w:hAnsi="宋体" w:cs="宋体" w:hint="eastAsia"/>
          <w:sz w:val="24"/>
          <w:highlight w:val="none"/>
        </w:rPr>
        <w:t>6.投标签字代表为法定代表人，则本表不适用。</w:t>
      </w:r>
    </w:p>
    <w:p>
      <w:pPr>
        <w:pStyle w:val="NormalIndent"/>
        <w:ind w:firstLine="420" w:firstLineChars="200"/>
        <w:rPr>
          <w:highlight w:val="none"/>
        </w:rPr>
      </w:pPr>
      <w:r>
        <w:rPr>
          <w:rFonts w:ascii="宋体" w:hAnsi="宋体" w:cs="宋体" w:hint="eastAsia"/>
          <w:color w:val="FF0000"/>
          <w:sz w:val="24"/>
          <w:szCs w:val="24"/>
          <w:highlight w:val="none"/>
          <w:lang w:val="en-US" w:eastAsia="zh-CN"/>
        </w:rPr>
        <w:t>7.</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粘贴代理人身份证复印件</w:t>
            </w:r>
          </w:p>
        </w:tc>
      </w:tr>
    </w:tbl>
    <w:p>
      <w:pPr>
        <w:adjustRightInd w:val="0"/>
        <w:snapToGrid w:val="0"/>
        <w:spacing w:line="360" w:lineRule="auto"/>
        <w:rPr>
          <w:rFonts w:ascii="宋体" w:hAnsi="宋体" w:cs="宋体"/>
          <w:szCs w:val="21"/>
          <w:highlight w:val="none"/>
        </w:rPr>
      </w:pPr>
    </w:p>
    <w:p>
      <w:pPr>
        <w:pStyle w:val="a"/>
        <w:ind w:firstLine="420"/>
        <w:rPr>
          <w:rFonts w:ascii="宋体" w:hAnsi="宋体" w:cs="宋体"/>
          <w:szCs w:val="21"/>
          <w:highlight w:val="none"/>
        </w:rPr>
      </w:pPr>
    </w:p>
    <w:p>
      <w:pPr>
        <w:rPr>
          <w:rFonts w:ascii="宋体" w:hAnsi="宋体" w:cs="宋体"/>
          <w:szCs w:val="21"/>
          <w:highlight w:val="none"/>
        </w:rPr>
      </w:pPr>
      <w:r>
        <w:rPr>
          <w:rFonts w:ascii="宋体" w:hAnsi="宋体" w:cs="宋体" w:hint="eastAsia"/>
          <w:szCs w:val="21"/>
          <w:highlight w:val="none"/>
        </w:rPr>
        <w:br w:type="page"/>
      </w:r>
    </w:p>
    <w:tbl>
      <w:tblPr>
        <w:tblStyle w:val="TableNormal"/>
        <w:tblW w:w="92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92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247"/>
        </w:trPr>
        <w:tc>
          <w:tcPr>
            <w:tcW w:w="9287" w:type="dxa"/>
            <w:vAlign w:val="center"/>
          </w:tcPr>
          <w:p>
            <w:pPr>
              <w:pStyle w:val="PlainText"/>
              <w:keepNext w:val="0"/>
              <w:keepLines w:val="0"/>
              <w:suppressLineNumbers w:val="0"/>
              <w:spacing w:before="0" w:beforeAutospacing="0" w:after="0" w:afterAutospacing="0"/>
              <w:ind w:left="0" w:right="0"/>
              <w:rPr>
                <w:rFonts w:hAnsi="宋体" w:cs="宋体" w:hint="default"/>
                <w:color w:val="FF0000"/>
                <w:sz w:val="28"/>
                <w:szCs w:val="28"/>
                <w:highlight w:val="none"/>
                <w:u w:val="single"/>
              </w:rPr>
            </w:pPr>
            <w:r>
              <w:rPr>
                <w:rFonts w:hAnsi="宋体" w:cs="宋体" w:hint="default"/>
                <w:color w:val="FF0000"/>
                <w:sz w:val="28"/>
                <w:szCs w:val="28"/>
                <w:highlight w:val="none"/>
                <w:u w:val="single"/>
              </w:rPr>
              <w:br w:type="page"/>
            </w:r>
            <w:r>
              <w:rPr>
                <w:rFonts w:hAnsi="宋体" w:cs="宋体" w:hint="eastAsia"/>
                <w:color w:val="FF0000"/>
                <w:sz w:val="28"/>
                <w:szCs w:val="28"/>
                <w:highlight w:val="none"/>
                <w:u w:val="single"/>
              </w:rPr>
              <w:t>粘贴代理人近一个月缴纳社保证明（如开标日上一个月的社保材料因社保部门原因暂时无法取得，则可以往前顺延一个月）</w:t>
            </w:r>
          </w:p>
          <w:p>
            <w:pPr>
              <w:pStyle w:val="PlainText"/>
              <w:keepNext w:val="0"/>
              <w:keepLines w:val="0"/>
              <w:suppressLineNumbers w:val="0"/>
              <w:spacing w:before="0" w:beforeAutospacing="0" w:after="0" w:afterAutospacing="0" w:line="360" w:lineRule="auto"/>
              <w:ind w:left="0" w:right="0"/>
              <w:rPr>
                <w:rFonts w:hint="default"/>
                <w:highlight w:val="none"/>
              </w:rPr>
            </w:pPr>
            <w:r>
              <w:rPr>
                <w:rFonts w:hint="eastAsia"/>
                <w:color w:val="FF0000"/>
                <w:highlight w:val="none"/>
              </w:rPr>
              <w:t>（</w:t>
            </w:r>
            <w:r>
              <w:rPr>
                <w:rFonts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rPr>
                <w:rFonts w:hint="eastAsia"/>
                <w:color w:val="FF0000"/>
                <w:highlight w:val="none"/>
              </w:rPr>
              <w:t>）</w:t>
            </w:r>
          </w:p>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p>
        </w:tc>
      </w:tr>
    </w:tbl>
    <w:p>
      <w:pPr>
        <w:pStyle w:val="a"/>
        <w:ind w:firstLine="420"/>
        <w:rPr>
          <w:rFonts w:ascii="宋体" w:hAnsi="宋体" w:cs="宋体"/>
          <w:szCs w:val="21"/>
          <w:highlight w:val="none"/>
        </w:rPr>
      </w:pPr>
    </w:p>
    <w:p>
      <w:pPr>
        <w:pStyle w:val="Heading3"/>
        <w:spacing w:before="0" w:after="0" w:line="240" w:lineRule="auto"/>
        <w:jc w:val="center"/>
        <w:rPr>
          <w:rFonts w:ascii="宋体" w:hAnsi="宋体" w:cs="宋体"/>
          <w:sz w:val="24"/>
          <w:szCs w:val="24"/>
          <w:highlight w:val="none"/>
        </w:rPr>
      </w:pPr>
      <w:r>
        <w:rPr>
          <w:rFonts w:ascii="宋体" w:hAnsi="宋体" w:cs="宋体" w:hint="eastAsia"/>
          <w:b/>
          <w:bCs/>
          <w:highlight w:val="none"/>
        </w:rPr>
        <w:t>（三）实质性条款响应情况表</w:t>
      </w:r>
    </w:p>
    <w:tbl>
      <w:tblPr>
        <w:tblStyle w:val="TableNormal"/>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70"/>
        <w:gridCol w:w="6366"/>
        <w:gridCol w:w="1812"/>
        <w:gridCol w:w="906"/>
      </w:tblGrid>
      <w:tr>
        <w:tblPrEx>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序号</w:t>
            </w:r>
          </w:p>
        </w:tc>
        <w:tc>
          <w:tcPr>
            <w:tcW w:w="6366"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采购人要求内容</w:t>
            </w:r>
          </w:p>
        </w:tc>
        <w:tc>
          <w:tcPr>
            <w:tcW w:w="1812"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投标人</w:t>
            </w:r>
          </w:p>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响应情况</w:t>
            </w:r>
          </w:p>
        </w:tc>
        <w:tc>
          <w:tcPr>
            <w:tcW w:w="906"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偏离情况</w:t>
            </w:r>
          </w:p>
        </w:tc>
      </w:tr>
      <w:tr>
        <w:tblPrEx>
          <w:tblW w:w="9854" w:type="dxa"/>
          <w:jc w:val="center"/>
          <w:tblLayout w:type="fixed"/>
          <w:tblCellMar>
            <w:top w:w="0" w:type="dxa"/>
            <w:left w:w="108" w:type="dxa"/>
            <w:bottom w:w="0" w:type="dxa"/>
            <w:right w:w="108" w:type="dxa"/>
          </w:tblCellMar>
        </w:tblPrEx>
        <w:trPr>
          <w:trHeight w:val="373"/>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1</w:t>
            </w:r>
          </w:p>
        </w:tc>
        <w:tc>
          <w:tcPr>
            <w:tcW w:w="6366" w:type="dxa"/>
            <w:vAlign w:val="center"/>
          </w:tcPr>
          <w:p>
            <w:pPr>
              <w:keepNext w:val="0"/>
              <w:keepLines w:val="0"/>
              <w:suppressLineNumbers w:val="0"/>
              <w:spacing w:before="0" w:beforeAutospacing="0" w:after="0" w:afterAutospacing="0"/>
              <w:ind w:left="0" w:right="0"/>
              <w:rPr>
                <w:rFonts w:ascii="宋体" w:hAnsi="宋体" w:cs="宋体" w:hint="default"/>
                <w:color w:val="FF0000"/>
                <w:szCs w:val="21"/>
                <w:highlight w:val="none"/>
              </w:rPr>
            </w:pP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2</w:t>
            </w:r>
          </w:p>
        </w:tc>
        <w:tc>
          <w:tcPr>
            <w:tcW w:w="6366" w:type="dxa"/>
            <w:vAlign w:val="center"/>
          </w:tcPr>
          <w:p>
            <w:pPr>
              <w:keepNext w:val="0"/>
              <w:keepLines w:val="0"/>
              <w:numPr>
                <w:ilvl w:val="0"/>
                <w:numId w:val="0"/>
              </w:numPr>
              <w:suppressLineNumbers w:val="0"/>
              <w:spacing w:before="0" w:beforeAutospacing="0" w:after="0" w:afterAutospacing="0"/>
              <w:ind w:left="0" w:right="0"/>
              <w:jc w:val="left"/>
              <w:rPr>
                <w:rFonts w:ascii="宋体" w:hAnsi="宋体" w:cs="宋体" w:hint="default"/>
                <w:color w:val="FF0000"/>
                <w:szCs w:val="21"/>
                <w:highlight w:val="none"/>
              </w:rPr>
            </w:pP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3</w:t>
            </w:r>
          </w:p>
        </w:tc>
        <w:tc>
          <w:tcPr>
            <w:tcW w:w="6366" w:type="dxa"/>
            <w:vAlign w:val="center"/>
          </w:tcPr>
          <w:p>
            <w:pPr>
              <w:keepNext w:val="0"/>
              <w:keepLines w:val="0"/>
              <w:suppressLineNumbers w:val="0"/>
              <w:adjustRightInd/>
              <w:snapToGrid/>
              <w:spacing w:before="0" w:beforeAutospacing="0" w:after="0" w:afterAutospacing="0"/>
              <w:ind w:left="0" w:right="0"/>
              <w:rPr>
                <w:rFonts w:ascii="宋体" w:hAnsi="宋体" w:cs="宋体" w:hint="default"/>
                <w:color w:val="FF0000"/>
                <w:szCs w:val="21"/>
                <w:highlight w:val="none"/>
              </w:rPr>
            </w:pP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4</w:t>
            </w:r>
          </w:p>
        </w:tc>
        <w:tc>
          <w:tcPr>
            <w:tcW w:w="6366" w:type="dxa"/>
            <w:vAlign w:val="center"/>
          </w:tcPr>
          <w:p>
            <w:pPr>
              <w:keepNext w:val="0"/>
              <w:keepLines w:val="0"/>
              <w:suppressLineNumbers w:val="0"/>
              <w:adjustRightInd w:val="0"/>
              <w:snapToGrid w:val="0"/>
              <w:spacing w:before="0" w:beforeAutospacing="0" w:after="0" w:afterAutospacing="0"/>
              <w:ind w:left="0" w:right="0"/>
              <w:rPr>
                <w:rFonts w:ascii="宋体" w:hAnsi="宋体" w:cs="宋体" w:hint="eastAsia"/>
                <w:color w:val="FF0000"/>
                <w:highlight w:val="none"/>
                <w:lang w:val="en-US" w:eastAsia="zh-CN"/>
              </w:rPr>
            </w:pP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5</w:t>
            </w:r>
          </w:p>
        </w:tc>
        <w:tc>
          <w:tcPr>
            <w:tcW w:w="6366" w:type="dxa"/>
            <w:vAlign w:val="center"/>
          </w:tcPr>
          <w:p>
            <w:pPr>
              <w:keepNext w:val="0"/>
              <w:keepLines w:val="0"/>
              <w:suppressLineNumbers w:val="0"/>
              <w:adjustRightInd w:val="0"/>
              <w:snapToGrid w:val="0"/>
              <w:spacing w:before="0" w:beforeAutospacing="0" w:after="0" w:afterAutospacing="0"/>
              <w:ind w:left="0" w:right="0"/>
              <w:rPr>
                <w:rFonts w:ascii="宋体" w:hAnsi="宋体" w:cs="宋体" w:hint="eastAsia"/>
                <w:color w:val="FF0000"/>
                <w:highlight w:val="none"/>
                <w:lang w:val="en-US" w:eastAsia="zh-CN"/>
              </w:rPr>
            </w:pP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6</w:t>
            </w:r>
          </w:p>
        </w:tc>
        <w:tc>
          <w:tcPr>
            <w:tcW w:w="6366" w:type="dxa"/>
            <w:vAlign w:val="center"/>
          </w:tcPr>
          <w:p>
            <w:pPr>
              <w:keepNext w:val="0"/>
              <w:keepLines w:val="0"/>
              <w:suppressLineNumbers w:val="0"/>
              <w:adjustRightInd w:val="0"/>
              <w:snapToGrid w:val="0"/>
              <w:spacing w:before="0" w:beforeAutospacing="0" w:after="0" w:afterAutospacing="0"/>
              <w:ind w:left="0" w:right="0"/>
              <w:rPr>
                <w:rFonts w:ascii="宋体" w:hAnsi="宋体" w:cs="宋体" w:hint="eastAsia"/>
                <w:color w:val="FF0000"/>
                <w:highlight w:val="none"/>
                <w:lang w:val="en-US" w:eastAsia="zh-CN"/>
              </w:rPr>
            </w:pP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7</w:t>
            </w:r>
          </w:p>
        </w:tc>
        <w:tc>
          <w:tcPr>
            <w:tcW w:w="6366" w:type="dxa"/>
            <w:vAlign w:val="center"/>
          </w:tcPr>
          <w:p>
            <w:pPr>
              <w:keepNext w:val="0"/>
              <w:keepLines w:val="0"/>
              <w:suppressLineNumbers w:val="0"/>
              <w:adjustRightInd w:val="0"/>
              <w:snapToGrid w:val="0"/>
              <w:spacing w:before="0" w:beforeAutospacing="0" w:after="0" w:afterAutospacing="0"/>
              <w:ind w:left="0" w:right="0"/>
              <w:rPr>
                <w:rFonts w:ascii="宋体" w:hAnsi="宋体" w:cs="宋体" w:hint="eastAsia"/>
                <w:color w:val="FF0000"/>
                <w:highlight w:val="none"/>
                <w:lang w:val="en-US" w:eastAsia="zh-CN"/>
              </w:rPr>
            </w:pP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8</w:t>
            </w:r>
          </w:p>
        </w:tc>
        <w:tc>
          <w:tcPr>
            <w:tcW w:w="6366" w:type="dxa"/>
            <w:vAlign w:val="center"/>
          </w:tcPr>
          <w:p>
            <w:pPr>
              <w:keepNext w:val="0"/>
              <w:keepLines w:val="0"/>
              <w:suppressLineNumbers w:val="0"/>
              <w:adjustRightInd w:val="0"/>
              <w:snapToGrid w:val="0"/>
              <w:spacing w:before="0" w:beforeAutospacing="0" w:after="0" w:afterAutospacing="0"/>
              <w:ind w:left="0" w:right="0"/>
              <w:rPr>
                <w:rFonts w:ascii="宋体" w:hAnsi="宋体" w:cs="宋体" w:hint="eastAsia"/>
                <w:color w:val="FF0000"/>
                <w:highlight w:val="none"/>
                <w:lang w:val="en-US" w:eastAsia="zh-CN"/>
              </w:rPr>
            </w:pP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9</w:t>
            </w:r>
          </w:p>
        </w:tc>
        <w:tc>
          <w:tcPr>
            <w:tcW w:w="6366" w:type="dxa"/>
            <w:vAlign w:val="center"/>
          </w:tcPr>
          <w:p>
            <w:pPr>
              <w:keepNext w:val="0"/>
              <w:keepLines w:val="0"/>
              <w:suppressLineNumbers w:val="0"/>
              <w:adjustRightInd w:val="0"/>
              <w:snapToGrid w:val="0"/>
              <w:spacing w:before="0" w:beforeAutospacing="0" w:after="0" w:afterAutospacing="0"/>
              <w:ind w:left="0" w:right="0"/>
              <w:rPr>
                <w:rFonts w:ascii="宋体" w:hAnsi="宋体" w:cs="宋体" w:hint="eastAsia"/>
                <w:color w:val="FF0000"/>
                <w:highlight w:val="none"/>
                <w:lang w:val="en-US" w:eastAsia="zh-CN"/>
              </w:rPr>
            </w:pP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default"/>
                <w:kern w:val="0"/>
                <w:sz w:val="24"/>
                <w:highlight w:val="none"/>
                <w:lang w:val="en-US" w:eastAsia="zh-CN"/>
              </w:rPr>
            </w:pPr>
            <w:r>
              <w:rPr>
                <w:rFonts w:ascii="宋体" w:hAnsi="宋体" w:cs="宋体" w:hint="eastAsia"/>
                <w:kern w:val="0"/>
                <w:sz w:val="24"/>
                <w:highlight w:val="none"/>
                <w:lang w:val="en-US" w:eastAsia="zh-CN"/>
              </w:rPr>
              <w:t>10</w:t>
            </w:r>
          </w:p>
        </w:tc>
        <w:tc>
          <w:tcPr>
            <w:tcW w:w="6366" w:type="dxa"/>
            <w:vAlign w:val="center"/>
          </w:tcPr>
          <w:p>
            <w:pPr>
              <w:keepNext w:val="0"/>
              <w:keepLines w:val="0"/>
              <w:suppressLineNumbers w:val="0"/>
              <w:adjustRightInd w:val="0"/>
              <w:snapToGrid w:val="0"/>
              <w:spacing w:before="0" w:beforeAutospacing="0" w:after="0" w:afterAutospacing="0"/>
              <w:ind w:left="0" w:right="0"/>
              <w:rPr>
                <w:rFonts w:ascii="宋体" w:hAnsi="宋体" w:cs="宋体" w:hint="eastAsia"/>
                <w:color w:val="FF0000"/>
                <w:spacing w:val="4"/>
                <w:szCs w:val="21"/>
                <w:highlight w:val="none"/>
                <w:lang w:val="en-US" w:eastAsia="zh-CN"/>
              </w:rPr>
            </w:pP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default"/>
                <w:kern w:val="0"/>
                <w:sz w:val="24"/>
                <w:highlight w:val="none"/>
                <w:lang w:val="en-US" w:eastAsia="zh-CN"/>
              </w:rPr>
            </w:pPr>
            <w:r>
              <w:rPr>
                <w:rFonts w:ascii="宋体" w:hAnsi="宋体" w:cs="宋体" w:hint="eastAsia"/>
                <w:kern w:val="0"/>
                <w:sz w:val="24"/>
                <w:highlight w:val="none"/>
                <w:lang w:val="en-US" w:eastAsia="zh-CN"/>
              </w:rPr>
              <w:t>11</w:t>
            </w:r>
          </w:p>
        </w:tc>
        <w:tc>
          <w:tcPr>
            <w:tcW w:w="6366" w:type="dxa"/>
            <w:vAlign w:val="center"/>
          </w:tcPr>
          <w:p>
            <w:pPr>
              <w:keepNext w:val="0"/>
              <w:keepLines w:val="0"/>
              <w:suppressLineNumbers w:val="0"/>
              <w:adjustRightInd w:val="0"/>
              <w:snapToGrid w:val="0"/>
              <w:spacing w:before="0" w:beforeAutospacing="0" w:after="0" w:afterAutospacing="0"/>
              <w:ind w:left="0" w:right="0"/>
              <w:rPr>
                <w:rFonts w:ascii="宋体" w:hAnsi="宋体" w:cs="宋体" w:hint="eastAsia"/>
                <w:color w:val="FF0000"/>
                <w:spacing w:val="4"/>
                <w:szCs w:val="21"/>
                <w:highlight w:val="none"/>
                <w:lang w:val="en-US" w:eastAsia="zh-CN"/>
              </w:rPr>
            </w:pP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default"/>
                <w:kern w:val="0"/>
                <w:sz w:val="24"/>
                <w:highlight w:val="none"/>
                <w:lang w:val="en-US" w:eastAsia="zh-CN"/>
              </w:rPr>
            </w:pPr>
            <w:r>
              <w:rPr>
                <w:rFonts w:ascii="宋体" w:hAnsi="宋体" w:cs="宋体" w:hint="eastAsia"/>
                <w:kern w:val="0"/>
                <w:sz w:val="24"/>
                <w:highlight w:val="none"/>
                <w:lang w:val="en-US" w:eastAsia="zh-CN"/>
              </w:rPr>
              <w:t>12</w:t>
            </w:r>
          </w:p>
        </w:tc>
        <w:tc>
          <w:tcPr>
            <w:tcW w:w="6366" w:type="dxa"/>
            <w:vAlign w:val="center"/>
          </w:tcPr>
          <w:p>
            <w:pPr>
              <w:keepNext w:val="0"/>
              <w:keepLines w:val="0"/>
              <w:suppressLineNumbers w:val="0"/>
              <w:adjustRightInd w:val="0"/>
              <w:snapToGrid w:val="0"/>
              <w:spacing w:before="0" w:beforeAutospacing="0" w:after="0" w:afterAutospacing="0"/>
              <w:ind w:left="0" w:right="0"/>
              <w:rPr>
                <w:rFonts w:ascii="宋体" w:hAnsi="宋体" w:cs="宋体" w:hint="eastAsia"/>
                <w:color w:val="FF0000"/>
                <w:spacing w:val="4"/>
                <w:szCs w:val="21"/>
                <w:highlight w:val="none"/>
                <w:lang w:val="en-US" w:eastAsia="zh-CN"/>
              </w:rPr>
            </w:pP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bl>
    <w:p>
      <w:pPr>
        <w:ind w:firstLine="420" w:firstLineChars="200"/>
        <w:rPr>
          <w:rFonts w:ascii="宋体" w:hAnsi="宋体" w:cs="宋体"/>
          <w:bCs/>
          <w:sz w:val="24"/>
          <w:highlight w:val="none"/>
        </w:rPr>
      </w:pPr>
      <w:r>
        <w:rPr>
          <w:rFonts w:ascii="宋体" w:hAnsi="宋体" w:cs="宋体" w:hint="eastAsia"/>
          <w:bCs/>
          <w:sz w:val="24"/>
          <w:highlight w:val="none"/>
        </w:rPr>
        <w:t>注：</w:t>
      </w:r>
    </w:p>
    <w:p>
      <w:pPr>
        <w:ind w:firstLine="420" w:firstLineChars="200"/>
        <w:rPr>
          <w:rFonts w:ascii="宋体" w:hAnsi="宋体" w:cs="宋体"/>
          <w:bCs/>
          <w:sz w:val="24"/>
          <w:highlight w:val="none"/>
        </w:rPr>
      </w:pPr>
      <w:r>
        <w:rPr>
          <w:rFonts w:ascii="宋体" w:hAnsi="宋体" w:cs="宋体" w:hint="eastAsia"/>
          <w:bCs/>
          <w:sz w:val="24"/>
          <w:highlight w:val="none"/>
        </w:rPr>
        <w:t>1. 上表所列各项均为不可负偏离条款。</w:t>
      </w:r>
    </w:p>
    <w:p>
      <w:pPr>
        <w:ind w:firstLine="420" w:firstLineChars="200"/>
        <w:rPr>
          <w:rFonts w:ascii="宋体" w:hAnsi="宋体" w:cs="宋体"/>
          <w:bCs/>
          <w:sz w:val="24"/>
          <w:highlight w:val="none"/>
        </w:rPr>
      </w:pPr>
      <w:r>
        <w:rPr>
          <w:rFonts w:ascii="宋体" w:hAnsi="宋体" w:cs="宋体" w:hint="eastAsia"/>
          <w:bCs/>
          <w:sz w:val="24"/>
          <w:highlight w:val="none"/>
        </w:rPr>
        <w:t>2.“投标响应”一栏应当详细填写投标人自身响应情况，而不能不合理照搬照抄实质性条款具体内容。</w:t>
      </w:r>
    </w:p>
    <w:p>
      <w:pPr>
        <w:ind w:firstLine="420" w:firstLineChars="200"/>
        <w:rPr>
          <w:rFonts w:ascii="宋体" w:hAnsi="宋体" w:cs="宋体"/>
          <w:bCs/>
          <w:sz w:val="24"/>
          <w:highlight w:val="none"/>
        </w:rPr>
      </w:pPr>
      <w:r>
        <w:rPr>
          <w:rFonts w:ascii="宋体" w:hAnsi="宋体" w:cs="宋体" w:hint="eastAsia"/>
          <w:bCs/>
          <w:sz w:val="24"/>
          <w:highlight w:val="none"/>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20" w:firstLineChars="200"/>
        <w:rPr>
          <w:rFonts w:ascii="宋体" w:hAnsi="宋体" w:cs="宋体"/>
          <w:bCs/>
          <w:sz w:val="24"/>
          <w:highlight w:val="none"/>
        </w:rPr>
      </w:pPr>
      <w:r>
        <w:rPr>
          <w:rFonts w:ascii="宋体" w:hAnsi="宋体" w:cs="宋体" w:hint="eastAsia"/>
          <w:bCs/>
          <w:sz w:val="24"/>
          <w:highlight w:val="none"/>
        </w:rPr>
        <w:t>4.评审委员会有权对投标响应情况作出判断（作出评审结论）。</w:t>
      </w:r>
    </w:p>
    <w:p>
      <w:pPr>
        <w:ind w:firstLine="420" w:firstLineChars="200"/>
        <w:rPr>
          <w:rFonts w:ascii="宋体" w:hAnsi="宋体" w:cs="宋体"/>
          <w:b/>
          <w:sz w:val="24"/>
          <w:highlight w:val="none"/>
        </w:rPr>
      </w:pPr>
      <w:r>
        <w:rPr>
          <w:rFonts w:ascii="宋体" w:hAnsi="宋体" w:cs="宋体" w:hint="eastAsia"/>
          <w:bCs/>
          <w:sz w:val="24"/>
          <w:highlight w:val="none"/>
        </w:rPr>
        <w:t>5.实质性响应条款“投标响应情况”与投标文件其他内容冲突的，以实质性响应条款“投标响应情况”为准。</w:t>
      </w:r>
    </w:p>
    <w:p>
      <w:pPr>
        <w:autoSpaceDE w:val="0"/>
        <w:autoSpaceDN w:val="0"/>
        <w:spacing w:line="360" w:lineRule="auto"/>
        <w:jc w:val="cente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32"/>
          <w:szCs w:val="32"/>
          <w:highlight w:val="none"/>
        </w:rPr>
        <w:t>（四）商务部分</w:t>
      </w:r>
    </w:p>
    <w:p>
      <w:pPr>
        <w:rPr>
          <w:rFonts w:ascii="宋体" w:hAnsi="宋体" w:cs="宋体"/>
          <w:b/>
          <w:sz w:val="24"/>
          <w:highlight w:val="none"/>
        </w:rPr>
      </w:pPr>
      <w:r>
        <w:rPr>
          <w:rFonts w:ascii="宋体" w:hAnsi="宋体" w:cs="宋体" w:hint="eastAsia"/>
          <w:b/>
          <w:sz w:val="24"/>
          <w:highlight w:val="none"/>
        </w:rPr>
        <w:t>1、投标人综合概况</w:t>
      </w:r>
      <w:r>
        <w:rPr>
          <w:rFonts w:ascii="宋体" w:hAnsi="宋体" w:cs="宋体" w:hint="eastAsia"/>
          <w:b/>
          <w:sz w:val="24"/>
          <w:highlight w:val="none"/>
        </w:rPr>
        <w:tab/>
      </w:r>
    </w:p>
    <w:p>
      <w:pPr>
        <w:tabs>
          <w:tab w:val="left" w:pos="180"/>
        </w:tabs>
        <w:ind w:left="-240"/>
        <w:jc w:val="center"/>
        <w:rPr>
          <w:rFonts w:ascii="宋体" w:hAnsi="宋体" w:cs="宋体"/>
          <w:b/>
          <w:sz w:val="24"/>
          <w:highlight w:val="none"/>
        </w:rPr>
      </w:pPr>
      <w:r>
        <w:rPr>
          <w:rFonts w:ascii="宋体" w:hAnsi="宋体" w:cs="宋体" w:hint="eastAsia"/>
          <w:b/>
          <w:sz w:val="24"/>
          <w:highlight w:val="none"/>
        </w:rPr>
        <w:t>投标人情况介绍表</w:t>
      </w:r>
    </w:p>
    <w:tbl>
      <w:tblPr>
        <w:tblStyle w:val="TableNormal"/>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44"/>
        <w:gridCol w:w="1565"/>
        <w:gridCol w:w="1313"/>
        <w:gridCol w:w="370"/>
        <w:gridCol w:w="1250"/>
        <w:gridCol w:w="367"/>
        <w:gridCol w:w="893"/>
        <w:gridCol w:w="788"/>
        <w:gridCol w:w="135"/>
        <w:gridCol w:w="915"/>
      </w:tblGrid>
      <w:tr>
        <w:tblPrEx>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单位名称</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注册地址</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联系方式</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法人代表姓名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电话/技术职称</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授权代表姓名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电话/职务</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成立时间</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经济类型</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登记机关</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邮编</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联系人姓名电话</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传真</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trHeight w:val="1763"/>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单位简介及机构设置（</w:t>
            </w:r>
            <w:r>
              <w:rPr>
                <w:rFonts w:ascii="宋体" w:hAnsi="宋体" w:cs="宋体" w:hint="eastAsia"/>
                <w:sz w:val="24"/>
                <w:highlight w:val="none"/>
                <w:lang w:val="en-GB"/>
              </w:rPr>
              <w:t>单位性质、发展历程、经营规模及服务理念、主营产品、技术力量、实施履行本项目合同所必需的设备等）</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单位概况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注册资本</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占地面积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职工总数</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人</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建筑面积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资产情况</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净资产</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固定资产原值         万元</w:t>
            </w:r>
          </w:p>
        </w:tc>
      </w:tr>
      <w:tr>
        <w:tblPrEx>
          <w:tblW w:w="9840" w:type="dxa"/>
          <w:jc w:val="center"/>
          <w:tblLayout w:type="fixed"/>
          <w:tblCellMar>
            <w:top w:w="0" w:type="dxa"/>
            <w:left w:w="108" w:type="dxa"/>
            <w:bottom w:w="0" w:type="dxa"/>
            <w:right w:w="108" w:type="dxa"/>
          </w:tblCellMar>
        </w:tblPrEx>
        <w:trPr>
          <w:trHeight w:val="77"/>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固定资产净值         万元</w:t>
            </w: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财务状况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年度</w:t>
            </w:r>
          </w:p>
        </w:tc>
        <w:tc>
          <w:tcPr>
            <w:tcW w:w="1313"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主营收入</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收入总额</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利润总额（万元）</w:t>
            </w: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净利润</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负债率</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bl>
    <w:p>
      <w:pPr>
        <w:ind w:firstLine="420" w:firstLineChars="200"/>
        <w:rPr>
          <w:rFonts w:ascii="宋体" w:hAnsi="宋体" w:cs="宋体"/>
          <w:sz w:val="24"/>
          <w:highlight w:val="none"/>
          <w:lang w:val="en-GB"/>
        </w:rPr>
      </w:pPr>
      <w:r>
        <w:rPr>
          <w:rFonts w:ascii="宋体" w:hAnsi="宋体" w:cs="宋体" w:hint="eastAsia"/>
          <w:sz w:val="24"/>
          <w:highlight w:val="none"/>
        </w:rPr>
        <w:t>备</w:t>
      </w:r>
      <w:r>
        <w:rPr>
          <w:rFonts w:ascii="宋体" w:hAnsi="宋体" w:cs="宋体" w:hint="eastAsia"/>
          <w:sz w:val="24"/>
          <w:highlight w:val="none"/>
          <w:lang w:val="en-GB"/>
        </w:rPr>
        <w:t>注：</w:t>
      </w:r>
    </w:p>
    <w:p>
      <w:pPr>
        <w:ind w:firstLine="420" w:firstLineChars="200"/>
        <w:rPr>
          <w:rFonts w:ascii="宋体" w:hAnsi="宋体" w:cs="宋体"/>
          <w:sz w:val="24"/>
          <w:highlight w:val="none"/>
          <w:lang w:val="en-GB"/>
        </w:rPr>
      </w:pPr>
      <w:r>
        <w:rPr>
          <w:rFonts w:ascii="宋体" w:hAnsi="宋体" w:cs="宋体" w:hint="eastAsia"/>
          <w:sz w:val="24"/>
          <w:highlight w:val="none"/>
          <w:lang w:val="en-GB"/>
        </w:rPr>
        <w:t>1、文字描述：单位性质、发展历程、经营规模及服务理念、主营产品、技术力量、实施履行本项目合同所必需的设备等。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2、图片描述：经营场所、主要或关键产品介绍、生产场所及工艺流程等。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3、投标人应提供经中介机构审核过的审计报告的复印件（加盖公章）。</w:t>
      </w:r>
    </w:p>
    <w:p>
      <w:pPr>
        <w:ind w:firstLine="420" w:firstLineChars="200"/>
        <w:rPr>
          <w:rFonts w:ascii="宋体" w:hAnsi="宋体" w:cs="宋体"/>
          <w:sz w:val="24"/>
          <w:highlight w:val="none"/>
          <w:lang w:val="en-GB"/>
        </w:rPr>
      </w:pPr>
      <w:r>
        <w:rPr>
          <w:rFonts w:ascii="宋体" w:hAnsi="宋体" w:cs="宋体" w:hint="eastAsia"/>
          <w:sz w:val="24"/>
          <w:highlight w:val="none"/>
          <w:lang w:val="en-GB"/>
        </w:rPr>
        <w:t>4、如投标人此表数据有虚假，一经查实，自行承担相关责任。</w:t>
      </w:r>
    </w:p>
    <w:p>
      <w:pPr>
        <w:pStyle w:val="a0"/>
        <w:rPr>
          <w:rFonts w:ascii="宋体" w:hAnsi="宋体" w:cs="宋体"/>
          <w:b/>
          <w:spacing w:val="0"/>
          <w:kern w:val="2"/>
          <w:szCs w:val="24"/>
          <w:highlight w:val="none"/>
          <w:lang w:val="en-GB"/>
        </w:rPr>
      </w:pPr>
    </w:p>
    <w:p>
      <w:pPr>
        <w:tabs>
          <w:tab w:val="left" w:pos="540"/>
        </w:tabs>
        <w:outlineLvl w:val="1"/>
        <w:rPr>
          <w:rFonts w:ascii="宋体" w:hAnsi="宋体" w:cs="宋体"/>
          <w:b/>
          <w:sz w:val="24"/>
          <w:highlight w:val="none"/>
        </w:rPr>
      </w:pPr>
      <w:r>
        <w:rPr>
          <w:rFonts w:ascii="宋体" w:hAnsi="宋体" w:cs="宋体" w:hint="eastAsia"/>
          <w:b/>
          <w:highlight w:val="none"/>
        </w:rPr>
        <w:br w:type="page"/>
      </w:r>
    </w:p>
    <w:p>
      <w:pPr>
        <w:rPr>
          <w:rFonts w:ascii="宋体" w:hAnsi="宋体" w:cs="宋体" w:hint="eastAsia"/>
          <w:b/>
          <w:sz w:val="24"/>
          <w:highlight w:val="none"/>
        </w:rPr>
        <w:sectPr>
          <w:pgSz w:w="11906" w:h="16838"/>
          <w:pgMar w:top="1134" w:right="1134" w:bottom="1134" w:left="1134" w:header="851" w:footer="992" w:gutter="0"/>
          <w:pgBorders>
            <w:top w:val="nil"/>
            <w:left w:val="nil"/>
            <w:bottom w:val="nil"/>
            <w:right w:val="nil"/>
          </w:pgBorders>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lang w:val="en-US" w:eastAsia="zh-CN"/>
        </w:rPr>
        <w:t>2</w:t>
      </w:r>
      <w:r>
        <w:rPr>
          <w:rFonts w:ascii="宋体" w:hAnsi="宋体" w:cs="宋体" w:hint="eastAsia"/>
          <w:b/>
          <w:sz w:val="24"/>
          <w:highlight w:val="none"/>
        </w:rPr>
        <w:t>、</w:t>
      </w:r>
      <w:r>
        <w:rPr>
          <w:rFonts w:ascii="宋体" w:hAnsi="宋体" w:cs="宋体" w:hint="eastAsia"/>
          <w:b/>
          <w:sz w:val="24"/>
          <w:highlight w:val="none"/>
        </w:rPr>
        <w:fldChar w:fldCharType="begin"/>
      </w:r>
      <w:r>
        <w:rPr>
          <w:rFonts w:ascii="宋体" w:hAnsi="宋体" w:cs="宋体" w:hint="eastAsia"/>
          <w:b/>
          <w:sz w:val="24"/>
          <w:highlight w:val="none"/>
        </w:rPr>
        <w:instrText xml:space="preserve"> DOCVARIABLE  商务条款响应表开始  \* MERGEFORMAT </w:instrText>
      </w:r>
      <w:r>
        <w:rPr>
          <w:rFonts w:ascii="宋体" w:hAnsi="宋体" w:cs="宋体" w:hint="eastAsia"/>
          <w:b/>
          <w:sz w:val="24"/>
          <w:highlight w:val="none"/>
        </w:rPr>
        <w:fldChar w:fldCharType="separate"/>
      </w:r>
      <w:r>
        <w:rPr>
          <w:rFonts w:ascii="宋体" w:hAnsi="宋体" w:cs="宋体" w:hint="eastAsia"/>
          <w:b/>
          <w:sz w:val="24"/>
          <w:highlight w:val="none"/>
        </w:rPr>
        <w:fldChar w:fldCharType="end"/>
      </w:r>
      <w:r>
        <w:rPr>
          <w:rFonts w:ascii="宋体" w:hAnsi="宋体" w:cs="宋体" w:hint="eastAsia"/>
          <w:b/>
          <w:sz w:val="24"/>
          <w:highlight w:val="none"/>
        </w:rPr>
        <w:fldChar w:fldCharType="begin"/>
      </w:r>
      <w:r>
        <w:rPr>
          <w:rFonts w:ascii="宋体" w:hAnsi="宋体" w:cs="宋体" w:hint="eastAsia"/>
          <w:b/>
          <w:sz w:val="24"/>
          <w:highlight w:val="none"/>
        </w:rPr>
        <w:instrText xml:space="preserve"> DOCVARIABLE  商务条款响应表开始  \* MERGEFORMAT </w:instrText>
      </w:r>
      <w:r>
        <w:rPr>
          <w:rFonts w:ascii="宋体" w:hAnsi="宋体" w:cs="宋体" w:hint="eastAsia"/>
          <w:b/>
          <w:sz w:val="24"/>
          <w:highlight w:val="none"/>
        </w:rPr>
        <w:fldChar w:fldCharType="separate"/>
      </w:r>
      <w:r>
        <w:rPr>
          <w:rFonts w:ascii="宋体" w:hAnsi="宋体" w:cs="宋体" w:hint="eastAsia"/>
          <w:b/>
          <w:sz w:val="24"/>
          <w:highlight w:val="none"/>
        </w:rPr>
        <w:fldChar w:fldCharType="end"/>
      </w:r>
      <w:r>
        <w:rPr>
          <w:rFonts w:ascii="宋体" w:hAnsi="宋体" w:cs="宋体" w:hint="eastAsia"/>
          <w:b/>
          <w:sz w:val="24"/>
          <w:highlight w:val="none"/>
        </w:rPr>
        <w:t>商务条款偏离表</w:t>
      </w:r>
    </w:p>
    <w:tbl>
      <w:tblPr>
        <w:tblStyle w:val="TableNormal"/>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9"/>
        <w:gridCol w:w="3723"/>
        <w:gridCol w:w="1960"/>
        <w:gridCol w:w="1705"/>
        <w:gridCol w:w="1220"/>
      </w:tblGrid>
      <w:tr>
        <w:tblPrEx>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序号</w:t>
            </w:r>
          </w:p>
        </w:tc>
        <w:tc>
          <w:tcPr>
            <w:tcW w:w="3723" w:type="dxa"/>
            <w:vAlign w:val="center"/>
          </w:tcPr>
          <w:p>
            <w:pPr>
              <w:keepNext w:val="0"/>
              <w:keepLines w:val="0"/>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招标商务需求</w:t>
            </w:r>
          </w:p>
        </w:tc>
        <w:tc>
          <w:tcPr>
            <w:tcW w:w="1960"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投标商务响应</w:t>
            </w:r>
          </w:p>
        </w:tc>
        <w:tc>
          <w:tcPr>
            <w:tcW w:w="1705"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偏离情况</w:t>
            </w:r>
          </w:p>
        </w:tc>
        <w:tc>
          <w:tcPr>
            <w:tcW w:w="1220"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备注说明</w:t>
            </w: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widowControl/>
              <w:suppressLineNumbers w:val="0"/>
              <w:spacing w:before="0" w:beforeAutospacing="0" w:after="0" w:afterAutospacing="0"/>
              <w:ind w:left="0" w:right="0" w:firstLine="0" w:firstLineChars="0"/>
              <w:jc w:val="left"/>
              <w:rPr>
                <w:rFonts w:ascii="宋体" w:eastAsia="宋体" w:hAnsi="宋体" w:cs="宋体" w:hint="default"/>
                <w:b/>
                <w:sz w:val="24"/>
                <w:highlight w:val="none"/>
                <w:lang w:val="en-US" w:eastAsia="zh-CN"/>
              </w:rPr>
            </w:pPr>
            <w:r>
              <w:rPr>
                <w:rFonts w:ascii="宋体" w:hAnsi="宋体" w:cs="宋体" w:hint="eastAsia"/>
                <w:b/>
                <w:sz w:val="24"/>
                <w:highlight w:val="none"/>
                <w:lang w:val="en-US" w:eastAsia="zh-CN"/>
              </w:rPr>
              <w:t>本项目未设置非“★”项商务条款</w:t>
            </w: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jc w:val="left"/>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shd w:val="clear" w:color="auto" w:fill="auto"/>
            <w:vAlign w:val="top"/>
          </w:tcPr>
          <w:p>
            <w:pPr>
              <w:keepNext w:val="0"/>
              <w:keepLines w:val="0"/>
              <w:suppressLineNumbers w:val="0"/>
              <w:spacing w:before="0" w:beforeAutospacing="0" w:after="0" w:afterAutospacing="0"/>
              <w:ind w:left="0" w:right="0" w:firstLine="0" w:firstLineChars="0"/>
              <w:jc w:val="left"/>
              <w:rPr>
                <w:rFonts w:ascii="宋体" w:eastAsia="宋体" w:hAnsi="宋体" w:cs="宋体" w:hint="default"/>
                <w:b/>
                <w:kern w:val="2"/>
                <w:sz w:val="24"/>
                <w:szCs w:val="24"/>
                <w:highlight w:val="none"/>
                <w:lang w:val="en-US" w:eastAsia="zh-CN" w:bidi="ar-SA"/>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eastAsia="宋体" w:hAnsi="宋体" w:cs="宋体" w:hint="default"/>
                <w:bCs/>
                <w:sz w:val="24"/>
                <w:highlight w:val="none"/>
                <w:lang w:val="en-US" w:eastAsia="zh-CN"/>
              </w:rPr>
            </w:pPr>
            <w:r>
              <w:rPr>
                <w:rFonts w:ascii="宋体" w:hAnsi="宋体" w:cs="宋体" w:hint="eastAsia"/>
                <w:bCs/>
                <w:sz w:val="24"/>
                <w:highlight w:val="none"/>
                <w:lang w:val="en-US" w:eastAsia="zh-CN"/>
              </w:rPr>
              <w:t>...</w:t>
            </w: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bl>
    <w:p>
      <w:pPr>
        <w:adjustRightInd w:val="0"/>
        <w:snapToGrid w:val="0"/>
        <w:spacing w:line="300" w:lineRule="auto"/>
        <w:rPr>
          <w:rFonts w:ascii="宋体" w:hAnsi="宋体" w:cs="宋体"/>
          <w:szCs w:val="21"/>
          <w:highlight w:val="none"/>
        </w:rPr>
      </w:pPr>
      <w:r>
        <w:rPr>
          <w:rFonts w:ascii="宋体" w:hAnsi="宋体" w:cs="宋体" w:hint="eastAsia"/>
          <w:szCs w:val="21"/>
          <w:highlight w:val="none"/>
        </w:rPr>
        <w:t>《商务条款偏离表》编制指引：</w:t>
      </w:r>
    </w:p>
    <w:p>
      <w:pPr>
        <w:adjustRightInd w:val="0"/>
        <w:snapToGrid w:val="0"/>
        <w:ind w:firstLine="420" w:firstLineChars="200"/>
        <w:rPr>
          <w:rFonts w:ascii="宋体" w:hAnsi="宋体" w:cs="宋体"/>
          <w:color w:val="FF0000"/>
          <w:szCs w:val="21"/>
          <w:highlight w:val="none"/>
        </w:rPr>
      </w:pPr>
      <w:r>
        <w:rPr>
          <w:rFonts w:ascii="宋体" w:hAnsi="宋体" w:cs="宋体" w:hint="eastAsia"/>
          <w:color w:val="FF0000"/>
          <w:szCs w:val="21"/>
          <w:highlight w:val="none"/>
        </w:rPr>
        <w:t>1、非实质性商务条款（非“★”项）偏离表的序号、商务需求项、招标商务要求等栏目对应“用户需求书”中的“项目商务需求”章节非“★”项相关内容。</w:t>
      </w:r>
    </w:p>
    <w:p>
      <w:pPr>
        <w:adjustRightInd w:val="0"/>
        <w:snapToGrid w:val="0"/>
        <w:ind w:firstLine="420" w:firstLineChars="200"/>
        <w:rPr>
          <w:rFonts w:ascii="宋体" w:hAnsi="宋体" w:cs="宋体"/>
          <w:szCs w:val="21"/>
          <w:highlight w:val="none"/>
        </w:rPr>
      </w:pPr>
      <w:r>
        <w:rPr>
          <w:rFonts w:ascii="宋体" w:hAnsi="宋体" w:cs="宋体" w:hint="eastAsia"/>
          <w:szCs w:val="21"/>
          <w:highlight w:val="none"/>
        </w:rPr>
        <w:t>2、“投标商务响应”一栏必须一一对照“招标商务要求”，详细填写自身响应情况，而不能不合理照搬照抄招标文件的商务要求，以体现具体响应情况。</w:t>
      </w:r>
    </w:p>
    <w:p>
      <w:pPr>
        <w:adjustRightInd w:val="0"/>
        <w:snapToGrid w:val="0"/>
        <w:ind w:firstLine="420" w:firstLineChars="200"/>
        <w:rPr>
          <w:rFonts w:ascii="宋体" w:hAnsi="宋体" w:cs="宋体"/>
          <w:szCs w:val="21"/>
          <w:highlight w:val="none"/>
        </w:rPr>
      </w:pPr>
      <w:r>
        <w:rPr>
          <w:rFonts w:ascii="宋体" w:hAnsi="宋体" w:cs="宋体" w:hint="eastAsia"/>
          <w:szCs w:val="21"/>
          <w:highlight w:val="none"/>
        </w:rPr>
        <w:t>3、“偏离情况”一栏填写如实填写“正偏离”、“负偏离”或“无偏离”，其中：“正偏离”表示“投标响应优于招标商务要求”，“负偏离”表示“投标响应不满足招标商务要求”，“无偏离”表示“投标响应与招标商务要求一致”。</w:t>
      </w:r>
    </w:p>
    <w:p>
      <w:pPr>
        <w:rPr>
          <w:rFonts w:ascii="宋体" w:hAnsi="宋体" w:cs="宋体" w:hint="eastAsia"/>
          <w:b/>
          <w:sz w:val="24"/>
          <w:highlight w:val="none"/>
        </w:rPr>
        <w:sectPr>
          <w:pgSz w:w="11906" w:h="16838"/>
          <w:pgMar w:top="1134" w:right="1134" w:bottom="1134" w:left="1134" w:header="851" w:footer="992" w:gutter="0"/>
          <w:pgBorders>
            <w:top w:val="nil"/>
            <w:left w:val="nil"/>
            <w:bottom w:val="nil"/>
            <w:right w:val="nil"/>
          </w:pgBorders>
          <w:pgNumType w:fmt="decimal"/>
          <w:cols w:num="1" w:space="720"/>
          <w:docGrid w:type="lines" w:linePitch="312" w:charSpace="0"/>
        </w:sectPr>
      </w:pPr>
      <w:r>
        <w:rPr>
          <w:rFonts w:ascii="宋体" w:hAnsi="宋体" w:cs="宋体" w:hint="eastAsia"/>
          <w:szCs w:val="21"/>
          <w:highlight w:val="none"/>
        </w:rPr>
        <w:t>4、“投标商务响应”对比“招标商务要求”存在响应不全（包括未响应整项招标商务要求或者未响应一项招标商务要求的部分内容），均视为“负偏离”。</w:t>
      </w:r>
    </w:p>
    <w:p>
      <w:pPr>
        <w:rPr>
          <w:rFonts w:ascii="宋体" w:hAnsi="宋体" w:cs="宋体"/>
          <w:b/>
          <w:sz w:val="24"/>
          <w:highlight w:val="none"/>
        </w:rPr>
      </w:pPr>
      <w:r>
        <w:rPr>
          <w:rFonts w:ascii="宋体" w:hAnsi="宋体" w:cs="宋体" w:hint="eastAsia"/>
          <w:b/>
          <w:sz w:val="24"/>
          <w:highlight w:val="none"/>
        </w:rPr>
        <w:t>3、投标人同类项目业绩情况（按项目评审内容要求拟定，格式自拟）</w:t>
      </w:r>
    </w:p>
    <w:p>
      <w:pPr>
        <w:adjustRightInd w:val="0"/>
        <w:snapToGrid w:val="0"/>
        <w:spacing w:line="300" w:lineRule="auto"/>
        <w:rPr>
          <w:rFonts w:ascii="宋体" w:hAnsi="宋体" w:cs="宋体"/>
          <w:sz w:val="24"/>
          <w:highlight w:val="none"/>
        </w:rPr>
      </w:pPr>
    </w:p>
    <w:p>
      <w:pPr>
        <w:rPr>
          <w:rFonts w:ascii="宋体" w:hAnsi="宋体" w:cs="宋体"/>
          <w:sz w:val="24"/>
          <w:highlight w:val="none"/>
        </w:rPr>
      </w:pPr>
    </w:p>
    <w:p>
      <w:pPr>
        <w:pStyle w:val="BodyText"/>
        <w:rPr>
          <w:rFonts w:ascii="宋体" w:hAnsi="宋体" w:cs="宋体" w:hint="eastAsia"/>
          <w:b/>
          <w:sz w:val="24"/>
          <w:highlight w:val="none"/>
          <w:lang w:val="en-US" w:eastAsia="zh-CN"/>
        </w:rPr>
        <w:sectPr>
          <w:pgSz w:w="11906" w:h="16838"/>
          <w:pgMar w:top="1134" w:right="1134" w:bottom="1134" w:left="1134" w:header="851" w:footer="992" w:gutter="0"/>
          <w:pgBorders>
            <w:top w:val="nil"/>
            <w:left w:val="nil"/>
            <w:bottom w:val="nil"/>
            <w:right w:val="nil"/>
          </w:pgBorders>
          <w:pgNumType w:fmt="decimal"/>
          <w:cols w:num="1" w:space="720"/>
          <w:docGrid w:type="lines" w:linePitch="312" w:charSpace="0"/>
        </w:sectPr>
      </w:pPr>
      <w:r>
        <w:rPr>
          <w:rFonts w:ascii="宋体" w:hAnsi="宋体" w:cs="宋体" w:hint="eastAsia"/>
          <w:b/>
          <w:sz w:val="24"/>
          <w:highlight w:val="none"/>
        </w:rPr>
        <w:br w:type="page"/>
      </w:r>
      <w:r>
        <w:rPr>
          <w:rFonts w:ascii="宋体" w:hAnsi="宋体" w:cs="宋体" w:hint="eastAsia"/>
          <w:b/>
          <w:sz w:val="24"/>
          <w:highlight w:val="none"/>
          <w:lang w:val="en-US" w:eastAsia="zh-CN"/>
        </w:rPr>
        <w:t>4</w:t>
      </w:r>
      <w:r>
        <w:rPr>
          <w:rFonts w:ascii="宋体" w:hAnsi="宋体" w:cs="宋体" w:hint="eastAsia"/>
          <w:b/>
          <w:sz w:val="24"/>
          <w:highlight w:val="none"/>
        </w:rPr>
        <w:t>、履约评价（按项目评审内容要求拟定，格式自拟）</w:t>
      </w:r>
    </w:p>
    <w:p>
      <w:pPr>
        <w:pStyle w:val="BodyText"/>
        <w:rPr>
          <w:rFonts w:ascii="宋体" w:hAnsi="宋体" w:cs="宋体" w:hint="default"/>
          <w:b/>
          <w:sz w:val="24"/>
          <w:highlight w:val="none"/>
          <w:lang w:val="en-US" w:eastAsia="zh-CN"/>
        </w:rPr>
        <w:sectPr>
          <w:pgSz w:w="11906" w:h="16838"/>
          <w:pgMar w:top="1134" w:right="1134" w:bottom="1134" w:left="1134" w:header="851" w:footer="992" w:gutter="0"/>
          <w:pgBorders>
            <w:top w:val="nil"/>
            <w:left w:val="nil"/>
            <w:bottom w:val="nil"/>
            <w:right w:val="nil"/>
          </w:pgBorders>
          <w:pgNumType w:fmt="decimal"/>
          <w:cols w:num="1" w:space="720"/>
          <w:docGrid w:type="lines" w:linePitch="312" w:charSpace="0"/>
        </w:sectPr>
      </w:pPr>
      <w:r>
        <w:rPr>
          <w:rFonts w:ascii="宋体" w:hAnsi="宋体" w:cs="宋体" w:hint="eastAsia"/>
          <w:b/>
          <w:sz w:val="24"/>
          <w:highlight w:val="none"/>
          <w:lang w:val="en-US" w:eastAsia="zh-CN"/>
        </w:rPr>
        <w:t>5、投标人认证情况</w:t>
      </w:r>
      <w:r>
        <w:rPr>
          <w:rFonts w:ascii="宋体" w:hAnsi="宋体" w:cs="宋体" w:hint="eastAsia"/>
          <w:b/>
          <w:sz w:val="24"/>
          <w:highlight w:val="none"/>
        </w:rPr>
        <w:t>（按项目评审内容要求拟定，格式自拟）</w:t>
      </w:r>
    </w:p>
    <w:p>
      <w:pPr>
        <w:pStyle w:val="BodyText"/>
        <w:rPr>
          <w:highlight w:val="none"/>
        </w:rPr>
      </w:pPr>
      <w:r>
        <w:rPr>
          <w:rFonts w:ascii="宋体" w:hAnsi="宋体" w:cs="宋体" w:hint="eastAsia"/>
          <w:b/>
          <w:sz w:val="24"/>
          <w:highlight w:val="none"/>
          <w:lang w:val="en-US" w:eastAsia="zh-CN"/>
        </w:rPr>
        <w:t>6</w:t>
      </w:r>
      <w:r>
        <w:rPr>
          <w:rFonts w:ascii="宋体" w:hAnsi="宋体" w:cs="宋体" w:hint="eastAsia"/>
          <w:b/>
          <w:sz w:val="24"/>
          <w:highlight w:val="none"/>
        </w:rPr>
        <w:t>、投标人认为需要的其他资料（按项目评审内容要求拟定，格式自拟）</w:t>
      </w:r>
    </w:p>
    <w:p>
      <w:pPr>
        <w:pStyle w:val="BodyText"/>
        <w:rPr>
          <w:highlight w:val="none"/>
        </w:rPr>
      </w:pPr>
    </w:p>
    <w:p>
      <w:pPr>
        <w:rPr>
          <w:rFonts w:ascii="宋体" w:hAnsi="宋体" w:cs="宋体"/>
          <w:sz w:val="24"/>
          <w:highlight w:val="none"/>
        </w:rPr>
      </w:pPr>
    </w:p>
    <w:p>
      <w:pPr>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br w:type="page"/>
      </w:r>
    </w:p>
    <w:p>
      <w:pPr>
        <w:spacing w:before="25" w:after="25"/>
        <w:jc w:val="center"/>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t>（五）技术（服务）部分</w:t>
      </w:r>
    </w:p>
    <w:p>
      <w:pPr>
        <w:rPr>
          <w:rFonts w:ascii="宋体" w:hAnsi="宋体" w:cs="宋体"/>
          <w:b/>
          <w:sz w:val="24"/>
          <w:highlight w:val="none"/>
        </w:rPr>
      </w:pPr>
      <w:r>
        <w:rPr>
          <w:rFonts w:ascii="宋体" w:hAnsi="宋体" w:cs="宋体" w:hint="eastAsia"/>
          <w:b/>
          <w:sz w:val="24"/>
          <w:highlight w:val="none"/>
        </w:rPr>
        <w:t>1、技术（服务）要求偏离表</w:t>
      </w:r>
    </w:p>
    <w:tbl>
      <w:tblPr>
        <w:tblStyle w:val="TableNormal"/>
        <w:tblW w:w="45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08"/>
        <w:gridCol w:w="3526"/>
        <w:gridCol w:w="2889"/>
        <w:gridCol w:w="1115"/>
        <w:gridCol w:w="733"/>
      </w:tblGrid>
      <w:tr>
        <w:tblPrEx>
          <w:tblW w:w="45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bookmarkStart w:id="30" w:name="_Hlk72095977"/>
            <w:r>
              <w:rPr>
                <w:rFonts w:ascii="宋体" w:hAnsi="宋体" w:cs="宋体" w:hint="eastAsia"/>
                <w:b/>
                <w:bCs/>
                <w:color w:val="000000"/>
                <w:kern w:val="0"/>
                <w:szCs w:val="21"/>
                <w:highlight w:val="none"/>
              </w:rPr>
              <w:t>序号</w:t>
            </w:r>
          </w:p>
        </w:tc>
        <w:tc>
          <w:tcPr>
            <w:tcW w:w="1965"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技术标准要求</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投标技术响应</w:t>
            </w: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偏离情况</w:t>
            </w: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备注说明</w:t>
            </w:r>
          </w:p>
        </w:tc>
      </w:tr>
      <w:tr>
        <w:tblPrEx>
          <w:tblW w:w="4552" w:type="pct"/>
          <w:jc w:val="center"/>
          <w:tblLayout w:type="fixed"/>
          <w:tblCellMar>
            <w:top w:w="0" w:type="dxa"/>
            <w:left w:w="108" w:type="dxa"/>
            <w:bottom w:w="0" w:type="dxa"/>
            <w:right w:w="108" w:type="dxa"/>
          </w:tblCellMar>
        </w:tblPrEx>
        <w:trPr>
          <w:trHeight w:val="538"/>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color w:val="000000"/>
                <w:kern w:val="0"/>
                <w:szCs w:val="21"/>
                <w:highlight w:val="none"/>
              </w:rPr>
              <w:t>1</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b/>
                <w:bCs/>
                <w:szCs w:val="21"/>
                <w:highlight w:val="none"/>
              </w:rPr>
            </w:pP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2</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3</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4</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hAnsi="宋体" w:cs="宋体" w:hint="default"/>
                <w:szCs w:val="21"/>
                <w:highlight w:val="none"/>
              </w:rPr>
            </w:pP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5</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hAnsi="宋体" w:cs="宋体" w:hint="default"/>
                <w:szCs w:val="21"/>
                <w:highlight w:val="none"/>
              </w:rPr>
            </w:pP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6</w:t>
            </w:r>
          </w:p>
        </w:tc>
        <w:tc>
          <w:tcPr>
            <w:tcW w:w="1965" w:type="pct"/>
            <w:tcBorders>
              <w:tl2br w:val="nil"/>
              <w:tr2bl w:val="nil"/>
            </w:tcBorders>
            <w:shd w:val="clear" w:color="auto" w:fill="auto"/>
            <w:vAlign w:val="center"/>
          </w:tcPr>
          <w:p>
            <w:pPr>
              <w:keepNext w:val="0"/>
              <w:keepLines w:val="0"/>
              <w:widowControl w:val="0"/>
              <w:numPr>
                <w:ilvl w:val="0"/>
                <w:numId w:val="0"/>
              </w:numPr>
              <w:suppressLineNumbers w:val="0"/>
              <w:adjustRightInd w:val="0"/>
              <w:snapToGrid w:val="0"/>
              <w:spacing w:before="0" w:beforeAutospacing="0" w:after="0" w:afterAutospacing="0"/>
              <w:ind w:left="0" w:right="0" w:firstLine="0" w:firstLineChars="0"/>
              <w:textAlignment w:val="auto"/>
              <w:rPr>
                <w:rFonts w:ascii="宋体" w:hAnsi="宋体" w:cs="宋体" w:hint="default"/>
                <w:szCs w:val="21"/>
                <w:highlight w:val="none"/>
              </w:rPr>
            </w:pP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7</w:t>
            </w:r>
          </w:p>
        </w:tc>
        <w:tc>
          <w:tcPr>
            <w:tcW w:w="1965" w:type="pct"/>
            <w:tcBorders>
              <w:tl2br w:val="nil"/>
              <w:tr2bl w:val="nil"/>
            </w:tcBorders>
            <w:shd w:val="clear" w:color="auto" w:fill="auto"/>
            <w:vAlign w:val="center"/>
          </w:tcPr>
          <w:p>
            <w:pPr>
              <w:keepNext w:val="0"/>
              <w:keepLines w:val="0"/>
              <w:widowControl w:val="0"/>
              <w:numPr>
                <w:ilvl w:val="0"/>
                <w:numId w:val="0"/>
              </w:numPr>
              <w:suppressLineNumbers w:val="0"/>
              <w:adjustRightInd w:val="0"/>
              <w:snapToGrid w:val="0"/>
              <w:spacing w:before="0" w:beforeAutospacing="0" w:after="0" w:afterAutospacing="0"/>
              <w:ind w:left="0" w:right="0" w:firstLine="0" w:firstLineChars="0"/>
              <w:jc w:val="both"/>
              <w:rPr>
                <w:rFonts w:ascii="宋体" w:hAnsi="宋体" w:cs="宋体" w:hint="default"/>
                <w:sz w:val="21"/>
                <w:szCs w:val="21"/>
                <w:highlight w:val="none"/>
                <w:lang w:eastAsia="zh-CN"/>
              </w:rPr>
            </w:pP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8</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bl>
    <w:p>
      <w:pPr>
        <w:ind w:firstLine="420" w:firstLineChars="200"/>
        <w:rPr>
          <w:rFonts w:ascii="宋体" w:hAnsi="宋体" w:cs="宋体"/>
          <w:color w:val="FF0000"/>
          <w:szCs w:val="21"/>
          <w:highlight w:val="none"/>
        </w:rPr>
      </w:pPr>
      <w:r>
        <w:rPr>
          <w:rFonts w:ascii="宋体" w:hAnsi="宋体" w:cs="宋体" w:hint="eastAsia"/>
          <w:color w:val="FF0000"/>
          <w:szCs w:val="21"/>
          <w:highlight w:val="none"/>
        </w:rPr>
        <w:t>证明资料【如有，提供的证明资料应统一编号（排序），格式自定】</w:t>
      </w:r>
      <w:bookmarkEnd w:id="30"/>
      <w:r>
        <w:rPr>
          <w:rFonts w:ascii="宋体" w:hAnsi="宋体" w:cs="宋体" w:hint="eastAsia"/>
          <w:color w:val="FF0000"/>
          <w:szCs w:val="21"/>
          <w:highlight w:val="none"/>
        </w:rPr>
        <w:t>：</w:t>
      </w:r>
    </w:p>
    <w:p>
      <w:pPr>
        <w:rPr>
          <w:rFonts w:ascii="宋体" w:hAnsi="宋体" w:cs="宋体"/>
          <w:szCs w:val="21"/>
          <w:highlight w:val="none"/>
        </w:rPr>
      </w:pPr>
      <w:r>
        <w:rPr>
          <w:rFonts w:ascii="宋体" w:hAnsi="宋体" w:cs="宋体" w:hint="eastAsia"/>
          <w:szCs w:val="21"/>
          <w:highlight w:val="none"/>
        </w:rPr>
        <w:t>编制指引：</w:t>
      </w:r>
    </w:p>
    <w:p>
      <w:pPr>
        <w:ind w:firstLine="420" w:firstLineChars="200"/>
        <w:rPr>
          <w:rFonts w:ascii="宋体" w:hAnsi="宋体" w:cs="宋体"/>
          <w:szCs w:val="21"/>
          <w:highlight w:val="none"/>
        </w:rPr>
      </w:pPr>
      <w:r>
        <w:rPr>
          <w:rFonts w:ascii="宋体" w:hAnsi="宋体" w:cs="宋体" w:hint="eastAsia"/>
          <w:szCs w:val="21"/>
          <w:highlight w:val="none"/>
        </w:rPr>
        <w:t>1、《技术（服务）要求偏离表》的序号、招标服务要求等栏目</w:t>
      </w:r>
      <w:bookmarkStart w:id="31" w:name="_Hlk72094407"/>
      <w:r>
        <w:rPr>
          <w:rFonts w:ascii="宋体" w:hAnsi="宋体" w:cs="宋体" w:hint="eastAsia"/>
          <w:szCs w:val="21"/>
          <w:highlight w:val="none"/>
        </w:rPr>
        <w:t>对应</w:t>
      </w:r>
      <w:r>
        <w:rPr>
          <w:rFonts w:ascii="宋体" w:hAnsi="宋体" w:cs="宋体" w:hint="eastAsia"/>
          <w:b/>
          <w:bCs/>
          <w:szCs w:val="21"/>
          <w:highlight w:val="none"/>
        </w:rPr>
        <w:t>“用户需求书”中的“三、</w:t>
      </w:r>
      <w:r>
        <w:rPr>
          <w:rFonts w:ascii="宋体" w:hAnsi="宋体" w:cs="宋体" w:hint="eastAsia"/>
          <w:b/>
          <w:szCs w:val="21"/>
          <w:highlight w:val="none"/>
        </w:rPr>
        <w:t>技术要求</w:t>
      </w:r>
      <w:r>
        <w:rPr>
          <w:rFonts w:ascii="宋体" w:hAnsi="宋体" w:cs="宋体" w:hint="eastAsia"/>
          <w:b/>
          <w:bCs/>
          <w:szCs w:val="21"/>
          <w:highlight w:val="none"/>
        </w:rPr>
        <w:t>”</w:t>
      </w:r>
      <w:r>
        <w:rPr>
          <w:rFonts w:ascii="宋体" w:hAnsi="宋体" w:cs="宋体" w:hint="eastAsia"/>
          <w:szCs w:val="21"/>
          <w:highlight w:val="none"/>
        </w:rPr>
        <w:t>章节</w:t>
      </w:r>
      <w:bookmarkEnd w:id="31"/>
      <w:r>
        <w:rPr>
          <w:rFonts w:ascii="宋体" w:hAnsi="宋体" w:cs="宋体" w:hint="eastAsia"/>
          <w:szCs w:val="21"/>
          <w:highlight w:val="none"/>
        </w:rPr>
        <w:t>相关内容。</w:t>
      </w:r>
    </w:p>
    <w:p>
      <w:pPr>
        <w:ind w:firstLine="420" w:firstLineChars="200"/>
        <w:rPr>
          <w:rFonts w:ascii="宋体" w:hAnsi="宋体" w:cs="宋体"/>
          <w:szCs w:val="21"/>
          <w:highlight w:val="none"/>
        </w:rPr>
      </w:pPr>
      <w:r>
        <w:rPr>
          <w:rFonts w:ascii="宋体" w:hAnsi="宋体" w:cs="宋体" w:hint="eastAsia"/>
          <w:szCs w:val="21"/>
          <w:highlight w:val="none"/>
        </w:rPr>
        <w:t>2、“投标服务响应”一栏必须一一对照“招标服务要求”，详细填写投标人自身投标的具体参数，而不能不合理照搬照抄招标文件的服务要求，以体现具体响应情况。</w:t>
      </w:r>
    </w:p>
    <w:p>
      <w:pPr>
        <w:ind w:firstLine="420" w:firstLineChars="200"/>
        <w:rPr>
          <w:rFonts w:ascii="宋体" w:hAnsi="宋体" w:cs="宋体"/>
          <w:szCs w:val="21"/>
          <w:highlight w:val="none"/>
        </w:rPr>
      </w:pPr>
      <w:r>
        <w:rPr>
          <w:rFonts w:ascii="宋体" w:hAnsi="宋体" w:cs="宋体" w:hint="eastAsia"/>
          <w:szCs w:val="21"/>
          <w:highlight w:val="none"/>
        </w:rPr>
        <w:t>3、</w:t>
      </w:r>
      <w:bookmarkStart w:id="32" w:name="_Hlk72158270"/>
      <w:r>
        <w:rPr>
          <w:rFonts w:ascii="宋体" w:hAnsi="宋体" w:cs="宋体" w:hint="eastAsia"/>
          <w:szCs w:val="21"/>
          <w:highlight w:val="none"/>
        </w:rPr>
        <w:t>“偏离情况”</w:t>
      </w:r>
      <w:bookmarkEnd w:id="32"/>
      <w:r>
        <w:rPr>
          <w:rFonts w:ascii="宋体" w:hAnsi="宋体" w:cs="宋体" w:hint="eastAsia"/>
          <w:szCs w:val="21"/>
          <w:highlight w:val="none"/>
        </w:rPr>
        <w:t>一栏填写如实填写“正偏离”、“负偏离”或“无偏离”，其中：</w:t>
      </w:r>
      <w:bookmarkStart w:id="33" w:name="_Hlk72093866"/>
      <w:r>
        <w:rPr>
          <w:rFonts w:ascii="宋体" w:hAnsi="宋体" w:cs="宋体" w:hint="eastAsia"/>
          <w:szCs w:val="21"/>
          <w:highlight w:val="none"/>
        </w:rPr>
        <w:t>“正偏离”表示“投标响应优于招标服务要求”，“负偏离”表示“投标响应不满足招标服务要求”，“无偏离”表示“投标响应与招标服务要求一致”</w:t>
      </w:r>
      <w:bookmarkEnd w:id="33"/>
      <w:r>
        <w:rPr>
          <w:rFonts w:ascii="宋体" w:hAnsi="宋体" w:cs="宋体" w:hint="eastAsia"/>
          <w:szCs w:val="21"/>
          <w:highlight w:val="none"/>
        </w:rPr>
        <w:t>。“投标服务响应”对比“招标服务要求”存在响应不全（包括未响应整项招标服务要求或者未响应一项招标服务要求的部分内容），均视为“负偏离”。</w:t>
      </w:r>
    </w:p>
    <w:p>
      <w:pPr>
        <w:ind w:firstLine="420" w:firstLineChars="200"/>
        <w:rPr>
          <w:rFonts w:ascii="宋体" w:hAnsi="宋体" w:cs="宋体"/>
          <w:szCs w:val="21"/>
          <w:highlight w:val="none"/>
        </w:rPr>
      </w:pPr>
      <w:r>
        <w:rPr>
          <w:rFonts w:ascii="宋体" w:hAnsi="宋体" w:cs="宋体" w:hint="eastAsia"/>
          <w:szCs w:val="21"/>
          <w:highlight w:val="none"/>
        </w:rPr>
        <w:t>4、未要求提供证明资料的招标服务要求，可以不提供证明资料（如实响应即可）。</w:t>
      </w:r>
    </w:p>
    <w:p>
      <w:pPr>
        <w:ind w:firstLine="420" w:firstLineChars="200"/>
        <w:rPr>
          <w:rFonts w:ascii="宋体" w:hAnsi="宋体" w:cs="宋体"/>
          <w:szCs w:val="21"/>
          <w:highlight w:val="none"/>
        </w:rPr>
      </w:pPr>
      <w:r>
        <w:rPr>
          <w:rFonts w:ascii="宋体" w:hAnsi="宋体" w:cs="宋体" w:hint="eastAsia"/>
          <w:szCs w:val="21"/>
          <w:highlight w:val="none"/>
        </w:rPr>
        <w:t>5、</w:t>
      </w:r>
      <w:bookmarkStart w:id="34" w:name="_Hlk72096106"/>
      <w:r>
        <w:rPr>
          <w:rFonts w:ascii="宋体" w:hAnsi="宋体" w:cs="宋体" w:hint="eastAsia"/>
          <w:szCs w:val="21"/>
          <w:highlight w:val="none"/>
        </w:rPr>
        <w:t>证明资料条款响应要求</w:t>
      </w:r>
      <w:bookmarkEnd w:id="34"/>
      <w:r>
        <w:rPr>
          <w:rFonts w:ascii="宋体" w:hAnsi="宋体" w:cs="宋体" w:hint="eastAsia"/>
          <w:szCs w:val="21"/>
          <w:highlight w:val="none"/>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35" w:name="_Hlk73558782"/>
      <w:r>
        <w:rPr>
          <w:rFonts w:ascii="宋体" w:hAnsi="宋体" w:cs="宋体" w:hint="eastAsia"/>
          <w:szCs w:val="21"/>
          <w:highlight w:val="none"/>
        </w:rPr>
        <w:t>此类条款应严格依照要求的形式、内容提供证明资料，如未提供证明资料（或：证明资料的形式、内容等不符合要求；证明资料显示不符合招标服务要求；证明资料模糊不清无法判断或未显示是否满足招标服务要求），</w:t>
      </w:r>
      <w:bookmarkStart w:id="36" w:name="_Hlk73558164"/>
      <w:r>
        <w:rPr>
          <w:rFonts w:ascii="宋体" w:hAnsi="宋体" w:cs="宋体" w:hint="eastAsia"/>
          <w:szCs w:val="21"/>
          <w:highlight w:val="none"/>
        </w:rPr>
        <w:t>且投标人在“偏离情况”一栏响应为“正偏离”或“无偏离”的，经评审委员会认定，将判定为负偏离。</w:t>
      </w:r>
      <w:bookmarkEnd w:id="35"/>
      <w:bookmarkEnd w:id="36"/>
    </w:p>
    <w:p>
      <w:pPr>
        <w:ind w:firstLine="420" w:firstLineChars="200"/>
        <w:rPr>
          <w:rFonts w:ascii="宋体" w:hAnsi="宋体" w:cs="宋体"/>
          <w:szCs w:val="21"/>
          <w:highlight w:val="none"/>
        </w:rPr>
      </w:pPr>
      <w:r>
        <w:rPr>
          <w:rFonts w:ascii="宋体" w:hAnsi="宋体" w:cs="宋体" w:hint="eastAsia"/>
          <w:szCs w:val="21"/>
          <w:highlight w:val="none"/>
        </w:rPr>
        <w:t>6、</w:t>
      </w:r>
      <w:bookmarkStart w:id="37" w:name="_Hlk72096137"/>
      <w:r>
        <w:rPr>
          <w:rFonts w:ascii="宋体" w:hAnsi="宋体" w:cs="宋体" w:hint="eastAsia"/>
          <w:szCs w:val="21"/>
          <w:highlight w:val="none"/>
        </w:rPr>
        <w:t>表后“证明资料”部分内容的编制</w:t>
      </w:r>
      <w:bookmarkEnd w:id="37"/>
      <w:r>
        <w:rPr>
          <w:rFonts w:ascii="宋体" w:hAnsi="宋体" w:cs="宋体" w:hint="eastAsia"/>
          <w:szCs w:val="21"/>
          <w:highlight w:val="none"/>
        </w:rPr>
        <w:t>：提供的所有证明资料应当统一编号（排序），且证明资料的编号（顺序）、数量和名称（形式）均应与“说明”一栏所填内容保持一致（一一对应），以便评审委员会查看。</w:t>
      </w:r>
      <w:bookmarkStart w:id="38" w:name="_Hlk73558180"/>
      <w:r>
        <w:rPr>
          <w:rFonts w:ascii="宋体" w:hAnsi="宋体" w:cs="宋体" w:hint="eastAsia"/>
          <w:szCs w:val="21"/>
          <w:highlight w:val="none"/>
        </w:rPr>
        <w:t>未按照招标文件要求在表后放置证明材料的供应商将承担不利后果，经评审委员会认定，相关技术要求将判定为负偏离。</w:t>
      </w:r>
      <w:bookmarkEnd w:id="38"/>
    </w:p>
    <w:p>
      <w:pPr>
        <w:ind w:firstLine="420" w:firstLineChars="200"/>
        <w:rPr>
          <w:rFonts w:ascii="宋体" w:hAnsi="宋体" w:cs="宋体"/>
          <w:szCs w:val="21"/>
          <w:highlight w:val="none"/>
        </w:rPr>
      </w:pPr>
      <w:r>
        <w:rPr>
          <w:rFonts w:ascii="宋体" w:hAnsi="宋体" w:cs="宋体" w:hint="eastAsia"/>
          <w:szCs w:val="21"/>
          <w:highlight w:val="none"/>
        </w:rPr>
        <w:t>7、</w:t>
      </w:r>
      <w:bookmarkStart w:id="39" w:name="_Hlk72096176"/>
      <w:r>
        <w:rPr>
          <w:rFonts w:ascii="宋体" w:hAnsi="宋体" w:cs="宋体" w:hint="eastAsia"/>
          <w:szCs w:val="21"/>
          <w:highlight w:val="none"/>
        </w:rPr>
        <w:t>证明资料的形式及其他具体要求</w:t>
      </w:r>
      <w:bookmarkEnd w:id="39"/>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（1）除照片、图片（截图）及不需加盖公章的文字说明（技术说明）外，其他证明资料均要求为原件扫描件；</w:t>
      </w:r>
    </w:p>
    <w:p>
      <w:pPr>
        <w:ind w:firstLine="420" w:firstLineChars="200"/>
        <w:rPr>
          <w:rFonts w:ascii="宋体" w:hAnsi="宋体" w:cs="宋体"/>
          <w:szCs w:val="21"/>
          <w:highlight w:val="none"/>
        </w:rPr>
      </w:pPr>
      <w:r>
        <w:rPr>
          <w:rFonts w:ascii="宋体" w:hAnsi="宋体" w:cs="宋体" w:hint="eastAsia"/>
          <w:szCs w:val="21"/>
          <w:highlight w:val="none"/>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rFonts w:ascii="宋体" w:hAnsi="宋体" w:cs="宋体"/>
          <w:szCs w:val="21"/>
          <w:highlight w:val="none"/>
        </w:rPr>
      </w:pPr>
      <w:r>
        <w:rPr>
          <w:rFonts w:ascii="宋体" w:hAnsi="宋体" w:cs="宋体" w:hint="eastAsia"/>
          <w:szCs w:val="21"/>
          <w:highlight w:val="none"/>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我国政府机构出具的产品检验和核准证件应为证件正面、背面和附件标注的全部具体内容；产品检验和核准证件的尺寸和清晰度应该能够在电脑上被阅读、识别和判断；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其他证明资料的形式要求参照以上要求执行；</w:t>
      </w:r>
    </w:p>
    <w:p>
      <w:pPr>
        <w:ind w:firstLine="420" w:firstLineChars="200"/>
        <w:rPr>
          <w:rFonts w:ascii="宋体" w:hAnsi="宋体" w:cs="宋体"/>
          <w:szCs w:val="21"/>
          <w:highlight w:val="none"/>
        </w:rPr>
      </w:pPr>
      <w:r>
        <w:rPr>
          <w:rFonts w:ascii="宋体" w:hAnsi="宋体" w:cs="宋体" w:hint="eastAsia"/>
          <w:szCs w:val="21"/>
          <w:highlight w:val="none"/>
        </w:rPr>
        <w:t>（4）证明资料均要求原件备查。</w:t>
      </w:r>
    </w:p>
    <w:p>
      <w:pPr>
        <w:ind w:firstLine="420" w:firstLineChars="200"/>
        <w:rPr>
          <w:rFonts w:ascii="宋体" w:hAnsi="宋体" w:cs="宋体"/>
          <w:szCs w:val="21"/>
          <w:highlight w:val="none"/>
        </w:rPr>
      </w:pPr>
      <w:r>
        <w:rPr>
          <w:rFonts w:ascii="宋体" w:hAnsi="宋体" w:cs="宋体" w:hint="eastAsia"/>
          <w:szCs w:val="21"/>
          <w:highlight w:val="none"/>
        </w:rPr>
        <w:t>8、其他注意事项：</w:t>
      </w:r>
    </w:p>
    <w:p>
      <w:pPr>
        <w:ind w:firstLine="420" w:firstLineChars="200"/>
        <w:rPr>
          <w:rFonts w:ascii="宋体" w:hAnsi="宋体" w:cs="宋体"/>
          <w:szCs w:val="21"/>
          <w:highlight w:val="none"/>
        </w:rPr>
      </w:pPr>
      <w:r>
        <w:rPr>
          <w:rFonts w:ascii="宋体" w:hAnsi="宋体" w:cs="宋体" w:hint="eastAsia"/>
          <w:szCs w:val="21"/>
          <w:highlight w:val="none"/>
        </w:rPr>
        <w:t>（1）评审委员会有权对投标人的响应情况作出判断（评审结论）；</w:t>
      </w:r>
    </w:p>
    <w:p>
      <w:pPr>
        <w:ind w:firstLine="420" w:firstLineChars="200"/>
        <w:rPr>
          <w:rFonts w:ascii="宋体" w:hAnsi="宋体" w:cs="宋体"/>
          <w:szCs w:val="21"/>
          <w:highlight w:val="none"/>
          <w:lang w:val="en-GB"/>
        </w:rPr>
      </w:pPr>
      <w:r>
        <w:rPr>
          <w:rFonts w:ascii="宋体" w:hAnsi="宋体" w:cs="宋体" w:hint="eastAsia"/>
          <w:szCs w:val="21"/>
          <w:highlight w:val="none"/>
        </w:rPr>
        <w:t>（2）</w:t>
      </w:r>
      <w:bookmarkStart w:id="40" w:name="_Hlk72158213"/>
      <w:r>
        <w:rPr>
          <w:rFonts w:ascii="宋体" w:hAnsi="宋体" w:cs="宋体" w:hint="eastAsia"/>
          <w:szCs w:val="21"/>
          <w:highlight w:val="none"/>
        </w:rPr>
        <w:t>评审委员会有权对以谋取中标为目的的技术规格模糊响应（如有意不合理照搬照抄招标文件的技术要求）或虚假响应予以认定，并视情况经政府集中采购机构报主管部门进行处理。</w:t>
      </w:r>
      <w:bookmarkEnd w:id="40"/>
    </w:p>
    <w:p>
      <w:pPr>
        <w:pStyle w:val="Heading2"/>
        <w:ind w:firstLine="420" w:firstLineChars="200"/>
        <w:rPr>
          <w:rFonts w:ascii="宋体" w:eastAsia="宋体" w:hAnsi="宋体" w:cs="宋体"/>
          <w:color w:val="FF0000"/>
          <w:szCs w:val="21"/>
          <w:highlight w:val="none"/>
          <w:lang w:val="en-GB"/>
        </w:rPr>
      </w:pPr>
      <w:r>
        <w:rPr>
          <w:rFonts w:ascii="宋体" w:eastAsia="宋体" w:hAnsi="宋体" w:cs="宋体" w:hint="eastAsia"/>
          <w:color w:val="FF0000"/>
          <w:szCs w:val="21"/>
          <w:highlight w:val="none"/>
        </w:rPr>
        <w:t>9、</w:t>
      </w:r>
      <w:r>
        <w:rPr>
          <w:rFonts w:ascii="宋体" w:eastAsia="宋体" w:hAnsi="宋体" w:cs="宋体" w:hint="eastAsia"/>
          <w:color w:val="FF0000"/>
          <w:szCs w:val="21"/>
          <w:highlight w:val="none"/>
          <w:lang w:val="en-GB"/>
        </w:rPr>
        <w:t>投标人的“技术（服务）要求偏离表”等必须与客观实际保持一致，响应不实且情节严 重的，经查实，将依法记入供应商诚信档案或受到行政处罚。</w:t>
      </w:r>
    </w:p>
    <w:p>
      <w:pPr>
        <w:pStyle w:val="Heading2"/>
        <w:rPr>
          <w:rFonts w:ascii="宋体" w:hAnsi="宋体" w:cs="宋体"/>
          <w:szCs w:val="21"/>
          <w:highlight w:val="none"/>
          <w:lang w:val="en-GB"/>
        </w:rPr>
      </w:pPr>
    </w:p>
    <w:p>
      <w:pPr>
        <w:rPr>
          <w:highlight w:val="none"/>
          <w:lang w:val="en-GB"/>
        </w:rPr>
      </w:pPr>
    </w:p>
    <w:p>
      <w:pPr>
        <w:ind w:left="2" w:firstLine="470" w:firstLineChars="224"/>
        <w:rPr>
          <w:rFonts w:ascii="宋体" w:hAnsi="宋体" w:cs="宋体"/>
          <w:sz w:val="24"/>
          <w:highlight w:val="none"/>
        </w:rPr>
      </w:pPr>
    </w:p>
    <w:p>
      <w:pPr>
        <w:pStyle w:val="BodyText"/>
        <w:rPr>
          <w:rFonts w:ascii="宋体" w:hAnsi="宋体" w:cs="宋体"/>
          <w:sz w:val="24"/>
          <w:highlight w:val="none"/>
        </w:rPr>
      </w:pPr>
    </w:p>
    <w:p>
      <w:pPr>
        <w:pStyle w:val="BodyText2"/>
        <w:rPr>
          <w:rFonts w:cs="宋体"/>
          <w:highlight w:val="none"/>
        </w:rPr>
      </w:pPr>
    </w:p>
    <w:p>
      <w:pPr>
        <w:pStyle w:val="BodyText2"/>
        <w:rPr>
          <w:rFonts w:cs="宋体"/>
          <w:highlight w:val="none"/>
        </w:rPr>
      </w:pPr>
    </w:p>
    <w:p>
      <w:pPr>
        <w:pStyle w:val="BodyText2"/>
        <w:rPr>
          <w:rFonts w:cs="宋体"/>
          <w:highlight w:val="none"/>
        </w:rPr>
      </w:pPr>
    </w:p>
    <w:p>
      <w:pPr>
        <w:rPr>
          <w:rFonts w:ascii="宋体" w:hAnsi="宋体" w:cs="宋体" w:hint="eastAsia"/>
          <w:b/>
          <w:sz w:val="24"/>
          <w:highlight w:val="none"/>
        </w:rPr>
        <w:sectPr>
          <w:pgSz w:w="11906" w:h="16838"/>
          <w:pgMar w:top="1134" w:right="1134" w:bottom="1134" w:left="1134" w:header="851" w:footer="992" w:gutter="0"/>
          <w:pgBorders>
            <w:top w:val="nil"/>
            <w:left w:val="nil"/>
            <w:bottom w:val="nil"/>
            <w:right w:val="nil"/>
          </w:pgBorders>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rPr>
        <w:t>2、实施方案 （工作措施、工作方法、工作手段、工作流程）（按项目评审内容要求拟订方案具体内容，格式自拟）</w:t>
      </w:r>
    </w:p>
    <w:p>
      <w:pPr>
        <w:rPr>
          <w:rFonts w:ascii="宋体" w:hAnsi="宋体" w:cs="宋体"/>
          <w:b/>
          <w:sz w:val="32"/>
          <w:szCs w:val="32"/>
          <w:highlight w:val="none"/>
        </w:rPr>
      </w:pPr>
    </w:p>
    <w:p>
      <w:pPr>
        <w:rPr>
          <w:rFonts w:ascii="宋体" w:hAnsi="宋体" w:cs="宋体"/>
          <w:b/>
          <w:sz w:val="32"/>
          <w:szCs w:val="32"/>
          <w:highlight w:val="none"/>
        </w:rPr>
      </w:pPr>
    </w:p>
    <w:p>
      <w:pPr>
        <w:rPr>
          <w:rFonts w:ascii="宋体" w:hAnsi="宋体" w:cs="宋体"/>
          <w:b/>
          <w:sz w:val="32"/>
          <w:szCs w:val="32"/>
          <w:highlight w:val="none"/>
        </w:rPr>
      </w:pPr>
      <w:r>
        <w:rPr>
          <w:rFonts w:ascii="宋体" w:hAnsi="宋体" w:cs="宋体"/>
          <w:b/>
          <w:sz w:val="32"/>
          <w:szCs w:val="32"/>
          <w:highlight w:val="none"/>
        </w:rPr>
        <w:br w:type="page"/>
      </w:r>
    </w:p>
    <w:p>
      <w:pPr>
        <w:pStyle w:val="10"/>
        <w:rPr>
          <w:rFonts w:ascii="宋体" w:hAnsi="宋体" w:cs="宋体" w:hint="eastAsia"/>
          <w:b/>
          <w:sz w:val="24"/>
          <w:highlight w:val="none"/>
        </w:rPr>
        <w:sectPr>
          <w:pgSz w:w="11906" w:h="16838"/>
          <w:pgMar w:top="1134" w:right="1134" w:bottom="1134" w:left="1134" w:header="851" w:footer="992" w:gutter="0"/>
          <w:pgBorders>
            <w:top w:val="nil"/>
            <w:left w:val="nil"/>
            <w:bottom w:val="nil"/>
            <w:right w:val="nil"/>
          </w:pgBorders>
          <w:pgNumType w:fmt="decimal"/>
          <w:cols w:num="1" w:space="720"/>
          <w:docGrid w:type="lines" w:linePitch="312" w:charSpace="0"/>
        </w:sectPr>
      </w:pPr>
    </w:p>
    <w:p>
      <w:pPr>
        <w:pStyle w:val="10"/>
        <w:rPr>
          <w:rFonts w:ascii="宋体" w:hAnsi="宋体" w:cs="宋体" w:hint="eastAsia"/>
          <w:b/>
          <w:sz w:val="24"/>
          <w:highlight w:val="none"/>
        </w:rPr>
        <w:sectPr>
          <w:pgSz w:w="11906" w:h="16838"/>
          <w:pgMar w:top="1134" w:right="1134" w:bottom="1134" w:left="1134" w:header="851" w:footer="992" w:gutter="0"/>
          <w:pgBorders>
            <w:top w:val="nil"/>
            <w:left w:val="nil"/>
            <w:bottom w:val="nil"/>
            <w:right w:val="nil"/>
          </w:pgBorders>
          <w:pgNumType w:fmt="decimal"/>
          <w:cols w:num="1" w:space="720"/>
          <w:docGrid w:type="lines" w:linePitch="312" w:charSpace="0"/>
        </w:sectPr>
      </w:pPr>
      <w:r>
        <w:rPr>
          <w:rFonts w:ascii="宋体" w:hAnsi="宋体" w:cs="宋体" w:hint="eastAsia"/>
          <w:b/>
          <w:sz w:val="24"/>
          <w:highlight w:val="none"/>
          <w:lang w:val="en-US" w:eastAsia="zh-CN"/>
        </w:rPr>
        <w:t>3、项目重点难点分析、应对措施及相关的合理化建议</w:t>
      </w:r>
      <w:r>
        <w:rPr>
          <w:rFonts w:ascii="宋体" w:hAnsi="宋体" w:cs="宋体" w:hint="eastAsia"/>
          <w:b/>
          <w:sz w:val="24"/>
          <w:highlight w:val="none"/>
        </w:rPr>
        <w:t>（按项目评审内容要求拟订方案具体内容，格式自拟）</w:t>
      </w:r>
    </w:p>
    <w:p>
      <w:pPr>
        <w:pStyle w:val="10"/>
        <w:rPr>
          <w:rFonts w:ascii="宋体" w:hAnsi="宋体" w:cs="宋体" w:hint="eastAsia"/>
          <w:b/>
          <w:sz w:val="24"/>
          <w:highlight w:val="none"/>
        </w:rPr>
        <w:sectPr>
          <w:pgSz w:w="11906" w:h="16838"/>
          <w:pgMar w:top="1134" w:right="1134" w:bottom="1134" w:left="1134" w:header="851" w:footer="992" w:gutter="0"/>
          <w:pgBorders>
            <w:top w:val="nil"/>
            <w:left w:val="nil"/>
            <w:bottom w:val="nil"/>
            <w:right w:val="nil"/>
          </w:pgBorders>
          <w:pgNumType w:fmt="decimal"/>
          <w:cols w:num="1" w:space="720"/>
          <w:docGrid w:type="lines" w:linePitch="312" w:charSpace="0"/>
        </w:sectPr>
      </w:pPr>
      <w:r>
        <w:rPr>
          <w:rFonts w:ascii="宋体" w:hAnsi="宋体" w:cs="宋体" w:hint="eastAsia"/>
          <w:b/>
          <w:sz w:val="24"/>
          <w:highlight w:val="none"/>
          <w:lang w:val="en-US" w:eastAsia="zh-CN"/>
        </w:rPr>
        <w:t>4、质量（完成时间、安全、环保）保障措施及方案</w:t>
      </w:r>
      <w:r>
        <w:rPr>
          <w:rFonts w:ascii="宋体" w:hAnsi="宋体" w:cs="宋体" w:hint="eastAsia"/>
          <w:b/>
          <w:sz w:val="24"/>
          <w:highlight w:val="none"/>
        </w:rPr>
        <w:t>（按项目评审内容要求拟订方案具体内容，格式自拟）</w:t>
      </w:r>
    </w:p>
    <w:p>
      <w:pPr>
        <w:pStyle w:val="10"/>
        <w:rPr>
          <w:rFonts w:ascii="宋体" w:hAnsi="宋体" w:cs="宋体" w:hint="eastAsia"/>
          <w:b/>
          <w:sz w:val="24"/>
          <w:highlight w:val="none"/>
        </w:rPr>
        <w:sectPr>
          <w:pgSz w:w="11906" w:h="16838"/>
          <w:pgMar w:top="1134" w:right="1134" w:bottom="1134" w:left="1134" w:header="851" w:footer="992" w:gutter="0"/>
          <w:pgBorders>
            <w:top w:val="nil"/>
            <w:left w:val="nil"/>
            <w:bottom w:val="nil"/>
            <w:right w:val="nil"/>
          </w:pgBorders>
          <w:pgNumType w:fmt="decimal"/>
          <w:cols w:num="1" w:space="720"/>
          <w:docGrid w:type="lines" w:linePitch="312" w:charSpace="0"/>
        </w:sectPr>
      </w:pPr>
      <w:r>
        <w:rPr>
          <w:rFonts w:ascii="宋体" w:hAnsi="宋体" w:cs="宋体" w:hint="eastAsia"/>
          <w:b/>
          <w:sz w:val="24"/>
          <w:highlight w:val="none"/>
          <w:lang w:val="en-US" w:eastAsia="zh-CN"/>
        </w:rPr>
        <w:t>5、法务保障应对护理事故纠纷处理能力</w:t>
      </w:r>
      <w:r>
        <w:rPr>
          <w:rFonts w:ascii="宋体" w:hAnsi="宋体" w:cs="宋体" w:hint="eastAsia"/>
          <w:b/>
          <w:sz w:val="24"/>
          <w:highlight w:val="none"/>
        </w:rPr>
        <w:t>（按项目评审内容要求拟订方案具体内容，格式自拟）</w:t>
      </w:r>
    </w:p>
    <w:p>
      <w:pPr>
        <w:pStyle w:val="10"/>
        <w:rPr>
          <w:rFonts w:ascii="宋体" w:hAnsi="宋体" w:cs="宋体" w:hint="default"/>
          <w:b/>
          <w:sz w:val="24"/>
          <w:highlight w:val="none"/>
          <w:lang w:val="en-US" w:eastAsia="zh-CN"/>
        </w:rPr>
        <w:sectPr>
          <w:pgSz w:w="11906" w:h="16838"/>
          <w:pgMar w:top="1134" w:right="1134" w:bottom="1134" w:left="1134" w:header="851" w:footer="992" w:gutter="0"/>
          <w:pgBorders>
            <w:top w:val="nil"/>
            <w:left w:val="nil"/>
            <w:bottom w:val="nil"/>
            <w:right w:val="nil"/>
          </w:pgBorders>
          <w:pgNumType w:fmt="decimal"/>
          <w:cols w:num="1" w:space="720"/>
          <w:docGrid w:type="lines" w:linePitch="312" w:charSpace="0"/>
        </w:sectPr>
      </w:pPr>
      <w:r>
        <w:rPr>
          <w:rFonts w:ascii="宋体" w:hAnsi="宋体" w:cs="宋体" w:hint="eastAsia"/>
          <w:b/>
          <w:sz w:val="24"/>
          <w:highlight w:val="none"/>
          <w:lang w:val="en-US" w:eastAsia="zh-CN"/>
        </w:rPr>
        <w:t>6、项目组织管理承诺</w:t>
      </w:r>
      <w:r>
        <w:rPr>
          <w:rFonts w:ascii="宋体" w:hAnsi="宋体" w:cs="宋体" w:hint="eastAsia"/>
          <w:b/>
          <w:sz w:val="24"/>
          <w:highlight w:val="none"/>
        </w:rPr>
        <w:t>（按项目评审内容要求拟订方案具体内容，格式自拟）</w:t>
      </w:r>
    </w:p>
    <w:p>
      <w:pPr>
        <w:pStyle w:val="10"/>
        <w:rPr>
          <w:rFonts w:ascii="宋体" w:hAnsi="宋体" w:cs="宋体" w:hint="default"/>
          <w:b/>
          <w:sz w:val="24"/>
          <w:highlight w:val="none"/>
          <w:lang w:val="en-US" w:eastAsia="zh-CN"/>
        </w:rPr>
      </w:pPr>
      <w:r>
        <w:rPr>
          <w:rFonts w:ascii="宋体" w:hAnsi="宋体" w:cs="宋体" w:hint="eastAsia"/>
          <w:b/>
          <w:sz w:val="24"/>
          <w:highlight w:val="none"/>
          <w:lang w:val="en-US" w:eastAsia="zh-CN"/>
        </w:rPr>
        <w:t>7</w:t>
      </w:r>
      <w:r>
        <w:rPr>
          <w:rFonts w:ascii="宋体" w:hAnsi="宋体" w:cs="宋体" w:hint="eastAsia"/>
          <w:b/>
          <w:sz w:val="24"/>
          <w:highlight w:val="none"/>
        </w:rPr>
        <w:t>、</w:t>
      </w:r>
      <w:bookmarkStart w:id="41" w:name="OLE_LINK13"/>
      <w:r>
        <w:rPr>
          <w:rFonts w:ascii="宋体" w:hAnsi="宋体" w:cs="宋体" w:hint="eastAsia"/>
          <w:b/>
          <w:sz w:val="24"/>
          <w:highlight w:val="none"/>
        </w:rPr>
        <w:t>投标人认为需要的其他资料（按项目评审内容要求拟定，格式自拟）</w:t>
      </w:r>
      <w:bookmarkEnd w:id="41"/>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rPr>
          <w:rFonts w:ascii="宋体" w:hAnsi="宋体" w:cs="宋体"/>
          <w:b/>
          <w:sz w:val="24"/>
          <w:highlight w:val="none"/>
        </w:rPr>
      </w:pPr>
      <w:r>
        <w:rPr>
          <w:rFonts w:ascii="宋体" w:hAnsi="宋体" w:cs="宋体" w:hint="eastAsia"/>
          <w:b/>
          <w:sz w:val="24"/>
          <w:highlight w:val="none"/>
        </w:rPr>
        <w:br w:type="page"/>
      </w:r>
    </w:p>
    <w:p>
      <w:pPr>
        <w:rPr>
          <w:rFonts w:ascii="宋体" w:hAnsi="宋体" w:cs="宋体"/>
          <w:b/>
          <w:sz w:val="32"/>
          <w:szCs w:val="32"/>
          <w:highlight w:val="none"/>
        </w:rPr>
      </w:pPr>
      <w:r>
        <w:rPr>
          <w:rFonts w:ascii="宋体" w:hAnsi="宋体" w:cs="宋体" w:hint="eastAsia"/>
          <w:b/>
          <w:sz w:val="32"/>
          <w:szCs w:val="32"/>
          <w:highlight w:val="none"/>
        </w:rPr>
        <w:t>（六）其他</w:t>
      </w:r>
      <w:r>
        <w:rPr>
          <w:rFonts w:ascii="宋体" w:hAnsi="宋体" w:cs="宋体" w:hint="eastAsia"/>
          <w:b/>
          <w:bCs/>
          <w:spacing w:val="10"/>
          <w:kern w:val="0"/>
          <w:sz w:val="32"/>
          <w:szCs w:val="32"/>
          <w:highlight w:val="none"/>
        </w:rPr>
        <w:t>招标文件要求的内容及投标人认为需要补充的内容</w:t>
      </w:r>
    </w:p>
    <w:p>
      <w:pPr>
        <w:rPr>
          <w:rFonts w:ascii="宋体" w:hAnsi="宋体" w:cs="宋体"/>
          <w:sz w:val="24"/>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备注：</w:t>
      </w:r>
    </w:p>
    <w:p>
      <w:pPr>
        <w:rPr>
          <w:rFonts w:ascii="宋体" w:hAnsi="宋体" w:cs="宋体"/>
          <w:sz w:val="24"/>
          <w:highlight w:val="none"/>
        </w:rPr>
      </w:pPr>
      <w:r>
        <w:rPr>
          <w:rFonts w:ascii="宋体" w:hAnsi="宋体" w:cs="宋体" w:hint="eastAsia"/>
          <w:sz w:val="24"/>
          <w:highlight w:val="none"/>
        </w:rPr>
        <w:t>1.本项目为网上电子投标项目，投标文件不需法人或授权委托人另行签字，无需加盖单位公章，招标文件另有规定的除外。</w:t>
      </w:r>
    </w:p>
    <w:p>
      <w:pPr>
        <w:adjustRightInd w:val="0"/>
        <w:spacing w:line="480" w:lineRule="atLeast"/>
        <w:textAlignment w:val="baseline"/>
        <w:rPr>
          <w:rFonts w:ascii="宋体" w:hAnsi="宋体" w:cs="宋体"/>
          <w:kern w:val="0"/>
          <w:sz w:val="24"/>
          <w:szCs w:val="20"/>
          <w:highlight w:val="none"/>
          <w:lang w:val="en-GB"/>
        </w:rPr>
      </w:pPr>
      <w:r>
        <w:rPr>
          <w:rFonts w:ascii="宋体" w:hAnsi="宋体" w:cs="宋体" w:hint="eastAsia"/>
          <w:b/>
          <w:kern w:val="0"/>
          <w:sz w:val="24"/>
          <w:highlight w:val="none"/>
        </w:rPr>
        <w:t>2.关于“开标一览表”的评标说明：“开标一览表”中除“投标总价”外，其他信息不作评审依据。</w:t>
      </w:r>
    </w:p>
    <w:p>
      <w:pPr>
        <w:adjustRightInd w:val="0"/>
        <w:snapToGrid w:val="0"/>
        <w:spacing w:line="300" w:lineRule="auto"/>
        <w:rPr>
          <w:rFonts w:ascii="宋体" w:hAnsi="宋体" w:cs="宋体"/>
          <w:szCs w:val="21"/>
          <w:highlight w:val="none"/>
        </w:rPr>
      </w:pPr>
      <w:bookmarkEnd w:id="20"/>
      <w:bookmarkEnd w:id="21"/>
      <w:bookmarkEnd w:id="22"/>
      <w:bookmarkEnd w:id="23"/>
      <w:bookmarkEnd w:id="24"/>
      <w:bookmarkEnd w:id="25"/>
      <w:bookmarkEnd w:id="26"/>
    </w:p>
    <w:p>
      <w:pPr>
        <w:pStyle w:val="Heading1"/>
        <w:spacing w:before="0" w:after="0" w:line="240" w:lineRule="auto"/>
        <w:jc w:val="center"/>
        <w:rPr>
          <w:rFonts w:ascii="宋体" w:hAnsi="宋体" w:cs="宋体"/>
          <w:highlight w:val="none"/>
        </w:rPr>
      </w:pPr>
    </w:p>
    <w:p>
      <w:pPr>
        <w:rPr>
          <w:highlight w:val="none"/>
        </w:rPr>
      </w:pPr>
    </w:p>
    <w:p>
      <w:pPr>
        <w:rPr>
          <w:rFonts w:ascii="Times New Roman" w:eastAsia="宋体" w:hAnsi="Times New Roman" w:cs="Times New Roman"/>
          <w:kern w:val="2"/>
          <w:sz w:val="21"/>
          <w:szCs w:val="24"/>
          <w:highlight w:val="none"/>
          <w:lang w:val="en-US" w:eastAsia="zh-CN" w:bidi="ar-SA"/>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jc w:val="center"/>
        <w:rPr>
          <w:highlight w:val="none"/>
          <w:lang w:val="en-US" w:eastAsia="zh-CN"/>
        </w:rPr>
      </w:pPr>
    </w:p>
    <w:sectPr>
      <w:pgSz w:w="11906" w:h="16838"/>
      <w:pgMar w:top="1134" w:right="1134" w:bottom="1134" w:left="1134" w:header="851" w:footer="992" w:gutter="0"/>
      <w:pgBorders>
        <w:top w:val="nil"/>
        <w:left w:val="nil"/>
        <w:bottom w:val="nil"/>
        <w:right w:val="nil"/>
      </w:pgBorders>
      <w:pgNumType w:fmt="decimal"/>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Helvetica Neue">
    <w:altName w:val="Times New Roman"/>
    <w:panose1 w:val="00000000000000000000"/>
    <w:charset w:val="00"/>
    <w:family w:val="auto"/>
    <w:pitch w:val="default"/>
    <w:sig w:usb0="00000000" w:usb1="00000000" w:usb2="00000010" w:usb3="00000000" w:csb0="0000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Fonts w:hint="default"/>
      </w:rPr>
    </w:pPr>
    <w:r>
      <w:fldChar w:fldCharType="begin"/>
    </w:r>
    <w:r>
      <w:rPr>
        <w:rStyle w:val="PageNumber"/>
      </w:rPr>
      <w:instrText xml:space="preserve">PAGE  </w:instrText>
    </w:r>
    <w:r>
      <w:fldChar w:fldCharType="separate"/>
    </w:r>
    <w:r>
      <w:fldChar w:fldCharType="end"/>
    </w:r>
  </w:p>
  <w:p>
    <w:pPr>
      <w:pStyle w:val="Footer"/>
      <w:ind w:right="360"/>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spacing w:after="160" w:line="259" w:lineRule="auto"/>
      <w:rPr>
        <w:rFonts w:ascii="宋体" w:hAnsi="宋体"/>
        <w:sz w:val="18"/>
        <w:szCs w:val="18"/>
      </w:rPr>
    </w:pPr>
    <w:r>
      <w:rPr>
        <w:sz w:val="18"/>
      </w:rPr>
      <w:pict>
        <v:shapetype id="_x0000_t202" coordsize="21600,21600" o:spt="202" path="m,l,21600r21600,l21600,xe">
          <v:stroke joinstyle="miter"/>
          <v:path gradientshapeok="t" o:connecttype="rect"/>
        </v:shapetype>
        <v:shape id="_x0000_s2049" o:spid="_x0000_s2049" type="#_x0000_t202" style="height:2in;margin-left:0;margin-top:0;mso-height-relative:page;mso-position-horizontal:center;mso-position-horizontal-relative:margin;mso-width-relative:page;mso-wrap-style:none;position:absolute;width:2in;z-index:251658240" coordsize="21600,21600" filled="f" stroked="f">
          <v:stroke joinstyle="miter"/>
          <o:lock v:ext="edit" aspectratio="f"/>
          <v:textbox style="mso-fit-shape-to-text:t" inset="0,0,0,0">
            <w:txbxContent>
              <w:p>
                <w:pPr>
                  <w:pStyle w:val="Footer"/>
                  <w:rPr>
                    <w:rFonts w:hint="default"/>
                  </w:rPr>
                </w:pPr>
                <w:r>
                  <w:rPr>
                    <w:rFonts w:hint="default"/>
                  </w:rPr>
                  <w:t xml:space="preserve">第 </w:t>
                </w:r>
                <w:r>
                  <w:rPr>
                    <w:rFonts w:hint="default"/>
                  </w:rPr>
                  <w:fldChar w:fldCharType="begin"/>
                </w:r>
                <w:r>
                  <w:rPr>
                    <w:rFonts w:hint="default"/>
                  </w:rPr>
                  <w:instrText xml:space="preserve"> PAGE  \* MERGEFORMAT </w:instrText>
                </w:r>
                <w:r>
                  <w:rPr>
                    <w:rFonts w:hint="default"/>
                  </w:rPr>
                  <w:fldChar w:fldCharType="separate"/>
                </w:r>
                <w:r>
                  <w:rPr>
                    <w:rFonts w:hint="default"/>
                  </w:rPr>
                  <w:t>47</w:t>
                </w:r>
                <w:r>
                  <w:rPr>
                    <w:rFonts w:hint="default"/>
                  </w:rPr>
                  <w:fldChar w:fldCharType="end"/>
                </w:r>
                <w:r>
                  <w:rPr>
                    <w:rFonts w:hint="default"/>
                  </w:rPr>
                  <w:t xml:space="preserve"> 页 共 </w:t>
                </w:r>
                <w:r>
                  <w:rPr>
                    <w:rFonts w:hint="default"/>
                  </w:rPr>
                  <w:fldChar w:fldCharType="begin"/>
                </w:r>
                <w:r>
                  <w:rPr>
                    <w:rFonts w:hint="default"/>
                  </w:rPr>
                  <w:instrText xml:space="preserve"> NUMPAGES  \* MERGEFORMAT </w:instrText>
                </w:r>
                <w:r>
                  <w:rPr>
                    <w:rFonts w:hint="default"/>
                  </w:rPr>
                  <w:fldChar w:fldCharType="separate"/>
                </w:r>
                <w:r>
                  <w:rPr>
                    <w:rFonts w:hint="default"/>
                  </w:rPr>
                  <w:t>82</w:t>
                </w:r>
                <w:r>
                  <w:rPr>
                    <w:rFonts w:hint="default"/>
                  </w:rPr>
                  <w:fldChar w:fldCharType="end"/>
                </w:r>
                <w:r>
                  <w:rPr>
                    <w:rFonts w:hint="default"/>
                  </w:rPr>
                  <w:t xml:space="preserve"> 页</w:t>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r>
      <w:pict>
        <v:shapetype id="_x0000_t202" coordsize="21600,21600" o:spt="202" path="m,l,21600r21600,l21600,xe">
          <v:stroke joinstyle="miter"/>
          <v:path gradientshapeok="t" o:connecttype="rect"/>
        </v:shapetype>
        <v:shape id="_x0000_s2050" o:spid="_x0000_s2050" type="#_x0000_t202" style="height:2in;margin-left:0;margin-top:0;mso-height-relative:page;mso-position-horizontal:center;mso-position-horizontal-relative:margin;mso-width-relative:page;mso-wrap-style:none;position:absolute;width:2in;z-index:251659264" coordsize="21600,21600" filled="f" stroked="f">
          <v:stroke joinstyle="miter"/>
          <o:lock v:ext="edit" aspectratio="f"/>
          <v:textbox style="mso-fit-shape-to-text:t" inset="0,0,0,0">
            <w:txbxContent>
              <w:p>
                <w:pPr>
                  <w:pStyle w:val="Footer"/>
                  <w:rPr>
                    <w:rFonts w:hint="default"/>
                  </w:rPr>
                </w:pPr>
                <w:r>
                  <w:rPr>
                    <w:rFonts w:hint="default"/>
                  </w:rPr>
                  <w:t xml:space="preserve">第 </w:t>
                </w:r>
                <w:r>
                  <w:rPr>
                    <w:rFonts w:hint="default"/>
                  </w:rPr>
                  <w:fldChar w:fldCharType="begin"/>
                </w:r>
                <w:r>
                  <w:rPr>
                    <w:rFonts w:hint="default"/>
                  </w:rPr>
                  <w:instrText xml:space="preserve"> PAGE  \* MERGEFORMAT </w:instrText>
                </w:r>
                <w:r>
                  <w:rPr>
                    <w:rFonts w:hint="default"/>
                  </w:rPr>
                  <w:fldChar w:fldCharType="separate"/>
                </w:r>
                <w:r>
                  <w:rPr>
                    <w:rFonts w:hint="default"/>
                  </w:rPr>
                  <w:t>77</w:t>
                </w:r>
                <w:r>
                  <w:rPr>
                    <w:rFonts w:hint="default"/>
                  </w:rPr>
                  <w:fldChar w:fldCharType="end"/>
                </w:r>
                <w:r>
                  <w:rPr>
                    <w:rFonts w:hint="default"/>
                  </w:rPr>
                  <w:t xml:space="preserve"> 页 共 </w:t>
                </w:r>
                <w:r>
                  <w:rPr>
                    <w:rFonts w:hint="default"/>
                  </w:rPr>
                  <w:fldChar w:fldCharType="begin"/>
                </w:r>
                <w:r>
                  <w:rPr>
                    <w:rFonts w:hint="default"/>
                  </w:rPr>
                  <w:instrText xml:space="preserve"> NUMPAGES  \* MERGEFORMAT </w:instrText>
                </w:r>
                <w:r>
                  <w:rPr>
                    <w:rFonts w:hint="default"/>
                  </w:rPr>
                  <w:fldChar w:fldCharType="separate"/>
                </w:r>
                <w:r>
                  <w:rPr>
                    <w:rFonts w:hint="default"/>
                  </w:rPr>
                  <w:t>82</w:t>
                </w:r>
                <w:r>
                  <w:rPr>
                    <w:rFonts w:hint="default"/>
                  </w:rPr>
                  <w:fldChar w:fldCharType="end"/>
                </w:r>
                <w:r>
                  <w:rPr>
                    <w:rFonts w:hint="default"/>
                  </w:rPr>
                  <w:t xml:space="preserve"> 页</w:t>
                </w:r>
              </w:p>
            </w:txbxContent>
          </v:textbox>
          <w10:wrap anchorx="margin"/>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left" w:pos="1350"/>
        <w:tab w:val="clear" w:pos="4153"/>
        <w:tab w:val="clear" w:pos="8306"/>
      </w:tabs>
      <w:rPr>
        <w:rFonts w:hint="default"/>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8825A13"/>
    <w:multiLevelType w:val="singleLevel"/>
    <w:tmpl w:val="B8825A13"/>
    <w:lvl w:ilvl="0">
      <w:start w:val="1"/>
      <w:numFmt w:val="decimal"/>
      <w:suff w:val="space"/>
      <w:lvlText w:val="%1."/>
      <w:lvlJc w:val="left"/>
      <w:pPr>
        <w:ind w:left="0" w:firstLine="0"/>
      </w:pPr>
    </w:lvl>
  </w:abstractNum>
  <w:abstractNum w:abstractNumId="1">
    <w:nsid w:val="C4BC1921"/>
    <w:multiLevelType w:val="singleLevel"/>
    <w:tmpl w:val="C4BC1921"/>
    <w:lvl w:ilvl="0">
      <w:start w:val="6"/>
      <w:numFmt w:val="chineseCounting"/>
      <w:suff w:val="nothing"/>
      <w:lvlText w:val="（%1）"/>
      <w:lvlJc w:val="left"/>
      <w:rPr>
        <w:rFonts w:hint="eastAsia"/>
      </w:rPr>
    </w:lvl>
  </w:abstractNum>
  <w:abstractNum w:abstractNumId="2">
    <w:nsid w:val="F9D0FEDD"/>
    <w:multiLevelType w:val="singleLevel"/>
    <w:tmpl w:val="F9D0FEDD"/>
    <w:lvl w:ilvl="0">
      <w:start w:val="4"/>
      <w:numFmt w:val="chineseCounting"/>
      <w:suff w:val="nothing"/>
      <w:lvlText w:val="%1、"/>
      <w:lvlJc w:val="left"/>
      <w:rPr>
        <w:rFonts w:hint="eastAsia"/>
      </w:rPr>
    </w:lvl>
  </w:abstractNum>
  <w:abstractNum w:abstractNumId="3">
    <w:nsid w:val="0227125C"/>
    <w:multiLevelType w:val="singleLevel"/>
    <w:tmpl w:val="0227125C"/>
    <w:lvl w:ilvl="0">
      <w:start w:val="14"/>
      <w:numFmt w:val="chineseCounting"/>
      <w:suff w:val="nothing"/>
      <w:lvlText w:val="（%1）"/>
      <w:lvlJc w:val="left"/>
      <w:rPr>
        <w:rFonts w:hint="eastAsia"/>
      </w:rPr>
    </w:lvl>
  </w:abstractNum>
  <w:abstractNum w:abstractNumId="4">
    <w:nsid w:val="076C7C35"/>
    <w:multiLevelType w:val="multilevel"/>
    <w:tmpl w:val="076C7C35"/>
    <w:lvl w:ilvl="0">
      <w:start w:val="1"/>
      <w:numFmt w:val="decimal"/>
      <w:pStyle w:val="CharChar2CharCharChar"/>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nsid w:val="1D771DA2"/>
    <w:multiLevelType w:val="singleLevel"/>
    <w:tmpl w:val="1D771DA2"/>
    <w:lvl w:ilvl="0">
      <w:start w:val="1"/>
      <w:numFmt w:val="chineseCounting"/>
      <w:suff w:val="nothing"/>
      <w:lvlText w:val="%1、"/>
      <w:lvlJc w:val="left"/>
      <w:rPr>
        <w:rFonts w:hint="eastAsia"/>
      </w:rPr>
    </w:lvl>
  </w:abstractNum>
  <w:abstractNum w:abstractNumId="6">
    <w:nsid w:val="5C1565D0"/>
    <w:multiLevelType w:val="multilevel"/>
    <w:tmpl w:val="5C1565D0"/>
    <w:lvl w:ilvl="0">
      <w:start w:val="1"/>
      <w:numFmt w:val="bullet"/>
      <w:pStyle w:val="a3"/>
      <w:lvlText w:val=""/>
      <w:lvlJc w:val="left"/>
      <w:pPr>
        <w:ind w:left="1682" w:hanging="420"/>
      </w:pPr>
      <w:rPr>
        <w:rFonts w:ascii="Wingdings" w:hAnsi="Wingdings" w:hint="default"/>
      </w:rPr>
    </w:lvl>
    <w:lvl w:ilvl="1">
      <w:start w:val="1"/>
      <w:numFmt w:val="bullet"/>
      <w:lvlText w:val=""/>
      <w:lvlJc w:val="left"/>
      <w:pPr>
        <w:ind w:left="2102" w:hanging="420"/>
      </w:pPr>
      <w:rPr>
        <w:rFonts w:ascii="Wingdings" w:hAnsi="Wingdings" w:hint="default"/>
      </w:rPr>
    </w:lvl>
    <w:lvl w:ilvl="2">
      <w:start w:val="1"/>
      <w:numFmt w:val="bullet"/>
      <w:lvlText w:val=""/>
      <w:lvlJc w:val="left"/>
      <w:pPr>
        <w:ind w:left="2522" w:hanging="420"/>
      </w:pPr>
      <w:rPr>
        <w:rFonts w:ascii="Wingdings" w:hAnsi="Wingdings" w:hint="default"/>
      </w:rPr>
    </w:lvl>
    <w:lvl w:ilvl="3">
      <w:start w:val="1"/>
      <w:numFmt w:val="bullet"/>
      <w:lvlText w:val=""/>
      <w:lvlJc w:val="left"/>
      <w:pPr>
        <w:ind w:left="2942" w:hanging="420"/>
      </w:pPr>
      <w:rPr>
        <w:rFonts w:ascii="Wingdings" w:hAnsi="Wingdings" w:hint="default"/>
      </w:rPr>
    </w:lvl>
    <w:lvl w:ilvl="4">
      <w:start w:val="1"/>
      <w:numFmt w:val="bullet"/>
      <w:lvlText w:val=""/>
      <w:lvlJc w:val="left"/>
      <w:pPr>
        <w:ind w:left="3362" w:hanging="420"/>
      </w:pPr>
      <w:rPr>
        <w:rFonts w:ascii="Wingdings" w:hAnsi="Wingdings" w:hint="default"/>
      </w:rPr>
    </w:lvl>
    <w:lvl w:ilvl="5">
      <w:start w:val="1"/>
      <w:numFmt w:val="bullet"/>
      <w:lvlText w:val=""/>
      <w:lvlJc w:val="left"/>
      <w:pPr>
        <w:ind w:left="3782" w:hanging="420"/>
      </w:pPr>
      <w:rPr>
        <w:rFonts w:ascii="Wingdings" w:hAnsi="Wingdings" w:hint="default"/>
      </w:rPr>
    </w:lvl>
    <w:lvl w:ilvl="6">
      <w:start w:val="1"/>
      <w:numFmt w:val="bullet"/>
      <w:lvlText w:val=""/>
      <w:lvlJc w:val="left"/>
      <w:pPr>
        <w:ind w:left="4202" w:hanging="420"/>
      </w:pPr>
      <w:rPr>
        <w:rFonts w:ascii="Wingdings" w:hAnsi="Wingdings" w:hint="default"/>
      </w:rPr>
    </w:lvl>
    <w:lvl w:ilvl="7">
      <w:start w:val="1"/>
      <w:numFmt w:val="bullet"/>
      <w:lvlText w:val=""/>
      <w:lvlJc w:val="left"/>
      <w:pPr>
        <w:ind w:left="4622" w:hanging="420"/>
      </w:pPr>
      <w:rPr>
        <w:rFonts w:ascii="Wingdings" w:hAnsi="Wingdings" w:hint="default"/>
      </w:rPr>
    </w:lvl>
    <w:lvl w:ilvl="8">
      <w:start w:val="1"/>
      <w:numFmt w:val="bullet"/>
      <w:lvlText w:val=""/>
      <w:lvlJc w:val="left"/>
      <w:pPr>
        <w:ind w:left="5042" w:hanging="420"/>
      </w:pPr>
      <w:rPr>
        <w:rFonts w:ascii="Wingdings" w:hAnsi="Wingdings" w:hint="default"/>
      </w:rPr>
    </w:lvl>
  </w:abstractNum>
  <w:num w:numId="1">
    <w:abstractNumId w:val="6"/>
  </w:num>
  <w:num w:numId="2">
    <w:abstractNumId w:val="4"/>
  </w:num>
  <w:num w:numId="3">
    <w:abstractNumId w:val="2"/>
  </w:num>
  <w:num w:numId="4">
    <w:abstractNumId w:val="5"/>
  </w:num>
  <w:num w:numId="5">
    <w:abstractNumId w:val="3"/>
  </w:num>
  <w:num w:numId="6">
    <w:abstractNumId w:val="1"/>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93"/>
  <w:trackRevisions/>
  <w:defaultTabStop w:val="0"/>
  <w:drawingGridVerticalSpacing w:val="156"/>
  <w:noPunctuationKerning/>
  <w:characterSpacingControl w:val="compressPunctuation"/>
  <w:noLineBreaksAfter w:lang="zh-CN" w:val="([{·‘“〈《「『【〔〖（．［｛￡￥"/>
  <w:noLineBreaksBefore w:lang="zh-CN" w:val="!),.:;?]}¨·ˇˉ―‖’”…∶、。〃々〉》」』】〕〗！＂＇），．：；？］｀｜｝～￠"/>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xZDJjZWY2M2M3NzRmMGVhNjQ3MzkzMzNkODkwMm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0" w:qFormat="1"/>
    <w:lsdException w:name="heading 8" w:uiPriority="0" w:qFormat="1"/>
    <w:lsdException w:name="heading 9" w:uiPriority="0" w:qFormat="1"/>
    <w:lsdException w:name="index 1" w:semiHidden="0" w:uiPriority="0" w:unhideWhenUsed="0" w:qFormat="1"/>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qFormat="1"/>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qFormat="1"/>
    <w:lsdException w:name="toc 5" w:semiHidden="0" w:uiPriority="0" w:qFormat="1"/>
    <w:lsdException w:name="toc 6" w:semiHidden="0" w:uiPriority="0" w:qFormat="1"/>
    <w:lsdException w:name="toc 7" w:semiHidden="0" w:uiPriority="0" w:qFormat="1"/>
    <w:lsdException w:name="toc 8" w:semiHidden="0" w:uiPriority="0" w:unhideWhenUsed="0" w:qFormat="1"/>
    <w:lsdException w:name="toc 9" w:semiHidden="0" w:uiPriority="0" w:qFormat="1"/>
    <w:lsdException w:name="Normal Indent" w:semiHidden="0" w:uiPriority="0" w:unhideWhenUsed="0" w:qFormat="1"/>
    <w:lsdException w:name="footnote text" w:semiHidden="0" w:uiPriority="0" w:unhideWhenUsed="0"/>
    <w:lsdException w:name="annotation text" w:semiHidden="0" w:uiPriority="0" w:unhideWhenUsed="0" w:qFormat="1"/>
    <w:lsdException w:name="header" w:semiHidden="0" w:unhideWhenUsed="0" w:qFormat="1"/>
    <w:lsdException w:name="footer" w:semiHidden="0" w:unhideWhenUsed="0" w:qFormat="1"/>
    <w:lsdException w:name="index heading" w:semiHidden="0" w:uiPriority="0" w:unhideWhenUsed="0" w:qFormat="1"/>
    <w:lsdException w:name="caption" w:semiHidden="0" w:uiPriority="0" w:unhideWhenUsed="0" w:qFormat="1"/>
    <w:lsdException w:name="table of figures" w:semiHidden="0" w:uiPriority="0" w:unhideWhenUsed="0"/>
    <w:lsdException w:name="envelope address" w:semiHidden="0" w:uiPriority="0" w:unhideWhenUsed="0"/>
    <w:lsdException w:name="envelope return" w:semiHidden="0" w:unhideWhenUsed="0" w:qFormat="1"/>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qFormat="1"/>
    <w:lsdException w:name="Body Text First Indent"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Block Text"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qFormat="1"/>
    <w:lsdException w:name="Plain Text" w:semiHidden="0" w:uiPriority="0" w:unhideWhenUsed="0" w:qFormat="1"/>
    <w:lsdException w:name="E-mail Signature" w:semiHidden="0" w:uiPriority="0" w:unhideWhenUsed="0"/>
    <w:lsdException w:name="Normal (Web)" w:semiHidden="0" w:unhideWhenUsed="0" w:qFormat="1"/>
    <w:lsdException w:name="HTML Acronym" w:semiHidden="0" w:uiPriority="0" w:unhideWhenUsed="0" w:qFormat="1"/>
    <w:lsdException w:name="HTML Address" w:semiHidden="0" w:uiPriority="0" w:unhideWhenUsed="0"/>
    <w:lsdException w:name="HTML Cite" w:semiHidden="0" w:uiPriority="0" w:unhideWhenUsed="0" w:qFormat="1"/>
    <w:lsdException w:name="HTML Code" w:semiHidden="0" w:uiPriority="0" w:unhideWhenUsed="0" w:qFormat="1"/>
    <w:lsdException w:name="HTML Definition" w:semiHidden="0" w:uiPriority="0" w:unhideWhenUsed="0" w:qFormat="1"/>
    <w:lsdException w:name="HTML Keyboard" w:semiHidden="0" w:uiPriority="0" w:unhideWhenUsed="0"/>
    <w:lsdException w:name="HTML Preformatted" w:semiHidden="0" w:uiPriority="0" w:unhideWhenUsed="0" w:qFormat="1"/>
    <w:lsdException w:name="HTML Sample" w:semiHidden="0" w:uiPriority="0" w:unhideWhenUsed="0"/>
    <w:lsdException w:name="HTML Typewriter" w:semiHidden="0" w:uiPriority="0" w:unhideWhenUsed="0"/>
    <w:lsdException w:name="HTML Variable" w:semiHidden="0" w:uiPriority="0" w:unhideWhenUsed="0" w:qFormat="1"/>
    <w:lsdException w:name="Normal Table" w:qFormat="1"/>
    <w:lsdException w:name="annotation subject" w:semiHidden="0" w:uiPriority="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39" w:unhideWhenUsed="0" w:qFormat="1"/>
    <w:lsdException w:name="Table Theme" w:uiPriority="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autoRedefine/>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Heading3"/>
    <w:next w:val="Normal"/>
    <w:link w:val="1Char1"/>
    <w:autoRedefine/>
    <w:qFormat/>
    <w:pPr>
      <w:spacing w:before="340" w:after="330" w:line="578" w:lineRule="auto"/>
      <w:outlineLvl w:val="0"/>
    </w:pPr>
    <w:rPr>
      <w:b/>
      <w:bCs/>
      <w:kern w:val="44"/>
      <w:sz w:val="44"/>
      <w:szCs w:val="44"/>
    </w:rPr>
  </w:style>
  <w:style w:type="paragraph" w:styleId="Heading2">
    <w:name w:val="heading 2"/>
    <w:basedOn w:val="Normal"/>
    <w:next w:val="Normal"/>
    <w:link w:val="2Char1"/>
    <w:autoRedefine/>
    <w:qFormat/>
    <w:pPr>
      <w:outlineLvl w:val="1"/>
    </w:pPr>
    <w:rPr>
      <w:rFonts w:ascii="Arial" w:eastAsia="黑体" w:hAnsi="Arial"/>
      <w:b/>
      <w:bCs/>
    </w:rPr>
  </w:style>
  <w:style w:type="paragraph" w:styleId="Heading3">
    <w:name w:val="heading 3"/>
    <w:basedOn w:val="Normal"/>
    <w:next w:val="Normal"/>
    <w:link w:val="3Char1"/>
    <w:autoRedefine/>
    <w:qFormat/>
    <w:pPr>
      <w:keepNext/>
      <w:keepLines/>
      <w:spacing w:before="260" w:after="260" w:line="416" w:lineRule="auto"/>
      <w:outlineLvl w:val="2"/>
    </w:pPr>
    <w:rPr>
      <w:sz w:val="32"/>
      <w:szCs w:val="32"/>
    </w:rPr>
  </w:style>
  <w:style w:type="paragraph" w:styleId="Heading4">
    <w:name w:val="heading 4"/>
    <w:basedOn w:val="Normal"/>
    <w:next w:val="Normal"/>
    <w:link w:val="4Char"/>
    <w:autoRedefine/>
    <w:qFormat/>
    <w:pPr>
      <w:keepNext/>
      <w:keepLines/>
      <w:spacing w:before="280" w:after="290" w:line="376" w:lineRule="auto"/>
      <w:outlineLvl w:val="3"/>
    </w:pPr>
    <w:rPr>
      <w:rFonts w:ascii="Arial" w:eastAsia="黑体" w:hAnsi="Arial"/>
      <w:b/>
      <w:bCs/>
      <w:sz w:val="28"/>
      <w:szCs w:val="28"/>
    </w:rPr>
  </w:style>
  <w:style w:type="paragraph" w:styleId="Heading6">
    <w:name w:val="heading 6"/>
    <w:basedOn w:val="Normal"/>
    <w:next w:val="Normal"/>
    <w:link w:val="6Char1"/>
    <w:autoRedefine/>
    <w:qFormat/>
    <w:pPr>
      <w:keepNext/>
      <w:keepLines/>
      <w:spacing w:before="240" w:after="64" w:line="317" w:lineRule="auto"/>
      <w:outlineLvl w:val="5"/>
    </w:pPr>
    <w:rPr>
      <w:rFonts w:ascii="Cambria" w:hAnsi="Cambria"/>
      <w:b/>
      <w:sz w:val="2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文档正文"/>
    <w:basedOn w:val="Normal"/>
    <w:autoRedefine/>
    <w:uiPriority w:val="99"/>
    <w:qFormat/>
    <w:pPr>
      <w:adjustRightInd w:val="0"/>
      <w:spacing w:line="480" w:lineRule="atLeast"/>
      <w:ind w:firstLine="567" w:firstLineChars="200"/>
      <w:textAlignment w:val="baseline"/>
    </w:pPr>
    <w:rPr>
      <w:rFonts w:ascii="长城仿宋"/>
      <w:kern w:val="0"/>
      <w:szCs w:val="20"/>
    </w:rPr>
  </w:style>
  <w:style w:type="paragraph" w:styleId="TOC7">
    <w:name w:val="toc 7"/>
    <w:basedOn w:val="Normal"/>
    <w:next w:val="Normal"/>
    <w:autoRedefine/>
    <w:unhideWhenUsed/>
    <w:qFormat/>
    <w:pPr>
      <w:ind w:left="1260"/>
      <w:jc w:val="left"/>
    </w:pPr>
    <w:rPr>
      <w:rFonts w:ascii="Calibri" w:hAnsi="Calibri"/>
      <w:sz w:val="18"/>
      <w:szCs w:val="18"/>
    </w:rPr>
  </w:style>
  <w:style w:type="paragraph" w:styleId="NormalIndent">
    <w:name w:val="Normal Indent"/>
    <w:basedOn w:val="Normal"/>
    <w:link w:val="Char1"/>
    <w:autoRedefine/>
    <w:qFormat/>
    <w:pPr>
      <w:ind w:firstLine="420"/>
    </w:pPr>
  </w:style>
  <w:style w:type="paragraph" w:styleId="Caption">
    <w:name w:val="caption"/>
    <w:basedOn w:val="Normal"/>
    <w:next w:val="Normal"/>
    <w:autoRedefine/>
    <w:qFormat/>
    <w:rPr>
      <w:rFonts w:ascii="Arial" w:eastAsia="黑体" w:hAnsi="Arial" w:cs="Arial"/>
      <w:sz w:val="20"/>
      <w:szCs w:val="20"/>
    </w:rPr>
  </w:style>
  <w:style w:type="paragraph" w:styleId="DocumentMap">
    <w:name w:val="Document Map"/>
    <w:basedOn w:val="Normal"/>
    <w:link w:val="Char10"/>
    <w:autoRedefine/>
    <w:qFormat/>
    <w:pPr>
      <w:shd w:val="clear" w:color="auto" w:fill="000080"/>
    </w:pPr>
  </w:style>
  <w:style w:type="paragraph" w:styleId="CommentText">
    <w:name w:val="annotation text"/>
    <w:basedOn w:val="Normal"/>
    <w:link w:val="Char"/>
    <w:autoRedefine/>
    <w:qFormat/>
    <w:pPr>
      <w:jc w:val="left"/>
    </w:pPr>
  </w:style>
  <w:style w:type="paragraph" w:styleId="Index6">
    <w:name w:val="index 6"/>
    <w:basedOn w:val="Normal"/>
    <w:next w:val="Normal"/>
    <w:autoRedefine/>
    <w:qFormat/>
    <w:pPr>
      <w:ind w:left="2100"/>
    </w:pPr>
  </w:style>
  <w:style w:type="paragraph" w:styleId="BodyText3">
    <w:name w:val="Body Text 3"/>
    <w:basedOn w:val="Normal"/>
    <w:link w:val="3Char"/>
    <w:autoRedefine/>
    <w:qFormat/>
    <w:pPr>
      <w:spacing w:after="120"/>
    </w:pPr>
    <w:rPr>
      <w:sz w:val="16"/>
      <w:szCs w:val="16"/>
    </w:rPr>
  </w:style>
  <w:style w:type="paragraph" w:styleId="BodyText">
    <w:name w:val="Body Text"/>
    <w:basedOn w:val="Normal"/>
    <w:next w:val="BodyText2"/>
    <w:link w:val="Char0"/>
    <w:autoRedefine/>
    <w:qFormat/>
    <w:pPr>
      <w:spacing w:line="360" w:lineRule="auto"/>
    </w:pPr>
    <w:rPr>
      <w:szCs w:val="20"/>
    </w:rPr>
  </w:style>
  <w:style w:type="paragraph" w:styleId="BodyText2">
    <w:name w:val="Body Text 2"/>
    <w:basedOn w:val="Normal"/>
    <w:link w:val="2Char10"/>
    <w:autoRedefine/>
    <w:qFormat/>
    <w:pPr>
      <w:spacing w:line="360" w:lineRule="auto"/>
    </w:pPr>
    <w:rPr>
      <w:rFonts w:ascii="宋体" w:hAnsi="宋体"/>
      <w:color w:val="000000"/>
      <w:sz w:val="24"/>
      <w:szCs w:val="20"/>
    </w:rPr>
  </w:style>
  <w:style w:type="paragraph" w:styleId="BodyTextIndent">
    <w:name w:val="Body Text Indent"/>
    <w:basedOn w:val="Normal"/>
    <w:link w:val="Char2"/>
    <w:autoRedefine/>
    <w:qFormat/>
    <w:pPr>
      <w:ind w:firstLine="830" w:firstLineChars="352"/>
    </w:pPr>
    <w:rPr>
      <w:rFonts w:ascii="仿宋_GB2312" w:eastAsia="仿宋_GB2312"/>
      <w:sz w:val="32"/>
      <w:szCs w:val="20"/>
    </w:rPr>
  </w:style>
  <w:style w:type="paragraph" w:styleId="BlockText">
    <w:name w:val="Block Text"/>
    <w:basedOn w:val="Normal"/>
    <w:autoRedefine/>
    <w:qFormat/>
    <w:pPr>
      <w:spacing w:line="360" w:lineRule="auto"/>
      <w:ind w:left="-85" w:right="-244" w:firstLine="435"/>
    </w:pPr>
  </w:style>
  <w:style w:type="paragraph" w:styleId="TOC5">
    <w:name w:val="toc 5"/>
    <w:basedOn w:val="Normal"/>
    <w:next w:val="Normal"/>
    <w:autoRedefine/>
    <w:unhideWhenUsed/>
    <w:qFormat/>
    <w:pPr>
      <w:ind w:left="840"/>
      <w:jc w:val="left"/>
    </w:pPr>
    <w:rPr>
      <w:rFonts w:ascii="Calibri" w:hAnsi="Calibri"/>
      <w:sz w:val="18"/>
      <w:szCs w:val="18"/>
    </w:rPr>
  </w:style>
  <w:style w:type="paragraph" w:styleId="TOC3">
    <w:name w:val="toc 3"/>
    <w:basedOn w:val="Normal"/>
    <w:next w:val="Normal"/>
    <w:autoRedefine/>
    <w:qFormat/>
    <w:pPr>
      <w:tabs>
        <w:tab w:val="left" w:pos="900"/>
        <w:tab w:val="left" w:pos="1080"/>
      </w:tabs>
      <w:ind w:left="840" w:leftChars="400"/>
    </w:pPr>
    <w:rPr>
      <w:rFonts w:ascii="宋体" w:hAnsi="宋体"/>
      <w:i/>
      <w:iCs/>
    </w:rPr>
  </w:style>
  <w:style w:type="paragraph" w:styleId="PlainText">
    <w:name w:val="Plain Text"/>
    <w:basedOn w:val="Normal"/>
    <w:link w:val="Char3"/>
    <w:autoRedefine/>
    <w:qFormat/>
    <w:rPr>
      <w:rFonts w:ascii="宋体" w:hAnsi="Courier New" w:cs="Courier New"/>
      <w:szCs w:val="21"/>
    </w:rPr>
  </w:style>
  <w:style w:type="paragraph" w:styleId="TOC8">
    <w:name w:val="toc 8"/>
    <w:basedOn w:val="Normal"/>
    <w:next w:val="Normal"/>
    <w:autoRedefine/>
    <w:qFormat/>
    <w:pPr>
      <w:ind w:left="1470"/>
      <w:jc w:val="left"/>
    </w:pPr>
    <w:rPr>
      <w:rFonts w:ascii="Calibri" w:hAnsi="Calibri"/>
      <w:sz w:val="18"/>
      <w:szCs w:val="18"/>
    </w:rPr>
  </w:style>
  <w:style w:type="paragraph" w:styleId="Date">
    <w:name w:val="Date"/>
    <w:basedOn w:val="Normal"/>
    <w:next w:val="Normal"/>
    <w:link w:val="Char11"/>
    <w:autoRedefine/>
    <w:qFormat/>
    <w:pPr>
      <w:ind w:left="100" w:leftChars="2500"/>
    </w:pPr>
  </w:style>
  <w:style w:type="paragraph" w:styleId="BodyTextIndent2">
    <w:name w:val="Body Text Indent 2"/>
    <w:basedOn w:val="Normal"/>
    <w:link w:val="2Char0"/>
    <w:autoRedefine/>
    <w:qFormat/>
    <w:pPr>
      <w:spacing w:after="120" w:line="480" w:lineRule="auto"/>
      <w:ind w:left="420" w:leftChars="200"/>
    </w:pPr>
  </w:style>
  <w:style w:type="paragraph" w:styleId="BalloonText">
    <w:name w:val="Balloon Text"/>
    <w:basedOn w:val="Normal"/>
    <w:link w:val="Char4"/>
    <w:autoRedefine/>
    <w:qFormat/>
    <w:rPr>
      <w:sz w:val="18"/>
      <w:szCs w:val="18"/>
    </w:rPr>
  </w:style>
  <w:style w:type="paragraph" w:styleId="Footer">
    <w:name w:val="footer"/>
    <w:basedOn w:val="Normal"/>
    <w:link w:val="Char12"/>
    <w:autoRedefine/>
    <w:uiPriority w:val="99"/>
    <w:qFormat/>
    <w:pPr>
      <w:tabs>
        <w:tab w:val="center" w:pos="4153"/>
        <w:tab w:val="right" w:pos="8306"/>
      </w:tabs>
      <w:snapToGrid w:val="0"/>
      <w:jc w:val="left"/>
    </w:pPr>
    <w:rPr>
      <w:rFonts w:ascii="宋体" w:hAnsi="宋体" w:hint="eastAsia"/>
      <w:sz w:val="18"/>
      <w:szCs w:val="18"/>
    </w:rPr>
  </w:style>
  <w:style w:type="paragraph" w:styleId="EnvelopeReturn">
    <w:name w:val="envelope return"/>
    <w:basedOn w:val="Normal"/>
    <w:autoRedefine/>
    <w:uiPriority w:val="99"/>
    <w:qFormat/>
    <w:pPr>
      <w:snapToGrid w:val="0"/>
    </w:pPr>
    <w:rPr>
      <w:rFonts w:ascii="Arial" w:hAnsi="Arial"/>
    </w:rPr>
  </w:style>
  <w:style w:type="paragraph" w:styleId="Header">
    <w:name w:val="header"/>
    <w:basedOn w:val="Normal"/>
    <w:link w:val="Char13"/>
    <w:autoRedefine/>
    <w:uiPriority w:val="99"/>
    <w:qFormat/>
    <w:pPr>
      <w:pBdr>
        <w:bottom w:val="single" w:sz="6" w:space="1" w:color="auto"/>
      </w:pBdr>
      <w:tabs>
        <w:tab w:val="center" w:pos="4153"/>
        <w:tab w:val="right" w:pos="8306"/>
      </w:tabs>
      <w:snapToGrid w:val="0"/>
      <w:jc w:val="center"/>
    </w:pPr>
    <w:rPr>
      <w:rFonts w:ascii="宋体" w:hAnsi="宋体" w:hint="eastAsia"/>
      <w:sz w:val="18"/>
      <w:szCs w:val="18"/>
    </w:rPr>
  </w:style>
  <w:style w:type="paragraph" w:styleId="TOC1">
    <w:name w:val="toc 1"/>
    <w:basedOn w:val="Normal"/>
    <w:next w:val="Normal"/>
    <w:autoRedefine/>
    <w:qFormat/>
  </w:style>
  <w:style w:type="paragraph" w:styleId="TOC4">
    <w:name w:val="toc 4"/>
    <w:basedOn w:val="Normal"/>
    <w:next w:val="Normal"/>
    <w:autoRedefine/>
    <w:unhideWhenUsed/>
    <w:qFormat/>
    <w:pPr>
      <w:ind w:left="630"/>
      <w:jc w:val="left"/>
    </w:pPr>
    <w:rPr>
      <w:rFonts w:ascii="Calibri" w:hAnsi="Calibri"/>
      <w:sz w:val="18"/>
      <w:szCs w:val="18"/>
    </w:rPr>
  </w:style>
  <w:style w:type="paragraph" w:styleId="IndexHeading">
    <w:name w:val="index heading"/>
    <w:basedOn w:val="Normal"/>
    <w:next w:val="Index1"/>
    <w:autoRedefine/>
    <w:qFormat/>
    <w:rPr>
      <w:szCs w:val="20"/>
    </w:rPr>
  </w:style>
  <w:style w:type="paragraph" w:styleId="Index1">
    <w:name w:val="index 1"/>
    <w:basedOn w:val="Normal"/>
    <w:next w:val="Normal"/>
    <w:autoRedefine/>
    <w:qFormat/>
    <w:pPr>
      <w:tabs>
        <w:tab w:val="left" w:pos="7740"/>
      </w:tabs>
      <w:jc w:val="center"/>
    </w:pPr>
    <w:rPr>
      <w:rFonts w:ascii="仿宋" w:eastAsia="仿宋" w:hAnsi="仿宋"/>
      <w:b/>
      <w:sz w:val="28"/>
      <w:szCs w:val="28"/>
    </w:rPr>
  </w:style>
  <w:style w:type="paragraph" w:styleId="TOC6">
    <w:name w:val="toc 6"/>
    <w:basedOn w:val="Normal"/>
    <w:next w:val="Normal"/>
    <w:autoRedefine/>
    <w:unhideWhenUsed/>
    <w:qFormat/>
    <w:pPr>
      <w:ind w:left="1050"/>
      <w:jc w:val="left"/>
    </w:pPr>
    <w:rPr>
      <w:rFonts w:ascii="Calibri" w:hAnsi="Calibri"/>
      <w:sz w:val="18"/>
      <w:szCs w:val="18"/>
    </w:rPr>
  </w:style>
  <w:style w:type="paragraph" w:styleId="BodyTextIndent3">
    <w:name w:val="Body Text Indent 3"/>
    <w:basedOn w:val="Normal"/>
    <w:link w:val="3Char0"/>
    <w:autoRedefine/>
    <w:qFormat/>
    <w:pPr>
      <w:spacing w:line="360" w:lineRule="auto"/>
      <w:ind w:firstLine="420" w:firstLineChars="200"/>
    </w:pPr>
    <w:rPr>
      <w:szCs w:val="20"/>
    </w:rPr>
  </w:style>
  <w:style w:type="paragraph" w:styleId="TOC2">
    <w:name w:val="toc 2"/>
    <w:basedOn w:val="Normal"/>
    <w:next w:val="Normal"/>
    <w:autoRedefine/>
    <w:qFormat/>
    <w:pPr>
      <w:tabs>
        <w:tab w:val="right" w:leader="dot" w:pos="8302"/>
      </w:tabs>
      <w:jc w:val="left"/>
    </w:pPr>
    <w:rPr>
      <w:rFonts w:ascii="仿宋_GB2312" w:eastAsia="仿宋_GB2312" w:hAnsi="仿宋"/>
      <w:b/>
      <w:smallCaps/>
      <w:kern w:val="0"/>
      <w:szCs w:val="21"/>
    </w:rPr>
  </w:style>
  <w:style w:type="paragraph" w:styleId="TOC9">
    <w:name w:val="toc 9"/>
    <w:basedOn w:val="Normal"/>
    <w:next w:val="Normal"/>
    <w:autoRedefine/>
    <w:unhideWhenUsed/>
    <w:qFormat/>
    <w:pPr>
      <w:ind w:left="1680"/>
      <w:jc w:val="left"/>
    </w:pPr>
    <w:rPr>
      <w:rFonts w:ascii="Calibri" w:hAnsi="Calibri"/>
      <w:sz w:val="18"/>
      <w:szCs w:val="18"/>
    </w:rPr>
  </w:style>
  <w:style w:type="paragraph" w:styleId="HTMLPreformatted">
    <w:name w:val="HTML Preformatted"/>
    <w:basedOn w:val="Normal"/>
    <w:link w:val="HTMLChar"/>
    <w:autoRedefine/>
    <w:qFormat/>
    <w:rPr>
      <w:rFonts w:ascii="Courier New" w:hAnsi="Courier New"/>
      <w:sz w:val="20"/>
      <w:szCs w:val="20"/>
    </w:rPr>
  </w:style>
  <w:style w:type="paragraph" w:styleId="NormalWeb">
    <w:name w:val="Normal (Web)"/>
    <w:basedOn w:val="Normal"/>
    <w:autoRedefine/>
    <w:uiPriority w:val="99"/>
    <w:qFormat/>
    <w:pPr>
      <w:widowControl/>
      <w:spacing w:before="100" w:beforeAutospacing="1" w:after="100" w:afterAutospacing="1"/>
      <w:jc w:val="left"/>
    </w:pPr>
    <w:rPr>
      <w:rFonts w:ascii="宋体" w:hAnsi="宋体"/>
      <w:color w:val="000000"/>
      <w:kern w:val="0"/>
      <w:sz w:val="24"/>
    </w:rPr>
  </w:style>
  <w:style w:type="paragraph" w:styleId="Title">
    <w:name w:val="Title"/>
    <w:basedOn w:val="Normal"/>
    <w:next w:val="Normal"/>
    <w:link w:val="Char5"/>
    <w:autoRedefine/>
    <w:qFormat/>
    <w:pPr>
      <w:spacing w:before="240" w:after="60"/>
      <w:jc w:val="center"/>
      <w:outlineLvl w:val="0"/>
    </w:pPr>
    <w:rPr>
      <w:rFonts w:ascii="Arial" w:hAnsi="Arial"/>
      <w:b/>
      <w:bCs/>
      <w:sz w:val="32"/>
      <w:szCs w:val="32"/>
    </w:rPr>
  </w:style>
  <w:style w:type="paragraph" w:styleId="CommentSubject">
    <w:name w:val="annotation subject"/>
    <w:basedOn w:val="CommentText"/>
    <w:next w:val="CommentText"/>
    <w:link w:val="Char6"/>
    <w:autoRedefine/>
    <w:qFormat/>
    <w:rPr>
      <w:b/>
      <w:bCs/>
    </w:rPr>
  </w:style>
  <w:style w:type="paragraph" w:styleId="BodyTextFirstIndent">
    <w:name w:val="Body Text First Indent"/>
    <w:basedOn w:val="BodyText"/>
    <w:link w:val="Char7"/>
    <w:autoRedefine/>
    <w:qFormat/>
    <w:pPr>
      <w:spacing w:after="120" w:line="240" w:lineRule="auto"/>
      <w:ind w:firstLine="420" w:firstLineChars="100"/>
    </w:pPr>
    <w:rPr>
      <w:szCs w:val="24"/>
    </w:rPr>
  </w:style>
  <w:style w:type="paragraph" w:styleId="BodyTextFirstIndent2">
    <w:name w:val="Body Text First Indent 2"/>
    <w:basedOn w:val="BodyTextIndent"/>
    <w:autoRedefine/>
    <w:qFormat/>
    <w:pPr>
      <w:ind w:firstLine="420" w:firstLineChars="200"/>
    </w:pPr>
    <w:rPr>
      <w:rFonts w:ascii="Calibri" w:eastAsia="宋体" w:hAnsi="Calibri"/>
    </w:rPr>
  </w:style>
  <w:style w:type="table" w:styleId="TableGrid">
    <w:name w:val="Table Grid"/>
    <w:basedOn w:val="TableNormal"/>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autoRedefine/>
    <w:qFormat/>
    <w:rPr>
      <w:rFonts w:ascii="Tahoma" w:eastAsia="宋体" w:hAnsi="Tahoma"/>
      <w:b/>
      <w:bCs/>
      <w:spacing w:val="10"/>
      <w:kern w:val="2"/>
      <w:sz w:val="24"/>
      <w:szCs w:val="24"/>
      <w:lang w:val="en-US" w:eastAsia="zh-CN" w:bidi="ar-SA"/>
    </w:rPr>
  </w:style>
  <w:style w:type="character" w:styleId="PageNumber">
    <w:name w:val="page number"/>
    <w:autoRedefine/>
    <w:qFormat/>
    <w:rPr>
      <w:rFonts w:eastAsia="宋体"/>
      <w:kern w:val="2"/>
      <w:sz w:val="24"/>
      <w:szCs w:val="24"/>
      <w:lang w:val="en-US" w:eastAsia="zh-CN" w:bidi="ar-SA"/>
    </w:rPr>
  </w:style>
  <w:style w:type="character" w:styleId="FollowedHyperlink">
    <w:name w:val="FollowedHyperlink"/>
    <w:autoRedefine/>
    <w:qFormat/>
    <w:rPr>
      <w:color w:val="666666"/>
      <w:sz w:val="24"/>
      <w:u w:val="none"/>
    </w:rPr>
  </w:style>
  <w:style w:type="character" w:styleId="Emphasis">
    <w:name w:val="Emphasis"/>
    <w:autoRedefine/>
    <w:qFormat/>
    <w:rPr>
      <w:color w:val="CC0033"/>
    </w:rPr>
  </w:style>
  <w:style w:type="character" w:styleId="HTMLDefinition">
    <w:name w:val="HTML Definition"/>
    <w:autoRedefine/>
    <w:qFormat/>
  </w:style>
  <w:style w:type="character" w:styleId="HTMLAcronym">
    <w:name w:val="HTML Acronym"/>
    <w:basedOn w:val="DefaultParagraphFont"/>
    <w:autoRedefine/>
    <w:qFormat/>
  </w:style>
  <w:style w:type="character" w:styleId="HTMLVariable">
    <w:name w:val="HTML Variable"/>
    <w:autoRedefine/>
    <w:qFormat/>
  </w:style>
  <w:style w:type="character" w:styleId="Hyperlink">
    <w:name w:val="Hyperlink"/>
    <w:basedOn w:val="DefaultParagraphFont"/>
    <w:autoRedefine/>
    <w:qFormat/>
    <w:rPr>
      <w:rFonts w:eastAsia="宋体"/>
      <w:color w:val="0000FF"/>
      <w:kern w:val="2"/>
      <w:sz w:val="24"/>
      <w:szCs w:val="24"/>
      <w:u w:val="single"/>
      <w:lang w:val="en-US" w:eastAsia="zh-CN" w:bidi="ar-SA"/>
    </w:rPr>
  </w:style>
  <w:style w:type="character" w:styleId="HTMLCode">
    <w:name w:val="HTML Code"/>
    <w:autoRedefine/>
    <w:qFormat/>
    <w:rPr>
      <w:rFonts w:ascii="Arial" w:hAnsi="Arial" w:cs="Arial" w:hint="default"/>
      <w:color w:val="333333"/>
      <w:sz w:val="18"/>
      <w:szCs w:val="18"/>
    </w:rPr>
  </w:style>
  <w:style w:type="character" w:styleId="CommentReference">
    <w:name w:val="annotation reference"/>
    <w:autoRedefine/>
    <w:qFormat/>
    <w:rPr>
      <w:rFonts w:eastAsia="宋体"/>
      <w:kern w:val="2"/>
      <w:sz w:val="21"/>
      <w:szCs w:val="21"/>
      <w:lang w:val="en-US" w:eastAsia="zh-CN" w:bidi="ar-SA"/>
    </w:rPr>
  </w:style>
  <w:style w:type="character" w:styleId="HTMLCite">
    <w:name w:val="HTML Cite"/>
    <w:autoRedefine/>
    <w:qFormat/>
  </w:style>
  <w:style w:type="character" w:customStyle="1" w:styleId="1Char">
    <w:name w:val="标题 1 Char"/>
    <w:autoRedefine/>
    <w:qFormat/>
    <w:locked/>
    <w:rPr>
      <w:rFonts w:eastAsia="宋体"/>
      <w:b/>
      <w:bCs/>
      <w:kern w:val="44"/>
      <w:sz w:val="44"/>
      <w:szCs w:val="44"/>
      <w:lang w:val="en-US" w:eastAsia="zh-CN" w:bidi="ar-SA"/>
    </w:rPr>
  </w:style>
  <w:style w:type="character" w:customStyle="1" w:styleId="2Char">
    <w:name w:val="标题 2 Char"/>
    <w:autoRedefine/>
    <w:qFormat/>
    <w:rPr>
      <w:rFonts w:ascii="Arial" w:eastAsia="黑体" w:hAnsi="Arial"/>
      <w:b/>
      <w:bCs/>
      <w:kern w:val="2"/>
      <w:sz w:val="32"/>
      <w:szCs w:val="32"/>
      <w:lang w:val="en-US" w:eastAsia="zh-CN" w:bidi="ar-SA"/>
    </w:rPr>
  </w:style>
  <w:style w:type="paragraph" w:customStyle="1" w:styleId="Default">
    <w:name w:val="Default"/>
    <w:autoRedefine/>
    <w:qFormat/>
    <w:pPr>
      <w:autoSpaceDE w:val="0"/>
      <w:autoSpaceDN w:val="0"/>
      <w:adjustRightInd w:val="0"/>
    </w:pPr>
    <w:rPr>
      <w:rFonts w:ascii="宋体" w:eastAsia="宋体" w:hAnsi="Times New Roman" w:cs="宋体"/>
      <w:color w:val="000000"/>
      <w:sz w:val="24"/>
      <w:szCs w:val="24"/>
      <w:lang w:val="en-US" w:eastAsia="zh-CN" w:bidi="ar-SA"/>
    </w:rPr>
  </w:style>
  <w:style w:type="character" w:customStyle="1" w:styleId="1Char1">
    <w:name w:val="标题 1 Char1"/>
    <w:link w:val="Heading1"/>
    <w:autoRedefine/>
    <w:qFormat/>
    <w:rPr>
      <w:b/>
      <w:bCs/>
      <w:kern w:val="44"/>
      <w:sz w:val="44"/>
      <w:szCs w:val="44"/>
    </w:rPr>
  </w:style>
  <w:style w:type="paragraph" w:styleId="NoSpacing">
    <w:name w:val="No Spacing"/>
    <w:autoRedefine/>
    <w:qFormat/>
    <w:rPr>
      <w:rFonts w:ascii="Times New Roman" w:eastAsia="宋体" w:hAnsi="Times New Roman" w:cs="Calibri"/>
      <w:sz w:val="22"/>
      <w:szCs w:val="22"/>
      <w:lang w:val="en-US" w:eastAsia="en-US" w:bidi="ar-SA"/>
    </w:rPr>
  </w:style>
  <w:style w:type="paragraph" w:customStyle="1" w:styleId="a0">
    <w:name w:val="表格文字"/>
    <w:basedOn w:val="NewNewNewNewNewNewNewNewNewNewNewNewNewNewNewNewNewNewNewNewNewNewNewNewNewNewNewNewNewNewNewNewNewNewNewNew"/>
    <w:autoRedefine/>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0"/>
    <w:qFormat/>
    <w:pPr>
      <w:widowControl w:val="0"/>
      <w:jc w:val="both"/>
    </w:pPr>
    <w:rPr>
      <w:rFonts w:ascii="Times New Roman" w:eastAsia="宋体" w:hAnsi="Times New Roman" w:cs="Times New Roman"/>
      <w:kern w:val="2"/>
      <w:sz w:val="21"/>
      <w:szCs w:val="24"/>
      <w:lang w:val="en-US" w:eastAsia="zh-CN" w:bidi="ar-SA"/>
    </w:rPr>
  </w:style>
  <w:style w:type="paragraph" w:styleId="Quote">
    <w:name w:val="Quote"/>
    <w:basedOn w:val="Normal"/>
    <w:next w:val="Normal"/>
    <w:autoRedefine/>
    <w:uiPriority w:val="99"/>
    <w:qFormat/>
    <w:rPr>
      <w:rFonts w:ascii="Calibri" w:hAnsi="Calibri" w:cs="Calibri"/>
      <w:i/>
      <w:iCs/>
      <w:color w:val="000000"/>
      <w:sz w:val="22"/>
      <w:szCs w:val="22"/>
    </w:rPr>
  </w:style>
  <w:style w:type="paragraph" w:customStyle="1" w:styleId="2">
    <w:name w:val="样式 首行缩进:  2 字符"/>
    <w:basedOn w:val="Normal"/>
    <w:autoRedefine/>
    <w:qFormat/>
    <w:pPr>
      <w:spacing w:before="120" w:after="120" w:line="360" w:lineRule="auto"/>
      <w:ind w:firstLine="582" w:firstLineChars="200"/>
    </w:pPr>
    <w:rPr>
      <w:rFonts w:eastAsia="仿宋_GB2312" w:cs="宋体"/>
      <w:kern w:val="10"/>
      <w:sz w:val="28"/>
      <w:szCs w:val="28"/>
    </w:rPr>
  </w:style>
  <w:style w:type="paragraph" w:customStyle="1" w:styleId="BodyTextFirstIndent21">
    <w:name w:val="Body Text First Indent 21"/>
    <w:basedOn w:val="BodyTextIndent1"/>
    <w:autoRedefine/>
    <w:qFormat/>
    <w:pPr>
      <w:ind w:firstLine="420"/>
    </w:pPr>
  </w:style>
  <w:style w:type="paragraph" w:customStyle="1" w:styleId="BodyTextIndent1">
    <w:name w:val="Body Text Indent1"/>
    <w:basedOn w:val="Normal"/>
    <w:autoRedefine/>
    <w:qFormat/>
    <w:pPr>
      <w:ind w:firstLine="830" w:firstLineChars="352"/>
    </w:pPr>
    <w:rPr>
      <w:rFonts w:ascii="仿宋_GB2312" w:eastAsia="仿宋_GB2312"/>
      <w:sz w:val="32"/>
    </w:rPr>
  </w:style>
  <w:style w:type="paragraph" w:customStyle="1" w:styleId="1">
    <w:name w:val="正文_1"/>
    <w:next w:val="10"/>
    <w:autoRedefine/>
    <w:qFormat/>
    <w:rPr>
      <w:rFonts w:ascii="Times New Roman" w:eastAsia="宋体" w:hAnsi="Times New Roman" w:cs="Times New Roman"/>
      <w:sz w:val="21"/>
      <w:lang w:val="en-US" w:eastAsia="zh-CN" w:bidi="ar-SA"/>
    </w:rPr>
  </w:style>
  <w:style w:type="paragraph" w:customStyle="1" w:styleId="10">
    <w:name w:val="正文文本_1"/>
    <w:autoRedefine/>
    <w:qFormat/>
    <w:pPr>
      <w:widowControl w:val="0"/>
      <w:spacing w:after="120" w:line="276" w:lineRule="auto"/>
      <w:jc w:val="both"/>
    </w:pPr>
    <w:rPr>
      <w:rFonts w:ascii="Times New Roman" w:eastAsia="宋体" w:hAnsi="Times New Roman" w:cs="Times New Roman"/>
      <w:kern w:val="2"/>
      <w:sz w:val="21"/>
      <w:lang w:val="en-US" w:eastAsia="zh-CN" w:bidi="ar-SA"/>
    </w:rPr>
  </w:style>
  <w:style w:type="character" w:customStyle="1" w:styleId="4Char">
    <w:name w:val="标题 4 Char"/>
    <w:link w:val="Heading4"/>
    <w:autoRedefine/>
    <w:qFormat/>
    <w:rPr>
      <w:rFonts w:ascii="Arial" w:eastAsia="黑体" w:hAnsi="Arial"/>
      <w:b/>
      <w:bCs/>
      <w:kern w:val="2"/>
      <w:sz w:val="28"/>
      <w:szCs w:val="28"/>
    </w:rPr>
  </w:style>
  <w:style w:type="character" w:customStyle="1" w:styleId="3">
    <w:name w:val="标题 3 字符"/>
    <w:autoRedefine/>
    <w:qFormat/>
    <w:rPr>
      <w:rFonts w:eastAsia="宋体"/>
      <w:b/>
      <w:bCs/>
      <w:kern w:val="2"/>
      <w:sz w:val="32"/>
      <w:szCs w:val="32"/>
      <w:lang w:val="en-US" w:eastAsia="zh-CN" w:bidi="ar-SA"/>
    </w:rPr>
  </w:style>
  <w:style w:type="character" w:customStyle="1" w:styleId="2Char1">
    <w:name w:val="标题 2 Char1"/>
    <w:link w:val="Heading2"/>
    <w:autoRedefine/>
    <w:qFormat/>
    <w:rPr>
      <w:rFonts w:ascii="Arial" w:eastAsia="黑体" w:hAnsi="Arial"/>
      <w:b/>
      <w:bCs/>
      <w:kern w:val="2"/>
      <w:sz w:val="32"/>
      <w:szCs w:val="32"/>
    </w:rPr>
  </w:style>
  <w:style w:type="character" w:customStyle="1" w:styleId="6Char1">
    <w:name w:val="标题 6 Char1"/>
    <w:link w:val="Heading6"/>
    <w:autoRedefine/>
    <w:qFormat/>
    <w:rPr>
      <w:rFonts w:ascii="Cambria" w:hAnsi="Cambria"/>
      <w:b/>
      <w:kern w:val="2"/>
      <w:sz w:val="24"/>
      <w:szCs w:val="24"/>
    </w:rPr>
  </w:style>
  <w:style w:type="character" w:customStyle="1" w:styleId="Char1">
    <w:name w:val="正文缩进 Char1"/>
    <w:link w:val="NormalIndent"/>
    <w:autoRedefine/>
    <w:qFormat/>
    <w:rPr>
      <w:rFonts w:eastAsia="宋体"/>
      <w:kern w:val="2"/>
      <w:sz w:val="21"/>
      <w:szCs w:val="24"/>
      <w:lang w:val="en-US" w:eastAsia="zh-CN" w:bidi="ar-SA"/>
    </w:rPr>
  </w:style>
  <w:style w:type="character" w:customStyle="1" w:styleId="Char10">
    <w:name w:val="文档结构图 Char1"/>
    <w:link w:val="DocumentMap"/>
    <w:autoRedefine/>
    <w:qFormat/>
    <w:rPr>
      <w:kern w:val="2"/>
      <w:sz w:val="21"/>
      <w:szCs w:val="24"/>
      <w:shd w:val="clear" w:color="auto" w:fill="000080"/>
    </w:rPr>
  </w:style>
  <w:style w:type="character" w:customStyle="1" w:styleId="Char">
    <w:name w:val="批注文字 Char"/>
    <w:link w:val="CommentText"/>
    <w:autoRedefine/>
    <w:qFormat/>
    <w:rPr>
      <w:kern w:val="2"/>
      <w:sz w:val="21"/>
      <w:szCs w:val="24"/>
    </w:rPr>
  </w:style>
  <w:style w:type="character" w:customStyle="1" w:styleId="3Char">
    <w:name w:val="正文文本 3 Char"/>
    <w:link w:val="BodyText3"/>
    <w:autoRedefine/>
    <w:qFormat/>
    <w:rPr>
      <w:kern w:val="2"/>
      <w:sz w:val="16"/>
      <w:szCs w:val="16"/>
    </w:rPr>
  </w:style>
  <w:style w:type="character" w:customStyle="1" w:styleId="Char0">
    <w:name w:val="正文文本 Char"/>
    <w:link w:val="BodyText"/>
    <w:autoRedefine/>
    <w:qFormat/>
    <w:rPr>
      <w:kern w:val="2"/>
      <w:sz w:val="21"/>
    </w:rPr>
  </w:style>
  <w:style w:type="character" w:customStyle="1" w:styleId="Char2">
    <w:name w:val="正文文本缩进 Char"/>
    <w:link w:val="BodyTextIndent"/>
    <w:autoRedefine/>
    <w:qFormat/>
    <w:locked/>
    <w:rPr>
      <w:rFonts w:ascii="仿宋_GB2312" w:eastAsia="仿宋_GB2312"/>
      <w:kern w:val="2"/>
      <w:sz w:val="32"/>
      <w:lang w:val="en-US" w:eastAsia="zh-CN" w:bidi="ar-SA"/>
    </w:rPr>
  </w:style>
  <w:style w:type="character" w:customStyle="1" w:styleId="Char3">
    <w:name w:val="纯文本 Char"/>
    <w:link w:val="PlainText"/>
    <w:autoRedefine/>
    <w:qFormat/>
    <w:rPr>
      <w:rFonts w:ascii="宋体" w:eastAsia="宋体" w:hAnsi="Courier New" w:cs="Courier New"/>
      <w:kern w:val="2"/>
      <w:sz w:val="21"/>
      <w:szCs w:val="21"/>
      <w:lang w:val="en-US" w:eastAsia="zh-CN" w:bidi="ar-SA"/>
    </w:rPr>
  </w:style>
  <w:style w:type="character" w:customStyle="1" w:styleId="Char11">
    <w:name w:val="日期 Char1"/>
    <w:link w:val="Date"/>
    <w:autoRedefine/>
    <w:qFormat/>
    <w:rPr>
      <w:kern w:val="2"/>
      <w:sz w:val="21"/>
      <w:szCs w:val="24"/>
    </w:rPr>
  </w:style>
  <w:style w:type="character" w:customStyle="1" w:styleId="2Char0">
    <w:name w:val="正文文本缩进 2 Char"/>
    <w:link w:val="BodyTextIndent2"/>
    <w:autoRedefine/>
    <w:qFormat/>
    <w:rPr>
      <w:kern w:val="2"/>
      <w:sz w:val="21"/>
      <w:szCs w:val="24"/>
    </w:rPr>
  </w:style>
  <w:style w:type="character" w:customStyle="1" w:styleId="Char4">
    <w:name w:val="批注框文本 Char"/>
    <w:link w:val="BalloonText"/>
    <w:autoRedefine/>
    <w:qFormat/>
    <w:rPr>
      <w:kern w:val="2"/>
      <w:sz w:val="18"/>
      <w:szCs w:val="18"/>
    </w:rPr>
  </w:style>
  <w:style w:type="character" w:customStyle="1" w:styleId="Char12">
    <w:name w:val="页脚 Char1"/>
    <w:link w:val="Footer"/>
    <w:autoRedefine/>
    <w:uiPriority w:val="99"/>
    <w:qFormat/>
    <w:rPr>
      <w:rFonts w:ascii="宋体" w:eastAsia="宋体" w:hAnsi="宋体" w:cs="宋体" w:hint="eastAsia"/>
      <w:kern w:val="2"/>
      <w:sz w:val="18"/>
      <w:szCs w:val="18"/>
      <w:lang w:val="en-US" w:eastAsia="zh-CN"/>
    </w:rPr>
  </w:style>
  <w:style w:type="character" w:customStyle="1" w:styleId="Char13">
    <w:name w:val="页眉 Char1"/>
    <w:link w:val="Header"/>
    <w:autoRedefine/>
    <w:uiPriority w:val="99"/>
    <w:qFormat/>
    <w:rPr>
      <w:rFonts w:ascii="宋体" w:eastAsia="宋体" w:hAnsi="宋体" w:cs="宋体" w:hint="eastAsia"/>
      <w:kern w:val="2"/>
      <w:sz w:val="18"/>
      <w:szCs w:val="18"/>
      <w:lang w:val="en-US" w:eastAsia="zh-CN"/>
    </w:rPr>
  </w:style>
  <w:style w:type="character" w:customStyle="1" w:styleId="3Char0">
    <w:name w:val="正文文本缩进 3 Char"/>
    <w:link w:val="BodyTextIndent3"/>
    <w:autoRedefine/>
    <w:qFormat/>
    <w:rPr>
      <w:kern w:val="2"/>
      <w:sz w:val="21"/>
    </w:rPr>
  </w:style>
  <w:style w:type="character" w:customStyle="1" w:styleId="2Char10">
    <w:name w:val="正文文本 2 Char1"/>
    <w:link w:val="BodyText2"/>
    <w:autoRedefine/>
    <w:qFormat/>
    <w:rPr>
      <w:rFonts w:ascii="宋体" w:hAnsi="宋体"/>
      <w:color w:val="000000"/>
      <w:kern w:val="2"/>
      <w:sz w:val="24"/>
    </w:rPr>
  </w:style>
  <w:style w:type="character" w:customStyle="1" w:styleId="HTMLChar">
    <w:name w:val="HTML 预设格式 Char"/>
    <w:link w:val="HTMLPreformatted"/>
    <w:autoRedefine/>
    <w:qFormat/>
    <w:rPr>
      <w:rFonts w:ascii="Courier New" w:hAnsi="Courier New" w:cs="Courier New"/>
      <w:kern w:val="2"/>
    </w:rPr>
  </w:style>
  <w:style w:type="character" w:customStyle="1" w:styleId="Char5">
    <w:name w:val="标题 Char"/>
    <w:link w:val="Title"/>
    <w:autoRedefine/>
    <w:qFormat/>
    <w:rPr>
      <w:rFonts w:ascii="Arial" w:hAnsi="Arial" w:cs="Arial"/>
      <w:b/>
      <w:bCs/>
      <w:kern w:val="2"/>
      <w:sz w:val="32"/>
      <w:szCs w:val="32"/>
    </w:rPr>
  </w:style>
  <w:style w:type="character" w:customStyle="1" w:styleId="Char6">
    <w:name w:val="批注主题 Char"/>
    <w:link w:val="CommentSubject"/>
    <w:autoRedefine/>
    <w:qFormat/>
    <w:rPr>
      <w:b/>
      <w:bCs/>
      <w:kern w:val="2"/>
      <w:sz w:val="21"/>
      <w:szCs w:val="24"/>
    </w:rPr>
  </w:style>
  <w:style w:type="character" w:customStyle="1" w:styleId="Char7">
    <w:name w:val="正文首行缩进 Char"/>
    <w:link w:val="BodyTextFirstIndent"/>
    <w:autoRedefine/>
    <w:qFormat/>
    <w:rPr>
      <w:kern w:val="2"/>
      <w:sz w:val="21"/>
      <w:szCs w:val="24"/>
    </w:rPr>
  </w:style>
  <w:style w:type="character" w:customStyle="1" w:styleId="3Char1">
    <w:name w:val="标题 3 Char"/>
    <w:link w:val="Heading3"/>
    <w:autoRedefine/>
    <w:qFormat/>
    <w:rPr>
      <w:rFonts w:eastAsia="黑体"/>
      <w:b/>
      <w:kern w:val="2"/>
      <w:sz w:val="21"/>
      <w:szCs w:val="32"/>
    </w:rPr>
  </w:style>
  <w:style w:type="character" w:customStyle="1" w:styleId="font111">
    <w:name w:val="font111"/>
    <w:autoRedefine/>
    <w:qFormat/>
    <w:rPr>
      <w:rFonts w:ascii="宋体" w:eastAsia="宋体" w:hAnsi="宋体" w:cs="宋体" w:hint="eastAsia"/>
      <w:color w:val="000000"/>
      <w:sz w:val="20"/>
      <w:szCs w:val="20"/>
      <w:u w:val="none"/>
    </w:rPr>
  </w:style>
  <w:style w:type="character" w:customStyle="1" w:styleId="hilite6">
    <w:name w:val="hilite6"/>
    <w:autoRedefine/>
    <w:qFormat/>
    <w:rPr>
      <w:color w:val="000000"/>
    </w:rPr>
  </w:style>
  <w:style w:type="character" w:customStyle="1" w:styleId="aspan22">
    <w:name w:val="aspan22"/>
    <w:autoRedefine/>
    <w:qFormat/>
    <w:rPr>
      <w:color w:val="299BD7"/>
      <w:sz w:val="24"/>
      <w:bdr w:val="single" w:sz="6" w:space="0" w:color="299BD7"/>
      <w:shd w:val="clear" w:color="auto" w:fill="FFFFFF"/>
    </w:rPr>
  </w:style>
  <w:style w:type="character" w:customStyle="1" w:styleId="font81">
    <w:name w:val="font81"/>
    <w:autoRedefine/>
    <w:qFormat/>
    <w:rPr>
      <w:rFonts w:ascii="宋体" w:eastAsia="宋体" w:hAnsi="宋体" w:cs="宋体" w:hint="eastAsia"/>
      <w:color w:val="000000"/>
      <w:sz w:val="20"/>
      <w:szCs w:val="20"/>
      <w:u w:val="none"/>
    </w:rPr>
  </w:style>
  <w:style w:type="character" w:customStyle="1" w:styleId="active4">
    <w:name w:val="active4"/>
    <w:autoRedefine/>
    <w:qFormat/>
    <w:rPr>
      <w:color w:val="FFFFFF"/>
    </w:rPr>
  </w:style>
  <w:style w:type="character" w:customStyle="1" w:styleId="apple-converted-space">
    <w:name w:val="apple-converted-space"/>
    <w:autoRedefine/>
    <w:qFormat/>
    <w:rPr>
      <w:sz w:val="24"/>
    </w:rPr>
  </w:style>
  <w:style w:type="character" w:customStyle="1" w:styleId="font11">
    <w:name w:val="font11"/>
    <w:basedOn w:val="DefaultParagraphFont"/>
    <w:autoRedefine/>
    <w:qFormat/>
    <w:rPr>
      <w:rFonts w:ascii="Calibri" w:hAnsi="Calibri" w:cs="Calibri" w:hint="default"/>
      <w:color w:val="000000"/>
      <w:sz w:val="21"/>
      <w:szCs w:val="21"/>
      <w:u w:val="none"/>
    </w:rPr>
  </w:style>
  <w:style w:type="character" w:customStyle="1" w:styleId="font101">
    <w:name w:val="font101"/>
    <w:autoRedefine/>
    <w:qFormat/>
    <w:rPr>
      <w:rFonts w:ascii="Arial" w:hAnsi="Arial" w:cs="Arial" w:hint="default"/>
      <w:color w:val="000000"/>
      <w:sz w:val="20"/>
      <w:szCs w:val="20"/>
      <w:u w:val="none"/>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6Char">
    <w:name w:val="标题 6 Char"/>
    <w:autoRedefine/>
    <w:semiHidden/>
    <w:qFormat/>
    <w:rPr>
      <w:rFonts w:ascii="Cambria" w:eastAsia="宋体" w:hAnsi="Cambria" w:cs="Times New Roman"/>
      <w:b/>
      <w:bCs/>
      <w:kern w:val="2"/>
      <w:sz w:val="24"/>
      <w:szCs w:val="24"/>
    </w:rPr>
  </w:style>
  <w:style w:type="character" w:customStyle="1" w:styleId="font51">
    <w:name w:val="font51"/>
    <w:autoRedefine/>
    <w:qFormat/>
    <w:rPr>
      <w:rFonts w:ascii="Arial" w:hAnsi="Arial" w:cs="Arial" w:hint="default"/>
      <w:color w:val="000000"/>
      <w:sz w:val="20"/>
      <w:szCs w:val="20"/>
      <w:u w:val="none"/>
    </w:rPr>
  </w:style>
  <w:style w:type="character" w:customStyle="1" w:styleId="ico021">
    <w:name w:val="ico021"/>
    <w:autoRedefine/>
    <w:qFormat/>
    <w:rPr>
      <w:shd w:val="clear" w:color="auto" w:fill="004C85"/>
    </w:rPr>
  </w:style>
  <w:style w:type="character" w:customStyle="1" w:styleId="CharChar">
    <w:name w:val="正文小标题 Char Char"/>
    <w:autoRedefine/>
    <w:qFormat/>
    <w:rPr>
      <w:rFonts w:ascii="仿宋_GB2312" w:eastAsia="仿宋_GB2312"/>
      <w:kern w:val="2"/>
      <w:sz w:val="32"/>
    </w:rPr>
  </w:style>
  <w:style w:type="character" w:customStyle="1" w:styleId="fChar">
    <w:name w:val="f Char"/>
    <w:autoRedefine/>
    <w:qFormat/>
    <w:rPr>
      <w:rFonts w:eastAsia="宋体"/>
      <w:kern w:val="2"/>
      <w:sz w:val="18"/>
      <w:lang w:val="en-US" w:eastAsia="zh-CN" w:bidi="ar-SA"/>
    </w:rPr>
  </w:style>
  <w:style w:type="character" w:customStyle="1" w:styleId="Char8">
    <w:name w:val="日期 Char"/>
    <w:autoRedefine/>
    <w:qFormat/>
    <w:rPr>
      <w:kern w:val="2"/>
      <w:sz w:val="21"/>
      <w:szCs w:val="24"/>
    </w:rPr>
  </w:style>
  <w:style w:type="character" w:customStyle="1" w:styleId="CharChar11">
    <w:name w:val="Char Char11"/>
    <w:autoRedefine/>
    <w:qFormat/>
    <w:rPr>
      <w:rFonts w:eastAsia="宋体"/>
      <w:kern w:val="2"/>
      <w:sz w:val="18"/>
      <w:lang w:val="en-US" w:eastAsia="zh-CN" w:bidi="ar-SA"/>
    </w:rPr>
  </w:style>
  <w:style w:type="character" w:customStyle="1" w:styleId="CharChar0">
    <w:name w:val="样式 普通(网站) + 小五 Char Char"/>
    <w:link w:val="a1"/>
    <w:autoRedefine/>
    <w:qFormat/>
    <w:rPr>
      <w:rFonts w:ascii="Arial Unicode MS" w:eastAsia="仿宋_GB2312" w:hAnsi="Arial Unicode MS" w:cs="Arial Unicode MS"/>
      <w:sz w:val="18"/>
      <w:szCs w:val="24"/>
    </w:rPr>
  </w:style>
  <w:style w:type="paragraph" w:customStyle="1" w:styleId="a1">
    <w:name w:val="样式 普通(网站) + 小五"/>
    <w:basedOn w:val="NormalWeb"/>
    <w:link w:val="CharChar0"/>
    <w:autoRedefine/>
    <w:qFormat/>
    <w:pPr>
      <w:spacing w:before="0" w:beforeAutospacing="0" w:after="0" w:afterAutospacing="0" w:line="240" w:lineRule="exact"/>
    </w:pPr>
    <w:rPr>
      <w:rFonts w:ascii="Arial Unicode MS" w:eastAsia="仿宋_GB2312" w:hAnsi="Arial Unicode MS"/>
      <w:color w:val="auto"/>
      <w:sz w:val="18"/>
    </w:rPr>
  </w:style>
  <w:style w:type="character" w:customStyle="1" w:styleId="font71">
    <w:name w:val="font71"/>
    <w:autoRedefine/>
    <w:qFormat/>
    <w:rPr>
      <w:rFonts w:ascii="宋体" w:eastAsia="宋体" w:hAnsi="宋体" w:cs="宋体" w:hint="eastAsia"/>
      <w:b/>
      <w:color w:val="000000"/>
      <w:sz w:val="20"/>
      <w:szCs w:val="20"/>
      <w:u w:val="none"/>
    </w:rPr>
  </w:style>
  <w:style w:type="character" w:customStyle="1" w:styleId="a2">
    <w:name w:val="正文缩进 字符"/>
    <w:autoRedefine/>
    <w:qFormat/>
    <w:rPr>
      <w:rFonts w:eastAsia="宋体"/>
      <w:kern w:val="2"/>
      <w:sz w:val="21"/>
      <w:szCs w:val="24"/>
      <w:lang w:val="en-US" w:eastAsia="zh-CN" w:bidi="ar-SA"/>
    </w:rPr>
  </w:style>
  <w:style w:type="character" w:customStyle="1" w:styleId="font01">
    <w:name w:val="font01"/>
    <w:autoRedefine/>
    <w:qFormat/>
    <w:rPr>
      <w:rFonts w:ascii="宋体" w:eastAsia="宋体" w:hAnsi="宋体" w:cs="宋体" w:hint="eastAsia"/>
      <w:color w:val="000000"/>
      <w:sz w:val="21"/>
      <w:szCs w:val="21"/>
      <w:u w:val="none"/>
    </w:rPr>
  </w:style>
  <w:style w:type="character" w:customStyle="1" w:styleId="Char9">
    <w:name w:val="列题 Char"/>
    <w:link w:val="a3"/>
    <w:autoRedefine/>
    <w:qFormat/>
    <w:rPr>
      <w:rFonts w:ascii="Calibri" w:eastAsia="仿宋" w:hAnsi="Calibri"/>
      <w:b/>
      <w:kern w:val="2"/>
      <w:sz w:val="28"/>
      <w:szCs w:val="22"/>
    </w:rPr>
  </w:style>
  <w:style w:type="paragraph" w:customStyle="1" w:styleId="a3">
    <w:name w:val="列题"/>
    <w:basedOn w:val="Normal"/>
    <w:link w:val="Char9"/>
    <w:autoRedefine/>
    <w:qFormat/>
    <w:pPr>
      <w:numPr>
        <w:ilvl w:val="0"/>
        <w:numId w:val="1"/>
      </w:numPr>
      <w:spacing w:line="360" w:lineRule="auto"/>
    </w:pPr>
    <w:rPr>
      <w:rFonts w:ascii="Calibri" w:eastAsia="仿宋" w:hAnsi="Calibri"/>
      <w:b/>
      <w:sz w:val="28"/>
      <w:szCs w:val="22"/>
    </w:rPr>
  </w:style>
  <w:style w:type="character" w:customStyle="1" w:styleId="CharChar12">
    <w:name w:val="Char Char12"/>
    <w:autoRedefine/>
    <w:qFormat/>
    <w:rPr>
      <w:rFonts w:eastAsia="宋体"/>
      <w:kern w:val="2"/>
      <w:sz w:val="21"/>
      <w:szCs w:val="24"/>
      <w:lang w:val="en-US" w:eastAsia="zh-CN" w:bidi="ar-SA"/>
    </w:rPr>
  </w:style>
  <w:style w:type="character" w:customStyle="1" w:styleId="a4">
    <w:name w:val="页脚 字符"/>
    <w:autoRedefine/>
    <w:qFormat/>
    <w:rPr>
      <w:rFonts w:eastAsia="宋体"/>
      <w:kern w:val="2"/>
      <w:sz w:val="18"/>
      <w:szCs w:val="18"/>
      <w:lang w:val="en-US" w:eastAsia="zh-CN" w:bidi="ar-SA"/>
    </w:rPr>
  </w:style>
  <w:style w:type="character" w:customStyle="1" w:styleId="hilite">
    <w:name w:val="hilite"/>
    <w:autoRedefine/>
    <w:qFormat/>
    <w:rPr>
      <w:color w:val="000000"/>
    </w:rPr>
  </w:style>
  <w:style w:type="character" w:customStyle="1" w:styleId="Char15">
    <w:name w:val="列出段落 Char"/>
    <w:link w:val="20"/>
    <w:autoRedefine/>
    <w:uiPriority w:val="34"/>
    <w:qFormat/>
    <w:rPr>
      <w:rFonts w:ascii="Calibri" w:hAnsi="Calibri"/>
      <w:kern w:val="2"/>
      <w:sz w:val="21"/>
      <w:szCs w:val="22"/>
    </w:rPr>
  </w:style>
  <w:style w:type="paragraph" w:customStyle="1" w:styleId="20">
    <w:name w:val="列出段落2"/>
    <w:basedOn w:val="Normal"/>
    <w:link w:val="Char15"/>
    <w:autoRedefine/>
    <w:uiPriority w:val="34"/>
    <w:qFormat/>
    <w:pPr>
      <w:ind w:firstLine="420" w:firstLineChars="200"/>
      <w:jc w:val="center"/>
    </w:pPr>
    <w:rPr>
      <w:rFonts w:ascii="Calibri" w:hAnsi="Calibri"/>
      <w:szCs w:val="22"/>
    </w:rPr>
  </w:style>
  <w:style w:type="character" w:customStyle="1" w:styleId="a5">
    <w:name w:val="正文首行缩进 字符"/>
    <w:autoRedefine/>
    <w:qFormat/>
    <w:rPr>
      <w:snapToGrid w:val="0"/>
      <w:color w:val="000000"/>
      <w:spacing w:val="-8"/>
      <w:kern w:val="2"/>
      <w:sz w:val="21"/>
      <w:szCs w:val="24"/>
    </w:rPr>
  </w:style>
  <w:style w:type="character" w:customStyle="1" w:styleId="3CharChar">
    <w:name w:val="标题 3 Char Char"/>
    <w:autoRedefine/>
    <w:qFormat/>
    <w:rPr>
      <w:rFonts w:ascii="黑体" w:eastAsia="黑体"/>
      <w:bCs/>
      <w:sz w:val="30"/>
    </w:rPr>
  </w:style>
  <w:style w:type="character" w:customStyle="1" w:styleId="Char16">
    <w:name w:val="正文缩进 Char"/>
    <w:autoRedefine/>
    <w:qFormat/>
    <w:rPr>
      <w:rFonts w:ascii="Times New Roman" w:eastAsia="宋体" w:hAnsi="Times New Roman" w:cs="Times New Roman"/>
      <w:szCs w:val="20"/>
    </w:rPr>
  </w:style>
  <w:style w:type="character" w:customStyle="1" w:styleId="hilite4">
    <w:name w:val="hilite4"/>
    <w:autoRedefine/>
    <w:qFormat/>
    <w:rPr>
      <w:color w:val="000000"/>
    </w:rPr>
  </w:style>
  <w:style w:type="character" w:customStyle="1" w:styleId="ca-12">
    <w:name w:val="ca-12"/>
    <w:autoRedefine/>
    <w:qFormat/>
    <w:rPr>
      <w:rFonts w:eastAsia="宋体" w:cs="Times New Roman"/>
      <w:kern w:val="2"/>
      <w:sz w:val="24"/>
      <w:szCs w:val="24"/>
      <w:lang w:val="en-US" w:eastAsia="zh-CN" w:bidi="ar-SA"/>
    </w:rPr>
  </w:style>
  <w:style w:type="character" w:customStyle="1" w:styleId="Char17">
    <w:name w:val="文档结构图 Char"/>
    <w:autoRedefine/>
    <w:qFormat/>
    <w:rPr>
      <w:rFonts w:ascii="宋体"/>
      <w:kern w:val="2"/>
      <w:sz w:val="18"/>
      <w:szCs w:val="18"/>
    </w:rPr>
  </w:style>
  <w:style w:type="character" w:customStyle="1" w:styleId="font91">
    <w:name w:val="font91"/>
    <w:autoRedefine/>
    <w:qFormat/>
    <w:rPr>
      <w:rFonts w:ascii="Arial" w:hAnsi="Arial" w:cs="Arial" w:hint="default"/>
      <w:color w:val="000000"/>
      <w:sz w:val="24"/>
      <w:szCs w:val="24"/>
      <w:u w:val="none"/>
    </w:rPr>
  </w:style>
  <w:style w:type="character" w:customStyle="1" w:styleId="active">
    <w:name w:val="active"/>
    <w:autoRedefine/>
    <w:qFormat/>
    <w:rPr>
      <w:color w:val="FFFFFF"/>
    </w:rPr>
  </w:style>
  <w:style w:type="character" w:customStyle="1" w:styleId="ico012">
    <w:name w:val="ico012"/>
    <w:autoRedefine/>
    <w:qFormat/>
    <w:rPr>
      <w:shd w:val="clear" w:color="auto" w:fill="004C85"/>
    </w:rPr>
  </w:style>
  <w:style w:type="character" w:customStyle="1" w:styleId="CharChar6">
    <w:name w:val="Char Char6"/>
    <w:autoRedefine/>
    <w:qFormat/>
    <w:rPr>
      <w:rFonts w:eastAsia="宋体"/>
      <w:kern w:val="2"/>
      <w:sz w:val="21"/>
      <w:lang w:val="en-US" w:eastAsia="zh-CN" w:bidi="ar-SA"/>
    </w:rPr>
  </w:style>
  <w:style w:type="character" w:customStyle="1" w:styleId="aspan">
    <w:name w:val="aspan"/>
    <w:autoRedefine/>
    <w:qFormat/>
    <w:rPr>
      <w:color w:val="299BD7"/>
      <w:sz w:val="24"/>
      <w:bdr w:val="single" w:sz="6" w:space="0" w:color="299BD7"/>
      <w:shd w:val="clear" w:color="auto" w:fill="FFFFFF"/>
    </w:rPr>
  </w:style>
  <w:style w:type="character" w:customStyle="1" w:styleId="a6">
    <w:name w:val="样式 小五"/>
    <w:autoRedefine/>
    <w:qFormat/>
    <w:rPr>
      <w:rFonts w:eastAsia="仿宋_GB2312"/>
      <w:sz w:val="18"/>
    </w:rPr>
  </w:style>
  <w:style w:type="character" w:customStyle="1" w:styleId="font41">
    <w:name w:val="font41"/>
    <w:autoRedefine/>
    <w:qFormat/>
    <w:rPr>
      <w:rFonts w:ascii="宋体" w:eastAsia="宋体" w:hAnsi="宋体" w:cs="宋体" w:hint="eastAsia"/>
      <w:b/>
      <w:color w:val="000000"/>
      <w:sz w:val="20"/>
      <w:szCs w:val="20"/>
      <w:u w:val="none"/>
    </w:rPr>
  </w:style>
  <w:style w:type="character" w:customStyle="1" w:styleId="ico01">
    <w:name w:val="ico01"/>
    <w:autoRedefine/>
    <w:qFormat/>
  </w:style>
  <w:style w:type="character" w:customStyle="1" w:styleId="font61">
    <w:name w:val="font61"/>
    <w:autoRedefine/>
    <w:qFormat/>
    <w:rPr>
      <w:rFonts w:ascii="Arial" w:hAnsi="Arial" w:cs="Arial" w:hint="default"/>
      <w:color w:val="000000"/>
      <w:sz w:val="20"/>
      <w:szCs w:val="20"/>
      <w:u w:val="none"/>
    </w:rPr>
  </w:style>
  <w:style w:type="character" w:customStyle="1" w:styleId="ico022">
    <w:name w:val="ico022"/>
    <w:autoRedefine/>
    <w:qFormat/>
    <w:rPr>
      <w:shd w:val="clear" w:color="auto" w:fill="004C85"/>
    </w:rPr>
  </w:style>
  <w:style w:type="character" w:customStyle="1" w:styleId="font21">
    <w:name w:val="font21"/>
    <w:autoRedefine/>
    <w:qFormat/>
    <w:rPr>
      <w:rFonts w:ascii="宋体" w:eastAsia="宋体" w:hAnsi="宋体" w:cs="宋体" w:hint="eastAsia"/>
      <w:b/>
      <w:color w:val="000000"/>
      <w:sz w:val="20"/>
      <w:szCs w:val="20"/>
      <w:u w:val="none"/>
    </w:rPr>
  </w:style>
  <w:style w:type="character" w:customStyle="1" w:styleId="fielderror">
    <w:name w:val="fielderror"/>
    <w:autoRedefine/>
    <w:qFormat/>
    <w:rPr>
      <w:color w:val="800000"/>
    </w:rPr>
  </w:style>
  <w:style w:type="character" w:customStyle="1" w:styleId="11">
    <w:name w:val="批注框文本 字符1"/>
    <w:autoRedefine/>
    <w:uiPriority w:val="99"/>
    <w:qFormat/>
    <w:rPr>
      <w:kern w:val="2"/>
      <w:sz w:val="18"/>
      <w:szCs w:val="18"/>
    </w:rPr>
  </w:style>
  <w:style w:type="character" w:customStyle="1" w:styleId="pagego">
    <w:name w:val="page_go"/>
    <w:autoRedefine/>
    <w:qFormat/>
    <w:rPr>
      <w:color w:val="299BD7"/>
      <w:sz w:val="24"/>
      <w:bdr w:val="single" w:sz="6" w:space="0" w:color="299BD7"/>
    </w:rPr>
  </w:style>
  <w:style w:type="character" w:customStyle="1" w:styleId="CharChar7">
    <w:name w:val="Char Char7"/>
    <w:autoRedefine/>
    <w:qFormat/>
    <w:rPr>
      <w:kern w:val="2"/>
      <w:sz w:val="21"/>
    </w:rPr>
  </w:style>
  <w:style w:type="character" w:customStyle="1" w:styleId="CharChar8">
    <w:name w:val="Char Char8"/>
    <w:autoRedefine/>
    <w:qFormat/>
    <w:rPr>
      <w:rFonts w:ascii="宋体" w:hAnsi="Courier New"/>
      <w:szCs w:val="21"/>
    </w:rPr>
  </w:style>
  <w:style w:type="character" w:customStyle="1" w:styleId="Char18">
    <w:name w:val="表正文 Char"/>
    <w:autoRedefine/>
    <w:qFormat/>
    <w:rPr>
      <w:rFonts w:eastAsia="宋体"/>
      <w:kern w:val="2"/>
      <w:sz w:val="21"/>
      <w:lang w:val="en-US" w:eastAsia="zh-CN" w:bidi="ar-SA"/>
    </w:rPr>
  </w:style>
  <w:style w:type="character" w:customStyle="1" w:styleId="CharChar1">
    <w:name w:val="图 Char Char"/>
    <w:link w:val="a7"/>
    <w:autoRedefine/>
    <w:qFormat/>
    <w:rPr>
      <w:snapToGrid/>
      <w:spacing w:val="20"/>
      <w:sz w:val="24"/>
    </w:rPr>
  </w:style>
  <w:style w:type="paragraph" w:customStyle="1" w:styleId="a7">
    <w:name w:val="图"/>
    <w:basedOn w:val="Normal"/>
    <w:link w:val="CharChar1"/>
    <w:autoRedefine/>
    <w:qFormat/>
    <w:pPr>
      <w:keepNext/>
      <w:adjustRightInd w:val="0"/>
      <w:spacing w:before="60" w:after="60" w:line="300" w:lineRule="auto"/>
      <w:jc w:val="center"/>
      <w:textAlignment w:val="center"/>
    </w:pPr>
    <w:rPr>
      <w:spacing w:val="20"/>
      <w:kern w:val="0"/>
      <w:sz w:val="24"/>
      <w:szCs w:val="20"/>
    </w:rPr>
  </w:style>
  <w:style w:type="character" w:customStyle="1" w:styleId="active5">
    <w:name w:val="active5"/>
    <w:autoRedefine/>
    <w:qFormat/>
    <w:rPr>
      <w:color w:val="FFFFFF"/>
    </w:rPr>
  </w:style>
  <w:style w:type="character" w:customStyle="1" w:styleId="2Char2">
    <w:name w:val="正文缩进2格 Char"/>
    <w:link w:val="21"/>
    <w:autoRedefine/>
    <w:qFormat/>
    <w:rPr>
      <w:rFonts w:ascii="仿宋_GB2312" w:eastAsia="仿宋_GB2312" w:hAnsi="宋体"/>
      <w:sz w:val="31"/>
      <w:szCs w:val="28"/>
    </w:rPr>
  </w:style>
  <w:style w:type="paragraph" w:customStyle="1" w:styleId="21">
    <w:name w:val="正文缩进2格"/>
    <w:basedOn w:val="Normal"/>
    <w:link w:val="2Char2"/>
    <w:autoRedefine/>
    <w:qFormat/>
    <w:pPr>
      <w:spacing w:line="600" w:lineRule="exact"/>
      <w:ind w:firstLine="639" w:firstLineChars="206"/>
    </w:pPr>
    <w:rPr>
      <w:rFonts w:ascii="仿宋_GB2312" w:eastAsia="仿宋_GB2312" w:hAnsi="宋体"/>
      <w:kern w:val="0"/>
      <w:sz w:val="31"/>
      <w:szCs w:val="28"/>
    </w:rPr>
  </w:style>
  <w:style w:type="character" w:customStyle="1" w:styleId="aspan2">
    <w:name w:val="aspan2"/>
    <w:autoRedefine/>
    <w:qFormat/>
    <w:rPr>
      <w:color w:val="299BD7"/>
      <w:sz w:val="24"/>
      <w:bdr w:val="single" w:sz="6" w:space="0" w:color="299BD7"/>
      <w:shd w:val="clear" w:color="auto" w:fill="FFFFFF"/>
    </w:rPr>
  </w:style>
  <w:style w:type="character" w:customStyle="1" w:styleId="aspan12">
    <w:name w:val="aspan12"/>
    <w:autoRedefine/>
    <w:qFormat/>
    <w:rPr>
      <w:b/>
      <w:color w:val="FFFFFF"/>
      <w:sz w:val="24"/>
      <w:bdr w:val="single" w:sz="6" w:space="0" w:color="299BD7"/>
      <w:shd w:val="clear" w:color="auto" w:fill="299BD7"/>
    </w:rPr>
  </w:style>
  <w:style w:type="character" w:customStyle="1" w:styleId="2Char3">
    <w:name w:val="正文文本 2 Char"/>
    <w:autoRedefine/>
    <w:qFormat/>
    <w:rPr>
      <w:kern w:val="2"/>
      <w:sz w:val="21"/>
      <w:szCs w:val="24"/>
    </w:rPr>
  </w:style>
  <w:style w:type="character" w:customStyle="1" w:styleId="CharChar2">
    <w:name w:val="Char Char2"/>
    <w:autoRedefine/>
    <w:qFormat/>
    <w:rPr>
      <w:rFonts w:ascii="宋体" w:eastAsia="宋体" w:hAnsi="宋体"/>
      <w:color w:val="000000"/>
      <w:kern w:val="2"/>
      <w:sz w:val="24"/>
      <w:lang w:val="en-US" w:eastAsia="zh-CN" w:bidi="ar-SA"/>
    </w:rPr>
  </w:style>
  <w:style w:type="character" w:customStyle="1" w:styleId="1CharChar">
    <w:name w:val="页眉1 Char Char"/>
    <w:autoRedefine/>
    <w:qFormat/>
    <w:rPr>
      <w:rFonts w:eastAsia="宋体"/>
      <w:kern w:val="2"/>
      <w:sz w:val="18"/>
      <w:szCs w:val="18"/>
      <w:lang w:val="en-US" w:eastAsia="zh-CN" w:bidi="ar-SA"/>
    </w:rPr>
  </w:style>
  <w:style w:type="character" w:customStyle="1" w:styleId="inline-help">
    <w:name w:val="inline-help"/>
    <w:autoRedefine/>
    <w:qFormat/>
  </w:style>
  <w:style w:type="character" w:customStyle="1" w:styleId="ico011">
    <w:name w:val="ico011"/>
    <w:autoRedefine/>
    <w:qFormat/>
    <w:rPr>
      <w:shd w:val="clear" w:color="auto" w:fill="004C85"/>
    </w:rPr>
  </w:style>
  <w:style w:type="character" w:customStyle="1" w:styleId="Char19">
    <w:name w:val="页脚 Char"/>
    <w:autoRedefine/>
    <w:qFormat/>
    <w:rPr>
      <w:kern w:val="2"/>
      <w:sz w:val="18"/>
      <w:szCs w:val="18"/>
    </w:rPr>
  </w:style>
  <w:style w:type="character" w:customStyle="1" w:styleId="font121">
    <w:name w:val="font121"/>
    <w:autoRedefine/>
    <w:qFormat/>
    <w:rPr>
      <w:rFonts w:ascii="Arial" w:hAnsi="Arial" w:cs="Arial" w:hint="default"/>
      <w:b/>
      <w:color w:val="000000"/>
      <w:sz w:val="20"/>
      <w:szCs w:val="20"/>
      <w:u w:val="none"/>
    </w:rPr>
  </w:style>
  <w:style w:type="character" w:customStyle="1" w:styleId="a8">
    <w:name w:val="页眉 字符"/>
    <w:autoRedefine/>
    <w:qFormat/>
    <w:locked/>
    <w:rPr>
      <w:rFonts w:eastAsia="宋体"/>
      <w:kern w:val="2"/>
      <w:sz w:val="18"/>
      <w:szCs w:val="18"/>
      <w:lang w:val="en-US" w:eastAsia="zh-CN" w:bidi="ar-SA"/>
    </w:rPr>
  </w:style>
  <w:style w:type="character" w:customStyle="1" w:styleId="Char110">
    <w:name w:val="列出段落 Char1"/>
    <w:link w:val="ListParagraph"/>
    <w:autoRedefine/>
    <w:qFormat/>
    <w:locked/>
    <w:rPr>
      <w:kern w:val="2"/>
      <w:sz w:val="21"/>
      <w:szCs w:val="24"/>
    </w:rPr>
  </w:style>
  <w:style w:type="paragraph" w:styleId="ListParagraph">
    <w:name w:val="List Paragraph"/>
    <w:basedOn w:val="Normal"/>
    <w:link w:val="Char110"/>
    <w:autoRedefine/>
    <w:qFormat/>
    <w:pPr>
      <w:ind w:firstLine="420" w:firstLineChars="200"/>
    </w:pPr>
  </w:style>
  <w:style w:type="character" w:customStyle="1" w:styleId="ico02">
    <w:name w:val="ico02"/>
    <w:autoRedefine/>
    <w:qFormat/>
  </w:style>
  <w:style w:type="character" w:customStyle="1" w:styleId="high-light-bg4">
    <w:name w:val="high-light-bg4"/>
    <w:autoRedefine/>
    <w:qFormat/>
    <w:rPr>
      <w:sz w:val="24"/>
    </w:rPr>
  </w:style>
  <w:style w:type="character" w:customStyle="1" w:styleId="mark">
    <w:name w:val="mark"/>
    <w:autoRedefine/>
    <w:qFormat/>
    <w:rPr>
      <w:sz w:val="24"/>
    </w:rPr>
  </w:style>
  <w:style w:type="character" w:customStyle="1" w:styleId="Char20">
    <w:name w:val="页眉 Char"/>
    <w:autoRedefine/>
    <w:qFormat/>
    <w:rPr>
      <w:kern w:val="2"/>
      <w:sz w:val="18"/>
      <w:szCs w:val="18"/>
    </w:rPr>
  </w:style>
  <w:style w:type="character" w:customStyle="1" w:styleId="active6">
    <w:name w:val="active6"/>
    <w:autoRedefine/>
    <w:qFormat/>
    <w:rPr>
      <w:color w:val="FFFFFF"/>
    </w:rPr>
  </w:style>
  <w:style w:type="paragraph" w:customStyle="1" w:styleId="Style85">
    <w:name w:val="_Style 85"/>
    <w:basedOn w:val="Normal"/>
    <w:autoRedefine/>
    <w:qFormat/>
    <w:pPr>
      <w:widowControl/>
      <w:spacing w:after="160" w:line="240" w:lineRule="exact"/>
      <w:jc w:val="left"/>
    </w:pPr>
    <w:rPr>
      <w:sz w:val="24"/>
    </w:rPr>
  </w:style>
  <w:style w:type="paragraph" w:customStyle="1" w:styleId="ZchnZchn">
    <w:name w:val="Zchn Zchn"/>
    <w:basedOn w:val="Normal"/>
    <w:autoRedefine/>
    <w:qFormat/>
    <w:rPr>
      <w:rFonts w:ascii="Tahoma" w:hAnsi="Tahoma"/>
      <w:sz w:val="24"/>
      <w:szCs w:val="20"/>
    </w:rPr>
  </w:style>
  <w:style w:type="paragraph" w:customStyle="1" w:styleId="CharCharCharChar">
    <w:name w:val="Char Char Char Char"/>
    <w:basedOn w:val="Normal"/>
    <w:autoRedefine/>
    <w:qFormat/>
    <w:pPr>
      <w:tabs>
        <w:tab w:val="left" w:pos="780"/>
      </w:tabs>
      <w:ind w:left="780" w:hanging="360"/>
    </w:pPr>
    <w:rPr>
      <w:sz w:val="24"/>
    </w:rPr>
  </w:style>
  <w:style w:type="paragraph" w:customStyle="1" w:styleId="4">
    <w:name w:val="题注4"/>
    <w:basedOn w:val="Normal"/>
    <w:next w:val="Caption"/>
    <w:autoRedefine/>
    <w:qFormat/>
    <w:pPr>
      <w:ind w:left="-132" w:right="-105" w:hanging="2" w:leftChars="-64" w:rightChars="-50"/>
      <w:jc w:val="center"/>
    </w:pPr>
    <w:rPr>
      <w:b/>
      <w:color w:val="FF0000"/>
      <w:szCs w:val="21"/>
      <w:lang w:val="en-GB"/>
    </w:rPr>
  </w:style>
  <w:style w:type="paragraph" w:customStyle="1" w:styleId="CharChar2CharCharCharCharChar">
    <w:name w:val="Char Char2 Char Char Char Char Char"/>
    <w:basedOn w:val="Normal"/>
    <w:autoRedefine/>
    <w:qFormat/>
    <w:locked/>
    <w:pPr>
      <w:widowControl/>
      <w:spacing w:after="160" w:line="240" w:lineRule="exact"/>
      <w:jc w:val="left"/>
    </w:pPr>
    <w:rPr>
      <w:rFonts w:ascii="Verdana" w:eastAsia="仿宋_GB2312" w:hAnsi="Verdana"/>
      <w:kern w:val="0"/>
      <w:sz w:val="24"/>
      <w:szCs w:val="20"/>
      <w:lang w:eastAsia="en-US"/>
    </w:rPr>
  </w:style>
  <w:style w:type="paragraph" w:customStyle="1" w:styleId="ordinary-output">
    <w:name w:val="ordinary-output"/>
    <w:basedOn w:val="Normal"/>
    <w:autoRedefine/>
    <w:qFormat/>
    <w:pPr>
      <w:widowControl/>
      <w:spacing w:before="100" w:beforeAutospacing="1" w:after="75" w:line="330" w:lineRule="atLeast"/>
      <w:jc w:val="left"/>
    </w:pPr>
    <w:rPr>
      <w:rFonts w:ascii="宋体" w:hAnsi="宋体" w:cs="宋体"/>
      <w:color w:val="333333"/>
      <w:kern w:val="1"/>
      <w:sz w:val="27"/>
      <w:szCs w:val="27"/>
    </w:rPr>
  </w:style>
  <w:style w:type="paragraph" w:customStyle="1" w:styleId="CharChar3">
    <w:name w:val="Char Char"/>
    <w:basedOn w:val="Normal"/>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2CharCharChar">
    <w:name w:val="Char Char2 Char Char Char"/>
    <w:basedOn w:val="Normal"/>
    <w:autoRedefine/>
    <w:qFormat/>
    <w:pPr>
      <w:numPr>
        <w:ilvl w:val="0"/>
        <w:numId w:val="2"/>
      </w:numPr>
    </w:pPr>
    <w:rPr>
      <w:sz w:val="24"/>
    </w:rPr>
  </w:style>
  <w:style w:type="paragraph" w:customStyle="1" w:styleId="CharCharCharCharCharCharCharChar">
    <w:name w:val="Char Char Char Char Char Char Char Char"/>
    <w:basedOn w:val="Normal"/>
    <w:next w:val="Normal"/>
    <w:autoRedefine/>
    <w:qFormat/>
    <w:pPr>
      <w:widowControl/>
      <w:spacing w:after="160" w:line="240" w:lineRule="exact"/>
      <w:jc w:val="left"/>
    </w:pPr>
    <w:rPr>
      <w:rFonts w:ascii="Verdana" w:hAnsi="Verdana"/>
      <w:kern w:val="0"/>
      <w:sz w:val="20"/>
      <w:szCs w:val="20"/>
      <w:lang w:eastAsia="en-US"/>
    </w:rPr>
  </w:style>
  <w:style w:type="paragraph" w:customStyle="1" w:styleId="New">
    <w:name w:val="正文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NewNewNewNewNewNew">
    <w:name w:val="正文 New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ListParagraph2">
    <w:name w:val="List Paragraph2"/>
    <w:basedOn w:val="Normal"/>
    <w:autoRedefine/>
    <w:qFormat/>
    <w:pPr>
      <w:ind w:left="720"/>
    </w:pPr>
    <w:rPr>
      <w:rFonts w:ascii="Calibri" w:hAnsi="Calibri"/>
      <w:szCs w:val="22"/>
    </w:rPr>
  </w:style>
  <w:style w:type="paragraph" w:customStyle="1" w:styleId="CharChar25">
    <w:name w:val="Char Char25"/>
    <w:basedOn w:val="Normal"/>
    <w:autoRedefine/>
    <w:qFormat/>
    <w:pPr>
      <w:widowControl/>
      <w:spacing w:after="160" w:line="240" w:lineRule="exact"/>
      <w:jc w:val="left"/>
    </w:pPr>
    <w:rPr>
      <w:sz w:val="24"/>
    </w:rPr>
  </w:style>
  <w:style w:type="paragraph" w:customStyle="1" w:styleId="ListParagraph1">
    <w:name w:val="List Paragraph1"/>
    <w:basedOn w:val="Normal"/>
    <w:autoRedefine/>
    <w:qFormat/>
    <w:pPr>
      <w:ind w:firstLine="420" w:firstLineChars="200"/>
    </w:pPr>
    <w:rPr>
      <w:rFonts w:ascii="Calibri" w:hAnsi="Calibri"/>
      <w:szCs w:val="22"/>
    </w:rPr>
  </w:style>
  <w:style w:type="paragraph" w:customStyle="1" w:styleId="CharCharCharChar1">
    <w:name w:val="Char Char Char Char1"/>
    <w:basedOn w:val="Normal"/>
    <w:autoRedefine/>
    <w:qFormat/>
    <w:rPr>
      <w:rFonts w:ascii="Tahoma" w:hAnsi="Tahoma"/>
      <w:sz w:val="24"/>
      <w:szCs w:val="20"/>
    </w:rPr>
  </w:style>
  <w:style w:type="paragraph" w:customStyle="1" w:styleId="New0">
    <w:name w:val="页脚 New"/>
    <w:basedOn w:val="NewNewNew"/>
    <w:autoRedefine/>
    <w:qFormat/>
    <w:pPr>
      <w:widowControl/>
      <w:tabs>
        <w:tab w:val="center" w:pos="4153"/>
        <w:tab w:val="right" w:pos="8306"/>
      </w:tabs>
      <w:snapToGrid w:val="0"/>
      <w:jc w:val="left"/>
    </w:pPr>
    <w:rPr>
      <w:sz w:val="18"/>
      <w:szCs w:val="18"/>
    </w:rPr>
  </w:style>
  <w:style w:type="paragraph" w:customStyle="1" w:styleId="NewNewNew">
    <w:name w:val="正文 New New New"/>
    <w:autoRedefine/>
    <w:qFormat/>
    <w:pPr>
      <w:widowControl w:val="0"/>
      <w:jc w:val="both"/>
    </w:pPr>
    <w:rPr>
      <w:rFonts w:ascii="Times New Roman" w:eastAsia="宋体" w:hAnsi="Times New Roman" w:cs="Times New Roman"/>
      <w:kern w:val="2"/>
      <w:sz w:val="21"/>
      <w:lang w:val="en-US" w:eastAsia="zh-CN" w:bidi="ar-SA"/>
    </w:rPr>
  </w:style>
  <w:style w:type="paragraph" w:customStyle="1" w:styleId="Char111">
    <w:name w:val="Char1"/>
    <w:basedOn w:val="Normal"/>
    <w:autoRedefine/>
    <w:qFormat/>
    <w:pPr>
      <w:widowControl/>
      <w:spacing w:before="100" w:beforeAutospacing="1" w:after="100" w:afterAutospacing="1" w:line="330" w:lineRule="atLeast"/>
      <w:ind w:left="360"/>
      <w:jc w:val="left"/>
    </w:pPr>
  </w:style>
  <w:style w:type="paragraph" w:customStyle="1" w:styleId="Char5CharCharCharCharCharChar">
    <w:name w:val="Char5 Char Char Char Char Char Char"/>
    <w:basedOn w:val="Normal"/>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CharCharChar1CharCharChar">
    <w:name w:val="Char1 Char Char Char Char Char Char1 Char Char Char"/>
    <w:basedOn w:val="Normal"/>
    <w:autoRedefine/>
    <w:qFormat/>
    <w:pPr>
      <w:widowControl/>
      <w:spacing w:after="160" w:line="240" w:lineRule="exact"/>
      <w:jc w:val="left"/>
    </w:pPr>
    <w:rPr>
      <w:rFonts w:ascii="Verdana" w:hAnsi="Verdana"/>
      <w:kern w:val="0"/>
      <w:szCs w:val="20"/>
      <w:lang w:eastAsia="en-US"/>
    </w:rPr>
  </w:style>
  <w:style w:type="paragraph" w:customStyle="1" w:styleId="12">
    <w:name w:val="无间隔1"/>
    <w:autoRedefine/>
    <w:qFormat/>
    <w:pPr>
      <w:widowControl w:val="0"/>
      <w:jc w:val="both"/>
    </w:pPr>
    <w:rPr>
      <w:rFonts w:ascii="Times New Roman" w:eastAsia="宋体" w:hAnsi="Times New Roman" w:cs="Times New Roman"/>
      <w:kern w:val="2"/>
      <w:sz w:val="22"/>
      <w:szCs w:val="22"/>
      <w:lang w:val="en-US" w:eastAsia="zh-CN" w:bidi="ar-SA"/>
    </w:rPr>
  </w:style>
  <w:style w:type="paragraph" w:customStyle="1" w:styleId="CharCharCharCharCharCharChar">
    <w:name w:val="Char Char Char Char Char Char Char"/>
    <w:basedOn w:val="Normal"/>
    <w:autoRedefine/>
    <w:qFormat/>
    <w:pPr>
      <w:tabs>
        <w:tab w:val="left" w:pos="425"/>
      </w:tabs>
      <w:ind w:left="425" w:hanging="425"/>
    </w:pPr>
    <w:rPr>
      <w:rFonts w:eastAsia="仿宋_GB2312"/>
      <w:kern w:val="24"/>
      <w:sz w:val="24"/>
    </w:rPr>
  </w:style>
  <w:style w:type="paragraph" w:customStyle="1" w:styleId="CharCharCharCharCharChar1CharCharCharChar">
    <w:name w:val="Char Char Char Char Char Char1 Char Char Char Char"/>
    <w:basedOn w:val="Normal"/>
    <w:autoRedefine/>
    <w:qFormat/>
    <w:pPr>
      <w:widowControl/>
      <w:tabs>
        <w:tab w:val="left" w:pos="720"/>
        <w:tab w:val="left" w:pos="965"/>
      </w:tabs>
      <w:spacing w:after="160" w:line="240" w:lineRule="exact"/>
      <w:ind w:left="720" w:hanging="720"/>
      <w:jc w:val="left"/>
    </w:pPr>
    <w:rPr>
      <w:szCs w:val="20"/>
    </w:rPr>
  </w:style>
  <w:style w:type="paragraph" w:customStyle="1" w:styleId="CharChar2Char">
    <w:name w:val="Char Char2 Char"/>
    <w:basedOn w:val="Normal"/>
    <w:autoRedefine/>
    <w:qFormat/>
    <w:rPr>
      <w:rFonts w:ascii="宋体" w:hAnsi="宋体"/>
      <w:b/>
      <w:sz w:val="28"/>
      <w:szCs w:val="28"/>
    </w:rPr>
  </w:style>
  <w:style w:type="paragraph" w:customStyle="1" w:styleId="Style3">
    <w:name w:val="_Style 3"/>
    <w:basedOn w:val="Normal"/>
    <w:autoRedefine/>
    <w:uiPriority w:val="34"/>
    <w:qFormat/>
    <w:pPr>
      <w:ind w:firstLine="420" w:firstLineChars="200"/>
    </w:pPr>
  </w:style>
  <w:style w:type="paragraph" w:customStyle="1" w:styleId="Style5">
    <w:name w:val="_Style 5"/>
    <w:basedOn w:val="Heading1"/>
    <w:next w:val="Normal"/>
    <w:autoRedefine/>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CharChar2Char1">
    <w:name w:val="Char Char2 Char1"/>
    <w:basedOn w:val="Normal"/>
    <w:autoRedefine/>
    <w:qFormat/>
    <w:rPr>
      <w:rFonts w:ascii="宋体" w:hAnsi="宋体"/>
      <w:b/>
      <w:sz w:val="28"/>
      <w:szCs w:val="28"/>
    </w:rPr>
  </w:style>
  <w:style w:type="paragraph" w:customStyle="1" w:styleId="Char21">
    <w:name w:val="Char"/>
    <w:basedOn w:val="Normal"/>
    <w:autoRedefine/>
    <w:qFormat/>
    <w:pPr>
      <w:widowControl/>
      <w:spacing w:after="160" w:line="240" w:lineRule="exact"/>
      <w:jc w:val="left"/>
    </w:pPr>
    <w:rPr>
      <w:rFonts w:ascii="Verdana" w:hAnsi="Verdana"/>
      <w:kern w:val="0"/>
      <w:szCs w:val="20"/>
      <w:lang w:eastAsia="en-US"/>
    </w:rPr>
  </w:style>
  <w:style w:type="paragraph" w:customStyle="1" w:styleId="552">
    <w:name w:val="样式 小四 段前: 5 磅 段后: 5 磅 首行缩进:  2 字符"/>
    <w:basedOn w:val="Normal"/>
    <w:autoRedefine/>
    <w:qFormat/>
    <w:pPr>
      <w:spacing w:before="100" w:after="156" w:afterLines="50"/>
      <w:jc w:val="center"/>
    </w:pPr>
    <w:rPr>
      <w:rFonts w:ascii="宋体" w:hAnsi="宋体"/>
      <w:color w:val="000000"/>
      <w:kern w:val="0"/>
      <w:szCs w:val="21"/>
    </w:rPr>
  </w:style>
  <w:style w:type="paragraph" w:customStyle="1" w:styleId="5">
    <w:name w:val="题注5"/>
    <w:basedOn w:val="Normal"/>
    <w:next w:val="Caption"/>
    <w:autoRedefine/>
    <w:qFormat/>
    <w:pPr>
      <w:jc w:val="center"/>
    </w:pPr>
    <w:rPr>
      <w:b/>
      <w:color w:val="000000"/>
      <w:sz w:val="24"/>
      <w:szCs w:val="21"/>
    </w:rPr>
  </w:style>
  <w:style w:type="paragraph" w:customStyle="1" w:styleId="Char1CharCharChar">
    <w:name w:val="Char1 Char Char Char"/>
    <w:basedOn w:val="Normal"/>
    <w:autoRedefine/>
    <w:qFormat/>
  </w:style>
  <w:style w:type="paragraph" w:customStyle="1" w:styleId="13">
    <w:name w:val="列出段落1"/>
    <w:basedOn w:val="Normal"/>
    <w:autoRedefine/>
    <w:qFormat/>
    <w:pPr>
      <w:ind w:firstLine="420" w:firstLineChars="200"/>
    </w:pPr>
    <w:rPr>
      <w:szCs w:val="21"/>
    </w:rPr>
  </w:style>
  <w:style w:type="paragraph" w:customStyle="1" w:styleId="xl64">
    <w:name w:val="xl64"/>
    <w:basedOn w:val="Normal"/>
    <w:autoRedefine/>
    <w:qFormat/>
    <w:pPr>
      <w:widowControl/>
      <w:spacing w:before="100" w:beforeAutospacing="1" w:after="100" w:afterAutospacing="1"/>
      <w:jc w:val="left"/>
    </w:pPr>
    <w:rPr>
      <w:rFonts w:ascii="宋体" w:hAnsi="宋体" w:cs="宋体"/>
      <w:kern w:val="0"/>
      <w:sz w:val="24"/>
    </w:rPr>
  </w:style>
  <w:style w:type="paragraph" w:customStyle="1" w:styleId="a9">
    <w:name w:val="正文列表"/>
    <w:basedOn w:val="Normal"/>
    <w:autoRedefine/>
    <w:qFormat/>
    <w:pPr>
      <w:autoSpaceDE w:val="0"/>
      <w:autoSpaceDN w:val="0"/>
      <w:adjustRightInd w:val="0"/>
      <w:jc w:val="center"/>
      <w:textAlignment w:val="baseline"/>
    </w:pPr>
    <w:rPr>
      <w:rFonts w:ascii="宋体" w:hAnsi="宋体"/>
      <w:kern w:val="0"/>
      <w:sz w:val="24"/>
      <w:szCs w:val="20"/>
    </w:rPr>
  </w:style>
  <w:style w:type="paragraph" w:customStyle="1" w:styleId="H-TextFormat">
    <w:name w:val="H-TextFormat"/>
    <w:autoRedefine/>
    <w:qFormat/>
    <w:pPr>
      <w:autoSpaceDE w:val="0"/>
      <w:autoSpaceDN w:val="0"/>
      <w:adjustRightInd w:val="0"/>
    </w:pPr>
    <w:rPr>
      <w:rFonts w:ascii="Arial" w:eastAsia="宋体" w:hAnsi="Arial" w:cs="Arial"/>
      <w:sz w:val="22"/>
      <w:szCs w:val="22"/>
      <w:lang w:val="en-US" w:eastAsia="en-US" w:bidi="ar-SA"/>
    </w:rPr>
  </w:style>
  <w:style w:type="paragraph" w:customStyle="1" w:styleId="TOC10">
    <w:name w:val="TOC 标题1"/>
    <w:basedOn w:val="Heading1"/>
    <w:next w:val="Normal"/>
    <w:autoRedefine/>
    <w:qFormat/>
    <w:pPr>
      <w:widowControl/>
      <w:spacing w:before="480" w:after="0" w:line="276" w:lineRule="auto"/>
      <w:jc w:val="left"/>
      <w:outlineLvl w:val="9"/>
    </w:pPr>
    <w:rPr>
      <w:rFonts w:ascii="Cambria" w:hAnsi="Cambria"/>
      <w:color w:val="365F91"/>
      <w:kern w:val="0"/>
      <w:sz w:val="28"/>
      <w:szCs w:val="28"/>
    </w:rPr>
  </w:style>
  <w:style w:type="paragraph" w:customStyle="1" w:styleId="font6">
    <w:name w:val="font6"/>
    <w:basedOn w:val="Normal"/>
    <w:autoRedefine/>
    <w:qFormat/>
    <w:pPr>
      <w:widowControl/>
      <w:spacing w:before="100" w:beforeAutospacing="1" w:after="100" w:afterAutospacing="1"/>
      <w:jc w:val="left"/>
    </w:pPr>
    <w:rPr>
      <w:rFonts w:ascii="宋体" w:hAnsi="宋体" w:cs="宋体"/>
      <w:kern w:val="0"/>
      <w:sz w:val="18"/>
      <w:szCs w:val="18"/>
    </w:rPr>
  </w:style>
  <w:style w:type="paragraph" w:customStyle="1" w:styleId="Style6">
    <w:name w:val="_Style 6"/>
    <w:basedOn w:val="Normal"/>
    <w:autoRedefine/>
    <w:qFormat/>
  </w:style>
  <w:style w:type="paragraph" w:customStyle="1" w:styleId="40">
    <w:name w:val="列出段落4"/>
    <w:basedOn w:val="Normal"/>
    <w:autoRedefine/>
    <w:qFormat/>
    <w:pPr>
      <w:ind w:firstLine="420" w:firstLineChars="200"/>
    </w:pPr>
  </w:style>
  <w:style w:type="paragraph" w:customStyle="1" w:styleId="a10">
    <w:name w:val="办公自动化专用标题"/>
    <w:basedOn w:val="Title"/>
    <w:autoRedefine/>
    <w:qFormat/>
    <w:pPr>
      <w:spacing w:line="560" w:lineRule="atLeast"/>
    </w:pPr>
    <w:rPr>
      <w:rFonts w:ascii="宋体"/>
      <w:bCs w:val="0"/>
      <w:sz w:val="44"/>
      <w:szCs w:val="20"/>
    </w:rPr>
  </w:style>
  <w:style w:type="paragraph" w:customStyle="1" w:styleId="NewNewNewNewNew">
    <w:name w:val="正文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30">
    <w:name w:val="列出段落3"/>
    <w:basedOn w:val="Normal"/>
    <w:autoRedefine/>
    <w:qFormat/>
    <w:pPr>
      <w:ind w:firstLine="420" w:firstLineChars="200"/>
    </w:pPr>
  </w:style>
  <w:style w:type="paragraph" w:customStyle="1" w:styleId="xl65">
    <w:name w:val="xl65"/>
    <w:basedOn w:val="Normal"/>
    <w:autoRedefine/>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Style42">
    <w:name w:val="_Style 42"/>
    <w:basedOn w:val="Normal"/>
    <w:autoRedefine/>
    <w:qFormat/>
    <w:rPr>
      <w:rFonts w:ascii="Tahoma" w:hAnsi="Tahoma"/>
      <w:sz w:val="24"/>
      <w:szCs w:val="20"/>
    </w:rPr>
  </w:style>
  <w:style w:type="paragraph" w:customStyle="1" w:styleId="a11">
    <w:name w:val="正常"/>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Char">
    <w:name w:val="Char Char Char"/>
    <w:basedOn w:val="Normal"/>
    <w:autoRedefine/>
    <w:qFormat/>
    <w:rPr>
      <w:rFonts w:ascii="Tahoma" w:hAnsi="Tahoma"/>
      <w:sz w:val="24"/>
      <w:szCs w:val="20"/>
    </w:rPr>
  </w:style>
  <w:style w:type="paragraph" w:customStyle="1" w:styleId="CharChar1CharCharCharCharCharCharCharCharCharCharCharCharCharCharCharCharCharChar1Char">
    <w:name w:val="Char Char1 Char Char Char Char Char Char Char Char Char Char Char Char Char Char Char Char Char Char1 Char"/>
    <w:basedOn w:val="Normal"/>
    <w:autoRedefine/>
    <w:qFormat/>
    <w:rPr>
      <w:rFonts w:ascii="Tahoma" w:hAnsi="Tahoma"/>
      <w:sz w:val="24"/>
    </w:rPr>
  </w:style>
  <w:style w:type="paragraph" w:customStyle="1" w:styleId="a12">
    <w:name w:val="标准正文"/>
    <w:basedOn w:val="BodyTextIndent"/>
    <w:autoRedefine/>
    <w:qFormat/>
    <w:pPr>
      <w:widowControl/>
      <w:spacing w:before="60" w:after="60" w:line="360" w:lineRule="auto"/>
      <w:ind w:firstLine="482" w:firstLineChars="0"/>
      <w:jc w:val="left"/>
    </w:pPr>
    <w:rPr>
      <w:rFonts w:ascii="Arial" w:eastAsia="宋体" w:hAnsi="Arial"/>
      <w:kern w:val="0"/>
      <w:sz w:val="24"/>
    </w:rPr>
  </w:style>
  <w:style w:type="paragraph" w:customStyle="1" w:styleId="31">
    <w:name w:val="封面3"/>
    <w:basedOn w:val="Normal"/>
    <w:autoRedefine/>
    <w:qFormat/>
    <w:pPr>
      <w:tabs>
        <w:tab w:val="left" w:pos="2160"/>
      </w:tabs>
      <w:spacing w:line="360" w:lineRule="auto"/>
      <w:ind w:firstLine="542" w:firstLineChars="180"/>
    </w:pPr>
    <w:rPr>
      <w:rFonts w:ascii="黑体" w:eastAsia="黑体" w:hAnsi="宋体"/>
      <w:b/>
      <w:snapToGrid w:val="0"/>
      <w:kern w:val="0"/>
      <w:sz w:val="30"/>
      <w:szCs w:val="30"/>
    </w:rPr>
  </w:style>
  <w:style w:type="paragraph" w:customStyle="1" w:styleId="CharChar13">
    <w:name w:val="Char Char13"/>
    <w:basedOn w:val="Normal"/>
    <w:autoRedefine/>
    <w:qFormat/>
    <w:rPr>
      <w:rFonts w:ascii="宋体" w:hAnsi="宋体"/>
      <w:b/>
      <w:sz w:val="28"/>
      <w:szCs w:val="28"/>
    </w:rPr>
  </w:style>
  <w:style w:type="paragraph" w:customStyle="1" w:styleId="Web">
    <w:name w:val="普通 (Web)"/>
    <w:basedOn w:val="Normal"/>
    <w:autoRedefine/>
    <w:qFormat/>
    <w:pPr>
      <w:widowControl/>
      <w:spacing w:before="100" w:beforeAutospacing="1" w:after="100" w:afterAutospacing="1"/>
      <w:jc w:val="left"/>
    </w:pPr>
    <w:rPr>
      <w:rFonts w:ascii="宋体" w:hAnsi="宋体"/>
      <w:kern w:val="0"/>
      <w:sz w:val="24"/>
      <w:szCs w:val="20"/>
    </w:rPr>
  </w:style>
  <w:style w:type="paragraph" w:customStyle="1" w:styleId="Char210">
    <w:name w:val="Char21"/>
    <w:basedOn w:val="Normal"/>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14">
    <w:name w:val="彩色列表1"/>
    <w:basedOn w:val="Normal"/>
    <w:autoRedefine/>
    <w:uiPriority w:val="34"/>
    <w:qFormat/>
    <w:pPr>
      <w:ind w:firstLine="420" w:firstLineChars="200"/>
    </w:pPr>
    <w:rPr>
      <w:rFonts w:ascii="Calibri" w:hAnsi="Calibri"/>
      <w:szCs w:val="22"/>
    </w:rPr>
  </w:style>
  <w:style w:type="paragraph" w:customStyle="1" w:styleId="font7">
    <w:name w:val="font7"/>
    <w:basedOn w:val="Normal"/>
    <w:autoRedefine/>
    <w:qFormat/>
    <w:pPr>
      <w:widowControl/>
      <w:spacing w:before="100" w:beforeAutospacing="1" w:after="100" w:afterAutospacing="1"/>
      <w:jc w:val="left"/>
    </w:pPr>
    <w:rPr>
      <w:rFonts w:ascii="宋体" w:hAnsi="宋体" w:cs="宋体"/>
      <w:b/>
      <w:bCs/>
      <w:color w:val="000000"/>
      <w:kern w:val="0"/>
      <w:szCs w:val="21"/>
    </w:rPr>
  </w:style>
  <w:style w:type="paragraph" w:customStyle="1" w:styleId="22">
    <w:name w:val="样式 正文（首行缩进两字） + 首行缩进:  2 字符"/>
    <w:basedOn w:val="Normal"/>
    <w:autoRedefine/>
    <w:qFormat/>
    <w:pPr>
      <w:adjustRightInd w:val="0"/>
      <w:spacing w:line="360" w:lineRule="auto"/>
      <w:ind w:firstLine="480" w:firstLineChars="200"/>
      <w:textAlignment w:val="baseline"/>
    </w:pPr>
    <w:rPr>
      <w:sz w:val="24"/>
      <w:szCs w:val="20"/>
    </w:rPr>
  </w:style>
  <w:style w:type="paragraph" w:customStyle="1" w:styleId="NewNewNewNewNewNewNewNewNewNewNewNewNewNewNew">
    <w:name w:val="正文 New New New New New New New New New New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18CharChar">
    <w:name w:val="Char Char18 Char Char"/>
    <w:basedOn w:val="Normal"/>
    <w:autoRedefine/>
    <w:qFormat/>
    <w:pPr>
      <w:widowControl/>
      <w:spacing w:after="160" w:line="240" w:lineRule="exact"/>
      <w:jc w:val="left"/>
    </w:pPr>
    <w:rPr>
      <w:rFonts w:eastAsia="Times New Roman"/>
      <w:kern w:val="0"/>
      <w:sz w:val="24"/>
      <w:szCs w:val="20"/>
    </w:rPr>
  </w:style>
  <w:style w:type="paragraph" w:customStyle="1" w:styleId="Char30">
    <w:name w:val="Char3"/>
    <w:basedOn w:val="Normal"/>
    <w:autoRedefine/>
    <w:qFormat/>
    <w:locked/>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Normal"/>
    <w:autoRedefine/>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63">
    <w:name w:val="xl63"/>
    <w:basedOn w:val="Normal"/>
    <w:autoRedefine/>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Cs w:val="21"/>
    </w:rPr>
  </w:style>
  <w:style w:type="paragraph" w:customStyle="1" w:styleId="font5">
    <w:name w:val="font5"/>
    <w:basedOn w:val="Normal"/>
    <w:autoRedefine/>
    <w:qFormat/>
    <w:pPr>
      <w:widowControl/>
      <w:spacing w:before="100" w:beforeAutospacing="1" w:after="100" w:afterAutospacing="1"/>
      <w:jc w:val="left"/>
    </w:pPr>
    <w:rPr>
      <w:rFonts w:ascii="宋体" w:hAnsi="宋体" w:cs="宋体"/>
      <w:color w:val="000000"/>
      <w:kern w:val="0"/>
      <w:szCs w:val="21"/>
    </w:rPr>
  </w:style>
  <w:style w:type="paragraph" w:customStyle="1" w:styleId="CharCharCharCharCharCharChar1">
    <w:name w:val="Char Char Char Char Char Char Char1"/>
    <w:basedOn w:val="Normal"/>
    <w:autoRedefine/>
    <w:qFormat/>
    <w:pPr>
      <w:tabs>
        <w:tab w:val="left" w:pos="425"/>
      </w:tabs>
      <w:ind w:left="425" w:hanging="425"/>
    </w:pPr>
    <w:rPr>
      <w:rFonts w:eastAsia="仿宋_GB2312"/>
      <w:kern w:val="24"/>
      <w:sz w:val="24"/>
    </w:rPr>
  </w:style>
  <w:style w:type="paragraph" w:customStyle="1" w:styleId="a13">
    <w:name w:val="填表"/>
    <w:autoRedefine/>
    <w:qFormat/>
    <w:rPr>
      <w:rFonts w:ascii="Times New Roman" w:eastAsia="宋体" w:hAnsi="Times New Roman" w:cs="Times New Roman"/>
      <w:kern w:val="2"/>
      <w:sz w:val="18"/>
      <w:szCs w:val="21"/>
      <w:lang w:val="en-US" w:eastAsia="zh-CN" w:bidi="ar-SA"/>
    </w:rPr>
  </w:style>
  <w:style w:type="paragraph" w:customStyle="1" w:styleId="a14">
    <w:name w:val="保留正文"/>
    <w:basedOn w:val="BodyText"/>
    <w:autoRedefine/>
    <w:qFormat/>
    <w:pPr>
      <w:keepNext/>
      <w:spacing w:after="160" w:line="240" w:lineRule="auto"/>
    </w:pPr>
    <w:rPr>
      <w:szCs w:val="24"/>
    </w:rPr>
  </w:style>
  <w:style w:type="paragraph" w:customStyle="1" w:styleId="xl29">
    <w:name w:val="xl29"/>
    <w:basedOn w:val="Normal"/>
    <w:autoRedefine/>
    <w:qFormat/>
    <w:pPr>
      <w:widowControl/>
      <w:spacing w:before="100" w:beforeAutospacing="1" w:after="100" w:afterAutospacing="1"/>
      <w:jc w:val="center"/>
    </w:pPr>
    <w:rPr>
      <w:rFonts w:ascii="宋体" w:hAnsi="宋体"/>
      <w:kern w:val="0"/>
      <w:sz w:val="28"/>
      <w:szCs w:val="28"/>
    </w:rPr>
  </w:style>
  <w:style w:type="paragraph" w:customStyle="1" w:styleId="NewNewNewNewNewNewNewNewNewNewNewNew">
    <w:name w:val="正文 New New New New New New New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15">
    <w:name w:val="1"/>
    <w:basedOn w:val="Normal"/>
    <w:next w:val="PlainText"/>
    <w:autoRedefine/>
    <w:qFormat/>
    <w:rPr>
      <w:rFonts w:ascii="宋体" w:hAnsi="Courier New"/>
      <w:szCs w:val="20"/>
    </w:rPr>
  </w:style>
  <w:style w:type="paragraph" w:customStyle="1" w:styleId="CharChar10">
    <w:name w:val="Char Char1"/>
    <w:basedOn w:val="Normal"/>
    <w:autoRedefine/>
    <w:qFormat/>
    <w:rPr>
      <w:rFonts w:ascii="宋体" w:hAnsi="宋体"/>
      <w:b/>
      <w:sz w:val="28"/>
      <w:szCs w:val="28"/>
    </w:rPr>
  </w:style>
  <w:style w:type="paragraph" w:customStyle="1" w:styleId="Char22">
    <w:name w:val="Char2"/>
    <w:basedOn w:val="Normal"/>
    <w:autoRedefine/>
    <w:qFormat/>
    <w:pPr>
      <w:widowControl/>
      <w:spacing w:after="160" w:line="240" w:lineRule="exact"/>
      <w:jc w:val="left"/>
    </w:pPr>
    <w:rPr>
      <w:rFonts w:ascii="Verdana" w:eastAsia="MS Mincho" w:hAnsi="Verdana" w:cs="Verdana"/>
      <w:kern w:val="0"/>
      <w:sz w:val="20"/>
      <w:szCs w:val="20"/>
      <w:lang w:eastAsia="en-US" w:bidi="kn-IN"/>
    </w:rPr>
  </w:style>
  <w:style w:type="paragraph" w:customStyle="1" w:styleId="ParaChar">
    <w:name w:val="默认段落字体 Para Char"/>
    <w:basedOn w:val="Normal"/>
    <w:autoRedefine/>
    <w:qFormat/>
    <w:rPr>
      <w:rFonts w:ascii="宋体" w:hAnsi="宋体"/>
      <w:b/>
      <w:sz w:val="28"/>
      <w:szCs w:val="28"/>
    </w:rPr>
  </w:style>
  <w:style w:type="paragraph" w:customStyle="1" w:styleId="16">
    <w:name w:val="列表段落1"/>
    <w:basedOn w:val="Normal"/>
    <w:autoRedefine/>
    <w:uiPriority w:val="34"/>
    <w:qFormat/>
    <w:pPr>
      <w:ind w:firstLine="420" w:firstLineChars="200"/>
    </w:pPr>
    <w:rPr>
      <w:rFonts w:ascii="Calibri" w:hAnsi="Calibri"/>
      <w:szCs w:val="22"/>
    </w:rPr>
  </w:style>
  <w:style w:type="paragraph" w:customStyle="1" w:styleId="p0">
    <w:name w:val="p0"/>
    <w:basedOn w:val="Normal"/>
    <w:autoRedefine/>
    <w:qFormat/>
    <w:pPr>
      <w:widowControl/>
      <w:spacing w:before="100" w:beforeAutospacing="1" w:after="100" w:afterAutospacing="1"/>
      <w:jc w:val="left"/>
    </w:pPr>
    <w:rPr>
      <w:rFonts w:ascii="宋体" w:hAnsi="宋体" w:cs="宋体"/>
      <w:kern w:val="0"/>
      <w:sz w:val="24"/>
    </w:rPr>
  </w:style>
  <w:style w:type="paragraph" w:customStyle="1" w:styleId="a15">
    <w:name w:val="正文缩入"/>
    <w:basedOn w:val="Normal"/>
    <w:autoRedefine/>
    <w:qFormat/>
    <w:pPr>
      <w:spacing w:after="120"/>
      <w:ind w:firstLine="504"/>
    </w:pPr>
    <w:rPr>
      <w:rFonts w:eastAsia="Times New Roman"/>
      <w:sz w:val="24"/>
    </w:rPr>
  </w:style>
  <w:style w:type="paragraph" w:customStyle="1" w:styleId="ZchnZchn1">
    <w:name w:val="Zchn Zchn1"/>
    <w:basedOn w:val="Normal"/>
    <w:autoRedefine/>
    <w:qFormat/>
    <w:rPr>
      <w:rFonts w:ascii="Tahoma" w:hAnsi="Tahoma"/>
      <w:sz w:val="24"/>
      <w:szCs w:val="20"/>
    </w:rPr>
  </w:style>
  <w:style w:type="table" w:customStyle="1" w:styleId="TableNormal1">
    <w:name w:val="Table Normal1"/>
    <w:autoRedefine/>
    <w:qFormat/>
    <w:tblPr>
      <w:tblCellMar>
        <w:top w:w="0" w:type="dxa"/>
        <w:left w:w="0" w:type="dxa"/>
        <w:bottom w:w="0" w:type="dxa"/>
        <w:right w:w="0" w:type="dxa"/>
      </w:tblCellMar>
    </w:tblPr>
  </w:style>
  <w:style w:type="paragraph" w:customStyle="1" w:styleId="0">
    <w:name w:val="0段落文字"/>
    <w:basedOn w:val="Normal"/>
    <w:autoRedefine/>
    <w:qFormat/>
    <w:pPr>
      <w:spacing w:line="360" w:lineRule="auto"/>
      <w:ind w:firstLine="200" w:firstLineChars="200"/>
    </w:pPr>
    <w:rPr>
      <w:sz w:val="24"/>
      <w:szCs w:val="21"/>
      <w:lang w:val="zh-CN"/>
    </w:rPr>
  </w:style>
  <w:style w:type="paragraph" w:customStyle="1" w:styleId="17">
    <w:name w:val="修订1"/>
    <w:autoRedefine/>
    <w:uiPriority w:val="99"/>
    <w:unhideWhenUsed/>
    <w:qFormat/>
    <w:rPr>
      <w:rFonts w:ascii="Times New Roman" w:eastAsia="宋体" w:hAnsi="Times New Roman" w:cs="Times New Roman"/>
      <w:kern w:val="2"/>
      <w:sz w:val="21"/>
      <w:szCs w:val="24"/>
      <w:lang w:val="en-US" w:eastAsia="zh-CN" w:bidi="ar-SA"/>
    </w:rPr>
  </w:style>
  <w:style w:type="character" w:customStyle="1" w:styleId="layui-this">
    <w:name w:val="layui-this"/>
    <w:basedOn w:val="DefaultParagraphFont"/>
    <w:autoRedefine/>
    <w:qFormat/>
    <w:rPr>
      <w:bdr w:val="single" w:sz="6" w:space="0" w:color="EEEEEE"/>
      <w:shd w:val="clear" w:color="auto" w:fill="FFFFFF"/>
    </w:rPr>
  </w:style>
  <w:style w:type="character" w:customStyle="1" w:styleId="hover26">
    <w:name w:val="hover26"/>
    <w:basedOn w:val="DefaultParagraphFont"/>
    <w:autoRedefine/>
    <w:qFormat/>
    <w:rPr>
      <w:color w:val="446CB4"/>
      <w:u w:val="none"/>
      <w:bdr w:val="single" w:sz="6" w:space="0" w:color="446CB4"/>
    </w:rPr>
  </w:style>
  <w:style w:type="character" w:customStyle="1" w:styleId="hover27">
    <w:name w:val="hover27"/>
    <w:basedOn w:val="DefaultParagraphFont"/>
    <w:autoRedefine/>
    <w:qFormat/>
    <w:rPr>
      <w:color w:val="337AB7"/>
    </w:rPr>
  </w:style>
  <w:style w:type="character" w:customStyle="1" w:styleId="first-child">
    <w:name w:val="first-child"/>
    <w:basedOn w:val="DefaultParagraphFont"/>
    <w:autoRedefine/>
    <w:qFormat/>
  </w:style>
  <w:style w:type="character" w:customStyle="1" w:styleId="hover24">
    <w:name w:val="hover24"/>
    <w:basedOn w:val="DefaultParagraphFont"/>
    <w:autoRedefine/>
    <w:qFormat/>
    <w:rPr>
      <w:color w:val="446CB4"/>
      <w:u w:val="none"/>
      <w:bdr w:val="single" w:sz="6" w:space="0" w:color="446CB4"/>
    </w:rPr>
  </w:style>
  <w:style w:type="character" w:customStyle="1" w:styleId="hover25">
    <w:name w:val="hover25"/>
    <w:basedOn w:val="DefaultParagraphFont"/>
    <w:autoRedefine/>
    <w:qFormat/>
    <w:rPr>
      <w:color w:val="337AB7"/>
    </w:rPr>
  </w:style>
  <w:style w:type="paragraph" w:customStyle="1" w:styleId="a16">
    <w:name w:val="表格内容"/>
    <w:basedOn w:val="Normal"/>
    <w:autoRedefine/>
    <w:qFormat/>
    <w:pPr>
      <w:jc w:val="center"/>
    </w:pPr>
    <w:rPr>
      <w:rFonts w:ascii="Calibri" w:hAnsi="Calibri"/>
      <w:szCs w:val="22"/>
    </w:rPr>
  </w:style>
  <w:style w:type="paragraph" w:customStyle="1" w:styleId="p1">
    <w:name w:val="p1"/>
    <w:basedOn w:val="Normal"/>
    <w:autoRedefine/>
    <w:qFormat/>
    <w:pPr>
      <w:widowControl/>
      <w:spacing w:line="380" w:lineRule="atLeast"/>
      <w:jc w:val="left"/>
    </w:pPr>
    <w:rPr>
      <w:rFonts w:ascii="Helvetica Neue" w:eastAsia="Helvetica Neue" w:hAnsi="Helvetica Neue" w:cs="Helvetica Neue"/>
      <w:color w:val="000000"/>
      <w:kern w:val="0"/>
      <w:sz w:val="26"/>
      <w:szCs w:val="26"/>
    </w:rPr>
  </w:style>
  <w:style w:type="character" w:customStyle="1" w:styleId="font31">
    <w:name w:val="font31"/>
    <w:autoRedefine/>
    <w:qFormat/>
    <w:rPr>
      <w:rFonts w:ascii="宋体" w:eastAsia="宋体" w:hAnsi="宋体" w:cs="宋体" w:hint="eastAsia"/>
      <w:b/>
      <w:bCs/>
      <w:color w:val="000000"/>
      <w:sz w:val="24"/>
      <w:szCs w:val="24"/>
      <w:u w:val="none"/>
    </w:rPr>
  </w:style>
  <w:style w:type="paragraph" w:customStyle="1" w:styleId="23">
    <w:name w:val="修订2"/>
    <w:autoRedefine/>
    <w:hidden/>
    <w:uiPriority w:val="99"/>
    <w:unhideWhenUsed/>
    <w:qFormat/>
    <w:rPr>
      <w:rFonts w:ascii="Times New Roman" w:eastAsia="宋体" w:hAnsi="Times New Roman" w:cs="Times New Roman"/>
      <w:kern w:val="2"/>
      <w:sz w:val="21"/>
      <w:szCs w:val="24"/>
      <w:lang w:val="en-US" w:eastAsia="zh-CN" w:bidi="ar-SA"/>
    </w:rPr>
  </w:style>
  <w:style w:type="paragraph" w:customStyle="1" w:styleId="32">
    <w:name w:val="修订3"/>
    <w:autoRedefine/>
    <w:hidden/>
    <w:uiPriority w:val="99"/>
    <w:unhideWhenUsed/>
    <w:qFormat/>
    <w:rPr>
      <w:rFonts w:ascii="Times New Roman" w:eastAsia="宋体" w:hAnsi="Times New Roman" w:cs="Times New Roman"/>
      <w:kern w:val="2"/>
      <w:sz w:val="21"/>
      <w:szCs w:val="24"/>
      <w:lang w:val="en-US" w:eastAsia="zh-CN" w:bidi="ar-SA"/>
    </w:rPr>
  </w:style>
  <w:style w:type="paragraph" w:customStyle="1" w:styleId="41">
    <w:name w:val="修订4"/>
    <w:autoRedefine/>
    <w:hidden/>
    <w:uiPriority w:val="99"/>
    <w:unhideWhenUsed/>
    <w:qFormat/>
    <w:rPr>
      <w:rFonts w:ascii="Times New Roman" w:eastAsia="宋体" w:hAnsi="Times New Roman" w:cs="Times New Roman"/>
      <w:kern w:val="2"/>
      <w:sz w:val="21"/>
      <w:szCs w:val="24"/>
      <w:lang w:val="en-US" w:eastAsia="zh-CN" w:bidi="ar-SA"/>
    </w:rPr>
  </w:style>
  <w:style w:type="paragraph" w:customStyle="1" w:styleId="TableParagraph">
    <w:name w:val="Table Paragraph"/>
    <w:autoRedefine/>
    <w:uiPriority w:val="1"/>
    <w:qFormat/>
    <w:pPr>
      <w:widowControl w:val="0"/>
      <w:autoSpaceDE w:val="0"/>
      <w:autoSpaceDN w:val="0"/>
      <w:adjustRightInd w:val="0"/>
    </w:pPr>
    <w:rPr>
      <w:rFonts w:ascii="宋体" w:eastAsia="宋体" w:hAnsi="宋体" w:cs="宋体"/>
      <w:sz w:val="24"/>
      <w:szCs w:val="24"/>
      <w:lang w:val="en-US" w:eastAsia="zh-CN" w:bidi="ar-SA"/>
    </w:rPr>
  </w:style>
  <w:style w:type="paragraph" w:customStyle="1" w:styleId="pf0">
    <w:name w:val="pf0"/>
    <w:basedOn w:val="Normal"/>
    <w:autoRedefine/>
    <w:qFormat/>
    <w:pPr>
      <w:widowControl/>
      <w:spacing w:before="100" w:beforeAutospacing="1" w:after="100" w:afterAutospacing="1"/>
      <w:jc w:val="left"/>
    </w:pPr>
    <w:rPr>
      <w:rFonts w:ascii="宋体" w:hAnsi="宋体" w:cs="宋体"/>
      <w:kern w:val="0"/>
      <w:sz w:val="24"/>
    </w:rPr>
  </w:style>
  <w:style w:type="character" w:customStyle="1" w:styleId="cf01">
    <w:name w:val="cf01"/>
    <w:basedOn w:val="DefaultParagraphFont"/>
    <w:autoRedefine/>
    <w:qFormat/>
    <w:rPr>
      <w:rFonts w:ascii="Microsoft YaHei UI" w:eastAsia="Microsoft YaHei UI" w:hAnsi="Microsoft YaHei UI" w:hint="eastAsia"/>
      <w:sz w:val="18"/>
      <w:szCs w:val="18"/>
    </w:rPr>
  </w:style>
  <w:style w:type="table" w:customStyle="1" w:styleId="18">
    <w:name w:val="网格型1"/>
    <w:basedOn w:val="TableNormal"/>
    <w:qFormat/>
    <w:pPr>
      <w:widowControl w:val="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autoRedefine/>
    <w:qFormat/>
    <w:rPr>
      <w:kern w:val="2"/>
      <w:sz w:val="21"/>
      <w:szCs w:val="24"/>
      <w:lang w:val="en-US" w:eastAsia="zh-CN" w:bidi="ar-SA"/>
    </w:rPr>
  </w:style>
  <w:style w:type="table" w:customStyle="1" w:styleId="TableNormal0">
    <w:name w:val="Table Normal_0"/>
    <w:semiHidden/>
    <w:unhideWhenUsed/>
    <w:qFormat/>
    <w:tblPr>
      <w:tblCellMar>
        <w:top w:w="0" w:type="dxa"/>
        <w:left w:w="0" w:type="dxa"/>
        <w:bottom w:w="0" w:type="dxa"/>
        <w:right w:w="0" w:type="dxa"/>
      </w:tblCellMar>
    </w:tblPr>
  </w:style>
  <w:style w:type="paragraph" w:customStyle="1" w:styleId="TableText">
    <w:name w:val="Table Text"/>
    <w:basedOn w:val="Normal"/>
    <w:semiHidden/>
    <w:qFormat/>
    <w:rPr>
      <w:rFonts w:ascii="宋体" w:eastAsia="宋体" w:hAnsi="宋体" w:cs="宋体"/>
      <w:sz w:val="20"/>
      <w:szCs w:val="20"/>
      <w:lang w:val="en-US" w:eastAsia="en-US" w:bidi="ar-SA"/>
    </w:rPr>
  </w:style>
  <w:style w:type="paragraph" w:customStyle="1" w:styleId="a17">
    <w:name w:val="自定义正文"/>
    <w:basedOn w:val="Normal"/>
    <w:qFormat/>
    <w:pPr>
      <w:spacing w:afterLines="50"/>
      <w:ind w:left="600" w:leftChars="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header" Target="header3.xml" /><Relationship Id="rId16" Type="http://schemas.openxmlformats.org/officeDocument/2006/relationships/footer" Target="footer4.xml" /><Relationship Id="rId17" Type="http://schemas.openxmlformats.org/officeDocument/2006/relationships/header" Target="header4.xml" /><Relationship Id="rId18" Type="http://schemas.openxmlformats.org/officeDocument/2006/relationships/footer" Target="footer5.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10013</Words>
  <Characters>11358</Characters>
  <Application>Microsoft Office Word</Application>
  <DocSecurity>0</DocSecurity>
  <Lines>1</Lines>
  <Paragraphs>1</Paragraphs>
  <ScaleCrop>false</ScaleCrop>
  <Company>Microsoft</Company>
  <LinksUpToDate>false</LinksUpToDate>
  <CharactersWithSpaces>11464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第三部分  政府采购规范文本</dc:title>
  <dc:creator>曹敏</dc:creator>
  <cp:lastModifiedBy>国义-周俊楠</cp:lastModifiedBy>
  <cp:revision>1</cp:revision>
  <cp:lastPrinted>2024-11-13T03:44:00Z</cp:lastPrinted>
  <dcterms:created xsi:type="dcterms:W3CDTF">2024-04-10T06:31:00Z</dcterms:created>
  <dcterms:modified xsi:type="dcterms:W3CDTF">2025-12-18T07:31:30Z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84F122F6D42745539C0C9A88518F6B61_13</vt:lpwstr>
  </property>
  <property fmtid="{D5CDD505-2E9C-101B-9397-08002B2CF9AE}" pid="3" name="KSOProductBuildVer">
    <vt:lpwstr>2052-12.1.0.24034</vt:lpwstr>
  </property>
  <property fmtid="{D5CDD505-2E9C-101B-9397-08002B2CF9AE}" pid="4" name="KSOTemplateDocerSaveRecord">
    <vt:lpwstr>eyJoZGlkIjoiMDllNGMyY2RmZjVmYmU2MTRkMzg3NDExYjA0OWI0MTMiLCJ1c2VySWQiOiIzNjE2NDQzNjcifQ==</vt:lpwstr>
  </property>
</Properties>
</file>