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440115-2025-03910</w:t>
      </w:r>
    </w:p>
    <w:p>
      <w:pPr>
        <w:pStyle w:val="null3"/>
        <w:jc w:val="center"/>
        <w:outlineLvl w:val="3"/>
      </w:pPr>
      <w:r>
        <w:rPr>
          <w:sz w:val="24"/>
          <w:b/>
        </w:rPr>
        <w:t>采购项目编号：</w:t>
      </w:r>
      <w:r>
        <w:rPr>
          <w:sz w:val="24"/>
          <w:b/>
        </w:rPr>
        <w:t>0724-2531Z3255791</w:t>
      </w:r>
    </w:p>
    <w:p>
      <w:pPr>
        <w:pStyle w:val="null3"/>
        <w:jc w:val="center"/>
        <w:outlineLvl w:val="3"/>
      </w:pPr>
      <w:r>
        <w:rPr>
          <w:sz w:val="24"/>
          <w:b/>
        </w:rPr>
        <w:t>项目名称：</w:t>
      </w:r>
      <w:r>
        <w:rPr>
          <w:sz w:val="24"/>
          <w:b/>
        </w:rPr>
        <w:t>广州市南沙区人民医院采购外送检验病理相关检测服务项目</w:t>
      </w:r>
    </w:p>
    <w:p>
      <w:pPr>
        <w:pStyle w:val="null3"/>
        <w:jc w:val="center"/>
        <w:outlineLvl w:val="3"/>
      </w:pPr>
      <w:r>
        <w:rPr>
          <w:sz w:val="24"/>
          <w:b/>
        </w:rPr>
        <w:t>采购人：</w:t>
      </w:r>
      <w:r>
        <w:rPr>
          <w:sz w:val="24"/>
          <w:b/>
        </w:rPr>
        <w:t>广州市南沙区人民医院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广州市南沙区人民医院</w:t>
      </w:r>
      <w:r>
        <w:rPr/>
        <w:t>的委托，采用</w:t>
      </w:r>
      <w:r>
        <w:rPr/>
        <w:t>公开招标</w:t>
      </w:r>
      <w:r>
        <w:rPr/>
        <w:t>方式组织采购</w:t>
      </w:r>
      <w:r>
        <w:rPr/>
        <w:t>广州市南沙区人民医院采购外送检验病理相关检测服务项目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广州市南沙区人民医院采购外送检验病理相关检测服务项目</w:t>
      </w:r>
    </w:p>
    <w:p>
      <w:pPr>
        <w:pStyle w:val="null3"/>
        <w:ind w:firstLine="480"/>
      </w:pPr>
      <w:r>
        <w:rPr/>
        <w:t>采购计划编号：</w:t>
      </w:r>
      <w:r>
        <w:rPr/>
        <w:t>440115-2025-03910</w:t>
      </w:r>
    </w:p>
    <w:p>
      <w:pPr>
        <w:pStyle w:val="null3"/>
        <w:ind w:firstLine="480"/>
      </w:pPr>
      <w:r>
        <w:rPr/>
        <w:t>采购项目编号：</w:t>
      </w:r>
      <w:r>
        <w:rPr/>
        <w:t>0724-2531Z3255791</w:t>
      </w:r>
    </w:p>
    <w:p>
      <w:pPr>
        <w:pStyle w:val="null3"/>
        <w:ind w:firstLine="480"/>
      </w:pPr>
      <w:r>
        <w:rPr/>
        <w:t>采购方式：</w:t>
      </w:r>
      <w:r>
        <w:rPr/>
        <w:t>公开招标</w:t>
      </w:r>
    </w:p>
    <w:p>
      <w:pPr>
        <w:pStyle w:val="null3"/>
        <w:ind w:firstLine="480"/>
      </w:pPr>
      <w:r>
        <w:rPr/>
        <w:t>预算金额：</w:t>
      </w:r>
      <w:r>
        <w:rPr/>
        <w:t>2,400,000.00</w:t>
      </w:r>
      <w:r>
        <w:rPr/>
        <w:t>元</w:t>
      </w:r>
    </w:p>
    <w:p>
      <w:pPr>
        <w:pStyle w:val="null3"/>
        <w:outlineLvl w:val="3"/>
      </w:pPr>
      <w:r>
        <w:rPr>
          <w:sz w:val="24"/>
          <w:b/>
        </w:rPr>
        <w:t>2.项目内容及需求情况（采购项目技术规格、参数及要求）</w:t>
      </w:r>
    </w:p>
    <w:p>
      <w:pPr>
        <w:pStyle w:val="null3"/>
      </w:pPr>
      <w:r>
        <w:rPr/>
        <w:t>采购包1(广州市南沙区人民医院采购外送检验病理相关检测服务项目):</w:t>
      </w:r>
    </w:p>
    <w:p>
      <w:pPr>
        <w:pStyle w:val="null3"/>
      </w:pPr>
      <w:r>
        <w:rPr/>
        <w:t>采购包预算金额：2,400,000.00元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外送检验病理相关检测服务项目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2,400,000.00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合同履行期限：自合同签订之日起两年或合同金额累计达到采购总预算时（以先到为准），该合同自动终止。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2）有依法缴纳税收和社会保障资金的良好记录：提供资格声明。</w:t>
      </w:r>
    </w:p>
    <w:p>
      <w:pPr>
        <w:pStyle w:val="null3"/>
      </w:pPr>
      <w:r>
        <w:rPr/>
        <w:t>3）具有良好的商业信誉和健全的财务会计制度：提供资格声明。</w:t>
      </w:r>
    </w:p>
    <w:p>
      <w:pPr>
        <w:pStyle w:val="null3"/>
      </w:pPr>
      <w:r>
        <w:rPr/>
        <w:t>4）履行合同所必需的设备和专业技术能力：提供资格声明。</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采购包1（广州市南沙区人民医院采购外送检验病理相关检测服务项目）：</w:t>
      </w:r>
      <w:r>
        <w:rPr/>
        <w:t>本采购包非专门面向中小企业采购的项目。</w:t>
      </w:r>
    </w:p>
    <w:p>
      <w:pPr>
        <w:pStyle w:val="null3"/>
        <w:outlineLvl w:val="3"/>
      </w:pPr>
      <w:r>
        <w:rPr>
          <w:sz w:val="24"/>
          <w:b/>
        </w:rPr>
        <w:t>3.本项目特定的资格要求：</w:t>
      </w:r>
    </w:p>
    <w:p>
      <w:pPr>
        <w:pStyle w:val="null3"/>
      </w:pPr>
      <w:r>
        <w:rPr/>
        <w:t>采购包1（广州市南沙区人民医院采购外送检验病理相关检测服务项目）：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管理关系的不同供应商，不得同时参加本采购项目（或采购包）投标（响应）。为本项目提供整体设计、规范编制或者项目管理、监理、检测等服务的供应商， 不得再参与本项目投标（响应）。投标函相关承诺要求内容。</w:t>
      </w:r>
    </w:p>
    <w:p>
      <w:pPr>
        <w:pStyle w:val="null3"/>
      </w:pPr>
      <w:r>
        <w:rPr/>
        <w:t>3)投标人的实验室必须是取得《医疗机构执业许可证》的专业检验中心或实验室或检验所（提供相关证明材料并加盖投标人公章）</w:t>
      </w:r>
    </w:p>
    <w:p>
      <w:pPr>
        <w:pStyle w:val="null3"/>
      </w:pPr>
      <w:r>
        <w:rPr/>
        <w:t>4)本项目不接受联合体投标。</w:t>
      </w:r>
    </w:p>
    <w:p>
      <w:pPr>
        <w:pStyle w:val="null3"/>
      </w:pPr>
      <w:r>
        <w:rPr/>
        <w:t>5)已登录广东政府采购智慧云平台申领并获取本项目采购文件。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广州市南沙区人民医院</w:t>
      </w:r>
    </w:p>
    <w:p>
      <w:pPr>
        <w:pStyle w:val="null3"/>
        <w:ind w:firstLine="480"/>
      </w:pPr>
      <w:r>
        <w:rPr/>
        <w:t xml:space="preserve"> 地址：</w:t>
      </w:r>
      <w:r>
        <w:rPr/>
        <w:t>广州市南沙区大岗镇兴业路7号</w:t>
      </w:r>
    </w:p>
    <w:p>
      <w:pPr>
        <w:pStyle w:val="null3"/>
        <w:ind w:firstLine="480"/>
      </w:pPr>
      <w:r>
        <w:rPr/>
        <w:t xml:space="preserve"> 联系方式：</w:t>
      </w:r>
      <w:r>
        <w:rPr/>
        <w:t>020-34999620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020-37860523/37860540/37860539</w:t>
      </w:r>
    </w:p>
    <w:p>
      <w:pPr>
        <w:pStyle w:val="null3"/>
        <w:outlineLvl w:val="3"/>
      </w:pPr>
      <w:r>
        <w:rPr>
          <w:sz w:val="24"/>
          <w:b/>
        </w:rPr>
        <w:t xml:space="preserve"> 3.项目联系方式</w:t>
      </w:r>
    </w:p>
    <w:p>
      <w:pPr>
        <w:pStyle w:val="null3"/>
        <w:ind w:firstLine="480"/>
      </w:pPr>
      <w:r>
        <w:rPr/>
        <w:t xml:space="preserve"> 项目联系人：</w:t>
      </w:r>
      <w:r>
        <w:rPr/>
        <w:t>叶琳/吴佳耿/李家荣</w:t>
      </w:r>
    </w:p>
    <w:p>
      <w:pPr>
        <w:pStyle w:val="null3"/>
        <w:ind w:firstLine="480"/>
      </w:pPr>
      <w:r>
        <w:rPr/>
        <w:t xml:space="preserve"> 电话：</w:t>
      </w:r>
      <w:r>
        <w:rPr/>
        <w:t>020-37860523/37860540/37860539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1</w:t>
      </w:r>
      <w:r>
        <w:rPr>
          <w:sz w:val="21"/>
          <w:shd w:fill="FFFFFF" w:val="clear"/>
        </w:rPr>
        <w:t>．项目标的及采购限价</w:t>
      </w:r>
    </w:p>
    <w:tbl>
      <w:tblPr>
        <w:tblW w:w="0" w:type="auto"/>
        <w:tblInd w:type="dxa" w:w="870"/>
        <w:tblBorders>
          <w:top w:val="none" w:color="000000" w:sz="4"/>
          <w:left w:val="none" w:color="000000" w:sz="4"/>
          <w:bottom w:val="none" w:color="000000" w:sz="4"/>
          <w:right w:val="none" w:color="000000" w:sz="4"/>
          <w:insideH w:val="none"/>
          <w:insideV w:val="none"/>
        </w:tblBorders>
      </w:tblPr>
      <w:tblGrid>
        <w:gridCol w:w="3696"/>
        <w:gridCol w:w="1142"/>
        <w:gridCol w:w="3468"/>
      </w:tblGrid>
      <w:tr>
        <w:tc>
          <w:tcPr>
            <w:tcW w:type="dxa" w:w="369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shd w:fill="FFFFFF" w:val="clear"/>
              </w:rPr>
              <w:t>标的名称</w:t>
            </w:r>
          </w:p>
        </w:tc>
        <w:tc>
          <w:tcPr>
            <w:tcW w:type="dxa" w:w="114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shd w:fill="FFFFFF" w:val="clear"/>
              </w:rPr>
              <w:t>数量</w:t>
            </w:r>
          </w:p>
        </w:tc>
        <w:tc>
          <w:tcPr>
            <w:tcW w:type="dxa" w:w="3468"/>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shd w:fill="FFFFFF" w:val="clear"/>
              </w:rPr>
              <w:t>项目预算</w:t>
            </w:r>
            <w:r>
              <w:rPr>
                <w:sz w:val="21"/>
                <w:b/>
                <w:shd w:fill="FFFFFF" w:val="clear"/>
              </w:rPr>
              <w:t>(</w:t>
            </w:r>
            <w:r>
              <w:rPr>
                <w:sz w:val="21"/>
                <w:b/>
                <w:shd w:fill="FFFFFF" w:val="clear"/>
              </w:rPr>
              <w:t>人民币</w:t>
            </w:r>
            <w:r>
              <w:rPr>
                <w:sz w:val="21"/>
                <w:b/>
                <w:shd w:fill="FFFFFF" w:val="clear"/>
              </w:rPr>
              <w:t>)</w:t>
            </w:r>
          </w:p>
        </w:tc>
      </w:tr>
      <w:tr>
        <w:tc>
          <w:tcPr>
            <w:tcW w:type="dxa" w:w="3696"/>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外送检验病理相关检测服务项目</w:t>
            </w:r>
          </w:p>
        </w:tc>
        <w:tc>
          <w:tcPr>
            <w:tcW w:type="dxa" w:w="1142"/>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color w:val="000000"/>
                <w:shd w:fill="FFFFFF" w:val="clear"/>
              </w:rPr>
              <w:t>1</w:t>
            </w:r>
            <w:r>
              <w:rPr>
                <w:sz w:val="21"/>
                <w:color w:val="000000"/>
                <w:shd w:fill="FFFFFF" w:val="clear"/>
              </w:rPr>
              <w:t>项</w:t>
            </w:r>
          </w:p>
        </w:tc>
        <w:tc>
          <w:tcPr>
            <w:tcW w:type="dxa" w:w="3468"/>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color w:val="000000"/>
                <w:shd w:fill="FFFFFF" w:val="clear"/>
              </w:rPr>
              <w:t>240</w:t>
            </w:r>
            <w:r>
              <w:rPr>
                <w:sz w:val="21"/>
                <w:color w:val="000000"/>
                <w:shd w:fill="FFFFFF" w:val="clear"/>
              </w:rPr>
              <w:t>万元</w:t>
            </w:r>
          </w:p>
        </w:tc>
      </w:tr>
    </w:tbl>
    <w:p>
      <w:pPr>
        <w:pStyle w:val="null3"/>
        <w:ind w:firstLine="420"/>
      </w:pPr>
      <w:r>
        <w:rPr>
          <w:sz w:val="21"/>
          <w:color w:val="000000"/>
          <w:shd w:fill="FFFFFF" w:val="clear"/>
        </w:rPr>
        <w:t>详细规范请参阅招标文件中的用户需求书。投标供应商必须对本项目的全部内容进行</w:t>
      </w:r>
      <w:r>
        <w:rPr>
          <w:sz w:val="21"/>
          <w:b/>
          <w:color w:val="000000"/>
          <w:shd w:fill="FFFFFF" w:val="clear"/>
        </w:rPr>
        <w:t>折扣率投标报价</w:t>
      </w:r>
      <w:r>
        <w:rPr>
          <w:sz w:val="21"/>
          <w:color w:val="000000"/>
          <w:shd w:fill="FFFFFF" w:val="clear"/>
        </w:rPr>
        <w:t>，如有缺漏，将导致投标无效。</w:t>
      </w:r>
    </w:p>
    <w:p>
      <w:pPr>
        <w:pStyle w:val="null3"/>
        <w:ind w:firstLine="420"/>
      </w:pPr>
      <w:r>
        <w:rPr>
          <w:sz w:val="21"/>
          <w:color w:val="000000"/>
          <w:shd w:fill="FFFFFF" w:val="clear"/>
        </w:rPr>
        <w:t>本项目采购本国服务。</w:t>
      </w:r>
    </w:p>
    <w:p>
      <w:pPr>
        <w:pStyle w:val="null3"/>
        <w:ind w:firstLine="420"/>
        <w:jc w:val="left"/>
      </w:pPr>
      <w:r>
        <w:rPr>
          <w:sz w:val="21"/>
          <w:shd w:fill="FFFFFF" w:val="clear"/>
        </w:rPr>
        <w:t>2.</w:t>
      </w:r>
      <w:r>
        <w:rPr>
          <w:sz w:val="21"/>
          <w:shd w:fill="FFFFFF" w:val="clear"/>
        </w:rPr>
        <w:t>服务期限：自合同签订之日起</w:t>
      </w:r>
      <w:r>
        <w:rPr>
          <w:sz w:val="21"/>
          <w:shd w:fill="FFFFFF" w:val="clear"/>
        </w:rPr>
        <w:t>两</w:t>
      </w:r>
      <w:r>
        <w:rPr>
          <w:sz w:val="21"/>
          <w:shd w:fill="FFFFFF" w:val="clear"/>
        </w:rPr>
        <w:t>年</w:t>
      </w:r>
      <w:r>
        <w:rPr>
          <w:sz w:val="21"/>
        </w:rPr>
        <w:t>或合同金额累计达到采购总预算时（以先到为准），该合同自动终止。</w:t>
      </w:r>
    </w:p>
    <w:p>
      <w:pPr>
        <w:pStyle w:val="null3"/>
        <w:ind w:firstLine="420"/>
        <w:jc w:val="both"/>
      </w:pPr>
      <w:r>
        <w:rPr>
          <w:sz w:val="21"/>
          <w:shd w:fill="FFFFFF" w:val="clear"/>
        </w:rPr>
        <w:t>3.</w:t>
      </w:r>
      <w:r>
        <w:rPr>
          <w:sz w:val="21"/>
          <w:shd w:fill="FFFFFF" w:val="clear"/>
        </w:rPr>
        <w:t>服务地点：采购人指定地点。</w:t>
      </w:r>
    </w:p>
    <w:p>
      <w:pPr>
        <w:pStyle w:val="null3"/>
        <w:ind w:firstLine="420"/>
      </w:pPr>
      <w:r>
        <w:rPr>
          <w:sz w:val="21"/>
          <w:shd w:fill="FFFFFF" w:val="clear"/>
        </w:rPr>
        <w:t>4.</w:t>
      </w:r>
      <w:r>
        <w:rPr>
          <w:sz w:val="21"/>
          <w:shd w:fill="FFFFFF" w:val="clear"/>
        </w:rPr>
        <w:t>需要落实的政府采购政策：《政府采购促进中小企业发展管理办法》（财库〔</w:t>
      </w:r>
      <w:r>
        <w:rPr>
          <w:sz w:val="21"/>
          <w:shd w:fill="FFFFFF" w:val="clear"/>
        </w:rPr>
        <w:t>2020</w:t>
      </w:r>
      <w:r>
        <w:rPr>
          <w:sz w:val="21"/>
          <w:shd w:fill="FFFFFF" w:val="clear"/>
        </w:rPr>
        <w:t>〕</w:t>
      </w:r>
      <w:r>
        <w:rPr>
          <w:sz w:val="21"/>
          <w:shd w:fill="FFFFFF" w:val="clear"/>
        </w:rPr>
        <w:t>46</w:t>
      </w:r>
      <w:r>
        <w:rPr>
          <w:sz w:val="21"/>
          <w:shd w:fill="FFFFFF" w:val="clear"/>
        </w:rPr>
        <w:t>号）、《关于政府采购支持监狱企业发展有关问题的通知》（财库【</w:t>
      </w:r>
      <w:r>
        <w:rPr>
          <w:sz w:val="21"/>
          <w:shd w:fill="FFFFFF" w:val="clear"/>
        </w:rPr>
        <w:t>2014</w:t>
      </w:r>
      <w:r>
        <w:rPr>
          <w:sz w:val="21"/>
          <w:shd w:fill="FFFFFF" w:val="clear"/>
        </w:rPr>
        <w:t>】</w:t>
      </w:r>
      <w:r>
        <w:rPr>
          <w:sz w:val="21"/>
          <w:shd w:fill="FFFFFF" w:val="clear"/>
        </w:rPr>
        <w:t>68</w:t>
      </w:r>
      <w:r>
        <w:rPr>
          <w:sz w:val="21"/>
          <w:shd w:fill="FFFFFF" w:val="clear"/>
        </w:rPr>
        <w:t>号）、《关于促进残疾人就业政府采购政策的通知》（财库〔</w:t>
      </w:r>
      <w:r>
        <w:rPr>
          <w:sz w:val="21"/>
          <w:shd w:fill="FFFFFF" w:val="clear"/>
        </w:rPr>
        <w:t>2017</w:t>
      </w:r>
      <w:r>
        <w:rPr>
          <w:sz w:val="21"/>
          <w:shd w:fill="FFFFFF" w:val="clear"/>
        </w:rPr>
        <w:t>〕</w:t>
      </w:r>
      <w:r>
        <w:rPr>
          <w:sz w:val="21"/>
          <w:shd w:fill="FFFFFF" w:val="clear"/>
        </w:rPr>
        <w:t>141</w:t>
      </w:r>
      <w:r>
        <w:rPr>
          <w:sz w:val="21"/>
          <w:shd w:fill="FFFFFF" w:val="clear"/>
        </w:rPr>
        <w:t>号）、《关于调整优化节能产品、环境标志产品政府采购执行机制的通知》（财库〔</w:t>
      </w:r>
      <w:r>
        <w:rPr>
          <w:sz w:val="21"/>
          <w:shd w:fill="FFFFFF" w:val="clear"/>
        </w:rPr>
        <w:t>2020</w:t>
      </w:r>
      <w:r>
        <w:rPr>
          <w:sz w:val="21"/>
          <w:shd w:fill="FFFFFF" w:val="clear"/>
        </w:rPr>
        <w:t>〕</w:t>
      </w:r>
      <w:r>
        <w:rPr>
          <w:sz w:val="21"/>
          <w:shd w:fill="FFFFFF" w:val="clear"/>
        </w:rPr>
        <w:t>9</w:t>
      </w:r>
      <w:r>
        <w:rPr>
          <w:sz w:val="21"/>
          <w:shd w:fill="FFFFFF" w:val="clear"/>
        </w:rPr>
        <w:t>号）等。</w:t>
      </w:r>
    </w:p>
    <w:p>
      <w:pPr>
        <w:pStyle w:val="null3"/>
      </w:pPr>
      <w:r>
        <w:rPr/>
        <w:t>采购包1（广州市南沙区人民医院采购外送检验病理相关检测服务项目）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自合同签订之日起两年或合同金额累计达到采购总预算时（以先到为准），该合同自动终止。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1期：支付比例100%,1.按季度结算，本季度结算上季度服务金额。 2.中标价=各项目收费标准×中标折扣率（中标折扣率详见中标通知书），项目收费级别以项目所属各分院收费等级标准为准。 3.本项目结算折扣率:为中标人各类检测报价的折扣率。 4.每季度的结算金额（检验检测项目检验单价×检验检测项目检验数量×检验检测项目的中标折扣率）-考核扣罚金额，中标人于每季度首月10日前提供上季度检验送检数量结算明细清单交到给采购人处，采购人收到资料审核无误后通知中标人开具发票，采购人收到发票后15个工作日内转账支付服务费用。 5.中标人与采购人在签订合同时，由采购人每季度对中标人的服务内容及服务质量进行考核并根据考核结果扣罚中标人的服务费。 6.采购人现执行《广州地区公立医院基本医疗服务项目价格汇总表》（2025年版）收费标准（以下简称收费标准），如遇政府相关政策法规变化导致收费标准有所调整时，各项目实际结算价按比例调整：新结算价=新收费标准×中标折扣率。如需增加本项目清单范围外的检验项目，结算价参照同类项目结算比例结算，即新增项目结算价=新增项目收费标准X中标折扣率。</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1期：1.按采购需求中的条款要求及“服务考核”条款进行验收。 2.符合中华人民共和国国家和履约地相关安全质量标准、行业技术规范标准、环保节能标准及国家现行相关法律法规。 3.符合采购文件和响应承诺中采购人认可的合理最佳服务方案、计划安排及各项要求。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须按照国家与广东省广州市的医疗服务价格规范的标准，对本项目所有检验病理内容提供的对本项目提供结算收费率报价,投标人对所有检验病理项目只报出一个统一的折扣率报价（0≤折扣率报价≤100%）。</w:t>
            </w:r>
          </w:p>
        </w:tc>
      </w:tr>
      <w:tr>
        <w:tc>
          <w:tcPr>
            <w:tcW w:type="dxa" w:w="2076"/>
          </w:tcPr>
          <w:p/>
        </w:tc>
        <w:tc>
          <w:tcPr>
            <w:tcW w:type="dxa" w:w="2076"/>
          </w:tcPr>
          <w:p>
            <w:pPr>
              <w:pStyle w:val="null3"/>
              <w:jc w:val="center"/>
            </w:pPr>
            <w:r>
              <w:rPr/>
              <w:t>2</w:t>
            </w:r>
          </w:p>
        </w:tc>
        <w:tc>
          <w:tcPr>
            <w:tcW w:type="dxa" w:w="2076"/>
          </w:tcPr>
          <w:p>
            <w:pPr>
              <w:pStyle w:val="null3"/>
              <w:jc w:val="left"/>
            </w:pPr>
            <w:r>
              <w:rPr/>
              <w:t>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r>
        <w:tc>
          <w:tcPr>
            <w:tcW w:type="dxa" w:w="2076"/>
          </w:tcPr>
          <w:p/>
        </w:tc>
        <w:tc>
          <w:tcPr>
            <w:tcW w:type="dxa" w:w="2076"/>
          </w:tcPr>
          <w:p>
            <w:pPr>
              <w:pStyle w:val="null3"/>
              <w:jc w:val="center"/>
            </w:pPr>
            <w:r>
              <w:rPr/>
              <w:t>3</w:t>
            </w:r>
          </w:p>
        </w:tc>
        <w:tc>
          <w:tcPr>
            <w:tcW w:type="dxa" w:w="2076"/>
          </w:tcPr>
          <w:p>
            <w:pPr>
              <w:pStyle w:val="null3"/>
              <w:jc w:val="left"/>
            </w:pPr>
            <w:r>
              <w:rPr/>
              <w:t>其他</w:t>
            </w:r>
          </w:p>
        </w:tc>
        <w:tc>
          <w:tcPr>
            <w:tcW w:type="dxa" w:w="2076"/>
          </w:tcPr>
          <w:p>
            <w:pPr>
              <w:pStyle w:val="null3"/>
              <w:jc w:val="left"/>
            </w:pPr>
            <w:r>
              <w:rPr/>
              <w:t>同意采购人以任何形式对投标人投标文件内容及招标方认为有必要的相关资料的真实性和有效性进行审查、验证。</w:t>
            </w:r>
          </w:p>
        </w:tc>
      </w:tr>
      <w:tr>
        <w:tc>
          <w:tcPr>
            <w:tcW w:type="dxa" w:w="2076"/>
          </w:tcPr>
          <w:p/>
        </w:tc>
        <w:tc>
          <w:tcPr>
            <w:tcW w:type="dxa" w:w="2076"/>
          </w:tcPr>
          <w:p>
            <w:pPr>
              <w:pStyle w:val="null3"/>
              <w:jc w:val="center"/>
            </w:pPr>
            <w:r>
              <w:rPr/>
              <w:t>4</w:t>
            </w:r>
          </w:p>
        </w:tc>
        <w:tc>
          <w:tcPr>
            <w:tcW w:type="dxa" w:w="2076"/>
          </w:tcPr>
          <w:p>
            <w:pPr>
              <w:pStyle w:val="null3"/>
              <w:jc w:val="left"/>
            </w:pPr>
            <w:r>
              <w:rPr/>
              <w:t>采购项目验收要求</w:t>
            </w:r>
          </w:p>
        </w:tc>
        <w:tc>
          <w:tcPr>
            <w:tcW w:type="dxa" w:w="2076"/>
          </w:tcPr>
          <w:p>
            <w:pPr>
              <w:pStyle w:val="null3"/>
              <w:jc w:val="left"/>
            </w:pPr>
            <w:r>
              <w:rPr/>
              <w:t>1.信息系统和保密措施 （1）有为用户保密的义务，未经同意不得泄露委托检验的项目、检验的内容、检验的结果。（2）检测样本、检测数据的所有权、使用权为用户所有，未经许可不得挪作它用。</w:t>
            </w:r>
          </w:p>
        </w:tc>
      </w:tr>
      <w:tr>
        <w:tc>
          <w:tcPr>
            <w:tcW w:type="dxa" w:w="2076"/>
          </w:tcPr>
          <w:p/>
        </w:tc>
        <w:tc>
          <w:tcPr>
            <w:tcW w:type="dxa" w:w="2076"/>
          </w:tcPr>
          <w:p>
            <w:pPr>
              <w:pStyle w:val="null3"/>
              <w:jc w:val="center"/>
            </w:pPr>
            <w:r>
              <w:rPr/>
              <w:t>5</w:t>
            </w:r>
          </w:p>
        </w:tc>
        <w:tc>
          <w:tcPr>
            <w:tcW w:type="dxa" w:w="2076"/>
          </w:tcPr>
          <w:p>
            <w:pPr>
              <w:pStyle w:val="null3"/>
              <w:jc w:val="left"/>
            </w:pPr>
            <w:r>
              <w:rPr/>
              <w:t>采购项目培训及售后服务要求</w:t>
            </w:r>
          </w:p>
        </w:tc>
        <w:tc>
          <w:tcPr>
            <w:tcW w:type="dxa" w:w="2076"/>
          </w:tcPr>
          <w:p>
            <w:pPr>
              <w:pStyle w:val="null3"/>
              <w:jc w:val="left"/>
            </w:pPr>
            <w:r>
              <w:rPr/>
              <w:t>1.售前售后服务要求 （1）有专人负责用户业务及质量、技术、培训等工作。 （2）常规设有客服人员负责采购方反馈信息的受理、传达、跟踪处理等工作，以满足售后服务</w:t>
            </w:r>
          </w:p>
        </w:tc>
      </w:tr>
      <w:tr>
        <w:tc>
          <w:tcPr>
            <w:tcW w:type="dxa" w:w="2076"/>
          </w:tcPr>
          <w:p/>
        </w:tc>
        <w:tc>
          <w:tcPr>
            <w:tcW w:type="dxa" w:w="2076"/>
          </w:tcPr>
          <w:p>
            <w:pPr>
              <w:pStyle w:val="null3"/>
              <w:jc w:val="center"/>
            </w:pPr>
            <w:r>
              <w:rPr/>
              <w:t>6</w:t>
            </w:r>
          </w:p>
        </w:tc>
        <w:tc>
          <w:tcPr>
            <w:tcW w:type="dxa" w:w="2076"/>
          </w:tcPr>
          <w:p>
            <w:pPr>
              <w:pStyle w:val="null3"/>
              <w:jc w:val="left"/>
            </w:pPr>
            <w:r>
              <w:rPr/>
              <w:t>服务考核</w:t>
            </w:r>
          </w:p>
        </w:tc>
        <w:tc>
          <w:tcPr>
            <w:tcW w:type="dxa" w:w="2076"/>
          </w:tcPr>
          <w:p>
            <w:pPr>
              <w:pStyle w:val="null3"/>
              <w:jc w:val="left"/>
            </w:pPr>
            <w:r>
              <w:rPr/>
              <w:t>详见需求“八、服务考核”</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外送检验病理相关检测服务项目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2,400,000.00</w:t>
            </w:r>
          </w:p>
        </w:tc>
        <w:tc>
          <w:tcPr>
            <w:tcW w:type="dxa" w:w="831"/>
          </w:tcPr>
          <w:p>
            <w:pPr>
              <w:pStyle w:val="null3"/>
              <w:jc w:val="right"/>
            </w:pPr>
            <w:r>
              <w:rPr/>
              <w:t>2,400,000.00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外送检验病理相关检测服务项目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一、采购主要内容</w:t>
            </w:r>
          </w:p>
          <w:p>
            <w:pPr>
              <w:pStyle w:val="null3"/>
            </w:pPr>
            <w:r>
              <w:rPr/>
              <w:t>广州市南沙区人民医院位于广东省广州市南沙区大岗镇兴业路7号，是一所二级甲等综合医院。现需确定一名供应商，为采购人提供检验、病理相关检测服务。</w:t>
            </w:r>
          </w:p>
        </w:tc>
      </w:tr>
      <w:tr>
        <w:tc>
          <w:tcPr>
            <w:tcW w:type="dxa" w:w="2076"/>
          </w:tcPr>
          <w:p/>
        </w:tc>
        <w:tc>
          <w:tcPr>
            <w:tcW w:type="dxa" w:w="415"/>
          </w:tcPr>
          <w:p>
            <w:pPr>
              <w:pStyle w:val="null3"/>
            </w:pPr>
            <w:r>
              <w:rPr/>
              <w:t>2</w:t>
            </w:r>
          </w:p>
        </w:tc>
        <w:tc>
          <w:tcPr>
            <w:tcW w:type="dxa" w:w="5814"/>
          </w:tcPr>
          <w:p>
            <w:pPr>
              <w:pStyle w:val="null3"/>
            </w:pPr>
            <w:r>
              <w:rPr>
                <w:b/>
              </w:rPr>
              <w:t>二、技术要求</w:t>
            </w:r>
          </w:p>
          <w:p>
            <w:pPr>
              <w:pStyle w:val="null3"/>
            </w:pPr>
            <w:r>
              <w:rPr/>
              <w:t>（1）供应商实验室符合国家卫健委《医疗机构临床实验室管理办法》等法律法规要求；</w:t>
            </w:r>
          </w:p>
        </w:tc>
      </w:tr>
      <w:tr>
        <w:tc>
          <w:tcPr>
            <w:tcW w:type="dxa" w:w="2076"/>
          </w:tcPr>
          <w:p/>
        </w:tc>
        <w:tc>
          <w:tcPr>
            <w:tcW w:type="dxa" w:w="415"/>
          </w:tcPr>
          <w:p>
            <w:pPr>
              <w:pStyle w:val="null3"/>
            </w:pPr>
            <w:r>
              <w:rPr/>
              <w:t>3</w:t>
            </w:r>
          </w:p>
        </w:tc>
        <w:tc>
          <w:tcPr>
            <w:tcW w:type="dxa" w:w="5814"/>
          </w:tcPr>
          <w:p>
            <w:pPr>
              <w:pStyle w:val="null3"/>
            </w:pPr>
            <w:r>
              <w:rPr/>
              <w:t>（2）供应商实验室有参加临床检验中心组织的室间质评并成绩合格；</w:t>
            </w:r>
          </w:p>
        </w:tc>
      </w:tr>
      <w:tr>
        <w:tc>
          <w:tcPr>
            <w:tcW w:type="dxa" w:w="2076"/>
          </w:tcPr>
          <w:p/>
        </w:tc>
        <w:tc>
          <w:tcPr>
            <w:tcW w:type="dxa" w:w="415"/>
          </w:tcPr>
          <w:p>
            <w:pPr>
              <w:pStyle w:val="null3"/>
            </w:pPr>
            <w:r>
              <w:rPr/>
              <w:t>4</w:t>
            </w:r>
          </w:p>
        </w:tc>
        <w:tc>
          <w:tcPr>
            <w:tcW w:type="dxa" w:w="5814"/>
          </w:tcPr>
          <w:p>
            <w:pPr>
              <w:pStyle w:val="null3"/>
            </w:pPr>
            <w:r>
              <w:rPr/>
              <w:t>（3）供应商具备实验室生物安全级别至少2级或以上。</w:t>
            </w:r>
          </w:p>
        </w:tc>
      </w:tr>
      <w:tr>
        <w:tc>
          <w:tcPr>
            <w:tcW w:type="dxa" w:w="2076"/>
          </w:tcPr>
          <w:p/>
        </w:tc>
        <w:tc>
          <w:tcPr>
            <w:tcW w:type="dxa" w:w="415"/>
          </w:tcPr>
          <w:p>
            <w:pPr>
              <w:pStyle w:val="null3"/>
            </w:pPr>
            <w:r>
              <w:rPr/>
              <w:t>5</w:t>
            </w:r>
          </w:p>
        </w:tc>
        <w:tc>
          <w:tcPr>
            <w:tcW w:type="dxa" w:w="5814"/>
          </w:tcPr>
          <w:p>
            <w:pPr>
              <w:pStyle w:val="null3"/>
            </w:pPr>
            <w:r>
              <w:rPr/>
              <w:t>（4）供应商实验室拥有专业的临床检验师、注册病理医师以及技术人员团队以提供权威专业的诊断服务；</w:t>
            </w:r>
          </w:p>
        </w:tc>
      </w:tr>
      <w:tr>
        <w:tc>
          <w:tcPr>
            <w:tcW w:type="dxa" w:w="2076"/>
          </w:tcPr>
          <w:p/>
        </w:tc>
        <w:tc>
          <w:tcPr>
            <w:tcW w:type="dxa" w:w="415"/>
          </w:tcPr>
          <w:p>
            <w:pPr>
              <w:pStyle w:val="null3"/>
            </w:pPr>
            <w:r>
              <w:rPr/>
              <w:t>6</w:t>
            </w:r>
          </w:p>
        </w:tc>
        <w:tc>
          <w:tcPr>
            <w:tcW w:type="dxa" w:w="5814"/>
          </w:tcPr>
          <w:p>
            <w:pPr>
              <w:pStyle w:val="null3"/>
            </w:pPr>
            <w:r>
              <w:rPr/>
              <w:t>（5）供应商病理实验室拥有完善的病理技术平台，包括细胞病理、组织病理、分子病理、远程病理等；供应商拥有丰富远程病理诊断服务经验和良好运营能力；可提供良好的临床病理学术沟通平台，协助解决病理疑难病例。</w:t>
            </w:r>
          </w:p>
        </w:tc>
      </w:tr>
      <w:tr>
        <w:tc>
          <w:tcPr>
            <w:tcW w:type="dxa" w:w="2076"/>
          </w:tcPr>
          <w:p/>
        </w:tc>
        <w:tc>
          <w:tcPr>
            <w:tcW w:type="dxa" w:w="415"/>
          </w:tcPr>
          <w:p>
            <w:pPr>
              <w:pStyle w:val="null3"/>
            </w:pPr>
            <w:r>
              <w:rPr/>
              <w:t>7</w:t>
            </w:r>
          </w:p>
        </w:tc>
        <w:tc>
          <w:tcPr>
            <w:tcW w:type="dxa" w:w="5814"/>
          </w:tcPr>
          <w:p>
            <w:pPr>
              <w:pStyle w:val="null3"/>
            </w:pPr>
            <w:r>
              <w:rPr/>
              <w:t>（6）供应商实验室须拥有完成项目检测所必须的设备和相关技术平台。</w:t>
            </w:r>
          </w:p>
        </w:tc>
      </w:tr>
      <w:tr>
        <w:tc>
          <w:tcPr>
            <w:tcW w:type="dxa" w:w="2076"/>
          </w:tcPr>
          <w:p/>
        </w:tc>
        <w:tc>
          <w:tcPr>
            <w:tcW w:type="dxa" w:w="415"/>
          </w:tcPr>
          <w:p>
            <w:pPr>
              <w:pStyle w:val="null3"/>
            </w:pPr>
            <w:r>
              <w:rPr/>
              <w:t>8</w:t>
            </w:r>
          </w:p>
        </w:tc>
        <w:tc>
          <w:tcPr>
            <w:tcW w:type="dxa" w:w="5814"/>
          </w:tcPr>
          <w:p>
            <w:pPr>
              <w:pStyle w:val="null3"/>
            </w:pPr>
            <w:r>
              <w:rPr/>
              <w:t>（7）供应商保证按国家检测规范进行操作，按照规范流程进行标本保存、运输与检查诊断，并对标本的检测报告承担相应的责任；</w:t>
            </w:r>
          </w:p>
        </w:tc>
      </w:tr>
      <w:tr>
        <w:tc>
          <w:tcPr>
            <w:tcW w:type="dxa" w:w="2076"/>
          </w:tcPr>
          <w:p/>
        </w:tc>
        <w:tc>
          <w:tcPr>
            <w:tcW w:type="dxa" w:w="415"/>
          </w:tcPr>
          <w:p>
            <w:pPr>
              <w:pStyle w:val="null3"/>
            </w:pPr>
            <w:r>
              <w:rPr/>
              <w:t>9</w:t>
            </w:r>
          </w:p>
        </w:tc>
        <w:tc>
          <w:tcPr>
            <w:tcW w:type="dxa" w:w="5814"/>
          </w:tcPr>
          <w:p>
            <w:pPr>
              <w:pStyle w:val="null3"/>
            </w:pPr>
            <w:r>
              <w:rPr/>
              <w:t>（8）能够实现检验、病理相关检查项目结果网上传输，采购人通过专用的账号密码可实现外送项目的报告查询。</w:t>
            </w:r>
          </w:p>
        </w:tc>
      </w:tr>
      <w:tr>
        <w:tc>
          <w:tcPr>
            <w:tcW w:type="dxa" w:w="2076"/>
          </w:tcPr>
          <w:p/>
        </w:tc>
        <w:tc>
          <w:tcPr>
            <w:tcW w:type="dxa" w:w="415"/>
          </w:tcPr>
          <w:p>
            <w:pPr>
              <w:pStyle w:val="null3"/>
            </w:pPr>
            <w:r>
              <w:rPr/>
              <w:t>10</w:t>
            </w:r>
          </w:p>
        </w:tc>
        <w:tc>
          <w:tcPr>
            <w:tcW w:type="dxa" w:w="5814"/>
          </w:tcPr>
          <w:p>
            <w:pPr>
              <w:pStyle w:val="null3"/>
            </w:pPr>
            <w:r>
              <w:rPr>
                <w:b/>
              </w:rPr>
              <w:t>三、服务要求</w:t>
            </w:r>
          </w:p>
          <w:p>
            <w:pPr>
              <w:pStyle w:val="null3"/>
            </w:pPr>
            <w:r>
              <w:rPr/>
              <w:t>（1）供应商需安排专人每周一至周日定时前往医院收取标本的服务，遇特殊标本可机动收取。</w:t>
            </w:r>
          </w:p>
        </w:tc>
      </w:tr>
      <w:tr>
        <w:tc>
          <w:tcPr>
            <w:tcW w:type="dxa" w:w="2076"/>
          </w:tcPr>
          <w:p/>
        </w:tc>
        <w:tc>
          <w:tcPr>
            <w:tcW w:type="dxa" w:w="415"/>
          </w:tcPr>
          <w:p>
            <w:pPr>
              <w:pStyle w:val="null3"/>
            </w:pPr>
            <w:r>
              <w:rPr/>
              <w:t>11</w:t>
            </w:r>
          </w:p>
        </w:tc>
        <w:tc>
          <w:tcPr>
            <w:tcW w:type="dxa" w:w="5814"/>
          </w:tcPr>
          <w:p>
            <w:pPr>
              <w:pStyle w:val="null3"/>
            </w:pPr>
            <w:r>
              <w:rPr/>
              <w:t>（2）供应商提供特殊检查项目所需要的相关耗材、知情同意书、专用申请单等。</w:t>
            </w:r>
          </w:p>
        </w:tc>
      </w:tr>
      <w:tr>
        <w:tc>
          <w:tcPr>
            <w:tcW w:type="dxa" w:w="2076"/>
          </w:tcPr>
          <w:p/>
        </w:tc>
        <w:tc>
          <w:tcPr>
            <w:tcW w:type="dxa" w:w="415"/>
          </w:tcPr>
          <w:p>
            <w:pPr>
              <w:pStyle w:val="null3"/>
            </w:pPr>
            <w:r>
              <w:rPr/>
              <w:t>12</w:t>
            </w:r>
          </w:p>
        </w:tc>
        <w:tc>
          <w:tcPr>
            <w:tcW w:type="dxa" w:w="5814"/>
          </w:tcPr>
          <w:p>
            <w:pPr>
              <w:pStyle w:val="null3"/>
            </w:pPr>
            <w:r>
              <w:rPr/>
              <w:t>（3）供应商配备完善医疗物流系统，保证标本接收、送检运输过程的安全与规范，保证标本的检测前质量。标本运输须要求直立、冷藏、封闭，符合生物安全要求，确保运输过程的样品质量和环境安全。对于需低温冷冻或有特殊要求的样本视具体项目与采购人商定。</w:t>
            </w:r>
          </w:p>
        </w:tc>
      </w:tr>
      <w:tr>
        <w:tc>
          <w:tcPr>
            <w:tcW w:type="dxa" w:w="2076"/>
          </w:tcPr>
          <w:p/>
        </w:tc>
        <w:tc>
          <w:tcPr>
            <w:tcW w:type="dxa" w:w="415"/>
          </w:tcPr>
          <w:p>
            <w:pPr>
              <w:pStyle w:val="null3"/>
            </w:pPr>
            <w:r>
              <w:rPr/>
              <w:t>13</w:t>
            </w:r>
          </w:p>
        </w:tc>
        <w:tc>
          <w:tcPr>
            <w:tcW w:type="dxa" w:w="5814"/>
          </w:tcPr>
          <w:p>
            <w:pPr>
              <w:pStyle w:val="null3"/>
            </w:pPr>
            <w:r>
              <w:rPr/>
              <w:t>（4）供应商拟投入运输团队具有冷链物流资质，提供供应商物流运输团队具有的《道路运输经营许可证》（经营范围包含“普通货运、货物专用运输”）。</w:t>
            </w:r>
          </w:p>
        </w:tc>
      </w:tr>
      <w:tr>
        <w:tc>
          <w:tcPr>
            <w:tcW w:type="dxa" w:w="2076"/>
          </w:tcPr>
          <w:p/>
        </w:tc>
        <w:tc>
          <w:tcPr>
            <w:tcW w:type="dxa" w:w="415"/>
          </w:tcPr>
          <w:p>
            <w:pPr>
              <w:pStyle w:val="null3"/>
            </w:pPr>
            <w:r>
              <w:rPr/>
              <w:t>14</w:t>
            </w:r>
          </w:p>
        </w:tc>
        <w:tc>
          <w:tcPr>
            <w:tcW w:type="dxa" w:w="5814"/>
          </w:tcPr>
          <w:p>
            <w:pPr>
              <w:pStyle w:val="null3"/>
            </w:pPr>
            <w:r>
              <w:rPr/>
              <w:t>（5）供应商需按照采购人的需求，制定公开的诊断项目本，并按照规定的报告时间内为采购人出具检验报告。</w:t>
            </w:r>
          </w:p>
        </w:tc>
      </w:tr>
      <w:tr>
        <w:tc>
          <w:tcPr>
            <w:tcW w:type="dxa" w:w="2076"/>
          </w:tcPr>
          <w:p/>
        </w:tc>
        <w:tc>
          <w:tcPr>
            <w:tcW w:type="dxa" w:w="415"/>
          </w:tcPr>
          <w:p>
            <w:pPr>
              <w:pStyle w:val="null3"/>
            </w:pPr>
            <w:r>
              <w:rPr/>
              <w:t>15</w:t>
            </w:r>
          </w:p>
        </w:tc>
        <w:tc>
          <w:tcPr>
            <w:tcW w:type="dxa" w:w="5814"/>
          </w:tcPr>
          <w:p>
            <w:pPr>
              <w:pStyle w:val="null3"/>
            </w:pPr>
            <w:r>
              <w:rPr/>
              <w:t>（6）供应商配备完善的信息系统，使医务人员可以随时调阅，可实现检查项目的多终端查询，包括网页端、手机端等，对紧急报告可提供口头报告或电话报告等形式。</w:t>
            </w:r>
          </w:p>
        </w:tc>
      </w:tr>
      <w:tr>
        <w:tc>
          <w:tcPr>
            <w:tcW w:type="dxa" w:w="2076"/>
          </w:tcPr>
          <w:p/>
        </w:tc>
        <w:tc>
          <w:tcPr>
            <w:tcW w:type="dxa" w:w="415"/>
          </w:tcPr>
          <w:p>
            <w:pPr>
              <w:pStyle w:val="null3"/>
            </w:pPr>
            <w:r>
              <w:rPr/>
              <w:t>16</w:t>
            </w:r>
          </w:p>
        </w:tc>
        <w:tc>
          <w:tcPr>
            <w:tcW w:type="dxa" w:w="5814"/>
          </w:tcPr>
          <w:p>
            <w:pPr>
              <w:pStyle w:val="null3"/>
            </w:pPr>
            <w:r>
              <w:rPr/>
              <w:t>（7）供应商具备样本保存以及临床数据整合服务能力，可协助医院实现临床样本数据整合与结构化、相关数据统计与分析。</w:t>
            </w:r>
          </w:p>
        </w:tc>
      </w:tr>
      <w:tr>
        <w:tc>
          <w:tcPr>
            <w:tcW w:type="dxa" w:w="2076"/>
          </w:tcPr>
          <w:p/>
        </w:tc>
        <w:tc>
          <w:tcPr>
            <w:tcW w:type="dxa" w:w="415"/>
          </w:tcPr>
          <w:p>
            <w:pPr>
              <w:pStyle w:val="null3"/>
            </w:pPr>
            <w:r>
              <w:rPr/>
              <w:t>17</w:t>
            </w:r>
          </w:p>
        </w:tc>
        <w:tc>
          <w:tcPr>
            <w:tcW w:type="dxa" w:w="5814"/>
          </w:tcPr>
          <w:p>
            <w:pPr>
              <w:pStyle w:val="null3"/>
            </w:pPr>
            <w:r>
              <w:rPr/>
              <w:t>（8）供应商具备相关临床和病理医师在线学术交流平台，涵盖完善的病理亚专科和临床检验，可为病理科与临床提供良好的交流与学习机会。</w:t>
            </w:r>
          </w:p>
        </w:tc>
      </w:tr>
      <w:tr>
        <w:tc>
          <w:tcPr>
            <w:tcW w:type="dxa" w:w="2076"/>
          </w:tcPr>
          <w:p/>
        </w:tc>
        <w:tc>
          <w:tcPr>
            <w:tcW w:type="dxa" w:w="415"/>
          </w:tcPr>
          <w:p>
            <w:pPr>
              <w:pStyle w:val="null3"/>
            </w:pPr>
            <w:r>
              <w:rPr/>
              <w:t>18</w:t>
            </w:r>
          </w:p>
        </w:tc>
        <w:tc>
          <w:tcPr>
            <w:tcW w:type="dxa" w:w="5814"/>
          </w:tcPr>
          <w:p>
            <w:pPr>
              <w:pStyle w:val="null3"/>
            </w:pPr>
            <w:r>
              <w:rPr/>
              <w:t>（9）未经采购人同意，供应商不得将采购人标本用于他用。</w:t>
            </w:r>
          </w:p>
        </w:tc>
      </w:tr>
      <w:tr>
        <w:tc>
          <w:tcPr>
            <w:tcW w:type="dxa" w:w="2076"/>
          </w:tcPr>
          <w:p/>
        </w:tc>
        <w:tc>
          <w:tcPr>
            <w:tcW w:type="dxa" w:w="415"/>
          </w:tcPr>
          <w:p>
            <w:pPr>
              <w:pStyle w:val="null3"/>
            </w:pPr>
            <w:r>
              <w:rPr/>
              <w:t>19</w:t>
            </w:r>
          </w:p>
        </w:tc>
        <w:tc>
          <w:tcPr>
            <w:tcW w:type="dxa" w:w="5814"/>
          </w:tcPr>
          <w:p>
            <w:pPr>
              <w:pStyle w:val="null3"/>
            </w:pPr>
            <w:r>
              <w:rPr/>
              <w:t>（10）供应商有为用户保密的义务，未经同意不得向第三方泄露委托检验的项目、检验的内容、检验的结果。</w:t>
            </w:r>
          </w:p>
        </w:tc>
      </w:tr>
      <w:tr>
        <w:tc>
          <w:tcPr>
            <w:tcW w:type="dxa" w:w="2076"/>
          </w:tcPr>
          <w:p/>
        </w:tc>
        <w:tc>
          <w:tcPr>
            <w:tcW w:type="dxa" w:w="415"/>
          </w:tcPr>
          <w:p>
            <w:pPr>
              <w:pStyle w:val="null3"/>
            </w:pPr>
            <w:r>
              <w:rPr/>
              <w:t>20</w:t>
            </w:r>
          </w:p>
        </w:tc>
        <w:tc>
          <w:tcPr>
            <w:tcW w:type="dxa" w:w="5814"/>
          </w:tcPr>
          <w:p>
            <w:pPr>
              <w:pStyle w:val="null3"/>
            </w:pPr>
            <w:r>
              <w:rPr/>
              <w:t>（11）检测样本、检测数据的所有权、使用权为采购人所有，未经许可不得挪作它用。能够按照国家、按采购人要求妥善保存及销毁检验后样本。</w:t>
            </w:r>
          </w:p>
        </w:tc>
      </w:tr>
      <w:tr>
        <w:tc>
          <w:tcPr>
            <w:tcW w:type="dxa" w:w="2076"/>
          </w:tcPr>
          <w:p/>
        </w:tc>
        <w:tc>
          <w:tcPr>
            <w:tcW w:type="dxa" w:w="415"/>
          </w:tcPr>
          <w:p>
            <w:pPr>
              <w:pStyle w:val="null3"/>
            </w:pPr>
            <w:r>
              <w:rPr/>
              <w:t>21</w:t>
            </w:r>
          </w:p>
        </w:tc>
        <w:tc>
          <w:tcPr>
            <w:tcW w:type="dxa" w:w="5814"/>
          </w:tcPr>
          <w:p>
            <w:pPr>
              <w:pStyle w:val="null3"/>
            </w:pPr>
            <w:r>
              <w:rPr/>
              <w:t>（12）供应商必须保证检验结果的公正性，不受任何诱使或压力对检验结果进行修正或更改。</w:t>
            </w:r>
          </w:p>
        </w:tc>
      </w:tr>
      <w:tr>
        <w:tc>
          <w:tcPr>
            <w:tcW w:type="dxa" w:w="2076"/>
          </w:tcPr>
          <w:p/>
        </w:tc>
        <w:tc>
          <w:tcPr>
            <w:tcW w:type="dxa" w:w="415"/>
          </w:tcPr>
          <w:p>
            <w:pPr>
              <w:pStyle w:val="null3"/>
            </w:pPr>
            <w:r>
              <w:rPr/>
              <w:t>22</w:t>
            </w:r>
          </w:p>
        </w:tc>
        <w:tc>
          <w:tcPr>
            <w:tcW w:type="dxa" w:w="5814"/>
          </w:tcPr>
          <w:p>
            <w:pPr>
              <w:pStyle w:val="null3"/>
            </w:pPr>
            <w:r>
              <w:rPr/>
              <w:t>（13）供应商建立快速的客户服务反应机制，如有针对供应商或采购人与供应商双方的投诉或需处理的情况，中标人应派代表在半日内到达医院及时沟通处理；若主要针对采购人的投诉或需处理的情况，供应商有义务协助采购人及时沟通处理。</w:t>
            </w:r>
          </w:p>
        </w:tc>
      </w:tr>
      <w:tr>
        <w:tc>
          <w:tcPr>
            <w:tcW w:type="dxa" w:w="2076"/>
          </w:tcPr>
          <w:p/>
        </w:tc>
        <w:tc>
          <w:tcPr>
            <w:tcW w:type="dxa" w:w="415"/>
          </w:tcPr>
          <w:p>
            <w:pPr>
              <w:pStyle w:val="null3"/>
            </w:pPr>
            <w:r>
              <w:rPr/>
              <w:t>23</w:t>
            </w:r>
          </w:p>
        </w:tc>
        <w:tc>
          <w:tcPr>
            <w:tcW w:type="dxa" w:w="5814"/>
          </w:tcPr>
          <w:p>
            <w:pPr>
              <w:pStyle w:val="null3"/>
            </w:pPr>
            <w:r>
              <w:rPr/>
              <w:t>(14)供应商与医院现有的技术人员共同完成医院组织学、术中冷冻切片、制片和阅片诊断业务，并开展其它业务。对于双方不具备开展条件的病理项目，供应商需协助送至有资质的检测机构进行检测，费用按照本项目结算方式进行结算。</w:t>
            </w:r>
          </w:p>
        </w:tc>
      </w:tr>
      <w:tr>
        <w:tc>
          <w:tcPr>
            <w:tcW w:type="dxa" w:w="2076"/>
          </w:tcPr>
          <w:p/>
        </w:tc>
        <w:tc>
          <w:tcPr>
            <w:tcW w:type="dxa" w:w="415"/>
          </w:tcPr>
          <w:p>
            <w:pPr>
              <w:pStyle w:val="null3"/>
            </w:pPr>
            <w:r>
              <w:rPr/>
              <w:t>24</w:t>
            </w:r>
          </w:p>
        </w:tc>
        <w:tc>
          <w:tcPr>
            <w:tcW w:type="dxa" w:w="5814"/>
          </w:tcPr>
          <w:p>
            <w:pPr>
              <w:pStyle w:val="null3"/>
            </w:pPr>
            <w:r>
              <w:rPr/>
              <w:t>（15）供应商需在医院建设可靠稳定的远程病理诊断平台，提供相关的设备及软件应用系统，并及时、可靠地提供免费国内专家远程病理诊断服务。对于经预约的术中冷冻切片标本的远程诊断应该在2分钟内响应，在收到标本后30分钟内出结果，常规标本的远程会诊应该在30分钟内响应，6小时内出结果。提供相关资质证明文件或承诺书。</w:t>
            </w:r>
          </w:p>
        </w:tc>
      </w:tr>
      <w:tr>
        <w:tc>
          <w:tcPr>
            <w:tcW w:type="dxa" w:w="2076"/>
          </w:tcPr>
          <w:p/>
        </w:tc>
        <w:tc>
          <w:tcPr>
            <w:tcW w:type="dxa" w:w="415"/>
          </w:tcPr>
          <w:p>
            <w:pPr>
              <w:pStyle w:val="null3"/>
            </w:pPr>
            <w:r>
              <w:rPr/>
              <w:t>25</w:t>
            </w:r>
          </w:p>
        </w:tc>
        <w:tc>
          <w:tcPr>
            <w:tcW w:type="dxa" w:w="5814"/>
          </w:tcPr>
          <w:p>
            <w:pPr>
              <w:pStyle w:val="null3"/>
            </w:pPr>
            <w:r>
              <w:rPr>
                <w:b/>
              </w:rPr>
              <w:t>四、人员管理及要求</w:t>
            </w:r>
          </w:p>
          <w:p>
            <w:pPr>
              <w:pStyle w:val="null3"/>
            </w:pPr>
            <w:r>
              <w:rPr/>
              <w:t>（1）供应商应有与本项目规定相适应的专业人员队伍，并在投标文件中提供人员名单、学历、专业、职称、执业证书、社保等信息。</w:t>
            </w:r>
          </w:p>
        </w:tc>
      </w:tr>
      <w:tr>
        <w:tc>
          <w:tcPr>
            <w:tcW w:type="dxa" w:w="2076"/>
          </w:tcPr>
          <w:p/>
        </w:tc>
        <w:tc>
          <w:tcPr>
            <w:tcW w:type="dxa" w:w="415"/>
          </w:tcPr>
          <w:p>
            <w:pPr>
              <w:pStyle w:val="null3"/>
            </w:pPr>
            <w:r>
              <w:rPr/>
              <w:t>26</w:t>
            </w:r>
          </w:p>
        </w:tc>
        <w:tc>
          <w:tcPr>
            <w:tcW w:type="dxa" w:w="5814"/>
          </w:tcPr>
          <w:p>
            <w:pPr>
              <w:pStyle w:val="null3"/>
            </w:pPr>
            <w:r>
              <w:rPr/>
              <w:t>（2）供应商应有完善的管理人员架构，有明确的职能安排和分工，指派一名负责人与采购人对接，并直接参考项目运营的管理。指派的项目负责人必须有过同类项目管理经验。</w:t>
            </w:r>
          </w:p>
        </w:tc>
      </w:tr>
      <w:tr>
        <w:tc>
          <w:tcPr>
            <w:tcW w:type="dxa" w:w="2076"/>
          </w:tcPr>
          <w:p/>
        </w:tc>
        <w:tc>
          <w:tcPr>
            <w:tcW w:type="dxa" w:w="415"/>
          </w:tcPr>
          <w:p>
            <w:pPr>
              <w:pStyle w:val="null3"/>
            </w:pPr>
            <w:r>
              <w:rPr/>
              <w:t>27</w:t>
            </w:r>
          </w:p>
        </w:tc>
        <w:tc>
          <w:tcPr>
            <w:tcW w:type="dxa" w:w="5814"/>
          </w:tcPr>
          <w:p>
            <w:pPr>
              <w:pStyle w:val="null3"/>
            </w:pPr>
            <w:r>
              <w:rPr/>
              <w:t>（3）服务期内采购人单位原有病理诊断相关工作人员职位及工作内容不变，在业务上所有人员由单位原有主任统一管理，但供应商有权建议对不符合要求的人员进行更换或调岗等。</w:t>
            </w:r>
          </w:p>
        </w:tc>
      </w:tr>
      <w:tr>
        <w:tc>
          <w:tcPr>
            <w:tcW w:type="dxa" w:w="2076"/>
          </w:tcPr>
          <w:p/>
        </w:tc>
        <w:tc>
          <w:tcPr>
            <w:tcW w:type="dxa" w:w="415"/>
          </w:tcPr>
          <w:p>
            <w:pPr>
              <w:pStyle w:val="null3"/>
            </w:pPr>
            <w:r>
              <w:rPr/>
              <w:t>28</w:t>
            </w:r>
          </w:p>
        </w:tc>
        <w:tc>
          <w:tcPr>
            <w:tcW w:type="dxa" w:w="5814"/>
          </w:tcPr>
          <w:p>
            <w:pPr>
              <w:pStyle w:val="null3"/>
            </w:pPr>
            <w:r>
              <w:rPr/>
              <w:t>（4）项目所有人员实行统一管理，但采购人与供应商自行负责向各自员工支付薪酬。供应商应有完善的人事管理制度及财务制度，聘用员工应合法，必须与所有员工签订劳动合同，依法为员工作购买五险一金，不得拖欠员工工资，服务期内若发生劳务纠纷的与采购人无关。</w:t>
            </w:r>
          </w:p>
        </w:tc>
      </w:tr>
      <w:tr>
        <w:tc>
          <w:tcPr>
            <w:tcW w:type="dxa" w:w="2076"/>
          </w:tcPr>
          <w:p/>
        </w:tc>
        <w:tc>
          <w:tcPr>
            <w:tcW w:type="dxa" w:w="415"/>
          </w:tcPr>
          <w:p>
            <w:pPr>
              <w:pStyle w:val="null3"/>
            </w:pPr>
            <w:r>
              <w:rPr/>
              <w:t>29</w:t>
            </w:r>
          </w:p>
        </w:tc>
        <w:tc>
          <w:tcPr>
            <w:tcW w:type="dxa" w:w="5814"/>
          </w:tcPr>
          <w:p>
            <w:pPr>
              <w:pStyle w:val="null3"/>
            </w:pPr>
            <w:r>
              <w:rPr>
                <w:b/>
              </w:rPr>
              <w:t>五、实验室检测要求</w:t>
            </w:r>
          </w:p>
          <w:p>
            <w:pPr>
              <w:pStyle w:val="null3"/>
            </w:pPr>
            <w:r>
              <w:rPr/>
              <w:t>（1）检验项目及检测方法：参见附件1：《项目清单》，实验室按采购人指定方法检测，方法不一致的需与采购人协定。逐项列出相应情况，未包含的项目由采购人与供应商协商决定。如果列出的项目采购人自行开展检测，告知供应商后，该项目不再受合同约束。</w:t>
            </w:r>
          </w:p>
        </w:tc>
      </w:tr>
      <w:tr>
        <w:tc>
          <w:tcPr>
            <w:tcW w:type="dxa" w:w="2076"/>
          </w:tcPr>
          <w:p/>
        </w:tc>
        <w:tc>
          <w:tcPr>
            <w:tcW w:type="dxa" w:w="415"/>
          </w:tcPr>
          <w:p>
            <w:pPr>
              <w:pStyle w:val="null3"/>
            </w:pPr>
            <w:r>
              <w:rPr/>
              <w:t>30</w:t>
            </w:r>
          </w:p>
        </w:tc>
        <w:tc>
          <w:tcPr>
            <w:tcW w:type="dxa" w:w="5814"/>
          </w:tcPr>
          <w:p>
            <w:pPr>
              <w:pStyle w:val="null3"/>
            </w:pPr>
            <w:r>
              <w:rPr/>
              <w:t>（2）供应商保证按国家检验规范进行操作，并对标本的检验报告承担相应的责任；并保证检验结果的公正性，不受任何诱使或压力的干扰。</w:t>
            </w:r>
          </w:p>
        </w:tc>
      </w:tr>
      <w:tr>
        <w:tc>
          <w:tcPr>
            <w:tcW w:type="dxa" w:w="2076"/>
          </w:tcPr>
          <w:p/>
        </w:tc>
        <w:tc>
          <w:tcPr>
            <w:tcW w:type="dxa" w:w="415"/>
          </w:tcPr>
          <w:p>
            <w:pPr>
              <w:pStyle w:val="null3"/>
            </w:pPr>
            <w:r>
              <w:rPr/>
              <w:t>31</w:t>
            </w:r>
          </w:p>
        </w:tc>
        <w:tc>
          <w:tcPr>
            <w:tcW w:type="dxa" w:w="5814"/>
          </w:tcPr>
          <w:p>
            <w:pPr>
              <w:pStyle w:val="null3"/>
            </w:pPr>
            <w:r>
              <w:rPr/>
              <w:t>（3）质量控制：检测项目的能力验证活动报告，没有能力验证的检验项目需提供与委托方认可的实验室结果一致性的证据。随时接受并妥善安排采购人查阅项目检测、质量控制等情况。</w:t>
            </w:r>
          </w:p>
        </w:tc>
      </w:tr>
      <w:tr>
        <w:tc>
          <w:tcPr>
            <w:tcW w:type="dxa" w:w="2076"/>
          </w:tcPr>
          <w:p/>
        </w:tc>
        <w:tc>
          <w:tcPr>
            <w:tcW w:type="dxa" w:w="415"/>
          </w:tcPr>
          <w:p>
            <w:pPr>
              <w:pStyle w:val="null3"/>
            </w:pPr>
            <w:r>
              <w:rPr/>
              <w:t>32</w:t>
            </w:r>
          </w:p>
        </w:tc>
        <w:tc>
          <w:tcPr>
            <w:tcW w:type="dxa" w:w="5814"/>
          </w:tcPr>
          <w:p>
            <w:pPr>
              <w:pStyle w:val="null3"/>
            </w:pPr>
            <w:r>
              <w:rPr/>
              <w:t>（4）能够按采购人要求妥善保存及销毁检验后样本。</w:t>
            </w:r>
          </w:p>
        </w:tc>
      </w:tr>
      <w:tr>
        <w:tc>
          <w:tcPr>
            <w:tcW w:type="dxa" w:w="2076"/>
          </w:tcPr>
          <w:p/>
        </w:tc>
        <w:tc>
          <w:tcPr>
            <w:tcW w:type="dxa" w:w="415"/>
          </w:tcPr>
          <w:p>
            <w:pPr>
              <w:pStyle w:val="null3"/>
            </w:pPr>
            <w:r>
              <w:rPr/>
              <w:t>33</w:t>
            </w:r>
          </w:p>
        </w:tc>
        <w:tc>
          <w:tcPr>
            <w:tcW w:type="dxa" w:w="5814"/>
          </w:tcPr>
          <w:p>
            <w:pPr>
              <w:pStyle w:val="null3"/>
            </w:pPr>
            <w:r>
              <w:rPr/>
              <w:t>（5）在提供电子形式的检测结果的同时还需要提供纸质检测结果报告单。</w:t>
            </w:r>
          </w:p>
        </w:tc>
      </w:tr>
      <w:tr>
        <w:tc>
          <w:tcPr>
            <w:tcW w:type="dxa" w:w="2076"/>
          </w:tcPr>
          <w:p/>
        </w:tc>
        <w:tc>
          <w:tcPr>
            <w:tcW w:type="dxa" w:w="415"/>
          </w:tcPr>
          <w:p>
            <w:pPr>
              <w:pStyle w:val="null3"/>
            </w:pPr>
            <w:r>
              <w:rPr/>
              <w:t>34</w:t>
            </w:r>
          </w:p>
        </w:tc>
        <w:tc>
          <w:tcPr>
            <w:tcW w:type="dxa" w:w="5814"/>
          </w:tcPr>
          <w:p>
            <w:pPr>
              <w:pStyle w:val="null3"/>
            </w:pPr>
            <w:r>
              <w:rPr>
                <w:b/>
              </w:rPr>
              <w:t>六、其他要求</w:t>
            </w:r>
          </w:p>
          <w:p>
            <w:pPr>
              <w:pStyle w:val="null3"/>
            </w:pPr>
            <w:r>
              <w:rPr/>
              <w:t>1.信息系统和保密措施</w:t>
            </w:r>
          </w:p>
          <w:p>
            <w:pPr>
              <w:pStyle w:val="null3"/>
            </w:pPr>
            <w:r>
              <w:rPr/>
              <w:t>（1）有为采购人保密的义务，未经同意不得泄露委托检验的项目、检验的内容、检验的结果。</w:t>
            </w:r>
          </w:p>
        </w:tc>
      </w:tr>
      <w:tr>
        <w:tc>
          <w:tcPr>
            <w:tcW w:type="dxa" w:w="2076"/>
          </w:tcPr>
          <w:p/>
        </w:tc>
        <w:tc>
          <w:tcPr>
            <w:tcW w:type="dxa" w:w="415"/>
          </w:tcPr>
          <w:p>
            <w:pPr>
              <w:pStyle w:val="null3"/>
            </w:pPr>
            <w:r>
              <w:rPr/>
              <w:t>35</w:t>
            </w:r>
          </w:p>
        </w:tc>
        <w:tc>
          <w:tcPr>
            <w:tcW w:type="dxa" w:w="5814"/>
          </w:tcPr>
          <w:p>
            <w:pPr>
              <w:pStyle w:val="null3"/>
            </w:pPr>
            <w:r>
              <w:rPr/>
              <w:t>（2）检测样本、检测数据的所有权、使用权为采购人所有，未经许可不得挪作它用。</w:t>
            </w:r>
          </w:p>
        </w:tc>
      </w:tr>
      <w:tr>
        <w:tc>
          <w:tcPr>
            <w:tcW w:type="dxa" w:w="2076"/>
          </w:tcPr>
          <w:p/>
        </w:tc>
        <w:tc>
          <w:tcPr>
            <w:tcW w:type="dxa" w:w="415"/>
          </w:tcPr>
          <w:p>
            <w:pPr>
              <w:pStyle w:val="null3"/>
            </w:pPr>
            <w:r>
              <w:rPr/>
              <w:t>36</w:t>
            </w:r>
          </w:p>
        </w:tc>
        <w:tc>
          <w:tcPr>
            <w:tcW w:type="dxa" w:w="5814"/>
          </w:tcPr>
          <w:p>
            <w:pPr>
              <w:pStyle w:val="null3"/>
            </w:pPr>
            <w:r>
              <w:rPr/>
              <w:t>2.售前售后服务要求</w:t>
            </w:r>
          </w:p>
          <w:p>
            <w:pPr>
              <w:pStyle w:val="null3"/>
            </w:pPr>
            <w:r>
              <w:rPr/>
              <w:t>（1）有专人负责采购人业务及质量、技术、培训等工作。</w:t>
            </w:r>
          </w:p>
        </w:tc>
      </w:tr>
      <w:tr>
        <w:tc>
          <w:tcPr>
            <w:tcW w:type="dxa" w:w="2076"/>
          </w:tcPr>
          <w:p/>
        </w:tc>
        <w:tc>
          <w:tcPr>
            <w:tcW w:type="dxa" w:w="415"/>
          </w:tcPr>
          <w:p>
            <w:pPr>
              <w:pStyle w:val="null3"/>
            </w:pPr>
            <w:r>
              <w:rPr/>
              <w:t>37</w:t>
            </w:r>
          </w:p>
        </w:tc>
        <w:tc>
          <w:tcPr>
            <w:tcW w:type="dxa" w:w="5814"/>
          </w:tcPr>
          <w:p>
            <w:pPr>
              <w:pStyle w:val="null3"/>
            </w:pPr>
            <w:r>
              <w:rPr/>
              <w:t>（2）常规设有客服人员负责采购人反馈信息的受理、传达、跟踪处理等工作，以满足售后服务。</w:t>
            </w:r>
          </w:p>
        </w:tc>
      </w:tr>
      <w:tr>
        <w:tc>
          <w:tcPr>
            <w:tcW w:type="dxa" w:w="2076"/>
          </w:tcPr>
          <w:p/>
        </w:tc>
        <w:tc>
          <w:tcPr>
            <w:tcW w:type="dxa" w:w="415"/>
          </w:tcPr>
          <w:p>
            <w:pPr>
              <w:pStyle w:val="null3"/>
            </w:pPr>
            <w:r>
              <w:rPr/>
              <w:t>38</w:t>
            </w:r>
          </w:p>
        </w:tc>
        <w:tc>
          <w:tcPr>
            <w:tcW w:type="dxa" w:w="5814"/>
          </w:tcPr>
          <w:p>
            <w:pPr>
              <w:pStyle w:val="null3"/>
            </w:pPr>
            <w:r>
              <w:rPr>
                <w:sz w:val="20"/>
                <w:b/>
              </w:rPr>
              <w:t>七</w:t>
            </w:r>
            <w:r>
              <w:rPr>
                <w:sz w:val="20"/>
                <w:b/>
              </w:rPr>
              <w:t>、附件</w:t>
            </w:r>
            <w:r>
              <w:rPr>
                <w:sz w:val="20"/>
                <w:b/>
              </w:rPr>
              <w:t>1</w:t>
            </w:r>
            <w:r>
              <w:rPr>
                <w:sz w:val="20"/>
                <w:b/>
              </w:rPr>
              <w:t>：项目清单</w:t>
            </w:r>
          </w:p>
          <w:tbl>
            <w:tblPr>
              <w:tblInd w:type="dxa" w:w="90"/>
              <w:tblBorders>
                <w:top w:val="none" w:color="000000" w:sz="4"/>
                <w:left w:val="none" w:color="000000" w:sz="4"/>
                <w:bottom w:val="none" w:color="000000" w:sz="4"/>
                <w:right w:val="none" w:color="000000" w:sz="4"/>
                <w:insideH w:val="none"/>
                <w:insideV w:val="none"/>
              </w:tblBorders>
            </w:tblPr>
            <w:tblGrid>
              <w:gridCol w:w="650"/>
              <w:gridCol w:w="650"/>
              <w:gridCol w:w="5674"/>
            </w:tblGrid>
            <w:tr>
              <w:tc>
                <w:tcPr>
                  <w:tcW w:type="dxa" w:w="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类别</w:t>
                  </w:r>
                </w:p>
              </w:tc>
              <w:tc>
                <w:tcPr>
                  <w:tcW w:type="dxa" w:w="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56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项目名称</w:t>
                  </w:r>
                </w:p>
              </w:tc>
            </w:tr>
            <w:tr>
              <w:tc>
                <w:tcPr>
                  <w:tcW w:type="dxa" w:w="6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病理</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BCL2基因重排（组织）</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BCL6基因重排检测(FISH,组织)</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HER-2/neu基因扩增检测(FISH,组织)</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MAML2基因重排</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MDM2/CEP12基因扩增检测(FISH,组织)</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MYC基因重排检测(FISH,组织)</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P16、Ki67 免疫组化2项</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病理检查与诊断</w:t>
                  </w:r>
                  <w:r>
                    <w:rPr>
                      <w:sz w:val="20"/>
                      <w:color w:val="000000"/>
                    </w:rPr>
                    <w:t>(大标本)</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rPr>
                    <w:t>病理检查与诊断(活检标本)</w:t>
                  </w:r>
                  <w:r>
                    <w:rPr>
                      <w:sz w:val="20"/>
                    </w:rPr>
                    <w:t>(部分标本可自行开展)</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rPr>
                    <w:t xml:space="preserve">病理检查与诊断(小标本) </w:t>
                  </w:r>
                  <w:r>
                    <w:rPr>
                      <w:sz w:val="20"/>
                    </w:rPr>
                    <w:t>(部分标本可自行开展)</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rPr>
                    <w:t xml:space="preserve">病理检查与诊断(中标本) </w:t>
                  </w:r>
                  <w:r>
                    <w:rPr>
                      <w:sz w:val="20"/>
                    </w:rPr>
                    <w:t>(部分标本可自行开展)</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常规涂片细胞学检测</w:t>
                  </w:r>
                  <w:r>
                    <w:rPr>
                      <w:sz w:val="20"/>
                      <w:color w:val="000000"/>
                    </w:rPr>
                    <w:t>-宫颈</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常规细胞学涂片检测</w:t>
                  </w:r>
                  <w:r>
                    <w:rPr>
                      <w:sz w:val="20"/>
                      <w:color w:val="000000"/>
                    </w:rPr>
                    <w:t>-非妇科</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常规细胞学涂片检测</w:t>
                  </w:r>
                  <w:r>
                    <w:rPr>
                      <w:sz w:val="20"/>
                      <w:color w:val="000000"/>
                    </w:rPr>
                    <w:t>-腔性体液</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超柏薄层制片染色细胞学检测</w:t>
                  </w:r>
                  <w:r>
                    <w:rPr>
                      <w:sz w:val="20"/>
                      <w:color w:val="000000"/>
                    </w:rPr>
                    <w:t>-腔性体液</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超薄液基细胞学检测</w:t>
                  </w:r>
                  <w:r>
                    <w:rPr>
                      <w:sz w:val="20"/>
                      <w:color w:val="000000"/>
                    </w:rPr>
                    <w:t>-非妇科</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超薄液基细胞学检测</w:t>
                  </w:r>
                  <w:r>
                    <w:rPr>
                      <w:sz w:val="20"/>
                      <w:color w:val="000000"/>
                    </w:rPr>
                    <w:t>-宫颈</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超薄液基细胞学检测</w:t>
                  </w:r>
                  <w:r>
                    <w:rPr>
                      <w:sz w:val="20"/>
                      <w:color w:val="000000"/>
                    </w:rPr>
                    <w:t>-尿液</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超薄液基细胞学检测</w:t>
                  </w:r>
                  <w:r>
                    <w:rPr>
                      <w:sz w:val="20"/>
                      <w:color w:val="000000"/>
                    </w:rPr>
                    <w:t>-支气管刷</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肺癌相关基因突变检测</w:t>
                  </w:r>
                  <w:r>
                    <w:rPr>
                      <w:sz w:val="20"/>
                      <w:color w:val="000000"/>
                    </w:rPr>
                    <w:t>(26基因,FFPE)</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骨髓涂片</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免疫组化</w:t>
                  </w:r>
                  <w:r>
                    <w:rPr>
                      <w:sz w:val="20"/>
                      <w:color w:val="000000"/>
                    </w:rPr>
                    <w:t>10项</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免疫组化</w:t>
                  </w:r>
                  <w:r>
                    <w:rPr>
                      <w:sz w:val="20"/>
                      <w:color w:val="000000"/>
                    </w:rPr>
                    <w:t>11项</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免疫组化</w:t>
                  </w:r>
                  <w:r>
                    <w:rPr>
                      <w:sz w:val="20"/>
                      <w:color w:val="000000"/>
                    </w:rPr>
                    <w:t>12项</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免疫组化</w:t>
                  </w:r>
                  <w:r>
                    <w:rPr>
                      <w:sz w:val="20"/>
                      <w:color w:val="000000"/>
                    </w:rPr>
                    <w:t>13项</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免疫组化</w:t>
                  </w:r>
                  <w:r>
                    <w:rPr>
                      <w:sz w:val="20"/>
                      <w:color w:val="000000"/>
                    </w:rPr>
                    <w:t>14项</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免疫组化</w:t>
                  </w:r>
                  <w:r>
                    <w:rPr>
                      <w:sz w:val="20"/>
                      <w:color w:val="000000"/>
                    </w:rPr>
                    <w:t>1项</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免疫组化</w:t>
                  </w:r>
                  <w:r>
                    <w:rPr>
                      <w:sz w:val="20"/>
                      <w:color w:val="000000"/>
                    </w:rPr>
                    <w:t>2项</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免疫组化</w:t>
                  </w:r>
                  <w:r>
                    <w:rPr>
                      <w:sz w:val="20"/>
                      <w:color w:val="000000"/>
                    </w:rPr>
                    <w:t>3项</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免疫组化</w:t>
                  </w:r>
                  <w:r>
                    <w:rPr>
                      <w:sz w:val="20"/>
                      <w:color w:val="000000"/>
                    </w:rPr>
                    <w:t>4项</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免疫组化</w:t>
                  </w:r>
                  <w:r>
                    <w:rPr>
                      <w:sz w:val="20"/>
                      <w:color w:val="000000"/>
                    </w:rPr>
                    <w:t>5项</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免疫组化</w:t>
                  </w:r>
                  <w:r>
                    <w:rPr>
                      <w:sz w:val="20"/>
                      <w:color w:val="000000"/>
                    </w:rPr>
                    <w:t>6项</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免疫组化</w:t>
                  </w:r>
                  <w:r>
                    <w:rPr>
                      <w:sz w:val="20"/>
                      <w:color w:val="000000"/>
                    </w:rPr>
                    <w:t>7项</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免疫组化</w:t>
                  </w:r>
                  <w:r>
                    <w:rPr>
                      <w:sz w:val="20"/>
                      <w:color w:val="000000"/>
                    </w:rPr>
                    <w:t>8项</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免疫组化</w:t>
                  </w:r>
                  <w:r>
                    <w:rPr>
                      <w:sz w:val="20"/>
                      <w:color w:val="000000"/>
                    </w:rPr>
                    <w:t>9项</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农村妇女病理检查与诊断</w:t>
                  </w:r>
                  <w:r>
                    <w:rPr>
                      <w:sz w:val="20"/>
                      <w:color w:val="000000"/>
                    </w:rPr>
                    <w:t>(两癌)</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全自动免疫组化</w:t>
                  </w:r>
                  <w:r>
                    <w:rPr>
                      <w:sz w:val="20"/>
                      <w:color w:val="000000"/>
                    </w:rPr>
                    <w:t>10项</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全自动免疫组化</w:t>
                  </w:r>
                  <w:r>
                    <w:rPr>
                      <w:sz w:val="20"/>
                      <w:color w:val="000000"/>
                    </w:rPr>
                    <w:t>8项</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全自动免疫组化</w:t>
                  </w:r>
                  <w:r>
                    <w:rPr>
                      <w:sz w:val="20"/>
                      <w:color w:val="000000"/>
                    </w:rPr>
                    <w:t>9项</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软组织肉瘤融合基因检测（</w:t>
                  </w:r>
                  <w:r>
                    <w:rPr>
                      <w:sz w:val="20"/>
                      <w:color w:val="000000"/>
                    </w:rPr>
                    <w:t>FFPE）</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特殊染色</w:t>
                  </w:r>
                  <w:r>
                    <w:rPr>
                      <w:sz w:val="20"/>
                      <w:color w:val="000000"/>
                    </w:rPr>
                    <w:t>1项(部分标本可自行开展)</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特殊染色</w:t>
                  </w:r>
                  <w:r>
                    <w:rPr>
                      <w:sz w:val="20"/>
                      <w:color w:val="000000"/>
                    </w:rPr>
                    <w:t>2项(部分标本可自行开展)</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特殊染色</w:t>
                  </w:r>
                  <w:r>
                    <w:rPr>
                      <w:sz w:val="20"/>
                      <w:color w:val="000000"/>
                    </w:rPr>
                    <w:t>4项</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疑难病理会诊</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远程数字化病理术中快速</w:t>
                  </w:r>
                  <w:r>
                    <w:rPr>
                      <w:sz w:val="20"/>
                      <w:color w:val="000000"/>
                    </w:rPr>
                    <w:t>(冰冻)诊断</w:t>
                  </w:r>
                </w:p>
              </w:tc>
            </w:tr>
            <w:tr>
              <w:tc>
                <w:tcPr>
                  <w:tcW w:type="dxa" w:w="6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检验</w:t>
                  </w: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16S宏基因组肠道菌群检测</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17-羟基孕酮(17-OHP)</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Ⅱ期唐氏综合征筛查(广三PE岗)</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ABO-Rh新生儿溶血病检测</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ANA+dsDNA</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B细胞克隆性评估</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dsDNA+ANA+核小体</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EBV原位杂交一项</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Hb成份分析（高分辨血红蛋白成份分析，三个月外）</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HCV基因分型</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HLA-B27-DNA</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I期唐氏综合征筛查(广三PE岗)</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ROCHE Cobas HPV DNA检测</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septin9肠癌基因检测</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WT1基因定量检测(RQ-PCR)</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α-地贫点突变基因检测(CS、QS、WS)</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α-地贫基因分型</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α-地中海贫血基因分型,PCR法</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β-地中海贫血基因分型(17种突变)</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氨茶碱（</w:t>
                  </w:r>
                  <w:r>
                    <w:rPr>
                      <w:sz w:val="20"/>
                      <w:color w:val="000000"/>
                    </w:rPr>
                    <w:t>THEO），均相酶免法</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丙戊酸</w:t>
                  </w:r>
                  <w:r>
                    <w:rPr>
                      <w:sz w:val="20"/>
                      <w:color w:val="000000"/>
                    </w:rPr>
                    <w:t>(德巴金)(VAL)</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地高辛（</w:t>
                  </w:r>
                  <w:r>
                    <w:rPr>
                      <w:sz w:val="20"/>
                      <w:color w:val="000000"/>
                    </w:rPr>
                    <w:t>DIG），均相酶免法</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地贫基因分型</w:t>
                  </w:r>
                  <w:r>
                    <w:rPr>
                      <w:sz w:val="20"/>
                      <w:color w:val="000000"/>
                    </w:rPr>
                    <w:t>(α+β)</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地贫基因分型全套</w:t>
                  </w:r>
                  <w:r>
                    <w:rPr>
                      <w:sz w:val="20"/>
                      <w:color w:val="000000"/>
                    </w:rPr>
                    <w:t>(专用含α地贫点突变检测)</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地中海贫血基因分型（不含</w:t>
                  </w:r>
                  <w:r>
                    <w:rPr>
                      <w:sz w:val="20"/>
                      <w:color w:val="000000"/>
                    </w:rPr>
                    <w:t>α点突变）</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地中海贫血基因检测（</w:t>
                  </w:r>
                  <w:r>
                    <w:rPr>
                      <w:sz w:val="20"/>
                      <w:color w:val="000000"/>
                    </w:rPr>
                    <w:t>621 位点）</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肥达氏试验</w:t>
                  </w:r>
                  <w:r>
                    <w:rPr>
                      <w:sz w:val="20"/>
                      <w:color w:val="000000"/>
                    </w:rPr>
                    <w:t>(Widal Reaction )</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肥达氏试验和外斐氏试验</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肺癌</w:t>
                  </w:r>
                  <w:r>
                    <w:rPr>
                      <w:sz w:val="20"/>
                      <w:color w:val="000000"/>
                    </w:rPr>
                    <w:t>SHOX2/RASSF1A/PTGER4基因甲基化检测</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肺癌相关抗原二项（</w:t>
                  </w:r>
                  <w:r>
                    <w:rPr>
                      <w:sz w:val="20"/>
                      <w:color w:val="000000"/>
                    </w:rPr>
                    <w:t>CYFRA21-1，ProGRP）</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肺炎支原体抗体</w:t>
                  </w:r>
                  <w:r>
                    <w:rPr>
                      <w:sz w:val="20"/>
                      <w:color w:val="000000"/>
                    </w:rPr>
                    <w:t>IgG(MP-IgG)定量,ELISA法</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肺炎支原体抗体</w:t>
                  </w:r>
                  <w:r>
                    <w:rPr>
                      <w:sz w:val="20"/>
                      <w:color w:val="000000"/>
                    </w:rPr>
                    <w:t>IgM(MP-IgM)定量,ELISA法</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风湿</w:t>
                  </w:r>
                  <w:r>
                    <w:rPr>
                      <w:sz w:val="20"/>
                      <w:color w:val="000000"/>
                    </w:rPr>
                    <w:t>4-1(ANA，CCP，AKA)</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高危型</w:t>
                  </w:r>
                  <w:r>
                    <w:rPr>
                      <w:sz w:val="20"/>
                      <w:color w:val="000000"/>
                    </w:rPr>
                    <w:t>HPV DNA检测(HC2)</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庚型肝炎病毒抗体</w:t>
                  </w:r>
                  <w:r>
                    <w:rPr>
                      <w:sz w:val="20"/>
                      <w:color w:val="000000"/>
                    </w:rPr>
                    <w:t>IgG(HGV-IgG)</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呼吸道多种病原体靶向检测</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脊肌萎缩症携带者筛查，</w:t>
                  </w:r>
                  <w:r>
                    <w:rPr>
                      <w:sz w:val="20"/>
                      <w:color w:val="000000"/>
                    </w:rPr>
                    <w:t>PCR 法</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抗核小体抗体</w:t>
                  </w:r>
                  <w:r>
                    <w:rPr>
                      <w:sz w:val="20"/>
                      <w:color w:val="000000"/>
                    </w:rPr>
                    <w:t>(AnuA)</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抗核周因子</w:t>
                  </w:r>
                  <w:r>
                    <w:rPr>
                      <w:sz w:val="20"/>
                      <w:color w:val="000000"/>
                    </w:rPr>
                    <w:t>(APF)</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抗角蛋白抗体</w:t>
                  </w:r>
                  <w:r>
                    <w:rPr>
                      <w:sz w:val="20"/>
                      <w:color w:val="000000"/>
                    </w:rPr>
                    <w:t>(AKA)</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抗精子抗体</w:t>
                  </w:r>
                  <w:r>
                    <w:rPr>
                      <w:sz w:val="20"/>
                      <w:color w:val="000000"/>
                    </w:rPr>
                    <w:t>(AsAb)</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类风湿早筛三项定量</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免疫球蛋白</w:t>
                  </w:r>
                  <w:r>
                    <w:rPr>
                      <w:sz w:val="20"/>
                      <w:color w:val="000000"/>
                    </w:rPr>
                    <w:t>G亚类1</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葡萄胎</w:t>
                  </w:r>
                  <w:r>
                    <w:rPr>
                      <w:sz w:val="20"/>
                      <w:color w:val="000000"/>
                    </w:rPr>
                    <w:t>STR基因分型</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前白蛋白（</w:t>
                  </w:r>
                  <w:r>
                    <w:rPr>
                      <w:sz w:val="20"/>
                      <w:color w:val="000000"/>
                    </w:rPr>
                    <w:t>PA）,血清,免疫比浊法</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全血微量元素铅</w:t>
                  </w:r>
                  <w:r>
                    <w:rPr>
                      <w:sz w:val="20"/>
                      <w:color w:val="000000"/>
                    </w:rPr>
                    <w:t>(Pb)</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染色体微阵列分析（</w:t>
                  </w:r>
                  <w:r>
                    <w:rPr>
                      <w:sz w:val="20"/>
                      <w:color w:val="000000"/>
                    </w:rPr>
                    <w:t>optima,流产物）</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人类白细胞分化抗原</w:t>
                  </w:r>
                  <w:r>
                    <w:rPr>
                      <w:sz w:val="20"/>
                      <w:color w:val="000000"/>
                    </w:rPr>
                    <w:t>B27(HLA-B27)筛查</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上呼吸道病原体靶向检测</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脱氢表雄酮（</w:t>
                  </w:r>
                  <w:r>
                    <w:rPr>
                      <w:sz w:val="20"/>
                      <w:color w:val="000000"/>
                    </w:rPr>
                    <w:t>DHEA）</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外斐氏试验</w:t>
                  </w:r>
                  <w:r>
                    <w:rPr>
                      <w:sz w:val="20"/>
                      <w:color w:val="000000"/>
                    </w:rPr>
                    <w:t>(Weill-Felix's Reaction)</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万古霉素（</w:t>
                  </w:r>
                  <w:r>
                    <w:rPr>
                      <w:sz w:val="20"/>
                      <w:color w:val="000000"/>
                    </w:rPr>
                    <w:t>VAN），均相酶免法</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胃泌素</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无创肠癌基因检测</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戊型肝炎病毒抗体</w:t>
                  </w:r>
                  <w:r>
                    <w:rPr>
                      <w:sz w:val="20"/>
                      <w:color w:val="000000"/>
                    </w:rPr>
                    <w:t>IgG(HEV-IgG)</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戊型肝炎病毒抗体</w:t>
                  </w:r>
                  <w:r>
                    <w:rPr>
                      <w:sz w:val="20"/>
                      <w:color w:val="000000"/>
                    </w:rPr>
                    <w:t>IgM(HEV-IgM)</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戊型肝炎抗体二项</w:t>
                  </w:r>
                  <w:r>
                    <w:rPr>
                      <w:sz w:val="20"/>
                      <w:color w:val="000000"/>
                    </w:rPr>
                    <w:t>(HEV-IgM,HEV-IgG)</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腺病毒</w:t>
                  </w:r>
                  <w:r>
                    <w:rPr>
                      <w:sz w:val="20"/>
                      <w:color w:val="000000"/>
                    </w:rPr>
                    <w:t>IgM抗体(ADV-IgM)</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血红蛋白电泳</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自身免疫性肝病抗体八项</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自身免疫性肝病抗体四项检测</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培养外周血细胞的染色体分析</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抗缪勒氏管激素</w:t>
                  </w:r>
                  <w:r>
                    <w:rPr>
                      <w:sz w:val="20"/>
                      <w:color w:val="000000"/>
                    </w:rPr>
                    <w:t>(AMH),化学发光法</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单纯疱疹病毒（</w:t>
                  </w:r>
                  <w:r>
                    <w:rPr>
                      <w:sz w:val="20"/>
                      <w:color w:val="000000"/>
                    </w:rPr>
                    <w:t>I+II型）</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地中海贫血基因检测（</w:t>
                  </w:r>
                  <w:r>
                    <w:rPr>
                      <w:sz w:val="20"/>
                      <w:color w:val="000000"/>
                    </w:rPr>
                    <w:t>621位点）</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精液生化三项</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优生十项（</w:t>
                  </w:r>
                  <w:r>
                    <w:rPr>
                      <w:sz w:val="20"/>
                      <w:color w:val="000000"/>
                    </w:rPr>
                    <w:t>TORCH-IgM/IgG）,定性</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补体</w:t>
                  </w:r>
                  <w:r>
                    <w:rPr>
                      <w:sz w:val="20"/>
                      <w:color w:val="000000"/>
                    </w:rPr>
                    <w:t>3+补体4</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生殖支原体（</w:t>
                  </w:r>
                  <w:r>
                    <w:rPr>
                      <w:sz w:val="20"/>
                      <w:color w:val="000000"/>
                    </w:rPr>
                    <w:t>MG）RNA定性，尿液，RNA恒温扩增</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沙眼衣原体</w:t>
                  </w:r>
                  <w:r>
                    <w:rPr>
                      <w:sz w:val="20"/>
                      <w:color w:val="000000"/>
                    </w:rPr>
                    <w:t>(CT)RNA定性,尿液,RNA恒温扩增</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抗凝系统优生优育组合（</w:t>
                  </w:r>
                  <w:r>
                    <w:rPr>
                      <w:sz w:val="20"/>
                      <w:color w:val="000000"/>
                    </w:rPr>
                    <w:t>AT-III,PC,PS,LA1+LA2）</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精子</w:t>
                  </w:r>
                  <w:r>
                    <w:rPr>
                      <w:sz w:val="20"/>
                      <w:color w:val="000000"/>
                    </w:rPr>
                    <w:t>DNA碎片指数（DFI）检测</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生殖道多种病原体靶向测序（含阴道微生态分析）</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β-半乳糖苷酶</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肺炎支原体</w:t>
                  </w:r>
                  <w:r>
                    <w:rPr>
                      <w:sz w:val="20"/>
                      <w:color w:val="000000"/>
                    </w:rPr>
                    <w:t>(MP-DNA)定性,PCR法</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骨质疏松四项</w:t>
                  </w:r>
                  <w:r>
                    <w:rPr>
                      <w:sz w:val="20"/>
                      <w:color w:val="000000"/>
                    </w:rPr>
                    <w:t>(PINP,β-CTx,N-MID,25-OH)</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百日咳杆菌核酸检测</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性激素结合球蛋白</w:t>
                  </w:r>
                  <w:r>
                    <w:rPr>
                      <w:sz w:val="20"/>
                      <w:color w:val="000000"/>
                    </w:rPr>
                    <w:t>(SHBG)</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抗卵巢抗体</w:t>
                  </w:r>
                  <w:r>
                    <w:rPr>
                      <w:sz w:val="20"/>
                      <w:color w:val="000000"/>
                    </w:rPr>
                    <w:t>(AoAb)</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抗心磷脂抗体</w:t>
                  </w:r>
                  <w:r>
                    <w:rPr>
                      <w:sz w:val="20"/>
                      <w:color w:val="000000"/>
                    </w:rPr>
                    <w:t>(ACA),化学发光法</w:t>
                  </w:r>
                </w:p>
              </w:tc>
            </w:tr>
            <w:tr>
              <w:tc>
                <w:tcPr>
                  <w:tcW w:type="dxa" w:w="650"/>
                  <w:vMerge/>
                  <w:tcBorders>
                    <w:top w:val="none" w:color="000000" w:sz="4"/>
                    <w:left w:val="single" w:color="000000" w:sz="4"/>
                    <w:bottom w:val="single" w:color="000000" w:sz="4"/>
                    <w:right w:val="single" w:color="000000" w:sz="4"/>
                  </w:tcBorders>
                </w:tc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w:t>
                  </w:r>
                </w:p>
              </w:tc>
              <w:tc>
                <w:tcPr>
                  <w:tcW w:type="dxa" w:w="56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硫酸去氢表雄酮</w:t>
                  </w:r>
                  <w:r>
                    <w:rPr>
                      <w:sz w:val="20"/>
                      <w:color w:val="000000"/>
                    </w:rPr>
                    <w:t>(DHS)</w:t>
                  </w:r>
                </w:p>
              </w:tc>
            </w:tr>
          </w:tbl>
          <w:p/>
        </w:tc>
      </w:tr>
      <w:tr>
        <w:tc>
          <w:tcPr>
            <w:tcW w:type="dxa" w:w="2076"/>
          </w:tcPr>
          <w:p/>
        </w:tc>
        <w:tc>
          <w:tcPr>
            <w:tcW w:type="dxa" w:w="415"/>
          </w:tcPr>
          <w:p>
            <w:pPr>
              <w:pStyle w:val="null3"/>
            </w:pPr>
            <w:r>
              <w:rPr/>
              <w:t>39</w:t>
            </w:r>
          </w:p>
        </w:tc>
        <w:tc>
          <w:tcPr>
            <w:tcW w:type="dxa" w:w="5814"/>
          </w:tcPr>
          <w:p>
            <w:pPr>
              <w:pStyle w:val="null3"/>
            </w:pPr>
            <w:r>
              <w:rPr>
                <w:sz w:val="21"/>
                <w:b/>
              </w:rPr>
              <w:t>八、</w:t>
            </w:r>
            <w:r>
              <w:rPr>
                <w:b/>
              </w:rPr>
              <w:t>服务考核</w:t>
            </w:r>
          </w:p>
          <w:p>
            <w:pPr>
              <w:pStyle w:val="null3"/>
              <w:jc w:val="both"/>
            </w:pPr>
            <w:r>
              <w:rPr>
                <w:sz w:val="21"/>
              </w:rPr>
              <w:t>1</w:t>
            </w:r>
            <w:r>
              <w:rPr>
                <w:sz w:val="21"/>
              </w:rPr>
              <w:t>、每个季度的前</w:t>
            </w:r>
            <w:r>
              <w:rPr>
                <w:sz w:val="21"/>
              </w:rPr>
              <w:t>10</w:t>
            </w:r>
            <w:r>
              <w:rPr>
                <w:sz w:val="21"/>
              </w:rPr>
              <w:t>个工作日内，采购人组织相关科室人员对中标人的上个季度的服务质量进行季度考核，考评内容详见《检验服务质量季度考核表》，具体如下：</w:t>
            </w:r>
          </w:p>
          <w:p>
            <w:pPr>
              <w:pStyle w:val="null3"/>
              <w:jc w:val="both"/>
            </w:pPr>
            <w:r>
              <w:rPr>
                <w:sz w:val="21"/>
              </w:rPr>
              <w:t>《检验服务质量季度考核表》</w:t>
            </w:r>
          </w:p>
          <w:tbl>
            <w:tblPr>
              <w:tblInd w:type="dxa" w:w="105"/>
              <w:tblBorders>
                <w:top w:val="none" w:color="000000" w:sz="4"/>
                <w:left w:val="none" w:color="000000" w:sz="4"/>
                <w:bottom w:val="none" w:color="000000" w:sz="4"/>
                <w:right w:val="none" w:color="000000" w:sz="4"/>
                <w:insideH w:val="none"/>
                <w:insideV w:val="none"/>
              </w:tblBorders>
            </w:tblPr>
            <w:tblGrid>
              <w:gridCol w:w="381"/>
              <w:gridCol w:w="657"/>
              <w:gridCol w:w="1931"/>
              <w:gridCol w:w="625"/>
              <w:gridCol w:w="2004"/>
            </w:tblGrid>
            <w:tr>
              <w:tc>
                <w:tcPr>
                  <w:tcW w:type="dxa" w:w="3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序号</w:t>
                  </w:r>
                </w:p>
              </w:tc>
              <w:tc>
                <w:tcPr>
                  <w:tcW w:type="dxa" w:w="65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考核项目</w:t>
                  </w:r>
                </w:p>
              </w:tc>
              <w:tc>
                <w:tcPr>
                  <w:tcW w:type="dxa" w:w="193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考核内容</w:t>
                  </w:r>
                </w:p>
              </w:tc>
              <w:tc>
                <w:tcPr>
                  <w:tcW w:type="dxa" w:w="6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满分值</w:t>
                  </w:r>
                </w:p>
              </w:tc>
              <w:tc>
                <w:tcPr>
                  <w:tcW w:type="dxa" w:w="200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扣分原则</w:t>
                  </w:r>
                </w:p>
              </w:tc>
            </w:tr>
            <w:tr>
              <w:tc>
                <w:tcPr>
                  <w:tcW w:type="dxa" w:w="3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657"/>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标本</w:t>
                  </w:r>
                </w:p>
                <w:p>
                  <w:pPr>
                    <w:pStyle w:val="null3"/>
                    <w:jc w:val="both"/>
                  </w:pPr>
                  <w:r>
                    <w:rPr>
                      <w:sz w:val="21"/>
                    </w:rPr>
                    <w:t>接收</w:t>
                  </w:r>
                </w:p>
              </w:tc>
              <w:tc>
                <w:tcPr>
                  <w:tcW w:type="dxa" w:w="1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标本及时接收；无出现标本遗失、丢失。</w:t>
                  </w:r>
                </w:p>
              </w:tc>
              <w:tc>
                <w:tcPr>
                  <w:tcW w:type="dxa" w:w="6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20</w:t>
                  </w:r>
                  <w:r>
                    <w:rPr>
                      <w:sz w:val="21"/>
                    </w:rPr>
                    <w:t>分</w:t>
                  </w:r>
                </w:p>
              </w:tc>
              <w:tc>
                <w:tcPr>
                  <w:tcW w:type="dxa" w:w="20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标本未及时接收，每例扣</w:t>
                  </w:r>
                  <w:r>
                    <w:rPr>
                      <w:sz w:val="21"/>
                    </w:rPr>
                    <w:t>5</w:t>
                  </w:r>
                  <w:r>
                    <w:rPr>
                      <w:sz w:val="21"/>
                    </w:rPr>
                    <w:t>分；标本遗失、标本丢失每例扣</w:t>
                  </w:r>
                  <w:r>
                    <w:rPr>
                      <w:sz w:val="21"/>
                    </w:rPr>
                    <w:t>20</w:t>
                  </w:r>
                  <w:r>
                    <w:rPr>
                      <w:sz w:val="21"/>
                    </w:rPr>
                    <w:t>分</w:t>
                  </w:r>
                </w:p>
              </w:tc>
            </w:tr>
            <w:tr>
              <w:tc>
                <w:tcPr>
                  <w:tcW w:type="dxa" w:w="3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2</w:t>
                  </w:r>
                </w:p>
              </w:tc>
              <w:tc>
                <w:tcPr>
                  <w:tcW w:type="dxa" w:w="657"/>
                  <w:vMerge/>
                  <w:tcBorders>
                    <w:top w:val="none" w:color="000000" w:sz="4"/>
                    <w:left w:val="non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按规范流程进行标本登记</w:t>
                  </w:r>
                </w:p>
              </w:tc>
              <w:tc>
                <w:tcPr>
                  <w:tcW w:type="dxa" w:w="6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5</w:t>
                  </w:r>
                  <w:r>
                    <w:rPr>
                      <w:sz w:val="21"/>
                    </w:rPr>
                    <w:t>分</w:t>
                  </w:r>
                </w:p>
              </w:tc>
              <w:tc>
                <w:tcPr>
                  <w:tcW w:type="dxa" w:w="20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未按规范进行标本登记每出现</w:t>
                  </w:r>
                  <w:r>
                    <w:rPr>
                      <w:sz w:val="21"/>
                    </w:rPr>
                    <w:t>1</w:t>
                  </w:r>
                  <w:r>
                    <w:rPr>
                      <w:sz w:val="21"/>
                    </w:rPr>
                    <w:t>例扣</w:t>
                  </w:r>
                  <w:r>
                    <w:rPr>
                      <w:sz w:val="21"/>
                    </w:rPr>
                    <w:t>1</w:t>
                  </w:r>
                  <w:r>
                    <w:rPr>
                      <w:sz w:val="21"/>
                    </w:rPr>
                    <w:t>分</w:t>
                  </w:r>
                </w:p>
              </w:tc>
            </w:tr>
            <w:tr>
              <w:tc>
                <w:tcPr>
                  <w:tcW w:type="dxa" w:w="3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3</w:t>
                  </w:r>
                </w:p>
              </w:tc>
              <w:tc>
                <w:tcPr>
                  <w:tcW w:type="dxa" w:w="657"/>
                  <w:vMerge/>
                  <w:tcBorders>
                    <w:top w:val="none" w:color="000000" w:sz="4"/>
                    <w:left w:val="non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标本初检发现不合格应及时报告医院</w:t>
                  </w:r>
                </w:p>
              </w:tc>
              <w:tc>
                <w:tcPr>
                  <w:tcW w:type="dxa" w:w="6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5</w:t>
                  </w:r>
                  <w:r>
                    <w:rPr>
                      <w:sz w:val="21"/>
                    </w:rPr>
                    <w:t>分</w:t>
                  </w:r>
                </w:p>
              </w:tc>
              <w:tc>
                <w:tcPr>
                  <w:tcW w:type="dxa" w:w="20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未及时报告医院每出现</w:t>
                  </w:r>
                  <w:r>
                    <w:rPr>
                      <w:sz w:val="21"/>
                    </w:rPr>
                    <w:t>1</w:t>
                  </w:r>
                  <w:r>
                    <w:rPr>
                      <w:sz w:val="21"/>
                    </w:rPr>
                    <w:t>例扣</w:t>
                  </w:r>
                  <w:r>
                    <w:rPr>
                      <w:sz w:val="21"/>
                    </w:rPr>
                    <w:t>1</w:t>
                  </w:r>
                  <w:r>
                    <w:rPr>
                      <w:sz w:val="21"/>
                    </w:rPr>
                    <w:t>分</w:t>
                  </w:r>
                </w:p>
              </w:tc>
            </w:tr>
            <w:tr>
              <w:tc>
                <w:tcPr>
                  <w:tcW w:type="dxa" w:w="3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4</w:t>
                  </w:r>
                </w:p>
              </w:tc>
              <w:tc>
                <w:tcPr>
                  <w:tcW w:type="dxa" w:w="657"/>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标本</w:t>
                  </w:r>
                </w:p>
                <w:p>
                  <w:pPr>
                    <w:pStyle w:val="null3"/>
                    <w:jc w:val="both"/>
                  </w:pPr>
                  <w:r>
                    <w:rPr>
                      <w:sz w:val="21"/>
                    </w:rPr>
                    <w:t>检验</w:t>
                  </w:r>
                </w:p>
              </w:tc>
              <w:tc>
                <w:tcPr>
                  <w:tcW w:type="dxa" w:w="1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按规定时间进行标本送检，送检过程中无出现标本遗失、丢失情况</w:t>
                  </w:r>
                </w:p>
              </w:tc>
              <w:tc>
                <w:tcPr>
                  <w:tcW w:type="dxa" w:w="6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20</w:t>
                  </w:r>
                  <w:r>
                    <w:rPr>
                      <w:sz w:val="21"/>
                    </w:rPr>
                    <w:t>分</w:t>
                  </w:r>
                </w:p>
              </w:tc>
              <w:tc>
                <w:tcPr>
                  <w:tcW w:type="dxa" w:w="20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未按规定时间进行标本送检，每出现一例扣</w:t>
                  </w:r>
                  <w:r>
                    <w:rPr>
                      <w:sz w:val="21"/>
                    </w:rPr>
                    <w:t>5</w:t>
                  </w:r>
                  <w:r>
                    <w:rPr>
                      <w:sz w:val="21"/>
                    </w:rPr>
                    <w:t>分；标本遗失、丢失每出现一例扣</w:t>
                  </w:r>
                  <w:r>
                    <w:rPr>
                      <w:sz w:val="21"/>
                    </w:rPr>
                    <w:t>20</w:t>
                  </w:r>
                  <w:r>
                    <w:rPr>
                      <w:sz w:val="21"/>
                    </w:rPr>
                    <w:t>分</w:t>
                  </w:r>
                </w:p>
              </w:tc>
            </w:tr>
            <w:tr>
              <w:tc>
                <w:tcPr>
                  <w:tcW w:type="dxa" w:w="3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5</w:t>
                  </w:r>
                </w:p>
              </w:tc>
              <w:tc>
                <w:tcPr>
                  <w:tcW w:type="dxa" w:w="657"/>
                  <w:vMerge/>
                  <w:tcBorders>
                    <w:top w:val="none" w:color="000000" w:sz="4"/>
                    <w:left w:val="non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检查结果按规定时间出具</w:t>
                  </w:r>
                </w:p>
              </w:tc>
              <w:tc>
                <w:tcPr>
                  <w:tcW w:type="dxa" w:w="6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5</w:t>
                  </w:r>
                  <w:r>
                    <w:rPr>
                      <w:sz w:val="21"/>
                    </w:rPr>
                    <w:t>分</w:t>
                  </w:r>
                </w:p>
              </w:tc>
              <w:tc>
                <w:tcPr>
                  <w:tcW w:type="dxa" w:w="20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检验结果未在规定时间出具每例扣</w:t>
                  </w:r>
                  <w:r>
                    <w:rPr>
                      <w:sz w:val="21"/>
                    </w:rPr>
                    <w:t>1</w:t>
                  </w:r>
                  <w:r>
                    <w:rPr>
                      <w:sz w:val="21"/>
                    </w:rPr>
                    <w:t>分</w:t>
                  </w:r>
                </w:p>
              </w:tc>
            </w:tr>
            <w:tr>
              <w:tc>
                <w:tcPr>
                  <w:tcW w:type="dxa" w:w="3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6</w:t>
                  </w:r>
                </w:p>
              </w:tc>
              <w:tc>
                <w:tcPr>
                  <w:tcW w:type="dxa" w:w="657"/>
                  <w:vMerge/>
                  <w:tcBorders>
                    <w:top w:val="none" w:color="000000" w:sz="4"/>
                    <w:left w:val="non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报告单书写整洁、无错项、无漏项、签名易辨认</w:t>
                  </w:r>
                </w:p>
              </w:tc>
              <w:tc>
                <w:tcPr>
                  <w:tcW w:type="dxa" w:w="6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5</w:t>
                  </w:r>
                  <w:r>
                    <w:rPr>
                      <w:sz w:val="21"/>
                    </w:rPr>
                    <w:t>分</w:t>
                  </w:r>
                </w:p>
              </w:tc>
              <w:tc>
                <w:tcPr>
                  <w:tcW w:type="dxa" w:w="20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报告单书写潦草每例扣</w:t>
                  </w:r>
                  <w:r>
                    <w:rPr>
                      <w:sz w:val="21"/>
                    </w:rPr>
                    <w:t>1</w:t>
                  </w:r>
                  <w:r>
                    <w:rPr>
                      <w:sz w:val="21"/>
                    </w:rPr>
                    <w:t>分、签名无法辨认每例扣</w:t>
                  </w:r>
                  <w:r>
                    <w:rPr>
                      <w:sz w:val="21"/>
                    </w:rPr>
                    <w:t>1</w:t>
                  </w:r>
                  <w:r>
                    <w:rPr>
                      <w:sz w:val="21"/>
                    </w:rPr>
                    <w:t>分，漏项每例扣</w:t>
                  </w:r>
                  <w:r>
                    <w:rPr>
                      <w:sz w:val="21"/>
                    </w:rPr>
                    <w:t>1</w:t>
                  </w:r>
                  <w:r>
                    <w:rPr>
                      <w:sz w:val="21"/>
                    </w:rPr>
                    <w:t>分</w:t>
                  </w:r>
                </w:p>
              </w:tc>
            </w:tr>
            <w:tr>
              <w:tc>
                <w:tcPr>
                  <w:tcW w:type="dxa" w:w="3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7</w:t>
                  </w:r>
                </w:p>
              </w:tc>
              <w:tc>
                <w:tcPr>
                  <w:tcW w:type="dxa" w:w="657"/>
                  <w:vMerge/>
                  <w:tcBorders>
                    <w:top w:val="none" w:color="000000" w:sz="4"/>
                    <w:left w:val="non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报告单由具备资质的检验人员签发</w:t>
                  </w:r>
                </w:p>
              </w:tc>
              <w:tc>
                <w:tcPr>
                  <w:tcW w:type="dxa" w:w="6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15</w:t>
                  </w:r>
                  <w:r>
                    <w:rPr>
                      <w:sz w:val="21"/>
                    </w:rPr>
                    <w:t>分</w:t>
                  </w:r>
                </w:p>
              </w:tc>
              <w:tc>
                <w:tcPr>
                  <w:tcW w:type="dxa" w:w="20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出现一例报告单签发人员资质不符合要求扣</w:t>
                  </w:r>
                  <w:r>
                    <w:rPr>
                      <w:sz w:val="21"/>
                    </w:rPr>
                    <w:t>15</w:t>
                  </w:r>
                  <w:r>
                    <w:rPr>
                      <w:sz w:val="21"/>
                    </w:rPr>
                    <w:t>分</w:t>
                  </w:r>
                </w:p>
              </w:tc>
            </w:tr>
            <w:tr>
              <w:tc>
                <w:tcPr>
                  <w:tcW w:type="dxa" w:w="3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8</w:t>
                  </w:r>
                </w:p>
              </w:tc>
              <w:tc>
                <w:tcPr>
                  <w:tcW w:type="dxa" w:w="657"/>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检验</w:t>
                  </w:r>
                </w:p>
                <w:p>
                  <w:pPr>
                    <w:pStyle w:val="null3"/>
                    <w:jc w:val="both"/>
                  </w:pPr>
                  <w:r>
                    <w:rPr>
                      <w:sz w:val="21"/>
                    </w:rPr>
                    <w:t>结果</w:t>
                  </w:r>
                </w:p>
              </w:tc>
              <w:tc>
                <w:tcPr>
                  <w:tcW w:type="dxa" w:w="1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检验结果无误差、错误</w:t>
                  </w:r>
                </w:p>
              </w:tc>
              <w:tc>
                <w:tcPr>
                  <w:tcW w:type="dxa" w:w="6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20</w:t>
                  </w:r>
                  <w:r>
                    <w:rPr>
                      <w:sz w:val="21"/>
                    </w:rPr>
                    <w:t>分</w:t>
                  </w:r>
                </w:p>
              </w:tc>
              <w:tc>
                <w:tcPr>
                  <w:tcW w:type="dxa" w:w="20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检验结果出现</w:t>
                  </w:r>
                  <w:r>
                    <w:rPr>
                      <w:sz w:val="21"/>
                    </w:rPr>
                    <w:t>1</w:t>
                  </w:r>
                  <w:r>
                    <w:rPr>
                      <w:sz w:val="21"/>
                    </w:rPr>
                    <w:t>例误差错误每例扣</w:t>
                  </w:r>
                  <w:r>
                    <w:rPr>
                      <w:sz w:val="21"/>
                    </w:rPr>
                    <w:t>5</w:t>
                  </w:r>
                  <w:r>
                    <w:rPr>
                      <w:sz w:val="21"/>
                    </w:rPr>
                    <w:t>分</w:t>
                  </w:r>
                </w:p>
              </w:tc>
            </w:tr>
            <w:tr>
              <w:tc>
                <w:tcPr>
                  <w:tcW w:type="dxa" w:w="3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9</w:t>
                  </w:r>
                </w:p>
              </w:tc>
              <w:tc>
                <w:tcPr>
                  <w:tcW w:type="dxa" w:w="657"/>
                  <w:vMerge/>
                  <w:tcBorders>
                    <w:top w:val="none" w:color="000000" w:sz="4"/>
                    <w:left w:val="non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检验结果及时上传，供医院查询调阅</w:t>
                  </w:r>
                </w:p>
              </w:tc>
              <w:tc>
                <w:tcPr>
                  <w:tcW w:type="dxa" w:w="6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5</w:t>
                  </w:r>
                  <w:r>
                    <w:rPr>
                      <w:sz w:val="21"/>
                    </w:rPr>
                    <w:t>分</w:t>
                  </w:r>
                </w:p>
              </w:tc>
              <w:tc>
                <w:tcPr>
                  <w:tcW w:type="dxa" w:w="20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检验结果未及时上传每例扣</w:t>
                  </w:r>
                  <w:r>
                    <w:rPr>
                      <w:sz w:val="21"/>
                    </w:rPr>
                    <w:t>1</w:t>
                  </w:r>
                  <w:r>
                    <w:rPr>
                      <w:sz w:val="21"/>
                    </w:rPr>
                    <w:t>分</w:t>
                  </w:r>
                </w:p>
              </w:tc>
            </w:tr>
            <w:tr>
              <w:tc>
                <w:tcPr>
                  <w:tcW w:type="dxa" w:w="3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88"/>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合计</w:t>
                  </w:r>
                </w:p>
              </w:tc>
              <w:tc>
                <w:tcPr>
                  <w:tcW w:type="dxa" w:w="6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100</w:t>
                  </w:r>
                  <w:r>
                    <w:rPr>
                      <w:sz w:val="21"/>
                    </w:rPr>
                    <w:t>分</w:t>
                  </w:r>
                </w:p>
              </w:tc>
              <w:tc>
                <w:tcPr>
                  <w:tcW w:type="dxa" w:w="20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both"/>
            </w:pPr>
            <w:r>
              <w:rPr>
                <w:sz w:val="21"/>
              </w:rPr>
              <w:t>2、满分为</w:t>
            </w:r>
            <w:r>
              <w:rPr>
                <w:sz w:val="21"/>
              </w:rPr>
              <w:t>100</w:t>
            </w:r>
            <w:r>
              <w:rPr>
                <w:sz w:val="21"/>
              </w:rPr>
              <w:t>分，考核得分</w:t>
            </w:r>
            <w:r>
              <w:rPr>
                <w:sz w:val="21"/>
              </w:rPr>
              <w:t>≥90</w:t>
            </w:r>
            <w:r>
              <w:rPr>
                <w:sz w:val="21"/>
              </w:rPr>
              <w:t>分的为合格，考核得分＜</w:t>
            </w:r>
            <w:r>
              <w:rPr>
                <w:sz w:val="21"/>
              </w:rPr>
              <w:t>90</w:t>
            </w:r>
            <w:r>
              <w:rPr>
                <w:sz w:val="21"/>
              </w:rPr>
              <w:t>分的为不合格。考核不合格时，每低于合格基准分（即</w:t>
            </w:r>
            <w:r>
              <w:rPr>
                <w:sz w:val="21"/>
              </w:rPr>
              <w:t>90</w:t>
            </w:r>
            <w:r>
              <w:rPr>
                <w:sz w:val="21"/>
              </w:rPr>
              <w:t>分）</w:t>
            </w:r>
            <w:r>
              <w:rPr>
                <w:sz w:val="21"/>
              </w:rPr>
              <w:t>1</w:t>
            </w:r>
            <w:r>
              <w:rPr>
                <w:sz w:val="21"/>
              </w:rPr>
              <w:t>分值，按考核季度总费用</w:t>
            </w:r>
            <w:r>
              <w:rPr>
                <w:sz w:val="21"/>
              </w:rPr>
              <w:t>1%</w:t>
            </w:r>
            <w:r>
              <w:rPr>
                <w:sz w:val="21"/>
              </w:rPr>
              <w:t>扣减费用，以此类推。对需整改的考评项目，采购人以书面形式向中标人发出整改通知，中标人须在接到书面通知后</w:t>
            </w:r>
            <w:r>
              <w:rPr>
                <w:sz w:val="21"/>
              </w:rPr>
              <w:t>7</w:t>
            </w:r>
            <w:r>
              <w:rPr>
                <w:sz w:val="21"/>
              </w:rPr>
              <w:t>天内作出整改方案及承诺，并提交采购人确认。</w:t>
            </w:r>
            <w:r>
              <w:br/>
            </w:r>
            <w:r>
              <w:rPr>
                <w:sz w:val="21"/>
              </w:rPr>
              <w:t xml:space="preserve"> 3</w:t>
            </w:r>
            <w:r>
              <w:rPr>
                <w:sz w:val="21"/>
              </w:rPr>
              <w:t>、标本在送检过程中出现延迟、遗漏、丢失等情况，或因检验结果误差、错误而导致的投诉、医疗纠纷、事故等不良后果的，按对应检验项目费用的</w:t>
            </w:r>
            <w:r>
              <w:rPr>
                <w:sz w:val="21"/>
              </w:rPr>
              <w:t>2</w:t>
            </w:r>
            <w:r>
              <w:rPr>
                <w:sz w:val="21"/>
              </w:rPr>
              <w:t>倍扣减费用，且由此产生的赔偿责任由中标人承担。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广州市南沙区人民医院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采购向中标人收取的中标服务费，以项目预算金额作为采购代理服务费的计算基数。按国家计委[计价格[2002]1980号]文及国家发改委[2011]534号文服务类招标代理服务收费标准差额定率累进法计算收取，如低于人民币8000元，按照8000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综合信用评价得分运用广州公共资源交易政府采购领域信用评价体系进行计算〔综合信用评价得分=供应商在广州公共资源交易信用评价(政府采购供应商信用评价分）×5%〕，在投标响应前，投标人应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南沙区人民医院采购外送检验病理相关检测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采购包1（广州市南沙区人民医院采购外送检验病理相关检测服务项目）：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异常低价审查。政府采购评审中出现下列情形之一的，评审委员会应当启动异常低价投标（响应）审查程序（详见后附表三异常低价审查表）：</w:t>
      </w:r>
    </w:p>
    <w:p>
      <w:pPr>
        <w:pStyle w:val="null3"/>
        <w:ind w:firstLine="480"/>
      </w:pPr>
      <w:r>
        <w:rPr/>
        <w:t>（1）投标（响应）报价低于全部通过符合性审查供应商投标（响应）报价平均值50%的，即投标（响应）报价&lt;全部通过符合性审查供应商投标（响应）报价平均值×50%；</w:t>
      </w:r>
    </w:p>
    <w:p>
      <w:pPr>
        <w:pStyle w:val="null3"/>
        <w:ind w:firstLine="480"/>
      </w:pPr>
      <w:r>
        <w:rPr/>
        <w:t>（2）)投标（响应）报价低于通过符合性审查且报价次低供应商投标（响应）报价50%的，即投标（响应）报价&lt;通过符合性审查且报价次低供应商投标（响应）报价×50%；</w:t>
      </w:r>
    </w:p>
    <w:p>
      <w:pPr>
        <w:pStyle w:val="null3"/>
        <w:ind w:firstLine="480"/>
      </w:pPr>
      <w:r>
        <w:rPr/>
        <w:t>（3）投标（响应）报价低于采购项目最高限价45%的，即投标（响应）报价&lt;采购项目最高限价×45%；</w:t>
      </w:r>
    </w:p>
    <w:p>
      <w:pPr>
        <w:pStyle w:val="null3"/>
        <w:ind w:firstLine="480"/>
      </w:pPr>
      <w:r>
        <w:rPr/>
        <w:t>（4）其他评审委员会认为供应商报价过低，有可能影响产品质量或者不能诚信履约的情形。</w:t>
      </w:r>
    </w:p>
    <w:p>
      <w:pPr>
        <w:pStyle w:val="null3"/>
        <w:ind w:firstLine="480"/>
      </w:pPr>
      <w:r>
        <w:rPr/>
        <w:t>如项目（包组）采用下浮率报价的，则所述的投标（响应）报价， 则为（1-下浮率报价）。</w:t>
      </w:r>
    </w:p>
    <w:p>
      <w:pPr>
        <w:pStyle w:val="null3"/>
        <w:ind w:firstLine="480"/>
      </w:pPr>
      <w:r>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合格投标人不足3家的，不得评标。</w:t>
      </w:r>
    </w:p>
    <w:p>
      <w:pPr>
        <w:pStyle w:val="null3"/>
        <w:ind w:firstLine="480"/>
      </w:pPr>
      <w:r>
        <w:rPr/>
        <w:t>表一资格性审查表：</w:t>
      </w:r>
    </w:p>
    <w:p>
      <w:pPr>
        <w:pStyle w:val="null3"/>
      </w:pPr>
      <w:r>
        <w:rPr/>
        <w:t>采购包1（广州市南沙区人民医院采购外送检验病理相关检测服务项目）：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管理关系的不同供应商，不得同时参加本采购项目（或采购包）投标（响应）。为本项目提供整体设计、规范编制或者项目管理、监理、检测等服务的供应商， 不得再参与本项目投标（响应）。投标函相关承诺要求内容。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投标人的实验室必须是取得《医疗机构执业许可证》的专业检验中心或实验室或检验所（提供相关证明材料并加盖投标人公章）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本采购包非专门面向中小企业采购的项目。</w:t>
            </w:r>
          </w:p>
        </w:tc>
      </w:tr>
    </w:tbl>
    <w:p>
      <w:pPr>
        <w:pStyle w:val="null3"/>
        <w:ind w:firstLine="480"/>
      </w:pPr>
      <w:r>
        <w:rPr/>
        <w:t>表二符合性审查表：</w:t>
      </w:r>
    </w:p>
    <w:p>
      <w:pPr>
        <w:pStyle w:val="null3"/>
      </w:pPr>
      <w:r>
        <w:rPr/>
        <w:t>采购包1（广州市南沙区人民医院采购外送检验病理相关检测服务项目）：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投标函已提交并按招标文件填写、签署、盖章。</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1）0%＜折扣率≤100% 2）对项目内所投全部内容进行投标报价 3）投标报价是唯一确定的</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提供《投标函》且投标有效期为从提交投标（响应）文件的截止之日起90日历天。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实质性响应招标文件中“★”号条款的技术、商务要求：投标文件不得对实质性技术与商务的（即标注★号条款）条款产生偏离。</w:t>
            </w:r>
          </w:p>
        </w:tc>
      </w:tr>
      <w:tr>
        <w:tc>
          <w:tcPr>
            <w:tcW w:type="dxa" w:w="890"/>
          </w:tcPr>
          <w:p>
            <w:pPr>
              <w:pStyle w:val="null3"/>
            </w:pPr>
            <w:r>
              <w:rPr/>
              <w:t>6</w:t>
            </w:r>
          </w:p>
        </w:tc>
        <w:tc>
          <w:tcPr>
            <w:tcW w:type="dxa" w:w="3178"/>
          </w:tcPr>
          <w:p>
            <w:pPr>
              <w:pStyle w:val="null3"/>
            </w:pPr>
            <w:r>
              <w:rPr/>
              <w:t>其他情况</w:t>
            </w:r>
          </w:p>
        </w:tc>
        <w:tc>
          <w:tcPr>
            <w:tcW w:type="dxa" w:w="4238"/>
          </w:tcPr>
          <w:p>
            <w:pPr>
              <w:pStyle w:val="null3"/>
            </w:pPr>
            <w:r>
              <w:rPr/>
              <w:t>投标文件没有招标文件中规定的其它无效投标条款的；按有关法律、法规、规章不属于投标无效的。</w:t>
            </w:r>
          </w:p>
        </w:tc>
      </w:tr>
    </w:tbl>
    <w:p>
      <w:pPr>
        <w:pStyle w:val="null3"/>
        <w:ind w:firstLine="480"/>
      </w:pPr>
      <w:r>
        <w:rPr/>
        <w:t>表三：异常低价审查表：</w:t>
      </w:r>
    </w:p>
    <w:p>
      <w:pPr>
        <w:pStyle w:val="null3"/>
        <w:ind w:firstLine="480"/>
      </w:pPr>
      <w:r>
        <w:rPr/>
        <w:t>采购包：适用所有包组</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评审点要求概况</w:t>
            </w:r>
          </w:p>
        </w:tc>
        <w:tc>
          <w:tcPr>
            <w:tcW w:type="dxa" w:w="2076"/>
          </w:tcPr>
          <w:p>
            <w:pPr>
              <w:pStyle w:val="null3"/>
            </w:pPr>
            <w:r>
              <w:rPr/>
              <w:t>异常低价的情形</w:t>
            </w:r>
          </w:p>
        </w:tc>
        <w:tc>
          <w:tcPr>
            <w:tcW w:type="dxa" w:w="2076"/>
          </w:tcPr>
          <w:p>
            <w:pPr>
              <w:pStyle w:val="null3"/>
            </w:pPr>
            <w:r>
              <w:rPr/>
              <w:t>评审点具体描述</w:t>
            </w:r>
          </w:p>
        </w:tc>
      </w:tr>
      <w:tr>
        <w:tc>
          <w:tcPr>
            <w:tcW w:type="dxa" w:w="2076"/>
          </w:tcPr>
          <w:p>
            <w:pPr>
              <w:pStyle w:val="null3"/>
            </w:pPr>
            <w:r>
              <w:rPr/>
              <w:t>1</w:t>
            </w:r>
          </w:p>
        </w:tc>
        <w:tc>
          <w:tcPr>
            <w:tcW w:type="dxa" w:w="2076"/>
          </w:tcPr>
          <w:p>
            <w:pPr>
              <w:pStyle w:val="null3"/>
            </w:pPr>
            <w:r>
              <w:rPr/>
              <w:t>异常低价审查</w:t>
            </w:r>
          </w:p>
        </w:tc>
        <w:tc>
          <w:tcPr>
            <w:tcW w:type="dxa" w:w="2076"/>
          </w:tcPr>
          <w:p>
            <w:pPr>
              <w:pStyle w:val="null3"/>
            </w:pPr>
            <w:r>
              <w:rPr/>
              <w:t xml:space="preserve"> 1）投标（响应）报价低于全部通过符合性审查供应商投标（响应）报价平均值×50%的，即投标（响应）报价&lt;全部通过符合性审查供应商投标（响应）报价平均值×50%。</w:t>
            </w:r>
            <w:r>
              <w:br/>
            </w:r>
            <w:r>
              <w:rPr/>
              <w:t xml:space="preserve"> 2）投标（响应）报价低于通过符合性审查且报价次低供应商投标（响应）报价×50%的，即投标（响应）报价&lt;通过符合性审查且报价次低供应商投标（响应）报价×50%。</w:t>
            </w:r>
            <w:r>
              <w:br/>
            </w:r>
            <w:r>
              <w:rPr/>
              <w:t xml:space="preserve"> 3）投标（响应）报价低于采购项目最高限价45%的，即投标（响应）报价&lt;采购项目最高限价×45%。</w:t>
            </w:r>
            <w:r>
              <w:br/>
            </w:r>
            <w:r>
              <w:rPr/>
              <w:t xml:space="preserve"> 4）其他评审委员会认为供应商报价过低，有可能影响产品质量或无法诚信履约的情形。</w:t>
            </w:r>
          </w:p>
        </w:tc>
        <w:tc>
          <w:tcPr>
            <w:tcW w:type="dxa" w:w="2076"/>
          </w:tcPr>
          <w:p>
            <w:pPr>
              <w:pStyle w:val="null3"/>
            </w:pPr>
            <w:r>
              <w:rPr/>
              <w:t xml:space="preserve"> 投标（响应）报价出现异常低价的，供应商需在评审现场合理时间内提供书面说明及必要的证明材料，对投标（响应）价格作出解释。书面说明、证明材料应包括项目具体成本测算等与报价合理性相关的说明和材料。</w:t>
            </w:r>
          </w:p>
        </w:tc>
      </w:tr>
    </w:tbl>
    <w:p>
      <w:pPr>
        <w:pStyle w:val="null3"/>
        <w:ind w:firstLine="480"/>
      </w:pPr>
      <w:r>
        <w:rPr/>
        <w:t>备注：</w:t>
      </w:r>
    </w:p>
    <w:p>
      <w:pPr>
        <w:pStyle w:val="null3"/>
        <w:ind w:firstLine="480"/>
      </w:pPr>
      <w:r>
        <w:rPr/>
        <w:t>1. 如项目（包组）采用下浮率报价，上述投标（响应）报价应为（1-下浮率报价）。</w:t>
      </w:r>
    </w:p>
    <w:p>
      <w:pPr>
        <w:pStyle w:val="null3"/>
        <w:ind w:firstLine="480"/>
      </w:pPr>
      <w:r>
        <w:rPr/>
        <w:t>2. 根据《关于在相关自由贸易试验区和自由贸易港开展推动解决政府采购异常低价问题试点工作的通知》（财办库〔2024〕265号）的规定，广东自由贸易试验区应执行政府采购异常低价审查，广东省非试点地区可结合项目实际情况考虑是否执行。</w:t>
      </w:r>
    </w:p>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采购包1(广州市南沙区人民医院采购外送检验病理相关检测服务项目):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用户需求书响应情况 (6.0分)</w:t>
            </w:r>
          </w:p>
        </w:tc>
        <w:tc>
          <w:tcPr>
            <w:tcW w:type="dxa" w:w="5076"/>
          </w:tcPr>
          <w:p>
            <w:pPr>
              <w:pStyle w:val="null3"/>
              <w:jc w:val="left"/>
            </w:pPr>
            <w:r>
              <w:rPr/>
              <w:t>1.对用户需求书所有条款内容全部响应且全部无偏离的，得6分； 2.对用户需求书条款内容，有1-4条不响应或有负偏离的，得3分； 3.对用户需求书条款内容，有5-8条不响应或有负偏离的，得1分。 4.其余情形不得分。</w:t>
            </w:r>
          </w:p>
        </w:tc>
      </w:tr>
      <w:tr>
        <w:tc>
          <w:tcPr>
            <w:tcW w:type="dxa" w:w="922"/>
            <w:gridSpan w:val="2"/>
            <w:vMerge/>
          </w:tcPr>
          <w:p/>
        </w:tc>
        <w:tc>
          <w:tcPr>
            <w:tcW w:type="dxa" w:w="2307"/>
          </w:tcPr>
          <w:p>
            <w:pPr>
              <w:pStyle w:val="null3"/>
              <w:jc w:val="left"/>
            </w:pPr>
            <w:r>
              <w:rPr/>
              <w:t>组织实施方案 (10.0分)</w:t>
            </w:r>
          </w:p>
        </w:tc>
        <w:tc>
          <w:tcPr>
            <w:tcW w:type="dxa" w:w="5076"/>
          </w:tcPr>
          <w:p>
            <w:pPr>
              <w:pStyle w:val="null3"/>
              <w:jc w:val="left"/>
            </w:pPr>
            <w:r>
              <w:rPr/>
              <w:t>对各投标人组织实施方案包括不限于服务方案、系统对接方案、质量控制、管理制度、应急管理、进度计划等是否满足医院需求，完善可行、具体合理进行评审： 1.组织实施方案能够结合医院情况设置，方案完善可行、具体合理，，完全满足或优于项目需求，得10分； 2.组织实施方案能够结合医院情况设置,方案较完善可行、较具体合理，基本满足项目需求，得6分； 3.组织实施方案不能结合医院情况设置或方案不够完善或可行性差或不够具体或合理性差，不能完全满足项目需求，得2分； 4.不提供不得分。</w:t>
            </w:r>
          </w:p>
        </w:tc>
      </w:tr>
      <w:tr>
        <w:tc>
          <w:tcPr>
            <w:tcW w:type="dxa" w:w="922"/>
            <w:gridSpan w:val="2"/>
            <w:vMerge/>
          </w:tcPr>
          <w:p/>
        </w:tc>
        <w:tc>
          <w:tcPr>
            <w:tcW w:type="dxa" w:w="2307"/>
          </w:tcPr>
          <w:p>
            <w:pPr>
              <w:pStyle w:val="null3"/>
              <w:jc w:val="left"/>
            </w:pPr>
            <w:r>
              <w:rPr/>
              <w:t>运输服务方案 (10.0分)</w:t>
            </w:r>
          </w:p>
        </w:tc>
        <w:tc>
          <w:tcPr>
            <w:tcW w:type="dxa" w:w="5076"/>
          </w:tcPr>
          <w:p>
            <w:pPr>
              <w:pStyle w:val="null3"/>
              <w:jc w:val="left"/>
            </w:pPr>
            <w:r>
              <w:rPr/>
              <w:t>对各投标人提供的物流运输方案及冷链情况（需提供相关方案的介绍说明，提供运输专用容器实物图片、提供全程电子监控系统的截图及介绍）进行评审： 1.样本运输安全，样本运输冷链完整，全程直立、冷藏、封闭完好，并在规定时间内完成冷链运输得10分； 2.样本运输较安全，样本运输冷链较完整，全程直立、冷藏、封闭较好的得6分； 3.样本运输不太安全，样本运输冷链不太完整，全程直立、冷藏、封闭不太好的得2分； 4.未提供运输服务方案或方案资料不全的不得分。</w:t>
            </w:r>
          </w:p>
        </w:tc>
      </w:tr>
      <w:tr>
        <w:tc>
          <w:tcPr>
            <w:tcW w:type="dxa" w:w="922"/>
            <w:gridSpan w:val="2"/>
            <w:vMerge/>
          </w:tcPr>
          <w:p/>
        </w:tc>
        <w:tc>
          <w:tcPr>
            <w:tcW w:type="dxa" w:w="2307"/>
          </w:tcPr>
          <w:p>
            <w:pPr>
              <w:pStyle w:val="null3"/>
              <w:jc w:val="left"/>
            </w:pPr>
            <w:r>
              <w:rPr/>
              <w:t>项目配备技术人员情况 (10.0分)</w:t>
            </w:r>
          </w:p>
        </w:tc>
        <w:tc>
          <w:tcPr>
            <w:tcW w:type="dxa" w:w="5076"/>
          </w:tcPr>
          <w:p>
            <w:pPr>
              <w:pStyle w:val="null3"/>
              <w:jc w:val="left"/>
            </w:pPr>
            <w:r>
              <w:rPr/>
              <w:t>投标人实验室检验人员配备应符合国家相关要求，包括但不限于检验师、病理医师，人员数量、职称、专业可满足检测需求。 1.投标人拟投入本项目病理工作人员需具备病理医生资格证且人员不少于10人，每提供一名中级职称人员加0.5分，提供1名高级病理医师职称加1分，此项最高得5分；病理工作人员少于10人则本项不得分。 2.投标人拟投入本项目检验人员需具备检验技师资格证且人员不少于10人，每提供一名中级职称人员加0.5分，提供1名高级检验技师职称加1分，此项最高得5分，检验人员少于10人则本项不得分。 注：同一人取得多个证书不重复计分；须提供人员证书复印件和近6个月任意一个月的投标人为其购买社保的证明文件复印件加盖公章；若投标人未能提供以上人员社保证明的，可在投标文件中提供相关承诺（承诺书原件须加盖供应商公章，格式自拟，承诺书内容包括但不限于以下内容：若我单位中标，合同签订时保证按投标文件中所配备投入本项目的人员全部到位并提供所有人员的社保证明或用工合同，否则视为我单位放弃中标资格），视为满足社保评审要求。</w:t>
            </w:r>
          </w:p>
        </w:tc>
      </w:tr>
      <w:tr>
        <w:tc>
          <w:tcPr>
            <w:tcW w:type="dxa" w:w="922"/>
            <w:gridSpan w:val="2"/>
            <w:vMerge/>
          </w:tcPr>
          <w:p/>
        </w:tc>
        <w:tc>
          <w:tcPr>
            <w:tcW w:type="dxa" w:w="2307"/>
          </w:tcPr>
          <w:p>
            <w:pPr>
              <w:pStyle w:val="null3"/>
              <w:jc w:val="left"/>
            </w:pPr>
            <w:r>
              <w:rPr/>
              <w:t>检验信息化服务能力方案 (7.0分)</w:t>
            </w:r>
          </w:p>
        </w:tc>
        <w:tc>
          <w:tcPr>
            <w:tcW w:type="dxa" w:w="5076"/>
          </w:tcPr>
          <w:p>
            <w:pPr>
              <w:pStyle w:val="null3"/>
              <w:jc w:val="left"/>
            </w:pPr>
            <w:r>
              <w:rPr/>
              <w:t>根据投标人提供的检验信息化服务能力方案（内容包括：1.投标人需提供标本检测所需信息系统等信息化工具及技术支持并具备自建检验信息系统开发、实施能力的相关方案。2.投标人需提供能够与医院HIS或LIS接入方案）进行评审： ①方案清晰、完善，可行性高，且高度符合项目需求的，得7分。 ②方案完善，可行性高，符合项目需求，得4分。 ③方案基本完整，具备一定可行性，基本符合项目需求，得1分。 ④方案差，不符合项目需求，得0分 ⑤不提供不得分。</w:t>
            </w:r>
          </w:p>
        </w:tc>
      </w:tr>
      <w:tr>
        <w:tc>
          <w:tcPr>
            <w:tcW w:type="dxa" w:w="922"/>
            <w:gridSpan w:val="2"/>
            <w:vMerge/>
          </w:tcPr>
          <w:p/>
        </w:tc>
        <w:tc>
          <w:tcPr>
            <w:tcW w:type="dxa" w:w="2307"/>
          </w:tcPr>
          <w:p>
            <w:pPr>
              <w:pStyle w:val="null3"/>
              <w:jc w:val="left"/>
            </w:pPr>
            <w:r>
              <w:rPr/>
              <w:t>信息系统和保密措施 (7.0分)</w:t>
            </w:r>
          </w:p>
        </w:tc>
        <w:tc>
          <w:tcPr>
            <w:tcW w:type="dxa" w:w="5076"/>
          </w:tcPr>
          <w:p>
            <w:pPr>
              <w:pStyle w:val="null3"/>
              <w:jc w:val="left"/>
            </w:pPr>
            <w:r>
              <w:rPr/>
              <w:t>投标人针对本项目提供信息系统和保密措施： 1.投标人提供的信息系统和保密措施的整体内容满足项目需求或优于项目需求的，得7分； 2.投标人提供的信息系统和保密措施的整体内容基本项目需求的，得4分； 3.信息系统和保密措施整体内容有部分内容满足项目的，得1分； 4.其他情况或不提供，得0分。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(4.0分)</w:t>
            </w:r>
          </w:p>
        </w:tc>
        <w:tc>
          <w:tcPr>
            <w:tcW w:type="dxa" w:w="5076"/>
          </w:tcPr>
          <w:p>
            <w:pPr>
              <w:pStyle w:val="null3"/>
              <w:jc w:val="left"/>
            </w:pPr>
            <w:r>
              <w:rPr/>
              <w:t>投标人提供2022年1月1日至今承接过同类项目业绩，每提供一个得0.5分,最高得4分。 注：提供合同关键页（含签订合同双方的单位名称、合同项目名称、含签订合同双方的落款盖章、签订日期的关键页）复印件并加盖投标人公章，不提供不得分。</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投标人提供符合上述要求的2022年1月1日至今承接过同类项目业绩用户评价，每提供一项评价结果为“优”或“满意”或同等级别的评价证明材料，得0.5分,最高得4分。 注：1.提供对应项目的服务评价证明材料复印件或扫描件（证明文件应有客户单位公章，客户单位名称与合同一致）。2.针对一份有效合同，投标人提供一份或多份好评的，只按一份好评计算。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综合实力 (3.0分)</w:t>
            </w:r>
          </w:p>
        </w:tc>
        <w:tc>
          <w:tcPr>
            <w:tcW w:type="dxa" w:w="5076"/>
          </w:tcPr>
          <w:p>
            <w:pPr>
              <w:pStyle w:val="null3"/>
              <w:jc w:val="left"/>
            </w:pPr>
            <w:r>
              <w:rPr/>
              <w:t>根据投标人取得的证书或资质等情况进行评分。 ①具有质量管理体系认证证书得1分； ②具有环境管理体系认证证书得1分； ③具有职业健康安全管理体系认证证书得1分。 注：1）提供有效期内的认证证书复印件或在国家认监委网站（网址：http://www.cnca.gov.cn/）对证书的信息查询截图作为评审依据（以以上网站信息公布查询为准），已失效或撤销的不得分，公开信息中无法查询或与公开信息不一致的（如暂停的），供应商必须提供发证机构出具的证明函，否则不得分。2）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服务时效 (3.0分)</w:t>
            </w:r>
          </w:p>
        </w:tc>
        <w:tc>
          <w:tcPr>
            <w:tcW w:type="dxa" w:w="5076"/>
          </w:tcPr>
          <w:p>
            <w:pPr>
              <w:pStyle w:val="null3"/>
              <w:jc w:val="left"/>
            </w:pPr>
            <w:r>
              <w:rPr/>
              <w:t>根据投标人承诺在接到采购人通知后响应并到现场时间进行评分： 1.投标人承诺在接到采购人通知后0.5小时（含）内响应并到现场的，得3分； 2.投标人承诺在接到采购人通知后0.5（不含）-1小时（含）内响应并到现场的，得2分； 3.投标人承诺在接到采购人通知后1小时（不含）以上响应并到现场的，得1分。 注：投标人需提供单独承诺函，格式自拟，并加盖投标人公章，不提供不得分。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根据各投标人提供的售后服务方案进行评审： 1.售后服务方案详细、科学、合理，可操作性高的，得5分； 2.售后服务方案较详细、科学、合理，可操作性较高的，得3分； 3.售后服务方案一般，可操作性不太高的，得1分； 4.未提供售后服务方案的不得分。</w:t>
            </w:r>
          </w:p>
        </w:tc>
      </w:tr>
      <w:tr>
        <w:tc>
          <w:tcPr>
            <w:tcW w:type="dxa" w:w="922"/>
            <w:gridSpan w:val="2"/>
            <w:vMerge/>
          </w:tcPr>
          <w:p/>
        </w:tc>
        <w:tc>
          <w:tcPr>
            <w:tcW w:type="dxa" w:w="2307"/>
          </w:tcPr>
          <w:p>
            <w:pPr>
              <w:pStyle w:val="null3"/>
              <w:jc w:val="left"/>
            </w:pPr>
            <w:r>
              <w:rPr/>
              <w:t>其它服务方案 (6.0分)</w:t>
            </w:r>
          </w:p>
        </w:tc>
        <w:tc>
          <w:tcPr>
            <w:tcW w:type="dxa" w:w="5076"/>
          </w:tcPr>
          <w:p>
            <w:pPr>
              <w:pStyle w:val="null3"/>
              <w:jc w:val="left"/>
            </w:pPr>
            <w:r>
              <w:rPr/>
              <w:t>根据各投标人提供的其它服务方案（如：协助采购人实验室进行流程优化、质量提升、技术能力提升、学科带动、学科能力提升，学术水平提升等）进行评审： 1.服务方案详细、科学、合理，可操作性高的，得6分； 2.服务方案较详细、科学、合理，可操作性较高的，得3分； 3.服务方案一般，可操作性低的，得1分； 4.未提供服务方案的不得分。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36"/>
          <w:b/>
        </w:rPr>
        <w:t>广东省政府采购</w:t>
      </w:r>
    </w:p>
    <w:p>
      <w:pPr>
        <w:pStyle w:val="null3"/>
        <w:jc w:val="center"/>
      </w:pPr>
      <w:r>
        <w:rPr/>
        <w:t xml:space="preserve"> </w:t>
      </w:r>
    </w:p>
    <w:p>
      <w:pPr>
        <w:pStyle w:val="null3"/>
        <w:jc w:val="center"/>
      </w:pPr>
      <w:r>
        <w:rPr/>
        <w:t xml:space="preserve"> </w:t>
      </w:r>
    </w:p>
    <w:p>
      <w:pPr>
        <w:pStyle w:val="null3"/>
        <w:jc w:val="center"/>
      </w:pPr>
      <w:r>
        <w:rPr>
          <w:sz w:val="36"/>
          <w:b/>
        </w:rPr>
        <w:t>合  同  书</w:t>
      </w:r>
    </w:p>
    <w:p>
      <w:pPr>
        <w:pStyle w:val="null3"/>
        <w:spacing w:before="75"/>
        <w:ind w:left="2745"/>
        <w:jc w:val="both"/>
      </w:pPr>
      <w:r>
        <w:rPr/>
        <w:t xml:space="preserve"> </w:t>
      </w:r>
    </w:p>
    <w:p>
      <w:pPr>
        <w:pStyle w:val="null3"/>
        <w:spacing w:before="75"/>
        <w:ind w:firstLine="928"/>
        <w:jc w:val="both"/>
      </w:pPr>
      <w:r>
        <w:rPr/>
        <w:t xml:space="preserve"> </w:t>
      </w:r>
    </w:p>
    <w:p>
      <w:pPr>
        <w:pStyle w:val="null3"/>
        <w:spacing w:before="75"/>
        <w:ind w:firstLine="928"/>
        <w:jc w:val="both"/>
      </w:pPr>
      <w:r>
        <w:rPr>
          <w:sz w:val="22"/>
        </w:rPr>
        <w:t>采购计划编号：</w:t>
      </w:r>
      <w:r>
        <w:rPr>
          <w:sz w:val="24"/>
          <w:u w:val="single"/>
        </w:rPr>
        <w:t xml:space="preserve">                            </w:t>
      </w:r>
    </w:p>
    <w:p>
      <w:pPr>
        <w:pStyle w:val="null3"/>
        <w:jc w:val="both"/>
      </w:pPr>
      <w:r>
        <w:rPr>
          <w:sz w:val="22"/>
        </w:rPr>
        <w:t>项目编号：</w:t>
      </w:r>
      <w:r>
        <w:rPr>
          <w:sz w:val="24"/>
          <w:u w:val="single"/>
        </w:rPr>
        <w:t xml:space="preserve">                                </w:t>
      </w:r>
    </w:p>
    <w:p>
      <w:pPr>
        <w:pStyle w:val="null3"/>
        <w:jc w:val="both"/>
      </w:pPr>
      <w:r>
        <w:rPr>
          <w:sz w:val="22"/>
        </w:rPr>
        <w:t>项目名称：</w:t>
      </w:r>
      <w:r>
        <w:rPr>
          <w:sz w:val="24"/>
          <w:u w:val="single"/>
        </w:rPr>
        <w:t xml:space="preserve">                               </w:t>
      </w:r>
    </w:p>
    <w:p>
      <w:pPr>
        <w:pStyle w:val="null3"/>
        <w:jc w:val="center"/>
      </w:pPr>
      <w:r>
        <w:rPr/>
        <w:t xml:space="preserve"> </w:t>
      </w:r>
    </w:p>
    <w:p>
      <w:pPr>
        <w:pStyle w:val="null3"/>
        <w:jc w:val="center"/>
      </w:pPr>
      <w:r>
        <w:rPr>
          <w:sz w:val="21"/>
          <w:b/>
        </w:rPr>
        <w:t>(本合同范本仅供参考，成交人与采购人可根据双方的具体要求进行修订，双方所签订的合同不得对招标文件确定的事项和成交人投标文件作实质性修改。）</w:t>
      </w:r>
    </w:p>
    <w:p>
      <w:pPr>
        <w:pStyle w:val="null3"/>
        <w:jc w:val="center"/>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t xml:space="preserve"> </w:t>
      </w:r>
    </w:p>
    <w:p>
      <w:pPr>
        <w:pStyle w:val="null3"/>
        <w:ind w:firstLine="420"/>
        <w:jc w:val="both"/>
      </w:pPr>
      <w:r>
        <w:rPr>
          <w:sz w:val="21"/>
        </w:rPr>
        <w:t>委托方（甲方）： 广州市南沙区人民医院</w:t>
      </w:r>
    </w:p>
    <w:p>
      <w:pPr>
        <w:pStyle w:val="null3"/>
        <w:ind w:firstLine="420"/>
        <w:jc w:val="both"/>
      </w:pPr>
      <w:r>
        <w:rPr>
          <w:sz w:val="21"/>
        </w:rPr>
        <w:t>联系地址：广东省广州市南沙区大岗镇兴业路7号</w:t>
      </w:r>
    </w:p>
    <w:p>
      <w:pPr>
        <w:pStyle w:val="null3"/>
        <w:ind w:firstLine="420"/>
        <w:jc w:val="both"/>
      </w:pPr>
      <w:r>
        <w:rPr>
          <w:sz w:val="21"/>
        </w:rPr>
        <w:t xml:space="preserve">联系人：       联系电话：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sz w:val="21"/>
        </w:rPr>
        <w:t>受托方（乙方）：        联系地址:</w:t>
      </w:r>
    </w:p>
    <w:p>
      <w:pPr>
        <w:pStyle w:val="null3"/>
        <w:ind w:firstLine="420"/>
        <w:jc w:val="both"/>
      </w:pPr>
      <w:r>
        <w:rPr>
          <w:sz w:val="21"/>
        </w:rPr>
        <w:t xml:space="preserve">联系人：             联系电话：       </w:t>
      </w:r>
    </w:p>
    <w:p>
      <w:pPr>
        <w:pStyle w:val="null3"/>
        <w:ind w:firstLine="420"/>
        <w:jc w:val="both"/>
      </w:pPr>
      <w:r>
        <w:rPr>
          <w:sz w:val="21"/>
        </w:rPr>
        <w:t xml:space="preserve">邮箱地址：                </w:t>
      </w:r>
    </w:p>
    <w:p>
      <w:pPr>
        <w:pStyle w:val="null3"/>
        <w:ind w:firstLine="420"/>
        <w:jc w:val="both"/>
      </w:pPr>
      <w:r>
        <w:rPr>
          <w:sz w:val="21"/>
        </w:rPr>
        <w:t>甲乙双方经友好协商就标本检验业务事宜达成一致，特签订本协议，以兹共同遵守。</w:t>
      </w:r>
    </w:p>
    <w:p>
      <w:pPr>
        <w:pStyle w:val="null3"/>
        <w:ind w:firstLine="422"/>
        <w:jc w:val="both"/>
      </w:pPr>
      <w:r>
        <w:rPr>
          <w:sz w:val="21"/>
          <w:b/>
        </w:rPr>
        <w:t>一、委托方式</w:t>
      </w:r>
    </w:p>
    <w:p>
      <w:pPr>
        <w:pStyle w:val="null3"/>
        <w:ind w:firstLine="420"/>
        <w:jc w:val="both"/>
      </w:pPr>
      <w:r>
        <w:rPr>
          <w:sz w:val="21"/>
        </w:rPr>
        <w:t>甲方将检验标本委托给乙方进行检验；乙方为甲方提供检验报告，并收取甲方检验服务费。</w:t>
      </w:r>
    </w:p>
    <w:p>
      <w:pPr>
        <w:pStyle w:val="null3"/>
        <w:ind w:firstLine="422"/>
        <w:jc w:val="both"/>
      </w:pPr>
      <w:r>
        <w:rPr>
          <w:sz w:val="21"/>
          <w:b/>
        </w:rPr>
        <w:t>二、委托期限</w:t>
      </w:r>
    </w:p>
    <w:p>
      <w:pPr>
        <w:pStyle w:val="null3"/>
        <w:ind w:firstLine="420"/>
        <w:jc w:val="both"/>
      </w:pPr>
      <w:r>
        <w:rPr>
          <w:sz w:val="21"/>
        </w:rPr>
        <w:t>委托期限为2年，自 2025年 月 日至 2027年  月  日。</w:t>
      </w:r>
    </w:p>
    <w:p>
      <w:pPr>
        <w:pStyle w:val="null3"/>
        <w:ind w:firstLine="422"/>
        <w:jc w:val="both"/>
      </w:pPr>
      <w:r>
        <w:rPr>
          <w:sz w:val="21"/>
          <w:b/>
        </w:rPr>
        <w:t>三、委托范围</w:t>
      </w:r>
    </w:p>
    <w:p>
      <w:pPr>
        <w:pStyle w:val="null3"/>
        <w:ind w:firstLine="420"/>
        <w:jc w:val="both"/>
      </w:pPr>
      <w:r>
        <w:rPr>
          <w:sz w:val="21"/>
        </w:rPr>
        <w:t>《检验病理项目清单》内的项目。</w:t>
      </w:r>
    </w:p>
    <w:p>
      <w:pPr>
        <w:pStyle w:val="null3"/>
        <w:ind w:firstLine="422"/>
        <w:jc w:val="both"/>
      </w:pPr>
      <w:r>
        <w:rPr>
          <w:sz w:val="21"/>
          <w:b/>
        </w:rPr>
        <w:t>四、双方的权利与义务</w:t>
      </w:r>
    </w:p>
    <w:p>
      <w:pPr>
        <w:pStyle w:val="null3"/>
        <w:ind w:firstLine="422"/>
        <w:jc w:val="both"/>
      </w:pPr>
      <w:r>
        <w:rPr>
          <w:sz w:val="21"/>
          <w:b/>
        </w:rPr>
        <w:t>（一）甲方的权利义务</w:t>
      </w:r>
      <w:r>
        <w:rPr>
          <w:sz w:val="21"/>
        </w:rPr>
        <w:t xml:space="preserve"> </w:t>
      </w:r>
    </w:p>
    <w:p>
      <w:pPr>
        <w:pStyle w:val="null3"/>
        <w:ind w:firstLine="420"/>
        <w:jc w:val="both"/>
      </w:pPr>
      <w:r>
        <w:rPr>
          <w:sz w:val="21"/>
        </w:rPr>
        <w:t>1、甲方负责组织医生开检验单，组织护士采血，收集检验标本，对标本来源的合法性、准确性和完整性负责，确保样本信息与检验申请单的信息相符。甲方未履行上述职责导致乙方出具的检验报告错误或检验报告与患者不符的责任由甲方承担。</w:t>
      </w:r>
    </w:p>
    <w:p>
      <w:pPr>
        <w:pStyle w:val="null3"/>
        <w:ind w:firstLine="420"/>
        <w:jc w:val="both"/>
      </w:pPr>
      <w:r>
        <w:rPr>
          <w:sz w:val="21"/>
        </w:rPr>
        <w:t>2、甲方负责组织医务人员按照乙方提供的《诊断项目总汇》和《样本采集手册》（以乙方提供的最新版本为准）中的要求和规定同乙方进行检验委托服务。</w:t>
      </w:r>
    </w:p>
    <w:p>
      <w:pPr>
        <w:pStyle w:val="null3"/>
        <w:ind w:firstLine="420"/>
        <w:jc w:val="both"/>
      </w:pPr>
      <w:r>
        <w:rPr>
          <w:sz w:val="21"/>
        </w:rPr>
        <w:t>3、甲方负责向病人收费。</w:t>
      </w:r>
    </w:p>
    <w:p>
      <w:pPr>
        <w:pStyle w:val="null3"/>
        <w:ind w:firstLine="420"/>
        <w:jc w:val="both"/>
      </w:pPr>
      <w:r>
        <w:rPr>
          <w:sz w:val="21"/>
        </w:rPr>
        <w:t>4、甲方同意将委托范围内的检验项目交给乙方检验，并按乙方所提供《诊断项目总汇》和《样本采集手册》（均以乙方提供的最新版本为准）内容所列的方法和方式正确填写申请单信息、标本采集、处理和保存送检样本，并应尽到告知其委托方（如患者）相关检验项目的风险义务。</w:t>
      </w:r>
    </w:p>
    <w:p>
      <w:pPr>
        <w:pStyle w:val="null3"/>
        <w:ind w:firstLine="420"/>
        <w:jc w:val="both"/>
      </w:pPr>
      <w:r>
        <w:rPr>
          <w:sz w:val="21"/>
        </w:rPr>
        <w:t>5、甲方工作人员有责任与乙方工作人员在以下环节进行签字确认：标本交接、申请单交接、知情同意书交接、耗材交接、特殊物品回执交接、其他物品交接、纸质报告单交接、结算票据、发票签收回执的交接。</w:t>
      </w:r>
    </w:p>
    <w:p>
      <w:pPr>
        <w:pStyle w:val="null3"/>
        <w:ind w:firstLine="420"/>
        <w:jc w:val="both"/>
      </w:pPr>
      <w:r>
        <w:rPr>
          <w:sz w:val="21"/>
        </w:rPr>
        <w:t>6、甲方对在本协议有效期内从乙方知悉的关于乙方的经营信息、检验技术信息等一切非公开的保密信息负有保密义务。未经乙方书面同意，甲方不得将上述信息泄露给任何第三方。</w:t>
      </w:r>
    </w:p>
    <w:p>
      <w:pPr>
        <w:pStyle w:val="null3"/>
        <w:ind w:firstLine="420"/>
        <w:jc w:val="both"/>
      </w:pPr>
      <w:r>
        <w:rPr>
          <w:sz w:val="21"/>
        </w:rPr>
        <w:t>7、在甲方向乙方交付检验申请单后乙方出具检验报告之前，甲方口头向乙方申请变更检验内容（如增加检验项目或变更检验项目）的，甲方应在口头申请后 3 日内以书面形式向乙方补充提供变更后的检验申请单原件、传真件或扫描件，乙方按照变更后的检验项目进行检验及收取检验服务费；乙方出具检验报告单的时限从乙方收到甲方的口头变更检验项目申请之日起重新计算，甲方未在上述约定时间内通过书面形式补充提供变更后的检验申请单的，乙方出具检验报告单时限可以顺延。</w:t>
      </w:r>
    </w:p>
    <w:p>
      <w:pPr>
        <w:pStyle w:val="null3"/>
        <w:ind w:firstLine="420"/>
        <w:jc w:val="both"/>
      </w:pPr>
      <w:r>
        <w:rPr>
          <w:sz w:val="21"/>
        </w:rPr>
        <w:t>8、甲方委托乙方对大量（200例以上）体检项目标本和科研项目标本进行检验的，需提前5天书面通知乙方，以便乙方提前做好检验准备,否则，乙方出具报告的时间将延长。</w:t>
      </w:r>
    </w:p>
    <w:p>
      <w:pPr>
        <w:pStyle w:val="null3"/>
        <w:ind w:firstLine="420"/>
        <w:jc w:val="both"/>
      </w:pPr>
      <w:r>
        <w:rPr>
          <w:sz w:val="21"/>
        </w:rPr>
        <w:t>9、甲方应配合支持乙方系统与甲方信息系统对接，涉及的具体内容如有必要双方再另行签署相关协议，甲方保证其使用的系统未侵犯任何第三方的合法权益并承担相应的责任。</w:t>
      </w:r>
    </w:p>
    <w:p>
      <w:pPr>
        <w:pStyle w:val="null3"/>
        <w:ind w:firstLine="420"/>
        <w:jc w:val="both"/>
      </w:pPr>
      <w:r>
        <w:rPr>
          <w:sz w:val="21"/>
        </w:rPr>
        <w:t>10、乙方定期或不定期以（包括不限于）电子邮件或快递等任一形式发送对账单到甲方指定地址及联系人（甲方联系人：罗主任  邮箱：/ ，电话：15813385631），甲方应在5日内以相同形式回复；未回复者，视为甲方确认对账单的内容。</w:t>
      </w:r>
    </w:p>
    <w:p>
      <w:pPr>
        <w:pStyle w:val="null3"/>
        <w:ind w:firstLine="420"/>
        <w:jc w:val="both"/>
      </w:pPr>
      <w:r>
        <w:rPr>
          <w:sz w:val="21"/>
        </w:rPr>
        <w:t>11、若特殊检验项目涉及需要受检者知情同意的，原则上应使用乙方的知情同意书模版。若甲方要求使用非乙方知情同意书模版的，甲方承诺其已使用符合医学伦理要求的知情同意书向受检者进行知情同意，否则由甲方承担过错责任。</w:t>
      </w:r>
    </w:p>
    <w:p>
      <w:pPr>
        <w:pStyle w:val="null3"/>
        <w:ind w:firstLine="420"/>
        <w:jc w:val="both"/>
      </w:pPr>
      <w:r>
        <w:rPr>
          <w:sz w:val="21"/>
        </w:rPr>
        <w:t>12、 乙方与甲方在签订合同时，协商制定考核办法，确定服务规划、量化指标、考核及扣罚标准，由甲方每季度对乙方的服务内容及服务质量进行考核并根据考核结果扣罚乙方的服务费，上述具体考核办法另行确定。</w:t>
      </w:r>
    </w:p>
    <w:p>
      <w:pPr>
        <w:pStyle w:val="null3"/>
        <w:ind w:firstLine="422"/>
        <w:jc w:val="both"/>
      </w:pPr>
      <w:r>
        <w:rPr>
          <w:sz w:val="21"/>
          <w:b/>
        </w:rPr>
        <w:t>（二）乙方的权利义务</w:t>
      </w:r>
    </w:p>
    <w:p>
      <w:pPr>
        <w:pStyle w:val="null3"/>
        <w:ind w:firstLine="420"/>
        <w:jc w:val="both"/>
      </w:pPr>
      <w:r>
        <w:rPr>
          <w:sz w:val="21"/>
        </w:rPr>
        <w:t>1、乙方每周7次到甲方处收取标本。上门服务时间为 周一至周日09:30-17:00 。</w:t>
      </w:r>
    </w:p>
    <w:p>
      <w:pPr>
        <w:pStyle w:val="null3"/>
        <w:ind w:firstLine="420"/>
        <w:jc w:val="both"/>
      </w:pPr>
      <w:r>
        <w:rPr>
          <w:sz w:val="21"/>
        </w:rPr>
        <w:t>2、甲方按乙方《诊断项目总汇》《采样手册》（包括其修改版，作为附件并视为本协议不可分割的一个部分）上所述各项目的要求，包括样品的状态、数量及检验方法的说明，进行采集样本，并应将病人的常规个人资料、临床诊断、医生和院方必要信息、特殊要求在申请单上填明。甲方如果不按乙方要求取样的，乙方可以拒收及要求甲方重新采样。</w:t>
      </w:r>
    </w:p>
    <w:p>
      <w:pPr>
        <w:pStyle w:val="null3"/>
        <w:ind w:firstLine="420"/>
        <w:jc w:val="both"/>
      </w:pPr>
      <w:r>
        <w:rPr>
          <w:sz w:val="21"/>
        </w:rPr>
        <w:t>3、乙方应在收到甲方的检验样本后，应按常规检验出报告时间向甲方出具检验报告。乙方保证按国家检验规范进行操作，并对标本的检验报告承担相应的责任。非因乙方原因导致检验报告错误的，乙方不承担责任</w:t>
      </w:r>
      <w:r>
        <w:rPr>
          <w:sz w:val="21"/>
        </w:rPr>
        <w:t>；乙方应对其检验操作的规范性、检测设备的稳定性及检验报告的准确性负责。因乙方操作失误、设备故障或未按规范流程操作导致的检验报告错误，由乙方承担全部责任</w:t>
      </w:r>
      <w:r>
        <w:rPr>
          <w:sz w:val="21"/>
        </w:rPr>
        <w:t>。</w:t>
      </w:r>
    </w:p>
    <w:p>
      <w:pPr>
        <w:pStyle w:val="null3"/>
        <w:ind w:firstLine="420"/>
        <w:jc w:val="both"/>
      </w:pPr>
      <w:r>
        <w:rPr>
          <w:sz w:val="21"/>
        </w:rPr>
        <w:t>4、乙方可将部分项目委托</w:t>
      </w:r>
      <w:r>
        <w:rPr>
          <w:sz w:val="21"/>
        </w:rPr>
        <w:t>符合资质的</w:t>
      </w:r>
      <w:r>
        <w:rPr>
          <w:sz w:val="21"/>
        </w:rPr>
        <w:t>第三方</w:t>
      </w:r>
      <w:r>
        <w:rPr>
          <w:sz w:val="21"/>
        </w:rPr>
        <w:t>机构</w:t>
      </w:r>
      <w:r>
        <w:rPr>
          <w:sz w:val="21"/>
        </w:rPr>
        <w:t>进行检测，</w:t>
      </w:r>
      <w:r>
        <w:rPr>
          <w:sz w:val="21"/>
        </w:rPr>
        <w:t>但需提前将第三方机构资质报甲方备案。</w:t>
      </w:r>
      <w:r>
        <w:rPr>
          <w:sz w:val="21"/>
        </w:rPr>
        <w:t>乙方就第三方出具的检测结果按本协议约定向甲方承担责任</w:t>
      </w:r>
      <w:r>
        <w:rPr>
          <w:sz w:val="21"/>
        </w:rPr>
        <w:t>，因第三方机构原因造成的任何检测质量或数据泄露问题，均由乙方先行向甲方承担全部赔偿责任</w:t>
      </w:r>
      <w:r>
        <w:rPr>
          <w:sz w:val="21"/>
        </w:rPr>
        <w:t>。</w:t>
      </w:r>
    </w:p>
    <w:p>
      <w:pPr>
        <w:pStyle w:val="null3"/>
        <w:ind w:firstLine="420"/>
        <w:jc w:val="both"/>
      </w:pPr>
      <w:r>
        <w:rPr>
          <w:sz w:val="21"/>
        </w:rPr>
        <w:t>5、乙方有为甲方保密的义务，在未经甲方同意或授权前提下，乙方不得向甲方及其工作人员以外的任何单位或个人泄露甲方委托检验的项目、检验的内容、检验的结果，但受检者及其授权代理人查询、咨询其检验项目事宜的除外。</w:t>
      </w:r>
    </w:p>
    <w:p>
      <w:pPr>
        <w:pStyle w:val="null3"/>
        <w:ind w:firstLine="420"/>
        <w:jc w:val="both"/>
      </w:pPr>
      <w:r>
        <w:rPr>
          <w:sz w:val="21"/>
        </w:rPr>
        <w:t>6、乙方如需召回检验报告的，可通过电话、邮寄、传真、电子邮件、当面告知等任一方式通知甲方召回检验报告，并通过上述形式提供新的检验报告。甲方应在收到最新检验报告单后及时变更检验报告内容，并告知受检者，否则应承担相应的责任。</w:t>
      </w:r>
    </w:p>
    <w:p>
      <w:pPr>
        <w:pStyle w:val="null3"/>
        <w:ind w:firstLine="420"/>
        <w:jc w:val="both"/>
      </w:pPr>
      <w:r>
        <w:rPr>
          <w:sz w:val="21"/>
        </w:rPr>
        <w:t>7、甲乙双方应按危急值报告制度共同管理，出现危急值时，乙方应以电话、短信、邮箱等任一形式发送至甲方指定的联系方式（甲方联系电话：15813385631 邮箱：/ ）</w:t>
      </w:r>
      <w:r>
        <w:rPr>
          <w:sz w:val="21"/>
        </w:rPr>
        <w:t>，若甲方在乙方发出通知后</w:t>
      </w:r>
      <w:r>
        <w:rPr>
          <w:sz w:val="21"/>
        </w:rPr>
        <w:t>X小时内未确认的，乙方有义务再次通知，</w:t>
      </w:r>
      <w:r>
        <w:rPr>
          <w:sz w:val="21"/>
        </w:rPr>
        <w:t>即完成通知义务，甲方应按流程规定立即通知临床科室及相关医师。甲方联系方式发生变更的，应当提前 3 天书面告知乙方，乙方接到书面变更通知后，按变更后的方式执行。</w:t>
      </w:r>
    </w:p>
    <w:p>
      <w:pPr>
        <w:pStyle w:val="null3"/>
        <w:ind w:firstLine="420"/>
        <w:jc w:val="both"/>
      </w:pPr>
      <w:r>
        <w:rPr>
          <w:sz w:val="21"/>
        </w:rPr>
        <w:t>8、剩余标本（如有）由乙方依据相关法律法规及规定保存、处置，甲方如对检测结果有异议的，应在标本保存期限内提出,否则，视为甲方对乙方出具的检测结果无异议。</w:t>
      </w:r>
    </w:p>
    <w:p>
      <w:pPr>
        <w:pStyle w:val="null3"/>
        <w:ind w:firstLine="420"/>
        <w:jc w:val="both"/>
      </w:pPr>
      <w:r>
        <w:rPr>
          <w:sz w:val="21"/>
        </w:rPr>
        <w:t>9、未经甲方同意，乙方明显超出常规时间出具检验报告的，乙方需要发迟发通知</w:t>
      </w:r>
      <w:r>
        <w:rPr>
          <w:sz w:val="21"/>
        </w:rPr>
        <w:t>并说明理由</w:t>
      </w:r>
      <w:r>
        <w:rPr>
          <w:sz w:val="21"/>
        </w:rPr>
        <w:t>。</w:t>
      </w:r>
    </w:p>
    <w:p>
      <w:pPr>
        <w:pStyle w:val="null3"/>
        <w:ind w:firstLine="420"/>
        <w:jc w:val="both"/>
      </w:pPr>
      <w:r>
        <w:rPr>
          <w:sz w:val="21"/>
        </w:rPr>
        <w:t>10、若乙方提供的服务未达到协议约定标准（如报告严重延迟、错误率高），甲方有权暂停支付相应款项直至问题解决。</w:t>
      </w:r>
    </w:p>
    <w:p>
      <w:pPr>
        <w:pStyle w:val="null3"/>
        <w:ind w:firstLine="420"/>
        <w:jc w:val="both"/>
      </w:pPr>
      <w:r>
        <w:rPr>
          <w:sz w:val="21"/>
        </w:rPr>
        <w:t>11、乙方未按约定时间出具检验报告的，每延迟一天，应按该批次检验费用总额的万分之五向甲方支付违约金。因乙方报告错误导致甲方承担赔偿责任的，乙方除需赔偿甲方全部损失外，还应向甲方支付相当于该次检验费用双倍的违约金。</w:t>
      </w:r>
    </w:p>
    <w:p>
      <w:pPr>
        <w:pStyle w:val="null3"/>
        <w:ind w:firstLine="422"/>
        <w:jc w:val="both"/>
      </w:pPr>
      <w:r>
        <w:rPr>
          <w:sz w:val="21"/>
          <w:b/>
        </w:rPr>
        <w:t>五、检验费用</w:t>
      </w:r>
    </w:p>
    <w:p>
      <w:pPr>
        <w:pStyle w:val="null3"/>
        <w:ind w:firstLine="420"/>
        <w:jc w:val="both"/>
      </w:pPr>
      <w:r>
        <w:rPr>
          <w:sz w:val="21"/>
        </w:rPr>
        <w:t>1、甲方负责向病人收取病人检验费，而乙方按照 《广州地区公立医院基本医疗服务项目价格汇总表》（2025年版）二级公立医院收费标准根据本条第2款的收费比例向甲方收取委托检验服务费：</w:t>
      </w:r>
    </w:p>
    <w:p>
      <w:pPr>
        <w:pStyle w:val="null3"/>
        <w:ind w:firstLine="420"/>
        <w:jc w:val="both"/>
      </w:pPr>
      <w:r>
        <w:rPr>
          <w:sz w:val="21"/>
        </w:rPr>
        <w:t>2、各类检验项目的收费比例为：</w:t>
      </w:r>
    </w:p>
    <w:p>
      <w:pPr>
        <w:pStyle w:val="null3"/>
        <w:ind w:firstLine="420"/>
        <w:jc w:val="both"/>
      </w:pPr>
      <w:r>
        <w:rPr>
          <w:sz w:val="21"/>
        </w:rPr>
        <w:t>常规项目，收费比例为：   %；</w:t>
      </w:r>
    </w:p>
    <w:p>
      <w:pPr>
        <w:pStyle w:val="null3"/>
        <w:ind w:firstLine="422"/>
        <w:jc w:val="both"/>
      </w:pPr>
      <w:r>
        <w:rPr>
          <w:sz w:val="21"/>
          <w:b/>
        </w:rPr>
        <w:t>六、付款方式</w:t>
      </w:r>
    </w:p>
    <w:p>
      <w:pPr>
        <w:pStyle w:val="null3"/>
        <w:ind w:firstLine="420"/>
        <w:jc w:val="both"/>
      </w:pPr>
      <w:r>
        <w:rPr>
          <w:sz w:val="21"/>
        </w:rPr>
        <w:t>1、结算周期：检验费用原则上每季度结算一次，在每个季度的15日之前结算上一个季度的费用。</w:t>
      </w:r>
    </w:p>
    <w:p>
      <w:pPr>
        <w:pStyle w:val="null3"/>
        <w:ind w:firstLine="420"/>
        <w:jc w:val="both"/>
      </w:pPr>
      <w:r>
        <w:rPr>
          <w:sz w:val="21"/>
        </w:rPr>
        <w:t>2、乙方根据甲方开具的检验申请单，按本协议约定统计检验费用总额后，按照甲方名称作为开票抬头开具相应金额的发票，甲方在开票日期后30日内将检验费用支付至乙方指定的银行账户。</w:t>
      </w:r>
    </w:p>
    <w:p>
      <w:pPr>
        <w:pStyle w:val="null3"/>
        <w:ind w:firstLine="420"/>
        <w:jc w:val="both"/>
      </w:pPr>
      <w:r>
        <w:rPr>
          <w:sz w:val="21"/>
        </w:rPr>
        <w:t>3、双方银行账户信息如下：</w:t>
      </w:r>
    </w:p>
    <w:p>
      <w:pPr>
        <w:pStyle w:val="null3"/>
        <w:ind w:firstLine="420"/>
        <w:jc w:val="both"/>
      </w:pPr>
      <w:r>
        <w:rPr>
          <w:sz w:val="21"/>
        </w:rPr>
        <w:t>甲方：                      乙方：</w:t>
      </w:r>
    </w:p>
    <w:p>
      <w:pPr>
        <w:pStyle w:val="null3"/>
        <w:ind w:firstLine="420"/>
        <w:jc w:val="both"/>
      </w:pPr>
      <w:r>
        <w:rPr>
          <w:sz w:val="21"/>
        </w:rPr>
        <w:t>户名：                      户名：</w:t>
      </w:r>
    </w:p>
    <w:p>
      <w:pPr>
        <w:pStyle w:val="null3"/>
        <w:ind w:firstLine="420"/>
        <w:jc w:val="both"/>
      </w:pPr>
      <w:r>
        <w:rPr>
          <w:sz w:val="21"/>
        </w:rPr>
        <w:t>开户行：                    开户行：</w:t>
      </w:r>
    </w:p>
    <w:p>
      <w:pPr>
        <w:pStyle w:val="null3"/>
        <w:ind w:firstLine="420"/>
        <w:jc w:val="both"/>
      </w:pPr>
      <w:r>
        <w:rPr>
          <w:sz w:val="21"/>
        </w:rPr>
        <w:t>账号：                      账号：</w:t>
      </w:r>
    </w:p>
    <w:p>
      <w:pPr>
        <w:pStyle w:val="null3"/>
        <w:ind w:firstLine="420"/>
        <w:jc w:val="both"/>
      </w:pPr>
      <w:r>
        <w:rPr>
          <w:sz w:val="21"/>
        </w:rPr>
        <w:t>4、检验费用支付时间以账款到达乙方账户时间为准。甲方未按规定期限内将检验费用汇入乙方指定账户的，乙方有权中止标本检验服务，因乙方中止服务产生的损失由甲方承担。</w:t>
      </w:r>
    </w:p>
    <w:p>
      <w:pPr>
        <w:pStyle w:val="null3"/>
        <w:ind w:firstLine="420"/>
        <w:jc w:val="both"/>
      </w:pPr>
      <w:r>
        <w:rPr>
          <w:sz w:val="21"/>
        </w:rPr>
        <w:t>5、双方业务往来以对公账号为准，如有变更或委托第三方支付、收款的，应向另一方出具《授权委托书》或《变更情况说明书》。甲方不得与乙方工作人员以现金、转账等任何方式，将检验费用支付到非乙方账户，否则，甲方承担不利后果，乙方仍有权要求甲方支付。</w:t>
      </w:r>
    </w:p>
    <w:p>
      <w:pPr>
        <w:pStyle w:val="null3"/>
        <w:ind w:firstLine="420"/>
        <w:jc w:val="both"/>
      </w:pPr>
      <w:r>
        <w:rPr>
          <w:sz w:val="21"/>
        </w:rPr>
        <w:t>6、甲乙双方合作期间应当积极对账，甲乙双方有权周期性或特殊事项下委托第三方审计机构对检验服务项目进行审计，各方应予配合。</w:t>
      </w:r>
    </w:p>
    <w:p>
      <w:pPr>
        <w:pStyle w:val="null3"/>
        <w:ind w:firstLine="422"/>
        <w:jc w:val="both"/>
      </w:pPr>
      <w:r>
        <w:rPr>
          <w:sz w:val="21"/>
          <w:b/>
        </w:rPr>
        <w:t>七、协议的终止</w:t>
      </w:r>
    </w:p>
    <w:p>
      <w:pPr>
        <w:pStyle w:val="null3"/>
        <w:ind w:firstLine="420"/>
        <w:jc w:val="both"/>
      </w:pPr>
      <w:r>
        <w:rPr>
          <w:sz w:val="21"/>
        </w:rPr>
        <w:t>存在以下情形的，乙方有权终止本协议：</w:t>
      </w:r>
    </w:p>
    <w:p>
      <w:pPr>
        <w:pStyle w:val="null3"/>
        <w:ind w:firstLine="420"/>
        <w:jc w:val="both"/>
      </w:pPr>
      <w:r>
        <w:rPr>
          <w:sz w:val="21"/>
        </w:rPr>
        <w:t>1、甲方不按乙方的规定提供检验样本，经双方多次协商后仍不予改正；</w:t>
      </w:r>
    </w:p>
    <w:p>
      <w:pPr>
        <w:pStyle w:val="null3"/>
        <w:ind w:firstLine="420"/>
        <w:jc w:val="both"/>
      </w:pPr>
      <w:r>
        <w:rPr>
          <w:sz w:val="21"/>
        </w:rPr>
        <w:t>2、乙方因国家政策或其他原因不能提供相应的服务</w:t>
      </w:r>
      <w:r>
        <w:rPr>
          <w:sz w:val="21"/>
        </w:rPr>
        <w:t>，乙方提供检验报告无合理理由延迟超过</w:t>
      </w:r>
      <w:r>
        <w:rPr>
          <w:sz w:val="21"/>
        </w:rPr>
        <w:t>2次/月，检验错误超过2次/月</w:t>
      </w:r>
      <w:r>
        <w:rPr>
          <w:sz w:val="21"/>
        </w:rPr>
        <w:t>。</w:t>
      </w:r>
    </w:p>
    <w:p>
      <w:pPr>
        <w:pStyle w:val="null3"/>
        <w:ind w:firstLine="420"/>
        <w:jc w:val="both"/>
      </w:pPr>
      <w:r>
        <w:rPr>
          <w:sz w:val="21"/>
        </w:rPr>
        <w:t>3、甲方迟延支付检验费用达 90 天的。</w:t>
      </w:r>
    </w:p>
    <w:p>
      <w:pPr>
        <w:pStyle w:val="null3"/>
        <w:ind w:firstLine="422"/>
        <w:jc w:val="both"/>
      </w:pPr>
      <w:r>
        <w:rPr>
          <w:sz w:val="21"/>
          <w:b/>
        </w:rPr>
        <w:t>八、廉洁条款</w:t>
      </w:r>
    </w:p>
    <w:p>
      <w:pPr>
        <w:pStyle w:val="null3"/>
        <w:ind w:firstLine="420"/>
        <w:jc w:val="both"/>
      </w:pPr>
      <w:r>
        <w:rPr>
          <w:sz w:val="21"/>
        </w:rPr>
        <w:t>1、甲乙双方通力合作共同禁止违反《反不正当竞争法》、《关于禁止商业贿赂行为的暂行规定》等相关法律法规规定的不正当竞争行为。</w:t>
      </w:r>
    </w:p>
    <w:p>
      <w:pPr>
        <w:pStyle w:val="null3"/>
        <w:ind w:firstLine="420"/>
        <w:jc w:val="both"/>
      </w:pPr>
      <w:r>
        <w:rPr>
          <w:sz w:val="21"/>
        </w:rPr>
        <w:t>2、甲乙双方工作人员不得以私自收费、私自送检等任何方式，实施损害双方或任一方权益的行为。</w:t>
      </w:r>
    </w:p>
    <w:p>
      <w:pPr>
        <w:pStyle w:val="null3"/>
        <w:ind w:firstLine="420"/>
        <w:jc w:val="both"/>
      </w:pPr>
      <w:r>
        <w:rPr>
          <w:sz w:val="21"/>
        </w:rPr>
        <w:t>3、任一方工作人员要求对方给予其任何形式的不正当利益，对方必须及时向工作人员所属方进行投诉，并提供相关证据。</w:t>
      </w:r>
    </w:p>
    <w:p>
      <w:pPr>
        <w:pStyle w:val="null3"/>
        <w:ind w:firstLine="420"/>
        <w:jc w:val="both"/>
      </w:pPr>
      <w:r>
        <w:rPr>
          <w:sz w:val="21"/>
        </w:rPr>
        <w:t>4、双方设定专线接受投诉，双方的工作人员在经济活动中行贿或受贿累计额较大，构成违法犯罪的，移交给国家相应的司法机关处理，双方应积极配合司法机关的处理。</w:t>
      </w:r>
    </w:p>
    <w:p>
      <w:pPr>
        <w:pStyle w:val="null3"/>
        <w:ind w:firstLine="420"/>
        <w:jc w:val="both"/>
      </w:pPr>
      <w:r>
        <w:rPr>
          <w:sz w:val="21"/>
          <w:b/>
        </w:rPr>
        <w:t>九、违约责任</w:t>
      </w:r>
    </w:p>
    <w:p>
      <w:pPr>
        <w:pStyle w:val="null3"/>
        <w:ind w:firstLine="420"/>
        <w:jc w:val="both"/>
      </w:pPr>
      <w:r>
        <w:rPr>
          <w:sz w:val="21"/>
        </w:rPr>
        <w:t>1、甲方未按照第六条约定的时间支付检验费用的，每迟延一天，应按应付未付费用的万分之五作为迟延支付违约金。</w:t>
      </w:r>
    </w:p>
    <w:p>
      <w:pPr>
        <w:pStyle w:val="null3"/>
        <w:ind w:firstLine="420"/>
        <w:jc w:val="both"/>
      </w:pPr>
      <w:r>
        <w:rPr>
          <w:sz w:val="21"/>
        </w:rPr>
        <w:t>2、任一方未按照本协议规定履行或履行不符合本协议规定的，即为违约，另一方有权要求违约方赔偿一切损失，包括但不限于经济损失及因维权支出的合理的诉讼费、律师费、保全费、担保费、鉴定费、差旅费、调查取证费等费用并解除本合同。</w:t>
      </w:r>
    </w:p>
    <w:p>
      <w:pPr>
        <w:pStyle w:val="null3"/>
        <w:ind w:firstLine="420"/>
        <w:jc w:val="both"/>
      </w:pPr>
      <w:r>
        <w:rPr>
          <w:sz w:val="21"/>
          <w:b/>
        </w:rPr>
        <w:t>十、纠纷的解决</w:t>
      </w:r>
    </w:p>
    <w:p>
      <w:pPr>
        <w:pStyle w:val="null3"/>
        <w:ind w:firstLine="420"/>
        <w:jc w:val="both"/>
      </w:pPr>
      <w:r>
        <w:rPr>
          <w:sz w:val="21"/>
        </w:rPr>
        <w:t>未尽事宜及在本协议履行过程中出现的争议，由双方友好协商解决。协商不能解决的，双方同意按以下第 2种方式解决：</w:t>
      </w:r>
    </w:p>
    <w:p>
      <w:pPr>
        <w:pStyle w:val="null3"/>
        <w:ind w:firstLine="420"/>
        <w:jc w:val="both"/>
      </w:pPr>
      <w:r>
        <w:rPr>
          <w:sz w:val="21"/>
        </w:rPr>
        <w:t>1、双方同意向_____仲裁委员会提起仲裁，依照该委员会规则进行仲裁。</w:t>
      </w:r>
    </w:p>
    <w:p>
      <w:pPr>
        <w:pStyle w:val="null3"/>
        <w:ind w:firstLine="420"/>
        <w:jc w:val="both"/>
      </w:pPr>
      <w:r>
        <w:rPr>
          <w:sz w:val="21"/>
        </w:rPr>
        <w:t>2、双方同意向甲方所在地人民法院提出诉讼解决。</w:t>
      </w:r>
    </w:p>
    <w:p>
      <w:pPr>
        <w:pStyle w:val="null3"/>
        <w:ind w:firstLine="422"/>
        <w:jc w:val="both"/>
      </w:pPr>
      <w:r>
        <w:rPr>
          <w:sz w:val="21"/>
          <w:b/>
        </w:rPr>
        <w:t>十一、协议的效力</w:t>
      </w:r>
    </w:p>
    <w:p>
      <w:pPr>
        <w:pStyle w:val="null3"/>
        <w:ind w:firstLine="420"/>
        <w:jc w:val="both"/>
      </w:pPr>
      <w:r>
        <w:rPr>
          <w:sz w:val="21"/>
        </w:rPr>
        <w:t>本协议一式贰份，甲乙双方各执壹份，自双方签字并加盖公章或合同专用章后生效。</w:t>
      </w:r>
    </w:p>
    <w:p>
      <w:pPr>
        <w:pStyle w:val="null3"/>
        <w:ind w:firstLine="422"/>
        <w:jc w:val="both"/>
      </w:pPr>
      <w:r>
        <w:rPr>
          <w:sz w:val="21"/>
          <w:b/>
        </w:rPr>
        <w:t>十二、其他</w:t>
      </w:r>
    </w:p>
    <w:p>
      <w:pPr>
        <w:pStyle w:val="null3"/>
        <w:ind w:firstLine="420"/>
        <w:jc w:val="both"/>
      </w:pPr>
      <w:r>
        <w:rPr>
          <w:sz w:val="21"/>
        </w:rPr>
        <w:t xml:space="preserve">1、本协议有效期内，任一方的名称及地址变更的，应及时书面通知另一方，否则，未履行通知义务一方承担不利后果。    </w:t>
      </w:r>
    </w:p>
    <w:p>
      <w:pPr>
        <w:pStyle w:val="null3"/>
        <w:ind w:firstLine="420"/>
        <w:jc w:val="both"/>
      </w:pPr>
      <w:r>
        <w:rPr>
          <w:sz w:val="21"/>
        </w:rPr>
        <w:t xml:space="preserve">2、甲乙双方均应提交各自的盖公章的医疗机构执业许可证、银行开户许可证、统一社会信用代码给对方存档。                            </w:t>
      </w:r>
    </w:p>
    <w:p>
      <w:pPr>
        <w:pStyle w:val="null3"/>
        <w:ind w:firstLine="420"/>
        <w:jc w:val="both"/>
      </w:pPr>
      <w:r>
        <w:rPr>
          <w:sz w:val="21"/>
        </w:rPr>
        <w:t>3、未经另一方书面同意，任何一方不得变更或修改本协议；双方协商达成一致的，应签订书面变更协议或补充协议。</w:t>
      </w:r>
    </w:p>
    <w:p>
      <w:pPr>
        <w:pStyle w:val="null3"/>
        <w:ind w:firstLine="420"/>
        <w:jc w:val="both"/>
      </w:pPr>
      <w:r>
        <w:rPr>
          <w:sz w:val="21"/>
        </w:rPr>
        <w:t>4、本合同所有附件均为合同的有效组成部分，与本合同具有同等法律效力，若附件内容与本协议正文冲突，以本协议正文为准。乙方如需更新《诊断项目总汇》或《采样手册》，应提前15日书面通知甲方，经甲方书面确认后方可生效。</w:t>
      </w:r>
      <w:r>
        <w:rPr>
          <w:sz w:val="21"/>
        </w:rPr>
        <w:t xml:space="preserve">  </w:t>
      </w:r>
    </w:p>
    <w:p>
      <w:pPr>
        <w:pStyle w:val="null3"/>
        <w:ind w:firstLine="420"/>
        <w:jc w:val="both"/>
      </w:pPr>
      <w:r>
        <w:rPr>
          <w:sz w:val="21"/>
        </w:rPr>
        <w:t>甲方：广州市南沙区人民医院        乙方：</w:t>
      </w:r>
    </w:p>
    <w:p>
      <w:pPr>
        <w:pStyle w:val="null3"/>
        <w:ind w:firstLine="420"/>
        <w:jc w:val="both"/>
      </w:pPr>
      <w:r>
        <w:rPr>
          <w:sz w:val="21"/>
        </w:rPr>
        <w:t xml:space="preserve">  授权代表人：                      授权代表人：</w:t>
      </w:r>
    </w:p>
    <w:p>
      <w:pPr>
        <w:pStyle w:val="null3"/>
        <w:ind w:firstLine="420"/>
        <w:jc w:val="both"/>
      </w:pPr>
      <w:r>
        <w:rPr>
          <w:sz w:val="21"/>
        </w:rPr>
        <w:t xml:space="preserve"> </w:t>
      </w:r>
    </w:p>
    <w:p>
      <w:pPr>
        <w:pStyle w:val="null3"/>
        <w:ind w:firstLine="420"/>
        <w:jc w:val="both"/>
      </w:pPr>
      <w:r>
        <w:rPr>
          <w:sz w:val="21"/>
        </w:rPr>
        <w:t xml:space="preserve">         年    月   日                      年    月   日</w:t>
      </w:r>
    </w:p>
    <w:p>
      <w:pPr>
        <w:pStyle w:val="null3"/>
        <w:ind w:firstLine="420"/>
        <w:jc w:val="both"/>
      </w:pPr>
      <w:r>
        <w:rPr>
          <w:sz w:val="21"/>
        </w:rPr>
        <w:t>附件：</w:t>
      </w:r>
    </w:p>
    <w:p>
      <w:pPr>
        <w:pStyle w:val="null3"/>
        <w:ind w:left="15" w:firstLine="401"/>
        <w:jc w:val="both"/>
      </w:pPr>
      <w:r>
        <w:rPr>
          <w:sz w:val="21"/>
        </w:rPr>
        <w:t>1、《诊断项目总汇》、《采样手册》（包括其后乙方提供的所有的修改版）；</w:t>
      </w:r>
    </w:p>
    <w:p>
      <w:pPr>
        <w:pStyle w:val="null3"/>
        <w:ind w:left="15" w:firstLine="401"/>
        <w:jc w:val="both"/>
      </w:pPr>
      <w:r>
        <w:rPr>
          <w:sz w:val="21"/>
        </w:rPr>
        <w:t>2、协议签订前，双方应向对方提供包括但不限于以下资料复印件一份（续签的则无需提供）：</w:t>
      </w:r>
    </w:p>
    <w:p>
      <w:pPr>
        <w:pStyle w:val="null3"/>
        <w:ind w:left="15" w:firstLine="401"/>
        <w:jc w:val="both"/>
      </w:pPr>
      <w:r>
        <w:rPr>
          <w:sz w:val="21"/>
        </w:rPr>
        <w:t>（1）营业执照（医疗机构为事业单位的，需提供事业单位法人证书）；</w:t>
      </w:r>
    </w:p>
    <w:p>
      <w:pPr>
        <w:pStyle w:val="null3"/>
        <w:ind w:left="15" w:firstLine="401"/>
        <w:jc w:val="both"/>
      </w:pPr>
      <w:r>
        <w:rPr>
          <w:sz w:val="21"/>
        </w:rPr>
        <w:t>（2）医疗机构执业许可证；</w:t>
      </w:r>
    </w:p>
    <w:p>
      <w:pPr>
        <w:pStyle w:val="null3"/>
        <w:ind w:left="15" w:firstLine="401"/>
        <w:jc w:val="both"/>
      </w:pPr>
      <w:r>
        <w:rPr>
          <w:sz w:val="21"/>
        </w:rPr>
        <w:t>（3）银行开户许可证；</w:t>
      </w:r>
    </w:p>
    <w:p>
      <w:pPr>
        <w:pStyle w:val="null3"/>
        <w:ind w:left="15" w:firstLine="401"/>
        <w:jc w:val="both"/>
      </w:pPr>
      <w:r>
        <w:rPr>
          <w:sz w:val="21"/>
        </w:rPr>
        <w:t>（4）医疗机构负责人身份证明/身份证（非法人性质的民营医疗机构必须提供）。　　</w:t>
      </w:r>
    </w:p>
    <w:p>
      <w:pPr>
        <w:pStyle w:val="null3"/>
        <w:ind w:left="15" w:firstLine="401"/>
        <w:jc w:val="both"/>
      </w:pPr>
      <w:r>
        <w:rPr>
          <w:sz w:val="21"/>
        </w:rPr>
        <w:t>3、《检验病理项目清单》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440115-2025-03910</w:t>
      </w:r>
    </w:p>
    <w:p>
      <w:pPr>
        <w:pStyle w:val="null3"/>
        <w:jc w:val="center"/>
        <w:outlineLvl w:val="3"/>
      </w:pPr>
      <w:r>
        <w:rPr>
          <w:sz w:val="24"/>
          <w:b/>
        </w:rPr>
        <w:t>采购项目编号：</w:t>
      </w:r>
      <w:r>
        <w:rPr>
          <w:sz w:val="24"/>
          <w:b/>
        </w:rPr>
        <w:t>0724-2531Z3255791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广州市南沙区人民医院采购外送检验病理相关检测服务项目</w:t>
      </w:r>
      <w:r>
        <w:rPr>
          <w:u w:val="single"/>
        </w:rPr>
        <w:t>”</w:t>
      </w:r>
      <w:r>
        <w:rPr/>
        <w:t>项目的招标[采购项目编号为：</w:t>
      </w:r>
      <w:r>
        <w:rPr>
          <w:u w:val="single"/>
        </w:rPr>
        <w:t>0724-2531Z3255791</w:t>
      </w:r>
      <w:r>
        <w:rPr/>
        <w:t>]，我方愿参与投标。</w:t>
      </w:r>
    </w:p>
    <w:p>
      <w:pPr>
        <w:pStyle w:val="null3"/>
        <w:ind w:firstLine="480"/>
      </w:pPr>
      <w:r>
        <w:rPr/>
        <w:t>我方确认收到贵方提供的</w:t>
      </w:r>
      <w:r>
        <w:rPr>
          <w:u w:val="single"/>
        </w:rPr>
        <w:t>“</w:t>
      </w:r>
      <w:r>
        <w:rPr>
          <w:u w:val="single"/>
        </w:rPr>
        <w:t>广州市南沙区人民医院采购外送检验病理相关检测服务项目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广州市南沙区人民医院采购外送检验病理相关检测服务项目</w:t>
      </w:r>
      <w:r>
        <w:rPr/>
        <w:t>”项目采购[采购项目编号为</w:t>
      </w:r>
      <w:r>
        <w:rPr/>
        <w:t>0724-2531Z3255791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广州市南沙区人民医院采购外送检验病理相关检测服务项目</w:t>
      </w:r>
      <w:r>
        <w:rPr/>
        <w:t>招标中获中标（采购项目编号：</w:t>
      </w:r>
      <w:r>
        <w:rPr/>
        <w:t>0724-2531Z3255791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