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ind w:firstLine="2730" w:firstLineChars="1300"/>
        <w:rPr>
          <w:rFonts w:ascii="宋体" w:hAnsi="宋体" w:hint="eastAsia"/>
          <w:color w:val="FF0000"/>
          <w:szCs w:val="21"/>
        </w:rPr>
      </w:pPr>
      <w:r>
        <w:rPr>
          <w:rFonts w:ascii="宋体" w:eastAsia="黑体" w:hAnsi="宋体" w:hint="eastAsia"/>
          <w:b/>
          <w:bCs/>
          <w:color w:val="FF0000"/>
          <w:kern w:val="44"/>
          <w:sz w:val="28"/>
          <w:szCs w:val="44"/>
        </w:rPr>
        <w:t>特别警示条款</w:t>
      </w:r>
    </w:p>
    <w:p>
      <w:pPr>
        <w:pBdr>
          <w:top w:val="nil"/>
          <w:left w:val="nil"/>
          <w:bottom w:val="nil"/>
          <w:right w:val="nil"/>
        </w:pBdr>
        <w:spacing w:after="240" w:afterLines="100" w:line="400" w:lineRule="exact"/>
        <w:ind w:firstLine="420" w:firstLineChars="200"/>
        <w:rPr>
          <w:rFonts w:ascii="宋体" w:hAnsi="宋体" w:cs="宋体" w:hint="eastAsia"/>
          <w:b/>
          <w:bCs/>
          <w:color w:val="FF0000"/>
          <w:szCs w:val="21"/>
          <w:highlight w:val="yellow"/>
        </w:rPr>
      </w:pPr>
      <w:r>
        <w:rPr>
          <w:rFonts w:ascii="宋体" w:hAnsi="宋体" w:cs="宋体" w:hint="eastAsia"/>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trPr>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序号</w:t>
            </w:r>
          </w:p>
        </w:tc>
        <w:tc>
          <w:tcPr>
            <w:tcW w:w="77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tblPrEx>
          <w:tblW w:w="0" w:type="auto"/>
          <w:tblInd w:w="0" w:type="dxa"/>
          <w:tblCellMar>
            <w:top w:w="0" w:type="dxa"/>
            <w:left w:w="108" w:type="dxa"/>
            <w:bottom w:w="0" w:type="dxa"/>
            <w:right w:w="108" w:type="dxa"/>
          </w:tblCellMar>
        </w:tblPrEx>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1</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tblPrEx>
          <w:tblW w:w="0" w:type="auto"/>
          <w:tblInd w:w="0" w:type="dxa"/>
          <w:tblCellMar>
            <w:top w:w="0" w:type="dxa"/>
            <w:left w:w="108" w:type="dxa"/>
            <w:bottom w:w="0" w:type="dxa"/>
            <w:right w:w="108" w:type="dxa"/>
          </w:tblCellMar>
        </w:tblPrEx>
        <w:trPr>
          <w:trHeight w:val="90"/>
        </w:trPr>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2</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参与本项目政府采购活动时，与其他投标供应商存在单位负责人为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tblPrEx>
          <w:tblW w:w="0" w:type="auto"/>
          <w:tblInd w:w="0" w:type="dxa"/>
          <w:tblCellMar>
            <w:top w:w="0" w:type="dxa"/>
            <w:left w:w="108" w:type="dxa"/>
            <w:bottom w:w="0" w:type="dxa"/>
            <w:right w:w="108" w:type="dxa"/>
          </w:tblCellMar>
        </w:tblPrEx>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3</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tblPrEx>
          <w:tblW w:w="0" w:type="auto"/>
          <w:tblInd w:w="0" w:type="dxa"/>
          <w:tblCellMar>
            <w:top w:w="0" w:type="dxa"/>
            <w:left w:w="108" w:type="dxa"/>
            <w:bottom w:w="0" w:type="dxa"/>
            <w:right w:w="108" w:type="dxa"/>
          </w:tblCellMar>
        </w:tblPrEx>
        <w:trPr>
          <w:trHeight w:val="1325"/>
        </w:trPr>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4</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（“文件制作机器码”“文件创建标识码”一致）。</w:t>
            </w:r>
          </w:p>
        </w:tc>
      </w:tr>
      <w:tr>
        <w:tblPrEx>
          <w:tblW w:w="0" w:type="auto"/>
          <w:tblInd w:w="0" w:type="dxa"/>
          <w:tblCellMar>
            <w:top w:w="0" w:type="dxa"/>
            <w:left w:w="108" w:type="dxa"/>
            <w:bottom w:w="0" w:type="dxa"/>
            <w:right w:w="108" w:type="dxa"/>
          </w:tblCellMar>
        </w:tblPrEx>
        <w:trPr>
          <w:trHeight w:val="985"/>
        </w:trPr>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5</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rPr>
          <w:trHeight w:val="588"/>
        </w:trPr>
        <w:tc>
          <w:tcPr>
            <w:tcW w:w="811" w:type="dxa"/>
            <w:tcBorders>
              <w:tl2br w:val="nil"/>
              <w:tr2bl w:val="nil"/>
            </w:tcBorders>
            <w:vAlign w:val="center"/>
          </w:tcPr>
          <w:p>
            <w:pPr>
              <w:pBdr>
                <w:top w:val="nil"/>
                <w:left w:val="nil"/>
                <w:bottom w:val="nil"/>
                <w:right w:val="nil"/>
              </w:pBdr>
              <w:spacing w:line="400" w:lineRule="exact"/>
              <w:jc w:val="center"/>
              <w:rPr>
                <w:rFonts w:ascii="宋体" w:hAnsi="宋体" w:cs="宋体" w:hint="eastAsia"/>
                <w:color w:val="FF0000"/>
                <w:szCs w:val="21"/>
              </w:rPr>
            </w:pPr>
            <w:r>
              <w:rPr>
                <w:rFonts w:ascii="宋体" w:hAnsi="宋体" w:cs="宋体" w:hint="eastAsia"/>
                <w:color w:val="FF0000"/>
                <w:szCs w:val="21"/>
              </w:rPr>
              <w:t>6</w:t>
            </w:r>
          </w:p>
        </w:tc>
        <w:tc>
          <w:tcPr>
            <w:tcW w:w="7711" w:type="dxa"/>
            <w:tcBorders>
              <w:tl2br w:val="nil"/>
              <w:tr2bl w:val="nil"/>
            </w:tcBorders>
            <w:vAlign w:val="center"/>
          </w:tcPr>
          <w:p>
            <w:pPr>
              <w:pBdr>
                <w:top w:val="nil"/>
                <w:left w:val="nil"/>
                <w:bottom w:val="nil"/>
                <w:right w:val="nil"/>
              </w:pBdr>
              <w:spacing w:line="400" w:lineRule="exact"/>
              <w:jc w:val="left"/>
              <w:rPr>
                <w:rFonts w:ascii="宋体" w:hAnsi="宋体" w:cs="宋体" w:hint="eastAsia"/>
                <w:color w:val="FF0000"/>
                <w:szCs w:val="21"/>
              </w:rPr>
            </w:pPr>
            <w:r>
              <w:rPr>
                <w:rFonts w:ascii="宋体" w:hAnsi="宋体" w:cs="宋体" w:hint="eastAsia"/>
                <w:color w:val="FF0000"/>
                <w:szCs w:val="21"/>
              </w:rPr>
              <w:t>擅自将投标密钥或电子营业执照出借他人使用或未妥善保管。</w:t>
            </w:r>
          </w:p>
        </w:tc>
      </w:tr>
    </w:tbl>
    <w:p>
      <w:pPr>
        <w:pBdr>
          <w:top w:val="nil"/>
          <w:left w:val="nil"/>
          <w:bottom w:val="nil"/>
          <w:right w:val="nil"/>
        </w:pBdr>
        <w:ind w:firstLine="420" w:firstLineChars="200"/>
        <w:rPr>
          <w:rFonts w:ascii="宋体" w:hAnsi="宋体" w:hint="eastAsia"/>
          <w:color w:val="FF0000"/>
          <w:sz w:val="20"/>
          <w:szCs w:val="20"/>
        </w:rPr>
      </w:pP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（一）在采购活动中应当回避而未回避的；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（三）隐瞒真实情况，提供虚假资料的；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（五）与其他采购参加人串通投标的；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（六）恶意投诉的；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（八）阻碍、抗拒主管部门监督检查的；</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（九）其他违反本条例规定的行为。</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il"/>
          <w:left w:val="nil"/>
          <w:bottom w:val="nil"/>
          <w:right w:val="nil"/>
        </w:pBdr>
        <w:ind w:firstLine="420" w:firstLineChars="2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pPr>
        <w:pBdr>
          <w:top w:val="nil"/>
          <w:left w:val="nil"/>
          <w:bottom w:val="nil"/>
          <w:right w:val="nil"/>
        </w:pBdr>
        <w:ind w:firstLine="420" w:firstLineChars="200"/>
        <w:rPr>
          <w:rFonts w:ascii="宋体" w:eastAsia="宋体" w:hAnsi="宋体" w:hint="eastAsia"/>
          <w:color w:val="FF0000"/>
          <w:sz w:val="20"/>
          <w:szCs w:val="20"/>
        </w:rPr>
      </w:pPr>
      <w:r>
        <w:rPr>
          <w:rFonts w:ascii="宋体" w:eastAsia="宋体" w:hAnsi="宋体" w:hint="eastAsia"/>
          <w:color w:val="FF0000"/>
          <w:sz w:val="20"/>
          <w:szCs w:val="20"/>
          <w:lang w:val="en-US" w:eastAsia="zh-CN"/>
        </w:rPr>
        <w:t>四、</w:t>
      </w:r>
      <w:r>
        <w:rPr>
          <w:rFonts w:ascii="宋体" w:eastAsia="宋体" w:hAnsi="宋体" w:hint="eastAsia"/>
          <w:color w:val="FF0000"/>
          <w:sz w:val="20"/>
          <w:szCs w:val="20"/>
        </w:rPr>
        <w:t>《中华人民共和国政府采购法实施条例》 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Bdr>
          <w:top w:val="nil"/>
          <w:left w:val="nil"/>
          <w:bottom w:val="nil"/>
          <w:right w:val="nil"/>
        </w:pBdr>
        <w:ind w:firstLine="420" w:firstLineChars="200"/>
        <w:rPr>
          <w:rFonts w:ascii="宋体" w:eastAsia="宋体" w:hAnsi="宋体" w:hint="eastAsia"/>
          <w:color w:val="FF0000"/>
          <w:sz w:val="20"/>
          <w:szCs w:val="20"/>
        </w:rPr>
      </w:pPr>
      <w:r>
        <w:rPr>
          <w:rFonts w:ascii="宋体" w:eastAsia="宋体" w:hAnsi="宋体" w:hint="eastAsia"/>
          <w:color w:val="FF0000"/>
          <w:sz w:val="20"/>
          <w:szCs w:val="20"/>
        </w:rPr>
        <w:t>本项目设计供应商：无</w:t>
      </w:r>
    </w:p>
    <w:p>
      <w:pPr>
        <w:pBdr>
          <w:top w:val="nil"/>
          <w:left w:val="nil"/>
          <w:bottom w:val="nil"/>
          <w:right w:val="nil"/>
        </w:pBdr>
        <w:ind w:firstLine="420" w:firstLineChars="200"/>
        <w:rPr>
          <w:rFonts w:ascii="宋体" w:eastAsia="宋体" w:hAnsi="宋体" w:hint="eastAsia"/>
          <w:color w:val="FF0000"/>
          <w:sz w:val="20"/>
          <w:szCs w:val="20"/>
          <w:lang w:val="en-US" w:eastAsia="zh-CN"/>
        </w:rPr>
      </w:pPr>
      <w:r>
        <w:rPr>
          <w:rFonts w:ascii="宋体" w:eastAsia="宋体" w:hAnsi="宋体" w:hint="eastAsia"/>
          <w:color w:val="FF0000"/>
          <w:sz w:val="20"/>
          <w:szCs w:val="20"/>
        </w:rPr>
        <w:t>本项目造价咨询供应商：</w:t>
      </w:r>
      <w:r>
        <w:rPr>
          <w:rFonts w:ascii="宋体" w:hAnsi="宋体" w:hint="eastAsia"/>
          <w:color w:val="FF0000"/>
          <w:sz w:val="20"/>
          <w:szCs w:val="20"/>
          <w:lang w:val="en-US" w:eastAsia="zh-CN"/>
        </w:rPr>
        <w:t>无</w:t>
      </w:r>
    </w:p>
    <w:p>
      <w:pPr>
        <w:pBdr>
          <w:top w:val="nil"/>
          <w:left w:val="nil"/>
          <w:bottom w:val="nil"/>
          <w:right w:val="nil"/>
        </w:pBdr>
        <w:ind w:firstLine="420" w:firstLineChars="200"/>
        <w:rPr>
          <w:rFonts w:ascii="宋体" w:eastAsia="宋体" w:hAnsi="宋体" w:hint="eastAsia"/>
          <w:color w:val="FF0000"/>
          <w:sz w:val="20"/>
          <w:szCs w:val="20"/>
        </w:rPr>
      </w:pPr>
      <w:r>
        <w:rPr>
          <w:rFonts w:ascii="宋体" w:eastAsia="宋体" w:hAnsi="宋体" w:hint="eastAsia"/>
          <w:color w:val="FF0000"/>
          <w:sz w:val="20"/>
          <w:szCs w:val="20"/>
        </w:rPr>
        <w:t>本项目监理供应商：</w:t>
      </w:r>
      <w:r>
        <w:rPr>
          <w:rFonts w:ascii="宋体" w:hAnsi="宋体" w:hint="eastAsia"/>
          <w:color w:val="FF0000"/>
          <w:sz w:val="20"/>
          <w:szCs w:val="20"/>
          <w:lang w:val="en-US" w:eastAsia="zh-CN"/>
        </w:rPr>
        <w:t>无</w:t>
      </w:r>
    </w:p>
    <w:p>
      <w:pPr>
        <w:pBdr>
          <w:top w:val="nil"/>
          <w:left w:val="nil"/>
          <w:bottom w:val="nil"/>
          <w:right w:val="nil"/>
        </w:pBdr>
        <w:ind w:firstLine="420" w:firstLineChars="200"/>
        <w:rPr>
          <w:rFonts w:ascii="宋体" w:hAnsi="宋体" w:hint="eastAsia"/>
          <w:color w:val="FF0000"/>
          <w:sz w:val="20"/>
          <w:szCs w:val="20"/>
        </w:rPr>
      </w:pPr>
      <w:r>
        <w:rPr>
          <w:rFonts w:ascii="宋体" w:eastAsia="宋体" w:hAnsi="宋体" w:hint="eastAsia"/>
          <w:color w:val="FF0000"/>
          <w:sz w:val="20"/>
          <w:szCs w:val="20"/>
        </w:rPr>
        <w:t>本项目检测供应商：</w:t>
      </w:r>
      <w:r>
        <w:rPr>
          <w:rFonts w:ascii="宋体" w:hAnsi="宋体" w:hint="eastAsia"/>
          <w:color w:val="FF0000"/>
          <w:sz w:val="20"/>
          <w:szCs w:val="20"/>
          <w:lang w:val="en-US" w:eastAsia="zh-CN"/>
        </w:rPr>
        <w:t>无</w:t>
      </w:r>
    </w:p>
    <w:p>
      <w:pPr>
        <w:pBdr>
          <w:top w:val="nil"/>
          <w:left w:val="nil"/>
          <w:bottom w:val="nil"/>
          <w:right w:val="nil"/>
        </w:pBdr>
        <w:ind w:firstLine="420" w:firstLineChars="200"/>
        <w:rPr>
          <w:bCs/>
          <w:color w:val="FF0000"/>
          <w:sz w:val="20"/>
          <w:szCs w:val="20"/>
        </w:rPr>
      </w:pPr>
      <w:r>
        <w:rPr>
          <w:rFonts w:hint="eastAsia"/>
          <w:bCs/>
          <w:color w:val="FF0000"/>
          <w:sz w:val="20"/>
          <w:szCs w:val="20"/>
          <w:lang w:val="en-US" w:eastAsia="zh-CN"/>
        </w:rPr>
        <w:t>五</w:t>
      </w:r>
      <w:r>
        <w:rPr>
          <w:rFonts w:hint="eastAsia"/>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il"/>
          <w:left w:val="nil"/>
          <w:bottom w:val="nil"/>
          <w:right w:val="nil"/>
        </w:pBdr>
        <w:ind w:firstLine="42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il"/>
          <w:left w:val="nil"/>
          <w:bottom w:val="nil"/>
          <w:right w:val="nil"/>
        </w:pBdr>
        <w:ind w:firstLine="42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rPr>
        <w:t>、</w:t>
      </w:r>
      <w:r>
        <w:rPr>
          <w:rFonts w:ascii="宋体" w:hAnsi="宋体" w:hint="eastAsia"/>
          <w:color w:val="FF0000"/>
          <w:sz w:val="20"/>
          <w:szCs w:val="20"/>
        </w:rPr>
        <w:t>依法吊销其营业</w:t>
      </w:r>
      <w:r>
        <w:rPr>
          <w:rFonts w:hAnsi="宋体" w:hint="eastAsia"/>
          <w:color w:val="FF0000"/>
          <w:sz w:val="20"/>
          <w:szCs w:val="20"/>
        </w:rPr>
        <w:t>执照等行政处罚，</w:t>
      </w:r>
      <w:r>
        <w:rPr>
          <w:rFonts w:ascii="宋体" w:hAnsi="宋体" w:hint="eastAsia"/>
          <w:color w:val="FF0000"/>
          <w:sz w:val="20"/>
          <w:szCs w:val="20"/>
        </w:rPr>
        <w:t>构成犯罪的，依法追究刑事责任</w:t>
      </w:r>
      <w:r>
        <w:rPr>
          <w:rFonts w:hint="eastAsia"/>
          <w:bCs/>
          <w:color w:val="FF0000"/>
          <w:sz w:val="20"/>
          <w:szCs w:val="20"/>
        </w:rPr>
        <w:t>，请各供应商独立编制、上传投标文件，妥善保管和使用电子秘钥。</w:t>
      </w:r>
    </w:p>
    <w:p>
      <w:pPr>
        <w:pBdr>
          <w:top w:val="nil"/>
          <w:left w:val="nil"/>
          <w:bottom w:val="nil"/>
          <w:right w:val="nil"/>
        </w:pBdr>
        <w:ind w:firstLine="420" w:firstLineChars="200"/>
      </w:pPr>
      <w:r>
        <w:rPr>
          <w:rFonts w:hint="eastAsia"/>
          <w:b/>
          <w:color w:val="FF0000"/>
          <w:lang w:val="en-US" w:eastAsia="zh-CN"/>
        </w:rPr>
        <w:t>六</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NoSpacing"/>
        <w:pBdr>
          <w:top w:val="nil"/>
          <w:left w:val="nil"/>
          <w:bottom w:val="nil"/>
          <w:right w:val="nil"/>
        </w:pBdr>
        <w:rPr>
          <w:bCs/>
          <w:color w:val="FF0000"/>
          <w:sz w:val="20"/>
          <w:szCs w:val="20"/>
        </w:rPr>
      </w:pPr>
    </w:p>
    <w:p>
      <w:pPr>
        <w:rPr>
          <w:rFonts w:ascii="黑体" w:eastAsia="黑体" w:hAnsi="宋体" w:cs="黑体" w:hint="eastAsia"/>
          <w:kern w:val="0"/>
          <w:sz w:val="40"/>
          <w:szCs w:val="40"/>
        </w:rPr>
      </w:pPr>
      <w:r>
        <w:rPr>
          <w:rFonts w:hint="eastAsia"/>
          <w:b/>
          <w:color w:val="FF0000"/>
        </w:rPr>
        <w:t>注：“特别警示条款”和《政府采购违法行为风险知悉确认书》用于对供应商违法行为的提醒，不作为供应商资格性审查及符合性审查条件。</w:t>
      </w:r>
    </w:p>
    <w:p>
      <w:pPr>
        <w:rPr>
          <w:rFonts w:ascii="黑体" w:eastAsia="黑体" w:hAnsi="宋体" w:cs="黑体" w:hint="eastAsia"/>
          <w:kern w:val="0"/>
          <w:sz w:val="40"/>
          <w:szCs w:val="40"/>
        </w:rPr>
      </w:pPr>
    </w:p>
    <w:p>
      <w:pPr>
        <w:rPr>
          <w:rFonts w:ascii="黑体" w:eastAsia="黑体" w:hAnsi="宋体" w:cs="黑体" w:hint="eastAsia"/>
          <w:kern w:val="0"/>
          <w:sz w:val="40"/>
          <w:szCs w:val="40"/>
        </w:rPr>
      </w:pPr>
    </w:p>
    <w:p>
      <w:pPr>
        <w:rPr>
          <w:rFonts w:ascii="黑体" w:eastAsia="黑体" w:hAnsi="宋体" w:cs="黑体" w:hint="eastAsia"/>
          <w:kern w:val="0"/>
          <w:sz w:val="40"/>
          <w:szCs w:val="40"/>
        </w:rPr>
      </w:pPr>
      <w:r>
        <w:rPr>
          <w:rFonts w:ascii="黑体" w:eastAsia="黑体" w:hAnsi="宋体" w:cs="黑体" w:hint="eastAsia"/>
          <w:kern w:val="0"/>
          <w:sz w:val="40"/>
          <w:szCs w:val="40"/>
        </w:rPr>
        <w:br w:type="page"/>
      </w:r>
    </w:p>
    <w:p>
      <w:pPr>
        <w:widowControl/>
        <w:spacing w:beforeAutospacing="1" w:afterAutospacing="1"/>
        <w:jc w:val="center"/>
        <w:outlineLvl w:val="1"/>
        <w:rPr>
          <w:rFonts w:ascii="黑体" w:eastAsia="黑体" w:hAnsi="宋体" w:cs="黑体" w:hint="eastAsia"/>
          <w:kern w:val="0"/>
          <w:sz w:val="40"/>
          <w:szCs w:val="40"/>
        </w:rPr>
      </w:pPr>
      <w:r>
        <w:rPr>
          <w:rFonts w:ascii="黑体" w:eastAsia="黑体" w:hAnsi="宋体" w:cs="黑体" w:hint="eastAsia"/>
          <w:kern w:val="0"/>
          <w:sz w:val="40"/>
          <w:szCs w:val="40"/>
        </w:rPr>
        <w:t>招标文件信息</w:t>
      </w:r>
    </w:p>
    <w:tbl>
      <w:tblPr>
        <w:tblStyle w:val="TableNormal"/>
        <w:tblW w:w="7943" w:type="dxa"/>
        <w:jc w:val="center"/>
        <w:tblCellSpacing w:w="0" w:type="dxa"/>
        <w:tblLayout w:type="fixed"/>
        <w:tblCellMar>
          <w:top w:w="45" w:type="dxa"/>
          <w:left w:w="45" w:type="dxa"/>
          <w:bottom w:w="45" w:type="dxa"/>
          <w:right w:w="45" w:type="dxa"/>
        </w:tblCellMar>
      </w:tblPr>
      <w:tblGrid>
        <w:gridCol w:w="2723"/>
        <w:gridCol w:w="5220"/>
      </w:tblGrid>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hint="default"/>
                <w:kern w:val="0"/>
                <w:sz w:val="30"/>
                <w:szCs w:val="30"/>
                <w:lang w:val="en-US" w:eastAsia="zh-CN"/>
              </w:rPr>
              <w:t>SZCG2025000382</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hint="eastAsia"/>
                <w:kern w:val="0"/>
                <w:sz w:val="30"/>
                <w:szCs w:val="30"/>
              </w:rPr>
              <w:t>深圳市公安局轨道交通分局公务车辆维修服务</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hint="default"/>
                <w:kern w:val="0"/>
                <w:sz w:val="30"/>
                <w:szCs w:val="30"/>
                <w:lang w:val="en-US" w:eastAsia="zh-CN"/>
              </w:rPr>
              <w:t>B</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rFonts w:ascii="宋体" w:hAnsi="宋体" w:cs="宋体"/>
                <w:kern w:val="0"/>
                <w:sz w:val="30"/>
                <w:szCs w:val="30"/>
              </w:rPr>
            </w:pPr>
            <w:r>
              <w:rPr>
                <w:rFonts w:ascii="宋体" w:hAnsi="宋体" w:cs="宋体"/>
                <w:kern w:val="0"/>
                <w:sz w:val="30"/>
                <w:szCs w:val="30"/>
              </w:rPr>
              <w:t>服务类</w:t>
            </w:r>
          </w:p>
          <w:p>
            <w:pPr>
              <w:widowControl/>
              <w:jc w:val="left"/>
              <w:rPr>
                <w:rFonts w:ascii="宋体" w:eastAsia="宋体" w:hAnsi="宋体" w:cs="宋体" w:hint="default"/>
                <w:kern w:val="0"/>
                <w:sz w:val="30"/>
                <w:szCs w:val="30"/>
                <w:lang w:val="en-US" w:eastAsia="zh-CN"/>
              </w:rPr>
            </w:pPr>
            <w:r>
              <w:rPr>
                <w:rFonts w:ascii="宋体" w:hAnsi="宋体" w:cs="宋体" w:hint="default"/>
                <w:kern w:val="0"/>
                <w:sz w:val="30"/>
                <w:szCs w:val="30"/>
              </w:rPr>
              <w:t>服务</w:t>
            </w:r>
            <w:r>
              <w:rPr>
                <w:rFonts w:ascii="宋体" w:eastAsia="宋体" w:hAnsi="宋体" w:cs="宋体" w:hint="default"/>
                <w:kern w:val="0"/>
                <w:sz w:val="30"/>
                <w:szCs w:val="30"/>
              </w:rPr>
              <w:t>属性：车辆维修和保养服务</w:t>
            </w:r>
          </w:p>
          <w:p>
            <w:pPr>
              <w:widowControl/>
              <w:jc w:val="left"/>
              <w:rPr>
                <w:rFonts w:ascii="宋体" w:hAnsi="宋体" w:cs="宋体" w:hint="eastAsia"/>
                <w:kern w:val="0"/>
                <w:sz w:val="30"/>
                <w:szCs w:val="30"/>
              </w:rPr>
            </w:pPr>
            <w:r>
              <w:rPr>
                <w:rFonts w:ascii="宋体" w:eastAsia="宋体" w:hAnsi="宋体" w:cs="宋体" w:hint="default"/>
                <w:kern w:val="0"/>
                <w:sz w:val="30"/>
                <w:szCs w:val="30"/>
              </w:rPr>
              <w:t>编号：B110103</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kern w:val="0"/>
                <w:sz w:val="30"/>
                <w:szCs w:val="30"/>
              </w:rPr>
              <w:t>公开招标</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kern w:val="0"/>
                <w:sz w:val="30"/>
                <w:szCs w:val="30"/>
              </w:rPr>
              <w:t>人民币</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rFonts w:ascii="宋体" w:hAnsi="宋体" w:cs="宋体" w:hint="eastAsia"/>
                <w:kern w:val="0"/>
                <w:sz w:val="30"/>
                <w:szCs w:val="30"/>
              </w:rPr>
            </w:pPr>
            <w:r>
              <w:rPr>
                <w:rFonts w:ascii="宋体" w:hAnsi="宋体" w:cs="宋体"/>
                <w:kern w:val="0"/>
                <w:sz w:val="30"/>
                <w:szCs w:val="30"/>
              </w:rPr>
              <w:t>综合评分法</w:t>
            </w:r>
          </w:p>
        </w:tc>
      </w:tr>
    </w:tbl>
    <w:p>
      <w:pPr>
        <w:pStyle w:val="NormalWeb"/>
        <w:jc w:val="center"/>
        <w:rPr>
          <w:rFonts w:ascii="黑体" w:eastAsia="黑体" w:hAnsi="黑体" w:hint="eastAsia"/>
          <w:sz w:val="40"/>
          <w:szCs w:val="40"/>
        </w:rPr>
      </w:pPr>
    </w:p>
    <w:p>
      <w:pPr>
        <w:pStyle w:val="NormalWeb"/>
        <w:jc w:val="center"/>
        <w:outlineLvl w:val="1"/>
        <w:rPr>
          <w:rFonts w:ascii="黑体" w:eastAsia="黑体" w:hAnsi="黑体" w:hint="eastAsia"/>
          <w:sz w:val="40"/>
          <w:szCs w:val="40"/>
        </w:rPr>
        <w:sectPr>
          <w:footerReference w:type="even" r:id="rId5"/>
          <w:footerReference w:type="default" r:id="rId6"/>
          <w:headerReference w:type="first" r:id="rId7"/>
          <w:pgSz w:w="11907" w:h="16840"/>
          <w:pgMar w:top="1440" w:right="1417" w:bottom="1440" w:left="1417" w:header="851" w:footer="992" w:gutter="0"/>
          <w:cols w:num="1" w:space="425"/>
          <w:titlePg/>
          <w:docGrid w:linePitch="462" w:charSpace="0"/>
        </w:sectPr>
      </w:pPr>
    </w:p>
    <w:p>
      <w:pPr>
        <w:pStyle w:val="NormalWe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Style w:val="TableNormal"/>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hint="eastAsia"/>
                <w:sz w:val="28"/>
                <w:szCs w:val="28"/>
              </w:rPr>
            </w:pPr>
            <w:r>
              <w:rPr>
                <w:sz w:val="28"/>
                <w:szCs w:val="28"/>
              </w:rPr>
              <w:t>内容</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pPr>
        <w:pStyle w:val="NormalWe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Style w:val="TableNormal"/>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hint="eastAsia"/>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hAnsi="宋体" w:cs="宋体" w:hint="eastAsia"/>
                <w:sz w:val="28"/>
                <w:szCs w:val="28"/>
              </w:rPr>
            </w:pPr>
            <w:r>
              <w:rPr>
                <w:sz w:val="28"/>
                <w:szCs w:val="28"/>
              </w:rPr>
              <w:t>内容</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不得将一个包的内容拆开投标；</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对同一项目投标时，不得提供两套以上的投标方案（招标文件另有规定的除外）；</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5</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8</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投标文件存在列放位置错误，导致属于信息公开情形的没有被公开；</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9</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投标文件电子文档不得带病毒；</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10</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投标文件用不属于本公司的电子密钥或电子营业执照进行加密的；</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hAnsi="宋体" w:cs="宋体" w:hint="eastAsia"/>
                <w:szCs w:val="21"/>
              </w:rPr>
            </w:pPr>
            <w:r>
              <w:rPr>
                <w:rFonts w:hint="eastAsia"/>
              </w:rPr>
              <w:t>11</w:t>
            </w:r>
          </w:p>
        </w:tc>
        <w:tc>
          <w:tcPr>
            <w:tcW w:w="8278" w:type="dxa"/>
            <w:tcBorders>
              <w:top w:val="single" w:sz="8" w:space="0" w:color="000000"/>
              <w:left w:val="single" w:sz="8" w:space="0" w:color="000000"/>
              <w:bottom w:val="single" w:sz="8" w:space="0" w:color="000000"/>
              <w:right w:val="single" w:sz="8" w:space="0" w:color="000000"/>
            </w:tcBorders>
          </w:tcPr>
          <w:p>
            <w:pPr>
              <w:widowControl/>
              <w:jc w:val="left"/>
              <w:textAlignment w:val="top"/>
              <w:rPr>
                <w:color w:val="FF0000"/>
              </w:rPr>
            </w:pPr>
            <w:r>
              <w:rPr>
                <w:rFonts w:hint="eastAsia"/>
                <w:color w:val="FF0000"/>
              </w:rPr>
              <w:t>不同投标供应商投标文件“文件制作机器码”一致；</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hAnsi="宋体" w:cs="宋体" w:hint="eastAsia"/>
                <w:szCs w:val="21"/>
              </w:rPr>
            </w:pPr>
            <w:r>
              <w:rPr>
                <w:rFonts w:hint="eastAsia"/>
              </w:rPr>
              <w:t>12</w:t>
            </w:r>
          </w:p>
        </w:tc>
        <w:tc>
          <w:tcPr>
            <w:tcW w:w="8278" w:type="dxa"/>
            <w:tcBorders>
              <w:top w:val="single" w:sz="8" w:space="0" w:color="000000"/>
              <w:left w:val="single" w:sz="8" w:space="0" w:color="000000"/>
              <w:bottom w:val="single" w:sz="8" w:space="0" w:color="000000"/>
              <w:right w:val="single" w:sz="8" w:space="0" w:color="000000"/>
            </w:tcBorders>
          </w:tcPr>
          <w:p>
            <w:pPr>
              <w:widowControl/>
              <w:jc w:val="left"/>
              <w:textAlignment w:val="top"/>
              <w:rPr>
                <w:color w:val="FF0000"/>
              </w:rPr>
            </w:pPr>
            <w:r>
              <w:rPr>
                <w:rFonts w:hint="eastAsia"/>
                <w:color w:val="FF0000"/>
              </w:rPr>
              <w:t>不同投标供应商投标文件“文件创建标识码”一致；</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rFonts w:ascii="宋体" w:hAnsi="宋体" w:cs="宋体" w:hint="eastAsia"/>
                <w:szCs w:val="21"/>
              </w:rPr>
            </w:pPr>
            <w:r>
              <w:rPr>
                <w:szCs w:val="21"/>
              </w:rPr>
              <w:t>1</w:t>
            </w:r>
            <w:r>
              <w:rPr>
                <w:rFonts w:hint="eastAsia"/>
                <w:szCs w:val="21"/>
              </w:rPr>
              <w:t>3</w:t>
            </w:r>
          </w:p>
        </w:tc>
        <w:tc>
          <w:tcPr>
            <w:tcW w:w="8278" w:type="dxa"/>
            <w:tcBorders>
              <w:top w:val="single" w:sz="8" w:space="0" w:color="000000"/>
              <w:left w:val="single" w:sz="8" w:space="0" w:color="000000"/>
              <w:bottom w:val="single" w:sz="8" w:space="0" w:color="000000"/>
              <w:right w:val="single" w:sz="8" w:space="0" w:color="000000"/>
            </w:tcBorders>
          </w:tcPr>
          <w:p>
            <w:pPr>
              <w:rPr>
                <w:rFonts w:ascii="宋体" w:hAnsi="宋体" w:cs="宋体" w:hint="eastAsia"/>
                <w:szCs w:val="21"/>
              </w:rPr>
            </w:pPr>
            <w:r>
              <w:rPr>
                <w:rFonts w:hint="eastAsia"/>
              </w:rPr>
              <w:t>法律、法规、规章、规范性文件规定的其他情形。</w:t>
            </w:r>
          </w:p>
        </w:tc>
      </w:tr>
      <w:tr>
        <w:tblPrEx>
          <w:tblW w:w="9072"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jc w:val="center"/>
              <w:rPr>
                <w:szCs w:val="21"/>
              </w:rPr>
            </w:pPr>
            <w:r>
              <w:rPr>
                <w:rFonts w:hint="eastAsia"/>
                <w:szCs w:val="21"/>
              </w:rPr>
              <w:t>14</w:t>
            </w:r>
          </w:p>
        </w:tc>
        <w:tc>
          <w:tcPr>
            <w:tcW w:w="8278" w:type="dxa"/>
            <w:tcBorders>
              <w:top w:val="single" w:sz="8" w:space="0" w:color="000000"/>
              <w:left w:val="single" w:sz="8" w:space="0" w:color="000000"/>
              <w:bottom w:val="single" w:sz="8" w:space="0" w:color="000000"/>
              <w:right w:val="single" w:sz="8" w:space="0" w:color="000000"/>
            </w:tcBorders>
          </w:tcPr>
          <w:p>
            <w:r>
              <w:rPr>
                <w:rFonts w:hint="eastAsia"/>
                <w:color w:val="FF0000"/>
              </w:rPr>
              <w:t>不符合招标文件第二章“5.中标原则”中规定的中标原则（兼投不兼中原则）。</w:t>
            </w:r>
          </w:p>
        </w:tc>
      </w:tr>
    </w:tbl>
    <w:p>
      <w:pPr>
        <w:pStyle w:val="NormalWeb"/>
        <w:jc w:val="center"/>
        <w:rPr>
          <w:rFonts w:ascii="黑体" w:eastAsia="黑体" w:hAnsi="黑体" w:hint="eastAsia"/>
          <w:sz w:val="40"/>
          <w:szCs w:val="40"/>
        </w:rPr>
      </w:pPr>
    </w:p>
    <w:p>
      <w:pPr>
        <w:pStyle w:val="NormalWeb"/>
        <w:jc w:val="center"/>
        <w:outlineLvl w:val="1"/>
        <w:rPr>
          <w:rFonts w:ascii="黑体" w:eastAsia="黑体" w:hAnsi="黑体" w:hint="eastAsia"/>
          <w:sz w:val="40"/>
          <w:szCs w:val="40"/>
        </w:rPr>
        <w:sectPr>
          <w:pgSz w:w="11907" w:h="16840"/>
          <w:pgMar w:top="1440" w:right="1417" w:bottom="1440" w:left="1417" w:header="851" w:footer="992" w:gutter="0"/>
          <w:cols w:num="1" w:space="425"/>
          <w:titlePg/>
          <w:docGrid w:linePitch="462" w:charSpace="0"/>
        </w:sectPr>
      </w:pPr>
    </w:p>
    <w:p>
      <w:pPr>
        <w:pStyle w:val="NormalWeb"/>
        <w:jc w:val="center"/>
        <w:outlineLvl w:val="1"/>
        <w:rPr>
          <w:rFonts w:ascii="黑体" w:eastAsia="黑体" w:hAnsi="黑体" w:hint="eastAsia"/>
          <w:sz w:val="40"/>
          <w:szCs w:val="40"/>
        </w:rPr>
      </w:pPr>
      <w:r>
        <w:rPr>
          <w:rFonts w:ascii="黑体" w:eastAsia="黑体" w:hAnsi="黑体" w:hint="eastAsia"/>
          <w:sz w:val="40"/>
          <w:szCs w:val="40"/>
        </w:rPr>
        <w:t>评标信息</w:t>
      </w:r>
    </w:p>
    <w:tbl>
      <w:tblPr>
        <w:tblStyle w:val="TableNormal"/>
        <w:tblW w:w="9186"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73"/>
        <w:gridCol w:w="603"/>
        <w:gridCol w:w="675"/>
        <w:gridCol w:w="2046"/>
        <w:gridCol w:w="993"/>
        <w:gridCol w:w="4556"/>
        <w:gridCol w:w="126"/>
        <w:gridCol w:w="114"/>
      </w:tblGrid>
      <w:tr>
        <w:tblPrEx>
          <w:tblW w:w="9186"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pPr>
              <w:widowControl/>
              <w:jc w:val="left"/>
              <w:rPr>
                <w:b/>
                <w:bCs/>
                <w:sz w:val="24"/>
              </w:rPr>
            </w:pPr>
            <w:r>
              <w:rPr>
                <w:b/>
                <w:bCs/>
              </w:rPr>
              <w:t>评标方法：综合评分法</w:t>
            </w:r>
          </w:p>
        </w:tc>
        <w:tc>
          <w:tcPr>
            <w:tcW w:w="240" w:type="dxa"/>
            <w:gridSpan w:val="2"/>
            <w:shd w:val="clear" w:color="auto" w:fill="auto"/>
            <w:vAlign w:val="center"/>
          </w:tcPr>
          <w:p>
            <w:pPr>
              <w:jc w:val="right"/>
              <w:rPr>
                <w:rFonts w:ascii="宋体"/>
                <w:b/>
                <w:bCs/>
                <w:sz w:val="24"/>
              </w:rPr>
            </w:pPr>
          </w:p>
        </w:tc>
      </w:tr>
      <w:tr>
        <w:tblPrEx>
          <w:tblW w:w="9186" w:type="dxa"/>
          <w:jc w:val="center"/>
          <w:tblCellSpacing w:w="0" w:type="dxa"/>
          <w:tblLayout w:type="fixed"/>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pPr>
              <w:ind w:firstLine="420"/>
              <w:rPr>
                <w:szCs w:val="21"/>
              </w:rPr>
            </w:pPr>
            <w:r>
              <w:rPr>
                <w:szCs w:val="21"/>
              </w:rPr>
              <w:t>综合评分法，是指投标文件满足招标文件全部实质性要求，且按照评审因素的量化指标评审得分最高的投标人为中标候选人的评标方法。</w:t>
            </w:r>
            <w:r>
              <w:rPr>
                <w:rFonts w:hint="eastAsia"/>
                <w:szCs w:val="21"/>
              </w:rPr>
              <w:t>（适用于中标候选人为1家的情形）</w:t>
            </w:r>
          </w:p>
          <w:p>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pPr>
              <w:ind w:firstLine="420"/>
              <w:rPr>
                <w:szCs w:val="21"/>
              </w:rPr>
            </w:pP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r>
              <w:rPr>
                <w:szCs w:val="21"/>
              </w:rPr>
              <w:br/>
            </w:r>
            <w:r>
              <w:rPr>
                <w:szCs w:val="21"/>
              </w:rPr>
              <w:t xml:space="preserve">投标报价得分=(评标基准价／投标报价)×100 </w:t>
            </w:r>
            <w:r>
              <w:rPr>
                <w:szCs w:val="21"/>
              </w:rPr>
              <w:br/>
            </w:r>
            <w:r>
              <w:rPr>
                <w:szCs w:val="21"/>
              </w:rPr>
              <w:t xml:space="preserve">评标总得分＝F1×A1＋F2×A2＋……＋Fn×An </w:t>
            </w:r>
            <w:r>
              <w:rPr>
                <w:szCs w:val="21"/>
              </w:rPr>
              <w:br/>
            </w:r>
            <w:r>
              <w:rPr>
                <w:szCs w:val="21"/>
              </w:rPr>
              <w:t xml:space="preserve">F1、F2……Fn分别为各项评审因素的得分； </w:t>
            </w:r>
            <w:r>
              <w:rPr>
                <w:szCs w:val="21"/>
              </w:rPr>
              <w:br/>
            </w:r>
            <w:r>
              <w:rPr>
                <w:szCs w:val="21"/>
              </w:rPr>
              <w:t xml:space="preserve">A1、A2、……An 分别为各项评审因素所占的权重(A1＋A2＋……＋An＝1)。 </w:t>
            </w:r>
            <w:r>
              <w:rPr>
                <w:szCs w:val="21"/>
              </w:rPr>
              <w:br/>
            </w: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pStyle w:val="BodyText"/>
            </w:pPr>
          </w:p>
          <w:p>
            <w:pPr>
              <w:pStyle w:val="BodyText"/>
            </w:pPr>
            <w:r>
              <w:rPr>
                <w:rFonts w:hint="eastAsia"/>
              </w:rPr>
              <w:t>注：投标人的“技术规格响应情况”“技术规格偏离情况”等必须与客观实际保持一致，响应不实且情节严重的，经查实，将依法记入供应商诚信档案或受到行政处罚。</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pPr>
              <w:wordWrap w:val="0"/>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序号</w:t>
            </w:r>
          </w:p>
        </w:tc>
        <w:tc>
          <w:tcPr>
            <w:tcW w:w="3714" w:type="dxa"/>
            <w:gridSpan w:val="3"/>
            <w:shd w:val="clear" w:color="auto" w:fill="E6EFFA"/>
            <w:vAlign w:val="center"/>
          </w:tcPr>
          <w:p>
            <w:pPr>
              <w:wordWrap w:val="0"/>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评分项</w:t>
            </w:r>
          </w:p>
        </w:tc>
        <w:tc>
          <w:tcPr>
            <w:tcW w:w="4682" w:type="dxa"/>
            <w:gridSpan w:val="2"/>
            <w:shd w:val="clear" w:color="auto" w:fill="E6EFFA"/>
            <w:vAlign w:val="center"/>
          </w:tcPr>
          <w:p>
            <w:pPr>
              <w:wordWrap w:val="0"/>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权重(%)</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1</w:t>
            </w:r>
          </w:p>
        </w:tc>
        <w:tc>
          <w:tcPr>
            <w:tcW w:w="3714" w:type="dxa"/>
            <w:gridSpan w:val="3"/>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价格</w:t>
            </w:r>
          </w:p>
        </w:tc>
        <w:tc>
          <w:tcPr>
            <w:tcW w:w="4682" w:type="dxa"/>
            <w:gridSpan w:val="2"/>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hint="eastAsia"/>
                <w:b/>
                <w:bCs/>
                <w:color w:val="0000FF"/>
                <w:szCs w:val="21"/>
              </w:rPr>
              <w:t>1</w:t>
            </w:r>
            <w:r>
              <w:rPr>
                <w:rFonts w:asciiTheme="minorEastAsia" w:eastAsiaTheme="minorEastAsia" w:hAnsiTheme="minorEastAsia"/>
                <w:b/>
                <w:bCs/>
                <w:color w:val="0000FF"/>
                <w:szCs w:val="21"/>
              </w:rPr>
              <w:t>0</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序号</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评审因素</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权重(%)</w:t>
            </w:r>
          </w:p>
        </w:tc>
        <w:tc>
          <w:tcPr>
            <w:tcW w:w="4682" w:type="dxa"/>
            <w:gridSpan w:val="2"/>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评分准则</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eastAsia="宋体" w:hAnsi="Times New Roman" w:cs="Times New Roman" w:hint="default"/>
                <w:color w:val="000000" w:themeColor="text1"/>
                <w:sz w:val="22"/>
                <w:szCs w:val="22"/>
                <w14:textFill>
                  <w14:solidFill>
                    <w14:schemeClr w14:val="tx1"/>
                  </w14:solidFill>
                </w14:textFill>
              </w:rPr>
              <w:t>1</w:t>
            </w:r>
          </w:p>
        </w:tc>
        <w:tc>
          <w:tcPr>
            <w:tcW w:w="204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eastAsia="宋体" w:hAnsi="Times New Roman" w:cs="Times New Roman" w:hint="default"/>
                <w:color w:val="000000" w:themeColor="text1"/>
                <w:sz w:val="22"/>
                <w:szCs w:val="22"/>
                <w:highlight w:val="none"/>
                <w14:textFill>
                  <w14:solidFill>
                    <w14:schemeClr w14:val="tx1"/>
                  </w14:solidFill>
                </w14:textFill>
              </w:rPr>
              <w:t>工时单价</w:t>
            </w:r>
          </w:p>
        </w:tc>
        <w:tc>
          <w:tcPr>
            <w:tcW w:w="993"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hAnsi="Times New Roman" w:cs="Times New Roman" w:hint="eastAsia"/>
                <w:sz w:val="22"/>
                <w:szCs w:val="22"/>
                <w:highlight w:val="none"/>
                <w:lang w:val="en-US" w:eastAsia="zh-CN"/>
              </w:rPr>
              <w:t>5</w:t>
            </w:r>
          </w:p>
        </w:tc>
        <w:tc>
          <w:tcPr>
            <w:tcW w:w="4682" w:type="dxa"/>
            <w:gridSpan w:val="2"/>
            <w:vAlign w:val="top"/>
          </w:tcPr>
          <w:p>
            <w:pPr>
              <w:keepNext w:val="0"/>
              <w:keepLines w:val="0"/>
              <w:pageBreakBefore w:val="0"/>
              <w:kinsoku/>
              <w:wordWrap/>
              <w:overflowPunct/>
              <w:topLinePunct w:val="0"/>
              <w:autoSpaceDE/>
              <w:autoSpaceDN/>
              <w:bidi w:val="0"/>
              <w:spacing w:line="360" w:lineRule="exact"/>
              <w:textAlignment w:val="auto"/>
              <w:rPr>
                <w:rFonts w:ascii="Times New Roman" w:eastAsia="宋体" w:hAnsi="Times New Roman" w:cs="Times New Roman" w:hint="default"/>
                <w:sz w:val="22"/>
                <w:szCs w:val="22"/>
                <w:highlight w:val="none"/>
              </w:rPr>
            </w:pPr>
            <w:r>
              <w:rPr>
                <w:rFonts w:ascii="Times New Roman" w:eastAsia="宋体" w:hAnsi="Times New Roman" w:cs="Times New Roman" w:hint="default"/>
                <w:sz w:val="22"/>
                <w:szCs w:val="22"/>
                <w:highlight w:val="none"/>
              </w:rPr>
              <w:t>采用低价优先法计算。</w:t>
            </w:r>
            <w:r>
              <w:rPr>
                <w:rFonts w:ascii="Times New Roman" w:eastAsia="宋体" w:hAnsi="Times New Roman" w:cs="Times New Roman" w:hint="default"/>
                <w:color w:val="000000" w:themeColor="text1"/>
                <w:sz w:val="22"/>
                <w:szCs w:val="22"/>
                <w:highlight w:val="none"/>
                <w14:textFill>
                  <w14:solidFill>
                    <w14:schemeClr w14:val="tx1"/>
                  </w14:solidFill>
                </w14:textFill>
              </w:rPr>
              <w:t>即：满足招标文件要求且最低的工时单价为本项的评标基准价</w:t>
            </w:r>
            <w:r>
              <w:rPr>
                <w:rFonts w:ascii="Times New Roman" w:eastAsia="宋体" w:hAnsi="Times New Roman" w:cs="Times New Roman" w:hint="default"/>
                <w:sz w:val="22"/>
                <w:szCs w:val="22"/>
                <w:highlight w:val="none"/>
              </w:rPr>
              <w:t>，本项得</w:t>
            </w:r>
            <w:r>
              <w:rPr>
                <w:rFonts w:cs="Times New Roman" w:hint="eastAsia"/>
                <w:sz w:val="22"/>
                <w:szCs w:val="22"/>
                <w:highlight w:val="none"/>
                <w:lang w:val="en-US" w:eastAsia="zh-CN"/>
              </w:rPr>
              <w:t>100</w:t>
            </w:r>
            <w:r>
              <w:rPr>
                <w:rFonts w:ascii="Times New Roman" w:eastAsia="宋体" w:hAnsi="Times New Roman" w:cs="Times New Roman" w:hint="default"/>
                <w:sz w:val="22"/>
                <w:szCs w:val="22"/>
                <w:highlight w:val="none"/>
              </w:rPr>
              <w:t>分。</w:t>
            </w:r>
          </w:p>
          <w:p>
            <w:pPr>
              <w:keepNext w:val="0"/>
              <w:keepLines w:val="0"/>
              <w:pageBreakBefore w:val="0"/>
              <w:kinsoku/>
              <w:wordWrap/>
              <w:overflowPunct/>
              <w:topLinePunct w:val="0"/>
              <w:autoSpaceDE/>
              <w:autoSpaceDN/>
              <w:bidi w:val="0"/>
              <w:spacing w:line="360" w:lineRule="exact"/>
              <w:textAlignment w:val="auto"/>
              <w:rPr>
                <w:rFonts w:asciiTheme="minorEastAsia" w:eastAsiaTheme="minorEastAsia" w:hAnsiTheme="minorEastAsia" w:cs="宋体" w:hint="eastAsia"/>
                <w:szCs w:val="21"/>
              </w:rPr>
            </w:pPr>
            <w:r>
              <w:rPr>
                <w:rFonts w:ascii="Times New Roman" w:eastAsia="宋体" w:hAnsi="Times New Roman" w:cs="Times New Roman" w:hint="default"/>
                <w:sz w:val="22"/>
                <w:szCs w:val="22"/>
                <w:highlight w:val="none"/>
              </w:rPr>
              <w:t>其他投标人得分=(基准价/投标工时单价)×本项分值</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eastAsia="宋体" w:hAnsi="Times New Roman" w:cs="Times New Roman" w:hint="default"/>
                <w:color w:val="000000" w:themeColor="text1"/>
                <w:sz w:val="22"/>
                <w:szCs w:val="22"/>
                <w14:textFill>
                  <w14:solidFill>
                    <w14:schemeClr w14:val="tx1"/>
                  </w14:solidFill>
                </w14:textFill>
              </w:rPr>
              <w:t>2</w:t>
            </w:r>
          </w:p>
        </w:tc>
        <w:tc>
          <w:tcPr>
            <w:tcW w:w="204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eastAsia="宋体" w:hAnsi="Times New Roman" w:cs="Times New Roman" w:hint="default"/>
                <w:sz w:val="22"/>
                <w:szCs w:val="22"/>
                <w:highlight w:val="none"/>
              </w:rPr>
              <w:t>维修材料管理费率报价</w:t>
            </w:r>
          </w:p>
        </w:tc>
        <w:tc>
          <w:tcPr>
            <w:tcW w:w="993"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heme="minorEastAsia" w:eastAsiaTheme="minorEastAsia" w:hAnsiTheme="minorEastAsia" w:cs="宋体" w:hint="eastAsia"/>
                <w:szCs w:val="21"/>
              </w:rPr>
            </w:pPr>
            <w:r>
              <w:rPr>
                <w:rFonts w:ascii="Times New Roman" w:hAnsi="Times New Roman" w:cs="Times New Roman" w:hint="eastAsia"/>
                <w:sz w:val="22"/>
                <w:szCs w:val="22"/>
                <w:highlight w:val="none"/>
                <w:lang w:val="en-US" w:eastAsia="zh-CN"/>
              </w:rPr>
              <w:t>5</w:t>
            </w:r>
          </w:p>
        </w:tc>
        <w:tc>
          <w:tcPr>
            <w:tcW w:w="4682" w:type="dxa"/>
            <w:gridSpan w:val="2"/>
            <w:vAlign w:val="top"/>
          </w:tcPr>
          <w:p>
            <w:pPr>
              <w:keepNext w:val="0"/>
              <w:keepLines w:val="0"/>
              <w:pageBreakBefore w:val="0"/>
              <w:kinsoku/>
              <w:wordWrap/>
              <w:overflowPunct/>
              <w:topLinePunct w:val="0"/>
              <w:autoSpaceDE/>
              <w:autoSpaceDN/>
              <w:bidi w:val="0"/>
              <w:spacing w:line="360" w:lineRule="exact"/>
              <w:textAlignment w:val="auto"/>
              <w:rPr>
                <w:rFonts w:ascii="Times New Roman" w:eastAsia="宋体" w:hAnsi="Times New Roman" w:cs="Times New Roman" w:hint="default"/>
                <w:sz w:val="22"/>
                <w:szCs w:val="22"/>
                <w:highlight w:val="none"/>
              </w:rPr>
            </w:pPr>
            <w:r>
              <w:rPr>
                <w:rFonts w:ascii="Times New Roman" w:eastAsia="宋体" w:hAnsi="Times New Roman" w:cs="Times New Roman" w:hint="default"/>
                <w:sz w:val="22"/>
                <w:szCs w:val="22"/>
                <w:highlight w:val="none"/>
              </w:rPr>
              <w:t>采用低价优先法计算。即：满足招标文件要求且最低的维修材料管理费率为本项的评标基准价，本项得</w:t>
            </w:r>
            <w:r>
              <w:rPr>
                <w:rFonts w:cs="Times New Roman" w:hint="eastAsia"/>
                <w:sz w:val="22"/>
                <w:szCs w:val="22"/>
                <w:highlight w:val="none"/>
                <w:lang w:val="en-US" w:eastAsia="zh-CN"/>
              </w:rPr>
              <w:t>100</w:t>
            </w:r>
            <w:r>
              <w:rPr>
                <w:rFonts w:ascii="Times New Roman" w:eastAsia="宋体" w:hAnsi="Times New Roman" w:cs="Times New Roman" w:hint="default"/>
                <w:sz w:val="22"/>
                <w:szCs w:val="22"/>
                <w:highlight w:val="none"/>
              </w:rPr>
              <w:t>分。</w:t>
            </w:r>
          </w:p>
          <w:p>
            <w:pPr>
              <w:keepNext w:val="0"/>
              <w:keepLines w:val="0"/>
              <w:pageBreakBefore w:val="0"/>
              <w:kinsoku/>
              <w:wordWrap/>
              <w:overflowPunct/>
              <w:topLinePunct w:val="0"/>
              <w:autoSpaceDE/>
              <w:autoSpaceDN/>
              <w:bidi w:val="0"/>
              <w:spacing w:line="360" w:lineRule="exact"/>
              <w:textAlignment w:val="auto"/>
              <w:rPr>
                <w:rFonts w:asciiTheme="minorEastAsia" w:eastAsiaTheme="minorEastAsia" w:hAnsiTheme="minorEastAsia" w:cs="宋体" w:hint="eastAsia"/>
                <w:szCs w:val="21"/>
              </w:rPr>
            </w:pPr>
            <w:r>
              <w:rPr>
                <w:rFonts w:ascii="Times New Roman" w:eastAsia="宋体" w:hAnsi="Times New Roman" w:cs="Times New Roman" w:hint="default"/>
                <w:sz w:val="22"/>
                <w:szCs w:val="22"/>
                <w:highlight w:val="none"/>
              </w:rPr>
              <w:t>其他投标人得分=(基准价/投标维修材料管理费率报价)×本项分值</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8396" w:type="dxa"/>
            <w:gridSpan w:val="5"/>
          </w:tcPr>
          <w:p>
            <w:pPr>
              <w:wordWrap w:val="0"/>
              <w:rPr>
                <w:rFonts w:asciiTheme="minorEastAsia" w:eastAsiaTheme="minorEastAsia" w:hAnsiTheme="minorEastAsia" w:cs="宋体" w:hint="eastAsia"/>
                <w:szCs w:val="21"/>
              </w:rPr>
            </w:pP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2</w:t>
            </w:r>
          </w:p>
        </w:tc>
        <w:tc>
          <w:tcPr>
            <w:tcW w:w="3714" w:type="dxa"/>
            <w:gridSpan w:val="3"/>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技术</w:t>
            </w:r>
            <w:r>
              <w:rPr>
                <w:rFonts w:asciiTheme="minorEastAsia" w:eastAsiaTheme="minorEastAsia" w:hAnsiTheme="minorEastAsia" w:hint="eastAsia"/>
                <w:b/>
                <w:bCs/>
                <w:color w:val="0000FF"/>
                <w:szCs w:val="21"/>
              </w:rPr>
              <w:t>部分</w:t>
            </w:r>
          </w:p>
        </w:tc>
        <w:tc>
          <w:tcPr>
            <w:tcW w:w="4682" w:type="dxa"/>
            <w:gridSpan w:val="2"/>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hint="eastAsia"/>
                <w:b/>
                <w:bCs/>
                <w:color w:val="0000FF"/>
                <w:szCs w:val="21"/>
              </w:rPr>
              <w:t>72</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8396" w:type="dxa"/>
            <w:gridSpan w:val="5"/>
          </w:tcPr>
          <w:p>
            <w:pPr>
              <w:wordWrap w:val="0"/>
              <w:rPr>
                <w:rFonts w:asciiTheme="minorEastAsia" w:eastAsiaTheme="minorEastAsia" w:hAnsiTheme="minorEastAsia" w:cs="宋体" w:hint="eastAsia"/>
                <w:szCs w:val="21"/>
              </w:rPr>
            </w:pP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shd w:val="clear" w:color="auto" w:fill="E6EFFA"/>
            <w:vAlign w:val="center"/>
          </w:tcPr>
          <w:p>
            <w:pPr>
              <w:rPr>
                <w:rFonts w:asciiTheme="minorEastAsia" w:eastAsiaTheme="minorEastAsia" w:hAnsiTheme="minorEastAsia" w:cs="宋体" w:hint="eastAsia"/>
                <w:b/>
                <w:bCs/>
                <w:color w:val="0000FF"/>
                <w:szCs w:val="21"/>
              </w:rPr>
            </w:pPr>
          </w:p>
        </w:tc>
        <w:tc>
          <w:tcPr>
            <w:tcW w:w="675"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序号</w:t>
            </w:r>
          </w:p>
        </w:tc>
        <w:tc>
          <w:tcPr>
            <w:tcW w:w="2046"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评审因素</w:t>
            </w:r>
          </w:p>
        </w:tc>
        <w:tc>
          <w:tcPr>
            <w:tcW w:w="993"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权重(%)</w:t>
            </w:r>
          </w:p>
        </w:tc>
        <w:tc>
          <w:tcPr>
            <w:tcW w:w="4682" w:type="dxa"/>
            <w:gridSpan w:val="2"/>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评分准则</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1</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车辆维修服务方案</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15</w:t>
            </w:r>
          </w:p>
        </w:tc>
        <w:tc>
          <w:tcPr>
            <w:tcW w:w="4682" w:type="dxa"/>
            <w:gridSpan w:val="2"/>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根据投标人提供的车辆维修服务方案进行评审，包括但不限于以下内容：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w:t>
            </w:r>
            <w:r>
              <w:rPr>
                <w:rFonts w:asciiTheme="minorEastAsia" w:eastAsiaTheme="minorEastAsia" w:hAnsiTheme="minorEastAsia"/>
                <w:szCs w:val="21"/>
              </w:rPr>
              <w:t>维修服务方案；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维修质量保障措施及方案；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公司管理措施及服务流程规范；</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w:t>
            </w:r>
            <w:r>
              <w:rPr>
                <w:rFonts w:asciiTheme="minorEastAsia" w:eastAsiaTheme="minorEastAsia" w:hAnsiTheme="minorEastAsia"/>
                <w:szCs w:val="21"/>
              </w:rPr>
              <w:t>车辆配件日常储备情况；</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w:t>
            </w:r>
            <w:r>
              <w:rPr>
                <w:rFonts w:asciiTheme="minorEastAsia" w:eastAsiaTheme="minorEastAsia" w:hAnsiTheme="minorEastAsia"/>
                <w:szCs w:val="21"/>
              </w:rPr>
              <w:t>针对该项目的公务车服务专柜、维修小组和维修专员设置。</w:t>
            </w:r>
          </w:p>
          <w:p>
            <w:pPr>
              <w:ind w:firstLine="420" w:firstLineChars="200"/>
              <w:rPr>
                <w:rFonts w:asciiTheme="minorEastAsia" w:eastAsiaTheme="minorEastAsia" w:hAnsiTheme="minorEastAsia" w:hint="eastAsia"/>
                <w:b/>
                <w:bCs/>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以上内容每提供一项得</w:t>
            </w:r>
            <w:r>
              <w:rPr>
                <w:rFonts w:asciiTheme="minorEastAsia" w:eastAsiaTheme="minorEastAsia" w:hAnsiTheme="minorEastAsia" w:hint="eastAsia"/>
                <w:szCs w:val="21"/>
              </w:rPr>
              <w:t>12</w:t>
            </w:r>
            <w:r>
              <w:rPr>
                <w:rFonts w:asciiTheme="minorEastAsia" w:eastAsiaTheme="minorEastAsia" w:hAnsiTheme="minorEastAsia"/>
                <w:szCs w:val="21"/>
              </w:rPr>
              <w:t>分，最高得</w:t>
            </w:r>
            <w:r>
              <w:rPr>
                <w:rFonts w:asciiTheme="minorEastAsia" w:eastAsiaTheme="minorEastAsia" w:hAnsiTheme="minorEastAsia" w:hint="eastAsia"/>
                <w:szCs w:val="21"/>
              </w:rPr>
              <w:t>60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在此基础上，专家根据各投标人的具体响应内容按照量化的评审因素指标进一步评审：</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1、车辆维修服务方案科学合理，针对性、可操作性强，评价为优，得</w:t>
            </w:r>
            <w:r>
              <w:rPr>
                <w:rFonts w:asciiTheme="minorEastAsia" w:eastAsiaTheme="minorEastAsia" w:hAnsiTheme="minorEastAsia" w:hint="eastAsia"/>
                <w:szCs w:val="21"/>
              </w:rPr>
              <w:t>40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2、车辆维修服务方案较合理，有一定针对性、可操作性，评价为良，得</w:t>
            </w:r>
            <w:r>
              <w:rPr>
                <w:rFonts w:asciiTheme="minorEastAsia" w:eastAsiaTheme="minorEastAsia" w:hAnsiTheme="minorEastAsia" w:hint="eastAsia"/>
                <w:szCs w:val="21"/>
              </w:rPr>
              <w:t>30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3、车辆维修服务方案一般，针对性一般、可操作性一般，评价为中，得1</w:t>
            </w:r>
            <w:r>
              <w:rPr>
                <w:rFonts w:asciiTheme="minorEastAsia" w:eastAsiaTheme="minorEastAsia" w:hAnsiTheme="minorEastAsia" w:hint="eastAsia"/>
                <w:szCs w:val="21"/>
              </w:rPr>
              <w:t>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4、车辆维修服务方案不合理，无针对性、可操作性，评价为差，不得分。</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szCs w:val="21"/>
              </w:rPr>
              <w:t>如果评审为差，要求专家书面说明理由，并记录在档。</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2</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应急服务方案</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15</w:t>
            </w:r>
          </w:p>
        </w:tc>
        <w:tc>
          <w:tcPr>
            <w:tcW w:w="4682" w:type="dxa"/>
            <w:gridSpan w:val="2"/>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r>
              <w:rPr>
                <w:rFonts w:asciiTheme="minorEastAsia" w:eastAsiaTheme="minorEastAsia" w:hAnsiTheme="minorEastAsia"/>
                <w:szCs w:val="21"/>
              </w:rPr>
              <w:t xml:space="preserve"> </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根据投标人提供的应急服务方案进行评审，包括但不限于以下内容：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1、应急服务方案、措施、制度等；</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2、应急服务时段及响应时间；</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3、重要执勤任务期间投标人跟踪维修服务方案；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4、特殊天气的应急服务方案；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5、特殊情况拖车及其他应急服务方案。</w:t>
            </w:r>
          </w:p>
          <w:p>
            <w:pPr>
              <w:ind w:firstLine="420" w:firstLineChars="200"/>
              <w:rPr>
                <w:rFonts w:asciiTheme="minorEastAsia" w:eastAsiaTheme="minorEastAsia" w:hAnsiTheme="minorEastAsia" w:hint="eastAsia"/>
                <w:b/>
                <w:bCs/>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以上内容每提供一项得</w:t>
            </w:r>
            <w:r>
              <w:rPr>
                <w:rFonts w:asciiTheme="minorEastAsia" w:eastAsiaTheme="minorEastAsia" w:hAnsiTheme="minorEastAsia" w:hint="eastAsia"/>
                <w:szCs w:val="21"/>
              </w:rPr>
              <w:t>12</w:t>
            </w:r>
            <w:r>
              <w:rPr>
                <w:rFonts w:asciiTheme="minorEastAsia" w:eastAsiaTheme="minorEastAsia" w:hAnsiTheme="minorEastAsia"/>
                <w:szCs w:val="21"/>
              </w:rPr>
              <w:t>分，最高得</w:t>
            </w:r>
            <w:r>
              <w:rPr>
                <w:rFonts w:asciiTheme="minorEastAsia" w:eastAsiaTheme="minorEastAsia" w:hAnsiTheme="minorEastAsia" w:hint="eastAsia"/>
                <w:szCs w:val="21"/>
              </w:rPr>
              <w:t>60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在此基础上，专家根据各投标人的具体响应内容按照量化的评审因素指标进一步评审：</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1、应急服务方案科学合理，针对性、可操作性强，评价为优，得</w:t>
            </w:r>
            <w:r>
              <w:rPr>
                <w:rFonts w:asciiTheme="minorEastAsia" w:eastAsiaTheme="minorEastAsia" w:hAnsiTheme="minorEastAsia" w:hint="eastAsia"/>
                <w:szCs w:val="21"/>
              </w:rPr>
              <w:t>40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2、应急服务方案较合理，有一定针对性、可操作性，评价为良，得</w:t>
            </w:r>
            <w:r>
              <w:rPr>
                <w:rFonts w:asciiTheme="minorEastAsia" w:eastAsiaTheme="minorEastAsia" w:hAnsiTheme="minorEastAsia" w:hint="eastAsia"/>
                <w:szCs w:val="21"/>
              </w:rPr>
              <w:t>30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3、应急服务方案一般，针对性一般、可操作性一般，评价为中，得1</w:t>
            </w:r>
            <w:r>
              <w:rPr>
                <w:rFonts w:asciiTheme="minorEastAsia" w:eastAsiaTheme="minorEastAsia" w:hAnsiTheme="minorEastAsia" w:hint="eastAsia"/>
                <w:szCs w:val="21"/>
              </w:rPr>
              <w:t>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4、应急服务方案不合理，无针对性、可操作性，评价为差，不得分。</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szCs w:val="21"/>
              </w:rPr>
              <w:t>如果评审为差，要求专家书面说明理由，并记录在档。</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3</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售后服务方案</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15</w:t>
            </w:r>
          </w:p>
        </w:tc>
        <w:tc>
          <w:tcPr>
            <w:tcW w:w="4682" w:type="dxa"/>
            <w:gridSpan w:val="2"/>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根据投标人提供的售后服务方案进行评审，包括但不限于以下内容：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1、配件质保及旧件回收管理方案；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2、降低车辆返修率实施方案；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3、车辆维修档案的建立；</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4、车辆完工后的使用情况回访。</w:t>
            </w:r>
          </w:p>
          <w:p>
            <w:pPr>
              <w:ind w:firstLine="420" w:firstLineChars="200"/>
              <w:rPr>
                <w:rFonts w:asciiTheme="minorEastAsia" w:eastAsiaTheme="minorEastAsia" w:hAnsiTheme="minorEastAsia" w:hint="eastAsia"/>
                <w:b/>
                <w:bCs/>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以上内容每提供一项得</w:t>
            </w:r>
            <w:r>
              <w:rPr>
                <w:rFonts w:asciiTheme="minorEastAsia" w:eastAsiaTheme="minorEastAsia" w:hAnsiTheme="minorEastAsia" w:hint="eastAsia"/>
                <w:szCs w:val="21"/>
              </w:rPr>
              <w:t>15</w:t>
            </w:r>
            <w:r>
              <w:rPr>
                <w:rFonts w:asciiTheme="minorEastAsia" w:eastAsiaTheme="minorEastAsia" w:hAnsiTheme="minorEastAsia"/>
                <w:szCs w:val="21"/>
              </w:rPr>
              <w:t>分，最多得</w:t>
            </w:r>
            <w:r>
              <w:rPr>
                <w:rFonts w:asciiTheme="minorEastAsia" w:eastAsiaTheme="minorEastAsia" w:hAnsiTheme="minorEastAsia" w:hint="eastAsia"/>
                <w:szCs w:val="21"/>
              </w:rPr>
              <w:t>60</w:t>
            </w:r>
            <w:r>
              <w:rPr>
                <w:rFonts w:asciiTheme="minorEastAsia" w:eastAsiaTheme="minorEastAsia" w:hAnsiTheme="minorEastAsia"/>
                <w:szCs w:val="21"/>
              </w:rPr>
              <w:t>分，在此基础上，专家根据各投标人的具体响应内容按照量化的评审因素指标进一步评审：</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1、售后服务方案科学合理，针对性、可操作性强，评价为优，得</w:t>
            </w:r>
            <w:r>
              <w:rPr>
                <w:rFonts w:asciiTheme="minorEastAsia" w:eastAsiaTheme="minorEastAsia" w:hAnsiTheme="minorEastAsia" w:hint="eastAsia"/>
                <w:szCs w:val="21"/>
              </w:rPr>
              <w:t>40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2、售后服务方案较合理，有一定针对性、可操作性，评价为良，得</w:t>
            </w:r>
            <w:r>
              <w:rPr>
                <w:rFonts w:asciiTheme="minorEastAsia" w:eastAsiaTheme="minorEastAsia" w:hAnsiTheme="minorEastAsia" w:hint="eastAsia"/>
                <w:szCs w:val="21"/>
              </w:rPr>
              <w:t>30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3、售后服务方案一般，针对性一般、可操作性一般，评价为中，得</w:t>
            </w:r>
            <w:r>
              <w:rPr>
                <w:rFonts w:asciiTheme="minorEastAsia" w:eastAsiaTheme="minorEastAsia" w:hAnsiTheme="minorEastAsia" w:hint="eastAsia"/>
                <w:szCs w:val="21"/>
              </w:rPr>
              <w:t>10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4、售后服务方案不合理，无针对性、可操作性，评价为差，不得分。</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szCs w:val="21"/>
              </w:rPr>
              <w:t>如果评审为差，要求专家书面说明理由，并记录在档。</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4</w:t>
            </w:r>
          </w:p>
        </w:tc>
        <w:tc>
          <w:tcPr>
            <w:tcW w:w="2046" w:type="dxa"/>
            <w:vAlign w:val="center"/>
          </w:tcPr>
          <w:p>
            <w:pPr>
              <w:wordWrap w:val="0"/>
              <w:jc w:val="center"/>
              <w:rPr>
                <w:rFonts w:eastAsia="宋体" w:asciiTheme="minorEastAsia" w:hAnsiTheme="minorEastAsia" w:cs="宋体" w:hint="eastAsia"/>
                <w:szCs w:val="21"/>
                <w:lang w:eastAsia="zh-CN"/>
              </w:rPr>
            </w:pPr>
            <w:r>
              <w:rPr>
                <w:rFonts w:asciiTheme="minorEastAsia" w:eastAsiaTheme="minorEastAsia" w:hAnsiTheme="minorEastAsia"/>
                <w:szCs w:val="21"/>
              </w:rPr>
              <w:t>违约</w:t>
            </w:r>
            <w:r>
              <w:rPr>
                <w:rFonts w:asciiTheme="minorEastAsia" w:eastAsiaTheme="minorEastAsia" w:hAnsiTheme="minorEastAsia" w:hint="eastAsia"/>
                <w:szCs w:val="21"/>
                <w:lang w:eastAsia="zh-CN"/>
              </w:rPr>
              <w:t>承诺</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5</w:t>
            </w:r>
          </w:p>
        </w:tc>
        <w:tc>
          <w:tcPr>
            <w:tcW w:w="4682" w:type="dxa"/>
            <w:gridSpan w:val="2"/>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根据投标人提供的违约</w:t>
            </w:r>
            <w:r>
              <w:rPr>
                <w:rFonts w:asciiTheme="minorEastAsia" w:eastAsiaTheme="minorEastAsia" w:hAnsiTheme="minorEastAsia" w:hint="eastAsia"/>
                <w:szCs w:val="21"/>
              </w:rPr>
              <w:t>方案</w:t>
            </w:r>
            <w:r>
              <w:rPr>
                <w:rFonts w:asciiTheme="minorEastAsia" w:eastAsiaTheme="minorEastAsia" w:hAnsiTheme="minorEastAsia"/>
                <w:szCs w:val="21"/>
              </w:rPr>
              <w:t>（格式自定）进行评审，包括但不限于以下内容：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1、严格按照服务方案承诺执行；</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2、服务质量达到招标文件要求；</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3、在</w:t>
            </w:r>
            <w:r>
              <w:rPr>
                <w:rFonts w:asciiTheme="minorEastAsia" w:eastAsiaTheme="minorEastAsia" w:hAnsiTheme="minorEastAsia" w:hint="eastAsia"/>
                <w:szCs w:val="21"/>
              </w:rPr>
              <w:t>配件</w:t>
            </w:r>
            <w:r>
              <w:rPr>
                <w:rFonts w:asciiTheme="minorEastAsia" w:eastAsiaTheme="minorEastAsia" w:hAnsiTheme="minorEastAsia"/>
                <w:szCs w:val="21"/>
              </w:rPr>
              <w:t>保修期内，同一故障因维修质量造成的机械事故和经济损失，由中标供应商负责承担赔偿责任</w:t>
            </w:r>
            <w:r>
              <w:rPr>
                <w:rFonts w:asciiTheme="minorEastAsia" w:eastAsiaTheme="minorEastAsia" w:hAnsiTheme="minorEastAsia" w:hint="eastAsia"/>
                <w:szCs w:val="21"/>
              </w:rPr>
              <w:t>；</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4、对采购人造成损失的赔偿方案；</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5、拟采取的补救措施承诺。</w:t>
            </w:r>
          </w:p>
          <w:p>
            <w:pPr>
              <w:ind w:firstLine="420" w:firstLineChars="200"/>
              <w:rPr>
                <w:rFonts w:asciiTheme="minorEastAsia" w:eastAsiaTheme="minorEastAsia" w:hAnsiTheme="minorEastAsia" w:hint="eastAsia"/>
                <w:b/>
                <w:bCs/>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以上内容每提供一项得</w:t>
            </w:r>
            <w:r>
              <w:rPr>
                <w:rFonts w:asciiTheme="minorEastAsia" w:eastAsiaTheme="minorEastAsia" w:hAnsiTheme="minorEastAsia" w:hint="eastAsia"/>
                <w:szCs w:val="21"/>
              </w:rPr>
              <w:t>12</w:t>
            </w:r>
            <w:r>
              <w:rPr>
                <w:rFonts w:asciiTheme="minorEastAsia" w:eastAsiaTheme="minorEastAsia" w:hAnsiTheme="minorEastAsia"/>
                <w:szCs w:val="21"/>
              </w:rPr>
              <w:t>分，最多得</w:t>
            </w:r>
            <w:r>
              <w:rPr>
                <w:rFonts w:asciiTheme="minorEastAsia" w:eastAsiaTheme="minorEastAsia" w:hAnsiTheme="minorEastAsia" w:hint="eastAsia"/>
                <w:szCs w:val="21"/>
              </w:rPr>
              <w:t>60</w:t>
            </w:r>
            <w:r>
              <w:rPr>
                <w:rFonts w:asciiTheme="minorEastAsia" w:eastAsiaTheme="minorEastAsia" w:hAnsiTheme="minorEastAsia"/>
                <w:szCs w:val="21"/>
              </w:rPr>
              <w:t>分，在此基础上，专家根据各投标人的具体响应内容按照量化的评审因素指标进一步评审：</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1、违约承诺科学合理，针对性、可操作性强，评价为优，得</w:t>
            </w:r>
            <w:r>
              <w:rPr>
                <w:rFonts w:asciiTheme="minorEastAsia" w:eastAsiaTheme="minorEastAsia" w:hAnsiTheme="minorEastAsia" w:hint="eastAsia"/>
                <w:szCs w:val="21"/>
              </w:rPr>
              <w:t>40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2、违约承诺较合理，有一定针对性、可操作性，评价为良，得</w:t>
            </w:r>
            <w:r>
              <w:rPr>
                <w:rFonts w:asciiTheme="minorEastAsia" w:eastAsiaTheme="minorEastAsia" w:hAnsiTheme="minorEastAsia" w:hint="eastAsia"/>
                <w:szCs w:val="21"/>
              </w:rPr>
              <w:t>30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3、违约承诺一般，针对性一般、可操作性一般，评价为中，得</w:t>
            </w:r>
            <w:r>
              <w:rPr>
                <w:rFonts w:asciiTheme="minorEastAsia" w:eastAsiaTheme="minorEastAsia" w:hAnsiTheme="minorEastAsia" w:hint="eastAsia"/>
                <w:szCs w:val="21"/>
              </w:rPr>
              <w:t>10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4、违约承诺不合理，无针对性、可操作性，评价为差，不得分。</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szCs w:val="21"/>
              </w:rPr>
              <w:t>如果评审为差，要求专家书面说明理由，并记录在档。</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5</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项目完成（服务期满）后的服务</w:t>
            </w:r>
            <w:r>
              <w:rPr>
                <w:rFonts w:asciiTheme="minorEastAsia" w:eastAsiaTheme="minorEastAsia" w:hAnsiTheme="minorEastAsia" w:hint="eastAsia"/>
                <w:szCs w:val="21"/>
              </w:rPr>
              <w:t>方案</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5</w:t>
            </w:r>
          </w:p>
        </w:tc>
        <w:tc>
          <w:tcPr>
            <w:tcW w:w="4682" w:type="dxa"/>
            <w:gridSpan w:val="2"/>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根据投标人提供的项目完成（服务期满）后的服务</w:t>
            </w:r>
            <w:r>
              <w:rPr>
                <w:rFonts w:asciiTheme="minorEastAsia" w:eastAsiaTheme="minorEastAsia" w:hAnsiTheme="minorEastAsia" w:hint="eastAsia"/>
                <w:szCs w:val="21"/>
              </w:rPr>
              <w:t>方案</w:t>
            </w:r>
            <w:r>
              <w:rPr>
                <w:rFonts w:asciiTheme="minorEastAsia" w:eastAsiaTheme="minorEastAsia" w:hAnsiTheme="minorEastAsia"/>
                <w:szCs w:val="21"/>
              </w:rPr>
              <w:t>（格式自定）进行评审，包括但不限于以下内容：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1、后续服务公司未到位前可提供的服务承诺；</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2、与后续服务公司的交接方案。</w:t>
            </w:r>
          </w:p>
          <w:p>
            <w:pPr>
              <w:ind w:firstLine="420" w:firstLineChars="200"/>
              <w:rPr>
                <w:rFonts w:asciiTheme="minorEastAsia" w:eastAsiaTheme="minorEastAsia" w:hAnsiTheme="minorEastAsia" w:hint="eastAsia"/>
                <w:b/>
                <w:bCs/>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ind w:firstLine="420" w:firstLineChars="200"/>
              <w:rPr>
                <w:rFonts w:asciiTheme="minorEastAsia" w:eastAsiaTheme="minorEastAsia" w:hAnsiTheme="minorEastAsia"/>
                <w:szCs w:val="21"/>
              </w:rPr>
            </w:pPr>
            <w:r>
              <w:rPr>
                <w:rFonts w:asciiTheme="minorEastAsia" w:eastAsiaTheme="minorEastAsia" w:hAnsiTheme="minorEastAsia"/>
                <w:szCs w:val="21"/>
              </w:rPr>
              <w:t>以上内容每提供一项得</w:t>
            </w:r>
            <w:r>
              <w:rPr>
                <w:rFonts w:asciiTheme="minorEastAsia" w:eastAsiaTheme="minorEastAsia" w:hAnsiTheme="minorEastAsia" w:hint="eastAsia"/>
                <w:szCs w:val="21"/>
                <w:lang w:val="en-US" w:eastAsia="zh-CN"/>
              </w:rPr>
              <w:t>30</w:t>
            </w:r>
            <w:r>
              <w:rPr>
                <w:rFonts w:asciiTheme="minorEastAsia" w:eastAsiaTheme="minorEastAsia" w:hAnsiTheme="minorEastAsia"/>
                <w:szCs w:val="21"/>
              </w:rPr>
              <w:t>分，最多得</w:t>
            </w:r>
            <w:r>
              <w:rPr>
                <w:rFonts w:asciiTheme="minorEastAsia" w:eastAsiaTheme="minorEastAsia" w:hAnsiTheme="minorEastAsia" w:hint="eastAsia"/>
                <w:szCs w:val="21"/>
                <w:lang w:val="en-US" w:eastAsia="zh-CN"/>
              </w:rPr>
              <w:t>60</w:t>
            </w:r>
            <w:r>
              <w:rPr>
                <w:rFonts w:asciiTheme="minorEastAsia" w:eastAsiaTheme="minorEastAsia" w:hAnsiTheme="minorEastAsia"/>
                <w:szCs w:val="21"/>
              </w:rPr>
              <w:t>分，在此基础上，专家根据各投标人的具体响应内容按照量化的评审因素指标进一步评审：</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1、项目完成（服务期满）后的服务承诺科学合理，针对性、可操作性强，评价为优，得</w:t>
            </w:r>
            <w:r>
              <w:rPr>
                <w:rFonts w:asciiTheme="minorEastAsia" w:eastAsiaTheme="minorEastAsia" w:hAnsiTheme="minorEastAsia" w:hint="eastAsia"/>
                <w:szCs w:val="21"/>
                <w:lang w:val="en-US" w:eastAsia="zh-CN"/>
              </w:rPr>
              <w:t>40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2、项目完成（服务期满）后的服务承诺较合理，有一定针对性、可操作性，评价为良，得</w:t>
            </w:r>
            <w:r>
              <w:rPr>
                <w:rFonts w:asciiTheme="minorEastAsia" w:eastAsiaTheme="minorEastAsia" w:hAnsiTheme="minorEastAsia" w:hint="eastAsia"/>
                <w:szCs w:val="21"/>
                <w:lang w:val="en-US" w:eastAsia="zh-CN"/>
              </w:rPr>
              <w:t>3</w:t>
            </w:r>
            <w:r>
              <w:rPr>
                <w:rFonts w:asciiTheme="minorEastAsia" w:eastAsiaTheme="minorEastAsia" w:hAnsiTheme="minorEastAsia" w:hint="eastAsia"/>
                <w:szCs w:val="21"/>
              </w:rPr>
              <w:t>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3、项目完成（服务期满）后的服务承诺一般，针对性一般、可操作性一般，评价为中，得</w:t>
            </w:r>
            <w:r>
              <w:rPr>
                <w:rFonts w:asciiTheme="minorEastAsia" w:eastAsiaTheme="minorEastAsia" w:hAnsiTheme="minorEastAsia" w:hint="eastAsia"/>
                <w:szCs w:val="21"/>
              </w:rPr>
              <w:t>20</w:t>
            </w:r>
            <w:r>
              <w:rPr>
                <w:rFonts w:asciiTheme="minorEastAsia" w:eastAsiaTheme="minorEastAsia" w:hAnsiTheme="minorEastAsia"/>
                <w:szCs w:val="21"/>
              </w:rPr>
              <w:t>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szCs w:val="21"/>
              </w:rPr>
              <w:t>4、项目完成（服务期满）后的服务承诺不合理，无针对性、可操作性，评价为差，不得分。</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szCs w:val="21"/>
              </w:rPr>
              <w:t>如果评审为差，要求专家书面说明理由，并记录在档。</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hint="eastAsia"/>
                <w:szCs w:val="21"/>
                <w:lang w:val="en-US" w:eastAsia="zh-CN"/>
              </w:rPr>
            </w:pPr>
            <w:r>
              <w:rPr>
                <w:rFonts w:asciiTheme="minorEastAsia" w:eastAsiaTheme="minorEastAsia" w:hAnsiTheme="minorEastAsia" w:hint="eastAsia"/>
                <w:szCs w:val="21"/>
                <w:lang w:val="en-US" w:eastAsia="zh-CN"/>
              </w:rPr>
              <w:t>6</w:t>
            </w:r>
          </w:p>
        </w:tc>
        <w:tc>
          <w:tcPr>
            <w:tcW w:w="2046"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szCs w:val="21"/>
              </w:rPr>
              <w:t>维修场所情况</w:t>
            </w:r>
          </w:p>
        </w:tc>
        <w:tc>
          <w:tcPr>
            <w:tcW w:w="993"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hint="eastAsia"/>
                <w:szCs w:val="21"/>
              </w:rPr>
              <w:t>6</w:t>
            </w:r>
          </w:p>
        </w:tc>
        <w:tc>
          <w:tcPr>
            <w:tcW w:w="4682" w:type="dxa"/>
            <w:gridSpan w:val="2"/>
            <w:vAlign w:val="center"/>
          </w:tcPr>
          <w:p>
            <w:pPr>
              <w:snapToGrid/>
              <w:ind w:firstLine="420" w:firstLineChars="200"/>
              <w:rPr>
                <w:rFonts w:asciiTheme="minorEastAsia" w:eastAsiaTheme="minorEastAsia" w:hAnsiTheme="minorEastAsia" w:hint="eastAsia"/>
                <w:b/>
                <w:kern w:val="0"/>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kern w:val="0"/>
                <w:szCs w:val="21"/>
              </w:rPr>
              <w:t>评分内容</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hint="eastAsia"/>
                <w:bCs/>
                <w:kern w:val="0"/>
                <w:szCs w:val="21"/>
                <w:lang w:val="en-US" w:eastAsia="zh-CN"/>
              </w:rPr>
              <w:t>1.</w:t>
            </w:r>
            <w:r>
              <w:rPr>
                <w:rFonts w:asciiTheme="minorEastAsia" w:eastAsiaTheme="minorEastAsia" w:hAnsiTheme="minorEastAsia"/>
                <w:bCs/>
                <w:kern w:val="0"/>
                <w:szCs w:val="21"/>
              </w:rPr>
              <w:t>投标人的维修场地面积</w:t>
            </w:r>
            <w:r>
              <w:rPr>
                <w:rFonts w:asciiTheme="minorEastAsia" w:eastAsiaTheme="minorEastAsia" w:hAnsiTheme="minorEastAsia" w:hint="eastAsia"/>
                <w:bCs/>
                <w:kern w:val="0"/>
                <w:szCs w:val="21"/>
              </w:rPr>
              <w:t>（有多个维修场地的可累计）：</w:t>
            </w:r>
          </w:p>
          <w:p>
            <w:pPr>
              <w:snapToGrid w:val="0"/>
              <w:ind w:firstLine="420" w:firstLineChars="200"/>
              <w:rPr>
                <w:rFonts w:asciiTheme="minorEastAsia" w:eastAsiaTheme="minorEastAsia" w:hAnsiTheme="minorEastAsia"/>
                <w:bCs/>
                <w:kern w:val="0"/>
                <w:szCs w:val="21"/>
              </w:rPr>
            </w:pPr>
            <w:r>
              <w:rPr>
                <w:rFonts w:asciiTheme="minorEastAsia" w:eastAsiaTheme="minorEastAsia" w:hAnsiTheme="minorEastAsia" w:hint="eastAsia"/>
                <w:bCs/>
                <w:kern w:val="0"/>
                <w:szCs w:val="21"/>
              </w:rPr>
              <w:t>6</w:t>
            </w:r>
            <w:r>
              <w:rPr>
                <w:rFonts w:asciiTheme="minorEastAsia" w:eastAsiaTheme="minorEastAsia" w:hAnsiTheme="minorEastAsia"/>
                <w:bCs/>
                <w:kern w:val="0"/>
                <w:szCs w:val="21"/>
              </w:rPr>
              <w:t>00平方米（含）-</w:t>
            </w:r>
            <w:r>
              <w:rPr>
                <w:rFonts w:asciiTheme="minorEastAsia" w:eastAsiaTheme="minorEastAsia" w:hAnsiTheme="minorEastAsia" w:hint="eastAsia"/>
                <w:bCs/>
                <w:kern w:val="0"/>
                <w:szCs w:val="21"/>
              </w:rPr>
              <w:t>7</w:t>
            </w:r>
            <w:r>
              <w:rPr>
                <w:rFonts w:asciiTheme="minorEastAsia" w:eastAsiaTheme="minorEastAsia" w:hAnsiTheme="minorEastAsia"/>
                <w:bCs/>
                <w:kern w:val="0"/>
                <w:szCs w:val="21"/>
              </w:rPr>
              <w:t>00平方米（不含）得</w:t>
            </w:r>
            <w:r>
              <w:rPr>
                <w:rFonts w:asciiTheme="minorEastAsia" w:eastAsiaTheme="minorEastAsia" w:hAnsiTheme="minorEastAsia" w:hint="eastAsia"/>
                <w:bCs/>
                <w:kern w:val="0"/>
                <w:szCs w:val="21"/>
                <w:lang w:val="en-US" w:eastAsia="zh-CN"/>
              </w:rPr>
              <w:t>30</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；7</w:t>
            </w:r>
            <w:r>
              <w:rPr>
                <w:rFonts w:asciiTheme="minorEastAsia" w:eastAsiaTheme="minorEastAsia" w:hAnsiTheme="minorEastAsia"/>
                <w:bCs/>
                <w:kern w:val="0"/>
                <w:szCs w:val="21"/>
              </w:rPr>
              <w:t>00平方米（含）-</w:t>
            </w:r>
            <w:r>
              <w:rPr>
                <w:rFonts w:asciiTheme="minorEastAsia" w:eastAsiaTheme="minorEastAsia" w:hAnsiTheme="minorEastAsia" w:hint="eastAsia"/>
                <w:bCs/>
                <w:kern w:val="0"/>
                <w:szCs w:val="21"/>
              </w:rPr>
              <w:t>8</w:t>
            </w:r>
            <w:r>
              <w:rPr>
                <w:rFonts w:asciiTheme="minorEastAsia" w:eastAsiaTheme="minorEastAsia" w:hAnsiTheme="minorEastAsia"/>
                <w:bCs/>
                <w:kern w:val="0"/>
                <w:szCs w:val="21"/>
              </w:rPr>
              <w:t>00平方米（不含）得</w:t>
            </w:r>
            <w:r>
              <w:rPr>
                <w:rFonts w:asciiTheme="minorEastAsia" w:eastAsiaTheme="minorEastAsia" w:hAnsiTheme="minorEastAsia" w:hint="eastAsia"/>
                <w:bCs/>
                <w:kern w:val="0"/>
                <w:szCs w:val="21"/>
                <w:lang w:val="en-US" w:eastAsia="zh-CN"/>
              </w:rPr>
              <w:t>40</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；8</w:t>
            </w:r>
            <w:r>
              <w:rPr>
                <w:rFonts w:asciiTheme="minorEastAsia" w:eastAsiaTheme="minorEastAsia" w:hAnsiTheme="minorEastAsia"/>
                <w:bCs/>
                <w:kern w:val="0"/>
                <w:szCs w:val="21"/>
              </w:rPr>
              <w:t>00平方米（含）-</w:t>
            </w:r>
            <w:r>
              <w:rPr>
                <w:rFonts w:asciiTheme="minorEastAsia" w:eastAsiaTheme="minorEastAsia" w:hAnsiTheme="minorEastAsia" w:hint="eastAsia"/>
                <w:bCs/>
                <w:kern w:val="0"/>
                <w:szCs w:val="21"/>
              </w:rPr>
              <w:t>9</w:t>
            </w:r>
            <w:r>
              <w:rPr>
                <w:rFonts w:asciiTheme="minorEastAsia" w:eastAsiaTheme="minorEastAsia" w:hAnsiTheme="minorEastAsia"/>
                <w:bCs/>
                <w:kern w:val="0"/>
                <w:szCs w:val="21"/>
              </w:rPr>
              <w:t>00平方米（不含）得</w:t>
            </w:r>
            <w:r>
              <w:rPr>
                <w:rFonts w:asciiTheme="minorEastAsia" w:eastAsiaTheme="minorEastAsia" w:hAnsiTheme="minorEastAsia" w:hint="eastAsia"/>
                <w:bCs/>
                <w:kern w:val="0"/>
                <w:szCs w:val="21"/>
                <w:lang w:val="en-US" w:eastAsia="zh-CN"/>
              </w:rPr>
              <w:t>50</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；9</w:t>
            </w:r>
            <w:r>
              <w:rPr>
                <w:rFonts w:asciiTheme="minorEastAsia" w:eastAsiaTheme="minorEastAsia" w:hAnsiTheme="minorEastAsia"/>
                <w:bCs/>
                <w:kern w:val="0"/>
                <w:szCs w:val="21"/>
              </w:rPr>
              <w:t>00平方米（含）-</w:t>
            </w:r>
            <w:r>
              <w:rPr>
                <w:rFonts w:asciiTheme="minorEastAsia" w:eastAsiaTheme="minorEastAsia" w:hAnsiTheme="minorEastAsia" w:hint="eastAsia"/>
                <w:bCs/>
                <w:kern w:val="0"/>
                <w:szCs w:val="21"/>
              </w:rPr>
              <w:t>10</w:t>
            </w:r>
            <w:r>
              <w:rPr>
                <w:rFonts w:asciiTheme="minorEastAsia" w:eastAsiaTheme="minorEastAsia" w:hAnsiTheme="minorEastAsia"/>
                <w:bCs/>
                <w:kern w:val="0"/>
                <w:szCs w:val="21"/>
              </w:rPr>
              <w:t>00平方米（不含）得</w:t>
            </w:r>
            <w:r>
              <w:rPr>
                <w:rFonts w:asciiTheme="minorEastAsia" w:eastAsiaTheme="minorEastAsia" w:hAnsiTheme="minorEastAsia" w:hint="eastAsia"/>
                <w:bCs/>
                <w:kern w:val="0"/>
                <w:szCs w:val="21"/>
                <w:lang w:val="en-US" w:eastAsia="zh-CN"/>
              </w:rPr>
              <w:t>60</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w:t>
            </w:r>
            <w:r>
              <w:rPr>
                <w:rFonts w:asciiTheme="minorEastAsia" w:eastAsiaTheme="minorEastAsia" w:hAnsiTheme="minorEastAsia"/>
                <w:bCs/>
                <w:kern w:val="0"/>
                <w:szCs w:val="21"/>
              </w:rPr>
              <w:t>大于等于</w:t>
            </w:r>
            <w:r>
              <w:rPr>
                <w:rFonts w:asciiTheme="minorEastAsia" w:eastAsiaTheme="minorEastAsia" w:hAnsiTheme="minorEastAsia" w:hint="eastAsia"/>
                <w:bCs/>
                <w:kern w:val="0"/>
                <w:szCs w:val="21"/>
              </w:rPr>
              <w:t>10</w:t>
            </w:r>
            <w:r>
              <w:rPr>
                <w:rFonts w:asciiTheme="minorEastAsia" w:eastAsiaTheme="minorEastAsia" w:hAnsiTheme="minorEastAsia"/>
                <w:bCs/>
                <w:kern w:val="0"/>
                <w:szCs w:val="21"/>
              </w:rPr>
              <w:t>00平方米得</w:t>
            </w:r>
            <w:r>
              <w:rPr>
                <w:rFonts w:asciiTheme="minorEastAsia" w:eastAsiaTheme="minorEastAsia" w:hAnsiTheme="minorEastAsia" w:hint="eastAsia"/>
                <w:bCs/>
                <w:kern w:val="0"/>
                <w:szCs w:val="21"/>
                <w:lang w:val="en-US" w:eastAsia="zh-CN"/>
              </w:rPr>
              <w:t>70</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，本项</w:t>
            </w:r>
            <w:r>
              <w:rPr>
                <w:rFonts w:asciiTheme="minorEastAsia" w:eastAsiaTheme="minorEastAsia" w:hAnsiTheme="minorEastAsia"/>
                <w:bCs/>
                <w:kern w:val="0"/>
                <w:szCs w:val="21"/>
              </w:rPr>
              <w:t>最高得</w:t>
            </w:r>
            <w:r>
              <w:rPr>
                <w:rFonts w:asciiTheme="minorEastAsia" w:eastAsiaTheme="minorEastAsia" w:hAnsiTheme="minorEastAsia" w:hint="eastAsia"/>
                <w:bCs/>
                <w:kern w:val="0"/>
                <w:szCs w:val="21"/>
                <w:lang w:val="en-US" w:eastAsia="zh-CN"/>
              </w:rPr>
              <w:t>70</w:t>
            </w:r>
            <w:r>
              <w:rPr>
                <w:rFonts w:asciiTheme="minorEastAsia" w:eastAsiaTheme="minorEastAsia" w:hAnsiTheme="minorEastAsia"/>
                <w:bCs/>
                <w:kern w:val="0"/>
                <w:szCs w:val="21"/>
              </w:rPr>
              <w:t>分。</w:t>
            </w:r>
          </w:p>
          <w:p>
            <w:pPr>
              <w:numPr>
                <w:ilvl w:val="0"/>
                <w:numId w:val="0"/>
              </w:numPr>
              <w:snapToGrid w:val="0"/>
              <w:ind w:firstLine="420" w:firstLineChars="200"/>
              <w:rPr>
                <w:rFonts w:asciiTheme="minorEastAsia" w:eastAsiaTheme="minorEastAsia" w:hAnsiTheme="minorEastAsia" w:hint="eastAsia"/>
                <w:bCs/>
                <w:kern w:val="0"/>
                <w:szCs w:val="21"/>
                <w:lang w:val="en-US" w:eastAsia="zh-CN"/>
              </w:rPr>
            </w:pPr>
            <w:r>
              <w:rPr>
                <w:rFonts w:asciiTheme="minorEastAsia" w:eastAsiaTheme="minorEastAsia" w:hAnsiTheme="minorEastAsia" w:hint="eastAsia"/>
                <w:bCs/>
                <w:kern w:val="0"/>
                <w:szCs w:val="21"/>
                <w:lang w:val="en-US" w:eastAsia="zh-CN"/>
              </w:rPr>
              <w:t>2.维修场所具有正常合格使用以下计量器具①车轮动平衡机、②四轮定位仪/转向轮定位仪、③汽缸压力表、④燃油压力表。（需提供以上设备服务期内可正常合格使用承诺书）本项得30分。</w:t>
            </w:r>
          </w:p>
          <w:p>
            <w:pPr>
              <w:numPr>
                <w:ilvl w:val="0"/>
                <w:numId w:val="0"/>
              </w:numPr>
              <w:snapToGrid w:val="0"/>
              <w:ind w:firstLine="420" w:firstLineChars="200"/>
              <w:rPr>
                <w:rFonts w:asciiTheme="minorEastAsia" w:eastAsiaTheme="minorEastAsia" w:hAnsiTheme="minorEastAsia" w:hint="default"/>
                <w:bCs/>
                <w:kern w:val="0"/>
                <w:szCs w:val="21"/>
                <w:lang w:val="en-US" w:eastAsia="zh-CN"/>
              </w:rPr>
            </w:pPr>
            <w:r>
              <w:rPr>
                <w:rFonts w:asciiTheme="minorEastAsia" w:eastAsiaTheme="minorEastAsia" w:hAnsiTheme="minorEastAsia" w:hint="eastAsia"/>
                <w:bCs/>
                <w:kern w:val="0"/>
                <w:szCs w:val="21"/>
                <w:lang w:val="en-US" w:eastAsia="zh-CN"/>
              </w:rPr>
              <w:t>以上两项最高100分。</w:t>
            </w:r>
          </w:p>
          <w:p>
            <w:pPr>
              <w:snapToGrid/>
              <w:ind w:firstLine="420" w:firstLineChars="200"/>
              <w:rPr>
                <w:rFonts w:asciiTheme="minorEastAsia" w:eastAsiaTheme="minorEastAsia" w:hAnsiTheme="minorEastAsia" w:hint="eastAsia"/>
                <w:b/>
                <w:kern w:val="0"/>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kern w:val="0"/>
                <w:szCs w:val="21"/>
              </w:rPr>
              <w:t>评分标准</w:t>
            </w:r>
          </w:p>
          <w:p>
            <w:pPr>
              <w:snapToGrid w:val="0"/>
              <w:ind w:firstLine="420" w:firstLineChars="200"/>
              <w:rPr>
                <w:rFonts w:asciiTheme="minorEastAsia" w:eastAsiaTheme="minorEastAsia" w:hAnsiTheme="minorEastAsia" w:hint="eastAsia"/>
                <w:bCs/>
                <w:kern w:val="0"/>
                <w:szCs w:val="21"/>
                <w:lang w:val="en-US" w:eastAsia="zh-CN"/>
              </w:rPr>
            </w:pPr>
            <w:r>
              <w:rPr>
                <w:rFonts w:asciiTheme="minorEastAsia" w:eastAsiaTheme="minorEastAsia" w:hAnsiTheme="minorEastAsia" w:cs="Times New Roman"/>
                <w:bCs/>
                <w:kern w:val="0"/>
                <w:sz w:val="21"/>
                <w:szCs w:val="21"/>
                <w:lang w:val="en-US" w:eastAsia="zh-CN" w:bidi="ar-SA"/>
              </w:rPr>
              <w:t>1.</w:t>
            </w:r>
            <w:r>
              <w:rPr>
                <w:rFonts w:asciiTheme="minorEastAsia" w:eastAsiaTheme="minorEastAsia" w:hAnsiTheme="minorEastAsia" w:hint="eastAsia"/>
                <w:bCs/>
                <w:kern w:val="0"/>
                <w:szCs w:val="21"/>
                <w:lang w:val="en-US" w:eastAsia="zh-CN"/>
              </w:rPr>
              <w:t>关于评分点1：</w:t>
            </w:r>
            <w:r>
              <w:rPr>
                <w:rFonts w:asciiTheme="minorEastAsia" w:eastAsiaTheme="minorEastAsia" w:hAnsiTheme="minorEastAsia"/>
                <w:bCs/>
                <w:kern w:val="0"/>
                <w:szCs w:val="21"/>
              </w:rPr>
              <w:t>同时提供维修场所的现场照片、自有产权证明（或租赁合同），其中自有产权证明（或租赁合同）需体现维修场所面积，证明材料提供扫描件，作为得分依据。提供租赁合同的，租赁期限需涵盖本项目服务期限。</w:t>
            </w:r>
            <w:r>
              <w:rPr>
                <w:rFonts w:asciiTheme="minorEastAsia" w:eastAsiaTheme="minorEastAsia" w:hAnsiTheme="minorEastAsia" w:hint="eastAsia"/>
                <w:bCs/>
                <w:kern w:val="0"/>
                <w:szCs w:val="21"/>
                <w:lang w:val="en-US" w:eastAsia="zh-CN"/>
              </w:rPr>
              <w:t>累计的维修场地需同一个公司。</w:t>
            </w:r>
          </w:p>
          <w:p>
            <w:pPr>
              <w:numPr>
                <w:ilvl w:val="255"/>
                <w:numId w:val="0"/>
              </w:numPr>
              <w:snapToGrid/>
              <w:ind w:firstLine="420" w:firstLineChars="200"/>
              <w:rPr>
                <w:rFonts w:asciiTheme="minorEastAsia" w:eastAsiaTheme="minorEastAsia" w:hAnsiTheme="minorEastAsia" w:hint="default"/>
                <w:bCs/>
                <w:kern w:val="0"/>
                <w:szCs w:val="21"/>
                <w:lang w:val="en-US" w:eastAsia="zh-CN"/>
              </w:rPr>
            </w:pPr>
            <w:r>
              <w:rPr>
                <w:rFonts w:asciiTheme="minorEastAsia" w:eastAsiaTheme="minorEastAsia" w:hAnsiTheme="minorEastAsia" w:hint="eastAsia"/>
                <w:bCs/>
                <w:kern w:val="0"/>
                <w:szCs w:val="21"/>
                <w:lang w:val="en-US" w:eastAsia="zh-CN"/>
              </w:rPr>
              <w:t>2.关于评分点2：提供该计量器具自有或租赁凭证，</w:t>
            </w:r>
            <w:r>
              <w:rPr>
                <w:rFonts w:hint="eastAsia"/>
                <w:lang w:val="en-US" w:eastAsia="zh-CN"/>
              </w:rPr>
              <w:t>自有的提供购置发票和现场实物照片；</w:t>
            </w:r>
            <w:r>
              <w:rPr>
                <w:rFonts w:asciiTheme="minorEastAsia" w:eastAsiaTheme="minorEastAsia" w:hAnsiTheme="minorEastAsia" w:hint="eastAsia"/>
                <w:bCs/>
                <w:kern w:val="0"/>
                <w:szCs w:val="21"/>
                <w:lang w:val="en-US" w:eastAsia="zh-CN"/>
              </w:rPr>
              <w:t>租赁的要求提供合同关键信息（包括但不限于合同标的、签订时间、双方签章页）和发票流水扫描件。</w:t>
            </w:r>
          </w:p>
          <w:p>
            <w:pPr>
              <w:ind w:firstLine="420" w:firstLineChars="200"/>
              <w:rPr>
                <w:rFonts w:asciiTheme="minorEastAsia" w:eastAsiaTheme="minorEastAsia" w:hAnsiTheme="minorEastAsia" w:hint="eastAsia"/>
                <w:bCs/>
                <w:kern w:val="0"/>
                <w:szCs w:val="21"/>
              </w:rPr>
            </w:pPr>
            <w:r>
              <w:rPr>
                <w:rFonts w:asciiTheme="minorEastAsia" w:eastAsiaTheme="minorEastAsia" w:hAnsiTheme="minorEastAsia" w:hint="eastAsia"/>
                <w:bCs/>
                <w:kern w:val="0"/>
                <w:szCs w:val="21"/>
                <w:lang w:val="en-US" w:eastAsia="zh-CN"/>
              </w:rPr>
              <w:t>3</w:t>
            </w:r>
            <w:r>
              <w:rPr>
                <w:rFonts w:asciiTheme="minorEastAsia" w:eastAsiaTheme="minorEastAsia" w:hAnsiTheme="minorEastAsia"/>
                <w:bCs/>
                <w:kern w:val="0"/>
                <w:szCs w:val="21"/>
              </w:rPr>
              <w:t>.评分中出现未提供证明资料或专家无法凭所提供资料判断是否得分的情况，一律作不得分处理。</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hint="eastAsia"/>
                <w:szCs w:val="21"/>
                <w:lang w:val="en-US" w:eastAsia="zh-CN"/>
              </w:rPr>
            </w:pPr>
            <w:r>
              <w:rPr>
                <w:rFonts w:asciiTheme="minorEastAsia" w:eastAsiaTheme="minorEastAsia" w:hAnsiTheme="minorEastAsia" w:hint="eastAsia"/>
                <w:szCs w:val="21"/>
                <w:lang w:val="en-US" w:eastAsia="zh-CN"/>
              </w:rPr>
              <w:t>7</w:t>
            </w:r>
          </w:p>
        </w:tc>
        <w:tc>
          <w:tcPr>
            <w:tcW w:w="2046"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szCs w:val="21"/>
              </w:rPr>
              <w:t>响应时间</w:t>
            </w:r>
          </w:p>
        </w:tc>
        <w:tc>
          <w:tcPr>
            <w:tcW w:w="993"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hint="eastAsia"/>
                <w:szCs w:val="21"/>
              </w:rPr>
              <w:t>6</w:t>
            </w:r>
          </w:p>
        </w:tc>
        <w:tc>
          <w:tcPr>
            <w:tcW w:w="4682" w:type="dxa"/>
            <w:gridSpan w:val="2"/>
            <w:vAlign w:val="center"/>
          </w:tcPr>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b/>
                <w:bCs/>
                <w:szCs w:val="21"/>
              </w:rPr>
              <w:t>（一）</w:t>
            </w:r>
            <w:r>
              <w:rPr>
                <w:rFonts w:asciiTheme="minorEastAsia" w:eastAsiaTheme="minorEastAsia" w:hAnsiTheme="minorEastAsia"/>
                <w:b/>
                <w:bCs/>
                <w:szCs w:val="21"/>
              </w:rPr>
              <w:t>评分内容</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投标人收到车辆维修通知后，承诺到达需维修车辆现场时间：</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1、到达现场时间≦</w:t>
            </w:r>
            <w:r>
              <w:rPr>
                <w:rFonts w:asciiTheme="minorEastAsia" w:eastAsiaTheme="minorEastAsia" w:hAnsiTheme="minorEastAsia" w:hint="eastAsia"/>
                <w:bCs/>
                <w:kern w:val="0"/>
                <w:szCs w:val="21"/>
                <w:lang w:val="en-US" w:eastAsia="zh-CN"/>
              </w:rPr>
              <w:t>60</w:t>
            </w:r>
            <w:r>
              <w:rPr>
                <w:rFonts w:asciiTheme="minorEastAsia" w:eastAsiaTheme="minorEastAsia" w:hAnsiTheme="minorEastAsia"/>
                <w:bCs/>
                <w:kern w:val="0"/>
                <w:szCs w:val="21"/>
              </w:rPr>
              <w:t>分钟的，得</w:t>
            </w:r>
            <w:r>
              <w:rPr>
                <w:rFonts w:asciiTheme="minorEastAsia" w:eastAsiaTheme="minorEastAsia" w:hAnsiTheme="minorEastAsia" w:hint="eastAsia"/>
                <w:bCs/>
                <w:kern w:val="0"/>
                <w:szCs w:val="21"/>
              </w:rPr>
              <w:t>100</w:t>
            </w:r>
            <w:r>
              <w:rPr>
                <w:rFonts w:asciiTheme="minorEastAsia" w:eastAsiaTheme="minorEastAsia" w:hAnsiTheme="minorEastAsia"/>
                <w:bCs/>
                <w:kern w:val="0"/>
                <w:szCs w:val="21"/>
              </w:rPr>
              <w:t>分；</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2、</w:t>
            </w:r>
            <w:r>
              <w:rPr>
                <w:rFonts w:asciiTheme="minorEastAsia" w:eastAsiaTheme="minorEastAsia" w:hAnsiTheme="minorEastAsia" w:hint="eastAsia"/>
                <w:bCs/>
                <w:kern w:val="0"/>
                <w:szCs w:val="21"/>
                <w:lang w:val="en-US" w:eastAsia="zh-CN"/>
              </w:rPr>
              <w:t>60</w:t>
            </w:r>
            <w:r>
              <w:rPr>
                <w:rFonts w:asciiTheme="minorEastAsia" w:eastAsiaTheme="minorEastAsia" w:hAnsiTheme="minorEastAsia"/>
                <w:bCs/>
                <w:kern w:val="0"/>
                <w:szCs w:val="21"/>
              </w:rPr>
              <w:t>分钟＜到达现场时间≦</w:t>
            </w:r>
            <w:r>
              <w:rPr>
                <w:rFonts w:asciiTheme="minorEastAsia" w:eastAsiaTheme="minorEastAsia" w:hAnsiTheme="minorEastAsia" w:hint="eastAsia"/>
                <w:bCs/>
                <w:kern w:val="0"/>
                <w:szCs w:val="21"/>
                <w:lang w:val="en-US" w:eastAsia="zh-CN"/>
              </w:rPr>
              <w:t>9</w:t>
            </w:r>
            <w:r>
              <w:rPr>
                <w:rFonts w:asciiTheme="minorEastAsia" w:eastAsiaTheme="minorEastAsia" w:hAnsiTheme="minorEastAsia"/>
                <w:bCs/>
                <w:kern w:val="0"/>
                <w:szCs w:val="21"/>
              </w:rPr>
              <w:t>0分钟的，得</w:t>
            </w:r>
            <w:r>
              <w:rPr>
                <w:rFonts w:asciiTheme="minorEastAsia" w:eastAsiaTheme="minorEastAsia" w:hAnsiTheme="minorEastAsia" w:hint="eastAsia"/>
                <w:bCs/>
                <w:kern w:val="0"/>
                <w:szCs w:val="21"/>
              </w:rPr>
              <w:t>90</w:t>
            </w:r>
            <w:r>
              <w:rPr>
                <w:rFonts w:asciiTheme="minorEastAsia" w:eastAsiaTheme="minorEastAsia" w:hAnsiTheme="minorEastAsia"/>
                <w:bCs/>
                <w:kern w:val="0"/>
                <w:szCs w:val="21"/>
              </w:rPr>
              <w:t>分；</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3、</w:t>
            </w:r>
            <w:r>
              <w:rPr>
                <w:rFonts w:asciiTheme="minorEastAsia" w:eastAsiaTheme="minorEastAsia" w:hAnsiTheme="minorEastAsia" w:hint="eastAsia"/>
                <w:bCs/>
                <w:kern w:val="0"/>
                <w:szCs w:val="21"/>
                <w:lang w:val="en-US" w:eastAsia="zh-CN"/>
              </w:rPr>
              <w:t>90</w:t>
            </w:r>
            <w:r>
              <w:rPr>
                <w:rFonts w:asciiTheme="minorEastAsia" w:eastAsiaTheme="minorEastAsia" w:hAnsiTheme="minorEastAsia"/>
                <w:bCs/>
                <w:kern w:val="0"/>
                <w:szCs w:val="21"/>
              </w:rPr>
              <w:t>分钟＜到达现场时间≦120分钟的，得</w:t>
            </w:r>
            <w:r>
              <w:rPr>
                <w:rFonts w:asciiTheme="minorEastAsia" w:eastAsiaTheme="minorEastAsia" w:hAnsiTheme="minorEastAsia" w:hint="eastAsia"/>
                <w:bCs/>
                <w:kern w:val="0"/>
                <w:szCs w:val="21"/>
              </w:rPr>
              <w:t>80</w:t>
            </w:r>
            <w:r>
              <w:rPr>
                <w:rFonts w:asciiTheme="minorEastAsia" w:eastAsiaTheme="minorEastAsia" w:hAnsiTheme="minorEastAsia"/>
                <w:bCs/>
                <w:kern w:val="0"/>
                <w:szCs w:val="21"/>
              </w:rPr>
              <w:t>分；</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4、120分钟＜到达现场时间≦180分钟的，得</w:t>
            </w:r>
            <w:r>
              <w:rPr>
                <w:rFonts w:asciiTheme="minorEastAsia" w:eastAsiaTheme="minorEastAsia" w:hAnsiTheme="minorEastAsia" w:hint="eastAsia"/>
                <w:bCs/>
                <w:kern w:val="0"/>
                <w:szCs w:val="21"/>
              </w:rPr>
              <w:t>70</w:t>
            </w:r>
            <w:r>
              <w:rPr>
                <w:rFonts w:asciiTheme="minorEastAsia" w:eastAsiaTheme="minorEastAsia" w:hAnsiTheme="minorEastAsia"/>
                <w:bCs/>
                <w:kern w:val="0"/>
                <w:szCs w:val="21"/>
              </w:rPr>
              <w:t>分；</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5、到达现场时间＞180分钟的，不得分。</w:t>
            </w:r>
          </w:p>
          <w:p>
            <w:pPr>
              <w:snapToGrid w:val="0"/>
              <w:ind w:firstLine="420" w:firstLineChars="200"/>
              <w:rPr>
                <w:rFonts w:asciiTheme="minorEastAsia" w:eastAsiaTheme="minorEastAsia" w:hAnsiTheme="minorEastAsia" w:hint="eastAsia"/>
                <w:bCs/>
                <w:strike/>
                <w:kern w:val="0"/>
                <w:szCs w:val="21"/>
              </w:rPr>
            </w:pPr>
            <w:r>
              <w:rPr>
                <w:rFonts w:asciiTheme="minorEastAsia" w:eastAsiaTheme="minorEastAsia" w:hAnsiTheme="minorEastAsia" w:cstheme="minorEastAsia" w:hint="eastAsia"/>
                <w:b/>
                <w:bCs/>
                <w:szCs w:val="21"/>
              </w:rPr>
              <w:t>（二）</w:t>
            </w:r>
            <w:r>
              <w:rPr>
                <w:rFonts w:asciiTheme="minorEastAsia" w:eastAsiaTheme="minorEastAsia" w:hAnsiTheme="minorEastAsia"/>
                <w:b/>
                <w:bCs/>
                <w:szCs w:val="21"/>
              </w:rPr>
              <w:t>评分标准</w:t>
            </w:r>
          </w:p>
          <w:p>
            <w:pPr>
              <w:snapToGrid w:val="0"/>
              <w:ind w:firstLine="420" w:firstLineChars="200"/>
              <w:rPr>
                <w:rFonts w:asciiTheme="minorEastAsia" w:eastAsiaTheme="minorEastAsia" w:hAnsiTheme="minorEastAsia" w:hint="eastAsia"/>
                <w:b/>
                <w:kern w:val="0"/>
                <w:szCs w:val="21"/>
              </w:rPr>
            </w:pPr>
            <w:r>
              <w:rPr>
                <w:rFonts w:asciiTheme="minorEastAsia" w:eastAsiaTheme="minorEastAsia" w:hAnsiTheme="minorEastAsia"/>
                <w:bCs/>
                <w:kern w:val="0"/>
                <w:szCs w:val="21"/>
              </w:rPr>
              <w:t>要求提供承诺函（格式自拟）作为得分依据，未按采购文件要求提供承诺函的不得分。</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hint="eastAsia"/>
                <w:szCs w:val="21"/>
                <w:lang w:eastAsia="zh-CN"/>
              </w:rPr>
            </w:pPr>
            <w:r>
              <w:rPr>
                <w:rFonts w:asciiTheme="minorEastAsia" w:eastAsiaTheme="minorEastAsia" w:hAnsiTheme="minorEastAsia" w:hint="eastAsia"/>
                <w:szCs w:val="21"/>
                <w:lang w:val="en-US" w:eastAsia="zh-CN"/>
              </w:rPr>
              <w:t>8</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拟安排的项目主要团队成员（主要技术人员）情况</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5</w:t>
            </w:r>
          </w:p>
        </w:tc>
        <w:tc>
          <w:tcPr>
            <w:tcW w:w="4682" w:type="dxa"/>
            <w:gridSpan w:val="2"/>
          </w:tcPr>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（一）评分内容</w:t>
            </w:r>
          </w:p>
          <w:p>
            <w:pPr>
              <w:ind w:firstLine="420" w:firstLineChars="20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拟安排的项目</w:t>
            </w:r>
            <w:r>
              <w:rPr>
                <w:rFonts w:asciiTheme="minorEastAsia" w:eastAsiaTheme="minorEastAsia" w:hAnsiTheme="minorEastAsia" w:cstheme="minorEastAsia" w:hint="eastAsia"/>
                <w:szCs w:val="21"/>
                <w:lang w:val="en-US" w:eastAsia="zh-CN"/>
              </w:rPr>
              <w:t>需</w:t>
            </w:r>
            <w:r>
              <w:rPr>
                <w:rFonts w:asciiTheme="minorEastAsia" w:eastAsiaTheme="minorEastAsia" w:hAnsiTheme="minorEastAsia" w:cstheme="minorEastAsia" w:hint="eastAsia"/>
                <w:szCs w:val="21"/>
              </w:rPr>
              <w:t>团队成员需为投标单位自有员工，在此基础上按照以下要求计分：</w:t>
            </w:r>
          </w:p>
          <w:p>
            <w:pPr>
              <w:numPr>
                <w:ilvl w:val="0"/>
                <w:numId w:val="0"/>
              </w:numPr>
              <w:ind w:firstLine="420" w:firstLineChars="200"/>
              <w:rPr>
                <w:rFonts w:asciiTheme="minorEastAsia" w:eastAsiaTheme="minorEastAsia" w:hAnsiTheme="minorEastAsia" w:cstheme="minorEastAsia" w:hint="eastAsia"/>
                <w:szCs w:val="21"/>
                <w:highlight w:val="none"/>
                <w:lang w:eastAsia="zh-CN"/>
              </w:rPr>
            </w:pPr>
            <w:r>
              <w:rPr>
                <w:rFonts w:asciiTheme="minorEastAsia" w:eastAsiaTheme="minorEastAsia" w:hAnsiTheme="minorEastAsia" w:cstheme="minorEastAsia" w:hint="eastAsia"/>
                <w:kern w:val="2"/>
                <w:sz w:val="21"/>
                <w:szCs w:val="21"/>
                <w:highlight w:val="none"/>
                <w:lang w:val="en-US" w:eastAsia="zh-CN" w:bidi="ar-SA"/>
              </w:rPr>
              <w:t>1、</w:t>
            </w:r>
            <w:r>
              <w:rPr>
                <w:rFonts w:asciiTheme="minorEastAsia" w:eastAsiaTheme="minorEastAsia" w:hAnsiTheme="minorEastAsia" w:cstheme="minorEastAsia" w:hint="eastAsia"/>
                <w:szCs w:val="21"/>
                <w:highlight w:val="none"/>
              </w:rPr>
              <w:t>具有中级</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lang w:val="en-US" w:eastAsia="zh-CN"/>
              </w:rPr>
              <w:t>或四级</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rPr>
              <w:t>汽车修理工（或汽车维修工或汽车修理电工或汽车维修电工证书），每提供 1名得1</w:t>
            </w:r>
            <w:r>
              <w:rPr>
                <w:rFonts w:asciiTheme="minorEastAsia" w:eastAsiaTheme="minorEastAsia" w:hAnsiTheme="minorEastAsia" w:cstheme="minorEastAsia" w:hint="eastAsia"/>
                <w:szCs w:val="21"/>
                <w:highlight w:val="none"/>
                <w:lang w:val="en-US" w:eastAsia="zh-CN"/>
              </w:rPr>
              <w:t>0</w:t>
            </w:r>
            <w:r>
              <w:rPr>
                <w:rFonts w:asciiTheme="minorEastAsia" w:eastAsiaTheme="minorEastAsia" w:hAnsiTheme="minorEastAsia" w:cstheme="minorEastAsia" w:hint="eastAsia"/>
                <w:szCs w:val="21"/>
                <w:highlight w:val="none"/>
              </w:rPr>
              <w:t>分</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rPr>
              <w:t>具有高级</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lang w:val="en-US" w:eastAsia="zh-CN"/>
              </w:rPr>
              <w:t>或三级</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rPr>
              <w:t>汽车修理工（或汽车维修工或汽车修理电工或汽车维修电工证书），每提供 1名得</w:t>
            </w:r>
            <w:r>
              <w:rPr>
                <w:rFonts w:asciiTheme="minorEastAsia" w:eastAsiaTheme="minorEastAsia" w:hAnsiTheme="minorEastAsia" w:cstheme="minorEastAsia" w:hint="eastAsia"/>
                <w:szCs w:val="21"/>
                <w:highlight w:val="none"/>
                <w:lang w:val="en-US" w:eastAsia="zh-CN"/>
              </w:rPr>
              <w:t>15</w:t>
            </w:r>
            <w:r>
              <w:rPr>
                <w:rFonts w:asciiTheme="minorEastAsia" w:eastAsiaTheme="minorEastAsia" w:hAnsiTheme="minorEastAsia" w:cstheme="minorEastAsia" w:hint="eastAsia"/>
                <w:szCs w:val="21"/>
                <w:highlight w:val="none"/>
              </w:rPr>
              <w:t>分，具有</w:t>
            </w:r>
            <w:r>
              <w:rPr>
                <w:rFonts w:asciiTheme="minorEastAsia" w:eastAsiaTheme="minorEastAsia" w:hAnsiTheme="minorEastAsia" w:cstheme="minorEastAsia" w:hint="eastAsia"/>
                <w:szCs w:val="21"/>
                <w:highlight w:val="none"/>
                <w:lang w:val="en-US" w:eastAsia="zh-CN"/>
              </w:rPr>
              <w:t>技师</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lang w:val="en-US" w:eastAsia="zh-CN"/>
              </w:rPr>
              <w:t>或二级</w:t>
            </w:r>
            <w:r>
              <w:rPr>
                <w:rFonts w:asciiTheme="minorEastAsia" w:eastAsiaTheme="minorEastAsia" w:hAnsiTheme="minorEastAsia" w:cstheme="minorEastAsia" w:hint="eastAsia"/>
                <w:szCs w:val="21"/>
                <w:highlight w:val="none"/>
                <w:lang w:eastAsia="zh-CN"/>
              </w:rPr>
              <w:t>）</w:t>
            </w:r>
            <w:r>
              <w:rPr>
                <w:rFonts w:asciiTheme="minorEastAsia" w:eastAsiaTheme="minorEastAsia" w:hAnsiTheme="minorEastAsia" w:cstheme="minorEastAsia" w:hint="eastAsia"/>
                <w:szCs w:val="21"/>
                <w:highlight w:val="none"/>
                <w:lang w:val="en-US" w:eastAsia="zh-CN"/>
              </w:rPr>
              <w:t>或以上</w:t>
            </w:r>
            <w:r>
              <w:rPr>
                <w:rFonts w:asciiTheme="minorEastAsia" w:eastAsiaTheme="minorEastAsia" w:hAnsiTheme="minorEastAsia" w:cstheme="minorEastAsia" w:hint="eastAsia"/>
                <w:szCs w:val="21"/>
                <w:highlight w:val="none"/>
              </w:rPr>
              <w:t>汽车修理工（或汽车维修工或汽车修理电工或汽车维修电工证书），每提供 1名得</w:t>
            </w:r>
            <w:r>
              <w:rPr>
                <w:rFonts w:asciiTheme="minorEastAsia" w:eastAsiaTheme="minorEastAsia" w:hAnsiTheme="minorEastAsia" w:cstheme="minorEastAsia" w:hint="eastAsia"/>
                <w:szCs w:val="21"/>
                <w:highlight w:val="none"/>
                <w:lang w:val="en-US" w:eastAsia="zh-CN"/>
              </w:rPr>
              <w:t>25</w:t>
            </w:r>
            <w:r>
              <w:rPr>
                <w:rFonts w:asciiTheme="minorEastAsia" w:eastAsiaTheme="minorEastAsia" w:hAnsiTheme="minorEastAsia" w:cstheme="minorEastAsia" w:hint="eastAsia"/>
                <w:szCs w:val="21"/>
                <w:highlight w:val="none"/>
              </w:rPr>
              <w:t>分，</w:t>
            </w:r>
            <w:r>
              <w:rPr>
                <w:rFonts w:asciiTheme="minorEastAsia" w:eastAsiaTheme="minorEastAsia" w:hAnsiTheme="minorEastAsia" w:cstheme="minorEastAsia" w:hint="eastAsia"/>
                <w:szCs w:val="21"/>
                <w:highlight w:val="none"/>
                <w:lang w:eastAsia="zh-CN"/>
              </w:rPr>
              <w:t>本项</w:t>
            </w:r>
            <w:r>
              <w:rPr>
                <w:rFonts w:asciiTheme="minorEastAsia" w:eastAsiaTheme="minorEastAsia" w:hAnsiTheme="minorEastAsia" w:cstheme="minorEastAsia" w:hint="eastAsia"/>
                <w:szCs w:val="21"/>
                <w:highlight w:val="none"/>
              </w:rPr>
              <w:t>最高得</w:t>
            </w:r>
            <w:r>
              <w:rPr>
                <w:rFonts w:asciiTheme="minorEastAsia" w:eastAsiaTheme="minorEastAsia" w:hAnsiTheme="minorEastAsia" w:cstheme="minorEastAsia" w:hint="eastAsia"/>
                <w:szCs w:val="21"/>
                <w:highlight w:val="none"/>
                <w:lang w:val="en-US" w:eastAsia="zh-CN"/>
              </w:rPr>
              <w:t>85</w:t>
            </w:r>
            <w:r>
              <w:rPr>
                <w:rFonts w:asciiTheme="minorEastAsia" w:eastAsiaTheme="minorEastAsia" w:hAnsiTheme="minorEastAsia" w:cstheme="minorEastAsia" w:hint="eastAsia"/>
                <w:szCs w:val="21"/>
                <w:highlight w:val="none"/>
              </w:rPr>
              <w:t>分</w:t>
            </w:r>
            <w:r>
              <w:rPr>
                <w:rFonts w:asciiTheme="minorEastAsia" w:eastAsiaTheme="minorEastAsia" w:hAnsiTheme="minorEastAsia" w:cstheme="minorEastAsia" w:hint="eastAsia"/>
                <w:szCs w:val="21"/>
                <w:highlight w:val="none"/>
                <w:lang w:eastAsia="zh-CN"/>
              </w:rPr>
              <w:t>；</w:t>
            </w:r>
          </w:p>
          <w:p>
            <w:pPr>
              <w:numPr>
                <w:ilvl w:val="0"/>
                <w:numId w:val="0"/>
              </w:numPr>
              <w:ind w:firstLine="420" w:firstLineChars="20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kern w:val="2"/>
                <w:sz w:val="21"/>
                <w:szCs w:val="21"/>
                <w:lang w:val="en-US" w:eastAsia="zh-CN" w:bidi="ar-SA"/>
              </w:rPr>
              <w:t>2、</w:t>
            </w:r>
            <w:r>
              <w:rPr>
                <w:rFonts w:asciiTheme="minorEastAsia" w:eastAsiaTheme="minorEastAsia" w:hAnsiTheme="minorEastAsia" w:cstheme="minorEastAsia" w:hint="eastAsia"/>
                <w:szCs w:val="21"/>
              </w:rPr>
              <w:t>汽车维修质检员每提供1名得15分，</w:t>
            </w:r>
            <w:r>
              <w:rPr>
                <w:rFonts w:asciiTheme="minorEastAsia" w:eastAsiaTheme="minorEastAsia" w:hAnsiTheme="minorEastAsia" w:cstheme="minorEastAsia" w:hint="eastAsia"/>
                <w:szCs w:val="21"/>
                <w:lang w:eastAsia="zh-CN"/>
              </w:rPr>
              <w:t>本项</w:t>
            </w:r>
            <w:r>
              <w:rPr>
                <w:rFonts w:asciiTheme="minorEastAsia" w:eastAsiaTheme="minorEastAsia" w:hAnsiTheme="minorEastAsia" w:cstheme="minorEastAsia" w:hint="eastAsia"/>
                <w:szCs w:val="21"/>
              </w:rPr>
              <w:t>最高得</w:t>
            </w:r>
            <w:r>
              <w:rPr>
                <w:rFonts w:asciiTheme="minorEastAsia" w:eastAsiaTheme="minorEastAsia" w:hAnsiTheme="minorEastAsia" w:cstheme="minorEastAsia" w:hint="eastAsia"/>
                <w:szCs w:val="21"/>
                <w:lang w:val="en-US" w:eastAsia="zh-CN"/>
              </w:rPr>
              <w:t>15</w:t>
            </w:r>
            <w:r>
              <w:rPr>
                <w:rFonts w:asciiTheme="minorEastAsia" w:eastAsiaTheme="minorEastAsia" w:hAnsiTheme="minorEastAsia" w:cstheme="minorEastAsia" w:hint="eastAsia"/>
                <w:szCs w:val="21"/>
              </w:rPr>
              <w:t>分；</w:t>
            </w:r>
          </w:p>
          <w:p>
            <w:pPr>
              <w:numPr>
                <w:ilvl w:val="0"/>
                <w:numId w:val="0"/>
              </w:numPr>
              <w:ind w:firstLine="420" w:firstLineChars="20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kern w:val="2"/>
                <w:sz w:val="21"/>
                <w:szCs w:val="21"/>
                <w:lang w:val="en-US" w:eastAsia="zh-CN" w:bidi="ar-SA"/>
              </w:rPr>
              <w:t>3、</w:t>
            </w:r>
            <w:r>
              <w:rPr>
                <w:rFonts w:asciiTheme="minorEastAsia" w:eastAsiaTheme="minorEastAsia" w:hAnsiTheme="minorEastAsia" w:cstheme="minorEastAsia" w:hint="eastAsia"/>
                <w:szCs w:val="21"/>
              </w:rPr>
              <w:t>同一人只计一次分，累计计分，最高得100分。</w:t>
            </w:r>
          </w:p>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（二）评分依据</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1、通过投标人缴纳的近三个月（含开标当月）的任意一个月的社保证明作为本单位员工的证明依据，如供应商成立不足一个月或员工入职不足一个月的，提供情况说明函（格式自拟），无需提供相关人员社保，亦可得分。</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2、涉及考察职业资格证书或职业技能等级证书的，要求同时提供证书和技能人才评价证书全国联网（网址http://zscx.osta.org.cn/）查询截图</w:t>
            </w:r>
            <w:r>
              <w:rPr>
                <w:rFonts w:hint="eastAsia"/>
                <w:lang w:eastAsia="zh-CN"/>
              </w:rPr>
              <w:t>，如新</w:t>
            </w:r>
            <w:r>
              <w:rPr>
                <w:rFonts w:ascii="宋体" w:eastAsia="宋体" w:hAnsi="宋体" w:cs="宋体" w:hint="eastAsia"/>
                <w:sz w:val="21"/>
                <w:szCs w:val="21"/>
                <w:highlight w:val="none"/>
                <w:lang w:val="en-US" w:eastAsia="zh-CN"/>
              </w:rPr>
              <w:t>获得证书但未能及时在该网址查询到的，</w:t>
            </w:r>
            <w:r>
              <w:rPr>
                <w:rFonts w:ascii="宋体" w:hAnsi="宋体" w:cs="宋体" w:hint="eastAsia"/>
                <w:sz w:val="21"/>
                <w:szCs w:val="21"/>
                <w:highlight w:val="none"/>
                <w:lang w:val="en-US" w:eastAsia="zh-CN"/>
              </w:rPr>
              <w:t>投标人提供承诺函（格式自拟）</w:t>
            </w:r>
            <w:r>
              <w:rPr>
                <w:rFonts w:asciiTheme="minorEastAsia" w:eastAsiaTheme="minorEastAsia" w:hAnsiTheme="minorEastAsia" w:hint="eastAsia"/>
                <w:szCs w:val="21"/>
              </w:rPr>
              <w:t>；</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3、如证书由行业协会颁发的，需提供该行业协会在“中国社会组织政务服务平台”（网址：https://chinanpo.mca.gov.cn/）查询的已合法登记且状态正常截图，否则不予认可，视为无效证书；</w:t>
            </w:r>
          </w:p>
          <w:p>
            <w:pPr>
              <w:ind w:firstLine="420" w:firstLineChars="200"/>
              <w:rPr>
                <w:rFonts w:asciiTheme="minorEastAsia" w:eastAsiaTheme="minorEastAsia" w:hAnsiTheme="minorEastAsia" w:hint="eastAsia"/>
                <w:szCs w:val="21"/>
              </w:rPr>
            </w:pPr>
            <w:r>
              <w:rPr>
                <w:rFonts w:asciiTheme="minorEastAsia" w:eastAsiaTheme="minorEastAsia" w:hAnsiTheme="minorEastAsia" w:cstheme="minorEastAsia" w:hint="eastAsia"/>
                <w:szCs w:val="21"/>
              </w:rPr>
              <w:t>备注：评分中出现无证明资料或证书过期或专家无法凭所提供资料判断是否得分的情况，一律作不得分处理。</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3</w:t>
            </w:r>
          </w:p>
        </w:tc>
        <w:tc>
          <w:tcPr>
            <w:tcW w:w="3714" w:type="dxa"/>
            <w:gridSpan w:val="3"/>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hint="eastAsia"/>
                <w:b/>
                <w:bCs/>
                <w:color w:val="0000FF"/>
                <w:szCs w:val="21"/>
              </w:rPr>
              <w:t>商务部分</w:t>
            </w:r>
          </w:p>
        </w:tc>
        <w:tc>
          <w:tcPr>
            <w:tcW w:w="4682" w:type="dxa"/>
            <w:gridSpan w:val="2"/>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cs="宋体" w:hint="eastAsia"/>
                <w:b/>
                <w:bCs/>
                <w:color w:val="0000FF"/>
                <w:szCs w:val="21"/>
              </w:rPr>
              <w:t>13</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8396" w:type="dxa"/>
            <w:gridSpan w:val="5"/>
          </w:tcPr>
          <w:p>
            <w:pPr>
              <w:wordWrap w:val="0"/>
              <w:rPr>
                <w:rFonts w:asciiTheme="minorEastAsia" w:eastAsiaTheme="minorEastAsia" w:hAnsiTheme="minorEastAsia" w:cs="宋体" w:hint="eastAsia"/>
                <w:szCs w:val="21"/>
              </w:rPr>
            </w:pP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shd w:val="clear" w:color="auto" w:fill="E6EFFA"/>
            <w:vAlign w:val="center"/>
          </w:tcPr>
          <w:p>
            <w:pPr>
              <w:rPr>
                <w:rFonts w:asciiTheme="minorEastAsia" w:eastAsiaTheme="minorEastAsia" w:hAnsiTheme="minorEastAsia" w:cs="宋体" w:hint="eastAsia"/>
                <w:b/>
                <w:bCs/>
                <w:color w:val="0000FF"/>
                <w:szCs w:val="21"/>
              </w:rPr>
            </w:pPr>
          </w:p>
        </w:tc>
        <w:tc>
          <w:tcPr>
            <w:tcW w:w="675"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序号</w:t>
            </w:r>
          </w:p>
        </w:tc>
        <w:tc>
          <w:tcPr>
            <w:tcW w:w="2046"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评审因素</w:t>
            </w:r>
          </w:p>
        </w:tc>
        <w:tc>
          <w:tcPr>
            <w:tcW w:w="993"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权重(%)</w:t>
            </w:r>
          </w:p>
        </w:tc>
        <w:tc>
          <w:tcPr>
            <w:tcW w:w="4682" w:type="dxa"/>
            <w:gridSpan w:val="2"/>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评分准则</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1</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供应商同类项目业绩情况</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10</w:t>
            </w:r>
          </w:p>
        </w:tc>
        <w:tc>
          <w:tcPr>
            <w:tcW w:w="4682" w:type="dxa"/>
            <w:gridSpan w:val="2"/>
          </w:tcPr>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（一）评分内容</w:t>
            </w:r>
          </w:p>
          <w:p>
            <w:pPr>
              <w:snapToGrid w:val="0"/>
              <w:ind w:firstLine="420" w:firstLineChars="200"/>
              <w:rPr>
                <w:rFonts w:asciiTheme="minorEastAsia" w:eastAsiaTheme="minorEastAsia" w:hAnsiTheme="minorEastAsia" w:hint="eastAsia"/>
                <w:bCs/>
                <w:kern w:val="0"/>
                <w:szCs w:val="21"/>
              </w:rPr>
            </w:pPr>
            <w:r>
              <w:rPr>
                <w:rFonts w:asciiTheme="minorEastAsia" w:eastAsiaTheme="minorEastAsia" w:hAnsiTheme="minorEastAsia"/>
                <w:bCs/>
                <w:kern w:val="0"/>
                <w:szCs w:val="21"/>
              </w:rPr>
              <w:t>投标人自202</w:t>
            </w:r>
            <w:r>
              <w:rPr>
                <w:rFonts w:asciiTheme="minorEastAsia" w:eastAsiaTheme="minorEastAsia" w:hAnsiTheme="minorEastAsia" w:hint="eastAsia"/>
                <w:bCs/>
                <w:kern w:val="0"/>
                <w:szCs w:val="21"/>
                <w:lang w:val="en-US" w:eastAsia="zh-CN"/>
              </w:rPr>
              <w:t>2</w:t>
            </w:r>
            <w:r>
              <w:rPr>
                <w:rFonts w:asciiTheme="minorEastAsia" w:eastAsiaTheme="minorEastAsia" w:hAnsiTheme="minorEastAsia"/>
                <w:bCs/>
                <w:kern w:val="0"/>
                <w:szCs w:val="21"/>
              </w:rPr>
              <w:t>年1月1日起至本项目投标截止日（以合同签订时间为准），具有同类车辆维修服务项目业绩的，提供1个得</w:t>
            </w:r>
            <w:r>
              <w:rPr>
                <w:rFonts w:asciiTheme="minorEastAsia" w:eastAsiaTheme="minorEastAsia" w:hAnsiTheme="minorEastAsia" w:hint="eastAsia"/>
                <w:bCs/>
                <w:kern w:val="0"/>
                <w:szCs w:val="21"/>
              </w:rPr>
              <w:t>33</w:t>
            </w:r>
            <w:r>
              <w:rPr>
                <w:rFonts w:asciiTheme="minorEastAsia" w:eastAsiaTheme="minorEastAsia" w:hAnsiTheme="minorEastAsia"/>
                <w:bCs/>
                <w:kern w:val="0"/>
                <w:szCs w:val="21"/>
              </w:rPr>
              <w:t>分，</w:t>
            </w:r>
            <w:r>
              <w:rPr>
                <w:rFonts w:asciiTheme="minorEastAsia" w:eastAsiaTheme="minorEastAsia" w:hAnsiTheme="minorEastAsia" w:hint="eastAsia"/>
                <w:bCs/>
                <w:kern w:val="0"/>
                <w:szCs w:val="21"/>
              </w:rPr>
              <w:t>提供2个得66分，提供3个或以上的得100分，</w:t>
            </w:r>
            <w:r>
              <w:rPr>
                <w:rFonts w:asciiTheme="minorEastAsia" w:eastAsiaTheme="minorEastAsia" w:hAnsiTheme="minorEastAsia"/>
                <w:bCs/>
                <w:kern w:val="0"/>
                <w:szCs w:val="21"/>
              </w:rPr>
              <w:t>本项最高得10</w:t>
            </w:r>
            <w:r>
              <w:rPr>
                <w:rFonts w:asciiTheme="minorEastAsia" w:eastAsiaTheme="minorEastAsia" w:hAnsiTheme="minorEastAsia" w:hint="eastAsia"/>
                <w:bCs/>
                <w:kern w:val="0"/>
                <w:szCs w:val="21"/>
              </w:rPr>
              <w:t>0</w:t>
            </w:r>
            <w:r>
              <w:rPr>
                <w:rFonts w:asciiTheme="minorEastAsia" w:eastAsiaTheme="minorEastAsia" w:hAnsiTheme="minorEastAsia"/>
                <w:bCs/>
                <w:kern w:val="0"/>
                <w:szCs w:val="21"/>
              </w:rPr>
              <w:t>分。</w:t>
            </w:r>
          </w:p>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（二）评分依据</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bCs/>
                <w:kern w:val="0"/>
                <w:szCs w:val="21"/>
              </w:rPr>
              <w:t xml:space="preserve"> 业绩合同关键页（包括但不限于首页、体现关键信息的内容页、双方签字盖章页合同签订日期等）</w:t>
            </w:r>
            <w:r>
              <w:rPr>
                <w:rFonts w:asciiTheme="minorEastAsia" w:eastAsiaTheme="minorEastAsia" w:hAnsiTheme="minorEastAsia" w:hint="eastAsia"/>
                <w:szCs w:val="21"/>
              </w:rPr>
              <w:t>。</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2.以上资料均要求提供扫描件。</w:t>
            </w:r>
            <w:r>
              <w:rPr>
                <w:rFonts w:asciiTheme="minorEastAsia" w:eastAsiaTheme="minorEastAsia" w:hAnsiTheme="minorEastAsia"/>
                <w:szCs w:val="21"/>
              </w:rPr>
              <w:t>评分中出现无证明资料或专家无法凭所提供资料判断是否得分的情况，一律作不得分处理。</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2</w:t>
            </w:r>
          </w:p>
        </w:tc>
        <w:tc>
          <w:tcPr>
            <w:tcW w:w="2046"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服务网点</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3</w:t>
            </w:r>
          </w:p>
        </w:tc>
        <w:tc>
          <w:tcPr>
            <w:tcW w:w="4682" w:type="dxa"/>
            <w:gridSpan w:val="2"/>
          </w:tcPr>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（一）评分内容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供应商承诺中标后提供本地经营（服务）网点的，得100分。</w:t>
            </w:r>
          </w:p>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（二）评分依据</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要求提供承诺函（格式详见采购文件-服务网点-承诺函）作为得分依据，未按采购文件要求提供承诺函的不得分。</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4</w:t>
            </w:r>
          </w:p>
        </w:tc>
        <w:tc>
          <w:tcPr>
            <w:tcW w:w="3714" w:type="dxa"/>
            <w:gridSpan w:val="3"/>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诚信情况</w:t>
            </w:r>
          </w:p>
        </w:tc>
        <w:tc>
          <w:tcPr>
            <w:tcW w:w="4682" w:type="dxa"/>
            <w:gridSpan w:val="2"/>
          </w:tcPr>
          <w:p>
            <w:pPr>
              <w:wordWrap w:val="0"/>
              <w:jc w:val="center"/>
              <w:rPr>
                <w:rFonts w:asciiTheme="minorEastAsia" w:eastAsiaTheme="minorEastAsia" w:hAnsiTheme="minorEastAsia" w:cs="宋体" w:hint="eastAsia"/>
                <w:b/>
                <w:bCs/>
                <w:color w:val="0000FF"/>
                <w:szCs w:val="21"/>
              </w:rPr>
            </w:pPr>
            <w:r>
              <w:rPr>
                <w:rFonts w:asciiTheme="minorEastAsia" w:eastAsiaTheme="minorEastAsia" w:hAnsiTheme="minorEastAsia"/>
                <w:b/>
                <w:bCs/>
                <w:color w:val="0000FF"/>
                <w:szCs w:val="21"/>
              </w:rPr>
              <w:t>5</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pPr>
              <w:rPr>
                <w:rFonts w:asciiTheme="minorEastAsia" w:eastAsiaTheme="minorEastAsia" w:hAnsiTheme="minorEastAsia" w:cs="宋体" w:hint="eastAsia"/>
                <w:b/>
                <w:bCs/>
                <w:color w:val="0000FF"/>
                <w:szCs w:val="21"/>
              </w:rPr>
            </w:pPr>
          </w:p>
        </w:tc>
        <w:tc>
          <w:tcPr>
            <w:tcW w:w="675"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序号</w:t>
            </w:r>
          </w:p>
        </w:tc>
        <w:tc>
          <w:tcPr>
            <w:tcW w:w="2046"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评审因素</w:t>
            </w:r>
          </w:p>
        </w:tc>
        <w:tc>
          <w:tcPr>
            <w:tcW w:w="993" w:type="dxa"/>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权重(%)</w:t>
            </w:r>
          </w:p>
        </w:tc>
        <w:tc>
          <w:tcPr>
            <w:tcW w:w="4682" w:type="dxa"/>
            <w:gridSpan w:val="2"/>
            <w:shd w:val="clear" w:color="auto" w:fill="E6EFF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评分准则</w:t>
            </w:r>
          </w:p>
        </w:tc>
      </w:tr>
      <w:tr>
        <w:tblPrEx>
          <w:tblW w:w="918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gridAfter w:val="1"/>
          <w:wAfter w:w="114" w:type="dxa"/>
          <w:tblCellSpacing w:w="0" w:type="dxa"/>
          <w:jc w:val="center"/>
        </w:trPr>
        <w:tc>
          <w:tcPr>
            <w:tcW w:w="676" w:type="dxa"/>
            <w:gridSpan w:val="2"/>
            <w:vMerge/>
            <w:vAlign w:val="center"/>
          </w:tcPr>
          <w:p>
            <w:pPr>
              <w:rPr>
                <w:rFonts w:asciiTheme="minorEastAsia" w:eastAsiaTheme="minorEastAsia" w:hAnsiTheme="minorEastAsia" w:cs="宋体" w:hint="eastAsia"/>
                <w:b/>
                <w:bCs/>
                <w:color w:val="0000FF"/>
                <w:szCs w:val="21"/>
              </w:rPr>
            </w:pPr>
          </w:p>
        </w:tc>
        <w:tc>
          <w:tcPr>
            <w:tcW w:w="675"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szCs w:val="21"/>
              </w:rPr>
              <w:t>1</w:t>
            </w:r>
          </w:p>
        </w:tc>
        <w:tc>
          <w:tcPr>
            <w:tcW w:w="2046" w:type="dxa"/>
            <w:vAlign w:val="center"/>
          </w:tcPr>
          <w:p>
            <w:pPr>
              <w:wordWrap w:val="0"/>
              <w:jc w:val="center"/>
              <w:rPr>
                <w:rFonts w:asciiTheme="minorEastAsia" w:eastAsiaTheme="minorEastAsia" w:hAnsiTheme="minorEastAsia" w:hint="eastAsia"/>
                <w:szCs w:val="21"/>
              </w:rPr>
            </w:pPr>
            <w:r>
              <w:rPr>
                <w:rFonts w:asciiTheme="minorEastAsia" w:eastAsiaTheme="minorEastAsia" w:hAnsiTheme="minorEastAsia"/>
                <w:szCs w:val="21"/>
              </w:rPr>
              <w:t>诚信情况</w:t>
            </w:r>
          </w:p>
        </w:tc>
        <w:tc>
          <w:tcPr>
            <w:tcW w:w="993" w:type="dxa"/>
            <w:vAlign w:val="center"/>
          </w:tcPr>
          <w:p>
            <w:pPr>
              <w:wordWrap w:val="0"/>
              <w:jc w:val="center"/>
              <w:rPr>
                <w:rFonts w:asciiTheme="minorEastAsia" w:eastAsiaTheme="minorEastAsia" w:hAnsiTheme="minorEastAsia" w:cs="宋体" w:hint="eastAsia"/>
                <w:szCs w:val="21"/>
              </w:rPr>
            </w:pPr>
            <w:r>
              <w:rPr>
                <w:rFonts w:asciiTheme="minorEastAsia" w:eastAsiaTheme="minorEastAsia" w:hAnsiTheme="minorEastAsia"/>
                <w:szCs w:val="21"/>
              </w:rPr>
              <w:t>5</w:t>
            </w:r>
          </w:p>
        </w:tc>
        <w:tc>
          <w:tcPr>
            <w:tcW w:w="4682" w:type="dxa"/>
            <w:gridSpan w:val="2"/>
          </w:tcPr>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（一）评分内容</w:t>
            </w:r>
          </w:p>
          <w:p>
            <w:pPr>
              <w:ind w:firstLine="420" w:firstLineChars="200"/>
              <w:rPr>
                <w:rFonts w:asciiTheme="minorEastAsia" w:eastAsiaTheme="minorEastAsia" w:hAnsiTheme="minorEastAsia" w:hint="eastAsia"/>
                <w:szCs w:val="21"/>
              </w:rPr>
            </w:pPr>
            <w:r>
              <w:rPr>
                <w:rFonts w:asciiTheme="minorEastAsia" w:eastAsiaTheme="minorEastAsia" w:hAnsiTheme="minorEastAsia"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ind w:firstLine="420" w:firstLineChars="200"/>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（二）评分依据</w:t>
            </w:r>
          </w:p>
          <w:p>
            <w:pPr>
              <w:ind w:firstLine="420" w:firstLineChars="200"/>
              <w:rPr>
                <w:rFonts w:asciiTheme="minorEastAsia" w:eastAsiaTheme="minorEastAsia" w:hAnsiTheme="minorEastAsia" w:cs="宋体" w:hint="eastAsia"/>
                <w:szCs w:val="21"/>
              </w:rPr>
            </w:pPr>
            <w:r>
              <w:rPr>
                <w:rFonts w:asciiTheme="minorEastAsia" w:eastAsiaTheme="minorEastAsia" w:hAnsiTheme="minorEastAsia" w:hint="eastAsia"/>
                <w:szCs w:val="21"/>
              </w:rPr>
              <w:t>查询渠道：通过“信用中国”（www.creditchina.gov.cn，</w:t>
            </w:r>
            <w:r>
              <w:rPr>
                <w:rFonts w:asciiTheme="minorEastAsia" w:eastAsiaTheme="minorEastAsia" w:hAnsiTheme="minorEastAsia" w:hint="eastAsia"/>
                <w:b/>
                <w:bCs/>
                <w:szCs w:val="21"/>
              </w:rPr>
              <w:t>下载信用信息报告</w:t>
            </w:r>
            <w:r>
              <w:rPr>
                <w:rFonts w:asciiTheme="minorEastAsia" w:eastAsiaTheme="minorEastAsia" w:hAnsiTheme="minorEastAsia" w:hint="eastAsia"/>
                <w:szCs w:val="21"/>
              </w:rPr>
              <w:t>）、“中国政府采购网”（www.ccgp.gov.cn）以及“深圳市政府采购监管网”（http://zfcg.sz.gov.cn）查询供应商信用信息，信用信息以开标当日的查询结果为准。</w:t>
            </w:r>
          </w:p>
        </w:tc>
      </w:tr>
    </w:tbl>
    <w:p>
      <w:pPr>
        <w:jc w:val="center"/>
        <w:rPr>
          <w:b/>
          <w:sz w:val="120"/>
          <w:szCs w:val="120"/>
        </w:r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1"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w:t>
      </w:r>
      <w:bookmarkEnd w:id="1"/>
    </w:p>
    <w:p>
      <w:pPr>
        <w:ind w:firstLine="420" w:firstLineChars="200"/>
      </w:pPr>
      <w:r>
        <w:rPr>
          <w:rFonts w:hint="eastAsia"/>
        </w:rPr>
        <w:br w:type="page"/>
      </w:r>
    </w:p>
    <w:p>
      <w:pPr>
        <w:pStyle w:val="Heading1"/>
        <w:rPr>
          <w:rFonts w:hint="eastAsia"/>
        </w:rPr>
      </w:pPr>
      <w:r>
        <w:rPr>
          <w:rFonts w:hint="eastAsia"/>
        </w:rPr>
        <w:t>目   录</w:t>
      </w:r>
    </w:p>
    <w:p>
      <w:pPr>
        <w:outlineLvl w:val="0"/>
        <w:rPr>
          <w:b/>
          <w:sz w:val="24"/>
        </w:rPr>
      </w:pPr>
      <w:r>
        <w:rPr>
          <w:rFonts w:hint="eastAsia"/>
          <w:b/>
          <w:sz w:val="24"/>
        </w:rPr>
        <w:t>第一册  专用条款</w:t>
      </w:r>
    </w:p>
    <w:p>
      <w:pPr>
        <w:ind w:firstLine="840" w:firstLineChars="400"/>
        <w:rPr>
          <w:sz w:val="24"/>
        </w:rPr>
      </w:pPr>
      <w:r>
        <w:rPr>
          <w:rFonts w:hint="eastAsia"/>
          <w:sz w:val="24"/>
        </w:rPr>
        <w:t>关键信息</w:t>
      </w:r>
    </w:p>
    <w:p>
      <w:pPr>
        <w:ind w:left="630" w:firstLine="630" w:leftChars="300" w:firstLineChars="300"/>
        <w:rPr>
          <w:rFonts w:ascii="宋体" w:hAnsi="宋体" w:hint="eastAsia"/>
          <w:szCs w:val="21"/>
        </w:rPr>
      </w:pPr>
      <w:r>
        <w:rPr>
          <w:rFonts w:ascii="宋体" w:hAnsi="宋体" w:hint="eastAsia"/>
          <w:szCs w:val="21"/>
        </w:rPr>
        <w:t>第一章  招标公告</w:t>
      </w:r>
    </w:p>
    <w:p>
      <w:pPr>
        <w:ind w:left="630" w:firstLine="630" w:leftChars="300" w:firstLineChars="30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pPr>
        <w:ind w:left="630" w:firstLine="630" w:leftChars="300" w:firstLineChars="30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pPr>
        <w:ind w:left="630" w:firstLine="630" w:leftChars="300" w:firstLineChars="30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pPr>
        <w:ind w:left="630" w:firstLine="630" w:leftChars="300" w:firstLineChars="300"/>
        <w:rPr>
          <w:rFonts w:ascii="宋体" w:hAnsi="宋体" w:hint="eastAsia"/>
          <w:szCs w:val="21"/>
        </w:rPr>
      </w:pPr>
      <w:r>
        <w:rPr>
          <w:rFonts w:ascii="宋体" w:hAnsi="宋体" w:hint="eastAsia"/>
          <w:szCs w:val="21"/>
        </w:rPr>
        <w:t>第五章  合同条款及格式</w:t>
      </w:r>
    </w:p>
    <w:p>
      <w:pPr>
        <w:rPr>
          <w:b/>
          <w:sz w:val="24"/>
        </w:rPr>
      </w:pPr>
    </w:p>
    <w:p>
      <w:pPr>
        <w:outlineLvl w:val="0"/>
        <w:rPr>
          <w:b/>
          <w:sz w:val="24"/>
        </w:rPr>
      </w:pPr>
      <w:r>
        <w:rPr>
          <w:rFonts w:hint="eastAsia"/>
          <w:b/>
          <w:sz w:val="24"/>
        </w:rPr>
        <w:t>第二册  通用条款</w:t>
      </w:r>
    </w:p>
    <w:p>
      <w:pPr>
        <w:ind w:left="630" w:firstLine="412" w:leftChars="300" w:firstLineChars="196"/>
        <w:rPr>
          <w:rFonts w:ascii="宋体" w:hAnsi="宋体" w:hint="eastAsia"/>
          <w:szCs w:val="21"/>
        </w:rPr>
      </w:pPr>
      <w:r>
        <w:rPr>
          <w:rFonts w:ascii="宋体" w:hAnsi="宋体" w:hint="eastAsia"/>
          <w:szCs w:val="21"/>
        </w:rPr>
        <w:t>第一章  总则</w:t>
      </w:r>
    </w:p>
    <w:p>
      <w:pPr>
        <w:ind w:left="630" w:firstLine="412" w:leftChars="300" w:firstLineChars="196"/>
        <w:rPr>
          <w:rFonts w:ascii="宋体" w:hAnsi="宋体" w:hint="eastAsia"/>
          <w:szCs w:val="21"/>
        </w:rPr>
      </w:pPr>
      <w:r>
        <w:rPr>
          <w:rFonts w:ascii="宋体" w:hAnsi="宋体" w:hint="eastAsia"/>
          <w:szCs w:val="21"/>
        </w:rPr>
        <w:t>第二章  招标文件</w:t>
      </w:r>
    </w:p>
    <w:p>
      <w:pPr>
        <w:ind w:left="630" w:firstLine="412" w:leftChars="300" w:firstLineChars="196"/>
        <w:rPr>
          <w:rFonts w:ascii="宋体" w:hAnsi="宋体" w:hint="eastAsia"/>
          <w:szCs w:val="21"/>
        </w:rPr>
      </w:pPr>
      <w:r>
        <w:rPr>
          <w:rFonts w:ascii="宋体" w:hAnsi="宋体" w:hint="eastAsia"/>
          <w:szCs w:val="21"/>
        </w:rPr>
        <w:t>第三章  投标文件的编制</w:t>
      </w:r>
    </w:p>
    <w:p>
      <w:pPr>
        <w:ind w:left="630" w:firstLine="412" w:leftChars="300" w:firstLineChars="196"/>
        <w:rPr>
          <w:rFonts w:ascii="宋体" w:hAnsi="宋体" w:hint="eastAsia"/>
          <w:szCs w:val="21"/>
        </w:rPr>
      </w:pPr>
      <w:r>
        <w:rPr>
          <w:rFonts w:ascii="宋体" w:hAnsi="宋体" w:hint="eastAsia"/>
          <w:szCs w:val="21"/>
        </w:rPr>
        <w:t>第四章  投标文件的递交</w:t>
      </w:r>
    </w:p>
    <w:p>
      <w:pPr>
        <w:ind w:left="630" w:firstLine="412" w:leftChars="300" w:firstLineChars="196"/>
        <w:rPr>
          <w:rFonts w:ascii="宋体" w:hAnsi="宋体" w:hint="eastAsia"/>
          <w:szCs w:val="21"/>
        </w:rPr>
      </w:pPr>
      <w:r>
        <w:rPr>
          <w:rFonts w:ascii="宋体" w:hAnsi="宋体" w:hint="eastAsia"/>
          <w:szCs w:val="21"/>
        </w:rPr>
        <w:t>第五章  开标</w:t>
      </w:r>
    </w:p>
    <w:p>
      <w:pPr>
        <w:ind w:left="630" w:firstLine="412" w:leftChars="300" w:firstLineChars="196"/>
        <w:rPr>
          <w:rFonts w:ascii="宋体" w:hAnsi="宋体" w:hint="eastAsia"/>
          <w:szCs w:val="21"/>
        </w:rPr>
      </w:pPr>
      <w:r>
        <w:rPr>
          <w:rFonts w:ascii="宋体" w:hAnsi="宋体" w:hint="eastAsia"/>
          <w:szCs w:val="21"/>
        </w:rPr>
        <w:t>第六章  评审要求</w:t>
      </w:r>
    </w:p>
    <w:p>
      <w:pPr>
        <w:ind w:left="630" w:firstLine="412" w:leftChars="300" w:firstLineChars="196"/>
        <w:rPr>
          <w:rFonts w:ascii="宋体" w:hAnsi="宋体" w:hint="eastAsia"/>
          <w:szCs w:val="21"/>
        </w:rPr>
      </w:pPr>
      <w:r>
        <w:rPr>
          <w:rFonts w:ascii="宋体" w:hAnsi="宋体" w:hint="eastAsia"/>
          <w:szCs w:val="21"/>
        </w:rPr>
        <w:t>第七章  评审程序及评审方法</w:t>
      </w:r>
    </w:p>
    <w:p>
      <w:pPr>
        <w:ind w:left="630" w:firstLine="412" w:leftChars="300" w:firstLineChars="196"/>
        <w:rPr>
          <w:rFonts w:ascii="宋体" w:hAnsi="宋体" w:hint="eastAsia"/>
          <w:szCs w:val="21"/>
        </w:rPr>
      </w:pPr>
      <w:r>
        <w:rPr>
          <w:rFonts w:ascii="宋体" w:hAnsi="宋体" w:hint="eastAsia"/>
          <w:szCs w:val="21"/>
        </w:rPr>
        <w:t>第八章  定标及公示</w:t>
      </w:r>
    </w:p>
    <w:p>
      <w:pPr>
        <w:ind w:left="630" w:firstLine="412" w:leftChars="300" w:firstLineChars="196"/>
        <w:rPr>
          <w:rFonts w:ascii="宋体" w:hAnsi="宋体" w:hint="eastAsia"/>
          <w:szCs w:val="21"/>
        </w:rPr>
      </w:pPr>
      <w:r>
        <w:rPr>
          <w:rFonts w:ascii="宋体" w:hAnsi="宋体" w:hint="eastAsia"/>
          <w:szCs w:val="21"/>
        </w:rPr>
        <w:t>第九章  公开招标失败的后续处理</w:t>
      </w:r>
    </w:p>
    <w:p>
      <w:pPr>
        <w:ind w:left="630" w:firstLine="412" w:leftChars="300" w:firstLineChars="196"/>
        <w:rPr>
          <w:rFonts w:ascii="宋体" w:hAnsi="宋体" w:hint="eastAsia"/>
          <w:szCs w:val="21"/>
        </w:rPr>
      </w:pPr>
      <w:r>
        <w:rPr>
          <w:rFonts w:ascii="宋体" w:hAnsi="宋体" w:hint="eastAsia"/>
          <w:szCs w:val="21"/>
        </w:rPr>
        <w:t>第十章  合同的授予与备案</w:t>
      </w:r>
    </w:p>
    <w:p>
      <w:pPr>
        <w:ind w:firstLine="1050" w:firstLineChars="500"/>
        <w:rPr>
          <w:b/>
          <w:sz w:val="24"/>
        </w:rPr>
      </w:pPr>
      <w:r>
        <w:rPr>
          <w:rFonts w:ascii="宋体" w:hAnsi="宋体" w:hint="eastAsia"/>
          <w:szCs w:val="21"/>
        </w:rPr>
        <w:t>第十一章  质疑处理</w:t>
      </w:r>
    </w:p>
    <w:p>
      <w:pPr>
        <w:spacing w:line="360" w:lineRule="auto"/>
        <w:ind w:firstLine="420" w:firstLineChars="200"/>
        <w:jc w:val="left"/>
        <w:rPr>
          <w:rFonts w:ascii="宋体" w:hAnsi="宋体" w:hint="eastAsia"/>
          <w:szCs w:val="21"/>
        </w:rPr>
      </w:pPr>
    </w:p>
    <w:p>
      <w:pPr>
        <w:pStyle w:val="Heading1"/>
        <w:rPr>
          <w:rFonts w:hint="eastAsia"/>
          <w:sz w:val="24"/>
        </w:rPr>
      </w:pPr>
      <w:r>
        <w:br w:type="page"/>
      </w:r>
      <w:bookmarkStart w:id="3" w:name="bt其他资料2"/>
      <w:bookmarkEnd w:id="3"/>
      <w:bookmarkStart w:id="4" w:name="bt说明"/>
      <w:bookmarkEnd w:id="4"/>
      <w:bookmarkStart w:id="5" w:name="bt投标函"/>
      <w:bookmarkEnd w:id="5"/>
      <w:bookmarkStart w:id="6" w:name="合同格式"/>
      <w:bookmarkEnd w:id="6"/>
      <w:bookmarkStart w:id="7" w:name="bt项目管理班子配备情况"/>
      <w:bookmarkEnd w:id="7"/>
      <w:bookmarkStart w:id="8" w:name="bt投标报价汇总表"/>
      <w:bookmarkEnd w:id="8"/>
      <w:bookmarkStart w:id="9" w:name="bt投标文件签署授权委托书"/>
      <w:bookmarkEnd w:id="9"/>
      <w:bookmarkStart w:id="10" w:name="bt本工程承诺书"/>
      <w:bookmarkEnd w:id="10"/>
      <w:bookmarkStart w:id="11" w:name="bt技术标投标文件格式"/>
      <w:bookmarkEnd w:id="11"/>
      <w:bookmarkStart w:id="12" w:name="bt合同条款及格式"/>
      <w:bookmarkEnd w:id="12"/>
      <w:bookmarkStart w:id="13" w:name="bt商务标投标文件格式"/>
      <w:bookmarkEnd w:id="13"/>
      <w:bookmarkStart w:id="14" w:name="bt开标一览表"/>
      <w:bookmarkEnd w:id="14"/>
      <w:bookmarkStart w:id="15" w:name="bt合同条款"/>
      <w:bookmarkEnd w:id="15"/>
      <w:bookmarkStart w:id="16" w:name="bt投标人须知"/>
      <w:bookmarkEnd w:id="16"/>
      <w:bookmarkStart w:id="17" w:name="bt合同格式"/>
      <w:bookmarkEnd w:id="17"/>
      <w:bookmarkStart w:id="18" w:name="bt其他资料由投标人自定"/>
      <w:bookmarkEnd w:id="18"/>
      <w:bookmarkStart w:id="19" w:name="bt投标人情况介绍"/>
      <w:bookmarkEnd w:id="19"/>
      <w:r>
        <w:rPr>
          <w:rFonts w:hint="eastAsia"/>
        </w:rPr>
        <w:t>第一册  专用条款</w:t>
      </w:r>
    </w:p>
    <w:p>
      <w:pPr>
        <w:pStyle w:val="Heading2"/>
        <w:rPr>
          <w:rFonts w:hint="eastAsia"/>
          <w:sz w:val="28"/>
          <w:szCs w:val="28"/>
        </w:rPr>
      </w:pPr>
      <w:r>
        <w:rPr>
          <w:rFonts w:hint="eastAsia"/>
          <w:sz w:val="28"/>
          <w:szCs w:val="28"/>
        </w:rPr>
        <w:t>第一章  招标公告</w:t>
      </w:r>
    </w:p>
    <w:tbl>
      <w:tblPr>
        <w:tblStyle w:val="TableNormal"/>
        <w:tblW w:w="8147" w:type="dxa"/>
        <w:jc w:val="center"/>
        <w:tblCellSpacing w:w="0" w:type="dxa"/>
        <w:tblLayout w:type="fixed"/>
        <w:tblCellMar>
          <w:top w:w="0" w:type="dxa"/>
          <w:left w:w="0" w:type="dxa"/>
          <w:bottom w:w="0" w:type="dxa"/>
          <w:right w:w="0" w:type="dxa"/>
        </w:tblCellMar>
      </w:tblPr>
      <w:tblGrid>
        <w:gridCol w:w="8147"/>
      </w:tblGrid>
      <w:tr>
        <w:tblPrEx>
          <w:tblW w:w="8147" w:type="dxa"/>
          <w:jc w:val="center"/>
          <w:tblCellSpacing w:w="0" w:type="dxa"/>
          <w:tblLayout w:type="fixed"/>
          <w:tblCellMar>
            <w:top w:w="0" w:type="dxa"/>
            <w:left w:w="0" w:type="dxa"/>
            <w:bottom w:w="0" w:type="dxa"/>
            <w:right w:w="0" w:type="dxa"/>
          </w:tblCellMar>
        </w:tblPrEx>
        <w:trPr>
          <w:tblCellSpacing w:w="0" w:type="dxa"/>
          <w:jc w:val="center"/>
        </w:trPr>
        <w:tc>
          <w:tcPr>
            <w:tcW w:w="8147" w:type="dxa"/>
            <w:vAlign w:val="center"/>
          </w:tcPr>
          <w:tbl>
            <w:tblPr>
              <w:tblStyle w:val="TableNormal"/>
              <w:tblW w:w="8147" w:type="dxa"/>
              <w:jc w:val="center"/>
              <w:tblCellSpacing w:w="0" w:type="dxa"/>
              <w:tblLayout w:type="fixed"/>
              <w:tblCellMar>
                <w:top w:w="30" w:type="dxa"/>
                <w:left w:w="30" w:type="dxa"/>
                <w:bottom w:w="30" w:type="dxa"/>
                <w:right w:w="30" w:type="dxa"/>
              </w:tblCellMar>
            </w:tblPr>
            <w:tblGrid>
              <w:gridCol w:w="8147"/>
            </w:tblGrid>
            <w:tr>
              <w:tblPrEx>
                <w:tblW w:w="8147" w:type="dxa"/>
                <w:jc w:val="center"/>
                <w:tblCellSpacing w:w="0" w:type="dxa"/>
                <w:tblLayout w:type="fixed"/>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hint="eastAsia"/>
                      <w:b/>
                      <w:bCs/>
                      <w:kern w:val="0"/>
                      <w:szCs w:val="21"/>
                    </w:rPr>
                  </w:pPr>
                  <w:r>
                    <w:rPr>
                      <w:rFonts w:ascii="宋体" w:hAnsi="宋体" w:cs="宋体" w:hint="eastAsia"/>
                      <w:b/>
                      <w:bCs/>
                      <w:kern w:val="0"/>
                      <w:szCs w:val="21"/>
                    </w:rPr>
                    <w:t>申请人的资格要求：</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1</w:t>
                  </w:r>
                  <w:r>
                    <w:rPr>
                      <w:rFonts w:ascii="宋体" w:hAnsi="宋体" w:cs="宋体"/>
                      <w:color w:val="auto"/>
                      <w:kern w:val="0"/>
                      <w:szCs w:val="21"/>
                    </w:rPr>
                    <w:t>.</w:t>
                  </w:r>
                  <w:bookmarkStart w:id="20" w:name="_Hlk72162904"/>
                  <w:r>
                    <w:rPr>
                      <w:rFonts w:ascii="宋体" w:hAnsi="宋体" w:cs="宋体" w:hint="eastAsia"/>
                      <w:color w:val="auto"/>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ind w:firstLine="420" w:firstLineChars="200"/>
                    <w:rPr>
                      <w:rFonts w:ascii="宋体" w:hAnsi="宋体" w:cs="宋体" w:hint="eastAsia"/>
                      <w:color w:val="auto"/>
                      <w:kern w:val="0"/>
                      <w:szCs w:val="21"/>
                    </w:rPr>
                  </w:pPr>
                  <w:r>
                    <w:rPr>
                      <w:rFonts w:ascii="宋体" w:hAnsi="宋体" w:cs="宋体" w:hint="eastAsia"/>
                      <w:color w:val="auto"/>
                      <w:kern w:val="0"/>
                      <w:szCs w:val="21"/>
                    </w:rPr>
                    <w:t>2.本项目不接受联合体投标，不接受投标人选用进口产品参与投标（由供应商在《政府采购投标及履约承诺函》中作出声明）；</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3</w:t>
                  </w:r>
                  <w:r>
                    <w:rPr>
                      <w:rFonts w:ascii="宋体" w:hAnsi="宋体" w:cs="宋体"/>
                      <w:color w:val="auto"/>
                      <w:kern w:val="0"/>
                      <w:szCs w:val="21"/>
                    </w:rPr>
                    <w:t>.</w:t>
                  </w:r>
                  <w:r>
                    <w:rPr>
                      <w:rFonts w:ascii="宋体" w:hAnsi="宋体" w:cs="宋体" w:hint="eastAsia"/>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4</w:t>
                  </w:r>
                  <w:r>
                    <w:rPr>
                      <w:rFonts w:ascii="宋体" w:hAnsi="宋体" w:cs="宋体"/>
                      <w:color w:val="auto"/>
                      <w:kern w:val="0"/>
                      <w:szCs w:val="21"/>
                    </w:rPr>
                    <w:t>.</w:t>
                  </w:r>
                  <w:r>
                    <w:rPr>
                      <w:rFonts w:ascii="宋体" w:hAnsi="宋体" w:cs="宋体" w:hint="eastAsia"/>
                      <w:color w:val="auto"/>
                      <w:kern w:val="0"/>
                      <w:szCs w:val="21"/>
                    </w:rPr>
                    <w:t>具备《中华人民共和国政府采购法》第二十二条第一款的条件（由供应商在《政府采购投标及履约承诺函》中作出声明）；</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5</w:t>
                  </w:r>
                  <w:r>
                    <w:rPr>
                      <w:rFonts w:ascii="宋体" w:hAnsi="宋体" w:cs="宋体"/>
                      <w:color w:val="auto"/>
                      <w:kern w:val="0"/>
                      <w:szCs w:val="21"/>
                    </w:rPr>
                    <w:t>.</w:t>
                  </w:r>
                  <w:r>
                    <w:rPr>
                      <w:rFonts w:ascii="宋体" w:hAnsi="宋体" w:cs="宋体" w:hint="eastAsia"/>
                      <w:color w:val="auto"/>
                      <w:kern w:val="0"/>
                      <w:szCs w:val="21"/>
                    </w:rPr>
                    <w:t>未被列入失信被执行人、重大税收违法案件当事人名单、政府采购严重违法失信行为记录名单（由供应商在《政府采购投标及履约承诺函》中作出声明）；</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6.不存在《深圳市财政局政府采购供应商信用信息管理办法》（深财规〔2023〕3号）列明的严重违法失信行为（由供应商在《政府采购投标及履约承诺函》中作出声明）；</w:t>
                  </w:r>
                </w:p>
                <w:p>
                  <w:pPr>
                    <w:ind w:firstLine="420" w:firstLineChars="200"/>
                    <w:rPr>
                      <w:rFonts w:ascii="宋体" w:hAnsi="宋体" w:cs="宋体" w:hint="eastAsia"/>
                      <w:color w:val="auto"/>
                      <w:kern w:val="0"/>
                      <w:szCs w:val="21"/>
                    </w:rPr>
                  </w:pPr>
                  <w:r>
                    <w:rPr>
                      <w:rFonts w:ascii="宋体" w:hAnsi="宋体" w:cs="宋体" w:hint="eastAsia"/>
                      <w:color w:val="auto"/>
                      <w:kern w:val="0"/>
                      <w:szCs w:val="21"/>
                    </w:rPr>
                    <w:t>7.为采购项目提供整体设计、规范编制或者项目管理、监理、检测等服务的供应商，不得再参加该采购项目的其他采购活动（由供应商在《政府采购投标及履约承诺函》中作出声明）；</w:t>
                  </w:r>
                </w:p>
                <w:p>
                  <w:pPr>
                    <w:pStyle w:val="NoSpacing"/>
                    <w:ind w:firstLine="420" w:firstLineChars="200"/>
                    <w:rPr>
                      <w:color w:val="auto"/>
                    </w:rPr>
                  </w:pPr>
                  <w:r>
                    <w:rPr>
                      <w:rFonts w:ascii="宋体" w:hAnsi="宋体" w:cs="宋体" w:hint="eastAsia"/>
                      <w:color w:val="auto"/>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ascii="宋体" w:hAnsi="宋体" w:cs="宋体" w:hint="eastAsia"/>
                      <w:kern w:val="0"/>
                      <w:szCs w:val="21"/>
                    </w:rPr>
                  </w:pPr>
                  <w:r>
                    <w:rPr>
                      <w:rFonts w:ascii="宋体" w:hAnsi="宋体" w:cs="宋体" w:hint="eastAsia"/>
                      <w:color w:val="auto"/>
                      <w:kern w:val="0"/>
                      <w:szCs w:val="21"/>
                    </w:rPr>
                    <w:t>9.本项目全部专门面向小</w:t>
                  </w:r>
                  <w:r>
                    <w:rPr>
                      <w:rFonts w:ascii="宋体" w:hAnsi="宋体" w:cs="宋体" w:hint="eastAsia"/>
                      <w:color w:val="auto"/>
                      <w:kern w:val="0"/>
                      <w:szCs w:val="21"/>
                      <w:lang w:val="en-US" w:eastAsia="zh-CN"/>
                    </w:rPr>
                    <w:t>微</w:t>
                  </w:r>
                  <w:r>
                    <w:rPr>
                      <w:rFonts w:ascii="宋体" w:hAnsi="宋体" w:cs="宋体" w:hint="eastAsia"/>
                      <w:color w:val="auto"/>
                      <w:kern w:val="0"/>
                      <w:szCs w:val="21"/>
                    </w:rPr>
                    <w:t>企业采购：是，本项目的承接服务商为符合政策要求的小微企业、残疾人福利性单位或监狱企业（由供应商在《中小企业声明函、残疾人福利性单位声明函及监狱企业声明函》中作出声</w:t>
                  </w:r>
                  <w:r>
                    <w:rPr>
                      <w:rFonts w:ascii="宋体" w:hAnsi="宋体" w:cs="宋体" w:hint="eastAsia"/>
                      <w:kern w:val="0"/>
                      <w:szCs w:val="21"/>
                    </w:rPr>
                    <w:t>明；未提供声明函或声明函不符合“填写指引”的，按资格审查不通过处理）；</w:t>
                  </w:r>
                </w:p>
                <w:p>
                  <w:pPr>
                    <w:wordWrap w:val="0"/>
                    <w:ind w:firstLine="420" w:firstLineChars="200"/>
                    <w:rPr>
                      <w:rFonts w:ascii="宋体" w:eastAsia="宋体" w:hAnsi="宋体" w:cs="宋体" w:hint="default"/>
                      <w:b/>
                      <w:bCs/>
                      <w:color w:val="FF0000"/>
                      <w:szCs w:val="21"/>
                      <w:lang w:val="en-US" w:eastAsia="zh-CN"/>
                    </w:rPr>
                  </w:pPr>
                  <w:r>
                    <w:rPr>
                      <w:rFonts w:ascii="宋体" w:hAnsi="宋体" w:cs="宋体" w:hint="eastAsia"/>
                      <w:b/>
                      <w:bCs/>
                      <w:color w:val="FF0000"/>
                      <w:szCs w:val="21"/>
                      <w:highlight w:val="none"/>
                    </w:rPr>
                    <w:t>10.投标人具有</w:t>
                  </w:r>
                  <w:r>
                    <w:rPr>
                      <w:rFonts w:ascii="宋体" w:hAnsi="宋体" w:cs="宋体" w:hint="eastAsia"/>
                      <w:b/>
                      <w:bCs/>
                      <w:color w:val="FF0000"/>
                      <w:szCs w:val="21"/>
                    </w:rPr>
                    <w:t>二类或以上汽车维修企业备案证明</w:t>
                  </w:r>
                  <w:r>
                    <w:rPr>
                      <w:rFonts w:ascii="宋体" w:hAnsi="宋体" w:cs="宋体" w:hint="eastAsia"/>
                      <w:b/>
                      <w:bCs/>
                      <w:color w:val="FF0000"/>
                      <w:szCs w:val="21"/>
                      <w:lang w:eastAsia="zh-CN"/>
                    </w:rPr>
                    <w:t>（</w:t>
                  </w:r>
                  <w:r>
                    <w:rPr>
                      <w:rFonts w:ascii="宋体" w:hAnsi="宋体" w:cs="宋体" w:hint="eastAsia"/>
                      <w:b/>
                      <w:bCs/>
                      <w:color w:val="FF0000"/>
                      <w:szCs w:val="21"/>
                      <w:lang w:val="en-US" w:eastAsia="zh-CN"/>
                    </w:rPr>
                    <w:t>提供备案证明材料扫描件</w:t>
                  </w:r>
                  <w:r>
                    <w:rPr>
                      <w:rFonts w:ascii="宋体" w:hAnsi="宋体" w:cs="宋体" w:hint="eastAsia"/>
                      <w:b/>
                      <w:bCs/>
                      <w:color w:val="FF0000"/>
                      <w:szCs w:val="21"/>
                      <w:lang w:eastAsia="zh-CN"/>
                    </w:rPr>
                    <w:t>）。</w:t>
                  </w:r>
                </w:p>
                <w:p>
                  <w:pPr>
                    <w:wordWrap w:val="0"/>
                    <w:ind w:firstLine="420" w:firstLineChars="200"/>
                    <w:rPr>
                      <w:rFonts w:ascii="宋体" w:hAnsi="宋体" w:cs="宋体" w:hint="eastAsia"/>
                      <w:b/>
                      <w:bCs/>
                      <w:color w:val="FF0000"/>
                      <w:szCs w:val="21"/>
                    </w:rPr>
                  </w:pPr>
                </w:p>
                <w:p>
                  <w:pPr>
                    <w:wordWrap w:val="0"/>
                    <w:ind w:firstLine="420" w:firstLineChars="20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hint="eastAsia"/>
                    </w:rPr>
                  </w:pPr>
                  <w:r>
                    <w:rPr>
                      <w:rFonts w:ascii="宋体" w:hAnsi="宋体" w:hint="eastAsia"/>
                    </w:rPr>
                    <w:t>（2）供应商投标（上传投标文件）必须先行办理注册手续，具体请按照本公告“六、其他补充事宜</w:t>
                  </w:r>
                  <w:r>
                    <w:rPr>
                      <w:rFonts w:ascii="宋体" w:hAnsi="宋体"/>
                    </w:rPr>
                    <w:t>”</w:t>
                  </w:r>
                  <w:r>
                    <w:rPr>
                      <w:rFonts w:ascii="宋体" w:hAnsi="宋体" w:hint="eastAsia"/>
                    </w:rPr>
                    <w:t>相关内容指引办理。</w:t>
                  </w:r>
                </w:p>
                <w:p>
                  <w:pPr>
                    <w:spacing w:beforeAutospacing="1" w:afterAutospacing="1"/>
                    <w:ind w:firstLine="420" w:firstLineChars="200"/>
                    <w:rPr>
                      <w:rFonts w:ascii="宋体" w:hAnsi="宋体" w:cs="宋体" w:hint="eastAsia"/>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pPr>
              <w:rPr>
                <w:rFonts w:ascii="宋体" w:hAnsi="宋体" w:cs="宋体" w:hint="eastAsia"/>
                <w:sz w:val="24"/>
              </w:rPr>
            </w:pPr>
          </w:p>
        </w:tc>
      </w:tr>
    </w:tbl>
    <w:p>
      <w:r>
        <w:rPr>
          <w:rFonts w:hint="eastAsia"/>
        </w:rPr>
        <w:br w:type="page"/>
      </w:r>
    </w:p>
    <w:p>
      <w:pPr>
        <w:pStyle w:val="Heading2"/>
        <w:rPr>
          <w:rFonts w:hint="eastAsia"/>
          <w:sz w:val="28"/>
          <w:szCs w:val="28"/>
        </w:rPr>
      </w:pPr>
      <w:r>
        <w:rPr>
          <w:rFonts w:hint="eastAsia"/>
          <w:sz w:val="28"/>
          <w:szCs w:val="28"/>
        </w:rPr>
        <w:t>第二章 对通用条款的补充内容及其他关键信息</w:t>
      </w:r>
    </w:p>
    <w:p>
      <w:pPr>
        <w:pStyle w:val="Heading2"/>
        <w:spacing w:before="120" w:beforeLines="50" w:after="120" w:afterLines="50"/>
        <w:rPr>
          <w:rFonts w:hint="eastAsia"/>
          <w:sz w:val="28"/>
          <w:szCs w:val="28"/>
        </w:rPr>
      </w:pPr>
      <w:bookmarkStart w:id="21" w:name="_Toc60560625"/>
      <w:bookmarkStart w:id="22" w:name="_Toc73518117"/>
      <w:bookmarkStart w:id="23" w:name="_Toc73517639"/>
      <w:bookmarkStart w:id="24" w:name="_Toc100052364"/>
      <w:bookmarkStart w:id="25" w:name="_Toc101074876"/>
      <w:bookmarkStart w:id="26" w:name="_Toc73521547"/>
      <w:bookmarkStart w:id="27" w:name="_Toc60631620"/>
      <w:bookmarkStart w:id="28" w:name="_Toc73521635"/>
      <w:r>
        <w:rPr>
          <w:rFonts w:hint="eastAsia"/>
          <w:szCs w:val="24"/>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8"/>
        <w:gridCol w:w="2409"/>
        <w:gridCol w:w="498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b/>
                <w:bCs/>
              </w:rPr>
            </w:pPr>
            <w:bookmarkEnd w:id="21"/>
            <w:bookmarkEnd w:id="22"/>
            <w:bookmarkEnd w:id="23"/>
            <w:bookmarkEnd w:id="24"/>
            <w:bookmarkEnd w:id="25"/>
            <w:bookmarkEnd w:id="26"/>
            <w:bookmarkEnd w:id="27"/>
            <w:bookmarkEnd w:id="28"/>
            <w:r>
              <w:rPr>
                <w:rFonts w:ascii="宋体" w:hAnsi="宋体" w:hint="eastAsia"/>
                <w:b/>
                <w:bCs/>
              </w:rPr>
              <w:t>通用条款序号</w:t>
            </w:r>
          </w:p>
        </w:tc>
        <w:tc>
          <w:tcPr>
            <w:tcW w:w="2409" w:type="dxa"/>
            <w:vAlign w:val="center"/>
          </w:tcPr>
          <w:p>
            <w:pPr>
              <w:jc w:val="center"/>
              <w:rPr>
                <w:rFonts w:ascii="宋体" w:hAnsi="宋体" w:hint="eastAsia"/>
                <w:b/>
                <w:bCs/>
              </w:rPr>
            </w:pPr>
            <w:r>
              <w:rPr>
                <w:rFonts w:ascii="宋体" w:hAnsi="宋体" w:hint="eastAsia"/>
                <w:b/>
                <w:bCs/>
              </w:rPr>
              <w:t>涉及事项</w:t>
            </w:r>
          </w:p>
        </w:tc>
        <w:tc>
          <w:tcPr>
            <w:tcW w:w="4980" w:type="dxa"/>
            <w:vAlign w:val="center"/>
          </w:tcPr>
          <w:p>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hint="eastAsia"/>
              </w:rPr>
            </w:pPr>
            <w:r>
              <w:rPr>
                <w:rFonts w:ascii="宋体" w:eastAsia="宋体" w:hAnsi="宋体" w:cs="Times New Roman" w:hint="eastAsia"/>
                <w:sz w:val="21"/>
                <w:szCs w:val="24"/>
                <w:u w:val="none"/>
                <w:shd w:val="clear" w:color="auto" w:fill="auto"/>
                <w:lang w:val="en-US" w:eastAsia="zh-CN"/>
              </w:rPr>
              <w:fldChar w:fldCharType="begin"/>
            </w:r>
            <w:r>
              <w:rPr>
                <w:rFonts w:ascii="宋体" w:eastAsia="宋体" w:hAnsi="宋体" w:cs="Times New Roman" w:hint="eastAsia"/>
                <w:sz w:val="21"/>
                <w:szCs w:val="24"/>
                <w:u w:val="none"/>
                <w:shd w:val="clear" w:color="auto" w:fill="auto"/>
                <w:lang w:val="en-US" w:eastAsia="zh-CN"/>
              </w:rPr>
              <w:instrText xml:space="preserve"> HYPERLINK "http://zfcg.szggzy.com:8081/TPFrame/huiyuaninfomis2/pages/jianshedwinfo/JianSheDwInfo_Detail?DanWeiGuid=81d76474-8128-4202-92be-6d53e48e08e6&amp;rowguid=b2280588-5c5b-4b2d-ac62-003542e5e5da" \t "http://zfcg.szggzy.com:8081/TPFrame/zfcgztbmis/pages/projectoverview/_blank" </w:instrText>
            </w:r>
            <w:r>
              <w:rPr>
                <w:rFonts w:ascii="宋体" w:eastAsia="宋体" w:hAnsi="宋体" w:cs="Times New Roman" w:hint="eastAsia"/>
                <w:sz w:val="21"/>
                <w:szCs w:val="24"/>
                <w:u w:val="none"/>
                <w:shd w:val="clear" w:color="auto" w:fill="auto"/>
                <w:lang w:val="en-US" w:eastAsia="zh-CN"/>
              </w:rPr>
              <w:fldChar w:fldCharType="separate"/>
            </w:r>
            <w:r>
              <w:rPr>
                <w:rFonts w:ascii="宋体" w:eastAsia="宋体" w:hAnsi="宋体" w:cs="Times New Roman" w:hint="eastAsia"/>
                <w:sz w:val="21"/>
                <w:szCs w:val="24"/>
                <w:u w:val="none"/>
                <w:shd w:val="clear" w:color="auto" w:fill="auto"/>
              </w:rPr>
              <w:t>深圳市公安局轨道交通分局</w:t>
            </w:r>
            <w:r>
              <w:rPr>
                <w:rFonts w:ascii="宋体" w:eastAsia="宋体" w:hAnsi="宋体" w:cs="Times New Roman" w:hint="eastAsia"/>
                <w:sz w:val="21"/>
                <w:szCs w:val="24"/>
                <w:u w:val="none"/>
                <w:shd w:val="clear" w:color="auto" w:fill="auto"/>
                <w:lang w:val="en-US" w:eastAsia="zh-CN"/>
              </w:rPr>
              <w:fldChar w:fldCharType="end"/>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3</w:t>
            </w:r>
            <w:r>
              <w:rPr>
                <w:rFonts w:ascii="宋体" w:hAnsi="宋体"/>
              </w:rPr>
              <w:t>.2</w:t>
            </w:r>
          </w:p>
        </w:tc>
        <w:tc>
          <w:tcPr>
            <w:tcW w:w="2409" w:type="dxa"/>
            <w:vAlign w:val="center"/>
          </w:tcPr>
          <w:p>
            <w:pPr>
              <w:jc w:val="center"/>
              <w:rPr>
                <w:rFonts w:ascii="宋体" w:hAnsi="宋体" w:hint="eastAsia"/>
              </w:rPr>
            </w:pPr>
            <w:r>
              <w:rPr>
                <w:rFonts w:ascii="宋体" w:hAnsi="宋体" w:hint="eastAsia"/>
              </w:rPr>
              <w:t>政府集中采购机构</w:t>
            </w:r>
          </w:p>
        </w:tc>
        <w:tc>
          <w:tcPr>
            <w:tcW w:w="4980" w:type="dxa"/>
            <w:vAlign w:val="center"/>
          </w:tcPr>
          <w:p>
            <w:pPr>
              <w:jc w:val="center"/>
              <w:rPr>
                <w:rFonts w:ascii="宋体" w:hAnsi="宋体" w:hint="eastAsia"/>
              </w:rPr>
            </w:pPr>
            <w:r>
              <w:rPr>
                <w:rFonts w:ascii="宋体" w:hAnsi="宋体" w:hint="eastAsia"/>
              </w:rPr>
              <w:t>深圳公共资源交易中心</w:t>
            </w:r>
          </w:p>
          <w:p>
            <w:pPr>
              <w:jc w:val="center"/>
              <w:rPr>
                <w:rFonts w:ascii="宋体" w:hAnsi="宋体" w:hint="eastAsia"/>
              </w:rPr>
            </w:pPr>
            <w:r>
              <w:rPr>
                <w:rFonts w:ascii="宋体" w:hAnsi="宋体" w:hint="eastAsia"/>
              </w:rPr>
              <w:t>（深圳交易集团有限公司政府采购业务分公司）</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9</w:t>
            </w:r>
          </w:p>
        </w:tc>
        <w:tc>
          <w:tcPr>
            <w:tcW w:w="2409" w:type="dxa"/>
            <w:vAlign w:val="center"/>
          </w:tcPr>
          <w:p>
            <w:pPr>
              <w:jc w:val="center"/>
              <w:rPr>
                <w:rFonts w:ascii="宋体" w:hAnsi="宋体" w:hint="eastAsia"/>
              </w:rPr>
            </w:pPr>
            <w:r>
              <w:rPr>
                <w:rFonts w:ascii="宋体" w:hAnsi="宋体" w:hint="eastAsia"/>
              </w:rPr>
              <w:t>踏勘现场</w:t>
            </w:r>
          </w:p>
        </w:tc>
        <w:tc>
          <w:tcPr>
            <w:tcW w:w="4980" w:type="dxa"/>
            <w:vAlign w:val="center"/>
          </w:tcPr>
          <w:p>
            <w:pPr>
              <w:jc w:val="center"/>
              <w:rPr>
                <w:rFonts w:ascii="宋体" w:hAnsi="宋体" w:hint="eastAsia"/>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1</w:t>
            </w:r>
            <w:r>
              <w:rPr>
                <w:rFonts w:ascii="宋体" w:hAnsi="宋体"/>
              </w:rPr>
              <w:t>0</w:t>
            </w:r>
          </w:p>
        </w:tc>
        <w:tc>
          <w:tcPr>
            <w:tcW w:w="2409" w:type="dxa"/>
            <w:vAlign w:val="center"/>
          </w:tcPr>
          <w:p>
            <w:pPr>
              <w:jc w:val="center"/>
              <w:rPr>
                <w:rFonts w:ascii="宋体" w:hAnsi="宋体" w:hint="eastAsia"/>
              </w:rPr>
            </w:pPr>
            <w:r>
              <w:rPr>
                <w:rFonts w:ascii="宋体" w:hAnsi="宋体" w:hint="eastAsia"/>
              </w:rPr>
              <w:t>标前会议</w:t>
            </w:r>
          </w:p>
        </w:tc>
        <w:tc>
          <w:tcPr>
            <w:tcW w:w="4980" w:type="dxa"/>
            <w:vAlign w:val="center"/>
          </w:tcPr>
          <w:p>
            <w:pPr>
              <w:jc w:val="center"/>
              <w:rPr>
                <w:rFonts w:ascii="宋体" w:hAnsi="宋体" w:hint="eastAsia"/>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pPr>
              <w:jc w:val="center"/>
              <w:rPr>
                <w:rFonts w:ascii="宋体" w:hAnsi="宋体" w:hint="eastAsia"/>
              </w:rPr>
            </w:pPr>
            <w:r>
              <w:rPr>
                <w:rFonts w:ascii="宋体" w:hAnsi="宋体" w:hint="eastAsia"/>
              </w:rPr>
              <w:t>招标文件的澄清和修改</w:t>
            </w:r>
          </w:p>
        </w:tc>
        <w:tc>
          <w:tcPr>
            <w:tcW w:w="4980" w:type="dxa"/>
            <w:vAlign w:val="center"/>
          </w:tcPr>
          <w:p>
            <w:pPr>
              <w:jc w:val="center"/>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2</w:t>
            </w:r>
            <w:r>
              <w:rPr>
                <w:rFonts w:ascii="宋体" w:hAnsi="宋体"/>
              </w:rPr>
              <w:t>0</w:t>
            </w:r>
          </w:p>
        </w:tc>
        <w:tc>
          <w:tcPr>
            <w:tcW w:w="2409" w:type="dxa"/>
            <w:vAlign w:val="center"/>
          </w:tcPr>
          <w:p>
            <w:pPr>
              <w:jc w:val="center"/>
              <w:rPr>
                <w:rFonts w:ascii="宋体" w:hAnsi="宋体" w:hint="eastAsia"/>
              </w:rPr>
            </w:pPr>
            <w:r>
              <w:rPr>
                <w:rFonts w:ascii="宋体" w:hAnsi="宋体" w:hint="eastAsia"/>
              </w:rPr>
              <w:t>投标有效期</w:t>
            </w:r>
          </w:p>
        </w:tc>
        <w:tc>
          <w:tcPr>
            <w:tcW w:w="4980" w:type="dxa"/>
            <w:vAlign w:val="center"/>
          </w:tcPr>
          <w:p>
            <w:pPr>
              <w:jc w:val="center"/>
              <w:rPr>
                <w:rFonts w:ascii="宋体" w:hAnsi="宋体" w:hint="eastAsia"/>
              </w:rPr>
            </w:pPr>
            <w:r>
              <w:rPr>
                <w:rFonts w:ascii="宋体" w:hAnsi="宋体" w:hint="eastAsia"/>
              </w:rPr>
              <w:t>120个日历日</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2</w:t>
            </w:r>
            <w:r>
              <w:rPr>
                <w:rFonts w:ascii="宋体" w:hAnsi="宋体"/>
              </w:rPr>
              <w:t>2</w:t>
            </w:r>
          </w:p>
        </w:tc>
        <w:tc>
          <w:tcPr>
            <w:tcW w:w="2409" w:type="dxa"/>
            <w:vAlign w:val="center"/>
          </w:tcPr>
          <w:p>
            <w:pPr>
              <w:jc w:val="center"/>
              <w:rPr>
                <w:rFonts w:ascii="宋体" w:hAnsi="宋体" w:hint="eastAsia"/>
              </w:rPr>
            </w:pPr>
            <w:r>
              <w:rPr>
                <w:rFonts w:ascii="宋体" w:hAnsi="宋体" w:hint="eastAsia"/>
              </w:rPr>
              <w:t>投标人的替代方案</w:t>
            </w:r>
          </w:p>
        </w:tc>
        <w:tc>
          <w:tcPr>
            <w:tcW w:w="4980" w:type="dxa"/>
            <w:vAlign w:val="center"/>
          </w:tcPr>
          <w:p>
            <w:pPr>
              <w:jc w:val="center"/>
              <w:rPr>
                <w:rFonts w:ascii="宋体" w:hAnsi="宋体" w:hint="eastAsia"/>
              </w:rPr>
            </w:pPr>
            <w:r>
              <w:rPr>
                <w:rFonts w:ascii="宋体" w:hAnsi="宋体" w:hint="eastAsia"/>
              </w:rPr>
              <w:t>不接受</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2</w:t>
            </w:r>
            <w:r>
              <w:rPr>
                <w:rFonts w:ascii="宋体" w:hAnsi="宋体"/>
              </w:rPr>
              <w:t>5</w:t>
            </w:r>
          </w:p>
        </w:tc>
        <w:tc>
          <w:tcPr>
            <w:tcW w:w="2409" w:type="dxa"/>
            <w:vAlign w:val="center"/>
          </w:tcPr>
          <w:p>
            <w:pPr>
              <w:jc w:val="center"/>
              <w:rPr>
                <w:rFonts w:ascii="宋体" w:hAnsi="宋体" w:hint="eastAsia"/>
              </w:rPr>
            </w:pPr>
            <w:r>
              <w:rPr>
                <w:rFonts w:ascii="宋体" w:hAnsi="宋体" w:hint="eastAsia"/>
              </w:rPr>
              <w:t>投标文件的大小</w:t>
            </w:r>
          </w:p>
        </w:tc>
        <w:tc>
          <w:tcPr>
            <w:tcW w:w="4980" w:type="dxa"/>
            <w:vAlign w:val="center"/>
          </w:tcPr>
          <w:p>
            <w:pPr>
              <w:jc w:val="center"/>
              <w:rPr>
                <w:rFonts w:ascii="宋体" w:hAnsi="宋体" w:hint="eastAsia"/>
              </w:rPr>
            </w:pPr>
            <w:r>
              <w:rPr>
                <w:rFonts w:ascii="宋体" w:hAnsi="宋体" w:hint="eastAsia"/>
              </w:rPr>
              <w:t>投标文件大小不得超过100MB</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2</w:t>
            </w:r>
            <w:r>
              <w:rPr>
                <w:rFonts w:ascii="宋体" w:hAnsi="宋体"/>
              </w:rPr>
              <w:t>6</w:t>
            </w:r>
          </w:p>
        </w:tc>
        <w:tc>
          <w:tcPr>
            <w:tcW w:w="2409" w:type="dxa"/>
            <w:vAlign w:val="center"/>
          </w:tcPr>
          <w:p>
            <w:pPr>
              <w:jc w:val="center"/>
              <w:rPr>
                <w:rFonts w:ascii="宋体" w:hAnsi="宋体" w:hint="eastAsia"/>
              </w:rPr>
            </w:pPr>
            <w:bookmarkStart w:id="29" w:name="_Hlk71664860"/>
            <w:r>
              <w:rPr>
                <w:rFonts w:ascii="宋体" w:hAnsi="宋体" w:hint="eastAsia"/>
              </w:rPr>
              <w:t>现场演示、方案讲解</w:t>
            </w:r>
            <w:bookmarkEnd w:id="29"/>
          </w:p>
        </w:tc>
        <w:tc>
          <w:tcPr>
            <w:tcW w:w="4980" w:type="dxa"/>
            <w:vAlign w:val="center"/>
          </w:tcPr>
          <w:p>
            <w:pPr>
              <w:jc w:val="center"/>
              <w:rPr>
                <w:rFonts w:ascii="宋体" w:hAnsi="宋体" w:hint="eastAsia"/>
              </w:rPr>
            </w:pPr>
            <w:r>
              <w:rPr>
                <w:rFonts w:ascii="宋体" w:hAnsi="宋体" w:hint="eastAsia"/>
              </w:rPr>
              <w:t>如有样品、演示、方案讲解，具体安排见第三章 用户需求书相关要求</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3</w:t>
            </w:r>
            <w:r>
              <w:rPr>
                <w:rFonts w:ascii="宋体" w:hAnsi="宋体"/>
              </w:rPr>
              <w:t>7</w:t>
            </w:r>
          </w:p>
        </w:tc>
        <w:tc>
          <w:tcPr>
            <w:tcW w:w="2409" w:type="dxa"/>
            <w:vAlign w:val="center"/>
          </w:tcPr>
          <w:p>
            <w:pPr>
              <w:jc w:val="center"/>
              <w:rPr>
                <w:rFonts w:ascii="宋体" w:hAnsi="宋体" w:hint="eastAsia"/>
              </w:rPr>
            </w:pPr>
            <w:r>
              <w:rPr>
                <w:rFonts w:ascii="宋体" w:hAnsi="宋体" w:hint="eastAsia"/>
              </w:rPr>
              <w:t>评审方法</w:t>
            </w:r>
          </w:p>
        </w:tc>
        <w:tc>
          <w:tcPr>
            <w:tcW w:w="4980" w:type="dxa"/>
            <w:vAlign w:val="center"/>
          </w:tcPr>
          <w:p>
            <w:pPr>
              <w:jc w:val="center"/>
              <w:rPr>
                <w:rFonts w:ascii="宋体" w:hAnsi="宋体" w:hint="eastAsia"/>
              </w:rPr>
            </w:pPr>
            <w:r>
              <w:rPr>
                <w:rFonts w:ascii="宋体" w:hAnsi="宋体" w:hint="eastAsia"/>
              </w:rPr>
              <w:t>综合评分法</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3</w:t>
            </w:r>
            <w:r>
              <w:rPr>
                <w:rFonts w:ascii="宋体" w:hAnsi="宋体"/>
              </w:rPr>
              <w:t>8</w:t>
            </w:r>
          </w:p>
        </w:tc>
        <w:tc>
          <w:tcPr>
            <w:tcW w:w="2409" w:type="dxa"/>
            <w:vAlign w:val="center"/>
          </w:tcPr>
          <w:p>
            <w:pPr>
              <w:jc w:val="center"/>
              <w:rPr>
                <w:rFonts w:ascii="宋体" w:hAnsi="宋体" w:hint="eastAsia"/>
              </w:rPr>
            </w:pPr>
            <w:r>
              <w:rPr>
                <w:rFonts w:ascii="宋体" w:hAnsi="宋体" w:hint="eastAsia"/>
              </w:rPr>
              <w:t>定标方法</w:t>
            </w:r>
          </w:p>
        </w:tc>
        <w:tc>
          <w:tcPr>
            <w:tcW w:w="4980" w:type="dxa"/>
            <w:vAlign w:val="center"/>
          </w:tcPr>
          <w:p>
            <w:pPr>
              <w:jc w:val="center"/>
              <w:rPr>
                <w:rFonts w:ascii="宋体" w:hAnsi="宋体" w:hint="eastAsia"/>
              </w:rPr>
            </w:pPr>
            <w:r>
              <w:rPr>
                <w:rFonts w:ascii="宋体" w:hAnsi="宋体" w:hint="eastAsia"/>
              </w:rPr>
              <w:t>非评定分离</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hint="eastAsia"/>
              </w:rPr>
            </w:pPr>
            <w:r>
              <w:rPr>
                <w:rFonts w:ascii="宋体" w:hAnsi="宋体" w:hint="eastAsia"/>
              </w:rPr>
              <w:t>4</w:t>
            </w:r>
            <w:r>
              <w:rPr>
                <w:rFonts w:ascii="宋体" w:hAnsi="宋体"/>
              </w:rPr>
              <w:t>6</w:t>
            </w:r>
          </w:p>
        </w:tc>
        <w:tc>
          <w:tcPr>
            <w:tcW w:w="2409" w:type="dxa"/>
            <w:vAlign w:val="center"/>
          </w:tcPr>
          <w:p>
            <w:pPr>
              <w:jc w:val="center"/>
              <w:rPr>
                <w:rFonts w:ascii="宋体" w:hAnsi="宋体" w:hint="eastAsia"/>
              </w:rPr>
            </w:pPr>
            <w:r>
              <w:rPr>
                <w:rFonts w:ascii="宋体" w:hAnsi="宋体" w:hint="eastAsia"/>
              </w:rPr>
              <w:t>履约担保</w:t>
            </w:r>
          </w:p>
        </w:tc>
        <w:tc>
          <w:tcPr>
            <w:tcW w:w="4980" w:type="dxa"/>
            <w:vAlign w:val="center"/>
          </w:tcPr>
          <w:p>
            <w:pPr>
              <w:jc w:val="center"/>
              <w:rPr>
                <w:rFonts w:ascii="宋体" w:hAnsi="宋体" w:hint="eastAsia"/>
              </w:rPr>
            </w:pPr>
            <w:r>
              <w:rPr>
                <w:rFonts w:ascii="宋体" w:hAnsi="宋体" w:hint="eastAsia"/>
              </w:rPr>
              <w:t>不需要</w:t>
            </w:r>
          </w:p>
        </w:tc>
      </w:tr>
    </w:tbl>
    <w:p>
      <w:pPr>
        <w:rPr>
          <w:b/>
        </w:rPr>
      </w:pPr>
      <w:r>
        <w:rPr>
          <w:rFonts w:hint="eastAsia"/>
          <w:szCs w:val="21"/>
        </w:rPr>
        <w:t>备注：本表是通用条款相关条款的补充和明确，如与通用条款内容相冲突的，以本表为准。</w:t>
      </w:r>
    </w:p>
    <w:p>
      <w:pPr>
        <w:rPr>
          <w:b/>
        </w:rPr>
      </w:pPr>
    </w:p>
    <w:p>
      <w:pPr>
        <w:pStyle w:val="Heading2"/>
        <w:spacing w:before="120" w:beforeLines="50" w:after="120" w:afterLines="50"/>
        <w:rPr>
          <w:rFonts w:hint="eastAsia"/>
          <w:szCs w:val="24"/>
        </w:rPr>
      </w:pPr>
      <w:r>
        <w:rPr>
          <w:rFonts w:hint="eastAsia"/>
          <w:szCs w:val="24"/>
        </w:rPr>
        <w:t>二、其他关键信息</w:t>
      </w:r>
    </w:p>
    <w:p>
      <w:pPr>
        <w:ind w:firstLine="420" w:firstLineChars="200"/>
        <w:rPr>
          <w:b/>
          <w:bCs/>
        </w:rPr>
      </w:pPr>
      <w:r>
        <w:rPr>
          <w:rFonts w:hint="eastAsia"/>
          <w:b/>
          <w:bCs/>
        </w:rPr>
        <w:t>（一）与“对通用条款的补充内容”章节相关的事项</w:t>
      </w:r>
    </w:p>
    <w:p>
      <w:pPr>
        <w:spacing w:line="276" w:lineRule="auto"/>
        <w:ind w:firstLine="420" w:firstLineChars="200"/>
        <w:jc w:val="left"/>
        <w:rPr>
          <w:rFonts w:asciiTheme="minorEastAsia" w:eastAsiaTheme="minorEastAsia" w:hAnsiTheme="minorEastAsia" w:hint="eastAsia"/>
          <w:b/>
          <w:kern w:val="0"/>
          <w:szCs w:val="20"/>
        </w:rPr>
      </w:pPr>
      <w:bookmarkStart w:id="30" w:name="_Hlk72579465"/>
      <w:r>
        <w:rPr>
          <w:rFonts w:asciiTheme="minorEastAsia" w:eastAsiaTheme="minorEastAsia" w:hAnsiTheme="minorEastAsia" w:hint="eastAsia"/>
          <w:b/>
          <w:kern w:val="0"/>
          <w:szCs w:val="20"/>
        </w:rPr>
        <w:t>1、评标定标信息</w:t>
      </w:r>
    </w:p>
    <w:p>
      <w:pPr>
        <w:jc w:val="center"/>
      </w:pPr>
      <w:r>
        <w:rPr>
          <w:rFonts w:hint="eastAsia"/>
          <w:b/>
        </w:rPr>
        <w:t>非评定分离项目</w:t>
      </w:r>
    </w:p>
    <w:tbl>
      <w:tblPr>
        <w:tblStyle w:val="TableGrid"/>
        <w:tblW w:w="8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45"/>
        <w:gridCol w:w="4374"/>
      </w:tblGrid>
      <w:tr>
        <w:tblPrEx>
          <w:tblW w:w="8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1"/>
        </w:trPr>
        <w:tc>
          <w:tcPr>
            <w:tcW w:w="3845" w:type="dxa"/>
          </w:tcPr>
          <w:p>
            <w:pPr>
              <w:jc w:val="center"/>
            </w:pPr>
            <w:r>
              <w:rPr>
                <w:rFonts w:hint="eastAsia"/>
              </w:rPr>
              <w:t>评标方法</w:t>
            </w:r>
          </w:p>
        </w:tc>
        <w:tc>
          <w:tcPr>
            <w:tcW w:w="4374" w:type="dxa"/>
          </w:tcPr>
          <w:p>
            <w:pPr>
              <w:jc w:val="center"/>
            </w:pPr>
            <w:r>
              <w:rPr>
                <w:rFonts w:ascii="Wingdings" w:hAnsi="Wingdings" w:hint="eastAsia"/>
              </w:rPr>
              <w:t>þ</w:t>
            </w:r>
            <w:r>
              <w:rPr>
                <w:rFonts w:hint="eastAsia"/>
              </w:rPr>
              <w:t>综合评分法</w:t>
            </w:r>
          </w:p>
        </w:tc>
      </w:tr>
      <w:tr>
        <w:tblPrEx>
          <w:tblW w:w="8219" w:type="dxa"/>
          <w:tblInd w:w="0" w:type="dxa"/>
          <w:tblLayout w:type="fixed"/>
          <w:tblCellMar>
            <w:top w:w="0" w:type="dxa"/>
            <w:left w:w="108" w:type="dxa"/>
            <w:bottom w:w="0" w:type="dxa"/>
            <w:right w:w="108" w:type="dxa"/>
          </w:tblCellMar>
        </w:tblPrEx>
        <w:trPr>
          <w:trHeight w:val="331"/>
        </w:trPr>
        <w:tc>
          <w:tcPr>
            <w:tcW w:w="3845" w:type="dxa"/>
          </w:tcPr>
          <w:p>
            <w:pPr>
              <w:jc w:val="center"/>
            </w:pPr>
            <w:r>
              <w:rPr>
                <w:rFonts w:hint="eastAsia"/>
              </w:rPr>
              <w:t>候选中标供应商家数</w:t>
            </w:r>
          </w:p>
        </w:tc>
        <w:tc>
          <w:tcPr>
            <w:tcW w:w="4374" w:type="dxa"/>
          </w:tcPr>
          <w:p>
            <w:pPr>
              <w:jc w:val="center"/>
            </w:pPr>
            <w:r>
              <w:rPr>
                <w:rFonts w:hint="eastAsia"/>
              </w:rPr>
              <w:t>3</w:t>
            </w:r>
          </w:p>
        </w:tc>
      </w:tr>
      <w:tr>
        <w:tblPrEx>
          <w:tblW w:w="8219" w:type="dxa"/>
          <w:tblInd w:w="0" w:type="dxa"/>
          <w:tblLayout w:type="fixed"/>
          <w:tblCellMar>
            <w:top w:w="0" w:type="dxa"/>
            <w:left w:w="108" w:type="dxa"/>
            <w:bottom w:w="0" w:type="dxa"/>
            <w:right w:w="108" w:type="dxa"/>
          </w:tblCellMar>
        </w:tblPrEx>
        <w:trPr>
          <w:trHeight w:val="343"/>
        </w:trPr>
        <w:tc>
          <w:tcPr>
            <w:tcW w:w="3845" w:type="dxa"/>
          </w:tcPr>
          <w:p>
            <w:pPr>
              <w:jc w:val="center"/>
            </w:pPr>
            <w:r>
              <w:rPr>
                <w:rFonts w:hint="eastAsia"/>
              </w:rPr>
              <w:t>中标供应商家数</w:t>
            </w:r>
          </w:p>
        </w:tc>
        <w:tc>
          <w:tcPr>
            <w:tcW w:w="4374" w:type="dxa"/>
          </w:tcPr>
          <w:p>
            <w:pPr>
              <w:jc w:val="center"/>
            </w:pPr>
            <w:r>
              <w:rPr>
                <w:rFonts w:hint="eastAsia"/>
              </w:rPr>
              <w:t>1</w:t>
            </w:r>
          </w:p>
        </w:tc>
      </w:tr>
    </w:tbl>
    <w:p>
      <w:pPr>
        <w:ind w:firstLine="420" w:firstLineChars="200"/>
        <w:rPr>
          <w:rFonts w:ascii="宋体" w:hAnsi="宋体" w:hint="eastAsia"/>
          <w:b/>
        </w:rPr>
      </w:pPr>
    </w:p>
    <w:p>
      <w:pPr>
        <w:ind w:firstLine="420" w:firstLineChars="200"/>
        <w:rPr>
          <w:b/>
        </w:rPr>
      </w:pPr>
      <w:bookmarkEnd w:id="30"/>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第四章“投标文件格式、附件”中“三、投标人情况及资格证明文件”章节提供的格式）。</w:t>
      </w:r>
    </w:p>
    <w:p>
      <w:pPr>
        <w:ind w:firstLine="420" w:firstLineChars="200"/>
      </w:pPr>
      <w:r>
        <w:rPr>
          <w:rFonts w:hint="eastAsia"/>
        </w:rPr>
        <w:t>（5）享受价格扣除获得政府采购合同的，小微企业不得将合同分包给大中型企业。</w:t>
      </w:r>
    </w:p>
    <w:p>
      <w:pPr>
        <w:spacing w:line="360" w:lineRule="auto"/>
        <w:ind w:firstLine="420" w:firstLineChars="200"/>
        <w:rPr>
          <w:rFonts w:ascii="宋体" w:hAnsi="宋体" w:cs="宋体" w:hint="eastAsia"/>
          <w:b/>
          <w:bCs/>
        </w:rPr>
      </w:pPr>
      <w:r>
        <w:rPr>
          <w:rFonts w:ascii="宋体" w:hAnsi="宋体" w:cs="宋体" w:hint="eastAsia"/>
          <w:b/>
          <w:bCs/>
        </w:rPr>
        <w:t>2.关于政府采购订单融资政策</w:t>
      </w:r>
    </w:p>
    <w:p>
      <w:pPr>
        <w:wordWrap w:val="0"/>
        <w:ind w:firstLine="420" w:firstLineChars="20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p>
      <w:pPr>
        <w:ind w:firstLine="420" w:firstLineChars="200"/>
      </w:pPr>
      <w:bookmarkEnd w:id="31"/>
      <w:bookmarkEnd w:id="32"/>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TableNorm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W w:w="8522" w:type="dxa"/>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W w:w="8522" w:type="dxa"/>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ascii="宋体" w:hAnsi="宋体" w:cs="宋体" w:hint="eastAsia"/>
          <w:bCs/>
          <w:color w:val="FF0000"/>
          <w:szCs w:val="21"/>
        </w:rPr>
      </w:pPr>
      <w:r>
        <w:rPr>
          <w:rFonts w:hint="eastAsia"/>
        </w:rPr>
        <w:t>（3）中标（成交）供应商中标（成交）后，必须按规定采用银行对公转账方式向深圳交易集团有限公司直接交纳代理服务费，</w:t>
      </w:r>
      <w:r>
        <w:rPr>
          <w:rFonts w:hint="eastAsia"/>
          <w:b/>
          <w:bCs/>
        </w:rPr>
        <w:t>交纳信息及要求按照缴款（付款）通知书执行。</w:t>
      </w:r>
    </w:p>
    <w:p>
      <w:pPr>
        <w:ind w:firstLine="420" w:firstLineChars="200"/>
        <w:jc w:val="left"/>
        <w:rPr>
          <w:b/>
          <w:color w:val="000000" w:themeColor="text1"/>
          <w14:textFill>
            <w14:solidFill>
              <w14:schemeClr w14:val="tx1"/>
            </w14:solidFill>
          </w14:textFill>
        </w:rPr>
      </w:pPr>
    </w:p>
    <w:p>
      <w:pPr>
        <w:ind w:firstLine="420" w:firstLineChars="200"/>
        <w:jc w:val="left"/>
        <w:rPr>
          <w:rFonts w:ascii="宋体" w:hAnsi="宋体" w:cs="宋体" w:hint="eastAsia"/>
          <w:b/>
          <w:color w:val="000000" w:themeColor="text1"/>
          <w:szCs w:val="21"/>
          <w14:textFill>
            <w14:solidFill>
              <w14:schemeClr w14:val="tx1"/>
            </w14:solidFill>
          </w14:textFill>
        </w:rPr>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、其他说明</w:t>
      </w:r>
    </w:p>
    <w:p>
      <w:pPr>
        <w:wordWrap w:val="0"/>
        <w:ind w:firstLine="420" w:firstLineChars="200"/>
      </w:pPr>
      <w: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ind w:firstLine="420" w:firstLineChars="200"/>
        <w:rPr>
          <w:b/>
          <w:bCs/>
        </w:rPr>
      </w:pPr>
      <w:r>
        <w:rPr>
          <w:b/>
          <w:bCs/>
        </w:rPr>
        <w:t>重要提示：</w:t>
      </w:r>
    </w:p>
    <w:p>
      <w:pPr>
        <w:wordWrap w:val="0"/>
        <w:ind w:firstLine="420" w:firstLineChars="200"/>
      </w:pPr>
      <w:r>
        <w:t>1</w:t>
      </w:r>
      <w:r>
        <w:rPr>
          <w:rFonts w:hint="eastAsia"/>
        </w:rPr>
        <w:t>.</w:t>
      </w:r>
      <w: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ind w:firstLine="420" w:firstLineChars="200"/>
      </w:pPr>
      <w:r>
        <w:t>2</w:t>
      </w:r>
      <w:r>
        <w:rPr>
          <w:rFonts w:hint="eastAsia"/>
        </w:rPr>
        <w:t>.</w:t>
      </w:r>
      <w: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wordWrap w:val="0"/>
        <w:ind w:firstLine="420" w:firstLineChars="200"/>
      </w:pPr>
      <w:r>
        <w:t>3.已办理数字证书（电子密钥）的用户，可以继续使用数字证书完成投标活动。未申请电子营业执照或无法通过电子营业执照完成投标文件制作和加解密的用户，必须使用电子密钥进行投标文件制作和加解密，咨询电话</w:t>
      </w:r>
      <w:r>
        <w:rPr>
          <w:rFonts w:hint="eastAsia"/>
        </w:rPr>
        <w:t>0755-83948165，020-89524338</w:t>
      </w:r>
      <w:r>
        <w:t>（CA办理指引详见链接https://szggzy.com/calock/caLock.html）。</w:t>
      </w:r>
    </w:p>
    <w:p>
      <w:pPr>
        <w:rPr>
          <w:b/>
        </w:rPr>
      </w:pPr>
    </w:p>
    <w:p>
      <w:pPr>
        <w:pStyle w:val="BodyText"/>
      </w:pPr>
    </w:p>
    <w:p>
      <w:pPr>
        <w:widowControl/>
        <w:ind w:firstLine="420" w:firstLineChars="200"/>
        <w:jc w:val="left"/>
      </w:pPr>
      <w:r>
        <w:rPr>
          <w:rFonts w:hint="eastAsia"/>
          <w:b/>
        </w:rPr>
        <w:t>5.</w:t>
      </w:r>
      <w:r>
        <w:rPr>
          <w:rFonts w:ascii="瀹嬩綋" w:eastAsia="瀹嬩綋" w:hAnsi="瀹嬩綋" w:cs="瀹嬩綋"/>
          <w:b/>
          <w:bCs/>
          <w:color w:val="000000"/>
          <w:kern w:val="0"/>
          <w:szCs w:val="21"/>
        </w:rPr>
        <w:t xml:space="preserve">中标原则 </w:t>
      </w:r>
    </w:p>
    <w:p>
      <w:pPr>
        <w:widowControl/>
        <w:jc w:val="left"/>
        <w:rPr>
          <w:b/>
          <w:bCs/>
        </w:rPr>
      </w:pPr>
      <w:r>
        <w:rPr>
          <w:rFonts w:ascii="瀹嬩綋" w:eastAsia="瀹嬩綋" w:hAnsi="瀹嬩綋" w:cs="瀹嬩綋"/>
          <w:b/>
          <w:bCs/>
          <w:color w:val="FF0000"/>
          <w:kern w:val="0"/>
          <w:szCs w:val="21"/>
        </w:rPr>
        <w:t>（</w:t>
      </w:r>
      <w:r>
        <w:rPr>
          <w:b/>
          <w:bCs/>
          <w:color w:val="FF0000"/>
          <w:kern w:val="0"/>
          <w:szCs w:val="21"/>
        </w:rPr>
        <w:t>1</w:t>
      </w:r>
      <w:r>
        <w:rPr>
          <w:rFonts w:ascii="瀹嬩綋" w:eastAsia="瀹嬩綋" w:hAnsi="瀹嬩綋" w:cs="瀹嬩綋"/>
          <w:b/>
          <w:bCs/>
          <w:color w:val="FF0000"/>
          <w:kern w:val="0"/>
          <w:szCs w:val="21"/>
        </w:rPr>
        <w:t>）本项目通过采购，将选择出</w:t>
      </w:r>
      <w:r>
        <w:rPr>
          <w:rFonts w:ascii="瀹嬩綋" w:eastAsia="瀹嬩綋" w:hAnsi="瀹嬩綋" w:cs="瀹嬩綋" w:hint="eastAsia"/>
          <w:b/>
          <w:bCs/>
          <w:color w:val="FF0000"/>
          <w:kern w:val="0"/>
          <w:szCs w:val="21"/>
        </w:rPr>
        <w:t>3</w:t>
      </w:r>
      <w:r>
        <w:rPr>
          <w:b/>
          <w:bCs/>
          <w:color w:val="FF0000"/>
          <w:kern w:val="0"/>
          <w:szCs w:val="21"/>
        </w:rPr>
        <w:t xml:space="preserve"> </w:t>
      </w:r>
      <w:r>
        <w:rPr>
          <w:rFonts w:ascii="瀹嬩綋" w:eastAsia="瀹嬩綋" w:hAnsi="瀹嬩綋" w:cs="瀹嬩綋"/>
          <w:b/>
          <w:bCs/>
          <w:color w:val="FF0000"/>
          <w:kern w:val="0"/>
          <w:szCs w:val="21"/>
        </w:rPr>
        <w:t xml:space="preserve">家优秀的专业单位承担 </w:t>
      </w:r>
      <w:r>
        <w:rPr>
          <w:b/>
          <w:bCs/>
          <w:color w:val="FF0000"/>
          <w:kern w:val="0"/>
          <w:szCs w:val="21"/>
        </w:rPr>
        <w:t>A</w:t>
      </w:r>
      <w:r>
        <w:rPr>
          <w:rFonts w:ascii="瀹嬩綋" w:eastAsia="瀹嬩綋" w:hAnsi="瀹嬩綋" w:cs="瀹嬩綋"/>
          <w:b/>
          <w:bCs/>
          <w:color w:val="FF0000"/>
          <w:kern w:val="0"/>
          <w:szCs w:val="21"/>
        </w:rPr>
        <w:t>、</w:t>
      </w:r>
      <w:r>
        <w:rPr>
          <w:b/>
          <w:bCs/>
          <w:color w:val="FF0000"/>
          <w:kern w:val="0"/>
          <w:szCs w:val="21"/>
        </w:rPr>
        <w:t>B</w:t>
      </w:r>
      <w:r>
        <w:rPr>
          <w:rFonts w:hint="eastAsia"/>
          <w:b/>
          <w:bCs/>
          <w:color w:val="FF0000"/>
          <w:kern w:val="0"/>
          <w:szCs w:val="21"/>
        </w:rPr>
        <w:t>、C</w:t>
      </w:r>
      <w:r>
        <w:rPr>
          <w:b/>
          <w:bCs/>
          <w:color w:val="FF0000"/>
          <w:kern w:val="0"/>
          <w:szCs w:val="21"/>
        </w:rPr>
        <w:t xml:space="preserve"> </w:t>
      </w:r>
      <w:r>
        <w:rPr>
          <w:rFonts w:hint="eastAsia"/>
          <w:b/>
          <w:bCs/>
          <w:color w:val="FF0000"/>
          <w:kern w:val="0"/>
          <w:szCs w:val="21"/>
        </w:rPr>
        <w:t>3</w:t>
      </w:r>
      <w:r>
        <w:rPr>
          <w:rFonts w:ascii="瀹嬩綋" w:eastAsia="瀹嬩綋" w:hAnsi="瀹嬩綋" w:cs="瀹嬩綋"/>
          <w:b/>
          <w:bCs/>
          <w:color w:val="FF0000"/>
          <w:kern w:val="0"/>
          <w:szCs w:val="21"/>
        </w:rPr>
        <w:t xml:space="preserve">个包相关任务。 </w:t>
      </w:r>
    </w:p>
    <w:p>
      <w:pPr>
        <w:widowControl/>
        <w:jc w:val="left"/>
        <w:rPr>
          <w:b/>
          <w:bCs/>
        </w:rPr>
      </w:pPr>
      <w:r>
        <w:rPr>
          <w:rFonts w:ascii="瀹嬩綋" w:eastAsia="瀹嬩綋" w:hAnsi="瀹嬩綋" w:cs="瀹嬩綋"/>
          <w:b/>
          <w:bCs/>
          <w:color w:val="FF0000"/>
          <w:kern w:val="0"/>
          <w:szCs w:val="21"/>
        </w:rPr>
        <w:t xml:space="preserve">本包为 </w:t>
      </w:r>
      <w:r>
        <w:rPr>
          <w:rFonts w:ascii="瀹嬩綋" w:hAnsi="瀹嬩綋" w:cs="瀹嬩綋" w:hint="eastAsia"/>
          <w:b/>
          <w:bCs/>
          <w:color w:val="FF0000"/>
          <w:kern w:val="0"/>
          <w:szCs w:val="21"/>
          <w:lang w:val="en-US" w:eastAsia="zh-CN"/>
        </w:rPr>
        <w:t>B</w:t>
      </w:r>
      <w:r>
        <w:rPr>
          <w:rFonts w:ascii="瀹嬩綋" w:eastAsia="瀹嬩綋" w:hAnsi="瀹嬩綋" w:cs="瀹嬩綋"/>
          <w:b/>
          <w:bCs/>
          <w:color w:val="FF0000"/>
          <w:kern w:val="0"/>
          <w:szCs w:val="21"/>
        </w:rPr>
        <w:t xml:space="preserve">包。 </w:t>
      </w:r>
    </w:p>
    <w:p>
      <w:pPr>
        <w:widowControl/>
        <w:jc w:val="left"/>
        <w:rPr>
          <w:b/>
          <w:bCs/>
        </w:rPr>
      </w:pPr>
      <w:r>
        <w:rPr>
          <w:rFonts w:ascii="瀹嬩綋" w:eastAsia="瀹嬩綋" w:hAnsi="瀹嬩綋" w:cs="瀹嬩綋"/>
          <w:b/>
          <w:bCs/>
          <w:color w:val="FF0000"/>
          <w:kern w:val="0"/>
          <w:szCs w:val="21"/>
        </w:rPr>
        <w:t>（</w:t>
      </w:r>
      <w:r>
        <w:rPr>
          <w:b/>
          <w:bCs/>
          <w:color w:val="FF0000"/>
          <w:kern w:val="0"/>
          <w:szCs w:val="21"/>
        </w:rPr>
        <w:t>2</w:t>
      </w:r>
      <w:r>
        <w:rPr>
          <w:rFonts w:ascii="瀹嬩綋" w:eastAsia="瀹嬩綋" w:hAnsi="瀹嬩綋" w:cs="瀹嬩綋"/>
          <w:b/>
          <w:bCs/>
          <w:color w:val="FF0000"/>
          <w:kern w:val="0"/>
          <w:szCs w:val="21"/>
        </w:rPr>
        <w:t xml:space="preserve">）投标原则：本项目将根据综合评分法，选择出优秀的专业供应商承担本项目任务。 </w:t>
      </w:r>
    </w:p>
    <w:p>
      <w:pPr>
        <w:widowControl/>
        <w:jc w:val="left"/>
        <w:rPr>
          <w:b/>
          <w:bCs/>
        </w:rPr>
      </w:pPr>
      <w:r>
        <w:rPr>
          <w:rFonts w:ascii="瀹嬩綋" w:eastAsia="瀹嬩綋" w:hAnsi="瀹嬩綋" w:cs="瀹嬩綋"/>
          <w:b/>
          <w:bCs/>
          <w:color w:val="FF0000"/>
          <w:kern w:val="0"/>
          <w:szCs w:val="21"/>
        </w:rPr>
        <w:t xml:space="preserve">本项目共分为编号为 </w:t>
      </w:r>
      <w:r>
        <w:rPr>
          <w:b/>
          <w:bCs/>
          <w:color w:val="FF0000"/>
          <w:kern w:val="0"/>
          <w:szCs w:val="21"/>
        </w:rPr>
        <w:t>A</w:t>
      </w:r>
      <w:r>
        <w:rPr>
          <w:rFonts w:ascii="瀹嬩綋" w:eastAsia="瀹嬩綋" w:hAnsi="瀹嬩綋" w:cs="瀹嬩綋"/>
          <w:b/>
          <w:bCs/>
          <w:color w:val="FF0000"/>
          <w:kern w:val="0"/>
          <w:szCs w:val="21"/>
        </w:rPr>
        <w:t>、</w:t>
      </w:r>
      <w:r>
        <w:rPr>
          <w:b/>
          <w:bCs/>
          <w:color w:val="FF0000"/>
          <w:kern w:val="0"/>
          <w:szCs w:val="21"/>
        </w:rPr>
        <w:t xml:space="preserve">B </w:t>
      </w:r>
      <w:r>
        <w:rPr>
          <w:rFonts w:hint="eastAsia"/>
          <w:b/>
          <w:bCs/>
          <w:color w:val="FF0000"/>
          <w:kern w:val="0"/>
          <w:szCs w:val="21"/>
        </w:rPr>
        <w:t>、C</w:t>
      </w:r>
      <w:r>
        <w:rPr>
          <w:rFonts w:ascii="瀹嬩綋" w:eastAsia="瀹嬩綋" w:hAnsi="瀹嬩綋" w:cs="瀹嬩綋"/>
          <w:b/>
          <w:bCs/>
          <w:color w:val="FF0000"/>
          <w:kern w:val="0"/>
          <w:szCs w:val="21"/>
        </w:rPr>
        <w:t>的</w:t>
      </w:r>
      <w:r>
        <w:rPr>
          <w:rFonts w:ascii="瀹嬩綋" w:eastAsia="瀹嬩綋" w:hAnsi="瀹嬩綋" w:cs="瀹嬩綋" w:hint="eastAsia"/>
          <w:b/>
          <w:bCs/>
          <w:color w:val="FF0000"/>
          <w:kern w:val="0"/>
          <w:szCs w:val="21"/>
        </w:rPr>
        <w:t>3</w:t>
      </w:r>
      <w:r>
        <w:rPr>
          <w:b/>
          <w:bCs/>
          <w:color w:val="FF0000"/>
          <w:kern w:val="0"/>
          <w:szCs w:val="21"/>
        </w:rPr>
        <w:t xml:space="preserve"> </w:t>
      </w:r>
      <w:r>
        <w:rPr>
          <w:rFonts w:ascii="瀹嬩綋" w:eastAsia="瀹嬩綋" w:hAnsi="瀹嬩綋" w:cs="瀹嬩綋"/>
          <w:b/>
          <w:bCs/>
          <w:color w:val="FF0000"/>
          <w:kern w:val="0"/>
          <w:szCs w:val="21"/>
        </w:rPr>
        <w:t xml:space="preserve">个包，投标人可以选择投其中 </w:t>
      </w:r>
      <w:r>
        <w:rPr>
          <w:b/>
          <w:bCs/>
          <w:color w:val="FF0000"/>
          <w:kern w:val="0"/>
          <w:szCs w:val="21"/>
        </w:rPr>
        <w:t xml:space="preserve">1 </w:t>
      </w:r>
      <w:r>
        <w:rPr>
          <w:rFonts w:ascii="瀹嬩綋" w:eastAsia="瀹嬩綋" w:hAnsi="瀹嬩綋" w:cs="瀹嬩綋"/>
          <w:b/>
          <w:bCs/>
          <w:color w:val="FF0000"/>
          <w:kern w:val="0"/>
          <w:szCs w:val="21"/>
        </w:rPr>
        <w:t xml:space="preserve">个包或多个包，每个包需要独立制作 </w:t>
      </w:r>
      <w:r>
        <w:rPr>
          <w:b/>
          <w:bCs/>
          <w:color w:val="FF0000"/>
          <w:kern w:val="0"/>
          <w:szCs w:val="21"/>
        </w:rPr>
        <w:t xml:space="preserve">1 </w:t>
      </w:r>
      <w:r>
        <w:rPr>
          <w:rFonts w:ascii="瀹嬩綋" w:eastAsia="瀹嬩綋" w:hAnsi="瀹嬩綋" w:cs="瀹嬩綋"/>
          <w:b/>
          <w:bCs/>
          <w:color w:val="FF0000"/>
          <w:kern w:val="0"/>
          <w:szCs w:val="21"/>
        </w:rPr>
        <w:t xml:space="preserve">份投标文件，并按所投包号进行上传投标文件。 </w:t>
      </w:r>
    </w:p>
    <w:p>
      <w:pPr>
        <w:widowControl/>
        <w:jc w:val="left"/>
        <w:rPr>
          <w:b/>
          <w:bCs/>
        </w:rPr>
      </w:pPr>
      <w:r>
        <w:rPr>
          <w:rFonts w:ascii="瀹嬩綋" w:eastAsia="瀹嬩綋" w:hAnsi="瀹嬩綋" w:cs="瀹嬩綋"/>
          <w:b/>
          <w:bCs/>
          <w:color w:val="FF0000"/>
          <w:kern w:val="0"/>
          <w:szCs w:val="21"/>
        </w:rPr>
        <w:t>（</w:t>
      </w:r>
      <w:r>
        <w:rPr>
          <w:b/>
          <w:bCs/>
          <w:color w:val="FF0000"/>
          <w:kern w:val="0"/>
          <w:szCs w:val="21"/>
        </w:rPr>
        <w:t>3</w:t>
      </w:r>
      <w:r>
        <w:rPr>
          <w:rFonts w:ascii="瀹嬩綋" w:eastAsia="瀹嬩綋" w:hAnsi="瀹嬩綋" w:cs="瀹嬩綋"/>
          <w:b/>
          <w:bCs/>
          <w:color w:val="FF0000"/>
          <w:kern w:val="0"/>
          <w:szCs w:val="21"/>
        </w:rPr>
        <w:t xml:space="preserve">）中标原则：本项目按 </w:t>
      </w:r>
      <w:r>
        <w:rPr>
          <w:b/>
          <w:bCs/>
          <w:color w:val="FF0000"/>
          <w:kern w:val="0"/>
          <w:szCs w:val="21"/>
        </w:rPr>
        <w:t>A</w:t>
      </w:r>
      <w:r>
        <w:rPr>
          <w:rFonts w:ascii="瀹嬩綋" w:eastAsia="瀹嬩綋" w:hAnsi="瀹嬩綋" w:cs="瀹嬩綋"/>
          <w:b/>
          <w:bCs/>
          <w:color w:val="FF0000"/>
          <w:kern w:val="0"/>
          <w:szCs w:val="21"/>
        </w:rPr>
        <w:t>→</w:t>
      </w:r>
      <w:r>
        <w:rPr>
          <w:b/>
          <w:bCs/>
          <w:color w:val="FF0000"/>
          <w:kern w:val="0"/>
          <w:szCs w:val="21"/>
        </w:rPr>
        <w:t>B</w:t>
      </w:r>
      <w:r>
        <w:rPr>
          <w:rFonts w:ascii="瀹嬩綋" w:eastAsia="瀹嬩綋" w:hAnsi="瀹嬩綋" w:cs="瀹嬩綋"/>
          <w:b/>
          <w:bCs/>
          <w:color w:val="FF0000"/>
          <w:kern w:val="0"/>
          <w:szCs w:val="21"/>
        </w:rPr>
        <w:t>→</w:t>
      </w:r>
      <w:r>
        <w:rPr>
          <w:rFonts w:hint="eastAsia"/>
          <w:b/>
          <w:bCs/>
          <w:color w:val="FF0000"/>
          <w:kern w:val="0"/>
          <w:szCs w:val="21"/>
        </w:rPr>
        <w:t>C</w:t>
      </w:r>
      <w:r>
        <w:rPr>
          <w:rFonts w:ascii="瀹嬩綋" w:eastAsia="瀹嬩綋" w:hAnsi="瀹嬩綋" w:cs="瀹嬩綋"/>
          <w:b/>
          <w:bCs/>
          <w:color w:val="FF0000"/>
          <w:kern w:val="0"/>
          <w:szCs w:val="21"/>
        </w:rPr>
        <w:t xml:space="preserve">顺序分包进行评审，每个包均取 </w:t>
      </w:r>
      <w:r>
        <w:rPr>
          <w:b/>
          <w:bCs/>
          <w:color w:val="FF0000"/>
          <w:kern w:val="0"/>
          <w:szCs w:val="21"/>
        </w:rPr>
        <w:t xml:space="preserve">3 </w:t>
      </w:r>
      <w:r>
        <w:rPr>
          <w:rFonts w:ascii="瀹嬩綋" w:eastAsia="瀹嬩綋" w:hAnsi="瀹嬩綋" w:cs="瀹嬩綋"/>
          <w:b/>
          <w:bCs/>
          <w:color w:val="FF0000"/>
          <w:kern w:val="0"/>
          <w:szCs w:val="21"/>
        </w:rPr>
        <w:t xml:space="preserve">名候选中标供应商，排名第一名者为该包的中标供应商。各投标人可同时对多个包号进行投标，但最多只能 </w:t>
      </w:r>
    </w:p>
    <w:p>
      <w:pPr>
        <w:widowControl/>
        <w:jc w:val="left"/>
        <w:rPr>
          <w:b/>
          <w:bCs/>
        </w:rPr>
      </w:pPr>
      <w:r>
        <w:rPr>
          <w:rFonts w:ascii="瀹嬩綋" w:eastAsia="瀹嬩綋" w:hAnsi="瀹嬩綋" w:cs="瀹嬩綋"/>
          <w:b/>
          <w:bCs/>
          <w:color w:val="FF0000"/>
          <w:kern w:val="0"/>
          <w:szCs w:val="21"/>
        </w:rPr>
        <w:t xml:space="preserve">中 </w:t>
      </w:r>
      <w:r>
        <w:rPr>
          <w:b/>
          <w:bCs/>
          <w:color w:val="FF0000"/>
          <w:kern w:val="0"/>
          <w:szCs w:val="21"/>
        </w:rPr>
        <w:t xml:space="preserve">1 </w:t>
      </w:r>
      <w:r>
        <w:rPr>
          <w:rFonts w:ascii="瀹嬩綋" w:eastAsia="瀹嬩綋" w:hAnsi="瀹嬩綋" w:cs="瀹嬩綋"/>
          <w:b/>
          <w:bCs/>
          <w:color w:val="FF0000"/>
          <w:kern w:val="0"/>
          <w:szCs w:val="21"/>
        </w:rPr>
        <w:t>个包，当某一投标人已在某一个包号中综合得分排名第一时，在后续包组做符合性审查不通过处理，不得参与的包号按包的编号顺序（</w:t>
      </w:r>
      <w:r>
        <w:rPr>
          <w:b/>
          <w:bCs/>
          <w:color w:val="FF0000"/>
          <w:kern w:val="0"/>
          <w:szCs w:val="21"/>
        </w:rPr>
        <w:t>A</w:t>
      </w:r>
      <w:r>
        <w:rPr>
          <w:rFonts w:ascii="瀹嬩綋" w:eastAsia="瀹嬩綋" w:hAnsi="瀹嬩綋" w:cs="瀹嬩綋"/>
          <w:b/>
          <w:bCs/>
          <w:color w:val="FF0000"/>
          <w:kern w:val="0"/>
          <w:szCs w:val="21"/>
        </w:rPr>
        <w:t>→</w:t>
      </w:r>
      <w:r>
        <w:rPr>
          <w:b/>
          <w:bCs/>
          <w:color w:val="FF0000"/>
          <w:kern w:val="0"/>
          <w:szCs w:val="21"/>
        </w:rPr>
        <w:t>B</w:t>
      </w:r>
      <w:r>
        <w:rPr>
          <w:rFonts w:ascii="瀹嬩綋" w:eastAsia="瀹嬩綋" w:hAnsi="瀹嬩綋" w:cs="瀹嬩綋"/>
          <w:b/>
          <w:bCs/>
          <w:color w:val="FF0000"/>
          <w:kern w:val="0"/>
          <w:szCs w:val="21"/>
        </w:rPr>
        <w:t>→</w:t>
      </w:r>
      <w:r>
        <w:rPr>
          <w:rFonts w:hint="eastAsia"/>
          <w:b/>
          <w:bCs/>
          <w:color w:val="FF0000"/>
          <w:kern w:val="0"/>
          <w:szCs w:val="21"/>
        </w:rPr>
        <w:t>C</w:t>
      </w:r>
      <w:r>
        <w:rPr>
          <w:rFonts w:ascii="瀹嬩綋" w:eastAsia="瀹嬩綋" w:hAnsi="瀹嬩綋" w:cs="瀹嬩綋"/>
          <w:b/>
          <w:bCs/>
          <w:color w:val="FF0000"/>
          <w:kern w:val="0"/>
          <w:szCs w:val="21"/>
        </w:rPr>
        <w:t xml:space="preserve">）确定。所有包号有效投标人均需达到法定数量（三家或以上），有效投标人未达到法定数量的包组作废标处理。 </w:t>
      </w:r>
    </w:p>
    <w:p>
      <w:pPr>
        <w:widowControl/>
        <w:jc w:val="left"/>
      </w:pPr>
      <w:r>
        <w:rPr>
          <w:rFonts w:ascii="瀹嬩綋" w:eastAsia="瀹嬩綋" w:hAnsi="瀹嬩綋" w:cs="瀹嬩綋"/>
          <w:b/>
          <w:bCs/>
          <w:color w:val="000000"/>
          <w:kern w:val="0"/>
          <w:szCs w:val="21"/>
        </w:rPr>
        <w:t>举例：</w:t>
      </w:r>
      <w:r>
        <w:rPr>
          <w:rFonts w:ascii="瀹嬩綋" w:eastAsia="瀹嬩綋" w:hAnsi="瀹嬩綋" w:cs="瀹嬩綋"/>
          <w:color w:val="000000"/>
          <w:kern w:val="0"/>
          <w:szCs w:val="21"/>
        </w:rPr>
        <w:t>甲单位同时投标</w:t>
      </w:r>
      <w:r>
        <w:rPr>
          <w:rFonts w:ascii="瀹嬩綋" w:eastAsia="瀹嬩綋" w:hAnsi="瀹嬩綋" w:cs="瀹嬩綋" w:hint="eastAsia"/>
          <w:color w:val="000000"/>
          <w:kern w:val="0"/>
          <w:szCs w:val="21"/>
        </w:rPr>
        <w:t>2</w:t>
      </w:r>
      <w:r>
        <w:rPr>
          <w:rFonts w:ascii="瀹嬩綋" w:eastAsia="瀹嬩綋" w:hAnsi="瀹嬩綋" w:cs="瀹嬩綋"/>
          <w:color w:val="000000"/>
          <w:kern w:val="0"/>
          <w:szCs w:val="21"/>
        </w:rPr>
        <w:t xml:space="preserve">个包 </w:t>
      </w:r>
      <w:r>
        <w:rPr>
          <w:color w:val="000000"/>
          <w:kern w:val="0"/>
          <w:szCs w:val="21"/>
        </w:rPr>
        <w:t>A</w:t>
      </w:r>
      <w:r>
        <w:rPr>
          <w:rFonts w:ascii="瀹嬩綋" w:eastAsia="瀹嬩綋" w:hAnsi="瀹嬩綋" w:cs="瀹嬩綋"/>
          <w:color w:val="000000"/>
          <w:kern w:val="0"/>
          <w:szCs w:val="21"/>
        </w:rPr>
        <w:t>→</w:t>
      </w:r>
      <w:r>
        <w:rPr>
          <w:color w:val="000000"/>
          <w:kern w:val="0"/>
          <w:szCs w:val="21"/>
        </w:rPr>
        <w:t>B</w:t>
      </w:r>
      <w:r>
        <w:rPr>
          <w:rFonts w:ascii="瀹嬩綋" w:eastAsia="瀹嬩綋" w:hAnsi="瀹嬩綋" w:cs="瀹嬩綋"/>
          <w:color w:val="000000"/>
          <w:kern w:val="0"/>
          <w:szCs w:val="21"/>
        </w:rPr>
        <w:t xml:space="preserve">，且通过综合评分，在 </w:t>
      </w:r>
      <w:r>
        <w:rPr>
          <w:color w:val="000000"/>
          <w:kern w:val="0"/>
          <w:szCs w:val="21"/>
        </w:rPr>
        <w:t xml:space="preserve">A </w:t>
      </w:r>
      <w:r>
        <w:rPr>
          <w:rFonts w:ascii="瀹嬩綋" w:eastAsia="瀹嬩綋" w:hAnsi="瀹嬩綋" w:cs="瀹嬩綋"/>
          <w:color w:val="000000"/>
          <w:kern w:val="0"/>
          <w:szCs w:val="21"/>
        </w:rPr>
        <w:t xml:space="preserve">包评审中综合得分排 </w:t>
      </w:r>
    </w:p>
    <w:p>
      <w:pPr>
        <w:widowControl/>
        <w:jc w:val="left"/>
      </w:pPr>
      <w:r>
        <w:rPr>
          <w:rFonts w:ascii="瀹嬩綋" w:eastAsia="瀹嬩綋" w:hAnsi="瀹嬩綋" w:cs="瀹嬩綋"/>
          <w:color w:val="000000"/>
          <w:kern w:val="0"/>
          <w:szCs w:val="21"/>
        </w:rPr>
        <w:t xml:space="preserve">名第一时，在后续包组做符合性审查不通过处理。 </w:t>
      </w:r>
    </w:p>
    <w:p>
      <w:pPr>
        <w:widowControl/>
        <w:jc w:val="left"/>
      </w:pPr>
      <w:r>
        <w:rPr>
          <w:rFonts w:ascii="瀹嬩綋" w:eastAsia="瀹嬩綋" w:hAnsi="瀹嬩綋" w:cs="瀹嬩綋"/>
          <w:color w:val="000000"/>
          <w:kern w:val="0"/>
          <w:szCs w:val="21"/>
        </w:rPr>
        <w:t xml:space="preserve">为避免出现不同包组之间的“交叉感染”，如其中某一个包因质疑投诉或其他原因导致 </w:t>
      </w:r>
    </w:p>
    <w:p>
      <w:pPr>
        <w:widowControl/>
        <w:jc w:val="left"/>
      </w:pPr>
      <w:r>
        <w:rPr>
          <w:rFonts w:ascii="瀹嬩綋" w:eastAsia="瀹嬩綋" w:hAnsi="瀹嬩綋" w:cs="瀹嬩綋"/>
          <w:color w:val="000000"/>
          <w:kern w:val="0"/>
          <w:szCs w:val="21"/>
        </w:rPr>
        <w:t>出现中标结果发生变化的情况，相关情况不影响其它包的招标投标程序及定标结果。</w:t>
      </w:r>
    </w:p>
    <w:p>
      <w:pPr>
        <w:pStyle w:val="BodyText2"/>
        <w:sectPr>
          <w:pgSz w:w="11907" w:h="16840"/>
          <w:pgMar w:top="1440" w:right="1797" w:bottom="1440" w:left="1797" w:header="851" w:footer="992" w:gutter="0"/>
          <w:cols w:num="1" w:space="425"/>
          <w:titlePg/>
          <w:docGrid w:linePitch="462" w:charSpace="0"/>
        </w:sectPr>
      </w:pPr>
    </w:p>
    <w:p>
      <w:pPr>
        <w:pStyle w:val="Heading2"/>
        <w:rPr>
          <w:rFonts w:hint="eastAsia"/>
          <w:sz w:val="28"/>
          <w:szCs w:val="28"/>
        </w:rPr>
      </w:pPr>
      <w:bookmarkStart w:id="33" w:name="_Toc128884461"/>
      <w:r>
        <w:rPr>
          <w:rFonts w:hint="eastAsia"/>
          <w:sz w:val="28"/>
          <w:szCs w:val="28"/>
        </w:rPr>
        <w:t>第三章 用户需求书</w:t>
      </w:r>
    </w:p>
    <w:p>
      <w:pPr>
        <w:pStyle w:val="Heading2"/>
        <w:spacing w:before="120" w:beforeLines="50" w:after="120" w:afterLines="50"/>
        <w:rPr>
          <w:rFonts w:hint="eastAsia"/>
          <w:szCs w:val="24"/>
        </w:rPr>
      </w:pPr>
      <w:r>
        <w:rPr>
          <w:rFonts w:hint="eastAsia"/>
          <w:szCs w:val="24"/>
        </w:rPr>
        <w:t>一、项目基本信息</w:t>
      </w:r>
    </w:p>
    <w:p>
      <w:pPr>
        <w:rPr>
          <w:rFonts w:ascii="宋体" w:hAnsi="宋体" w:hint="eastAsia"/>
          <w:b/>
          <w:color w:val="FF0000"/>
          <w:szCs w:val="21"/>
        </w:rPr>
      </w:pP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4"/>
        <w:gridCol w:w="2807"/>
        <w:gridCol w:w="2233"/>
        <w:gridCol w:w="1665"/>
        <w:gridCol w:w="1397"/>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77"/>
        </w:trPr>
        <w:tc>
          <w:tcPr>
            <w:tcW w:w="248" w:type="pct"/>
            <w:vAlign w:val="center"/>
          </w:tcPr>
          <w:p>
            <w:pPr>
              <w:jc w:val="center"/>
              <w:rPr>
                <w:bCs/>
                <w:szCs w:val="21"/>
              </w:rPr>
            </w:pPr>
            <w:r>
              <w:rPr>
                <w:rFonts w:hint="eastAsia"/>
                <w:bCs/>
                <w:szCs w:val="21"/>
              </w:rPr>
              <w:t>序号</w:t>
            </w:r>
          </w:p>
        </w:tc>
        <w:tc>
          <w:tcPr>
            <w:tcW w:w="1646" w:type="pct"/>
            <w:vAlign w:val="center"/>
          </w:tcPr>
          <w:p>
            <w:pPr>
              <w:jc w:val="center"/>
              <w:rPr>
                <w:bCs/>
                <w:szCs w:val="21"/>
              </w:rPr>
            </w:pPr>
            <w:r>
              <w:rPr>
                <w:rFonts w:hint="eastAsia"/>
                <w:szCs w:val="21"/>
              </w:rPr>
              <w:t>采购计划编号</w:t>
            </w:r>
          </w:p>
        </w:tc>
        <w:tc>
          <w:tcPr>
            <w:tcW w:w="1309" w:type="pct"/>
            <w:vAlign w:val="center"/>
          </w:tcPr>
          <w:p>
            <w:pPr>
              <w:jc w:val="center"/>
              <w:rPr>
                <w:bCs/>
                <w:szCs w:val="21"/>
              </w:rPr>
            </w:pPr>
            <w:r>
              <w:rPr>
                <w:rFonts w:hint="eastAsia"/>
                <w:bCs/>
                <w:szCs w:val="21"/>
              </w:rPr>
              <w:t>采购项目名称</w:t>
            </w:r>
          </w:p>
        </w:tc>
        <w:tc>
          <w:tcPr>
            <w:tcW w:w="976" w:type="pct"/>
            <w:vAlign w:val="center"/>
          </w:tcPr>
          <w:p>
            <w:pPr>
              <w:jc w:val="center"/>
              <w:rPr>
                <w:rFonts w:hint="eastAsia"/>
                <w:bCs/>
                <w:szCs w:val="21"/>
              </w:rPr>
            </w:pPr>
            <w:r>
              <w:rPr>
                <w:rFonts w:hint="eastAsia"/>
                <w:b/>
                <w:bCs/>
                <w:color w:val="FF0000"/>
                <w:szCs w:val="21"/>
              </w:rPr>
              <w:t>预算金额（元）</w:t>
            </w:r>
          </w:p>
        </w:tc>
        <w:tc>
          <w:tcPr>
            <w:tcW w:w="819" w:type="pct"/>
            <w:vAlign w:val="center"/>
          </w:tcPr>
          <w:p>
            <w:pPr>
              <w:jc w:val="center"/>
              <w:rPr>
                <w:b/>
                <w:bCs/>
                <w:color w:val="FF0000"/>
                <w:szCs w:val="21"/>
              </w:rPr>
            </w:pPr>
            <w:r>
              <w:rPr>
                <w:rFonts w:hint="eastAsia"/>
                <w:b/>
                <w:bCs/>
                <w:color w:val="FF0000"/>
                <w:szCs w:val="21"/>
              </w:rPr>
              <w:t>支付上限预算金额（元）</w:t>
            </w:r>
          </w:p>
        </w:tc>
      </w:tr>
      <w:tr>
        <w:tblPrEx>
          <w:tblW w:w="4998" w:type="pct"/>
          <w:tblInd w:w="0" w:type="dxa"/>
          <w:tblLayout w:type="fixed"/>
          <w:tblCellMar>
            <w:top w:w="0" w:type="dxa"/>
            <w:left w:w="108" w:type="dxa"/>
            <w:bottom w:w="0" w:type="dxa"/>
            <w:right w:w="108" w:type="dxa"/>
          </w:tblCellMar>
        </w:tblPrEx>
        <w:trPr>
          <w:trHeight w:val="306"/>
        </w:trPr>
        <w:tc>
          <w:tcPr>
            <w:tcW w:w="248" w:type="pct"/>
            <w:vAlign w:val="center"/>
          </w:tcPr>
          <w:p>
            <w:pPr>
              <w:jc w:val="center"/>
              <w:rPr>
                <w:rFonts w:hint="eastAsia"/>
                <w:szCs w:val="21"/>
              </w:rPr>
            </w:pPr>
            <w:r>
              <w:rPr>
                <w:rFonts w:hint="eastAsia"/>
                <w:szCs w:val="21"/>
              </w:rPr>
              <w:t>1</w:t>
            </w:r>
          </w:p>
        </w:tc>
        <w:tc>
          <w:tcPr>
            <w:tcW w:w="1646" w:type="pct"/>
            <w:vAlign w:val="center"/>
          </w:tcPr>
          <w:p>
            <w:pPr>
              <w:jc w:val="center"/>
              <w:rPr>
                <w:rFonts w:hint="eastAsia"/>
                <w:szCs w:val="21"/>
              </w:rPr>
            </w:pPr>
            <w:r>
              <w:rPr>
                <w:rFonts w:hint="default"/>
                <w:szCs w:val="21"/>
                <w:lang w:val="en-US" w:eastAsia="zh-CN"/>
              </w:rPr>
              <w:t>PLAN-2025-440300000-106010-04352</w:t>
            </w:r>
          </w:p>
        </w:tc>
        <w:tc>
          <w:tcPr>
            <w:tcW w:w="1309" w:type="pct"/>
            <w:vMerge w:val="restart"/>
            <w:vAlign w:val="center"/>
          </w:tcPr>
          <w:p>
            <w:pPr>
              <w:jc w:val="center"/>
              <w:rPr>
                <w:rFonts w:hint="eastAsia"/>
                <w:szCs w:val="21"/>
              </w:rPr>
            </w:pPr>
            <w:r>
              <w:rPr>
                <w:rFonts w:hint="eastAsia"/>
                <w:szCs w:val="21"/>
              </w:rPr>
              <w:t>深圳市公安局轨道交通分局公务车辆维修服务</w:t>
            </w:r>
          </w:p>
        </w:tc>
        <w:tc>
          <w:tcPr>
            <w:tcW w:w="976" w:type="pct"/>
            <w:vAlign w:val="center"/>
          </w:tcPr>
          <w:p>
            <w:pPr>
              <w:jc w:val="center"/>
              <w:rPr>
                <w:rFonts w:hint="eastAsia"/>
                <w:szCs w:val="21"/>
              </w:rPr>
            </w:pPr>
            <w:r>
              <w:rPr>
                <w:rFonts w:hint="default"/>
                <w:szCs w:val="21"/>
                <w:lang w:val="en-US" w:eastAsia="zh-CN"/>
              </w:rPr>
              <w:t>50234.00</w:t>
            </w:r>
          </w:p>
        </w:tc>
        <w:tc>
          <w:tcPr>
            <w:tcW w:w="819" w:type="pct"/>
            <w:vAlign w:val="center"/>
          </w:tcPr>
          <w:p>
            <w:pPr>
              <w:jc w:val="center"/>
              <w:rPr>
                <w:rFonts w:hint="eastAsia"/>
                <w:szCs w:val="21"/>
              </w:rPr>
            </w:pPr>
            <w:r>
              <w:rPr>
                <w:rFonts w:hint="default"/>
                <w:szCs w:val="21"/>
                <w:lang w:val="en-US" w:eastAsia="zh-CN"/>
              </w:rPr>
              <w:t>50234.00</w:t>
            </w:r>
          </w:p>
        </w:tc>
      </w:tr>
      <w:tr>
        <w:tblPrEx>
          <w:tblW w:w="4998" w:type="pct"/>
          <w:tblInd w:w="0" w:type="dxa"/>
          <w:tblLayout w:type="fixed"/>
          <w:tblCellMar>
            <w:top w:w="0" w:type="dxa"/>
            <w:left w:w="108" w:type="dxa"/>
            <w:bottom w:w="0" w:type="dxa"/>
            <w:right w:w="108" w:type="dxa"/>
          </w:tblCellMar>
        </w:tblPrEx>
        <w:trPr>
          <w:trHeight w:val="306"/>
        </w:trPr>
        <w:tc>
          <w:tcPr>
            <w:tcW w:w="248" w:type="pct"/>
            <w:vAlign w:val="center"/>
          </w:tcPr>
          <w:p>
            <w:pPr>
              <w:jc w:val="center"/>
              <w:rPr>
                <w:rFonts w:hint="eastAsia"/>
                <w:szCs w:val="21"/>
              </w:rPr>
            </w:pPr>
            <w:r>
              <w:rPr>
                <w:rFonts w:hint="eastAsia"/>
                <w:szCs w:val="21"/>
              </w:rPr>
              <w:t>2</w:t>
            </w:r>
          </w:p>
        </w:tc>
        <w:tc>
          <w:tcPr>
            <w:tcW w:w="1646" w:type="pct"/>
            <w:vAlign w:val="center"/>
          </w:tcPr>
          <w:p>
            <w:pPr>
              <w:jc w:val="center"/>
              <w:rPr>
                <w:rFonts w:hint="eastAsia"/>
                <w:szCs w:val="21"/>
              </w:rPr>
            </w:pPr>
            <w:r>
              <w:rPr>
                <w:rFonts w:hint="default"/>
                <w:szCs w:val="21"/>
                <w:lang w:val="en-US" w:eastAsia="zh-CN"/>
              </w:rPr>
              <w:t>PLAN-2025-440300000-106010-04295</w:t>
            </w:r>
          </w:p>
        </w:tc>
        <w:tc>
          <w:tcPr>
            <w:tcW w:w="1309" w:type="pct"/>
            <w:vMerge/>
            <w:vAlign w:val="center"/>
          </w:tcPr>
          <w:p>
            <w:pPr>
              <w:jc w:val="center"/>
              <w:rPr>
                <w:rFonts w:hint="eastAsia"/>
                <w:szCs w:val="21"/>
              </w:rPr>
            </w:pPr>
          </w:p>
        </w:tc>
        <w:tc>
          <w:tcPr>
            <w:tcW w:w="976" w:type="pct"/>
            <w:vAlign w:val="center"/>
          </w:tcPr>
          <w:p>
            <w:pPr>
              <w:jc w:val="center"/>
              <w:rPr>
                <w:rFonts w:hint="eastAsia"/>
                <w:szCs w:val="21"/>
              </w:rPr>
            </w:pPr>
            <w:r>
              <w:rPr>
                <w:rFonts w:hint="default"/>
                <w:szCs w:val="21"/>
                <w:lang w:val="en-US" w:eastAsia="zh-CN"/>
              </w:rPr>
              <w:t>401866.00 </w:t>
            </w:r>
          </w:p>
        </w:tc>
        <w:tc>
          <w:tcPr>
            <w:tcW w:w="819" w:type="pct"/>
            <w:vAlign w:val="center"/>
          </w:tcPr>
          <w:p>
            <w:pPr>
              <w:jc w:val="center"/>
              <w:rPr>
                <w:rFonts w:hint="eastAsia"/>
                <w:szCs w:val="21"/>
              </w:rPr>
            </w:pPr>
            <w:r>
              <w:rPr>
                <w:rFonts w:hint="default"/>
                <w:szCs w:val="21"/>
                <w:lang w:val="en-US" w:eastAsia="zh-CN"/>
              </w:rPr>
              <w:t>401866.00 </w:t>
            </w:r>
          </w:p>
        </w:tc>
      </w:tr>
      <w:tr>
        <w:tblPrEx>
          <w:tblW w:w="4998" w:type="pct"/>
          <w:tblInd w:w="0" w:type="dxa"/>
          <w:tblLayout w:type="fixed"/>
          <w:tblCellMar>
            <w:top w:w="0" w:type="dxa"/>
            <w:left w:w="108" w:type="dxa"/>
            <w:bottom w:w="0" w:type="dxa"/>
            <w:right w:w="108" w:type="dxa"/>
          </w:tblCellMar>
        </w:tblPrEx>
        <w:trPr>
          <w:trHeight w:val="316"/>
        </w:trPr>
        <w:tc>
          <w:tcPr>
            <w:tcW w:w="3204" w:type="pct"/>
            <w:gridSpan w:val="3"/>
            <w:vAlign w:val="center"/>
          </w:tcPr>
          <w:p>
            <w:pPr>
              <w:jc w:val="center"/>
              <w:rPr>
                <w:rFonts w:hint="eastAsia"/>
                <w:szCs w:val="21"/>
              </w:rPr>
            </w:pPr>
            <w:r>
              <w:rPr>
                <w:rFonts w:hint="eastAsia"/>
                <w:szCs w:val="21"/>
              </w:rPr>
              <w:t>合计：</w:t>
            </w:r>
          </w:p>
        </w:tc>
        <w:tc>
          <w:tcPr>
            <w:tcW w:w="976" w:type="pct"/>
            <w:vAlign w:val="center"/>
          </w:tcPr>
          <w:p>
            <w:pPr>
              <w:jc w:val="center"/>
              <w:rPr>
                <w:rFonts w:hint="eastAsia"/>
                <w:szCs w:val="21"/>
              </w:rPr>
            </w:pPr>
            <w:r>
              <w:rPr>
                <w:rFonts w:hint="default"/>
                <w:szCs w:val="21"/>
                <w:lang w:val="en-US" w:eastAsia="zh-CN"/>
              </w:rPr>
              <w:t>452100.00</w:t>
            </w:r>
          </w:p>
        </w:tc>
        <w:tc>
          <w:tcPr>
            <w:tcW w:w="819" w:type="pct"/>
            <w:vAlign w:val="center"/>
          </w:tcPr>
          <w:p>
            <w:pPr>
              <w:jc w:val="center"/>
              <w:rPr>
                <w:rFonts w:hint="eastAsia"/>
                <w:szCs w:val="21"/>
              </w:rPr>
            </w:pPr>
            <w:r>
              <w:rPr>
                <w:rFonts w:hint="default"/>
                <w:szCs w:val="21"/>
                <w:lang w:val="en-US" w:eastAsia="zh-CN"/>
              </w:rPr>
              <w:t>452100.00</w:t>
            </w:r>
          </w:p>
        </w:tc>
      </w:tr>
    </w:tbl>
    <w:p>
      <w:pPr>
        <w:rPr>
          <w:rFonts w:ascii="宋体" w:hAnsi="宋体" w:hint="eastAsia"/>
          <w:b/>
          <w:color w:val="FF0000"/>
          <w:szCs w:val="21"/>
        </w:rPr>
      </w:pPr>
    </w:p>
    <w:p>
      <w:pPr>
        <w:pStyle w:val="Heading2"/>
        <w:spacing w:before="120" w:beforeLines="50" w:after="120" w:afterLines="50"/>
        <w:rPr>
          <w:rFonts w:hint="eastAsia"/>
          <w:szCs w:val="24"/>
        </w:rPr>
      </w:pPr>
      <w:r>
        <w:rPr>
          <w:rFonts w:hint="eastAsia"/>
          <w:szCs w:val="24"/>
        </w:rPr>
        <w:t>二、项目概况</w:t>
      </w:r>
    </w:p>
    <w:p>
      <w:pPr>
        <w:ind w:firstLine="420" w:firstLineChars="200"/>
        <w:rPr>
          <w:rFonts w:ascii="宋体" w:hAnsi="宋体" w:cs="宋体" w:hint="eastAsia"/>
          <w:szCs w:val="21"/>
        </w:rPr>
      </w:pPr>
      <w:r>
        <w:rPr>
          <w:rFonts w:ascii="宋体" w:hAnsi="宋体" w:cs="宋体" w:hint="eastAsia"/>
          <w:szCs w:val="21"/>
        </w:rPr>
        <w:t>深圳市公安局轨道交通分局车辆维修服务分为A-C等3个包组，各包组分别采购1家中标服务供应商。</w:t>
      </w:r>
    </w:p>
    <w:tbl>
      <w:tblPr>
        <w:tblStyle w:val="TableNormal"/>
        <w:tblW w:w="0" w:type="auto"/>
        <w:tblInd w:w="-263" w:type="dxa"/>
        <w:tblLayout w:type="fixed"/>
        <w:tblCellMar>
          <w:top w:w="0" w:type="dxa"/>
          <w:left w:w="108" w:type="dxa"/>
          <w:bottom w:w="0" w:type="dxa"/>
          <w:right w:w="108" w:type="dxa"/>
        </w:tblCellMar>
      </w:tblPr>
      <w:tblGrid>
        <w:gridCol w:w="687"/>
        <w:gridCol w:w="1425"/>
        <w:gridCol w:w="2250"/>
        <w:gridCol w:w="1088"/>
        <w:gridCol w:w="975"/>
        <w:gridCol w:w="1275"/>
        <w:gridCol w:w="1020"/>
      </w:tblGrid>
      <w:tr>
        <w:tblPrEx>
          <w:tblW w:w="0" w:type="auto"/>
          <w:tblInd w:w="-263" w:type="dxa"/>
          <w:tblLayout w:type="fixed"/>
          <w:tblCellMar>
            <w:top w:w="0" w:type="dxa"/>
            <w:left w:w="108" w:type="dxa"/>
            <w:bottom w:w="0" w:type="dxa"/>
            <w:right w:w="108" w:type="dxa"/>
          </w:tblCellMar>
        </w:tblPrEx>
        <w:trPr>
          <w:trHeight w:val="815"/>
        </w:trPr>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包组</w:t>
            </w:r>
          </w:p>
        </w:tc>
        <w:tc>
          <w:tcPr>
            <w:tcW w:w="1425" w:type="dxa"/>
            <w:tcBorders>
              <w:top w:val="single" w:sz="4" w:space="0" w:color="000000"/>
              <w:left w:val="single" w:sz="4" w:space="0" w:color="000000"/>
              <w:bottom w:val="single" w:sz="4" w:space="0" w:color="auto"/>
              <w:right w:val="single" w:sz="4" w:space="0" w:color="000000"/>
            </w:tcBorders>
            <w:shd w:val="clear" w:color="auto" w:fill="auto"/>
            <w:vAlign w:val="center"/>
          </w:tcPr>
          <w:p>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片区</w:t>
            </w:r>
          </w:p>
        </w:tc>
        <w:tc>
          <w:tcPr>
            <w:tcW w:w="2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widowControl/>
              <w:jc w:val="center"/>
              <w:textAlignment w:val="center"/>
              <w:rPr>
                <w:rFonts w:ascii="宋体" w:hAnsi="宋体" w:cs="宋体" w:hint="eastAsia"/>
                <w:color w:val="000000"/>
                <w:kern w:val="0"/>
                <w:szCs w:val="21"/>
              </w:rPr>
            </w:pPr>
            <w:r>
              <w:rPr>
                <w:rFonts w:ascii="宋体" w:hAnsi="宋体" w:cs="宋体" w:hint="eastAsia"/>
                <w:b/>
                <w:bCs/>
                <w:color w:val="000000"/>
                <w:kern w:val="0"/>
                <w:szCs w:val="21"/>
              </w:rPr>
              <w:t>单位名称</w:t>
            </w:r>
          </w:p>
        </w:tc>
        <w:tc>
          <w:tcPr>
            <w:tcW w:w="1088"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widowControl/>
              <w:jc w:val="center"/>
              <w:textAlignment w:val="center"/>
              <w:rPr>
                <w:rFonts w:ascii="宋体" w:hAnsi="宋体" w:cs="宋体" w:hint="eastAsia"/>
                <w:color w:val="000000"/>
                <w:kern w:val="0"/>
                <w:szCs w:val="21"/>
              </w:rPr>
            </w:pPr>
            <w:r>
              <w:rPr>
                <w:rFonts w:ascii="宋体" w:hAnsi="宋体" w:cs="宋体" w:hint="eastAsia"/>
                <w:b/>
                <w:bCs/>
                <w:color w:val="000000"/>
                <w:kern w:val="0"/>
                <w:szCs w:val="21"/>
              </w:rPr>
              <w:t>车辆类型</w:t>
            </w:r>
          </w:p>
        </w:tc>
        <w:tc>
          <w:tcPr>
            <w:tcW w:w="975" w:type="dxa"/>
            <w:tcBorders>
              <w:top w:val="single" w:sz="4" w:space="0" w:color="000000"/>
              <w:left w:val="single" w:sz="4" w:space="0" w:color="000000"/>
              <w:bottom w:val="single" w:sz="4" w:space="0" w:color="auto"/>
              <w:right w:val="single" w:sz="4" w:space="0" w:color="auto"/>
            </w:tcBorders>
            <w:shd w:val="clear" w:color="auto" w:fill="auto"/>
            <w:noWrap/>
            <w:vAlign w:val="center"/>
          </w:tcPr>
          <w:p>
            <w:pPr>
              <w:widowControl/>
              <w:jc w:val="center"/>
              <w:textAlignment w:val="center"/>
              <w:rPr>
                <w:rFonts w:ascii="宋体" w:hAnsi="宋体" w:cs="宋体" w:hint="eastAsia"/>
                <w:color w:val="000000"/>
                <w:kern w:val="0"/>
                <w:szCs w:val="21"/>
              </w:rPr>
            </w:pPr>
            <w:r>
              <w:rPr>
                <w:rFonts w:ascii="宋体" w:hAnsi="宋体" w:cs="宋体" w:hint="eastAsia"/>
                <w:b/>
                <w:bCs/>
                <w:color w:val="000000"/>
                <w:kern w:val="0"/>
                <w:szCs w:val="21"/>
              </w:rPr>
              <w:t>预估车辆数量/辆</w:t>
            </w:r>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center"/>
          </w:tcPr>
          <w:p>
            <w:pPr>
              <w:widowControl/>
              <w:jc w:val="center"/>
              <w:textAlignment w:val="center"/>
              <w:rPr>
                <w:rFonts w:ascii="宋体" w:hAnsi="宋体" w:cs="宋体" w:hint="eastAsia"/>
                <w:color w:val="000000"/>
                <w:kern w:val="0"/>
                <w:szCs w:val="21"/>
              </w:rPr>
            </w:pPr>
            <w:r>
              <w:rPr>
                <w:rFonts w:ascii="宋体" w:hAnsi="宋体" w:cs="宋体" w:hint="eastAsia"/>
                <w:b/>
                <w:bCs/>
                <w:color w:val="000000"/>
                <w:kern w:val="0"/>
                <w:szCs w:val="21"/>
              </w:rPr>
              <w:t>服务区域</w:t>
            </w:r>
          </w:p>
        </w:tc>
        <w:tc>
          <w:tcPr>
            <w:tcW w:w="1020" w:type="dxa"/>
            <w:tcBorders>
              <w:top w:val="single" w:sz="4" w:space="0" w:color="auto"/>
              <w:left w:val="single" w:sz="4" w:space="0" w:color="000000"/>
              <w:bottom w:val="single" w:sz="4" w:space="0" w:color="auto"/>
              <w:right w:val="single" w:sz="4" w:space="0" w:color="auto"/>
            </w:tcBorders>
            <w:shd w:val="clear" w:color="auto" w:fill="auto"/>
            <w:noWrap/>
            <w:vAlign w:val="center"/>
          </w:tcPr>
          <w:p>
            <w:pPr>
              <w:widowControl/>
              <w:jc w:val="center"/>
              <w:textAlignment w:val="center"/>
              <w:rPr>
                <w:rFonts w:ascii="宋体" w:hAnsi="宋体" w:cs="宋体" w:hint="eastAsia"/>
                <w:color w:val="000000"/>
                <w:kern w:val="0"/>
                <w:szCs w:val="21"/>
              </w:rPr>
            </w:pPr>
            <w:r>
              <w:rPr>
                <w:rFonts w:ascii="宋体" w:hAnsi="宋体" w:cs="宋体" w:hint="eastAsia"/>
                <w:b/>
                <w:bCs/>
                <w:color w:val="000000"/>
                <w:kern w:val="0"/>
                <w:szCs w:val="21"/>
              </w:rPr>
              <w:t>支付上限（元）</w:t>
            </w:r>
          </w:p>
        </w:tc>
      </w:tr>
      <w:tr>
        <w:tblPrEx>
          <w:tblW w:w="0" w:type="auto"/>
          <w:tblInd w:w="-263" w:type="dxa"/>
          <w:tblLayout w:type="fixed"/>
          <w:tblCellMar>
            <w:top w:w="0" w:type="dxa"/>
            <w:left w:w="108" w:type="dxa"/>
            <w:bottom w:w="0" w:type="dxa"/>
            <w:right w:w="108" w:type="dxa"/>
          </w:tblCellMar>
        </w:tblPrEx>
        <w:trPr>
          <w:trHeight w:val="400"/>
        </w:trPr>
        <w:tc>
          <w:tcPr>
            <w:tcW w:w="687" w:type="dxa"/>
            <w:vMerge w:val="restart"/>
            <w:tcBorders>
              <w:top w:val="single" w:sz="4" w:space="0" w:color="000000"/>
              <w:left w:val="single" w:sz="4" w:space="0" w:color="000000"/>
              <w:right w:val="single" w:sz="4" w:space="0" w:color="000000"/>
            </w:tcBorders>
            <w:shd w:val="clear" w:color="auto" w:fill="auto"/>
            <w:vAlign w:val="center"/>
          </w:tcPr>
          <w:p>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B包</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东片区</w:t>
            </w:r>
          </w:p>
          <w:p>
            <w:pPr>
              <w:widowControl/>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（11个单位）</w:t>
            </w:r>
          </w:p>
          <w:p>
            <w:pPr>
              <w:widowControl/>
              <w:jc w:val="both"/>
              <w:textAlignment w:val="center"/>
              <w:rPr>
                <w:rFonts w:ascii="宋体" w:hAnsi="宋体" w:cs="宋体" w:hint="eastAsia"/>
                <w:b/>
                <w:bCs/>
                <w:color w:val="000000"/>
                <w:szCs w:val="21"/>
              </w:rPr>
            </w:pPr>
            <w:r>
              <w:rPr>
                <w:rFonts w:ascii="宋体" w:hAnsi="宋体" w:cs="宋体" w:hint="eastAsia"/>
                <w:b/>
                <w:bCs/>
                <w:color w:val="000000"/>
                <w:kern w:val="0"/>
                <w:szCs w:val="21"/>
              </w:rPr>
              <w:t>合计：37辆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坪山轨道交通派出所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坪山</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452100</w:t>
            </w:r>
          </w:p>
        </w:tc>
      </w:tr>
      <w:tr>
        <w:tblPrEx>
          <w:tblW w:w="0" w:type="auto"/>
          <w:tblInd w:w="-263" w:type="dxa"/>
          <w:tblLayout w:type="fixed"/>
          <w:tblCellMar>
            <w:top w:w="0" w:type="dxa"/>
            <w:left w:w="108" w:type="dxa"/>
            <w:bottom w:w="0" w:type="dxa"/>
            <w:right w:w="108" w:type="dxa"/>
          </w:tblCellMar>
        </w:tblPrEx>
        <w:trPr>
          <w:trHeight w:val="470"/>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盐田轨道交通派出所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盐田</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33"/>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84"/>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龙岗西轨道交通派出所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85"/>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东站轨道交通派出所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10"/>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反恐机训大队（警犬组）</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1</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360"/>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特种汽车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6</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龙岗</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535"/>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罗湖轨道交通派出所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4</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罗湖</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10"/>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刑警大队（罗湖）</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2</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罗湖</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435"/>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北站轨道交通派出所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龙华</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545"/>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刑警大队(北站)</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龙华</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r>
        <w:tblPrEx>
          <w:tblW w:w="0" w:type="auto"/>
          <w:tblInd w:w="-263" w:type="dxa"/>
          <w:tblLayout w:type="fixed"/>
          <w:tblCellMar>
            <w:top w:w="0" w:type="dxa"/>
            <w:left w:w="108" w:type="dxa"/>
            <w:bottom w:w="0" w:type="dxa"/>
            <w:right w:w="108" w:type="dxa"/>
          </w:tblCellMar>
        </w:tblPrEx>
        <w:trPr>
          <w:trHeight w:val="544"/>
        </w:trPr>
        <w:tc>
          <w:tcPr>
            <w:tcW w:w="687" w:type="dxa"/>
            <w:vMerge/>
            <w:tcBorders>
              <w:left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hAnsi="宋体" w:cs="宋体" w:hint="eastAsia"/>
                <w:b/>
                <w:bCs/>
                <w:color w:val="000000"/>
                <w:szCs w:val="2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龙华轨道交通派出所</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小型汽车</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3</w:t>
            </w:r>
          </w:p>
        </w:tc>
        <w:tc>
          <w:tcPr>
            <w:tcW w:w="1275" w:type="dxa"/>
            <w:tcBorders>
              <w:top w:val="nil"/>
              <w:left w:val="single" w:sz="4" w:space="0" w:color="000000"/>
              <w:bottom w:val="single" w:sz="4" w:space="0" w:color="000000"/>
              <w:right w:val="single" w:sz="4" w:space="0" w:color="000000"/>
            </w:tcBorders>
            <w:shd w:val="clear" w:color="auto" w:fill="auto"/>
            <w:noWrap/>
            <w:vAlign w:val="center"/>
          </w:tcPr>
          <w:p>
            <w:pPr>
              <w:widowControl/>
              <w:jc w:val="center"/>
              <w:textAlignment w:val="center"/>
              <w:rPr>
                <w:rFonts w:ascii="宋体" w:hAnsi="宋体" w:cs="宋体" w:hint="eastAsia"/>
                <w:color w:val="000000"/>
                <w:szCs w:val="21"/>
              </w:rPr>
            </w:pPr>
            <w:r>
              <w:rPr>
                <w:rFonts w:ascii="宋体" w:hAnsi="宋体" w:cs="宋体" w:hint="eastAsia"/>
                <w:color w:val="000000"/>
                <w:kern w:val="0"/>
                <w:szCs w:val="21"/>
              </w:rPr>
              <w:t>龙华</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hAnsi="宋体" w:cs="宋体" w:hint="eastAsia"/>
                <w:color w:val="000000"/>
                <w:szCs w:val="21"/>
              </w:rPr>
            </w:pPr>
          </w:p>
        </w:tc>
      </w:tr>
    </w:tbl>
    <w:p>
      <w:pPr>
        <w:ind w:firstLine="420" w:firstLineChars="200"/>
        <w:rPr>
          <w:sz w:val="24"/>
        </w:rPr>
      </w:pPr>
    </w:p>
    <w:p>
      <w:pPr>
        <w:rPr>
          <w:rFonts w:ascii="宋体" w:hAnsi="宋体" w:hint="eastAsia"/>
          <w:b/>
          <w:color w:val="FF0000"/>
          <w:szCs w:val="21"/>
        </w:rPr>
      </w:pPr>
    </w:p>
    <w:p>
      <w:pPr>
        <w:pStyle w:val="Heading2"/>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TableNormal"/>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4"/>
        <w:gridCol w:w="2122"/>
        <w:gridCol w:w="1566"/>
        <w:gridCol w:w="650"/>
        <w:gridCol w:w="600"/>
        <w:gridCol w:w="617"/>
        <w:gridCol w:w="1133"/>
        <w:gridCol w:w="1412"/>
      </w:tblGrid>
      <w:tr>
        <w:tblPrEx>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48" w:type="pct"/>
            <w:vAlign w:val="center"/>
          </w:tcPr>
          <w:p>
            <w:pPr>
              <w:jc w:val="center"/>
              <w:rPr>
                <w:bCs/>
                <w:szCs w:val="21"/>
              </w:rPr>
            </w:pPr>
            <w:r>
              <w:rPr>
                <w:rFonts w:hint="eastAsia"/>
                <w:bCs/>
                <w:szCs w:val="21"/>
              </w:rPr>
              <w:t>序号</w:t>
            </w:r>
          </w:p>
        </w:tc>
        <w:tc>
          <w:tcPr>
            <w:tcW w:w="1244" w:type="pct"/>
            <w:vAlign w:val="center"/>
          </w:tcPr>
          <w:p>
            <w:pPr>
              <w:jc w:val="center"/>
              <w:rPr>
                <w:bCs/>
                <w:szCs w:val="21"/>
              </w:rPr>
            </w:pPr>
            <w:r>
              <w:rPr>
                <w:rFonts w:hint="eastAsia"/>
                <w:szCs w:val="21"/>
              </w:rPr>
              <w:t>采购计划编号</w:t>
            </w:r>
          </w:p>
        </w:tc>
        <w:tc>
          <w:tcPr>
            <w:tcW w:w="918" w:type="pct"/>
            <w:vAlign w:val="center"/>
          </w:tcPr>
          <w:p>
            <w:pPr>
              <w:jc w:val="center"/>
              <w:rPr>
                <w:bCs/>
                <w:szCs w:val="21"/>
              </w:rPr>
            </w:pPr>
            <w:r>
              <w:rPr>
                <w:rFonts w:hint="eastAsia"/>
                <w:bCs/>
                <w:szCs w:val="21"/>
              </w:rPr>
              <w:t>服务需求名称（标的名称）</w:t>
            </w:r>
          </w:p>
        </w:tc>
        <w:tc>
          <w:tcPr>
            <w:tcW w:w="381" w:type="pct"/>
            <w:vAlign w:val="center"/>
          </w:tcPr>
          <w:p>
            <w:pPr>
              <w:jc w:val="center"/>
              <w:rPr>
                <w:bCs/>
                <w:szCs w:val="21"/>
              </w:rPr>
            </w:pPr>
            <w:r>
              <w:rPr>
                <w:rFonts w:hint="eastAsia"/>
                <w:bCs/>
                <w:szCs w:val="21"/>
              </w:rPr>
              <w:t>对应包号</w:t>
            </w:r>
          </w:p>
        </w:tc>
        <w:tc>
          <w:tcPr>
            <w:tcW w:w="351" w:type="pct"/>
            <w:vAlign w:val="center"/>
          </w:tcPr>
          <w:p>
            <w:pPr>
              <w:jc w:val="center"/>
              <w:rPr>
                <w:bCs/>
                <w:szCs w:val="21"/>
              </w:rPr>
            </w:pPr>
            <w:r>
              <w:rPr>
                <w:rFonts w:hint="eastAsia"/>
                <w:bCs/>
                <w:szCs w:val="21"/>
              </w:rPr>
              <w:t>数量</w:t>
            </w:r>
          </w:p>
        </w:tc>
        <w:tc>
          <w:tcPr>
            <w:tcW w:w="361" w:type="pct"/>
            <w:vAlign w:val="center"/>
          </w:tcPr>
          <w:p>
            <w:pPr>
              <w:jc w:val="center"/>
              <w:rPr>
                <w:bCs/>
                <w:szCs w:val="21"/>
              </w:rPr>
            </w:pPr>
            <w:r>
              <w:rPr>
                <w:rFonts w:hint="eastAsia"/>
                <w:bCs/>
                <w:szCs w:val="21"/>
              </w:rPr>
              <w:t>单位</w:t>
            </w:r>
          </w:p>
        </w:tc>
        <w:tc>
          <w:tcPr>
            <w:tcW w:w="664" w:type="pct"/>
            <w:vAlign w:val="center"/>
          </w:tcPr>
          <w:p>
            <w:pPr>
              <w:jc w:val="center"/>
              <w:rPr>
                <w:bCs/>
                <w:szCs w:val="21"/>
              </w:rPr>
            </w:pPr>
            <w:r>
              <w:rPr>
                <w:rFonts w:hint="eastAsia"/>
                <w:b/>
                <w:bCs/>
                <w:color w:val="FF0000"/>
                <w:szCs w:val="21"/>
              </w:rPr>
              <w:t>是否专门面向小</w:t>
            </w:r>
            <w:r>
              <w:rPr>
                <w:rFonts w:hint="eastAsia"/>
                <w:b/>
                <w:bCs/>
                <w:color w:val="FF0000"/>
                <w:szCs w:val="21"/>
                <w:lang w:val="en-US" w:eastAsia="zh-CN"/>
              </w:rPr>
              <w:t>微</w:t>
            </w:r>
            <w:r>
              <w:rPr>
                <w:rFonts w:hint="eastAsia"/>
                <w:b/>
                <w:bCs/>
                <w:color w:val="FF0000"/>
                <w:szCs w:val="21"/>
              </w:rPr>
              <w:t>企业</w:t>
            </w:r>
          </w:p>
        </w:tc>
        <w:tc>
          <w:tcPr>
            <w:tcW w:w="828" w:type="pct"/>
            <w:vAlign w:val="center"/>
          </w:tcPr>
          <w:p>
            <w:pPr>
              <w:jc w:val="center"/>
              <w:rPr>
                <w:b/>
                <w:bCs/>
                <w:color w:val="FF0000"/>
                <w:szCs w:val="21"/>
              </w:rPr>
            </w:pPr>
            <w:r>
              <w:rPr>
                <w:rFonts w:hint="eastAsia"/>
                <w:b/>
                <w:bCs/>
                <w:color w:val="FF0000"/>
                <w:szCs w:val="21"/>
              </w:rPr>
              <w:t>标的所属行业</w:t>
            </w:r>
          </w:p>
        </w:tc>
      </w:tr>
      <w:tr>
        <w:tblPrEx>
          <w:tblW w:w="4997" w:type="pct"/>
          <w:jc w:val="center"/>
          <w:tblLayout w:type="fixed"/>
          <w:tblCellMar>
            <w:top w:w="0" w:type="dxa"/>
            <w:left w:w="108" w:type="dxa"/>
            <w:bottom w:w="0" w:type="dxa"/>
            <w:right w:w="108" w:type="dxa"/>
          </w:tblCellMar>
        </w:tblPrEx>
        <w:trPr>
          <w:trHeight w:val="521"/>
          <w:jc w:val="center"/>
        </w:trPr>
        <w:tc>
          <w:tcPr>
            <w:tcW w:w="248" w:type="pct"/>
            <w:vAlign w:val="center"/>
          </w:tcPr>
          <w:p>
            <w:pPr>
              <w:jc w:val="center"/>
              <w:rPr>
                <w:bCs/>
                <w:szCs w:val="21"/>
              </w:rPr>
            </w:pPr>
            <w:r>
              <w:rPr>
                <w:rFonts w:hint="eastAsia"/>
                <w:bCs/>
                <w:szCs w:val="21"/>
              </w:rPr>
              <w:t>1</w:t>
            </w:r>
          </w:p>
        </w:tc>
        <w:tc>
          <w:tcPr>
            <w:tcW w:w="1244" w:type="pct"/>
            <w:vAlign w:val="center"/>
          </w:tcPr>
          <w:p>
            <w:pPr>
              <w:jc w:val="center"/>
              <w:rPr>
                <w:rFonts w:hint="eastAsia"/>
                <w:bCs/>
                <w:szCs w:val="21"/>
              </w:rPr>
            </w:pPr>
            <w:r>
              <w:rPr>
                <w:rFonts w:hint="default"/>
                <w:bCs/>
                <w:szCs w:val="21"/>
                <w:lang w:val="en-US" w:eastAsia="zh-CN"/>
              </w:rPr>
              <w:t>PLAN-2025-440300000-106010-04352</w:t>
            </w:r>
          </w:p>
        </w:tc>
        <w:tc>
          <w:tcPr>
            <w:tcW w:w="918" w:type="pct"/>
            <w:vMerge w:val="restart"/>
            <w:vAlign w:val="center"/>
          </w:tcPr>
          <w:p>
            <w:pPr>
              <w:jc w:val="center"/>
              <w:rPr>
                <w:bCs/>
                <w:szCs w:val="21"/>
              </w:rPr>
            </w:pPr>
            <w:r>
              <w:rPr>
                <w:rFonts w:hint="eastAsia"/>
                <w:bCs/>
                <w:szCs w:val="21"/>
              </w:rPr>
              <w:t>深圳市公安局轨道交通分局公务车辆维修服务</w:t>
            </w:r>
          </w:p>
        </w:tc>
        <w:tc>
          <w:tcPr>
            <w:tcW w:w="381" w:type="pct"/>
            <w:vMerge w:val="restart"/>
            <w:vAlign w:val="center"/>
          </w:tcPr>
          <w:p>
            <w:pPr>
              <w:jc w:val="center"/>
              <w:rPr>
                <w:bCs/>
                <w:szCs w:val="21"/>
              </w:rPr>
            </w:pPr>
            <w:r>
              <w:rPr>
                <w:rFonts w:hint="eastAsia"/>
                <w:bCs/>
                <w:szCs w:val="21"/>
                <w:lang w:val="en-US" w:eastAsia="zh-CN"/>
              </w:rPr>
              <w:t>B</w:t>
            </w:r>
            <w:r>
              <w:rPr>
                <w:rFonts w:hint="eastAsia"/>
                <w:bCs/>
                <w:szCs w:val="21"/>
              </w:rPr>
              <w:t>包</w:t>
            </w:r>
          </w:p>
        </w:tc>
        <w:tc>
          <w:tcPr>
            <w:tcW w:w="351" w:type="pct"/>
            <w:vMerge w:val="restart"/>
            <w:vAlign w:val="center"/>
          </w:tcPr>
          <w:p>
            <w:pPr>
              <w:jc w:val="center"/>
              <w:rPr>
                <w:bCs/>
                <w:szCs w:val="21"/>
              </w:rPr>
            </w:pPr>
            <w:r>
              <w:rPr>
                <w:rFonts w:hint="eastAsia"/>
              </w:rPr>
              <w:t>1</w:t>
            </w:r>
          </w:p>
        </w:tc>
        <w:tc>
          <w:tcPr>
            <w:tcW w:w="361" w:type="pct"/>
            <w:vMerge w:val="restart"/>
            <w:vAlign w:val="center"/>
          </w:tcPr>
          <w:p>
            <w:pPr>
              <w:jc w:val="center"/>
              <w:rPr>
                <w:bCs/>
                <w:szCs w:val="21"/>
              </w:rPr>
            </w:pPr>
            <w:r>
              <w:rPr>
                <w:rFonts w:hint="eastAsia"/>
                <w:bCs/>
                <w:szCs w:val="21"/>
              </w:rPr>
              <w:t>项</w:t>
            </w:r>
          </w:p>
        </w:tc>
        <w:tc>
          <w:tcPr>
            <w:tcW w:w="664" w:type="pct"/>
            <w:vMerge w:val="restart"/>
            <w:vAlign w:val="center"/>
          </w:tcPr>
          <w:p>
            <w:pPr>
              <w:jc w:val="center"/>
              <w:rPr>
                <w:bCs/>
                <w:szCs w:val="21"/>
              </w:rPr>
            </w:pPr>
            <w:r>
              <w:rPr>
                <w:rFonts w:hint="eastAsia"/>
                <w:bCs/>
                <w:szCs w:val="21"/>
              </w:rPr>
              <w:t>是</w:t>
            </w:r>
          </w:p>
        </w:tc>
        <w:tc>
          <w:tcPr>
            <w:tcW w:w="828" w:type="pct"/>
            <w:vMerge w:val="restart"/>
            <w:vAlign w:val="center"/>
          </w:tcPr>
          <w:p>
            <w:pPr>
              <w:jc w:val="center"/>
              <w:rPr>
                <w:bCs/>
                <w:szCs w:val="21"/>
              </w:rPr>
            </w:pPr>
            <w:r>
              <w:rPr>
                <w:rFonts w:hint="eastAsia"/>
              </w:rPr>
              <w:t>其他未列明行业</w:t>
            </w:r>
          </w:p>
        </w:tc>
      </w:tr>
      <w:tr>
        <w:tblPrEx>
          <w:tblW w:w="4997" w:type="pct"/>
          <w:jc w:val="center"/>
          <w:tblLayout w:type="fixed"/>
          <w:tblCellMar>
            <w:top w:w="0" w:type="dxa"/>
            <w:left w:w="108" w:type="dxa"/>
            <w:bottom w:w="0" w:type="dxa"/>
            <w:right w:w="108" w:type="dxa"/>
          </w:tblCellMar>
        </w:tblPrEx>
        <w:trPr>
          <w:trHeight w:val="170"/>
          <w:jc w:val="center"/>
        </w:trPr>
        <w:tc>
          <w:tcPr>
            <w:tcW w:w="248" w:type="pct"/>
            <w:vAlign w:val="center"/>
          </w:tcPr>
          <w:p>
            <w:pPr>
              <w:jc w:val="center"/>
              <w:rPr>
                <w:bCs/>
                <w:szCs w:val="21"/>
              </w:rPr>
            </w:pPr>
            <w:r>
              <w:rPr>
                <w:bCs/>
                <w:szCs w:val="21"/>
              </w:rPr>
              <w:t>2</w:t>
            </w:r>
          </w:p>
        </w:tc>
        <w:tc>
          <w:tcPr>
            <w:tcW w:w="1244" w:type="pct"/>
            <w:vAlign w:val="center"/>
          </w:tcPr>
          <w:p>
            <w:pPr>
              <w:jc w:val="center"/>
              <w:rPr>
                <w:rFonts w:hint="eastAsia"/>
                <w:bCs/>
                <w:szCs w:val="21"/>
              </w:rPr>
            </w:pPr>
            <w:r>
              <w:rPr>
                <w:rFonts w:hint="default"/>
                <w:bCs/>
                <w:szCs w:val="21"/>
                <w:lang w:val="en-US" w:eastAsia="zh-CN"/>
              </w:rPr>
              <w:t>PLAN-2025-440300000-106010-04295</w:t>
            </w:r>
          </w:p>
        </w:tc>
        <w:tc>
          <w:tcPr>
            <w:tcW w:w="918" w:type="pct"/>
            <w:vMerge/>
          </w:tcPr>
          <w:p>
            <w:pPr>
              <w:jc w:val="center"/>
              <w:rPr>
                <w:bCs/>
                <w:szCs w:val="21"/>
              </w:rPr>
            </w:pPr>
          </w:p>
        </w:tc>
        <w:tc>
          <w:tcPr>
            <w:tcW w:w="381" w:type="pct"/>
            <w:vMerge/>
            <w:vAlign w:val="center"/>
          </w:tcPr>
          <w:p>
            <w:pPr>
              <w:jc w:val="center"/>
              <w:rPr>
                <w:bCs/>
                <w:szCs w:val="21"/>
              </w:rPr>
            </w:pPr>
          </w:p>
        </w:tc>
        <w:tc>
          <w:tcPr>
            <w:tcW w:w="351" w:type="pct"/>
            <w:vMerge/>
            <w:vAlign w:val="center"/>
          </w:tcPr>
          <w:p>
            <w:pPr>
              <w:jc w:val="center"/>
              <w:rPr>
                <w:bCs/>
                <w:szCs w:val="21"/>
              </w:rPr>
            </w:pPr>
          </w:p>
        </w:tc>
        <w:tc>
          <w:tcPr>
            <w:tcW w:w="361" w:type="pct"/>
            <w:vMerge/>
            <w:vAlign w:val="center"/>
          </w:tcPr>
          <w:p>
            <w:pPr>
              <w:jc w:val="center"/>
              <w:rPr>
                <w:bCs/>
                <w:szCs w:val="21"/>
              </w:rPr>
            </w:pPr>
          </w:p>
        </w:tc>
        <w:tc>
          <w:tcPr>
            <w:tcW w:w="664" w:type="pct"/>
            <w:vMerge/>
            <w:vAlign w:val="center"/>
          </w:tcPr>
          <w:p>
            <w:pPr>
              <w:jc w:val="center"/>
              <w:rPr>
                <w:bCs/>
                <w:szCs w:val="21"/>
              </w:rPr>
            </w:pPr>
          </w:p>
        </w:tc>
        <w:tc>
          <w:tcPr>
            <w:tcW w:w="828" w:type="pct"/>
            <w:vMerge/>
            <w:vAlign w:val="center"/>
          </w:tcPr>
          <w:p>
            <w:pPr>
              <w:jc w:val="center"/>
              <w:rPr>
                <w:bCs/>
                <w:szCs w:val="21"/>
              </w:rPr>
            </w:pPr>
          </w:p>
        </w:tc>
      </w:tr>
    </w:tbl>
    <w:p>
      <w:pPr>
        <w:rPr>
          <w:rFonts w:ascii="宋体" w:hAnsi="宋体" w:hint="eastAsia"/>
          <w:b/>
          <w:color w:val="FF0000"/>
          <w:szCs w:val="21"/>
        </w:rPr>
      </w:pPr>
    </w:p>
    <w:p>
      <w:pPr>
        <w:pStyle w:val="Heading2"/>
        <w:spacing w:before="120" w:beforeLines="50" w:after="120" w:afterLines="50"/>
        <w:rPr>
          <w:rFonts w:hint="eastAsia"/>
          <w:szCs w:val="24"/>
        </w:rPr>
      </w:pPr>
      <w:r>
        <w:rPr>
          <w:rFonts w:hint="eastAsia"/>
          <w:szCs w:val="24"/>
        </w:rPr>
        <w:t>四、实质性条款</w:t>
      </w:r>
    </w:p>
    <w:tbl>
      <w:tblPr>
        <w:tblStyle w:val="TableNormal"/>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625"/>
      </w:tblGrid>
      <w:tr>
        <w:tblPrEx>
          <w:tblW w:w="83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625" w:type="dxa"/>
          </w:tcPr>
          <w:p>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tblPrEx>
          <w:tblW w:w="8359" w:type="dxa"/>
          <w:tblInd w:w="0" w:type="dxa"/>
          <w:tblLayout w:type="fixed"/>
          <w:tblCellMar>
            <w:top w:w="0" w:type="dxa"/>
            <w:left w:w="108" w:type="dxa"/>
            <w:bottom w:w="0" w:type="dxa"/>
            <w:right w:w="108" w:type="dxa"/>
          </w:tblCellMar>
        </w:tblPrEx>
        <w:tc>
          <w:tcPr>
            <w:tcW w:w="734" w:type="dxa"/>
          </w:tcPr>
          <w:p>
            <w:pPr>
              <w:adjustRightInd w:val="0"/>
              <w:snapToGrid w:val="0"/>
              <w:spacing w:line="360" w:lineRule="auto"/>
              <w:rPr>
                <w:rFonts w:ascii="宋体" w:hAnsi="宋体" w:hint="eastAsia"/>
                <w:kern w:val="0"/>
                <w:szCs w:val="21"/>
              </w:rPr>
            </w:pPr>
            <w:r>
              <w:rPr>
                <w:rFonts w:ascii="宋体" w:hAnsi="宋体" w:hint="eastAsia"/>
                <w:kern w:val="0"/>
                <w:szCs w:val="21"/>
              </w:rPr>
              <w:t>1</w:t>
            </w:r>
          </w:p>
        </w:tc>
        <w:tc>
          <w:tcPr>
            <w:tcW w:w="7625" w:type="dxa"/>
          </w:tcPr>
          <w:p>
            <w:pPr>
              <w:rPr>
                <w:rFonts w:hAnsi="宋体" w:eastAsiaTheme="minorEastAsia" w:hint="eastAsia"/>
                <w:kern w:val="0"/>
                <w:szCs w:val="21"/>
              </w:rPr>
            </w:pPr>
            <w:r>
              <w:rPr>
                <w:rFonts w:hAnsi="宋体" w:eastAsiaTheme="minorEastAsia" w:hint="eastAsia"/>
                <w:kern w:val="0"/>
                <w:szCs w:val="21"/>
              </w:rPr>
              <w:t>满足本项目标★的条款要求</w:t>
            </w:r>
          </w:p>
        </w:tc>
      </w:tr>
    </w:tbl>
    <w:p>
      <w:pPr>
        <w:rPr>
          <w:rFonts w:ascii="黑体"/>
          <w:kern w:val="0"/>
          <w:szCs w:val="21"/>
        </w:rPr>
      </w:pPr>
      <w:r>
        <w:rPr>
          <w:rFonts w:ascii="黑体" w:hint="eastAsia"/>
          <w:kern w:val="0"/>
          <w:szCs w:val="21"/>
        </w:rPr>
        <w:t>注：上表所列内容为不可负偏离条款，负偏离将视为未实质性满足招标文件要求作投标无效处理。</w:t>
      </w:r>
      <w:bookmarkEnd w:id="33"/>
    </w:p>
    <w:p>
      <w:pPr>
        <w:rPr>
          <w:b/>
          <w:bCs/>
          <w:sz w:val="24"/>
        </w:rPr>
      </w:pPr>
    </w:p>
    <w:p>
      <w:pPr>
        <w:pStyle w:val="Heading2"/>
        <w:spacing w:before="120" w:beforeLines="50" w:after="120" w:afterLines="50"/>
        <w:rPr>
          <w:rFonts w:hint="eastAsia"/>
          <w:szCs w:val="24"/>
        </w:rPr>
      </w:pPr>
      <w:r>
        <w:rPr>
          <w:rFonts w:hint="eastAsia"/>
          <w:szCs w:val="24"/>
        </w:rPr>
        <w:t>五、技术要求</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lang w:val="zh-CN"/>
        </w:rPr>
        <w:t>（二）服务内容</w:t>
      </w:r>
    </w:p>
    <w:p>
      <w:pPr>
        <w:numPr>
          <w:ilvl w:val="0"/>
          <w:numId w:val="8"/>
        </w:numPr>
        <w:spacing w:line="360" w:lineRule="exact"/>
        <w:ind w:firstLine="420" w:firstLineChars="200"/>
        <w:rPr>
          <w:rFonts w:ascii="宋体" w:hAnsi="宋体" w:cs="宋体" w:hint="eastAsia"/>
          <w:bCs/>
          <w:sz w:val="22"/>
          <w:szCs w:val="22"/>
          <w:lang w:val="zh-CN"/>
        </w:rPr>
      </w:pPr>
      <w:r>
        <w:rPr>
          <w:rFonts w:ascii="宋体" w:hAnsi="宋体" w:cs="宋体" w:hint="eastAsia"/>
          <w:bCs/>
          <w:sz w:val="22"/>
          <w:szCs w:val="22"/>
        </w:rPr>
        <w:t>为深圳市公安局轨道交通分局的公务</w:t>
      </w:r>
      <w:r>
        <w:rPr>
          <w:rFonts w:ascii="宋体" w:hAnsi="宋体" w:cs="宋体" w:hint="eastAsia"/>
          <w:bCs/>
          <w:sz w:val="22"/>
          <w:szCs w:val="22"/>
          <w:lang w:val="zh-CN"/>
        </w:rPr>
        <w:t>车辆</w:t>
      </w:r>
      <w:r>
        <w:rPr>
          <w:rFonts w:ascii="宋体" w:hAnsi="宋体" w:cs="宋体" w:hint="eastAsia"/>
          <w:bCs/>
          <w:sz w:val="22"/>
          <w:szCs w:val="22"/>
        </w:rPr>
        <w:t>提供</w:t>
      </w:r>
      <w:r>
        <w:rPr>
          <w:rFonts w:ascii="宋体" w:hAnsi="宋体" w:cs="宋体" w:hint="eastAsia"/>
          <w:bCs/>
          <w:sz w:val="22"/>
          <w:szCs w:val="22"/>
          <w:lang w:val="zh-CN"/>
        </w:rPr>
        <w:t>维护保养，大小修理，车辆年审，路途施救和其他有关汽车维修的服务、</w:t>
      </w:r>
      <w:r>
        <w:rPr>
          <w:rFonts w:ascii="宋体" w:hAnsi="宋体" w:cs="宋体" w:hint="eastAsia"/>
          <w:bCs/>
          <w:sz w:val="22"/>
          <w:szCs w:val="22"/>
        </w:rPr>
        <w:t>有专人提供接车到验车出厂的全过程服务，确保在规定时限内完成维修服务，提供电话预约，上门服务，急修快修救援服务，在深圳市内免费提供24小时故障急修服务</w:t>
      </w:r>
      <w:r>
        <w:rPr>
          <w:rFonts w:ascii="宋体" w:hAnsi="宋体" w:cs="宋体" w:hint="eastAsia"/>
          <w:bCs/>
          <w:sz w:val="22"/>
          <w:szCs w:val="22"/>
          <w:lang w:val="zh-CN"/>
        </w:rPr>
        <w:t>。（“小修”指所报车型的所有维修保养项目，包括各级维护、性能检测、故障诊断、事故维修等；“大修”涵盖总成件维修及车身翻新等大项专项维修）</w:t>
      </w:r>
    </w:p>
    <w:p>
      <w:pPr>
        <w:spacing w:line="360" w:lineRule="exact"/>
        <w:ind w:firstLine="420" w:firstLineChars="200"/>
        <w:rPr>
          <w:rFonts w:ascii="宋体" w:hAnsi="宋体" w:cs="宋体" w:hint="eastAsia"/>
          <w:b/>
          <w:sz w:val="22"/>
          <w:szCs w:val="22"/>
          <w:lang w:val="zh-CN"/>
        </w:rPr>
      </w:pPr>
      <w:r>
        <w:rPr>
          <w:rFonts w:ascii="宋体" w:hAnsi="宋体" w:cs="宋体" w:hint="eastAsia"/>
          <w:b/>
          <w:sz w:val="22"/>
          <w:szCs w:val="22"/>
          <w:lang w:val="zh-CN"/>
        </w:rPr>
        <w:t>（</w:t>
      </w:r>
      <w:r>
        <w:rPr>
          <w:rFonts w:ascii="宋体" w:hAnsi="宋体" w:cs="宋体" w:hint="eastAsia"/>
          <w:b/>
          <w:sz w:val="22"/>
          <w:szCs w:val="22"/>
        </w:rPr>
        <w:t>三</w:t>
      </w:r>
      <w:r>
        <w:rPr>
          <w:rFonts w:ascii="宋体" w:hAnsi="宋体" w:cs="宋体" w:hint="eastAsia"/>
          <w:b/>
          <w:sz w:val="22"/>
          <w:szCs w:val="22"/>
          <w:lang w:val="zh-CN"/>
        </w:rPr>
        <w:t>）</w:t>
      </w:r>
      <w:r>
        <w:rPr>
          <w:rFonts w:ascii="宋体" w:hAnsi="宋体" w:cs="宋体" w:hint="eastAsia"/>
          <w:b/>
          <w:sz w:val="22"/>
          <w:szCs w:val="22"/>
        </w:rPr>
        <w:t>服务</w:t>
      </w:r>
      <w:r>
        <w:rPr>
          <w:rFonts w:ascii="宋体" w:hAnsi="宋体" w:cs="宋体" w:hint="eastAsia"/>
          <w:b/>
          <w:sz w:val="22"/>
          <w:szCs w:val="22"/>
          <w:lang w:val="zh-CN"/>
        </w:rPr>
        <w:t>要求</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要求车辆维修服务提供者在故障诊断、维修技术、零件更换、服务态度、价格透明、维修周期、质量保证和环保措施等方面达到高标准，以确保客户获得优质、可靠的维修服务体验。</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1、在本项目履约服务期内，如</w:t>
      </w:r>
      <w:r>
        <w:rPr>
          <w:rFonts w:ascii="宋体" w:hAnsi="宋体" w:cs="宋体" w:hint="eastAsia"/>
          <w:bCs/>
          <w:sz w:val="22"/>
          <w:szCs w:val="22"/>
          <w:lang w:val="zh-CN"/>
        </w:rPr>
        <w:t>中标人</w:t>
      </w:r>
      <w:r>
        <w:rPr>
          <w:rFonts w:ascii="宋体" w:hAnsi="宋体" w:cs="宋体" w:hint="eastAsia"/>
          <w:bCs/>
          <w:sz w:val="22"/>
          <w:szCs w:val="22"/>
        </w:rPr>
        <w:t>出现资质条件变更、经营范围变更等不能承担履行本项目的能力的情况，</w:t>
      </w:r>
      <w:r>
        <w:rPr>
          <w:rFonts w:ascii="宋体" w:hAnsi="宋体" w:cs="宋体" w:hint="eastAsia"/>
          <w:bCs/>
          <w:sz w:val="22"/>
          <w:szCs w:val="22"/>
          <w:lang w:val="zh-CN"/>
        </w:rPr>
        <w:t>中标人</w:t>
      </w:r>
      <w:r>
        <w:rPr>
          <w:rFonts w:ascii="宋体" w:hAnsi="宋体" w:cs="宋体" w:hint="eastAsia"/>
          <w:bCs/>
          <w:sz w:val="22"/>
          <w:szCs w:val="22"/>
        </w:rPr>
        <w:t>有义务及时书面告知采购人，主动申请放弃或者由采购人取消其维修企业资格。</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2、</w:t>
      </w:r>
      <w:r>
        <w:rPr>
          <w:rFonts w:ascii="宋体" w:hAnsi="宋体" w:cs="宋体" w:hint="eastAsia"/>
          <w:bCs/>
          <w:sz w:val="22"/>
          <w:szCs w:val="22"/>
          <w:lang w:val="zh-CN"/>
        </w:rPr>
        <w:t>采购人有权在中标人的维修业务中获得优先服务，若采购人有需求，中标人需提供免费的上门接</w:t>
      </w:r>
      <w:r>
        <w:rPr>
          <w:rFonts w:ascii="宋体" w:hAnsi="宋体" w:cs="宋体" w:hint="eastAsia"/>
          <w:bCs/>
          <w:sz w:val="22"/>
          <w:szCs w:val="22"/>
        </w:rPr>
        <w:t>车到验车出厂的全过程服务，确保在规定时限内完成维修服务</w:t>
      </w:r>
      <w:r>
        <w:rPr>
          <w:rFonts w:ascii="宋体" w:hAnsi="宋体" w:cs="宋体" w:hint="eastAsia"/>
          <w:bCs/>
          <w:sz w:val="22"/>
          <w:szCs w:val="22"/>
          <w:lang w:val="zh-CN"/>
        </w:rPr>
        <w:t>。</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3、</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接受采购人以及相关监督部门的监管，积极配合上述部门的工作检查，提供相应资料。</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4、</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理解并遵照执行采购人的相关管理制度规定，并接受违反制度的相应处理。当相关管理要求发生变更时，若认同变更后的内容，则遵照有关要求执行并接受相应违反管理要求的处罚；若不认同变更后的内容，可书面申请退出本项目入围维修企业。</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5、</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承担的维修项目保证符合国家的质量、服务、安全等相关标准。</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6、</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严格按照国家对车辆维修行业的有关法律、法规以及政策、规定进行经营，</w:t>
      </w:r>
      <w:r>
        <w:rPr>
          <w:rFonts w:ascii="宋体" w:hAnsi="宋体" w:cs="宋体" w:hint="eastAsia"/>
          <w:bCs/>
          <w:sz w:val="22"/>
          <w:szCs w:val="22"/>
          <w:lang w:val="zh-CN"/>
        </w:rPr>
        <w:t>不得将送修车辆转厂维修</w:t>
      </w:r>
      <w:r>
        <w:rPr>
          <w:rFonts w:ascii="宋体" w:hAnsi="宋体" w:cs="宋体" w:hint="eastAsia"/>
          <w:bCs/>
          <w:sz w:val="22"/>
          <w:szCs w:val="22"/>
        </w:rPr>
        <w:t>。</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7、</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保证严格执行国家及行业主管部门相关质量标准，确保采购质量，保证所用配件是符合国家质量标准的全新原厂配件，不得使用假冒伪劣产品，不得以旧充新、以副顶正、以次充好，严把材料质量关。</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8、</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执行招标文件规定的收费标准，不得虚报维修项目和时间，不得擅自提高相关费用。</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9、</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在合同执行期内</w:t>
      </w:r>
      <w:r>
        <w:rPr>
          <w:rFonts w:ascii="宋体" w:hAnsi="宋体" w:cs="宋体" w:hint="eastAsia"/>
          <w:bCs/>
          <w:sz w:val="22"/>
          <w:szCs w:val="22"/>
          <w:lang w:val="en-US" w:eastAsia="zh-CN"/>
        </w:rPr>
        <w:t>需</w:t>
      </w:r>
      <w:r>
        <w:rPr>
          <w:rFonts w:ascii="宋体" w:hAnsi="宋体" w:cs="宋体" w:hint="eastAsia"/>
          <w:bCs/>
          <w:sz w:val="22"/>
          <w:szCs w:val="22"/>
        </w:rPr>
        <w:t>严格执行中标的材料管理费率和工时费，不得随意提价或变相提价。</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10、</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承诺建立车辆维修档案，将车辆“送修—维修—结算－上报”整个维修过程的相关真实资料保存完整，装订整齐交由专人负责管理。维修档案储存内容主要包括：维修项目报价单、维修项目送修确认单、维修清单详细信息、维修收费结算单等。档案管理要求随查随调，归档内容完整、资料齐全。</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11、</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车辆维修结算时，</w:t>
      </w:r>
      <w:r>
        <w:rPr>
          <w:rFonts w:ascii="宋体" w:hAnsi="宋体" w:cs="宋体" w:hint="eastAsia"/>
          <w:bCs/>
          <w:sz w:val="22"/>
          <w:szCs w:val="22"/>
          <w:lang w:val="en-US" w:eastAsia="zh-CN"/>
        </w:rPr>
        <w:t>需</w:t>
      </w:r>
      <w:r>
        <w:rPr>
          <w:rFonts w:ascii="宋体" w:hAnsi="宋体" w:cs="宋体" w:hint="eastAsia"/>
          <w:bCs/>
          <w:sz w:val="22"/>
          <w:szCs w:val="22"/>
        </w:rPr>
        <w:t>主动向车属单位出示当月每次维修时填写的车辆协议维修项目确认单、维修清单详细信息、车辆协议维修收费结算单、维修发票等，用户单位核实无误后按采购人有关规定支付相关费用。同一维修项目不分拆结算，不虚开结算单，不重复维修、多次收费，确保维修质量。</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12、</w:t>
      </w:r>
      <w:r>
        <w:rPr>
          <w:rFonts w:ascii="宋体" w:hAnsi="宋体" w:cs="宋体" w:hint="eastAsia"/>
          <w:bCs/>
          <w:sz w:val="22"/>
          <w:szCs w:val="22"/>
          <w:lang w:val="zh-CN"/>
        </w:rPr>
        <w:t>中标人</w:t>
      </w:r>
      <w:r>
        <w:rPr>
          <w:rFonts w:ascii="宋体" w:hAnsi="宋体" w:cs="宋体" w:hint="eastAsia"/>
          <w:bCs/>
          <w:sz w:val="22"/>
          <w:szCs w:val="22"/>
          <w:lang w:val="en-US" w:eastAsia="zh-CN"/>
        </w:rPr>
        <w:t>需</w:t>
      </w:r>
      <w:r>
        <w:rPr>
          <w:rFonts w:ascii="宋体" w:hAnsi="宋体" w:cs="宋体" w:hint="eastAsia"/>
          <w:bCs/>
          <w:sz w:val="22"/>
          <w:szCs w:val="22"/>
        </w:rPr>
        <w:t>配合采购人车辆维修项目管理，协助采购人对车辆维修信息进行实时监控，并将按要求报送相关数据和资料。</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13、</w:t>
      </w:r>
      <w:r>
        <w:rPr>
          <w:rFonts w:ascii="宋体" w:hAnsi="宋体" w:cs="宋体" w:hint="eastAsia"/>
          <w:bCs/>
          <w:sz w:val="22"/>
          <w:szCs w:val="22"/>
          <w:lang w:val="zh-CN"/>
        </w:rPr>
        <w:t>中标人</w:t>
      </w:r>
      <w:r>
        <w:rPr>
          <w:rFonts w:ascii="宋体" w:hAnsi="宋体" w:cs="宋体" w:hint="eastAsia"/>
          <w:bCs/>
          <w:sz w:val="22"/>
          <w:szCs w:val="22"/>
        </w:rPr>
        <w:t>应保证维修质量，送修车辆维修合格出厂后，要按《</w:t>
      </w:r>
      <w:r>
        <w:fldChar w:fldCharType="begin"/>
      </w:r>
      <w:r>
        <w:instrText xml:space="preserve"> HYPERLINK "https://law.wkinfo.com.cn/document/show?collection=legislation&amp;aid=MTAwMDAwNzI5ODc=&amp;language=%E4%B8%AD%E6%96%87" \t "https://law.wkinfo.com.cn/legislation/detail/_blank" </w:instrText>
      </w:r>
      <w:r>
        <w:fldChar w:fldCharType="separate"/>
      </w:r>
      <w:r>
        <w:rPr>
          <w:rFonts w:ascii="宋体" w:hAnsi="宋体" w:cs="宋体" w:hint="eastAsia"/>
          <w:bCs/>
          <w:sz w:val="22"/>
          <w:szCs w:val="22"/>
        </w:rPr>
        <w:t>中华人民共和国道路运输条例</w:t>
      </w:r>
      <w:r>
        <w:rPr>
          <w:rFonts w:ascii="宋体" w:hAnsi="宋体" w:cs="宋体" w:hint="eastAsia"/>
          <w:bCs/>
          <w:sz w:val="22"/>
          <w:szCs w:val="22"/>
        </w:rPr>
        <w:fldChar w:fldCharType="end"/>
      </w:r>
      <w:r>
        <w:rPr>
          <w:rFonts w:ascii="宋体" w:hAnsi="宋体" w:cs="宋体" w:hint="eastAsia"/>
          <w:bCs/>
          <w:sz w:val="22"/>
          <w:szCs w:val="22"/>
        </w:rPr>
        <w:t>》、《</w:t>
      </w:r>
      <w:r>
        <w:fldChar w:fldCharType="begin"/>
      </w:r>
      <w:r>
        <w:instrText xml:space="preserve"> HYPERLINK "https://law.wkinfo.com.cn/document/show?collection=legislation&amp;aid=MTAwMDAwMTUwODA=&amp;language=%E4%B8%AD%E6%96%87" \t "https://law.wkinfo.com.cn/legislation/detail/_blank" </w:instrText>
      </w:r>
      <w:r>
        <w:fldChar w:fldCharType="separate"/>
      </w:r>
      <w:r>
        <w:rPr>
          <w:rFonts w:ascii="宋体" w:hAnsi="宋体" w:cs="宋体" w:hint="eastAsia"/>
          <w:bCs/>
          <w:sz w:val="22"/>
          <w:szCs w:val="22"/>
        </w:rPr>
        <w:t>机动车维修管理规定</w:t>
      </w:r>
      <w:r>
        <w:rPr>
          <w:rFonts w:ascii="宋体" w:hAnsi="宋体" w:cs="宋体" w:hint="eastAsia"/>
          <w:bCs/>
          <w:sz w:val="22"/>
          <w:szCs w:val="22"/>
        </w:rPr>
        <w:fldChar w:fldCharType="end"/>
      </w:r>
      <w:r>
        <w:rPr>
          <w:rFonts w:ascii="宋体" w:hAnsi="宋体" w:cs="宋体" w:hint="eastAsia"/>
          <w:bCs/>
          <w:sz w:val="22"/>
          <w:szCs w:val="22"/>
        </w:rPr>
        <w:t>》中的保修期内的责任保障期限和车辆质量保障里程执行。本项目涉及的车辆在原维修保养期内（质量保修期内）的，继续由原维修机构负责，中标人对超过原维修保养期（质量保修期内）的车辆进行维修。在保修期内，同一故障因维修质量造成的机械事故和经济损失，由</w:t>
      </w:r>
      <w:r>
        <w:rPr>
          <w:rFonts w:ascii="宋体" w:hAnsi="宋体" w:cs="宋体" w:hint="eastAsia"/>
          <w:bCs/>
          <w:sz w:val="22"/>
          <w:szCs w:val="22"/>
          <w:lang w:val="zh-CN"/>
        </w:rPr>
        <w:t>中标人</w:t>
      </w:r>
      <w:r>
        <w:rPr>
          <w:rFonts w:ascii="宋体" w:hAnsi="宋体" w:cs="宋体" w:hint="eastAsia"/>
          <w:bCs/>
          <w:sz w:val="22"/>
          <w:szCs w:val="22"/>
        </w:rPr>
        <w:t>负责承担赔偿责任。</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14、售后服务要求，中标人的车辆维修项目半年内再次出现同样问题返修，采购人不再支付维修费用，</w:t>
      </w:r>
      <w:r>
        <w:rPr>
          <w:rFonts w:ascii="宋体" w:hAnsi="宋体" w:cs="宋体" w:hint="eastAsia"/>
          <w:szCs w:val="21"/>
        </w:rPr>
        <w:t>对查不出原因的维修质量问题，在质量保修期内，应无偿进行返修。</w:t>
      </w:r>
      <w:r>
        <w:rPr>
          <w:rFonts w:ascii="宋体" w:hAnsi="宋体" w:cs="宋体" w:hint="eastAsia"/>
          <w:bCs/>
          <w:sz w:val="22"/>
          <w:szCs w:val="22"/>
        </w:rPr>
        <w:t>同一问题半年内返修率超过3次的纳入履约考核。</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15、中标人提供</w:t>
      </w:r>
      <w:r>
        <w:rPr>
          <w:rFonts w:ascii="宋体" w:hAnsi="宋体" w:cs="宋体" w:hint="eastAsia"/>
          <w:bCs/>
          <w:sz w:val="22"/>
          <w:szCs w:val="22"/>
          <w:lang w:val="zh-CN"/>
        </w:rPr>
        <w:t>市内免费救援服务(含节假日)、紧急故障上门服务(含节假日)，</w:t>
      </w:r>
      <w:r>
        <w:rPr>
          <w:rFonts w:ascii="宋体" w:hAnsi="宋体" w:cs="宋体" w:hint="eastAsia"/>
          <w:bCs/>
          <w:sz w:val="22"/>
          <w:szCs w:val="22"/>
        </w:rPr>
        <w:t>故障车辆免费上门提车、送车；</w:t>
      </w:r>
    </w:p>
    <w:p>
      <w:pPr>
        <w:spacing w:line="360" w:lineRule="exact"/>
        <w:ind w:firstLine="420" w:firstLineChars="200"/>
        <w:rPr>
          <w:rFonts w:ascii="宋体" w:hAnsi="宋体" w:cs="宋体" w:hint="eastAsia"/>
          <w:bCs/>
          <w:sz w:val="22"/>
          <w:szCs w:val="22"/>
          <w:lang w:val="zh-CN"/>
        </w:rPr>
      </w:pPr>
      <w:r>
        <w:rPr>
          <w:rFonts w:ascii="宋体" w:hAnsi="宋体" w:cs="宋体" w:hint="eastAsia"/>
          <w:bCs/>
          <w:sz w:val="22"/>
          <w:szCs w:val="22"/>
        </w:rPr>
        <w:t>16、售后服务要求，中标人</w:t>
      </w:r>
      <w:r>
        <w:rPr>
          <w:rFonts w:ascii="宋体" w:hAnsi="宋体" w:cs="宋体" w:hint="eastAsia"/>
          <w:szCs w:val="21"/>
        </w:rPr>
        <w:t>为修理出厂车辆提供免费清洁、吸尘服务</w:t>
      </w:r>
      <w:r>
        <w:rPr>
          <w:rFonts w:ascii="宋体" w:hAnsi="宋体" w:cs="宋体" w:hint="eastAsia"/>
          <w:bCs/>
          <w:sz w:val="22"/>
          <w:szCs w:val="22"/>
        </w:rPr>
        <w:t>。</w:t>
      </w:r>
    </w:p>
    <w:p>
      <w:pPr>
        <w:spacing w:line="360" w:lineRule="exact"/>
        <w:ind w:firstLine="420" w:firstLineChars="200"/>
        <w:rPr>
          <w:sz w:val="22"/>
          <w:szCs w:val="22"/>
        </w:rPr>
      </w:pPr>
      <w:r>
        <w:rPr>
          <w:rFonts w:ascii="宋体" w:hAnsi="宋体" w:cs="宋体" w:hint="eastAsia"/>
          <w:bCs/>
          <w:sz w:val="22"/>
          <w:szCs w:val="22"/>
        </w:rPr>
        <w:t>17、售后服务要求，中标人需做好</w:t>
      </w:r>
      <w:r>
        <w:rPr>
          <w:sz w:val="22"/>
          <w:szCs w:val="22"/>
        </w:rPr>
        <w:t>配件质保及旧件回收管理</w:t>
      </w:r>
      <w:r>
        <w:rPr>
          <w:rFonts w:hint="eastAsia"/>
          <w:sz w:val="22"/>
          <w:szCs w:val="22"/>
        </w:rPr>
        <w:t>。</w:t>
      </w:r>
    </w:p>
    <w:p>
      <w:pPr>
        <w:spacing w:line="360" w:lineRule="exact"/>
        <w:ind w:firstLine="420" w:firstLineChars="200"/>
        <w:rPr>
          <w:sz w:val="22"/>
          <w:szCs w:val="22"/>
        </w:rPr>
      </w:pPr>
      <w:r>
        <w:rPr>
          <w:rFonts w:hint="eastAsia"/>
          <w:sz w:val="22"/>
          <w:szCs w:val="22"/>
        </w:rPr>
        <w:t>18、由于公安工作的特殊性、时效性和天气、环境等不确定性，需要中标人提供车辆故障的应急</w:t>
      </w:r>
      <w:r>
        <w:rPr>
          <w:sz w:val="22"/>
          <w:szCs w:val="22"/>
        </w:rPr>
        <w:t>服务</w:t>
      </w:r>
      <w:r>
        <w:rPr>
          <w:rFonts w:hint="eastAsia"/>
          <w:sz w:val="22"/>
          <w:szCs w:val="22"/>
        </w:rPr>
        <w:t>方案 ，及时有效解决采购人的需求，提供</w:t>
      </w:r>
      <w:r>
        <w:rPr>
          <w:rFonts w:ascii="Times New Roman" w:hAnsi="Times New Roman" w:cs="Times New Roman" w:hint="eastAsia"/>
          <w:sz w:val="22"/>
          <w:szCs w:val="22"/>
        </w:rPr>
        <w:t>24小时应急维修服务（含节假日）</w:t>
      </w:r>
      <w:r>
        <w:rPr>
          <w:rFonts w:hint="eastAsia"/>
          <w:sz w:val="22"/>
          <w:szCs w:val="22"/>
        </w:rPr>
        <w:t>。</w:t>
      </w:r>
    </w:p>
    <w:p>
      <w:pPr>
        <w:spacing w:line="360" w:lineRule="exact"/>
        <w:ind w:firstLine="420" w:firstLineChars="200"/>
        <w:rPr>
          <w:sz w:val="22"/>
          <w:szCs w:val="22"/>
        </w:rPr>
      </w:pPr>
      <w:r>
        <w:rPr>
          <w:rFonts w:hint="eastAsia"/>
          <w:sz w:val="22"/>
          <w:szCs w:val="22"/>
        </w:rPr>
        <w:t>19、考虑到现有的公务车辆数、后期有可能增加的公务车辆数及中标人有可能承接其他单位的车辆维修事宜，同时维修车辆需要一定的周期，短期内待修车辆可能占用一定场地，因此中标人需有足够的维修场地作为支撑。</w:t>
      </w:r>
    </w:p>
    <w:p>
      <w:pPr>
        <w:numPr>
          <w:ilvl w:val="255"/>
          <w:numId w:val="0"/>
        </w:numPr>
        <w:spacing w:line="360" w:lineRule="exact"/>
        <w:ind w:firstLine="0" w:firstLineChars="0"/>
        <w:rPr>
          <w:sz w:val="22"/>
          <w:szCs w:val="22"/>
        </w:rPr>
      </w:pPr>
    </w:p>
    <w:p>
      <w:pPr>
        <w:rPr>
          <w:b/>
          <w:sz w:val="24"/>
        </w:rPr>
      </w:pPr>
    </w:p>
    <w:p>
      <w:pPr>
        <w:pStyle w:val="Heading2"/>
        <w:spacing w:before="120" w:beforeLines="50" w:after="120" w:afterLines="50"/>
        <w:rPr>
          <w:rFonts w:hint="eastAsia"/>
          <w:szCs w:val="24"/>
        </w:rPr>
      </w:pPr>
      <w:r>
        <w:rPr>
          <w:rFonts w:hint="eastAsia"/>
          <w:szCs w:val="24"/>
        </w:rPr>
        <w:t>六、商务要求</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（一）服务期限</w:t>
      </w:r>
    </w:p>
    <w:p>
      <w:pPr>
        <w:spacing w:line="360" w:lineRule="exact"/>
        <w:ind w:firstLine="420" w:firstLineChars="200"/>
        <w:rPr>
          <w:rFonts w:ascii="宋体" w:hAnsi="宋体" w:cs="宋体" w:hint="eastAsia"/>
          <w:bCs/>
          <w:sz w:val="22"/>
          <w:szCs w:val="22"/>
        </w:rPr>
      </w:pPr>
      <w:r>
        <w:rPr>
          <w:rFonts w:ascii="宋体" w:hAnsi="宋体" w:cs="宋体" w:hint="eastAsia"/>
          <w:sz w:val="22"/>
          <w:szCs w:val="22"/>
        </w:rPr>
        <w:t>本项目服务期限为</w:t>
      </w:r>
      <w:r>
        <w:rPr>
          <w:rFonts w:ascii="宋体" w:hAnsi="宋体" w:cs="宋体" w:hint="eastAsia"/>
          <w:sz w:val="22"/>
          <w:szCs w:val="22"/>
          <w:lang w:val="en-US" w:eastAsia="zh-CN"/>
        </w:rPr>
        <w:t>9</w:t>
      </w:r>
      <w:r>
        <w:rPr>
          <w:rFonts w:ascii="宋体" w:hAnsi="宋体" w:cs="宋体" w:hint="eastAsia"/>
          <w:sz w:val="22"/>
          <w:szCs w:val="22"/>
        </w:rPr>
        <w:t>个月，具体起止时间以合同签订为准。本项目为长期服务项目，合同期满可以续签，但合同履行期限最长不得超过三十六个月。如采购人对履约情况不满意，采购人不再续约。</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（二）服务范围</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深圳市公安局轨道交通分局现有的及后续新添置的公务车辆。</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★（三）计价方式</w:t>
      </w:r>
    </w:p>
    <w:p>
      <w:pPr>
        <w:spacing w:line="360" w:lineRule="exact"/>
        <w:ind w:firstLine="420" w:firstLineChars="200"/>
        <w:rPr>
          <w:rFonts w:ascii="宋体" w:eastAsia="宋体" w:hAnsi="宋体" w:cs="宋体" w:hint="eastAsia"/>
          <w:bCs/>
          <w:sz w:val="22"/>
          <w:szCs w:val="22"/>
          <w:lang w:val="en-US" w:eastAsia="zh-CN"/>
        </w:rPr>
      </w:pPr>
      <w:r>
        <w:rPr>
          <w:rFonts w:ascii="宋体" w:eastAsia="宋体" w:hAnsi="宋体" w:cs="宋体" w:hint="eastAsia"/>
          <w:bCs/>
          <w:sz w:val="22"/>
          <w:szCs w:val="22"/>
          <w:lang w:val="en-US" w:eastAsia="zh-CN"/>
        </w:rPr>
        <w:t>1、计价公式：车辆维修费=工时定额×中标工时单价＋维修材料价×（1+中标维修材料管理费率）。</w:t>
      </w:r>
    </w:p>
    <w:p>
      <w:pPr>
        <w:spacing w:line="360" w:lineRule="exact"/>
        <w:ind w:firstLine="420" w:firstLineChars="200"/>
        <w:rPr>
          <w:rFonts w:ascii="宋体" w:eastAsia="宋体" w:hAnsi="宋体" w:cs="宋体" w:hint="eastAsia"/>
          <w:bCs/>
          <w:sz w:val="22"/>
          <w:szCs w:val="22"/>
          <w:lang w:val="en-US" w:eastAsia="zh-CN"/>
        </w:rPr>
      </w:pPr>
      <w:r>
        <w:rPr>
          <w:rFonts w:ascii="宋体" w:eastAsia="宋体" w:hAnsi="宋体" w:cs="宋体" w:hint="eastAsia"/>
          <w:bCs/>
          <w:sz w:val="22"/>
          <w:szCs w:val="22"/>
          <w:lang w:val="en-US" w:eastAsia="zh-CN"/>
        </w:rPr>
        <w:t>2、维修材料价以中标人实际备案价格为准（每季度向采购人提供零配件价格进行备案）；交通事故造成车辆损坏的，维修材料以保险公司车辆定损价格为准。投标人提供的维修材料必须是原厂出品材料。</w:t>
      </w:r>
    </w:p>
    <w:p>
      <w:pPr>
        <w:spacing w:line="360" w:lineRule="exact"/>
        <w:ind w:firstLine="420" w:firstLineChars="200"/>
        <w:rPr>
          <w:rFonts w:ascii="宋体" w:eastAsia="宋体" w:hAnsi="宋体" w:cs="宋体" w:hint="eastAsia"/>
          <w:bCs/>
          <w:sz w:val="22"/>
          <w:szCs w:val="22"/>
        </w:rPr>
      </w:pPr>
      <w:r>
        <w:rPr>
          <w:rFonts w:ascii="宋体" w:eastAsia="宋体" w:hAnsi="宋体" w:cs="宋体" w:hint="eastAsia"/>
          <w:bCs/>
          <w:sz w:val="22"/>
          <w:szCs w:val="22"/>
          <w:lang w:val="en-US" w:eastAsia="zh-CN"/>
        </w:rPr>
        <w:t>3、工时单价和维修材料管理费率由投标人自行报出，结算时以中标报价结算。</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（四）结算方式</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1、结算方式：</w:t>
      </w:r>
      <w:r>
        <w:rPr>
          <w:rFonts w:ascii="宋体" w:hAnsi="宋体" w:cs="宋体" w:hint="eastAsia"/>
          <w:bCs/>
          <w:sz w:val="22"/>
          <w:szCs w:val="22"/>
          <w:lang w:eastAsia="zh-CN"/>
        </w:rPr>
        <w:t>原则上</w:t>
      </w:r>
      <w:r>
        <w:rPr>
          <w:rFonts w:ascii="宋体" w:hAnsi="宋体" w:cs="宋体" w:hint="eastAsia"/>
          <w:bCs/>
          <w:sz w:val="22"/>
          <w:szCs w:val="22"/>
        </w:rPr>
        <w:t>每月结算一次。</w:t>
      </w:r>
      <w:r>
        <w:rPr>
          <w:rFonts w:ascii="宋体" w:hAnsi="宋体" w:cs="宋体" w:hint="eastAsia"/>
          <w:bCs/>
          <w:sz w:val="22"/>
          <w:szCs w:val="22"/>
          <w:lang w:eastAsia="zh-CN"/>
        </w:rPr>
        <w:t>乙方</w:t>
      </w:r>
      <w:r>
        <w:rPr>
          <w:rFonts w:ascii="宋体" w:hAnsi="宋体" w:cs="宋体" w:hint="eastAsia"/>
          <w:bCs/>
          <w:sz w:val="22"/>
          <w:szCs w:val="22"/>
        </w:rPr>
        <w:t>在结算月的10日前须将</w:t>
      </w:r>
      <w:r>
        <w:rPr>
          <w:rFonts w:ascii="宋体" w:hAnsi="宋体" w:cs="宋体" w:hint="eastAsia"/>
          <w:bCs/>
          <w:sz w:val="22"/>
          <w:szCs w:val="22"/>
          <w:lang w:eastAsia="zh-CN"/>
        </w:rPr>
        <w:t>上</w:t>
      </w:r>
      <w:r>
        <w:rPr>
          <w:rFonts w:ascii="宋体" w:hAnsi="宋体" w:cs="宋体" w:hint="eastAsia"/>
          <w:bCs/>
          <w:sz w:val="22"/>
          <w:szCs w:val="22"/>
        </w:rPr>
        <w:t>月“车辆维修</w:t>
      </w:r>
      <w:r>
        <w:rPr>
          <w:rFonts w:ascii="宋体" w:hAnsi="宋体" w:cs="宋体" w:hint="eastAsia"/>
          <w:bCs/>
          <w:sz w:val="22"/>
          <w:szCs w:val="22"/>
          <w:lang w:val="en-US" w:eastAsia="zh-CN"/>
        </w:rPr>
        <w:t>汇总</w:t>
      </w:r>
      <w:r>
        <w:rPr>
          <w:rFonts w:ascii="宋体" w:hAnsi="宋体" w:cs="宋体" w:hint="eastAsia"/>
          <w:bCs/>
          <w:sz w:val="22"/>
          <w:szCs w:val="22"/>
        </w:rPr>
        <w:t>清</w:t>
      </w:r>
      <w:r>
        <w:rPr>
          <w:rFonts w:ascii="宋体" w:hAnsi="宋体" w:cs="宋体" w:hint="eastAsia"/>
          <w:bCs/>
          <w:sz w:val="22"/>
          <w:szCs w:val="22"/>
          <w:lang w:val="en-US" w:eastAsia="zh-CN"/>
        </w:rPr>
        <w:t>单</w:t>
      </w:r>
      <w:r>
        <w:rPr>
          <w:rFonts w:ascii="宋体" w:hAnsi="宋体" w:cs="宋体" w:hint="eastAsia"/>
          <w:bCs/>
          <w:sz w:val="22"/>
          <w:szCs w:val="22"/>
        </w:rPr>
        <w:t>”、“车辆维修</w:t>
      </w:r>
      <w:r>
        <w:rPr>
          <w:rFonts w:ascii="宋体" w:hAnsi="宋体" w:cs="宋体" w:hint="eastAsia"/>
          <w:bCs/>
          <w:sz w:val="22"/>
          <w:szCs w:val="22"/>
          <w:lang w:val="en-US" w:eastAsia="zh-CN"/>
        </w:rPr>
        <w:t>项目</w:t>
      </w:r>
      <w:r>
        <w:rPr>
          <w:rFonts w:ascii="宋体" w:hAnsi="宋体" w:cs="宋体" w:hint="eastAsia"/>
          <w:bCs/>
          <w:sz w:val="22"/>
          <w:szCs w:val="22"/>
        </w:rPr>
        <w:t>结算单”</w:t>
      </w:r>
      <w:r>
        <w:rPr>
          <w:rFonts w:ascii="宋体" w:hAnsi="宋体" w:cs="宋体" w:hint="eastAsia"/>
          <w:bCs/>
          <w:sz w:val="22"/>
          <w:szCs w:val="22"/>
          <w:lang w:eastAsia="zh-CN"/>
        </w:rPr>
        <w:t>、“</w:t>
      </w:r>
      <w:r>
        <w:rPr>
          <w:rFonts w:ascii="宋体" w:hAnsi="宋体" w:cs="宋体" w:hint="eastAsia"/>
          <w:bCs/>
          <w:sz w:val="22"/>
          <w:szCs w:val="22"/>
          <w:lang w:val="en-US" w:eastAsia="zh-CN"/>
        </w:rPr>
        <w:t>检查及施工图像资料</w:t>
      </w:r>
      <w:r>
        <w:rPr>
          <w:rFonts w:ascii="宋体" w:hAnsi="宋体" w:cs="宋体" w:hint="eastAsia"/>
          <w:bCs/>
          <w:sz w:val="22"/>
          <w:szCs w:val="22"/>
          <w:lang w:eastAsia="zh-CN"/>
        </w:rPr>
        <w:t>”</w:t>
      </w:r>
      <w:r>
        <w:rPr>
          <w:rFonts w:ascii="宋体" w:hAnsi="宋体" w:cs="宋体" w:hint="eastAsia"/>
          <w:bCs/>
          <w:sz w:val="22"/>
          <w:szCs w:val="22"/>
        </w:rPr>
        <w:t>等结算材料交</w:t>
      </w:r>
      <w:r>
        <w:rPr>
          <w:rFonts w:ascii="宋体" w:hAnsi="宋体" w:cs="宋体" w:hint="eastAsia"/>
          <w:bCs/>
          <w:sz w:val="22"/>
          <w:szCs w:val="22"/>
          <w:lang w:eastAsia="zh-CN"/>
        </w:rPr>
        <w:t>甲方</w:t>
      </w:r>
      <w:r>
        <w:rPr>
          <w:rFonts w:ascii="宋体" w:hAnsi="宋体" w:cs="宋体" w:hint="eastAsia"/>
          <w:bCs/>
          <w:sz w:val="22"/>
          <w:szCs w:val="22"/>
        </w:rPr>
        <w:t>，</w:t>
      </w:r>
      <w:r>
        <w:rPr>
          <w:rFonts w:ascii="宋体" w:hAnsi="宋体" w:cs="宋体" w:hint="eastAsia"/>
          <w:bCs/>
          <w:sz w:val="22"/>
          <w:szCs w:val="22"/>
          <w:lang w:eastAsia="zh-CN"/>
        </w:rPr>
        <w:t>甲方</w:t>
      </w:r>
      <w:r>
        <w:rPr>
          <w:rFonts w:ascii="宋体" w:hAnsi="宋体" w:cs="宋体" w:hint="eastAsia"/>
          <w:bCs/>
          <w:sz w:val="22"/>
          <w:szCs w:val="22"/>
        </w:rPr>
        <w:t>核对确认无误后，由</w:t>
      </w:r>
      <w:r>
        <w:rPr>
          <w:rFonts w:ascii="宋体" w:hAnsi="宋体" w:cs="宋体" w:hint="eastAsia"/>
          <w:bCs/>
          <w:sz w:val="22"/>
          <w:szCs w:val="22"/>
          <w:lang w:eastAsia="zh-CN"/>
        </w:rPr>
        <w:t>乙方</w:t>
      </w:r>
      <w:r>
        <w:rPr>
          <w:rFonts w:ascii="宋体" w:hAnsi="宋体" w:cs="宋体" w:hint="eastAsia"/>
          <w:bCs/>
          <w:sz w:val="22"/>
          <w:szCs w:val="22"/>
        </w:rPr>
        <w:t>开取发票，</w:t>
      </w:r>
      <w:r>
        <w:rPr>
          <w:rFonts w:ascii="宋体" w:hAnsi="宋体" w:cs="宋体" w:hint="eastAsia"/>
          <w:bCs/>
          <w:sz w:val="22"/>
          <w:szCs w:val="22"/>
          <w:lang w:eastAsia="zh-CN"/>
        </w:rPr>
        <w:t>甲方</w:t>
      </w:r>
      <w:r>
        <w:rPr>
          <w:rFonts w:ascii="宋体" w:hAnsi="宋体" w:cs="宋体" w:hint="eastAsia"/>
          <w:bCs/>
          <w:sz w:val="22"/>
          <w:szCs w:val="22"/>
        </w:rPr>
        <w:t>收到发票后协助办理报销手续</w:t>
      </w:r>
      <w:r>
        <w:rPr>
          <w:rFonts w:ascii="宋体" w:hAnsi="宋体" w:cs="宋体" w:hint="eastAsia"/>
          <w:bCs/>
          <w:sz w:val="22"/>
          <w:szCs w:val="22"/>
          <w:lang w:eastAsia="zh-CN"/>
        </w:rPr>
        <w:t>，</w:t>
      </w:r>
      <w:r>
        <w:rPr>
          <w:rFonts w:ascii="宋体" w:hAnsi="宋体" w:cs="宋体" w:hint="eastAsia"/>
          <w:bCs/>
          <w:sz w:val="22"/>
          <w:szCs w:val="22"/>
        </w:rPr>
        <w:t>乙方不出具规定的结算票据和结算清单以及合规发票的，甲方有权拒绝支付费用。</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（以上为预计结算方式，具体以合同约定为准，采购人按照相关程序提交财政申办支付手续后视为已履行付款义务，因政府部门超期审批导致付款迟延的，不视为采购人违约）</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（五）付款方式</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lang w:eastAsia="zh-CN"/>
        </w:rPr>
        <w:t>原则上</w:t>
      </w:r>
      <w:r>
        <w:rPr>
          <w:rFonts w:ascii="宋体" w:hAnsi="宋体" w:cs="宋体" w:hint="eastAsia"/>
          <w:bCs/>
          <w:sz w:val="22"/>
          <w:szCs w:val="22"/>
        </w:rPr>
        <w:t>采购人于每月以转账方式结清上月车辆维修款项，结算前供应商需开具相应的发票。结算单</w:t>
      </w:r>
      <w:r>
        <w:rPr>
          <w:rFonts w:ascii="宋体" w:hAnsi="宋体" w:cs="宋体" w:hint="eastAsia"/>
          <w:bCs/>
          <w:sz w:val="22"/>
          <w:szCs w:val="22"/>
          <w:lang w:val="en-US" w:eastAsia="zh-CN"/>
        </w:rPr>
        <w:t>需</w:t>
      </w:r>
      <w:r>
        <w:rPr>
          <w:rFonts w:ascii="宋体" w:hAnsi="宋体" w:cs="宋体" w:hint="eastAsia"/>
          <w:bCs/>
          <w:sz w:val="22"/>
          <w:szCs w:val="22"/>
        </w:rPr>
        <w:t>标明维修项目名称、工时单价、维修材料价、维修材料管理费率；对修理项目的零配件费应列清楚。以上为预计付款方式，合同订立时，采购人可根据实际情况最终确定支付方式，并在合同中予以明确。</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（六）保密要求</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在项目履约过程中，供应商不得存在擅自驾驶委托维修车辆外出、在车上安装窃听器或打听、询问涉及与保密信息等违规现象。供应商对接触到或知悉的采购人的资料信息承担保密责任，不得向任何第三方透露，不得在规定的合作目的之外使用或向第三方透露任何信息和材料，不管是口头的或是书面的，还是以磁盘、胶片或电子邮件等形式存在的，资料和信息等内容保密的时效不受合同有效时间的限制，按照国家、省的有关法规文件规定，履行保密责任。供应商中标后</w:t>
      </w:r>
      <w:r>
        <w:rPr>
          <w:rFonts w:ascii="宋体" w:hAnsi="宋体" w:cs="宋体" w:hint="eastAsia"/>
          <w:bCs/>
          <w:sz w:val="22"/>
          <w:szCs w:val="22"/>
          <w:lang w:val="en-US" w:eastAsia="zh-CN"/>
        </w:rPr>
        <w:t>需</w:t>
      </w:r>
      <w:r>
        <w:rPr>
          <w:rFonts w:ascii="宋体" w:hAnsi="宋体" w:cs="宋体" w:hint="eastAsia"/>
          <w:bCs/>
          <w:sz w:val="22"/>
          <w:szCs w:val="22"/>
        </w:rPr>
        <w:t>与采购人签订保密协议。</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（七）违约责任</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1、因供应商或其代表、雇员违反供应商在本合同中任何义务、陈述或保证而给采购人造成损失，供应商应赔偿采购人因此承担或遭受的任何损失、权利主张、赔偿金、支出和费用，包括合理的律师费。</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2、供应商应完全地按照招标文件的要求和供应商投标文件的承诺完成本项目，出于自身财务、技术、人力等原因导致不能履约的，应承担全部责任。</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3、未经采购人驾驶员同意的情况下，如供应商人员擅自驾驶车辆出现责任事故，造成的一切责任由供应商负责，采购人不承担任何事故责任。</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4、若采购人发现供应商派出的服务人员或提供设备不符合合同要求的，供应商应在3天之内按要求派出人员或提供满足投标文件承诺的设备，否则采购人有权终止合同，并保留追究供应商责任及要求赔偿损失的权利。</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5、供应商工作人员违反本合同约定的保密义务，造成不良影响或对采购人造成损失的，采购人有权要求供应商消除影响，并有权解除合同。</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6、供应商应对自身的安全生产负责，若非因采购人原因发生的各种事故采购人不承担任何责任。服务期间因供应商管理不善或工作程序不当等责任原因或者严重违反安全生产管理制度引起安全事故的，造成人员伤害或财产损失的，构成违约，供应商除应当赔偿因以上事故给采购人及第三人造成的人身及财产损失。同时，采购人有权与供应商解除合同无需承担任何责任，不受服务期限制，供应商不得以仍在中标服务期为由，要求继续履行合同或另行签订其他合同，供应商应承担全部的责任及负责全部人员的安置，不得向采购人提出赔偿。</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7、采购人因供应商无法履约时，有权以无法履约为由在中标服务期内单方解除合同且无需承担任何责任，不受服务期限限制，供应商不得以仍在中标服务期内为由，要求继续履行合同或另行签订其他合同，不得向采购人提出赔偿。</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8、供应商</w:t>
      </w:r>
      <w:r>
        <w:rPr>
          <w:rFonts w:ascii="宋体" w:hAnsi="宋体" w:cs="宋体" w:hint="eastAsia"/>
          <w:bCs/>
          <w:sz w:val="22"/>
          <w:szCs w:val="22"/>
          <w:lang w:val="en-US" w:eastAsia="zh-CN"/>
        </w:rPr>
        <w:t>需</w:t>
      </w:r>
      <w:r>
        <w:rPr>
          <w:rFonts w:ascii="宋体" w:hAnsi="宋体" w:cs="宋体" w:hint="eastAsia"/>
          <w:bCs/>
          <w:sz w:val="22"/>
          <w:szCs w:val="22"/>
        </w:rPr>
        <w:t>按合同约定协助采购人按照要求开展工作；采购人检查发现未按合同执行的，按违约处理。采购人可责令供应商限期整改，如供应商5个工作日内仍未达到整改要求，则采购人有权与供应商解除合同无需承担任何责任，不受服务期限限制，供应商不得以仍在中标服务期内为由，要求继续履行合同或另行签订其他合同，供应商应承担全部的责任及负责全部人员的安置，不得向采购人提出赔偿。</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（八）解决争议的方法</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采购人、供应商双方之间的一切有关本项目的争议应通过友好协商解决。如果协商不成，可通过法律途径解决，向采购人所在地有管辖权的法院起诉，争议期间，各方仍应继续履约未涉争议的条款。</w:t>
      </w:r>
    </w:p>
    <w:p>
      <w:pPr>
        <w:spacing w:line="360" w:lineRule="exact"/>
        <w:ind w:firstLine="420" w:firstLineChars="200"/>
        <w:rPr>
          <w:rFonts w:ascii="宋体" w:hAnsi="宋体" w:cs="宋体" w:hint="eastAsia"/>
          <w:b/>
          <w:sz w:val="22"/>
          <w:szCs w:val="22"/>
        </w:rPr>
      </w:pPr>
      <w:r>
        <w:rPr>
          <w:rFonts w:ascii="宋体" w:hAnsi="宋体" w:cs="宋体" w:hint="eastAsia"/>
          <w:b/>
          <w:sz w:val="22"/>
          <w:szCs w:val="22"/>
        </w:rPr>
        <w:t>（九）履约验收方案</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1、履约验收时间：</w:t>
      </w:r>
    </w:p>
    <w:p>
      <w:pPr>
        <w:spacing w:line="360" w:lineRule="exact"/>
        <w:ind w:firstLine="840" w:firstLineChars="400"/>
        <w:rPr>
          <w:rFonts w:ascii="宋体" w:hAnsi="宋体" w:cs="宋体" w:hint="eastAsia"/>
          <w:bCs/>
          <w:sz w:val="22"/>
          <w:szCs w:val="22"/>
        </w:rPr>
      </w:pPr>
      <w:r>
        <w:rPr>
          <w:rFonts w:ascii="宋体" w:hAnsi="宋体" w:cs="宋体" w:hint="eastAsia"/>
          <w:bCs/>
          <w:sz w:val="22"/>
          <w:szCs w:val="22"/>
        </w:rPr>
        <w:t>项目服务期限内。</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2、履约验收方式：</w:t>
      </w:r>
    </w:p>
    <w:p>
      <w:pPr>
        <w:spacing w:line="360" w:lineRule="exact"/>
        <w:ind w:firstLine="840" w:firstLineChars="400"/>
        <w:rPr>
          <w:rFonts w:ascii="宋体" w:hAnsi="宋体" w:cs="宋体" w:hint="eastAsia"/>
          <w:bCs/>
          <w:sz w:val="22"/>
          <w:szCs w:val="22"/>
        </w:rPr>
      </w:pPr>
      <w:r>
        <w:rPr>
          <w:rFonts w:ascii="宋体" w:hAnsi="宋体" w:cs="宋体" w:hint="eastAsia"/>
          <w:bCs/>
          <w:sz w:val="22"/>
          <w:szCs w:val="22"/>
        </w:rPr>
        <w:t>项目维修服务结束后，由采购人项目所在部门组织验收。</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3、履约验收程序：</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（1）项目验收后，采购人项目所在部门对中标人进行履约评价。</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（2）不定期组织或授权相关人员对供应商进行现场抽检。</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（3）合同期满前，采购人对中标人进行服务履约评价。</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4、履约验收内容和验收标准：</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（1）在项目履约过程中，采购人有权组织或授权相关人员对供应商进行现场考察，核实相关资料，供应商应提前准备相关资料原件，以备核准。</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2）采购人在项目履约过程中对供应商开展履约检查，可邀请行业专家或委托第三方评估单位（采购人另行支付费用）协助对车辆维修供应商开展现场抽查，并在日常工作中跟踪了解行业动态及供应商的价格、服务、履约执行情况，处理执行过程中出现的问题。</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（3）供应商应严格按照招标文件及合同要求诚信履约，并对履约行为和结果承担法律责任。</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（4）履约评价为差的，采购人经主管部门批准后有权终止合同。</w:t>
      </w:r>
    </w:p>
    <w:p>
      <w:pPr>
        <w:spacing w:line="360" w:lineRule="exact"/>
        <w:ind w:firstLine="420" w:firstLineChars="200"/>
        <w:rPr>
          <w:rFonts w:ascii="宋体" w:hAnsi="宋体" w:cs="宋体" w:hint="eastAsia"/>
          <w:bCs/>
          <w:sz w:val="22"/>
          <w:szCs w:val="22"/>
        </w:rPr>
      </w:pPr>
      <w:r>
        <w:rPr>
          <w:rFonts w:ascii="宋体" w:hAnsi="宋体" w:cs="宋体" w:hint="eastAsia"/>
          <w:bCs/>
          <w:sz w:val="22"/>
          <w:szCs w:val="22"/>
        </w:rPr>
        <w:t>（5）《深圳市公安局轨道交通分局车辆维保履约情况反馈表》。（注：下表评价内容供参考；合同期限内采购人有权根据项目实际情况对评价考核内容进行调整。）</w:t>
      </w:r>
    </w:p>
    <w:p>
      <w:pPr>
        <w:spacing w:before="260" w:after="260"/>
        <w:jc w:val="center"/>
        <w:outlineLvl w:val="9"/>
        <w:rPr>
          <w:rFonts w:ascii="宋体" w:hAnsi="宋体" w:hint="eastAsia"/>
          <w:b/>
          <w:szCs w:val="32"/>
        </w:rPr>
      </w:pPr>
      <w:r>
        <w:rPr>
          <w:rFonts w:ascii="宋体" w:hAnsi="宋体" w:hint="eastAsia"/>
          <w:b/>
          <w:szCs w:val="32"/>
        </w:rPr>
        <w:t>深圳市公安局轨道交通分局车辆维保履约情况反馈表</w:t>
      </w:r>
    </w:p>
    <w:p>
      <w:pPr>
        <w:spacing w:line="240" w:lineRule="atLeast"/>
        <w:ind w:firstLine="442"/>
        <w:rPr>
          <w:rFonts w:ascii="宋体" w:hAnsi="宋体" w:hint="eastAsia"/>
          <w:b/>
          <w:szCs w:val="21"/>
        </w:rPr>
      </w:pPr>
      <w:r>
        <w:rPr>
          <w:rFonts w:ascii="宋体" w:hAnsi="宋体" w:hint="eastAsia"/>
          <w:b/>
          <w:szCs w:val="21"/>
        </w:rPr>
        <w:t>送修单位名称：</w:t>
      </w:r>
      <w:r>
        <w:rPr>
          <w:rFonts w:hint="eastAsia"/>
        </w:rPr>
        <w:t>深圳市公安局轨道交通分局</w:t>
      </w:r>
      <w:r>
        <w:rPr>
          <w:rFonts w:ascii="宋体" w:hAnsi="宋体" w:hint="eastAsia"/>
          <w:b/>
          <w:szCs w:val="21"/>
        </w:rPr>
        <w:t xml:space="preserve">             联系人及电话：</w:t>
      </w:r>
    </w:p>
    <w:p>
      <w:pPr>
        <w:spacing w:line="60" w:lineRule="exact"/>
        <w:ind w:firstLine="442"/>
        <w:rPr>
          <w:rFonts w:ascii="宋体" w:hAnsi="宋体" w:hint="eastAsia"/>
          <w:b/>
          <w:szCs w:val="21"/>
        </w:rPr>
      </w:pPr>
    </w:p>
    <w:tbl>
      <w:tblPr>
        <w:tblStyle w:val="TableNormal"/>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42"/>
        <w:gridCol w:w="720"/>
        <w:gridCol w:w="720"/>
        <w:gridCol w:w="2702"/>
        <w:gridCol w:w="1798"/>
        <w:gridCol w:w="2135"/>
      </w:tblGrid>
      <w:tr>
        <w:tblPrEx>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vAlign w:val="center"/>
          </w:tcPr>
          <w:p>
            <w:pPr>
              <w:spacing w:line="240" w:lineRule="atLeast"/>
              <w:jc w:val="center"/>
              <w:rPr>
                <w:rFonts w:ascii="宋体" w:hAnsi="宋体" w:hint="eastAsia"/>
                <w:szCs w:val="21"/>
              </w:rPr>
            </w:pPr>
            <w:r>
              <w:rPr>
                <w:rFonts w:ascii="宋体" w:hAnsi="宋体" w:hint="eastAsia"/>
                <w:szCs w:val="21"/>
              </w:rPr>
              <w:t>项目名称</w:t>
            </w:r>
          </w:p>
        </w:tc>
        <w:tc>
          <w:tcPr>
            <w:tcW w:w="6635" w:type="dxa"/>
            <w:gridSpan w:val="3"/>
            <w:vAlign w:val="center"/>
          </w:tcPr>
          <w:p>
            <w:pPr>
              <w:spacing w:line="240" w:lineRule="atLeast"/>
              <w:jc w:val="center"/>
              <w:rPr>
                <w:rFonts w:ascii="宋体" w:hAnsi="宋体" w:hint="eastAsia"/>
                <w:szCs w:val="21"/>
              </w:rPr>
            </w:pPr>
          </w:p>
        </w:tc>
      </w:tr>
      <w:tr>
        <w:tblPrEx>
          <w:tblW w:w="8917" w:type="dxa"/>
          <w:jc w:val="center"/>
          <w:tblLayout w:type="fixed"/>
          <w:tblCellMar>
            <w:top w:w="0" w:type="dxa"/>
            <w:left w:w="108" w:type="dxa"/>
            <w:bottom w:w="0" w:type="dxa"/>
            <w:right w:w="108" w:type="dxa"/>
          </w:tblCellMar>
        </w:tblPrEx>
        <w:trPr>
          <w:trHeight w:val="461"/>
          <w:jc w:val="center"/>
        </w:trPr>
        <w:tc>
          <w:tcPr>
            <w:tcW w:w="2282" w:type="dxa"/>
            <w:gridSpan w:val="3"/>
            <w:vAlign w:val="center"/>
          </w:tcPr>
          <w:p>
            <w:pPr>
              <w:spacing w:line="240" w:lineRule="atLeast"/>
              <w:jc w:val="center"/>
              <w:rPr>
                <w:rFonts w:ascii="宋体" w:hAnsi="宋体" w:hint="eastAsia"/>
                <w:szCs w:val="21"/>
              </w:rPr>
            </w:pPr>
            <w:r>
              <w:rPr>
                <w:rFonts w:ascii="宋体" w:hAnsi="宋体" w:hint="eastAsia"/>
                <w:szCs w:val="21"/>
              </w:rPr>
              <w:t>维修厂家</w:t>
            </w:r>
          </w:p>
        </w:tc>
        <w:tc>
          <w:tcPr>
            <w:tcW w:w="2702" w:type="dxa"/>
            <w:vAlign w:val="center"/>
          </w:tcPr>
          <w:p>
            <w:pPr>
              <w:spacing w:line="240" w:lineRule="atLeast"/>
              <w:jc w:val="center"/>
              <w:rPr>
                <w:rFonts w:ascii="宋体" w:hAnsi="宋体" w:hint="eastAsia"/>
                <w:szCs w:val="21"/>
              </w:rPr>
            </w:pPr>
          </w:p>
        </w:tc>
        <w:tc>
          <w:tcPr>
            <w:tcW w:w="1798" w:type="dxa"/>
            <w:vAlign w:val="center"/>
          </w:tcPr>
          <w:p>
            <w:pPr>
              <w:spacing w:line="240" w:lineRule="atLeast"/>
              <w:jc w:val="center"/>
              <w:rPr>
                <w:rFonts w:ascii="宋体" w:hAnsi="宋体" w:hint="eastAsia"/>
                <w:szCs w:val="21"/>
              </w:rPr>
            </w:pPr>
            <w:r>
              <w:rPr>
                <w:rFonts w:ascii="宋体" w:hAnsi="宋体" w:hint="eastAsia"/>
                <w:szCs w:val="21"/>
              </w:rPr>
              <w:t>联系人及电话</w:t>
            </w:r>
          </w:p>
        </w:tc>
        <w:tc>
          <w:tcPr>
            <w:tcW w:w="2135" w:type="dxa"/>
            <w:vAlign w:val="center"/>
          </w:tcPr>
          <w:p>
            <w:pPr>
              <w:spacing w:line="240" w:lineRule="atLeast"/>
              <w:jc w:val="center"/>
              <w:rPr>
                <w:rFonts w:ascii="宋体" w:hAnsi="宋体" w:hint="eastAsia"/>
                <w:szCs w:val="21"/>
              </w:rPr>
            </w:pPr>
          </w:p>
        </w:tc>
      </w:tr>
      <w:tr>
        <w:tblPrEx>
          <w:tblW w:w="8917" w:type="dxa"/>
          <w:jc w:val="center"/>
          <w:tblLayout w:type="fixed"/>
          <w:tblCellMar>
            <w:top w:w="0" w:type="dxa"/>
            <w:left w:w="108" w:type="dxa"/>
            <w:bottom w:w="0" w:type="dxa"/>
            <w:right w:w="108" w:type="dxa"/>
          </w:tblCellMar>
        </w:tblPrEx>
        <w:trPr>
          <w:trHeight w:val="438"/>
          <w:jc w:val="center"/>
        </w:trPr>
        <w:tc>
          <w:tcPr>
            <w:tcW w:w="2282" w:type="dxa"/>
            <w:gridSpan w:val="3"/>
            <w:vAlign w:val="center"/>
          </w:tcPr>
          <w:p>
            <w:pPr>
              <w:spacing w:line="240" w:lineRule="atLeast"/>
              <w:jc w:val="center"/>
              <w:rPr>
                <w:rFonts w:ascii="宋体" w:hAnsi="宋体" w:hint="eastAsia"/>
                <w:szCs w:val="21"/>
              </w:rPr>
            </w:pPr>
            <w:r>
              <w:rPr>
                <w:rFonts w:ascii="宋体" w:hAnsi="宋体" w:hint="eastAsia"/>
                <w:szCs w:val="21"/>
              </w:rPr>
              <w:t>维修金额</w:t>
            </w:r>
          </w:p>
        </w:tc>
        <w:tc>
          <w:tcPr>
            <w:tcW w:w="2702" w:type="dxa"/>
            <w:vAlign w:val="center"/>
          </w:tcPr>
          <w:p>
            <w:pPr>
              <w:spacing w:line="240" w:lineRule="atLeast"/>
              <w:jc w:val="center"/>
              <w:rPr>
                <w:rFonts w:ascii="宋体" w:hAnsi="宋体" w:hint="eastAsia"/>
                <w:szCs w:val="21"/>
              </w:rPr>
            </w:pPr>
          </w:p>
        </w:tc>
        <w:tc>
          <w:tcPr>
            <w:tcW w:w="1798" w:type="dxa"/>
            <w:vAlign w:val="center"/>
          </w:tcPr>
          <w:p>
            <w:pPr>
              <w:spacing w:line="240" w:lineRule="atLeast"/>
              <w:jc w:val="center"/>
              <w:rPr>
                <w:rFonts w:ascii="宋体" w:hAnsi="宋体" w:hint="eastAsia"/>
                <w:szCs w:val="21"/>
              </w:rPr>
            </w:pPr>
            <w:r>
              <w:rPr>
                <w:rFonts w:ascii="宋体" w:hAnsi="宋体" w:hint="eastAsia"/>
                <w:szCs w:val="21"/>
              </w:rPr>
              <w:t>履约时间</w:t>
            </w:r>
          </w:p>
        </w:tc>
        <w:tc>
          <w:tcPr>
            <w:tcW w:w="2135" w:type="dxa"/>
            <w:vAlign w:val="center"/>
          </w:tcPr>
          <w:p>
            <w:pPr>
              <w:spacing w:line="240" w:lineRule="atLeast"/>
              <w:rPr>
                <w:rFonts w:ascii="宋体" w:hAnsi="宋体" w:hint="eastAsia"/>
                <w:szCs w:val="21"/>
              </w:rPr>
            </w:pPr>
            <w:r>
              <w:rPr>
                <w:rFonts w:ascii="宋体" w:hAnsi="宋体" w:hint="eastAsia"/>
                <w:szCs w:val="21"/>
              </w:rPr>
              <w:t>自       至</w:t>
            </w:r>
          </w:p>
        </w:tc>
      </w:tr>
      <w:tr>
        <w:tblPrEx>
          <w:tblW w:w="8917" w:type="dxa"/>
          <w:jc w:val="center"/>
          <w:tblLayout w:type="fixed"/>
          <w:tblCellMar>
            <w:top w:w="0" w:type="dxa"/>
            <w:left w:w="108" w:type="dxa"/>
            <w:bottom w:w="0" w:type="dxa"/>
            <w:right w:w="108" w:type="dxa"/>
          </w:tblCellMar>
        </w:tblPrEx>
        <w:trPr>
          <w:trHeight w:val="544"/>
          <w:jc w:val="center"/>
        </w:trPr>
        <w:tc>
          <w:tcPr>
            <w:tcW w:w="842" w:type="dxa"/>
            <w:vMerge w:val="restart"/>
            <w:vAlign w:val="center"/>
          </w:tcPr>
          <w:p>
            <w:pPr>
              <w:spacing w:line="240" w:lineRule="atLeast"/>
              <w:ind w:firstLine="442"/>
              <w:jc w:val="center"/>
              <w:rPr>
                <w:rFonts w:ascii="宋体" w:hAnsi="宋体" w:hint="eastAsia"/>
                <w:b/>
                <w:szCs w:val="21"/>
              </w:rPr>
            </w:pPr>
            <w:r>
              <w:rPr>
                <w:rFonts w:ascii="宋体" w:hAnsi="宋体" w:hint="eastAsia"/>
                <w:b/>
                <w:szCs w:val="21"/>
              </w:rPr>
              <w:t>履约情况评价</w:t>
            </w:r>
          </w:p>
        </w:tc>
        <w:tc>
          <w:tcPr>
            <w:tcW w:w="1440" w:type="dxa"/>
            <w:gridSpan w:val="2"/>
            <w:tcBorders>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总体评价</w:t>
            </w:r>
          </w:p>
        </w:tc>
        <w:tc>
          <w:tcPr>
            <w:tcW w:w="6635" w:type="dxa"/>
            <w:gridSpan w:val="3"/>
            <w:tcBorders>
              <w:left w:val="single" w:sz="4" w:space="0" w:color="auto"/>
            </w:tcBorders>
            <w:vAlign w:val="center"/>
          </w:tcPr>
          <w:p>
            <w:pPr>
              <w:spacing w:line="240" w:lineRule="atLeast"/>
              <w:ind w:firstLine="105" w:firstLineChars="50"/>
              <w:jc w:val="center"/>
              <w:rPr>
                <w:rFonts w:ascii="宋体" w:hAnsi="宋体" w:hint="eastAsia"/>
                <w:szCs w:val="21"/>
              </w:rPr>
            </w:pPr>
            <w:r>
              <w:rPr>
                <w:rFonts w:ascii="Wingdings 2" w:hAnsi="Wingdings 2" w:hint="eastAsia"/>
                <w:szCs w:val="21"/>
              </w:rPr>
              <w:t>£</w:t>
            </w:r>
            <w:r>
              <w:rPr>
                <w:rFonts w:ascii="宋体" w:hAnsi="宋体" w:hint="eastAsia"/>
                <w:szCs w:val="21"/>
              </w:rPr>
              <w:t xml:space="preserve">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val="restart"/>
            <w:tcBorders>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分项评价</w:t>
            </w: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质量方面</w:t>
            </w:r>
          </w:p>
        </w:tc>
        <w:tc>
          <w:tcPr>
            <w:tcW w:w="6635" w:type="dxa"/>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价格方面</w:t>
            </w:r>
          </w:p>
        </w:tc>
        <w:tc>
          <w:tcPr>
            <w:tcW w:w="6635" w:type="dxa"/>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服务方面</w:t>
            </w:r>
          </w:p>
        </w:tc>
        <w:tc>
          <w:tcPr>
            <w:tcW w:w="6635" w:type="dxa"/>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w:t>
            </w:r>
            <w:r>
              <w:rPr>
                <w:rFonts w:ascii="Wingdings 2" w:hAnsi="Wingdings 2" w:hint="eastAsia"/>
                <w:szCs w:val="21"/>
              </w:rPr>
              <w:t>£</w:t>
            </w:r>
            <w:r>
              <w:rPr>
                <w:rFonts w:ascii="宋体" w:hAnsi="宋体" w:hint="eastAsia"/>
                <w:szCs w:val="21"/>
              </w:rPr>
              <w:t xml:space="preserve">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时间方面</w:t>
            </w:r>
          </w:p>
        </w:tc>
        <w:tc>
          <w:tcPr>
            <w:tcW w:w="6635" w:type="dxa"/>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环境保护</w:t>
            </w:r>
          </w:p>
        </w:tc>
        <w:tc>
          <w:tcPr>
            <w:tcW w:w="6635" w:type="dxa"/>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响应</w:t>
            </w:r>
          </w:p>
          <w:p>
            <w:pPr>
              <w:spacing w:line="240" w:lineRule="atLeast"/>
              <w:jc w:val="center"/>
              <w:rPr>
                <w:rFonts w:ascii="宋体" w:hAnsi="宋体" w:hint="eastAsia"/>
                <w:szCs w:val="21"/>
              </w:rPr>
            </w:pPr>
            <w:r>
              <w:rPr>
                <w:rFonts w:ascii="宋体" w:hAnsi="宋体" w:hint="eastAsia"/>
                <w:szCs w:val="21"/>
              </w:rPr>
              <w:t>方面</w:t>
            </w:r>
          </w:p>
        </w:tc>
        <w:tc>
          <w:tcPr>
            <w:tcW w:w="6635" w:type="dxa"/>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返修情况</w:t>
            </w:r>
          </w:p>
        </w:tc>
        <w:tc>
          <w:tcPr>
            <w:tcW w:w="6635" w:type="dxa"/>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458"/>
          <w:jc w:val="center"/>
        </w:trPr>
        <w:tc>
          <w:tcPr>
            <w:tcW w:w="842" w:type="dxa"/>
            <w:vMerge/>
            <w:vAlign w:val="center"/>
          </w:tcPr>
          <w:p>
            <w:pPr>
              <w:spacing w:line="240" w:lineRule="atLeast"/>
              <w:jc w:val="center"/>
              <w:rPr>
                <w:rFonts w:ascii="宋体" w:hAnsi="宋体" w:hint="eastAsia"/>
                <w:szCs w:val="21"/>
              </w:rPr>
            </w:pPr>
          </w:p>
        </w:tc>
        <w:tc>
          <w:tcPr>
            <w:tcW w:w="720" w:type="dxa"/>
            <w:vMerge/>
            <w:tcBorders>
              <w:right w:val="single" w:sz="4" w:space="0" w:color="auto"/>
            </w:tcBorders>
            <w:vAlign w:val="center"/>
          </w:tcPr>
          <w:p>
            <w:pPr>
              <w:spacing w:line="240" w:lineRule="atLeast"/>
              <w:jc w:val="center"/>
              <w:rPr>
                <w:rFonts w:ascii="宋体" w:hAnsi="宋体" w:hint="eastAsia"/>
                <w:szCs w:val="21"/>
              </w:rPr>
            </w:pPr>
          </w:p>
        </w:tc>
        <w:tc>
          <w:tcPr>
            <w:tcW w:w="720" w:type="dxa"/>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售后服务</w:t>
            </w:r>
          </w:p>
        </w:tc>
        <w:tc>
          <w:tcPr>
            <w:tcW w:w="6635" w:type="dxa"/>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8917" w:type="dxa"/>
          <w:jc w:val="center"/>
          <w:tblLayout w:type="fixed"/>
          <w:tblCellMar>
            <w:top w:w="0" w:type="dxa"/>
            <w:left w:w="108" w:type="dxa"/>
            <w:bottom w:w="0" w:type="dxa"/>
            <w:right w:w="108" w:type="dxa"/>
          </w:tblCellMar>
        </w:tblPrEx>
        <w:trPr>
          <w:trHeight w:val="1871"/>
          <w:jc w:val="center"/>
        </w:trPr>
        <w:tc>
          <w:tcPr>
            <w:tcW w:w="1562" w:type="dxa"/>
            <w:gridSpan w:val="2"/>
            <w:vAlign w:val="center"/>
          </w:tcPr>
          <w:p>
            <w:pPr>
              <w:spacing w:line="240" w:lineRule="atLeast"/>
              <w:jc w:val="center"/>
              <w:rPr>
                <w:rFonts w:ascii="宋体" w:hAnsi="宋体" w:hint="eastAsia"/>
                <w:szCs w:val="21"/>
              </w:rPr>
            </w:pPr>
            <w:r>
              <w:rPr>
                <w:rFonts w:ascii="宋体" w:hAnsi="宋体" w:hint="eastAsia"/>
                <w:szCs w:val="21"/>
              </w:rPr>
              <w:t>具体情况说明</w:t>
            </w:r>
          </w:p>
        </w:tc>
        <w:tc>
          <w:tcPr>
            <w:tcW w:w="7355" w:type="dxa"/>
            <w:gridSpan w:val="4"/>
          </w:tcPr>
          <w:p>
            <w:pPr>
              <w:spacing w:line="240" w:lineRule="atLeast"/>
              <w:rPr>
                <w:rFonts w:ascii="宋体" w:hAnsi="宋体" w:hint="eastAsia"/>
                <w:szCs w:val="21"/>
              </w:rPr>
            </w:pPr>
          </w:p>
        </w:tc>
      </w:tr>
      <w:tr>
        <w:tblPrEx>
          <w:tblW w:w="8917" w:type="dxa"/>
          <w:jc w:val="center"/>
          <w:tblLayout w:type="fixed"/>
          <w:tblCellMar>
            <w:top w:w="0" w:type="dxa"/>
            <w:left w:w="108" w:type="dxa"/>
            <w:bottom w:w="0" w:type="dxa"/>
            <w:right w:w="108" w:type="dxa"/>
          </w:tblCellMar>
        </w:tblPrEx>
        <w:trPr>
          <w:trHeight w:val="1970"/>
          <w:jc w:val="center"/>
        </w:trPr>
        <w:tc>
          <w:tcPr>
            <w:tcW w:w="1562" w:type="dxa"/>
            <w:gridSpan w:val="2"/>
            <w:vAlign w:val="center"/>
          </w:tcPr>
          <w:p>
            <w:pPr>
              <w:spacing w:line="240" w:lineRule="atLeast"/>
              <w:jc w:val="center"/>
              <w:rPr>
                <w:rFonts w:ascii="宋体" w:hAnsi="宋体" w:hint="eastAsia"/>
                <w:szCs w:val="21"/>
              </w:rPr>
            </w:pPr>
            <w:r>
              <w:rPr>
                <w:rFonts w:ascii="宋体" w:hAnsi="宋体" w:hint="eastAsia"/>
                <w:szCs w:val="21"/>
              </w:rPr>
              <w:t>送修单位意见</w:t>
            </w:r>
          </w:p>
          <w:p>
            <w:pPr>
              <w:spacing w:line="240" w:lineRule="atLeast"/>
              <w:jc w:val="center"/>
              <w:rPr>
                <w:rFonts w:ascii="宋体" w:hAnsi="宋体" w:hint="eastAsia"/>
                <w:szCs w:val="21"/>
              </w:rPr>
            </w:pPr>
            <w:r>
              <w:rPr>
                <w:rFonts w:ascii="宋体" w:hAnsi="宋体" w:hint="eastAsia"/>
                <w:szCs w:val="21"/>
              </w:rPr>
              <w:t>（公章）</w:t>
            </w:r>
          </w:p>
        </w:tc>
        <w:tc>
          <w:tcPr>
            <w:tcW w:w="7355" w:type="dxa"/>
            <w:gridSpan w:val="4"/>
            <w:vAlign w:val="center"/>
          </w:tcPr>
          <w:p>
            <w:pPr>
              <w:spacing w:line="240" w:lineRule="atLeast"/>
              <w:rPr>
                <w:rFonts w:ascii="宋体" w:hAnsi="宋体" w:hint="eastAsia"/>
                <w:szCs w:val="21"/>
              </w:rPr>
            </w:pPr>
          </w:p>
          <w:p>
            <w:pPr>
              <w:spacing w:line="240" w:lineRule="atLeast"/>
              <w:rPr>
                <w:rFonts w:ascii="宋体" w:hAnsi="宋体" w:hint="eastAsia"/>
                <w:szCs w:val="21"/>
              </w:rPr>
            </w:pPr>
          </w:p>
          <w:p>
            <w:pPr>
              <w:spacing w:line="240" w:lineRule="atLeast"/>
              <w:rPr>
                <w:rFonts w:ascii="宋体" w:hAnsi="宋体" w:hint="eastAsia"/>
                <w:szCs w:val="21"/>
              </w:rPr>
            </w:pPr>
            <w:r>
              <w:rPr>
                <w:rFonts w:ascii="宋体" w:hAnsi="宋体" w:hint="eastAsia"/>
                <w:szCs w:val="21"/>
              </w:rPr>
              <w:t xml:space="preserve">                                        </w:t>
            </w:r>
          </w:p>
          <w:p>
            <w:pPr>
              <w:spacing w:line="240" w:lineRule="atLeast"/>
              <w:ind w:firstLine="3780" w:firstLineChars="1800"/>
              <w:rPr>
                <w:rFonts w:ascii="宋体" w:hAnsi="宋体" w:hint="eastAsia"/>
                <w:szCs w:val="21"/>
              </w:rPr>
            </w:pPr>
          </w:p>
          <w:p>
            <w:pPr>
              <w:spacing w:line="240" w:lineRule="atLeast"/>
              <w:ind w:firstLine="3780" w:firstLineChars="1800"/>
              <w:rPr>
                <w:rFonts w:ascii="宋体" w:hAnsi="宋体" w:hint="eastAsia"/>
                <w:szCs w:val="21"/>
              </w:rPr>
            </w:pPr>
            <w:r>
              <w:rPr>
                <w:rFonts w:ascii="宋体" w:hAnsi="宋体" w:hint="eastAsia"/>
                <w:szCs w:val="21"/>
              </w:rPr>
              <w:t>日期：   年   月   日</w:t>
            </w:r>
          </w:p>
        </w:tc>
      </w:tr>
    </w:tbl>
    <w:p>
      <w:pPr>
        <w:spacing w:line="240" w:lineRule="atLeast"/>
      </w:pPr>
      <w:r>
        <w:rPr>
          <w:rFonts w:ascii="宋体" w:hAnsi="宋体" w:hint="eastAsia"/>
          <w:szCs w:val="21"/>
        </w:rPr>
        <w:t>说明：履约情况评价分为优、良、中、差四个等级，请在对应的框前打“√”，然后在“具体情况说明”一栏详细说明有关情况。</w:t>
      </w:r>
    </w:p>
    <w:p>
      <w:pPr>
        <w:pStyle w:val="Heading2"/>
        <w:numPr>
          <w:ilvl w:val="0"/>
          <w:numId w:val="0"/>
        </w:numPr>
        <w:adjustRightInd/>
        <w:jc w:val="center"/>
        <w:textAlignment w:val="auto"/>
        <w:rPr>
          <w:rFonts w:ascii="Times New Roman" w:hAnsi="Times New Roman"/>
          <w:sz w:val="32"/>
          <w:szCs w:val="32"/>
        </w:rPr>
      </w:pPr>
      <w:r>
        <w:rPr>
          <w:rFonts w:cs="Times New Roman" w:hint="eastAsia"/>
          <w:b/>
          <w:kern w:val="0"/>
          <w:sz w:val="32"/>
          <w:szCs w:val="32"/>
          <w:lang w:val="en-US" w:eastAsia="zh-CN" w:bidi="ar-SA"/>
        </w:rPr>
        <w:t>七</w:t>
      </w:r>
      <w:r>
        <w:rPr>
          <w:rFonts w:ascii="Times New Roman" w:eastAsia="宋体" w:hAnsi="Times New Roman" w:cs="Times New Roman" w:hint="eastAsia"/>
          <w:b/>
          <w:kern w:val="0"/>
          <w:sz w:val="32"/>
          <w:szCs w:val="32"/>
          <w:lang w:val="en-US" w:eastAsia="zh-CN" w:bidi="ar-SA"/>
        </w:rPr>
        <w:t>、</w:t>
      </w:r>
      <w:r>
        <w:rPr>
          <w:rFonts w:ascii="Times New Roman" w:hAnsi="Times New Roman"/>
          <w:sz w:val="32"/>
          <w:szCs w:val="32"/>
        </w:rPr>
        <w:t>投标报价要求</w:t>
      </w:r>
    </w:p>
    <w:p>
      <w:pPr>
        <w:pStyle w:val="BodyTextFirstIndent2"/>
        <w:numPr>
          <w:ilvl w:val="0"/>
          <w:numId w:val="0"/>
        </w:numPr>
        <w:spacing w:after="0" w:line="360" w:lineRule="exact"/>
        <w:ind w:firstLine="440" w:leftChars="0"/>
        <w:rPr>
          <w:rFonts w:ascii="Times New Roman" w:hAnsi="Times New Roman"/>
          <w:sz w:val="22"/>
          <w:szCs w:val="22"/>
        </w:rPr>
      </w:pPr>
      <w:r>
        <w:rPr>
          <w:rFonts w:ascii="Times New Roman" w:eastAsia="宋体" w:hAnsi="Times New Roman" w:cs="Times New Roman" w:hint="default"/>
          <w:kern w:val="2"/>
          <w:sz w:val="22"/>
          <w:szCs w:val="22"/>
          <w:lang w:val="en-US" w:eastAsia="zh-CN" w:bidi="ar-SA"/>
        </w:rPr>
        <w:t>1．</w:t>
      </w:r>
      <w:r>
        <w:rPr>
          <w:rFonts w:ascii="Times New Roman" w:hAnsi="Times New Roman"/>
          <w:sz w:val="22"/>
          <w:szCs w:val="22"/>
        </w:rPr>
        <w:t>最高</w:t>
      </w:r>
      <w:r>
        <w:rPr>
          <w:rFonts w:ascii="Times New Roman" w:hAnsi="Times New Roman" w:hint="eastAsia"/>
          <w:sz w:val="22"/>
          <w:szCs w:val="22"/>
        </w:rPr>
        <w:t>投标限价</w:t>
      </w:r>
    </w:p>
    <w:tbl>
      <w:tblPr>
        <w:tblStyle w:val="TableGrid"/>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8"/>
        <w:gridCol w:w="1417"/>
        <w:gridCol w:w="3114"/>
        <w:gridCol w:w="2977"/>
      </w:tblGrid>
      <w:tr>
        <w:tblPrEx>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rPr>
              <w:t>报价内容</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lang w:val="en-US" w:eastAsia="zh-CN"/>
              </w:rPr>
              <w:t>投标</w:t>
            </w:r>
            <w:r>
              <w:rPr>
                <w:rFonts w:ascii="宋体" w:hAnsi="宋体" w:hint="eastAsia"/>
                <w:b/>
                <w:bCs w:val="0"/>
                <w:kern w:val="0"/>
                <w:szCs w:val="21"/>
                <w:highlight w:val="none"/>
              </w:rPr>
              <w:t>报价</w:t>
            </w:r>
          </w:p>
        </w:tc>
        <w:tc>
          <w:tcPr>
            <w:tcW w:w="3114"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rPr>
              <w:t>报价要求</w:t>
            </w:r>
          </w:p>
        </w:tc>
        <w:tc>
          <w:tcPr>
            <w:tcW w:w="2977" w:type="dxa"/>
            <w:tcBorders>
              <w:top w:val="single" w:sz="4" w:space="0" w:color="auto"/>
              <w:left w:val="single" w:sz="4" w:space="0" w:color="auto"/>
              <w:bottom w:val="single" w:sz="4" w:space="0" w:color="auto"/>
              <w:right w:val="single" w:sz="4" w:space="0" w:color="auto"/>
            </w:tcBorders>
            <w:vAlign w:val="center"/>
          </w:tcPr>
          <w:p>
            <w:pPr>
              <w:spacing w:line="273" w:lineRule="auto"/>
              <w:ind w:firstLine="442"/>
              <w:jc w:val="center"/>
              <w:rPr>
                <w:rFonts w:ascii="宋体" w:hAnsi="宋体"/>
                <w:b/>
                <w:bCs w:val="0"/>
                <w:kern w:val="0"/>
                <w:szCs w:val="21"/>
                <w:highlight w:val="none"/>
              </w:rPr>
            </w:pPr>
            <w:r>
              <w:rPr>
                <w:rFonts w:ascii="宋体" w:hAnsi="宋体" w:hint="eastAsia"/>
                <w:b/>
                <w:bCs w:val="0"/>
                <w:kern w:val="0"/>
                <w:szCs w:val="21"/>
                <w:highlight w:val="none"/>
              </w:rPr>
              <w:t>备注</w:t>
            </w:r>
          </w:p>
        </w:tc>
      </w:tr>
      <w:tr>
        <w:tblPrEx>
          <w:tblW w:w="8926" w:type="dxa"/>
          <w:tblInd w:w="0" w:type="dxa"/>
          <w:tblCellMar>
            <w:top w:w="0" w:type="dxa"/>
            <w:left w:w="108" w:type="dxa"/>
            <w:bottom w:w="0" w:type="dxa"/>
            <w:right w:w="108" w:type="dxa"/>
          </w:tblCellMar>
        </w:tblPrEx>
        <w:trPr>
          <w:trHeight w:val="661"/>
        </w:trPr>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rPr>
              <w:t>工时单价</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u w:val="single"/>
                <w:lang w:val="en-US" w:eastAsia="zh-CN"/>
              </w:rPr>
              <w:t xml:space="preserve">   </w:t>
            </w:r>
            <w:r>
              <w:rPr>
                <w:rFonts w:ascii="宋体" w:hAnsi="宋体" w:hint="eastAsia"/>
                <w:b/>
                <w:bCs w:val="0"/>
                <w:kern w:val="0"/>
                <w:szCs w:val="21"/>
                <w:highlight w:val="none"/>
              </w:rPr>
              <w:t>元/小时</w:t>
            </w:r>
          </w:p>
        </w:tc>
        <w:tc>
          <w:tcPr>
            <w:tcW w:w="3114" w:type="dxa"/>
            <w:tcBorders>
              <w:top w:val="single" w:sz="4" w:space="0" w:color="auto"/>
              <w:left w:val="single" w:sz="4" w:space="0" w:color="auto"/>
              <w:bottom w:val="single" w:sz="4" w:space="0" w:color="auto"/>
              <w:right w:val="single" w:sz="4" w:space="0" w:color="auto"/>
            </w:tcBorders>
            <w:vAlign w:val="center"/>
          </w:tcPr>
          <w:p>
            <w:pPr>
              <w:jc w:val="left"/>
              <w:rPr>
                <w:rFonts w:ascii="宋体" w:hAnsi="宋体"/>
                <w:b/>
                <w:bCs w:val="0"/>
                <w:kern w:val="0"/>
                <w:szCs w:val="21"/>
                <w:highlight w:val="none"/>
              </w:rPr>
            </w:pPr>
            <w:r>
              <w:rPr>
                <w:rFonts w:ascii="宋体" w:hAnsi="宋体" w:hint="eastAsia"/>
                <w:b/>
                <w:bCs w:val="0"/>
                <w:kern w:val="0"/>
                <w:szCs w:val="21"/>
                <w:highlight w:val="none"/>
              </w:rPr>
              <w:t>1.报价应当是唯一的，不接受有选择的报价或区间值；</w:t>
            </w:r>
          </w:p>
          <w:p>
            <w:pPr>
              <w:jc w:val="left"/>
              <w:rPr>
                <w:rFonts w:ascii="宋体" w:hAnsi="宋体"/>
                <w:b/>
                <w:bCs w:val="0"/>
                <w:kern w:val="0"/>
                <w:szCs w:val="21"/>
                <w:highlight w:val="none"/>
              </w:rPr>
            </w:pPr>
            <w:r>
              <w:rPr>
                <w:rFonts w:ascii="宋体" w:hAnsi="宋体" w:hint="eastAsia"/>
                <w:b/>
                <w:bCs w:val="0"/>
                <w:kern w:val="0"/>
                <w:szCs w:val="21"/>
                <w:highlight w:val="none"/>
              </w:rPr>
              <w:t>2.0＜工时单价报价≤</w:t>
            </w:r>
            <w:r>
              <w:rPr>
                <w:rFonts w:ascii="宋体" w:hAnsi="宋体" w:hint="eastAsia"/>
                <w:b/>
                <w:bCs w:val="0"/>
                <w:kern w:val="0"/>
                <w:szCs w:val="21"/>
                <w:highlight w:val="none"/>
                <w:lang w:val="en-US" w:eastAsia="zh-CN"/>
              </w:rPr>
              <w:t>65</w:t>
            </w:r>
            <w:r>
              <w:rPr>
                <w:rFonts w:ascii="宋体" w:hAnsi="宋体" w:hint="eastAsia"/>
                <w:b/>
                <w:bCs w:val="0"/>
                <w:kern w:val="0"/>
                <w:szCs w:val="21"/>
                <w:highlight w:val="none"/>
              </w:rPr>
              <w:t>元/小时；</w:t>
            </w:r>
          </w:p>
        </w:tc>
        <w:tc>
          <w:tcPr>
            <w:tcW w:w="2977" w:type="dxa"/>
            <w:vMerge w:val="restart"/>
            <w:tcBorders>
              <w:top w:val="nil"/>
              <w:left w:val="single" w:sz="4" w:space="0" w:color="auto"/>
              <w:bottom w:val="single" w:sz="4" w:space="0" w:color="auto"/>
              <w:right w:val="single" w:sz="4" w:space="0" w:color="auto"/>
            </w:tcBorders>
            <w:vAlign w:val="center"/>
          </w:tcPr>
          <w:p>
            <w:pPr>
              <w:spacing w:line="273" w:lineRule="auto"/>
              <w:rPr>
                <w:rFonts w:ascii="宋体" w:hAnsi="宋体"/>
                <w:b/>
                <w:bCs w:val="0"/>
                <w:kern w:val="0"/>
                <w:szCs w:val="21"/>
                <w:highlight w:val="none"/>
              </w:rPr>
            </w:pPr>
            <w:r>
              <w:rPr>
                <w:rFonts w:ascii="宋体" w:hAnsi="宋体" w:hint="eastAsia"/>
                <w:b/>
                <w:bCs w:val="0"/>
                <w:kern w:val="0"/>
                <w:szCs w:val="21"/>
                <w:highlight w:val="none"/>
              </w:rPr>
              <w:t>1.投标人请按照报价要求，在《分项报价表》中填写【工时单价】【维修材料管理费率】的报价；</w:t>
            </w:r>
          </w:p>
          <w:p>
            <w:pPr>
              <w:spacing w:line="273" w:lineRule="auto"/>
              <w:rPr>
                <w:rFonts w:ascii="宋体" w:hAnsi="宋体"/>
                <w:b/>
                <w:bCs w:val="0"/>
                <w:kern w:val="0"/>
                <w:szCs w:val="21"/>
                <w:highlight w:val="none"/>
              </w:rPr>
            </w:pPr>
            <w:r>
              <w:rPr>
                <w:rFonts w:ascii="宋体" w:hAnsi="宋体" w:hint="eastAsia"/>
                <w:b/>
                <w:bCs w:val="0"/>
                <w:kern w:val="0"/>
                <w:szCs w:val="21"/>
                <w:highlight w:val="none"/>
              </w:rPr>
              <w:t>2</w:t>
            </w:r>
            <w:r>
              <w:rPr>
                <w:rFonts w:ascii="宋体" w:eastAsia="宋体" w:hAnsi="宋体" w:cs="Times New Roman" w:hint="eastAsia"/>
                <w:b/>
                <w:bCs w:val="0"/>
                <w:kern w:val="0"/>
                <w:szCs w:val="21"/>
                <w:highlight w:val="none"/>
              </w:rPr>
              <w:t>.投标人在</w:t>
            </w:r>
            <w:r>
              <w:rPr>
                <w:rFonts w:ascii="宋体" w:eastAsia="宋体" w:hAnsi="宋体" w:cs="Times New Roman" w:hint="eastAsia"/>
                <w:b/>
                <w:bCs w:val="0"/>
                <w:kern w:val="0"/>
                <w:sz w:val="21"/>
                <w:szCs w:val="21"/>
                <w:highlight w:val="none"/>
                <w:lang w:val="en-US" w:eastAsia="zh-CN" w:bidi="ar-SA"/>
              </w:rPr>
              <w:t>《投标文件制作软件》开标一览表</w:t>
            </w:r>
            <w:r>
              <w:rPr>
                <w:rFonts w:ascii="宋体" w:eastAsia="宋体" w:hAnsi="宋体" w:cs="Times New Roman" w:hint="eastAsia"/>
                <w:b/>
                <w:bCs w:val="0"/>
                <w:kern w:val="0"/>
                <w:szCs w:val="21"/>
                <w:highlight w:val="none"/>
              </w:rPr>
              <w:t>中</w:t>
            </w:r>
            <w:r>
              <w:rPr>
                <w:rFonts w:ascii="宋体" w:eastAsia="宋体" w:hAnsi="宋体" w:cs="Times New Roman" w:hint="eastAsia"/>
                <w:b/>
                <w:bCs w:val="0"/>
                <w:kern w:val="0"/>
                <w:szCs w:val="21"/>
                <w:highlight w:val="none"/>
                <w:lang w:val="en-US" w:eastAsia="zh-CN"/>
              </w:rPr>
              <w:t>报价</w:t>
            </w:r>
            <w:r>
              <w:rPr>
                <w:rFonts w:ascii="宋体" w:eastAsia="宋体" w:hAnsi="宋体" w:cs="Times New Roman" w:hint="eastAsia"/>
                <w:b/>
                <w:bCs w:val="0"/>
                <w:kern w:val="0"/>
                <w:szCs w:val="21"/>
                <w:highlight w:val="none"/>
              </w:rPr>
              <w:t>填写为</w:t>
            </w:r>
            <w:r>
              <w:rPr>
                <w:rFonts w:ascii="宋体" w:eastAsia="宋体" w:hAnsi="宋体" w:cs="Times New Roman" w:hint="eastAsia"/>
                <w:b/>
                <w:bCs w:val="0"/>
                <w:kern w:val="0"/>
                <w:szCs w:val="21"/>
                <w:highlight w:val="none"/>
                <w:lang w:val="en-US" w:eastAsia="zh-CN"/>
              </w:rPr>
              <w:t>工时单价报价</w:t>
            </w:r>
            <w:r>
              <w:rPr>
                <w:rFonts w:ascii="宋体" w:eastAsia="宋体" w:hAnsi="宋体" w:cs="Times New Roman" w:hint="eastAsia"/>
                <w:b/>
                <w:bCs w:val="0"/>
                <w:kern w:val="0"/>
                <w:szCs w:val="21"/>
                <w:highlight w:val="none"/>
              </w:rPr>
              <w:t>即可，</w:t>
            </w:r>
            <w:r>
              <w:rPr>
                <w:rFonts w:ascii="宋体" w:eastAsia="宋体" w:hAnsi="宋体" w:cs="Times New Roman" w:hint="eastAsia"/>
                <w:b/>
                <w:bCs w:val="0"/>
                <w:kern w:val="0"/>
                <w:szCs w:val="21"/>
                <w:highlight w:val="none"/>
                <w:lang w:val="en-US" w:eastAsia="zh-CN"/>
              </w:rPr>
              <w:t>需与</w:t>
            </w:r>
            <w:r>
              <w:rPr>
                <w:rFonts w:ascii="宋体" w:eastAsia="宋体" w:hAnsi="宋体" w:cs="Times New Roman" w:hint="eastAsia"/>
                <w:b/>
                <w:bCs w:val="0"/>
                <w:kern w:val="0"/>
                <w:szCs w:val="21"/>
                <w:highlight w:val="none"/>
              </w:rPr>
              <w:t>《分项报价表》填写一致，如有不一致的，以供应商在</w:t>
            </w:r>
            <w:r>
              <w:rPr>
                <w:rFonts w:ascii="宋体" w:eastAsia="宋体" w:hAnsi="宋体" w:cs="Times New Roman" w:hint="eastAsia"/>
                <w:b/>
                <w:bCs w:val="0"/>
                <w:kern w:val="0"/>
                <w:szCs w:val="21"/>
                <w:highlight w:val="none"/>
                <w:lang w:val="en-US" w:eastAsia="zh-CN"/>
              </w:rPr>
              <w:t>投标</w:t>
            </w:r>
            <w:r>
              <w:rPr>
                <w:rFonts w:ascii="宋体" w:eastAsia="宋体" w:hAnsi="宋体" w:cs="Times New Roman" w:hint="eastAsia"/>
                <w:b/>
                <w:bCs w:val="0"/>
                <w:kern w:val="0"/>
                <w:szCs w:val="21"/>
                <w:highlight w:val="none"/>
              </w:rPr>
              <w:t>文件中提交的《分项报价表》为准。</w:t>
            </w:r>
          </w:p>
        </w:tc>
      </w:tr>
      <w:tr>
        <w:tblPrEx>
          <w:tblW w:w="8926" w:type="dxa"/>
          <w:tblInd w:w="0" w:type="dxa"/>
          <w:tblCellMar>
            <w:top w:w="0" w:type="dxa"/>
            <w:left w:w="108" w:type="dxa"/>
            <w:bottom w:w="0" w:type="dxa"/>
            <w:right w:w="108" w:type="dxa"/>
          </w:tblCellMar>
        </w:tblPrEx>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rPr>
              <w:t>维修材料管理费率</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bCs w:val="0"/>
                <w:kern w:val="0"/>
                <w:szCs w:val="21"/>
                <w:highlight w:val="none"/>
              </w:rPr>
            </w:pPr>
            <w:r>
              <w:rPr>
                <w:rFonts w:ascii="宋体" w:hAnsi="宋体" w:hint="eastAsia"/>
                <w:b/>
                <w:bCs w:val="0"/>
                <w:kern w:val="0"/>
                <w:szCs w:val="21"/>
                <w:highlight w:val="none"/>
                <w:u w:val="single"/>
                <w:lang w:val="en-US" w:eastAsia="zh-CN"/>
              </w:rPr>
              <w:t xml:space="preserve">   </w:t>
            </w:r>
            <w:r>
              <w:rPr>
                <w:rFonts w:ascii="宋体" w:hAnsi="宋体" w:hint="eastAsia"/>
                <w:b/>
                <w:bCs w:val="0"/>
                <w:kern w:val="0"/>
                <w:szCs w:val="21"/>
                <w:highlight w:val="none"/>
              </w:rPr>
              <w:t>%</w:t>
            </w:r>
          </w:p>
        </w:tc>
        <w:tc>
          <w:tcPr>
            <w:tcW w:w="3114" w:type="dxa"/>
            <w:tcBorders>
              <w:top w:val="single" w:sz="4" w:space="0" w:color="auto"/>
              <w:left w:val="single" w:sz="4" w:space="0" w:color="auto"/>
              <w:bottom w:val="single" w:sz="4" w:space="0" w:color="auto"/>
              <w:right w:val="single" w:sz="4" w:space="0" w:color="auto"/>
            </w:tcBorders>
            <w:vAlign w:val="center"/>
          </w:tcPr>
          <w:p>
            <w:pPr>
              <w:rPr>
                <w:rFonts w:ascii="宋体" w:hAnsi="宋体"/>
                <w:b/>
                <w:bCs w:val="0"/>
                <w:kern w:val="0"/>
                <w:szCs w:val="21"/>
                <w:highlight w:val="none"/>
              </w:rPr>
            </w:pPr>
            <w:r>
              <w:rPr>
                <w:rFonts w:ascii="宋体" w:hAnsi="宋体" w:hint="eastAsia"/>
                <w:b/>
                <w:bCs w:val="0"/>
                <w:kern w:val="0"/>
                <w:szCs w:val="21"/>
                <w:highlight w:val="none"/>
              </w:rPr>
              <w:t>1.报价应当是唯一的，不接受有选择的报价或区间值；</w:t>
            </w:r>
          </w:p>
          <w:p>
            <w:pPr>
              <w:rPr>
                <w:rFonts w:ascii="宋体" w:hAnsi="宋体"/>
                <w:b/>
                <w:bCs w:val="0"/>
                <w:kern w:val="0"/>
                <w:szCs w:val="21"/>
                <w:highlight w:val="none"/>
              </w:rPr>
            </w:pPr>
            <w:r>
              <w:rPr>
                <w:rFonts w:ascii="宋体" w:hAnsi="宋体" w:hint="eastAsia"/>
                <w:b/>
                <w:bCs w:val="0"/>
                <w:kern w:val="0"/>
                <w:szCs w:val="21"/>
                <w:highlight w:val="none"/>
              </w:rPr>
              <w:t>2.0＜管理费率报价≤</w:t>
            </w:r>
            <w:r>
              <w:rPr>
                <w:rFonts w:ascii="宋体" w:hAnsi="宋体" w:hint="eastAsia"/>
                <w:b/>
                <w:bCs w:val="0"/>
                <w:kern w:val="0"/>
                <w:szCs w:val="21"/>
                <w:highlight w:val="none"/>
                <w:lang w:val="en-US" w:eastAsia="zh-CN"/>
              </w:rPr>
              <w:t>15</w:t>
            </w:r>
            <w:r>
              <w:rPr>
                <w:rFonts w:ascii="宋体" w:hAnsi="宋体" w:hint="eastAsia"/>
                <w:b/>
                <w:bCs w:val="0"/>
                <w:kern w:val="0"/>
                <w:szCs w:val="21"/>
                <w:highlight w:val="none"/>
              </w:rPr>
              <w:t>%；</w:t>
            </w:r>
          </w:p>
          <w:p>
            <w:pPr>
              <w:rPr>
                <w:rFonts w:ascii="宋体" w:hAnsi="宋体"/>
                <w:b/>
                <w:bCs w:val="0"/>
                <w:kern w:val="0"/>
                <w:szCs w:val="21"/>
                <w:highlight w:val="none"/>
              </w:rPr>
            </w:pPr>
          </w:p>
        </w:tc>
        <w:tc>
          <w:tcPr>
            <w:tcW w:w="2977" w:type="dxa"/>
            <w:vMerge/>
            <w:tcBorders>
              <w:top w:val="nil"/>
              <w:left w:val="single" w:sz="4" w:space="0" w:color="auto"/>
              <w:bottom w:val="single" w:sz="4" w:space="0" w:color="auto"/>
              <w:right w:val="single" w:sz="4" w:space="0" w:color="auto"/>
            </w:tcBorders>
            <w:vAlign w:val="center"/>
          </w:tcPr>
          <w:p>
            <w:pPr>
              <w:rPr>
                <w:rFonts w:ascii="宋体" w:hAnsi="宋体"/>
                <w:b/>
                <w:bCs w:val="0"/>
                <w:kern w:val="0"/>
                <w:szCs w:val="21"/>
                <w:highlight w:val="none"/>
              </w:rPr>
            </w:pPr>
          </w:p>
        </w:tc>
      </w:tr>
    </w:tbl>
    <w:p>
      <w:pPr>
        <w:adjustRightInd w:val="0"/>
        <w:snapToGrid w:val="0"/>
        <w:spacing w:line="240" w:lineRule="atLeast"/>
        <w:ind w:firstLine="420" w:firstLineChars="200"/>
        <w:rPr>
          <w:rFonts w:ascii="宋体" w:hAnsi="宋体" w:cs="宋体"/>
          <w:b/>
          <w:kern w:val="0"/>
          <w:szCs w:val="21"/>
        </w:rPr>
      </w:pPr>
    </w:p>
    <w:p>
      <w:pPr>
        <w:outlineLvl w:val="9"/>
        <w:rPr>
          <w:rFonts w:ascii="宋体" w:eastAsia="宋体" w:hAnsi="宋体" w:hint="eastAsia"/>
          <w:szCs w:val="24"/>
          <w:highlight w:val="none"/>
          <w:lang w:val="en-US" w:eastAsia="zh-CN"/>
        </w:rPr>
      </w:pPr>
      <w:r>
        <w:rPr>
          <w:rFonts w:hint="eastAsia"/>
          <w:szCs w:val="24"/>
          <w:highlight w:val="none"/>
          <w:lang w:val="en-US" w:eastAsia="zh-CN"/>
        </w:rPr>
        <w:t>2.</w:t>
      </w:r>
      <w:r>
        <w:rPr>
          <w:rFonts w:ascii="宋体" w:eastAsia="宋体" w:hAnsi="宋体" w:hint="eastAsia"/>
          <w:szCs w:val="24"/>
          <w:highlight w:val="none"/>
          <w:lang w:val="en-US" w:eastAsia="zh-CN"/>
        </w:rPr>
        <w:t>关于报价的填写</w:t>
      </w:r>
    </w:p>
    <w:p>
      <w:pPr>
        <w:keepNext/>
        <w:keepLines/>
        <w:widowControl w:val="0"/>
        <w:adjustRightInd w:val="0"/>
        <w:snapToGrid w:val="0"/>
        <w:spacing w:before="0" w:after="0" w:line="240" w:lineRule="auto"/>
        <w:ind w:left="0" w:firstLine="420" w:leftChars="0" w:firstLineChars="200"/>
        <w:jc w:val="both"/>
        <w:outlineLvl w:val="9"/>
        <w:rPr>
          <w:rFonts w:ascii="宋体" w:eastAsia="宋体" w:hAnsi="宋体" w:cs="宋体"/>
          <w:b w:val="0"/>
          <w:bCs/>
          <w:color w:val="000000"/>
          <w:kern w:val="2"/>
          <w:sz w:val="21"/>
          <w:szCs w:val="21"/>
          <w:lang w:val="en-US" w:eastAsia="zh-CN" w:bidi="ar-SA"/>
        </w:rPr>
      </w:pPr>
      <w:r>
        <w:rPr>
          <w:rFonts w:ascii="宋体" w:eastAsia="宋体" w:hAnsi="宋体" w:cs="宋体" w:hint="eastAsia"/>
          <w:b w:val="0"/>
          <w:bCs/>
          <w:color w:val="000000"/>
          <w:kern w:val="2"/>
          <w:sz w:val="21"/>
          <w:szCs w:val="21"/>
          <w:lang w:val="en-US" w:eastAsia="zh-CN" w:bidi="ar-SA"/>
        </w:rPr>
        <w:t>关于《投标文件制作软件》中“投标报价”的填写：</w:t>
      </w:r>
    </w:p>
    <w:p>
      <w:pPr>
        <w:ind w:firstLine="412" w:firstLineChars="196"/>
        <w:rPr>
          <w:rFonts w:ascii="宋体" w:eastAsia="宋体" w:hAnsi="宋体" w:cs="宋体"/>
          <w:bCs/>
          <w:color w:val="000000"/>
          <w:szCs w:val="21"/>
        </w:rPr>
      </w:pPr>
      <w:r>
        <w:rPr>
          <w:rFonts w:ascii="宋体" w:eastAsia="宋体" w:hAnsi="宋体" w:cs="宋体"/>
          <w:bCs/>
          <w:color w:val="000000"/>
          <w:szCs w:val="21"/>
        </w:rPr>
        <w:drawing>
          <wp:inline distT="0" distB="0" distL="114300" distR="114300">
            <wp:extent cx="5276850" cy="2724150"/>
            <wp:effectExtent l="0" t="0" r="0" b="0"/>
            <wp:docPr id="2"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应用程序&#10;&#10;描述已自动生成"/>
                    <pic:cNvPicPr>
                      <a:picLocks noChangeAspect="1"/>
                    </pic:cNvPicPr>
                  </pic:nvPicPr>
                  <pic:blipFill>
                    <a:blip xmlns:r="http://schemas.openxmlformats.org/officeDocument/2006/relationships" r:embed="rId8"/>
                    <a:stretch>
                      <a:fillRect/>
                    </a:stretch>
                  </pic:blipFill>
                  <pic:spPr>
                    <a:xfrm>
                      <a:off x="0" y="0"/>
                      <a:ext cx="5276850" cy="2724150"/>
                    </a:xfrm>
                    <a:prstGeom prst="rect">
                      <a:avLst/>
                    </a:prstGeom>
                    <a:noFill/>
                    <a:ln>
                      <a:noFill/>
                    </a:ln>
                  </pic:spPr>
                </pic:pic>
              </a:graphicData>
            </a:graphic>
          </wp:inline>
        </w:drawing>
      </w:r>
    </w:p>
    <w:p>
      <w:pPr>
        <w:spacing w:before="120" w:beforeLines="50" w:after="120" w:afterLines="50"/>
        <w:rPr>
          <w:color w:val="FF0000"/>
          <w:szCs w:val="20"/>
        </w:rPr>
      </w:pPr>
      <w:r>
        <w:rPr>
          <w:rFonts w:ascii="宋体" w:eastAsia="宋体" w:hAnsi="宋体" w:cs="宋体" w:hint="eastAsia"/>
          <w:bCs/>
          <w:color w:val="FF0000"/>
          <w:szCs w:val="21"/>
        </w:rPr>
        <w:t>上图中供应商填写的“投标报价”不作为报价参考。此处可以填写本项目</w:t>
      </w:r>
      <w:r>
        <w:rPr>
          <w:rFonts w:ascii="宋体" w:eastAsia="宋体" w:hAnsi="宋体" w:cs="宋体" w:hint="eastAsia"/>
          <w:b w:val="0"/>
          <w:bCs/>
          <w:color w:val="FF0000"/>
          <w:szCs w:val="21"/>
          <w:lang w:val="en-US" w:eastAsia="zh-CN"/>
        </w:rPr>
        <w:t>工时单价报价</w:t>
      </w:r>
      <w:r>
        <w:rPr>
          <w:rFonts w:ascii="宋体" w:eastAsia="宋体" w:hAnsi="宋体" w:cs="宋体" w:hint="eastAsia"/>
          <w:b w:val="0"/>
          <w:bCs/>
          <w:color w:val="FF0000"/>
          <w:szCs w:val="21"/>
        </w:rPr>
        <w:t>即可</w:t>
      </w:r>
      <w:r>
        <w:rPr>
          <w:rFonts w:ascii="宋体" w:eastAsia="宋体" w:hAnsi="宋体" w:cs="宋体" w:hint="eastAsia"/>
          <w:bCs/>
          <w:color w:val="FF0000"/>
          <w:szCs w:val="21"/>
        </w:rPr>
        <w:t>。</w:t>
      </w:r>
      <w:r>
        <w:rPr>
          <w:rFonts w:ascii="宋体" w:eastAsia="宋体" w:hAnsi="宋体" w:cs="宋体" w:hint="eastAsia"/>
          <w:bCs/>
          <w:color w:val="FF0000"/>
          <w:szCs w:val="21"/>
          <w:lang w:val="en-US" w:eastAsia="zh-CN"/>
        </w:rPr>
        <w:t>投标</w:t>
      </w:r>
      <w:r>
        <w:rPr>
          <w:rFonts w:ascii="宋体" w:eastAsia="宋体" w:hAnsi="宋体" w:cs="宋体" w:hint="eastAsia"/>
          <w:bCs/>
          <w:color w:val="FF0000"/>
          <w:szCs w:val="21"/>
        </w:rPr>
        <w:t>报价以供应商在</w:t>
      </w:r>
      <w:r>
        <w:rPr>
          <w:rFonts w:ascii="宋体" w:eastAsia="宋体" w:hAnsi="宋体" w:cs="宋体" w:hint="eastAsia"/>
          <w:bCs/>
          <w:color w:val="FF0000"/>
          <w:szCs w:val="21"/>
          <w:lang w:val="en-US" w:eastAsia="zh-CN"/>
        </w:rPr>
        <w:t>投标</w:t>
      </w:r>
      <w:r>
        <w:rPr>
          <w:rFonts w:ascii="宋体" w:eastAsia="宋体" w:hAnsi="宋体" w:cs="宋体" w:hint="eastAsia"/>
          <w:bCs/>
          <w:color w:val="FF0000"/>
          <w:szCs w:val="21"/>
        </w:rPr>
        <w:t>文件中提交的《分项报价表》为准。</w:t>
      </w:r>
    </w:p>
    <w:p>
      <w:pPr>
        <w:pStyle w:val="Heading2"/>
        <w:spacing w:before="120" w:beforeLines="50" w:after="120" w:afterLines="50"/>
        <w:rPr>
          <w:rFonts w:hint="eastAsia"/>
          <w:szCs w:val="24"/>
        </w:rPr>
      </w:pPr>
      <w:r>
        <w:rPr>
          <w:rFonts w:hint="eastAsia"/>
          <w:szCs w:val="24"/>
        </w:rPr>
        <w:t>八、其他重要条款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2、除政府采购合同继续履行将损害国家利益和社会公共利益外，双方当事人不得擅自变更、中止或者终止合同。</w:t>
      </w:r>
    </w:p>
    <w:p>
      <w:pPr>
        <w:ind w:firstLine="420" w:firstLineChars="200"/>
        <w:rPr>
          <w:bCs/>
          <w:szCs w:val="21"/>
        </w:rPr>
      </w:pPr>
      <w:r>
        <w:rPr>
          <w:rFonts w:hint="eastAsia"/>
          <w:bCs/>
          <w:szCs w:val="21"/>
        </w:rPr>
        <w:t>3、“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pStyle w:val="NormalIndent"/>
        <w:spacing w:before="60" w:beforeLines="25" w:after="60" w:afterLines="25"/>
        <w:ind w:firstLine="393" w:firstLineChars="187"/>
        <w:rPr>
          <w:rFonts w:ascii="宋体" w:hAnsi="宋体" w:hint="eastAsia"/>
          <w:szCs w:val="21"/>
        </w:rPr>
      </w:pPr>
    </w:p>
    <w:p>
      <w:r>
        <w:rPr>
          <w:rFonts w:hint="eastAsia"/>
        </w:rPr>
        <w:br w:type="page"/>
      </w:r>
    </w:p>
    <w:p>
      <w:pPr>
        <w:pStyle w:val="Heading2"/>
        <w:rPr>
          <w:rFonts w:hint="eastAsia"/>
          <w:kern w:val="2"/>
        </w:rPr>
      </w:pPr>
      <w:r>
        <w:rPr>
          <w:rFonts w:hint="eastAsia"/>
          <w:kern w:val="2"/>
        </w:rPr>
        <w:t>第四章 投标文件组成要求及格式</w:t>
      </w:r>
    </w:p>
    <w:p>
      <w:pPr>
        <w:rPr>
          <w:rStyle w:val="3Char"/>
          <w:sz w:val="24"/>
        </w:rPr>
      </w:pPr>
      <w:r>
        <w:rPr>
          <w:rStyle w:val="3Char"/>
          <w:rFonts w:hint="eastAsia"/>
          <w:sz w:val="24"/>
        </w:rPr>
        <w:t>特别提醒：</w:t>
      </w:r>
    </w:p>
    <w:p>
      <w:pPr>
        <w:ind w:firstLine="420" w:firstLineChars="20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ascii="仿宋_GB2312" w:eastAsia="仿宋_GB2312" w:hint="eastAsia"/>
          <w:sz w:val="24"/>
        </w:rPr>
        <w:t xml:space="preserve">    投标文件正文（信息公开部分）必须编制于“正文（公开部分）”，投标文件附件（非信息公开部分）必须编制于“附件（不公开部分）”，如下图所示。</w:t>
      </w:r>
    </w:p>
    <w:p>
      <w:pPr>
        <w:widowControl/>
        <w:jc w:val="left"/>
        <w:rPr>
          <w:rFonts w:ascii="宋体" w:hAnsi="宋体" w:cs="宋体" w:hint="eastAsia"/>
          <w:kern w:val="0"/>
          <w:sz w:val="24"/>
        </w:rPr>
      </w:pPr>
      <w:r>
        <w:drawing>
          <wp:inline distT="0" distB="0" distL="114300" distR="114300">
            <wp:extent cx="5203190" cy="4043045"/>
            <wp:effectExtent l="0" t="0" r="8890" b="1079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xmlns:r="http://schemas.openxmlformats.org/officeDocument/2006/relationships" r:embed="rId9"/>
                    <a:stretch>
                      <a:fillRect/>
                    </a:stretch>
                  </pic:blipFill>
                  <pic:spPr>
                    <a:xfrm>
                      <a:off x="0" y="0"/>
                      <a:ext cx="5203190" cy="4043045"/>
                    </a:xfrm>
                    <a:prstGeom prst="rect">
                      <a:avLst/>
                    </a:prstGeom>
                  </pic:spPr>
                </pic:pic>
              </a:graphicData>
            </a:graphic>
          </wp:inline>
        </w:drawing>
      </w:r>
    </w:p>
    <w:p>
      <w:pPr>
        <w:ind w:firstLine="420" w:firstLineChars="200"/>
        <w:rPr>
          <w:rFonts w:ascii="仿宋_GB2312" w:eastAsia="仿宋_GB2312"/>
          <w:sz w:val="24"/>
        </w:rPr>
      </w:pPr>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b/>
          <w:bCs/>
          <w:color w:val="FF0000"/>
          <w:sz w:val="24"/>
        </w:rPr>
        <w:t>如投标人将必须放于投标文件正文（信息公开部分）的内容放入投标文件附件（非信息公开部分），将作投标无效处理。</w:t>
      </w:r>
    </w:p>
    <w:p>
      <w:pPr>
        <w:rPr>
          <w:rFonts w:ascii="仿宋_GB2312" w:eastAsia="仿宋_GB2312"/>
          <w:sz w:val="24"/>
        </w:rPr>
      </w:pPr>
      <w:r>
        <w:rPr>
          <w:rFonts w:ascii="仿宋_GB2312" w:eastAsia="仿宋_GB2312"/>
          <w:sz w:val="24"/>
        </w:rPr>
        <w:br w:type="page"/>
      </w:r>
    </w:p>
    <w:p>
      <w:pPr>
        <w:rPr>
          <w:rFonts w:ascii="宋体" w:hAnsi="宋体" w:hint="eastAsia"/>
          <w:sz w:val="24"/>
        </w:rPr>
      </w:pPr>
      <w:r>
        <w:rPr>
          <w:rFonts w:ascii="宋体" w:hAnsi="宋体" w:hint="eastAsia"/>
          <w:sz w:val="24"/>
        </w:rPr>
        <w:t>投标文件组成：</w:t>
      </w:r>
    </w:p>
    <w:p>
      <w:pPr>
        <w:ind w:firstLine="1050" w:firstLineChars="500"/>
        <w:outlineLvl w:val="0"/>
        <w:rPr>
          <w:rFonts w:ascii="宋体" w:hAnsi="宋体" w:hint="eastAsia"/>
          <w:sz w:val="24"/>
        </w:rPr>
      </w:pPr>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pPr>
        <w:ind w:left="718" w:firstLine="1418" w:leftChars="342" w:firstLineChars="675"/>
        <w:rPr>
          <w:szCs w:val="21"/>
        </w:rPr>
      </w:pPr>
      <w:r>
        <w:rPr>
          <w:rFonts w:hint="eastAsia"/>
          <w:szCs w:val="21"/>
        </w:rPr>
        <w:t>（1）</w:t>
      </w:r>
      <w:bookmarkStart w:id="35" w:name="_Hlk72070784"/>
      <w:r>
        <w:rPr>
          <w:rFonts w:hint="eastAsia"/>
          <w:szCs w:val="21"/>
        </w:rPr>
        <w:t>投标函</w:t>
      </w:r>
      <w:bookmarkEnd w:id="35"/>
    </w:p>
    <w:p>
      <w:pPr>
        <w:ind w:left="718" w:firstLine="1418" w:leftChars="342" w:firstLineChars="675"/>
        <w:rPr>
          <w:szCs w:val="21"/>
        </w:rPr>
      </w:pPr>
      <w:r>
        <w:rPr>
          <w:rFonts w:hint="eastAsia"/>
          <w:szCs w:val="21"/>
        </w:rPr>
        <w:t>（2）</w:t>
      </w:r>
      <w:bookmarkStart w:id="36" w:name="_Hlk72062521"/>
      <w:r>
        <w:rPr>
          <w:rFonts w:hint="eastAsia"/>
          <w:szCs w:val="21"/>
        </w:rPr>
        <w:t>政府采购投标及履约承诺函</w:t>
      </w:r>
      <w:bookmarkEnd w:id="36"/>
    </w:p>
    <w:p>
      <w:pPr>
        <w:ind w:left="718" w:firstLine="1418" w:leftChars="342" w:firstLineChars="675"/>
        <w:rPr>
          <w:szCs w:val="21"/>
        </w:rPr>
      </w:pPr>
      <w:r>
        <w:rPr>
          <w:rFonts w:hint="eastAsia"/>
          <w:szCs w:val="21"/>
        </w:rPr>
        <w:t>（</w:t>
      </w:r>
      <w:r>
        <w:rPr>
          <w:szCs w:val="21"/>
        </w:rPr>
        <w:t>3</w:t>
      </w:r>
      <w:r>
        <w:rPr>
          <w:rFonts w:hint="eastAsia"/>
          <w:szCs w:val="21"/>
        </w:rPr>
        <w:t>）投标人情况及资格证明文件</w:t>
      </w:r>
    </w:p>
    <w:p>
      <w:pPr>
        <w:ind w:left="718" w:firstLine="1418" w:leftChars="342" w:firstLineChars="675"/>
        <w:rPr>
          <w:rFonts w:ascii="宋体" w:hAnsi="宋体" w:hint="eastAsia"/>
          <w:szCs w:val="21"/>
        </w:rPr>
      </w:pPr>
      <w:bookmarkStart w:id="37" w:name="_Hlk72257201"/>
      <w:r>
        <w:rPr>
          <w:rFonts w:hint="eastAsia"/>
          <w:szCs w:val="21"/>
        </w:rPr>
        <w:t>（</w:t>
      </w:r>
      <w:r>
        <w:rPr>
          <w:szCs w:val="21"/>
        </w:rPr>
        <w:t>4</w:t>
      </w:r>
      <w:r>
        <w:rPr>
          <w:rFonts w:hint="eastAsia"/>
          <w:szCs w:val="21"/>
        </w:rPr>
        <w:t>）项目详细报价</w:t>
      </w:r>
      <w:bookmarkEnd w:id="37"/>
    </w:p>
    <w:p>
      <w:pPr>
        <w:ind w:left="718" w:firstLine="1418" w:leftChars="342" w:firstLineChars="675"/>
        <w:rPr>
          <w:szCs w:val="21"/>
        </w:rPr>
      </w:pPr>
      <w:r>
        <w:rPr>
          <w:rFonts w:hint="eastAsia"/>
          <w:szCs w:val="21"/>
        </w:rPr>
        <w:t>（5）</w:t>
      </w:r>
      <w:r>
        <w:rPr>
          <w:rFonts w:asciiTheme="minorEastAsia" w:eastAsiaTheme="minorEastAsia" w:hAnsiTheme="minorEastAsia" w:hint="eastAsia"/>
          <w:szCs w:val="21"/>
        </w:rPr>
        <w:t>供应商同类项目业绩情况</w:t>
      </w:r>
      <w:r>
        <w:rPr>
          <w:rFonts w:hint="eastAsia"/>
          <w:szCs w:val="21"/>
        </w:rPr>
        <w:t>（格式自定）</w:t>
      </w:r>
    </w:p>
    <w:p>
      <w:pPr>
        <w:ind w:left="718" w:firstLine="1418" w:leftChars="342" w:firstLineChars="675"/>
        <w:rPr>
          <w:szCs w:val="21"/>
        </w:rPr>
      </w:pPr>
      <w:r>
        <w:rPr>
          <w:rFonts w:hint="eastAsia"/>
          <w:szCs w:val="21"/>
        </w:rPr>
        <w:t>（</w:t>
      </w:r>
      <w:r>
        <w:rPr>
          <w:rFonts w:hint="eastAsia"/>
          <w:szCs w:val="21"/>
          <w:lang w:val="en-US" w:eastAsia="zh-CN"/>
        </w:rPr>
        <w:t>6</w:t>
      </w:r>
      <w:r>
        <w:rPr>
          <w:rFonts w:hint="eastAsia"/>
          <w:szCs w:val="21"/>
        </w:rPr>
        <w:t>）服务网点</w:t>
      </w:r>
    </w:p>
    <w:p>
      <w:pPr>
        <w:pStyle w:val="BodyText"/>
      </w:pPr>
    </w:p>
    <w:p>
      <w:pPr>
        <w:ind w:firstLine="1050" w:firstLineChars="500"/>
        <w:outlineLvl w:val="0"/>
        <w:rPr>
          <w:rFonts w:ascii="宋体" w:hAnsi="宋体" w:hint="eastAsia"/>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pPr>
        <w:ind w:firstLine="2100" w:firstLineChars="1000"/>
        <w:rPr>
          <w:szCs w:val="21"/>
        </w:rPr>
      </w:pPr>
      <w:r>
        <w:rPr>
          <w:rFonts w:hint="eastAsia"/>
          <w:szCs w:val="21"/>
        </w:rPr>
        <w:t>（1）供应商基本情况表</w:t>
      </w:r>
    </w:p>
    <w:p>
      <w:pPr>
        <w:ind w:firstLine="2100" w:firstLineChars="1000"/>
        <w:rPr>
          <w:szCs w:val="21"/>
        </w:rPr>
      </w:pPr>
      <w:r>
        <w:rPr>
          <w:rFonts w:hint="eastAsia"/>
          <w:szCs w:val="21"/>
        </w:rPr>
        <w:t>（2）法定代表人（负责人）证明书</w:t>
      </w:r>
    </w:p>
    <w:p>
      <w:pPr>
        <w:ind w:left="718" w:firstLine="1418" w:leftChars="342" w:firstLineChars="675"/>
        <w:rPr>
          <w:szCs w:val="21"/>
        </w:rPr>
      </w:pPr>
      <w:r>
        <w:rPr>
          <w:rFonts w:hint="eastAsia"/>
          <w:szCs w:val="21"/>
        </w:rPr>
        <w:t>（3）投标文件签署授权委托书</w:t>
      </w:r>
    </w:p>
    <w:p>
      <w:pPr>
        <w:ind w:left="718" w:firstLine="1418" w:leftChars="342" w:firstLineChars="675"/>
        <w:rPr>
          <w:szCs w:val="21"/>
        </w:rPr>
      </w:pPr>
      <w:r>
        <w:rPr>
          <w:rFonts w:hint="eastAsia"/>
          <w:szCs w:val="21"/>
        </w:rPr>
        <w:t>（4）</w:t>
      </w:r>
      <w:r>
        <w:rPr>
          <w:szCs w:val="21"/>
        </w:rPr>
        <w:t>实质性条款响应情况表</w:t>
      </w:r>
    </w:p>
    <w:p>
      <w:pPr>
        <w:ind w:left="718" w:firstLine="1418" w:leftChars="342" w:firstLineChars="675"/>
        <w:rPr>
          <w:szCs w:val="21"/>
        </w:rPr>
      </w:pPr>
      <w:r>
        <w:rPr>
          <w:rFonts w:hint="eastAsia"/>
          <w:szCs w:val="21"/>
        </w:rPr>
        <w:t>（5）</w:t>
      </w:r>
      <w:r>
        <w:rPr>
          <w:rFonts w:asciiTheme="minorEastAsia" w:eastAsiaTheme="minorEastAsia" w:hAnsiTheme="minorEastAsia"/>
          <w:szCs w:val="21"/>
        </w:rPr>
        <w:t>车辆维修服务方案</w:t>
      </w:r>
      <w:r>
        <w:rPr>
          <w:rFonts w:hint="eastAsia"/>
          <w:szCs w:val="21"/>
        </w:rPr>
        <w:t>（格式自定）</w:t>
      </w:r>
    </w:p>
    <w:p>
      <w:pPr>
        <w:ind w:left="718" w:firstLine="1418" w:leftChars="342" w:firstLineChars="675"/>
        <w:rPr>
          <w:szCs w:val="21"/>
        </w:rPr>
      </w:pPr>
      <w:r>
        <w:rPr>
          <w:rFonts w:hint="eastAsia"/>
          <w:szCs w:val="21"/>
        </w:rPr>
        <w:t>（6）</w:t>
      </w:r>
      <w:r>
        <w:rPr>
          <w:rFonts w:asciiTheme="minorEastAsia" w:eastAsiaTheme="minorEastAsia" w:hAnsiTheme="minorEastAsia"/>
          <w:szCs w:val="21"/>
        </w:rPr>
        <w:t>应急服务方案</w:t>
      </w:r>
      <w:r>
        <w:rPr>
          <w:rFonts w:hint="eastAsia"/>
          <w:szCs w:val="21"/>
        </w:rPr>
        <w:t>（格式自定）</w:t>
      </w:r>
    </w:p>
    <w:p>
      <w:pPr>
        <w:ind w:left="718" w:firstLine="1418" w:leftChars="342" w:firstLineChars="675"/>
        <w:rPr>
          <w:szCs w:val="21"/>
        </w:rPr>
      </w:pPr>
      <w:r>
        <w:rPr>
          <w:rFonts w:hint="eastAsia"/>
          <w:szCs w:val="21"/>
        </w:rPr>
        <w:t>（7）</w:t>
      </w:r>
      <w:r>
        <w:rPr>
          <w:rFonts w:asciiTheme="minorEastAsia" w:eastAsiaTheme="minorEastAsia" w:hAnsiTheme="minorEastAsia"/>
          <w:szCs w:val="21"/>
        </w:rPr>
        <w:t>售后服务方案</w:t>
      </w:r>
      <w:r>
        <w:rPr>
          <w:rFonts w:hint="eastAsia"/>
          <w:szCs w:val="21"/>
        </w:rPr>
        <w:t>（格式自定）</w:t>
      </w:r>
    </w:p>
    <w:p>
      <w:pPr>
        <w:ind w:left="718" w:firstLine="1418" w:leftChars="342" w:firstLineChars="675"/>
        <w:rPr>
          <w:szCs w:val="21"/>
        </w:rPr>
      </w:pPr>
      <w:r>
        <w:rPr>
          <w:rFonts w:hint="eastAsia"/>
          <w:szCs w:val="21"/>
        </w:rPr>
        <w:t>（8）</w:t>
      </w:r>
      <w:r>
        <w:rPr>
          <w:rFonts w:asciiTheme="minorEastAsia" w:eastAsiaTheme="minorEastAsia" w:hAnsiTheme="minorEastAsia"/>
          <w:szCs w:val="21"/>
        </w:rPr>
        <w:t>违约</w:t>
      </w:r>
      <w:r>
        <w:rPr>
          <w:rFonts w:asciiTheme="minorEastAsia" w:eastAsiaTheme="minorEastAsia" w:hAnsiTheme="minorEastAsia" w:hint="eastAsia"/>
          <w:szCs w:val="21"/>
          <w:lang w:eastAsia="zh-CN"/>
        </w:rPr>
        <w:t>承诺</w:t>
      </w:r>
      <w:r>
        <w:rPr>
          <w:rFonts w:hint="eastAsia"/>
          <w:szCs w:val="21"/>
        </w:rPr>
        <w:t>（格式自定）</w:t>
      </w:r>
    </w:p>
    <w:p>
      <w:pPr>
        <w:ind w:left="718" w:firstLine="1418" w:leftChars="342" w:firstLineChars="675"/>
        <w:rPr>
          <w:szCs w:val="21"/>
        </w:rPr>
      </w:pPr>
      <w:r>
        <w:rPr>
          <w:rFonts w:hint="eastAsia"/>
          <w:szCs w:val="21"/>
        </w:rPr>
        <w:t>（9）</w:t>
      </w:r>
      <w:r>
        <w:rPr>
          <w:rFonts w:asciiTheme="minorEastAsia" w:eastAsiaTheme="minorEastAsia" w:hAnsiTheme="minorEastAsia"/>
          <w:szCs w:val="21"/>
        </w:rPr>
        <w:t>项目完成（服务期满）后的服务</w:t>
      </w:r>
      <w:r>
        <w:rPr>
          <w:rFonts w:asciiTheme="minorEastAsia" w:eastAsiaTheme="minorEastAsia" w:hAnsiTheme="minorEastAsia" w:hint="eastAsia"/>
          <w:szCs w:val="21"/>
        </w:rPr>
        <w:t>方案</w:t>
      </w:r>
      <w:r>
        <w:rPr>
          <w:rFonts w:hint="eastAsia"/>
          <w:szCs w:val="21"/>
        </w:rPr>
        <w:t>（格式自定）</w:t>
      </w:r>
    </w:p>
    <w:p>
      <w:pPr>
        <w:ind w:left="718" w:firstLine="1418" w:leftChars="342" w:firstLineChars="675"/>
        <w:rPr>
          <w:szCs w:val="21"/>
        </w:rPr>
      </w:pPr>
      <w:r>
        <w:rPr>
          <w:rFonts w:hint="eastAsia"/>
          <w:szCs w:val="21"/>
        </w:rPr>
        <w:t>（10）</w:t>
      </w:r>
      <w:r>
        <w:rPr>
          <w:rFonts w:asciiTheme="minorEastAsia" w:eastAsiaTheme="minorEastAsia" w:hAnsiTheme="minorEastAsia"/>
          <w:szCs w:val="21"/>
        </w:rPr>
        <w:t>维修场所情况</w:t>
      </w:r>
      <w:r>
        <w:rPr>
          <w:rFonts w:hint="eastAsia"/>
          <w:szCs w:val="21"/>
        </w:rPr>
        <w:t>（格式自定）</w:t>
      </w:r>
    </w:p>
    <w:p>
      <w:pPr>
        <w:ind w:left="2167" w:hanging="52" w:leftChars="1007" w:hangingChars="25"/>
        <w:rPr>
          <w:szCs w:val="21"/>
        </w:rPr>
      </w:pPr>
      <w:r>
        <w:rPr>
          <w:rFonts w:hint="eastAsia"/>
          <w:szCs w:val="21"/>
        </w:rPr>
        <w:t>（11）</w:t>
      </w:r>
      <w:r>
        <w:rPr>
          <w:rFonts w:asciiTheme="minorEastAsia" w:eastAsiaTheme="minorEastAsia" w:hAnsiTheme="minorEastAsia"/>
          <w:szCs w:val="21"/>
        </w:rPr>
        <w:t>响应时间</w:t>
      </w:r>
      <w:r>
        <w:rPr>
          <w:rFonts w:hint="eastAsia"/>
          <w:szCs w:val="21"/>
        </w:rPr>
        <w:t>（格式自定）</w:t>
      </w:r>
    </w:p>
    <w:p>
      <w:pPr>
        <w:ind w:left="2167" w:hanging="52" w:leftChars="1007" w:hangingChars="25"/>
        <w:rPr>
          <w:szCs w:val="21"/>
        </w:rPr>
      </w:pPr>
      <w:r>
        <w:rPr>
          <w:rFonts w:hint="eastAsia"/>
          <w:szCs w:val="21"/>
        </w:rPr>
        <w:t>（12）</w:t>
      </w:r>
      <w:r>
        <w:rPr>
          <w:rFonts w:asciiTheme="minorEastAsia" w:eastAsiaTheme="minorEastAsia" w:hAnsiTheme="minorEastAsia" w:hint="eastAsia"/>
          <w:szCs w:val="21"/>
        </w:rPr>
        <w:t>拟安排的项目主要团队成员（主要技术人员）情况</w:t>
      </w:r>
      <w:r>
        <w:rPr>
          <w:rFonts w:hint="eastAsia"/>
          <w:szCs w:val="21"/>
        </w:rPr>
        <w:t>（格式自定）</w:t>
      </w:r>
    </w:p>
    <w:p>
      <w:pPr>
        <w:pStyle w:val="BodyText"/>
        <w:ind w:firstLine="2100" w:firstLineChars="1000"/>
      </w:pPr>
      <w:r>
        <w:rPr>
          <w:rFonts w:hint="eastAsia"/>
          <w:b w:val="0"/>
          <w:bCs w:val="0"/>
          <w:sz w:val="21"/>
          <w:szCs w:val="21"/>
        </w:rPr>
        <w:t>（1</w:t>
      </w:r>
      <w:r>
        <w:rPr>
          <w:rFonts w:hint="eastAsia"/>
          <w:b w:val="0"/>
          <w:bCs w:val="0"/>
          <w:sz w:val="21"/>
          <w:szCs w:val="21"/>
          <w:lang w:val="en-US" w:eastAsia="zh-CN"/>
        </w:rPr>
        <w:t>3</w:t>
      </w:r>
      <w:r>
        <w:rPr>
          <w:rFonts w:hint="eastAsia"/>
          <w:b w:val="0"/>
          <w:bCs w:val="0"/>
          <w:sz w:val="21"/>
          <w:szCs w:val="21"/>
        </w:rPr>
        <w:t>）投标人认为需要加以说明的其他内容（格式自定）</w:t>
      </w:r>
    </w:p>
    <w:p>
      <w:pPr>
        <w:rPr>
          <w:rFonts w:ascii="仿宋_GB2312" w:eastAsia="仿宋_GB2312"/>
          <w:sz w:val="24"/>
        </w:rPr>
      </w:pPr>
    </w:p>
    <w:p>
      <w:pPr>
        <w:ind w:firstLine="424" w:firstLineChars="202"/>
        <w:rPr>
          <w:rFonts w:ascii="宋体" w:hAnsi="宋体" w:hint="eastAsia"/>
          <w:b/>
          <w:szCs w:val="21"/>
        </w:rPr>
      </w:pPr>
      <w:r>
        <w:rPr>
          <w:rFonts w:ascii="宋体" w:hAnsi="宋体" w:hint="eastAsia"/>
          <w:b/>
          <w:szCs w:val="21"/>
        </w:rPr>
        <w:t>备注：</w:t>
      </w:r>
    </w:p>
    <w:p>
      <w:pPr>
        <w:ind w:firstLine="424" w:firstLineChars="202"/>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1.本项目为网上电子投标项目，投标文件不需法人或授权委托人另行签字，无需加盖单位公章，招标文件另有规定的除外。</w:t>
      </w:r>
    </w:p>
    <w:p>
      <w:pPr>
        <w:ind w:firstLine="424" w:firstLineChars="202"/>
        <w:rPr>
          <w:rFonts w:ascii="宋体" w:hAnsi="宋体" w:hint="eastAsia"/>
          <w:b/>
          <w:szCs w:val="21"/>
        </w:rPr>
      </w:pPr>
      <w:r>
        <w:rPr>
          <w:rFonts w:ascii="宋体" w:hAnsi="宋体" w:hint="eastAsia"/>
          <w:b/>
          <w:szCs w:val="21"/>
        </w:rPr>
        <w:t>2.关于填写“开标一览表”的说明：“开标一览表”中除“投标总价”外，其他信息不作评审依据。</w:t>
      </w:r>
    </w:p>
    <w:p>
      <w:pPr>
        <w:jc w:val="left"/>
        <w:rPr>
          <w:rFonts w:ascii="宋体" w:hAnsi="宋体" w:hint="eastAsia"/>
          <w:b/>
          <w:color w:val="FF0000"/>
          <w:sz w:val="36"/>
          <w:szCs w:val="36"/>
        </w:rPr>
      </w:pPr>
      <w:r>
        <w:rPr>
          <w:rFonts w:ascii="宋体" w:hAnsi="宋体" w:hint="eastAsia"/>
          <w:b/>
          <w:color w:val="FF0000"/>
          <w:sz w:val="36"/>
          <w:szCs w:val="36"/>
        </w:rPr>
        <w:br w:type="page"/>
      </w:r>
    </w:p>
    <w:p>
      <w:pPr>
        <w:outlineLvl w:val="1"/>
        <w:rPr>
          <w:rFonts w:ascii="宋体" w:hAnsi="宋体" w:hint="eastAsia"/>
          <w:b/>
          <w:color w:val="FF0000"/>
          <w:sz w:val="28"/>
          <w:szCs w:val="28"/>
        </w:rPr>
      </w:pPr>
      <w:r>
        <w:rPr>
          <w:rFonts w:ascii="宋体" w:hAnsi="宋体" w:hint="eastAsia"/>
          <w:b/>
          <w:color w:val="FF0000"/>
          <w:sz w:val="28"/>
          <w:szCs w:val="28"/>
        </w:rPr>
        <w:t>投标文件正文（信息公开部分）</w:t>
      </w:r>
    </w:p>
    <w:p>
      <w:pPr>
        <w:pStyle w:val="Heading3"/>
        <w:jc w:val="center"/>
        <w:rPr>
          <w:rFonts w:ascii="黑体" w:eastAsia="黑体" w:hint="eastAsia"/>
          <w:b w:val="0"/>
          <w:kern w:val="0"/>
          <w:sz w:val="24"/>
        </w:rPr>
      </w:pPr>
      <w:r>
        <w:rPr>
          <w:rFonts w:ascii="黑体" w:eastAsia="黑体" w:hint="eastAsia"/>
          <w:b w:val="0"/>
          <w:kern w:val="0"/>
          <w:sz w:val="24"/>
        </w:rPr>
        <w:t>一、投标函</w:t>
      </w:r>
    </w:p>
    <w:p>
      <w:pPr>
        <w:spacing w:line="360" w:lineRule="auto"/>
        <w:rPr>
          <w:rFonts w:ascii="宋体" w:hAnsi="宋体" w:hint="eastAsia"/>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FF0000"/>
          <w:szCs w:val="21"/>
          <w:u w:val="single"/>
        </w:rPr>
        <w:t>深圳公共资源交易中心</w:t>
      </w:r>
      <w:r>
        <w:rPr>
          <w:rFonts w:ascii="宋体" w:hAnsi="宋体" w:hint="eastAsia"/>
          <w:szCs w:val="21"/>
          <w:u w:val="single"/>
        </w:rPr>
        <w:t xml:space="preserve">  </w:t>
      </w:r>
    </w:p>
    <w:p>
      <w:pPr>
        <w:ind w:firstLine="420" w:firstLineChars="200"/>
        <w:rPr>
          <w:rFonts w:ascii="宋体" w:hAnsi="宋体" w:hint="eastAsia"/>
          <w:szCs w:val="21"/>
        </w:rPr>
      </w:pPr>
      <w:bookmarkStart w:id="38"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rPr>
        <w:t>愿意按照招标文件要求承包上述项目并修补其任何缺陷。</w:t>
      </w:r>
      <w:bookmarkEnd w:id="39"/>
    </w:p>
    <w:p>
      <w:pPr>
        <w:ind w:firstLine="420" w:firstLineChars="20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投标书编制软件中《开标一览表》中填写的投标总价。</w:t>
      </w:r>
    </w:p>
    <w:p>
      <w:pPr>
        <w:ind w:firstLine="420" w:firstLineChars="200"/>
        <w:rPr>
          <w:rFonts w:ascii="宋体" w:hAnsi="宋体" w:hint="eastAsia"/>
          <w:szCs w:val="21"/>
        </w:rPr>
      </w:pPr>
      <w:r>
        <w:rPr>
          <w:rFonts w:ascii="宋体" w:hAnsi="宋体" w:hint="eastAsia"/>
          <w:szCs w:val="21"/>
        </w:rPr>
        <w:t>3、如果我单位中标，我单位将按照招标文件的要求足额提交履约担保。</w:t>
      </w:r>
    </w:p>
    <w:p>
      <w:pPr>
        <w:ind w:firstLine="420" w:firstLineChars="20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hint="eastAsia"/>
          <w:szCs w:val="21"/>
        </w:rPr>
      </w:pPr>
      <w:r>
        <w:rPr>
          <w:rFonts w:ascii="宋体" w:hAnsi="宋体" w:hint="eastAsia"/>
          <w:szCs w:val="21"/>
        </w:rPr>
        <w:t>5、除非另外达成协议并生效，贵单位的中标通知书和本投标文件将构成合同的重要内容。</w:t>
      </w:r>
    </w:p>
    <w:p>
      <w:pPr>
        <w:ind w:left="420" w:leftChars="200"/>
        <w:rPr>
          <w:rFonts w:ascii="宋体" w:hAnsi="宋体" w:hint="eastAsia"/>
          <w:szCs w:val="21"/>
        </w:rPr>
      </w:pPr>
      <w:r>
        <w:rPr>
          <w:rFonts w:ascii="宋体" w:hAnsi="宋体" w:hint="eastAsia"/>
          <w:szCs w:val="21"/>
        </w:rPr>
        <w:t>6、我单位理解贵单位将不受必须接受所收到的最低报价或其它任何投标文件的约束。</w:t>
      </w:r>
      <w:bookmarkEnd w:id="38"/>
    </w:p>
    <w:p>
      <w:pPr>
        <w:ind w:left="420" w:leftChars="200"/>
        <w:rPr>
          <w:rFonts w:ascii="宋体" w:hAnsi="宋体" w:hint="eastAsia"/>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firstLine="210" w:leftChars="20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开户银行账号：</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rPr>
        <w:t xml:space="preserve">；     </w:t>
      </w:r>
    </w:p>
    <w:p>
      <w:pPr>
        <w:ind w:left="420" w:firstLine="210" w:leftChars="200" w:firstLineChars="100"/>
        <w:rPr>
          <w:szCs w:val="21"/>
        </w:rPr>
      </w:pPr>
    </w:p>
    <w:p>
      <w:pPr>
        <w:ind w:left="420" w:firstLine="210" w:leftChars="200" w:firstLineChars="10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pPr>
        <w:ind w:left="420" w:leftChars="200"/>
        <w:rPr>
          <w:sz w:val="24"/>
        </w:rPr>
      </w:pPr>
      <w:r>
        <w:rPr>
          <w:rFonts w:hint="eastAsia"/>
          <w:sz w:val="24"/>
        </w:rPr>
        <w:t xml:space="preserve">                       </w:t>
      </w:r>
    </w:p>
    <w:p>
      <w:pPr>
        <w:rPr>
          <w:rFonts w:ascii="黑体" w:eastAsia="黑体" w:hAnsi="宋体" w:hint="eastAsia"/>
        </w:rPr>
      </w:pPr>
    </w:p>
    <w:p>
      <w:pPr>
        <w:rPr>
          <w:rFonts w:ascii="宋体" w:hAnsi="宋体" w:hint="eastAsia"/>
          <w:szCs w:val="21"/>
        </w:rPr>
      </w:pPr>
    </w:p>
    <w:p>
      <w:pPr>
        <w:pStyle w:val="Heading3"/>
        <w:jc w:val="center"/>
        <w:rPr>
          <w:rFonts w:ascii="黑体" w:eastAsia="黑体" w:hint="eastAsia"/>
          <w:b w:val="0"/>
          <w:kern w:val="0"/>
          <w:sz w:val="24"/>
        </w:rPr>
      </w:pPr>
      <w:r>
        <w:rPr>
          <w:rFonts w:ascii="黑体" w:eastAsia="黑体" w:hint="eastAsia"/>
          <w:b w:val="0"/>
          <w:kern w:val="0"/>
          <w:sz w:val="24"/>
        </w:rPr>
        <w:t>二、政府采购投标及履约承诺函</w:t>
      </w:r>
    </w:p>
    <w:p>
      <w:pPr>
        <w:rPr>
          <w:rFonts w:ascii="宋体" w:hAnsi="宋体" w:hint="eastAsia"/>
          <w:sz w:val="24"/>
        </w:rPr>
      </w:pPr>
    </w:p>
    <w:p>
      <w:pPr>
        <w:rPr>
          <w:rFonts w:ascii="宋体" w:hAnsi="宋体" w:hint="eastAsia"/>
          <w:color w:val="FF0000"/>
          <w:szCs w:val="21"/>
        </w:rPr>
      </w:pPr>
      <w:r>
        <w:rPr>
          <w:rFonts w:ascii="宋体" w:hAnsi="宋体" w:hint="eastAsia"/>
          <w:color w:val="FF0000"/>
          <w:szCs w:val="21"/>
        </w:rPr>
        <w:t>致：</w:t>
      </w:r>
      <w:r>
        <w:rPr>
          <w:rFonts w:ascii="宋体" w:hAnsi="宋体" w:hint="eastAsia"/>
          <w:color w:val="FF0000"/>
          <w:szCs w:val="21"/>
          <w:u w:val="single"/>
        </w:rPr>
        <w:t>深圳公共资源交易中心</w:t>
      </w:r>
    </w:p>
    <w:p>
      <w:pPr>
        <w:ind w:right="-815" w:firstLine="420" w:firstLineChars="200"/>
        <w:rPr>
          <w:rFonts w:ascii="宋体" w:hAnsi="宋体" w:hint="eastAsia"/>
          <w:szCs w:val="21"/>
        </w:rPr>
      </w:pPr>
      <w:r>
        <w:rPr>
          <w:rFonts w:ascii="宋体" w:hAnsi="宋体" w:hint="eastAsia"/>
          <w:szCs w:val="21"/>
        </w:rPr>
        <w:t>我单位承诺：</w:t>
      </w:r>
    </w:p>
    <w:p>
      <w:pPr>
        <w:ind w:firstLine="420" w:firstLineChars="20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pPr>
        <w:ind w:firstLine="420" w:firstLineChars="200"/>
        <w:rPr>
          <w:rFonts w:ascii="宋体" w:hAnsi="宋体" w:hint="eastAsia"/>
          <w:szCs w:val="21"/>
        </w:rPr>
      </w:pPr>
      <w:r>
        <w:rPr>
          <w:rFonts w:ascii="宋体" w:hAnsi="宋体" w:hint="eastAsia"/>
          <w:szCs w:val="21"/>
        </w:rPr>
        <w:t>2.我单位参与本项目</w:t>
      </w:r>
      <w:r>
        <w:rPr>
          <w:rFonts w:hint="eastAsia"/>
        </w:rPr>
        <w:t>政府采购活动时不存在被有关部门禁止参与政府采购活动且在有效期内的情况。符合招标文件关于联合体及进口产品的相关资格要求。</w:t>
      </w:r>
    </w:p>
    <w:p>
      <w:pPr>
        <w:ind w:firstLine="420" w:firstLineChars="200"/>
        <w:rPr>
          <w:rFonts w:ascii="宋体" w:hAnsi="宋体" w:hint="eastAsia"/>
          <w:szCs w:val="21"/>
        </w:rPr>
      </w:pPr>
      <w:r>
        <w:rPr>
          <w:rFonts w:ascii="宋体" w:hAnsi="宋体" w:hint="eastAsia"/>
          <w:szCs w:val="21"/>
        </w:rPr>
        <w:t>3.我单位具备《中华人民共和国政府采购法》第二十二条第一款的条件。</w:t>
      </w:r>
    </w:p>
    <w:p>
      <w:pPr>
        <w:ind w:firstLine="420" w:firstLineChars="200"/>
      </w:pPr>
      <w:r>
        <w:rPr>
          <w:rFonts w:ascii="宋体" w:hAnsi="宋体" w:hint="eastAsia"/>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hint="eastAsia"/>
          <w:szCs w:val="21"/>
        </w:rPr>
      </w:pPr>
      <w:r>
        <w:rPr>
          <w:rFonts w:ascii="宋体" w:hAnsi="宋体" w:hint="eastAsia"/>
          <w:szCs w:val="21"/>
        </w:rPr>
        <w:t>9.我单位承诺中标后项目不转包，未经采购人同意不进行分包。</w:t>
      </w:r>
    </w:p>
    <w:p>
      <w:pPr>
        <w:ind w:firstLine="420" w:firstLineChars="20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我单位已知悉并同意中标（成交）结果信息公示（公开）的内容。</w:t>
      </w:r>
    </w:p>
    <w:p>
      <w:pPr>
        <w:ind w:firstLine="420" w:firstLineChars="20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pPr>
        <w:ind w:firstLine="420" w:firstLineChars="200"/>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ascii="宋体" w:hAnsi="宋体" w:hint="eastAsia"/>
          <w:szCs w:val="21"/>
        </w:rPr>
      </w:pPr>
      <w:r>
        <w:rPr>
          <w:rFonts w:ascii="宋体" w:hAnsi="宋体" w:hint="eastAsia"/>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hint="eastAsia"/>
          <w:szCs w:val="21"/>
        </w:rPr>
      </w:pPr>
      <w:r>
        <w:rPr>
          <w:rFonts w:ascii="宋体" w:hAnsi="宋体" w:hint="eastAsia"/>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hint="eastAsia"/>
          <w:color w:val="FF0000"/>
          <w:szCs w:val="21"/>
        </w:rPr>
      </w:pPr>
      <w:r>
        <w:rPr>
          <w:rFonts w:ascii="宋体" w:hAnsi="宋体" w:hint="eastAsia"/>
          <w:color w:val="FF0000"/>
          <w:szCs w:val="21"/>
        </w:rPr>
        <w:t xml:space="preserve">                                              日期：</w:t>
      </w:r>
      <w:r>
        <w:rPr>
          <w:rFonts w:ascii="宋体" w:hAnsi="宋体" w:hint="eastAsia"/>
          <w:color w:val="FF0000"/>
          <w:szCs w:val="21"/>
          <w:u w:val="single"/>
        </w:rPr>
        <w:t xml:space="preserve">    </w:t>
      </w:r>
      <w:r>
        <w:rPr>
          <w:rFonts w:ascii="宋体" w:hAnsi="宋体" w:hint="eastAsia"/>
          <w:color w:val="FF0000"/>
          <w:szCs w:val="21"/>
        </w:rPr>
        <w:t>年</w:t>
      </w:r>
      <w:r>
        <w:rPr>
          <w:rFonts w:ascii="宋体" w:hAnsi="宋体" w:hint="eastAsia"/>
          <w:color w:val="FF0000"/>
          <w:szCs w:val="21"/>
          <w:u w:val="single"/>
        </w:rPr>
        <w:t xml:space="preserve">   </w:t>
      </w:r>
      <w:r>
        <w:rPr>
          <w:rFonts w:ascii="宋体" w:hAnsi="宋体" w:hint="eastAsia"/>
          <w:color w:val="FF0000"/>
          <w:szCs w:val="21"/>
        </w:rPr>
        <w:t>月</w:t>
      </w:r>
      <w:r>
        <w:rPr>
          <w:rFonts w:ascii="宋体" w:hAnsi="宋体" w:hint="eastAsia"/>
          <w:color w:val="FF0000"/>
          <w:szCs w:val="21"/>
          <w:u w:val="single"/>
        </w:rPr>
        <w:t xml:space="preserve">   </w:t>
      </w:r>
      <w:r>
        <w:rPr>
          <w:rFonts w:ascii="宋体" w:hAnsi="宋体" w:hint="eastAsia"/>
          <w:color w:val="FF0000"/>
          <w:szCs w:val="21"/>
        </w:rPr>
        <w:t>日</w:t>
      </w:r>
    </w:p>
    <w:p>
      <w:pPr>
        <w:rPr>
          <w:rFonts w:ascii="宋体" w:hAnsi="宋体" w:hint="eastAsia"/>
          <w:szCs w:val="21"/>
        </w:rPr>
      </w:pPr>
    </w:p>
    <w:p>
      <w:pPr>
        <w:rPr>
          <w:rFonts w:ascii="宋体" w:hAnsi="宋体" w:hint="eastAsia"/>
          <w:szCs w:val="21"/>
        </w:rPr>
      </w:pPr>
    </w:p>
    <w:p/>
    <w:p/>
    <w:p>
      <w:pPr>
        <w:pStyle w:val="Heading3"/>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pPr>
        <w:ind w:firstLine="2310" w:firstLineChars="1100"/>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pPr>
        <w:spacing w:before="120" w:beforeLines="50"/>
        <w:ind w:firstLine="420"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此处不提供，相关内容因涉及企业及个人敏感信息，为不公开内容。）</w:t>
      </w:r>
    </w:p>
    <w:p>
      <w:pPr>
        <w:ind w:firstLine="420" w:firstLineChars="200"/>
        <w:rPr>
          <w:b/>
          <w:sz w:val="24"/>
        </w:rPr>
      </w:pPr>
    </w:p>
    <w:p>
      <w:pPr>
        <w:ind w:firstLine="420" w:firstLineChars="200"/>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填写指引：</w:t>
      </w:r>
    </w:p>
    <w:p>
      <w:pPr>
        <w:ind w:firstLine="420" w:firstLineChars="200"/>
        <w:rPr>
          <w:rFonts w:ascii="黑体" w:eastAsia="黑体" w:hAnsi="黑体" w:hint="eastAsia"/>
          <w:color w:val="FF0000"/>
          <w:szCs w:val="21"/>
        </w:rPr>
      </w:pPr>
      <w:r>
        <w:rPr>
          <w:rFonts w:ascii="黑体" w:eastAsia="黑体" w:hAnsi="宋体" w:hint="eastAsia"/>
          <w:bCs/>
          <w:color w:val="FF0000"/>
          <w:kern w:val="0"/>
          <w:szCs w:val="21"/>
        </w:rPr>
        <w:t>1、该部分内容由供应商根据自身实际情况填写，</w:t>
      </w:r>
      <w:r>
        <w:rPr>
          <w:rFonts w:ascii="黑体" w:eastAsia="黑体" w:hAnsi="黑体" w:hint="eastAsia"/>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pPr>
        <w:ind w:firstLine="420" w:firstLineChars="200"/>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pPr>
        <w:ind w:firstLine="420" w:firstLineChars="200"/>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w:t>
      </w:r>
      <w:bookmarkStart w:id="40" w:name="_Hlk71925120"/>
      <w:r>
        <w:rPr>
          <w:rFonts w:ascii="黑体" w:eastAsia="黑体" w:hAnsi="黑体" w:hint="eastAsia"/>
          <w:color w:val="FF0000"/>
          <w:szCs w:val="21"/>
        </w:rPr>
        <w:t>《工业和信息化部、国家统计局、国家发展和改革委员会、财政部关于印发中小企业划型标准规定的通知》（工信部联企业〔2011〕300 号</w:t>
      </w:r>
      <w:bookmarkEnd w:id="40"/>
      <w:r>
        <w:rPr>
          <w:rFonts w:ascii="黑体" w:eastAsia="黑体" w:hAnsi="黑体" w:hint="eastAsia"/>
          <w:color w:val="FF0000"/>
          <w:szCs w:val="21"/>
        </w:rPr>
        <w:t>，以下简称3</w:t>
      </w:r>
      <w:r>
        <w:rPr>
          <w:rFonts w:ascii="黑体" w:eastAsia="黑体" w:hAnsi="黑体"/>
          <w:color w:val="FF0000"/>
          <w:szCs w:val="21"/>
        </w:rPr>
        <w:t>00</w:t>
      </w:r>
      <w:r>
        <w:rPr>
          <w:rFonts w:ascii="黑体" w:eastAsia="黑体" w:hAnsi="黑体" w:hint="eastAsia"/>
          <w:color w:val="FF0000"/>
          <w:szCs w:val="21"/>
        </w:rPr>
        <w:t>号文）</w:t>
      </w:r>
    </w:p>
    <w:p>
      <w:pPr>
        <w:ind w:firstLine="420" w:firstLineChars="200"/>
        <w:rPr>
          <w:rFonts w:ascii="黑体" w:eastAsia="黑体" w:hAnsi="黑体" w:hint="eastAsia"/>
          <w:color w:val="FF0000"/>
          <w:szCs w:val="21"/>
        </w:rPr>
      </w:pPr>
      <w:r>
        <w:rPr>
          <w:rFonts w:ascii="黑体" w:eastAsia="黑体" w:hAnsi="黑体" w:hint="eastAsia"/>
          <w:color w:val="FF0000"/>
          <w:szCs w:val="21"/>
        </w:rPr>
        <w:t>(3)《统计上大中小微型企业划分办法(2017)》（国统字〔2017〕213 号）</w:t>
      </w:r>
    </w:p>
    <w:p>
      <w:pPr>
        <w:ind w:firstLine="420" w:firstLineChars="200"/>
        <w:rPr>
          <w:rFonts w:ascii="黑体" w:eastAsia="黑体" w:hAnsi="黑体" w:hint="eastAsia"/>
          <w:color w:val="FF0000"/>
          <w:szCs w:val="21"/>
        </w:rPr>
      </w:pPr>
      <w:r>
        <w:rPr>
          <w:rFonts w:ascii="黑体" w:eastAsia="黑体" w:hAnsi="黑体" w:hint="eastAsia"/>
          <w:color w:val="FF0000"/>
          <w:szCs w:val="21"/>
        </w:rPr>
        <w:t>(4)《关于促进残疾人就业政府采购政策的通知》（财库〔2017〕141号）</w:t>
      </w:r>
    </w:p>
    <w:p>
      <w:pPr>
        <w:ind w:firstLine="420" w:firstLineChars="200"/>
        <w:rPr>
          <w:rFonts w:ascii="黑体" w:eastAsia="黑体" w:hAnsi="黑体" w:hint="eastAsia"/>
          <w:color w:val="FF0000"/>
          <w:szCs w:val="21"/>
        </w:rPr>
      </w:pPr>
      <w:r>
        <w:rPr>
          <w:rFonts w:ascii="黑体" w:eastAsia="黑体" w:hAnsi="黑体" w:hint="eastAsia"/>
          <w:color w:val="FF0000"/>
          <w:szCs w:val="21"/>
        </w:rPr>
        <w:t>(5)《关于政府采购支持监狱企业发展有关问题的通知》（财库〔2014〕68号）</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第五处，在“企业名称”下划线处如实填写</w:t>
      </w:r>
      <w:r>
        <w:rPr>
          <w:rFonts w:ascii="黑体" w:eastAsia="黑体" w:hAnsi="宋体" w:hint="eastAsia"/>
          <w:b/>
          <w:color w:val="FF0000"/>
          <w:kern w:val="0"/>
          <w:szCs w:val="21"/>
        </w:rPr>
        <w:t>服务承接商名称。</w:t>
      </w:r>
      <w:r>
        <w:rPr>
          <w:rFonts w:ascii="黑体" w:eastAsia="黑体" w:hAnsi="宋体" w:hint="eastAsia"/>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NoSpacing"/>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ind w:firstLine="420" w:firstLineChars="200"/>
      </w:pPr>
    </w:p>
    <w:p>
      <w:pPr>
        <w:numPr>
          <w:ilvl w:val="0"/>
          <w:numId w:val="9"/>
        </w:numPr>
        <w:jc w:val="center"/>
        <w:outlineLvl w:val="3"/>
        <w:rPr>
          <w:b/>
          <w:sz w:val="24"/>
        </w:rPr>
      </w:pPr>
      <w:r>
        <w:rPr>
          <w:b/>
          <w:sz w:val="24"/>
        </w:rPr>
        <w:t>中小企业声明函（</w:t>
      </w:r>
      <w:r>
        <w:rPr>
          <w:rFonts w:hint="eastAsia"/>
          <w:b/>
          <w:sz w:val="24"/>
        </w:rPr>
        <w:t>服务</w:t>
      </w:r>
      <w:r>
        <w:rPr>
          <w:b/>
          <w:sz w:val="24"/>
        </w:rPr>
        <w:t>）</w:t>
      </w:r>
    </w:p>
    <w:p>
      <w:pPr>
        <w:pStyle w:val="BodyText"/>
      </w:pP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val="0"/>
          <w:iCs w:val="0"/>
          <w:szCs w:val="21"/>
          <w:u w:val="single"/>
        </w:rPr>
        <w:t xml:space="preserve">    （单位名称）    </w:t>
      </w:r>
      <w:r>
        <w:rPr>
          <w:rFonts w:asciiTheme="minorEastAsia" w:eastAsiaTheme="minorEastAsia" w:hAnsiTheme="minorEastAsia" w:cstheme="minorEastAsia" w:hint="eastAsia"/>
          <w:i w:val="0"/>
          <w:iCs w:val="0"/>
          <w:szCs w:val="21"/>
        </w:rPr>
        <w:t>的</w:t>
      </w:r>
      <w:r>
        <w:rPr>
          <w:rFonts w:asciiTheme="minorEastAsia" w:eastAsiaTheme="minorEastAsia" w:hAnsiTheme="minorEastAsia" w:cstheme="minorEastAsia" w:hint="eastAsia"/>
          <w:b/>
          <w:bCs/>
          <w:i w:val="0"/>
          <w:iCs w:val="0"/>
          <w:szCs w:val="21"/>
          <w:u w:val="single"/>
        </w:rPr>
        <w:t xml:space="preserve">    （项目名称）    </w:t>
      </w:r>
      <w:r>
        <w:rPr>
          <w:rFonts w:asciiTheme="minorEastAsia" w:eastAsiaTheme="minorEastAsia" w:hAnsiTheme="minorEastAsia" w:cstheme="minorEastAsia" w:hint="eastAsia"/>
          <w:i w:val="0"/>
          <w:iCs w:val="0"/>
          <w:szCs w:val="21"/>
        </w:rPr>
        <w:t>采购活动，服务全部由符合政策要求的中小企业承接。相关企业（含联合体中的中小企业、签订分包意向协议的中小企业）的具体情况如下：</w:t>
      </w:r>
    </w:p>
    <w:p>
      <w:pPr>
        <w:spacing w:line="360" w:lineRule="auto"/>
        <w:ind w:firstLine="420" w:firstLineChars="200"/>
        <w:outlineLvl w:val="9"/>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1.</w:t>
      </w:r>
      <w:r>
        <w:rPr>
          <w:rFonts w:asciiTheme="minorEastAsia" w:eastAsiaTheme="minorEastAsia" w:hAnsiTheme="minorEastAsia" w:cstheme="minorEastAsia" w:hint="eastAsia"/>
          <w:b/>
          <w:bCs/>
          <w:i w:val="0"/>
          <w:iCs w:val="0"/>
          <w:szCs w:val="21"/>
          <w:u w:val="single"/>
        </w:rPr>
        <w:t xml:space="preserve">    （标的名称）     </w:t>
      </w:r>
      <w:r>
        <w:rPr>
          <w:rFonts w:asciiTheme="minorEastAsia" w:eastAsiaTheme="minorEastAsia" w:hAnsiTheme="minorEastAsia" w:cstheme="minorEastAsia" w:hint="eastAsia"/>
          <w:i w:val="0"/>
          <w:iCs w:val="0"/>
          <w:szCs w:val="21"/>
        </w:rPr>
        <w:t>，属于</w:t>
      </w:r>
      <w:r>
        <w:rPr>
          <w:rFonts w:asciiTheme="minorEastAsia" w:eastAsiaTheme="minorEastAsia" w:hAnsiTheme="minorEastAsia" w:cstheme="minorEastAsia" w:hint="eastAsia"/>
          <w:b/>
          <w:bCs/>
          <w:i w:val="0"/>
          <w:iCs w:val="0"/>
          <w:szCs w:val="21"/>
          <w:u w:val="single"/>
        </w:rPr>
        <w:t xml:space="preserve">    （采购文件中明确的所属行业）    </w:t>
      </w:r>
      <w:r>
        <w:rPr>
          <w:rFonts w:asciiTheme="minorEastAsia" w:eastAsiaTheme="minorEastAsia" w:hAnsiTheme="minorEastAsia" w:cstheme="minorEastAsia" w:hint="eastAsia"/>
          <w:i w:val="0"/>
          <w:iCs w:val="0"/>
          <w:szCs w:val="21"/>
        </w:rPr>
        <w:t>行业；承接企业为</w:t>
      </w:r>
      <w:r>
        <w:rPr>
          <w:rFonts w:asciiTheme="minorEastAsia" w:eastAsiaTheme="minorEastAsia" w:hAnsiTheme="minorEastAsia" w:cstheme="minorEastAsia" w:hint="eastAsia"/>
          <w:b/>
          <w:bCs/>
          <w:i w:val="0"/>
          <w:iCs w:val="0"/>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i w:val="0"/>
          <w:iCs w:val="0"/>
          <w:szCs w:val="21"/>
        </w:rPr>
        <w:t>，从业人员</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人，营业收入为</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万元，资产总额为</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万元，属于</w:t>
      </w:r>
      <w:r>
        <w:rPr>
          <w:rFonts w:asciiTheme="minorEastAsia" w:eastAsiaTheme="minorEastAsia" w:hAnsiTheme="minorEastAsia" w:cstheme="minorEastAsia" w:hint="eastAsia"/>
          <w:b/>
          <w:bCs/>
          <w:i w:val="0"/>
          <w:iCs w:val="0"/>
          <w:szCs w:val="21"/>
          <w:u w:val="single"/>
        </w:rPr>
        <w:t xml:space="preserve">    （中型企业、小型企业、微型企业）    </w:t>
      </w:r>
      <w:r>
        <w:rPr>
          <w:rFonts w:asciiTheme="minorEastAsia" w:eastAsiaTheme="minorEastAsia" w:hAnsiTheme="minorEastAsia" w:cstheme="minorEastAsia" w:hint="eastAsia"/>
          <w:i w:val="0"/>
          <w:iCs w:val="0"/>
          <w:szCs w:val="21"/>
        </w:rPr>
        <w:t>；</w:t>
      </w:r>
    </w:p>
    <w:p>
      <w:pPr>
        <w:spacing w:line="360" w:lineRule="auto"/>
        <w:ind w:firstLine="420" w:firstLineChars="200"/>
        <w:outlineLvl w:val="9"/>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2.</w:t>
      </w:r>
      <w:r>
        <w:rPr>
          <w:rFonts w:asciiTheme="minorEastAsia" w:eastAsiaTheme="minorEastAsia" w:hAnsiTheme="minorEastAsia" w:cstheme="minorEastAsia" w:hint="eastAsia"/>
          <w:b/>
          <w:bCs/>
          <w:i w:val="0"/>
          <w:iCs w:val="0"/>
          <w:szCs w:val="21"/>
          <w:u w:val="single"/>
        </w:rPr>
        <w:t xml:space="preserve">    （标的名称）     </w:t>
      </w:r>
      <w:r>
        <w:rPr>
          <w:rFonts w:asciiTheme="minorEastAsia" w:eastAsiaTheme="minorEastAsia" w:hAnsiTheme="minorEastAsia" w:cstheme="minorEastAsia" w:hint="eastAsia"/>
          <w:i w:val="0"/>
          <w:iCs w:val="0"/>
          <w:szCs w:val="21"/>
        </w:rPr>
        <w:t>，属于</w:t>
      </w:r>
      <w:r>
        <w:rPr>
          <w:rFonts w:asciiTheme="minorEastAsia" w:eastAsiaTheme="minorEastAsia" w:hAnsiTheme="minorEastAsia" w:cstheme="minorEastAsia" w:hint="eastAsia"/>
          <w:b/>
          <w:bCs/>
          <w:i w:val="0"/>
          <w:iCs w:val="0"/>
          <w:szCs w:val="21"/>
          <w:u w:val="single"/>
        </w:rPr>
        <w:t xml:space="preserve">    （采购文件中明确的所属行业）    </w:t>
      </w:r>
      <w:r>
        <w:rPr>
          <w:rFonts w:asciiTheme="minorEastAsia" w:eastAsiaTheme="minorEastAsia" w:hAnsiTheme="minorEastAsia" w:cstheme="minorEastAsia" w:hint="eastAsia"/>
          <w:i w:val="0"/>
          <w:iCs w:val="0"/>
          <w:szCs w:val="21"/>
        </w:rPr>
        <w:t>行业；承接企业为</w:t>
      </w:r>
      <w:r>
        <w:rPr>
          <w:rFonts w:asciiTheme="minorEastAsia" w:eastAsiaTheme="minorEastAsia" w:hAnsiTheme="minorEastAsia" w:cstheme="minorEastAsia" w:hint="eastAsia"/>
          <w:b/>
          <w:bCs/>
          <w:i w:val="0"/>
          <w:iCs w:val="0"/>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i w:val="0"/>
          <w:iCs w:val="0"/>
          <w:szCs w:val="21"/>
        </w:rPr>
        <w:t>，从业人员</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人，营业收入为</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万元，资产总额为</w:t>
      </w:r>
      <w:r>
        <w:rPr>
          <w:rFonts w:asciiTheme="minorEastAsia" w:eastAsiaTheme="minorEastAsia" w:hAnsiTheme="minorEastAsia" w:cstheme="minorEastAsia" w:hint="eastAsia"/>
          <w:b/>
          <w:bCs/>
          <w:i w:val="0"/>
          <w:iCs w:val="0"/>
          <w:szCs w:val="21"/>
          <w:u w:val="single"/>
        </w:rPr>
        <w:t xml:space="preserve">        </w:t>
      </w:r>
      <w:r>
        <w:rPr>
          <w:rFonts w:asciiTheme="minorEastAsia" w:eastAsiaTheme="minorEastAsia" w:hAnsiTheme="minorEastAsia" w:cstheme="minorEastAsia" w:hint="eastAsia"/>
          <w:i w:val="0"/>
          <w:iCs w:val="0"/>
          <w:szCs w:val="21"/>
        </w:rPr>
        <w:t>万元，属于</w:t>
      </w:r>
      <w:r>
        <w:rPr>
          <w:rFonts w:asciiTheme="minorEastAsia" w:eastAsiaTheme="minorEastAsia" w:hAnsiTheme="minorEastAsia" w:cstheme="minorEastAsia" w:hint="eastAsia"/>
          <w:b/>
          <w:bCs/>
          <w:i w:val="0"/>
          <w:iCs w:val="0"/>
          <w:szCs w:val="21"/>
          <w:u w:val="single"/>
        </w:rPr>
        <w:t xml:space="preserve">    （中型企业、小型企业、微型企业）    </w:t>
      </w:r>
      <w:r>
        <w:rPr>
          <w:rFonts w:asciiTheme="minorEastAsia" w:eastAsiaTheme="minorEastAsia" w:hAnsiTheme="minorEastAsia" w:cstheme="minorEastAsia" w:hint="eastAsia"/>
          <w:i w:val="0"/>
          <w:iCs w:val="0"/>
          <w:szCs w:val="21"/>
        </w:rPr>
        <w:t>；</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以上企业，不属于大企业的分支机构，不存在控股股东为大企业的情形，也不存在与大企业的负责人为同一人的情形。</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本企业对上述声明内容的真实性负责。如有虚假，将依法承担相应责任。</w:t>
      </w:r>
    </w:p>
    <w:p>
      <w:pPr>
        <w:spacing w:line="360" w:lineRule="auto"/>
        <w:ind w:firstLine="420" w:firstLineChars="200"/>
        <w:rPr>
          <w:rFonts w:asciiTheme="minorEastAsia" w:eastAsiaTheme="minorEastAsia" w:hAnsiTheme="minorEastAsia" w:cstheme="minorEastAsia" w:hint="eastAsia"/>
          <w:i w:val="0"/>
          <w:iCs w:val="0"/>
          <w:szCs w:val="21"/>
        </w:rPr>
      </w:pPr>
      <w:bookmarkStart w:id="41" w:name="_Hlk73562275"/>
      <w:r>
        <w:rPr>
          <w:rFonts w:asciiTheme="minorEastAsia" w:eastAsiaTheme="minorEastAsia" w:hAnsiTheme="minorEastAsia" w:cstheme="minorEastAsia" w:hint="eastAsia"/>
          <w:i w:val="0"/>
          <w:iCs w:val="0"/>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rPr>
          <w:i w:val="0"/>
          <w:iCs w:val="0"/>
        </w:rPr>
      </w:pPr>
    </w:p>
    <w:p>
      <w:pPr>
        <w:jc w:val="center"/>
        <w:outlineLvl w:val="3"/>
        <w:rPr>
          <w:b/>
          <w:i w:val="0"/>
          <w:iCs w:val="0"/>
          <w:sz w:val="24"/>
        </w:rPr>
      </w:pPr>
      <w:r>
        <w:rPr>
          <w:rFonts w:hint="eastAsia"/>
          <w:b/>
          <w:i w:val="0"/>
          <w:iCs w:val="0"/>
          <w:sz w:val="24"/>
        </w:rPr>
        <w:t>2、残疾人福利性单位声明函（服务类）</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val="0"/>
          <w:iCs w:val="0"/>
          <w:szCs w:val="21"/>
          <w:u w:val="single"/>
        </w:rPr>
        <w:t xml:space="preserve">    （单位名称）    </w:t>
      </w:r>
      <w:r>
        <w:rPr>
          <w:rFonts w:asciiTheme="minorEastAsia" w:eastAsiaTheme="minorEastAsia" w:hAnsiTheme="minorEastAsia" w:cstheme="minorEastAsia" w:hint="eastAsia"/>
          <w:i w:val="0"/>
          <w:iCs w:val="0"/>
          <w:szCs w:val="21"/>
        </w:rPr>
        <w:t>单位的</w:t>
      </w:r>
      <w:r>
        <w:rPr>
          <w:rFonts w:asciiTheme="minorEastAsia" w:eastAsiaTheme="minorEastAsia" w:hAnsiTheme="minorEastAsia" w:cstheme="minorEastAsia" w:hint="eastAsia"/>
          <w:b/>
          <w:bCs/>
          <w:i w:val="0"/>
          <w:iCs w:val="0"/>
          <w:szCs w:val="21"/>
          <w:u w:val="single"/>
        </w:rPr>
        <w:t xml:space="preserve">    （项目名称）    </w:t>
      </w:r>
      <w:r>
        <w:rPr>
          <w:rFonts w:asciiTheme="minorEastAsia" w:eastAsiaTheme="minorEastAsia" w:hAnsiTheme="minorEastAsia" w:cstheme="minorEastAsia" w:hint="eastAsia"/>
          <w:i w:val="0"/>
          <w:iCs w:val="0"/>
          <w:szCs w:val="21"/>
        </w:rPr>
        <w:t>项目采购活动由本单位提供服务。</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本单位对上述声明的真实性负责。如有虚假，将依法承担相应责任。</w:t>
      </w:r>
    </w:p>
    <w:p>
      <w:pPr>
        <w:spacing w:line="360" w:lineRule="auto"/>
        <w:ind w:firstLine="420" w:firstLineChars="200"/>
        <w:rPr>
          <w:rFonts w:asciiTheme="minorEastAsia" w:eastAsiaTheme="minorEastAsia" w:hAnsiTheme="minorEastAsia" w:cstheme="minorEastAsia" w:hint="eastAsia"/>
          <w:i w:val="0"/>
          <w:iCs w:val="0"/>
          <w:szCs w:val="21"/>
        </w:rPr>
      </w:pPr>
      <w:r>
        <w:rPr>
          <w:rFonts w:asciiTheme="minorEastAsia" w:eastAsiaTheme="minorEastAsia" w:hAnsiTheme="minorEastAsia" w:cstheme="minorEastAsia" w:hint="eastAsia"/>
          <w:i w:val="0"/>
          <w:iCs w:val="0"/>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hint="eastAsia"/>
          <w:i w:val="0"/>
          <w:iCs w:val="0"/>
          <w:szCs w:val="21"/>
        </w:rPr>
      </w:pPr>
    </w:p>
    <w:p>
      <w:pPr>
        <w:ind w:firstLine="420" w:firstLineChars="200"/>
        <w:rPr>
          <w:rFonts w:ascii="宋体" w:hAnsi="宋体" w:hint="eastAsia"/>
          <w:i w:val="0"/>
          <w:iCs w:val="0"/>
          <w:szCs w:val="21"/>
        </w:rPr>
      </w:pPr>
    </w:p>
    <w:p>
      <w:pPr>
        <w:ind w:firstLine="420" w:firstLineChars="200"/>
        <w:rPr>
          <w:rFonts w:ascii="宋体" w:hAnsi="宋体" w:hint="eastAsia"/>
          <w:i w:val="0"/>
          <w:iCs w:val="0"/>
          <w:szCs w:val="21"/>
        </w:rPr>
      </w:pPr>
    </w:p>
    <w:p>
      <w:pPr>
        <w:jc w:val="center"/>
        <w:outlineLvl w:val="3"/>
        <w:rPr>
          <w:b/>
          <w:i w:val="0"/>
          <w:iCs w:val="0"/>
          <w:sz w:val="24"/>
        </w:rPr>
      </w:pPr>
      <w:r>
        <w:rPr>
          <w:rFonts w:hint="eastAsia"/>
          <w:b/>
          <w:i w:val="0"/>
          <w:iCs w:val="0"/>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hint="eastAsia"/>
          <w:i w:val="0"/>
          <w:iCs w:val="0"/>
          <w:szCs w:val="21"/>
        </w:rPr>
      </w:pPr>
      <w:r>
        <w:rPr>
          <w:rFonts w:ascii="宋体" w:hAnsi="宋体" w:hint="eastAsia"/>
          <w:i w:val="0"/>
          <w:iCs w:val="0"/>
          <w:szCs w:val="21"/>
        </w:rPr>
        <w:t>本投标人郑重声明，根据《财政部司法部关于政府采购支持监狱企业发展有关问题的通知》（财库〔</w:t>
      </w:r>
      <w:r>
        <w:rPr>
          <w:rFonts w:ascii="宋体" w:hAnsi="宋体"/>
          <w:i w:val="0"/>
          <w:iCs w:val="0"/>
          <w:szCs w:val="21"/>
        </w:rPr>
        <w:t>2014</w:t>
      </w:r>
      <w:r>
        <w:rPr>
          <w:rFonts w:ascii="宋体" w:hAnsi="宋体" w:hint="eastAsia"/>
          <w:i w:val="0"/>
          <w:iCs w:val="0"/>
          <w:szCs w:val="21"/>
        </w:rPr>
        <w:t>〕</w:t>
      </w:r>
      <w:r>
        <w:rPr>
          <w:rFonts w:ascii="宋体" w:hAnsi="宋体"/>
          <w:i w:val="0"/>
          <w:iCs w:val="0"/>
          <w:szCs w:val="21"/>
        </w:rPr>
        <w:t>68</w:t>
      </w:r>
      <w:r>
        <w:rPr>
          <w:rFonts w:ascii="宋体" w:hAnsi="宋体" w:hint="eastAsia"/>
          <w:i w:val="0"/>
          <w:iCs w:val="0"/>
          <w:szCs w:val="21"/>
        </w:rPr>
        <w:t>号）的规定，本投标人</w:t>
      </w:r>
      <w:r>
        <w:rPr>
          <w:rFonts w:ascii="宋体" w:hAnsi="宋体" w:cstheme="minorBidi"/>
          <w:i w:val="0"/>
          <w:iCs w:val="0"/>
          <w:szCs w:val="21"/>
        </w:rPr>
        <w:t>参加</w:t>
      </w:r>
      <w:r>
        <w:rPr>
          <w:rFonts w:ascii="宋体" w:hAnsi="宋体"/>
          <w:b/>
          <w:bCs/>
          <w:i w:val="0"/>
          <w:iCs w:val="0"/>
          <w:szCs w:val="21"/>
          <w:u w:val="single"/>
        </w:rPr>
        <w:t>（</w:t>
      </w:r>
      <w:r>
        <w:rPr>
          <w:rFonts w:ascii="宋体" w:hAnsi="宋体" w:hint="eastAsia"/>
          <w:b/>
          <w:bCs/>
          <w:i w:val="0"/>
          <w:iCs w:val="0"/>
          <w:szCs w:val="21"/>
          <w:u w:val="single"/>
        </w:rPr>
        <w:t>采购人</w:t>
      </w:r>
      <w:r>
        <w:rPr>
          <w:rFonts w:ascii="宋体" w:hAnsi="宋体"/>
          <w:b/>
          <w:bCs/>
          <w:i w:val="0"/>
          <w:iCs w:val="0"/>
          <w:szCs w:val="21"/>
          <w:u w:val="single"/>
        </w:rPr>
        <w:t>名称）</w:t>
      </w:r>
      <w:r>
        <w:rPr>
          <w:rFonts w:ascii="宋体" w:hAnsi="宋体"/>
          <w:i w:val="0"/>
          <w:iCs w:val="0"/>
          <w:szCs w:val="21"/>
        </w:rPr>
        <w:t>的</w:t>
      </w:r>
      <w:r>
        <w:rPr>
          <w:rFonts w:ascii="宋体" w:hAnsi="宋体"/>
          <w:b/>
          <w:bCs/>
          <w:i w:val="0"/>
          <w:iCs w:val="0"/>
          <w:szCs w:val="21"/>
          <w:u w:val="single"/>
        </w:rPr>
        <w:t>（项目名称）</w:t>
      </w:r>
      <w:r>
        <w:rPr>
          <w:rFonts w:ascii="宋体" w:hAnsi="宋体"/>
          <w:i w:val="0"/>
          <w:iCs w:val="0"/>
          <w:szCs w:val="21"/>
        </w:rPr>
        <w:t>采购活动，</w:t>
      </w:r>
      <w:r>
        <w:rPr>
          <w:rFonts w:ascii="宋体" w:hAnsi="宋体" w:hint="eastAsia"/>
          <w:i w:val="0"/>
          <w:iCs w:val="0"/>
          <w:szCs w:val="21"/>
        </w:rPr>
        <w:t>服务</w:t>
      </w:r>
      <w:r>
        <w:rPr>
          <w:rFonts w:ascii="宋体" w:hAnsi="宋体"/>
          <w:i w:val="0"/>
          <w:iCs w:val="0"/>
          <w:szCs w:val="21"/>
        </w:rPr>
        <w:t>全部由符合政策要求的</w:t>
      </w:r>
      <w:r>
        <w:rPr>
          <w:rFonts w:ascii="宋体" w:hAnsi="宋体" w:hint="eastAsia"/>
          <w:i w:val="0"/>
          <w:iCs w:val="0"/>
          <w:szCs w:val="21"/>
        </w:rPr>
        <w:t>监狱企业承接</w:t>
      </w:r>
      <w:r>
        <w:rPr>
          <w:rFonts w:ascii="宋体" w:hAnsi="宋体"/>
          <w:i w:val="0"/>
          <w:iCs w:val="0"/>
          <w:szCs w:val="21"/>
        </w:rPr>
        <w:t>。相关</w:t>
      </w:r>
      <w:r>
        <w:rPr>
          <w:rFonts w:ascii="宋体" w:hAnsi="宋体" w:hint="eastAsia"/>
          <w:i w:val="0"/>
          <w:iCs w:val="0"/>
          <w:szCs w:val="21"/>
        </w:rPr>
        <w:t>监狱企业</w:t>
      </w:r>
      <w:r>
        <w:rPr>
          <w:rFonts w:ascii="宋体" w:hAnsi="宋体"/>
          <w:i w:val="0"/>
          <w:iCs w:val="0"/>
          <w:szCs w:val="21"/>
        </w:rPr>
        <w:t>的具体情况如下：</w:t>
      </w:r>
    </w:p>
    <w:p>
      <w:pPr>
        <w:ind w:firstLine="420" w:firstLineChars="200"/>
        <w:rPr>
          <w:rFonts w:ascii="宋体" w:hAnsi="宋体" w:hint="eastAsia"/>
          <w:i w:val="0"/>
          <w:iCs w:val="0"/>
          <w:szCs w:val="21"/>
        </w:rPr>
      </w:pPr>
      <w:r>
        <w:rPr>
          <w:rFonts w:ascii="宋体" w:hAnsi="宋体"/>
          <w:i w:val="0"/>
          <w:iCs w:val="0"/>
          <w:szCs w:val="21"/>
        </w:rPr>
        <w:t>1.</w:t>
      </w:r>
      <w:r>
        <w:rPr>
          <w:rFonts w:ascii="宋体" w:hAnsi="宋体"/>
          <w:b/>
          <w:bCs/>
          <w:i w:val="0"/>
          <w:iCs w:val="0"/>
          <w:szCs w:val="21"/>
          <w:u w:val="single"/>
        </w:rPr>
        <w:t xml:space="preserve"> （标的名称）</w:t>
      </w:r>
      <w:r>
        <w:rPr>
          <w:rFonts w:ascii="宋体" w:hAnsi="宋体"/>
          <w:i w:val="0"/>
          <w:iCs w:val="0"/>
          <w:szCs w:val="21"/>
        </w:rPr>
        <w:t xml:space="preserve"> </w:t>
      </w:r>
      <w:r>
        <w:rPr>
          <w:rFonts w:ascii="宋体" w:hAnsi="宋体" w:hint="eastAsia"/>
          <w:i w:val="0"/>
          <w:iCs w:val="0"/>
          <w:szCs w:val="21"/>
        </w:rPr>
        <w:t>，承接单位</w:t>
      </w:r>
      <w:r>
        <w:rPr>
          <w:rFonts w:ascii="宋体" w:hAnsi="宋体"/>
          <w:i w:val="0"/>
          <w:iCs w:val="0"/>
          <w:szCs w:val="21"/>
        </w:rPr>
        <w:t>为</w:t>
      </w:r>
      <w:r>
        <w:rPr>
          <w:rFonts w:ascii="宋体" w:hAnsi="宋体"/>
          <w:b/>
          <w:bCs/>
          <w:i w:val="0"/>
          <w:iCs w:val="0"/>
          <w:szCs w:val="21"/>
          <w:u w:val="single"/>
        </w:rPr>
        <w:t>（</w:t>
      </w:r>
      <w:r>
        <w:rPr>
          <w:rFonts w:ascii="宋体" w:hAnsi="宋体" w:hint="eastAsia"/>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ascii="宋体" w:hAnsi="宋体" w:hint="eastAsia"/>
          <w:b/>
          <w:bCs/>
          <w:i w:val="0"/>
          <w:iCs w:val="0"/>
          <w:szCs w:val="21"/>
          <w:u w:val="single"/>
        </w:rPr>
        <w:t>监狱企业</w:t>
      </w:r>
      <w:r>
        <w:rPr>
          <w:rFonts w:ascii="宋体" w:hAnsi="宋体"/>
          <w:i w:val="0"/>
          <w:iCs w:val="0"/>
          <w:szCs w:val="21"/>
        </w:rPr>
        <w:t>；</w:t>
      </w:r>
    </w:p>
    <w:p>
      <w:pPr>
        <w:ind w:firstLine="420" w:firstLineChars="200"/>
        <w:rPr>
          <w:rFonts w:ascii="宋体" w:hAnsi="宋体" w:hint="eastAsia"/>
          <w:i w:val="0"/>
          <w:iCs w:val="0"/>
          <w:szCs w:val="21"/>
        </w:rPr>
      </w:pPr>
      <w:r>
        <w:rPr>
          <w:rFonts w:ascii="宋体" w:hAnsi="宋体"/>
          <w:i w:val="0"/>
          <w:iCs w:val="0"/>
          <w:szCs w:val="21"/>
        </w:rPr>
        <w:t>2.</w:t>
      </w:r>
      <w:r>
        <w:rPr>
          <w:rFonts w:ascii="宋体" w:hAnsi="宋体"/>
          <w:b/>
          <w:bCs/>
          <w:i w:val="0"/>
          <w:iCs w:val="0"/>
          <w:szCs w:val="21"/>
          <w:u w:val="single"/>
        </w:rPr>
        <w:t xml:space="preserve"> （标的名称）</w:t>
      </w:r>
      <w:r>
        <w:rPr>
          <w:rFonts w:ascii="宋体" w:hAnsi="宋体"/>
          <w:i w:val="0"/>
          <w:iCs w:val="0"/>
          <w:szCs w:val="21"/>
        </w:rPr>
        <w:t xml:space="preserve"> </w:t>
      </w:r>
      <w:r>
        <w:rPr>
          <w:rFonts w:ascii="宋体" w:hAnsi="宋体" w:hint="eastAsia"/>
          <w:i w:val="0"/>
          <w:iCs w:val="0"/>
          <w:szCs w:val="21"/>
        </w:rPr>
        <w:t>，承接单位</w:t>
      </w:r>
      <w:r>
        <w:rPr>
          <w:rFonts w:ascii="宋体" w:hAnsi="宋体"/>
          <w:i w:val="0"/>
          <w:iCs w:val="0"/>
          <w:szCs w:val="21"/>
        </w:rPr>
        <w:t>为</w:t>
      </w:r>
      <w:r>
        <w:rPr>
          <w:rFonts w:ascii="宋体" w:hAnsi="宋体"/>
          <w:b/>
          <w:bCs/>
          <w:i w:val="0"/>
          <w:iCs w:val="0"/>
          <w:szCs w:val="21"/>
          <w:u w:val="single"/>
        </w:rPr>
        <w:t>（</w:t>
      </w:r>
      <w:r>
        <w:rPr>
          <w:rFonts w:ascii="宋体" w:hAnsi="宋体" w:hint="eastAsia"/>
          <w:b/>
          <w:bCs/>
          <w:i w:val="0"/>
          <w:iCs w:val="0"/>
          <w:szCs w:val="21"/>
          <w:u w:val="single"/>
        </w:rPr>
        <w:t>企业</w:t>
      </w:r>
      <w:r>
        <w:rPr>
          <w:rFonts w:ascii="宋体" w:hAnsi="宋体"/>
          <w:b/>
          <w:bCs/>
          <w:i w:val="0"/>
          <w:iCs w:val="0"/>
          <w:szCs w:val="21"/>
          <w:u w:val="single"/>
        </w:rPr>
        <w:t>名称）</w:t>
      </w:r>
      <w:r>
        <w:rPr>
          <w:rFonts w:ascii="宋体" w:hAnsi="宋体"/>
          <w:i w:val="0"/>
          <w:iCs w:val="0"/>
          <w:szCs w:val="21"/>
        </w:rPr>
        <w:t>，属于</w:t>
      </w:r>
      <w:r>
        <w:rPr>
          <w:rFonts w:ascii="宋体" w:hAnsi="宋体" w:hint="eastAsia"/>
          <w:b/>
          <w:bCs/>
          <w:i w:val="0"/>
          <w:iCs w:val="0"/>
          <w:szCs w:val="21"/>
          <w:u w:val="single"/>
        </w:rPr>
        <w:t>监狱企业</w:t>
      </w:r>
      <w:r>
        <w:rPr>
          <w:rFonts w:ascii="宋体" w:hAnsi="宋体" w:hint="eastAsia"/>
          <w:i w:val="0"/>
          <w:iCs w:val="0"/>
          <w:szCs w:val="21"/>
        </w:rPr>
        <w:t>。</w:t>
      </w:r>
    </w:p>
    <w:p>
      <w:pPr>
        <w:ind w:firstLine="420" w:firstLineChars="200"/>
        <w:rPr>
          <w:rFonts w:ascii="宋体" w:hAnsi="宋体" w:hint="eastAsia"/>
          <w:i w:val="0"/>
          <w:iCs w:val="0"/>
          <w:szCs w:val="21"/>
        </w:rPr>
      </w:pPr>
      <w:r>
        <w:rPr>
          <w:rFonts w:ascii="宋体" w:hAnsi="宋体"/>
          <w:i w:val="0"/>
          <w:iCs w:val="0"/>
          <w:szCs w:val="21"/>
        </w:rPr>
        <w:t xml:space="preserve">…… </w:t>
      </w:r>
    </w:p>
    <w:p>
      <w:pPr>
        <w:ind w:firstLine="420" w:firstLineChars="200"/>
        <w:rPr>
          <w:rFonts w:ascii="宋体" w:hAnsi="宋体" w:hint="eastAsia"/>
          <w:i w:val="0"/>
          <w:iCs w:val="0"/>
          <w:szCs w:val="21"/>
        </w:rPr>
      </w:pPr>
      <w:r>
        <w:rPr>
          <w:rFonts w:ascii="宋体" w:hAnsi="宋体" w:cstheme="minorBidi"/>
          <w:i w:val="0"/>
          <w:iCs w:val="0"/>
          <w:szCs w:val="21"/>
        </w:rPr>
        <w:t>本</w:t>
      </w:r>
      <w:r>
        <w:rPr>
          <w:rFonts w:ascii="宋体" w:hAnsi="宋体" w:cstheme="minorBidi" w:hint="eastAsia"/>
          <w:i w:val="0"/>
          <w:iCs w:val="0"/>
          <w:szCs w:val="21"/>
        </w:rPr>
        <w:t>投标人</w:t>
      </w:r>
      <w:r>
        <w:rPr>
          <w:rFonts w:ascii="宋体" w:hAnsi="宋体"/>
          <w:i w:val="0"/>
          <w:iCs w:val="0"/>
          <w:szCs w:val="21"/>
        </w:rPr>
        <w:t>对上述声明内容的真实性负责。如有虚假，将依法承担相应责任。</w:t>
      </w:r>
    </w:p>
    <w:p>
      <w:pPr>
        <w:ind w:firstLine="420" w:firstLineChars="200"/>
        <w:rPr>
          <w:rFonts w:ascii="宋体" w:hAnsi="宋体" w:hint="eastAsia"/>
          <w:szCs w:val="21"/>
        </w:rPr>
      </w:pPr>
      <w:r>
        <w:rPr>
          <w:rFonts w:ascii="宋体" w:hAnsi="宋体" w:hint="eastAsia"/>
          <w:i w:val="0"/>
          <w:iCs w:val="0"/>
          <w:szCs w:val="21"/>
        </w:rPr>
        <w:t>附：省级以上监狱管理局、戒毒管理局（含新疆生产建设兵团）出具的监狱企业证明文件。</w:t>
      </w:r>
    </w:p>
    <w:p>
      <w:pPr>
        <w:ind w:left="723" w:hanging="630" w:hangingChars="300"/>
        <w:rPr>
          <w:b/>
          <w:sz w:val="24"/>
        </w:rPr>
      </w:pPr>
    </w:p>
    <w:p>
      <w:pPr>
        <w:ind w:left="723" w:hanging="630" w:hangingChars="300"/>
        <w:rPr>
          <w:b/>
          <w:sz w:val="24"/>
        </w:rPr>
      </w:pPr>
    </w:p>
    <w:p>
      <w:pPr>
        <w:pStyle w:val="Heading3"/>
        <w:jc w:val="center"/>
        <w:rPr>
          <w:rFonts w:ascii="黑体" w:eastAsia="黑体" w:hint="eastAsia"/>
          <w:b w:val="0"/>
          <w:sz w:val="24"/>
          <w:szCs w:val="24"/>
        </w:rPr>
      </w:pPr>
      <w:bookmarkStart w:id="42" w:name="_GoBack"/>
      <w:bookmarkEnd w:id="42"/>
      <w:r>
        <w:rPr>
          <w:rFonts w:ascii="黑体" w:eastAsia="黑体" w:hint="eastAsia"/>
          <w:b w:val="0"/>
          <w:sz w:val="24"/>
          <w:szCs w:val="24"/>
        </w:rPr>
        <w:t>四、项目详细报价</w:t>
      </w:r>
    </w:p>
    <w:p>
      <w:pPr>
        <w:pStyle w:val="BodyText2"/>
        <w:jc w:val="center"/>
      </w:pPr>
      <w:r>
        <w:rPr>
          <w:rFonts w:hint="eastAsia"/>
          <w:b/>
          <w:bCs/>
        </w:rPr>
        <w:t>（一）</w:t>
      </w:r>
      <w:r>
        <w:rPr>
          <w:rFonts w:hint="eastAsia"/>
          <w:b/>
        </w:rPr>
        <w:t>分项报价表</w:t>
      </w:r>
    </w:p>
    <w:tbl>
      <w:tblPr>
        <w:tblStyle w:val="TableGrid"/>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8"/>
        <w:gridCol w:w="1417"/>
        <w:gridCol w:w="3114"/>
        <w:gridCol w:w="2977"/>
      </w:tblGrid>
      <w:tr>
        <w:tblPrEx>
          <w:tblW w:w="89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rPr>
              <w:t>报价内容</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lang w:val="en-US" w:eastAsia="zh-CN"/>
              </w:rPr>
              <w:t>投标</w:t>
            </w:r>
            <w:r>
              <w:rPr>
                <w:rFonts w:ascii="宋体" w:hAnsi="宋体" w:hint="eastAsia"/>
                <w:b w:val="0"/>
                <w:bCs/>
                <w:kern w:val="0"/>
                <w:szCs w:val="21"/>
                <w:highlight w:val="none"/>
              </w:rPr>
              <w:t>报价</w:t>
            </w:r>
          </w:p>
        </w:tc>
        <w:tc>
          <w:tcPr>
            <w:tcW w:w="3114"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rPr>
              <w:t>报价要求</w:t>
            </w:r>
          </w:p>
        </w:tc>
        <w:tc>
          <w:tcPr>
            <w:tcW w:w="2977" w:type="dxa"/>
            <w:tcBorders>
              <w:top w:val="single" w:sz="4" w:space="0" w:color="auto"/>
              <w:left w:val="single" w:sz="4" w:space="0" w:color="auto"/>
              <w:bottom w:val="single" w:sz="4" w:space="0" w:color="auto"/>
              <w:right w:val="single" w:sz="4" w:space="0" w:color="auto"/>
            </w:tcBorders>
            <w:vAlign w:val="center"/>
          </w:tcPr>
          <w:p>
            <w:pPr>
              <w:spacing w:line="273" w:lineRule="auto"/>
              <w:ind w:firstLine="442"/>
              <w:jc w:val="center"/>
              <w:rPr>
                <w:rFonts w:ascii="宋体" w:hAnsi="宋体"/>
                <w:b w:val="0"/>
                <w:bCs/>
                <w:kern w:val="0"/>
                <w:szCs w:val="21"/>
                <w:highlight w:val="none"/>
              </w:rPr>
            </w:pPr>
            <w:r>
              <w:rPr>
                <w:rFonts w:ascii="宋体" w:hAnsi="宋体" w:hint="eastAsia"/>
                <w:b w:val="0"/>
                <w:bCs/>
                <w:kern w:val="0"/>
                <w:szCs w:val="21"/>
                <w:highlight w:val="none"/>
              </w:rPr>
              <w:t>备注</w:t>
            </w:r>
          </w:p>
        </w:tc>
      </w:tr>
      <w:tr>
        <w:tblPrEx>
          <w:tblW w:w="8926" w:type="dxa"/>
          <w:tblInd w:w="0" w:type="dxa"/>
          <w:tblCellMar>
            <w:top w:w="0" w:type="dxa"/>
            <w:left w:w="108" w:type="dxa"/>
            <w:bottom w:w="0" w:type="dxa"/>
            <w:right w:w="108" w:type="dxa"/>
          </w:tblCellMar>
        </w:tblPrEx>
        <w:trPr>
          <w:trHeight w:val="661"/>
        </w:trPr>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rPr>
              <w:t>工时单价</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u w:val="single"/>
                <w:lang w:val="en-US" w:eastAsia="zh-CN"/>
              </w:rPr>
              <w:t xml:space="preserve">   </w:t>
            </w:r>
            <w:r>
              <w:rPr>
                <w:rFonts w:ascii="宋体" w:hAnsi="宋体" w:hint="eastAsia"/>
                <w:b w:val="0"/>
                <w:bCs/>
                <w:kern w:val="0"/>
                <w:szCs w:val="21"/>
                <w:highlight w:val="none"/>
              </w:rPr>
              <w:t>元/小时</w:t>
            </w:r>
          </w:p>
        </w:tc>
        <w:tc>
          <w:tcPr>
            <w:tcW w:w="3114" w:type="dxa"/>
            <w:tcBorders>
              <w:top w:val="single" w:sz="4" w:space="0" w:color="auto"/>
              <w:left w:val="single" w:sz="4" w:space="0" w:color="auto"/>
              <w:bottom w:val="single" w:sz="4" w:space="0" w:color="auto"/>
              <w:right w:val="single" w:sz="4" w:space="0" w:color="auto"/>
            </w:tcBorders>
            <w:vAlign w:val="center"/>
          </w:tcPr>
          <w:p>
            <w:pPr>
              <w:jc w:val="left"/>
              <w:rPr>
                <w:rFonts w:ascii="宋体" w:hAnsi="宋体"/>
                <w:b w:val="0"/>
                <w:bCs/>
                <w:kern w:val="0"/>
                <w:szCs w:val="21"/>
                <w:highlight w:val="none"/>
              </w:rPr>
            </w:pPr>
            <w:r>
              <w:rPr>
                <w:rFonts w:ascii="宋体" w:hAnsi="宋体" w:hint="eastAsia"/>
                <w:b w:val="0"/>
                <w:bCs/>
                <w:kern w:val="0"/>
                <w:szCs w:val="21"/>
                <w:highlight w:val="none"/>
              </w:rPr>
              <w:t>1.报价应当是唯一的，不接受有选择的报价或区间值；</w:t>
            </w:r>
          </w:p>
          <w:p>
            <w:pPr>
              <w:jc w:val="left"/>
              <w:rPr>
                <w:rFonts w:ascii="宋体" w:hAnsi="宋体"/>
                <w:b w:val="0"/>
                <w:bCs/>
                <w:kern w:val="0"/>
                <w:szCs w:val="21"/>
                <w:highlight w:val="none"/>
              </w:rPr>
            </w:pPr>
            <w:r>
              <w:rPr>
                <w:rFonts w:ascii="宋体" w:hAnsi="宋体" w:hint="eastAsia"/>
                <w:b w:val="0"/>
                <w:bCs/>
                <w:kern w:val="0"/>
                <w:szCs w:val="21"/>
                <w:highlight w:val="none"/>
              </w:rPr>
              <w:t>2.0＜工时单价报价≤</w:t>
            </w:r>
            <w:r>
              <w:rPr>
                <w:rFonts w:ascii="宋体" w:hAnsi="宋体" w:hint="eastAsia"/>
                <w:b w:val="0"/>
                <w:bCs/>
                <w:kern w:val="0"/>
                <w:szCs w:val="21"/>
                <w:highlight w:val="none"/>
                <w:lang w:val="en-US" w:eastAsia="zh-CN"/>
              </w:rPr>
              <w:t>65</w:t>
            </w:r>
            <w:r>
              <w:rPr>
                <w:rFonts w:ascii="宋体" w:hAnsi="宋体" w:hint="eastAsia"/>
                <w:b w:val="0"/>
                <w:bCs/>
                <w:kern w:val="0"/>
                <w:szCs w:val="21"/>
                <w:highlight w:val="none"/>
              </w:rPr>
              <w:t>元/小时；</w:t>
            </w:r>
          </w:p>
        </w:tc>
        <w:tc>
          <w:tcPr>
            <w:tcW w:w="2977" w:type="dxa"/>
            <w:vMerge w:val="restart"/>
            <w:tcBorders>
              <w:top w:val="nil"/>
              <w:left w:val="single" w:sz="4" w:space="0" w:color="auto"/>
              <w:bottom w:val="single" w:sz="4" w:space="0" w:color="auto"/>
              <w:right w:val="single" w:sz="4" w:space="0" w:color="auto"/>
            </w:tcBorders>
            <w:vAlign w:val="center"/>
          </w:tcPr>
          <w:p>
            <w:pPr>
              <w:spacing w:line="273" w:lineRule="auto"/>
              <w:rPr>
                <w:rFonts w:ascii="宋体" w:hAnsi="宋体"/>
                <w:b w:val="0"/>
                <w:bCs/>
                <w:kern w:val="0"/>
                <w:szCs w:val="21"/>
                <w:highlight w:val="none"/>
              </w:rPr>
            </w:pPr>
            <w:r>
              <w:rPr>
                <w:rFonts w:ascii="宋体" w:hAnsi="宋体" w:hint="eastAsia"/>
                <w:b w:val="0"/>
                <w:bCs/>
                <w:kern w:val="0"/>
                <w:szCs w:val="21"/>
                <w:highlight w:val="none"/>
              </w:rPr>
              <w:t>1.投标人请按照报价要求，在《分项报价表》中填写【工时单价】【维修材料管理费率】的报价；</w:t>
            </w:r>
          </w:p>
          <w:p>
            <w:pPr>
              <w:spacing w:line="273" w:lineRule="auto"/>
              <w:rPr>
                <w:rFonts w:ascii="宋体" w:hAnsi="宋体"/>
                <w:b w:val="0"/>
                <w:bCs/>
                <w:kern w:val="0"/>
                <w:szCs w:val="21"/>
                <w:highlight w:val="none"/>
              </w:rPr>
            </w:pPr>
            <w:r>
              <w:rPr>
                <w:rFonts w:ascii="宋体" w:hAnsi="宋体" w:hint="eastAsia"/>
                <w:b w:val="0"/>
                <w:bCs/>
                <w:kern w:val="0"/>
                <w:szCs w:val="21"/>
                <w:highlight w:val="none"/>
              </w:rPr>
              <w:t>2</w:t>
            </w:r>
            <w:r>
              <w:rPr>
                <w:rFonts w:ascii="宋体" w:eastAsia="宋体" w:hAnsi="宋体" w:cs="Times New Roman" w:hint="eastAsia"/>
                <w:b w:val="0"/>
                <w:bCs/>
                <w:kern w:val="0"/>
                <w:szCs w:val="21"/>
                <w:highlight w:val="none"/>
              </w:rPr>
              <w:t>.投标人在</w:t>
            </w:r>
            <w:r>
              <w:rPr>
                <w:rFonts w:ascii="宋体" w:eastAsia="宋体" w:hAnsi="宋体" w:cs="Times New Roman" w:hint="eastAsia"/>
                <w:b w:val="0"/>
                <w:bCs/>
                <w:kern w:val="0"/>
                <w:sz w:val="21"/>
                <w:szCs w:val="21"/>
                <w:highlight w:val="none"/>
                <w:lang w:val="en-US" w:eastAsia="zh-CN" w:bidi="ar-SA"/>
              </w:rPr>
              <w:t>《投标文件制作软件》开标一览表</w:t>
            </w:r>
            <w:r>
              <w:rPr>
                <w:rFonts w:ascii="宋体" w:eastAsia="宋体" w:hAnsi="宋体" w:cs="Times New Roman" w:hint="eastAsia"/>
                <w:b w:val="0"/>
                <w:bCs/>
                <w:kern w:val="0"/>
                <w:szCs w:val="21"/>
                <w:highlight w:val="none"/>
              </w:rPr>
              <w:t>中</w:t>
            </w:r>
            <w:r>
              <w:rPr>
                <w:rFonts w:ascii="宋体" w:eastAsia="宋体" w:hAnsi="宋体" w:cs="Times New Roman" w:hint="eastAsia"/>
                <w:b w:val="0"/>
                <w:bCs/>
                <w:kern w:val="0"/>
                <w:szCs w:val="21"/>
                <w:highlight w:val="none"/>
                <w:lang w:val="en-US" w:eastAsia="zh-CN"/>
              </w:rPr>
              <w:t>报价</w:t>
            </w:r>
            <w:r>
              <w:rPr>
                <w:rFonts w:ascii="宋体" w:eastAsia="宋体" w:hAnsi="宋体" w:cs="Times New Roman" w:hint="eastAsia"/>
                <w:b w:val="0"/>
                <w:bCs/>
                <w:kern w:val="0"/>
                <w:szCs w:val="21"/>
                <w:highlight w:val="none"/>
              </w:rPr>
              <w:t>填写为</w:t>
            </w:r>
            <w:r>
              <w:rPr>
                <w:rFonts w:ascii="宋体" w:eastAsia="宋体" w:hAnsi="宋体" w:cs="Times New Roman" w:hint="eastAsia"/>
                <w:b w:val="0"/>
                <w:bCs/>
                <w:kern w:val="0"/>
                <w:szCs w:val="21"/>
                <w:highlight w:val="none"/>
                <w:lang w:val="en-US" w:eastAsia="zh-CN"/>
              </w:rPr>
              <w:t>工时单价报价</w:t>
            </w:r>
            <w:r>
              <w:rPr>
                <w:rFonts w:ascii="宋体" w:eastAsia="宋体" w:hAnsi="宋体" w:cs="Times New Roman" w:hint="eastAsia"/>
                <w:b w:val="0"/>
                <w:bCs/>
                <w:kern w:val="0"/>
                <w:szCs w:val="21"/>
                <w:highlight w:val="none"/>
              </w:rPr>
              <w:t>即可，</w:t>
            </w:r>
            <w:r>
              <w:rPr>
                <w:rFonts w:ascii="宋体" w:eastAsia="宋体" w:hAnsi="宋体" w:cs="Times New Roman" w:hint="eastAsia"/>
                <w:b w:val="0"/>
                <w:bCs/>
                <w:kern w:val="0"/>
                <w:szCs w:val="21"/>
                <w:highlight w:val="none"/>
                <w:lang w:val="en-US" w:eastAsia="zh-CN"/>
              </w:rPr>
              <w:t>需与</w:t>
            </w:r>
            <w:r>
              <w:rPr>
                <w:rFonts w:ascii="宋体" w:eastAsia="宋体" w:hAnsi="宋体" w:cs="Times New Roman" w:hint="eastAsia"/>
                <w:b w:val="0"/>
                <w:bCs/>
                <w:kern w:val="0"/>
                <w:szCs w:val="21"/>
                <w:highlight w:val="none"/>
              </w:rPr>
              <w:t>《分项报价表》填写一致，如有不一致的，以供应商在</w:t>
            </w:r>
            <w:r>
              <w:rPr>
                <w:rFonts w:ascii="宋体" w:eastAsia="宋体" w:hAnsi="宋体" w:cs="Times New Roman" w:hint="eastAsia"/>
                <w:b w:val="0"/>
                <w:bCs/>
                <w:kern w:val="0"/>
                <w:szCs w:val="21"/>
                <w:highlight w:val="none"/>
                <w:lang w:val="en-US" w:eastAsia="zh-CN"/>
              </w:rPr>
              <w:t>投标</w:t>
            </w:r>
            <w:r>
              <w:rPr>
                <w:rFonts w:ascii="宋体" w:eastAsia="宋体" w:hAnsi="宋体" w:cs="Times New Roman" w:hint="eastAsia"/>
                <w:b w:val="0"/>
                <w:bCs/>
                <w:kern w:val="0"/>
                <w:szCs w:val="21"/>
                <w:highlight w:val="none"/>
              </w:rPr>
              <w:t>文件中提交的《分项报价表》为准。</w:t>
            </w:r>
          </w:p>
        </w:tc>
      </w:tr>
      <w:tr>
        <w:tblPrEx>
          <w:tblW w:w="8926" w:type="dxa"/>
          <w:tblInd w:w="0" w:type="dxa"/>
          <w:tblCellMar>
            <w:top w:w="0" w:type="dxa"/>
            <w:left w:w="108" w:type="dxa"/>
            <w:bottom w:w="0" w:type="dxa"/>
            <w:right w:w="108" w:type="dxa"/>
          </w:tblCellMar>
        </w:tblPrEx>
        <w:tc>
          <w:tcPr>
            <w:tcW w:w="1418"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rPr>
              <w:t>维修材料管理费率</w:t>
            </w:r>
          </w:p>
        </w:tc>
        <w:tc>
          <w:tcPr>
            <w:tcW w:w="1417" w:type="dxa"/>
            <w:tcBorders>
              <w:top w:val="single" w:sz="4" w:space="0" w:color="auto"/>
              <w:left w:val="single" w:sz="4" w:space="0" w:color="auto"/>
              <w:bottom w:val="single" w:sz="4" w:space="0" w:color="auto"/>
              <w:right w:val="single" w:sz="4" w:space="0" w:color="auto"/>
            </w:tcBorders>
            <w:vAlign w:val="center"/>
          </w:tcPr>
          <w:p>
            <w:pPr>
              <w:spacing w:line="273" w:lineRule="auto"/>
              <w:jc w:val="center"/>
              <w:rPr>
                <w:rFonts w:ascii="宋体" w:hAnsi="宋体"/>
                <w:b w:val="0"/>
                <w:bCs/>
                <w:kern w:val="0"/>
                <w:szCs w:val="21"/>
                <w:highlight w:val="none"/>
              </w:rPr>
            </w:pPr>
            <w:r>
              <w:rPr>
                <w:rFonts w:ascii="宋体" w:hAnsi="宋体" w:hint="eastAsia"/>
                <w:b w:val="0"/>
                <w:bCs/>
                <w:kern w:val="0"/>
                <w:szCs w:val="21"/>
                <w:highlight w:val="none"/>
                <w:u w:val="single"/>
                <w:lang w:val="en-US" w:eastAsia="zh-CN"/>
              </w:rPr>
              <w:t xml:space="preserve">   </w:t>
            </w:r>
            <w:r>
              <w:rPr>
                <w:rFonts w:ascii="宋体" w:hAnsi="宋体" w:hint="eastAsia"/>
                <w:b w:val="0"/>
                <w:bCs/>
                <w:kern w:val="0"/>
                <w:szCs w:val="21"/>
                <w:highlight w:val="none"/>
              </w:rPr>
              <w:t>%</w:t>
            </w:r>
          </w:p>
        </w:tc>
        <w:tc>
          <w:tcPr>
            <w:tcW w:w="3114" w:type="dxa"/>
            <w:tcBorders>
              <w:top w:val="single" w:sz="4" w:space="0" w:color="auto"/>
              <w:left w:val="single" w:sz="4" w:space="0" w:color="auto"/>
              <w:bottom w:val="single" w:sz="4" w:space="0" w:color="auto"/>
              <w:right w:val="single" w:sz="4" w:space="0" w:color="auto"/>
            </w:tcBorders>
            <w:vAlign w:val="center"/>
          </w:tcPr>
          <w:p>
            <w:pPr>
              <w:rPr>
                <w:rFonts w:ascii="宋体" w:hAnsi="宋体"/>
                <w:b w:val="0"/>
                <w:bCs/>
                <w:kern w:val="0"/>
                <w:szCs w:val="21"/>
                <w:highlight w:val="none"/>
              </w:rPr>
            </w:pPr>
            <w:r>
              <w:rPr>
                <w:rFonts w:ascii="宋体" w:hAnsi="宋体" w:hint="eastAsia"/>
                <w:b w:val="0"/>
                <w:bCs/>
                <w:kern w:val="0"/>
                <w:szCs w:val="21"/>
                <w:highlight w:val="none"/>
              </w:rPr>
              <w:t>1.报价应当是唯一的，不接受有选择的报价或区间值；</w:t>
            </w:r>
          </w:p>
          <w:p>
            <w:pPr>
              <w:rPr>
                <w:rFonts w:ascii="宋体" w:hAnsi="宋体"/>
                <w:b w:val="0"/>
                <w:bCs/>
                <w:kern w:val="0"/>
                <w:szCs w:val="21"/>
                <w:highlight w:val="none"/>
              </w:rPr>
            </w:pPr>
            <w:r>
              <w:rPr>
                <w:rFonts w:ascii="宋体" w:hAnsi="宋体" w:hint="eastAsia"/>
                <w:b w:val="0"/>
                <w:bCs/>
                <w:kern w:val="0"/>
                <w:szCs w:val="21"/>
                <w:highlight w:val="none"/>
              </w:rPr>
              <w:t>2.0＜管理费率报价≤</w:t>
            </w:r>
            <w:r>
              <w:rPr>
                <w:rFonts w:ascii="宋体" w:hAnsi="宋体" w:hint="eastAsia"/>
                <w:b w:val="0"/>
                <w:bCs/>
                <w:kern w:val="0"/>
                <w:szCs w:val="21"/>
                <w:highlight w:val="none"/>
                <w:lang w:val="en-US" w:eastAsia="zh-CN"/>
              </w:rPr>
              <w:t>15</w:t>
            </w:r>
            <w:r>
              <w:rPr>
                <w:rFonts w:ascii="宋体" w:hAnsi="宋体" w:hint="eastAsia"/>
                <w:b w:val="0"/>
                <w:bCs/>
                <w:kern w:val="0"/>
                <w:szCs w:val="21"/>
                <w:highlight w:val="none"/>
              </w:rPr>
              <w:t>%；</w:t>
            </w:r>
          </w:p>
          <w:p>
            <w:pPr>
              <w:rPr>
                <w:rFonts w:ascii="宋体" w:hAnsi="宋体"/>
                <w:b w:val="0"/>
                <w:bCs/>
                <w:kern w:val="0"/>
                <w:szCs w:val="21"/>
                <w:highlight w:val="none"/>
              </w:rPr>
            </w:pPr>
          </w:p>
        </w:tc>
        <w:tc>
          <w:tcPr>
            <w:tcW w:w="2977" w:type="dxa"/>
            <w:vMerge/>
            <w:tcBorders>
              <w:top w:val="nil"/>
              <w:left w:val="single" w:sz="4" w:space="0" w:color="auto"/>
              <w:bottom w:val="single" w:sz="4" w:space="0" w:color="auto"/>
              <w:right w:val="single" w:sz="4" w:space="0" w:color="auto"/>
            </w:tcBorders>
            <w:vAlign w:val="center"/>
          </w:tcPr>
          <w:p>
            <w:pPr>
              <w:rPr>
                <w:rFonts w:ascii="宋体" w:hAnsi="宋体"/>
                <w:b w:val="0"/>
                <w:bCs/>
                <w:kern w:val="0"/>
                <w:szCs w:val="21"/>
                <w:highlight w:val="none"/>
              </w:rPr>
            </w:pPr>
          </w:p>
        </w:tc>
      </w:tr>
    </w:tbl>
    <w:p>
      <w:pPr>
        <w:ind w:left="632" w:hanging="630" w:hangingChars="300"/>
        <w:rPr>
          <w:rFonts w:hint="eastAsia"/>
          <w:b/>
          <w:color w:val="FF0000"/>
          <w:szCs w:val="21"/>
        </w:rPr>
      </w:pPr>
    </w:p>
    <w:p>
      <w:pPr>
        <w:keepNext/>
        <w:keepLines/>
        <w:widowControl w:val="0"/>
        <w:adjustRightInd w:val="0"/>
        <w:snapToGrid w:val="0"/>
        <w:spacing w:before="0" w:after="0" w:line="240" w:lineRule="auto"/>
        <w:ind w:left="0" w:firstLine="420" w:leftChars="0" w:firstLineChars="200"/>
        <w:jc w:val="both"/>
        <w:outlineLvl w:val="9"/>
        <w:rPr>
          <w:rFonts w:ascii="宋体" w:eastAsia="宋体" w:hAnsi="宋体" w:cs="宋体"/>
          <w:b w:val="0"/>
          <w:bCs/>
          <w:color w:val="000000"/>
          <w:kern w:val="2"/>
          <w:sz w:val="21"/>
          <w:szCs w:val="21"/>
          <w:lang w:val="en-US" w:eastAsia="zh-CN" w:bidi="ar-SA"/>
        </w:rPr>
      </w:pPr>
      <w:r>
        <w:rPr>
          <w:rFonts w:ascii="宋体" w:hAnsi="宋体" w:cs="宋体" w:hint="eastAsia"/>
          <w:b w:val="0"/>
          <w:bCs/>
          <w:color w:val="000000"/>
          <w:kern w:val="2"/>
          <w:sz w:val="21"/>
          <w:szCs w:val="21"/>
          <w:lang w:val="en-US" w:eastAsia="zh-CN" w:bidi="ar-SA"/>
        </w:rPr>
        <w:t>注：</w:t>
      </w:r>
      <w:r>
        <w:rPr>
          <w:rFonts w:ascii="宋体" w:eastAsia="宋体" w:hAnsi="宋体" w:cs="宋体" w:hint="eastAsia"/>
          <w:b w:val="0"/>
          <w:bCs/>
          <w:color w:val="000000"/>
          <w:kern w:val="2"/>
          <w:sz w:val="21"/>
          <w:szCs w:val="21"/>
          <w:lang w:val="en-US" w:eastAsia="zh-CN" w:bidi="ar-SA"/>
        </w:rPr>
        <w:t>关于《投标文件制作软件》中“投标报价”的填写：</w:t>
      </w:r>
    </w:p>
    <w:p>
      <w:pPr>
        <w:ind w:firstLine="412" w:firstLineChars="196"/>
        <w:rPr>
          <w:rFonts w:ascii="宋体" w:eastAsia="宋体" w:hAnsi="宋体" w:cs="宋体"/>
          <w:bCs/>
          <w:color w:val="000000"/>
          <w:szCs w:val="21"/>
        </w:rPr>
      </w:pPr>
      <w:r>
        <w:rPr>
          <w:rFonts w:ascii="宋体" w:eastAsia="宋体" w:hAnsi="宋体" w:cs="宋体"/>
          <w:bCs/>
          <w:color w:val="000000"/>
          <w:szCs w:val="21"/>
        </w:rPr>
        <w:drawing>
          <wp:inline distT="0" distB="0" distL="114300" distR="114300">
            <wp:extent cx="5276850" cy="2724150"/>
            <wp:effectExtent l="0" t="0" r="0" b="0"/>
            <wp:docPr id="3" name="图片 3"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应用程序&#10;&#10;描述已自动生成"/>
                    <pic:cNvPicPr>
                      <a:picLocks noChangeAspect="1"/>
                    </pic:cNvPicPr>
                  </pic:nvPicPr>
                  <pic:blipFill>
                    <a:blip xmlns:r="http://schemas.openxmlformats.org/officeDocument/2006/relationships" r:embed="rId8"/>
                    <a:stretch>
                      <a:fillRect/>
                    </a:stretch>
                  </pic:blipFill>
                  <pic:spPr>
                    <a:xfrm>
                      <a:off x="0" y="0"/>
                      <a:ext cx="5276850" cy="2724150"/>
                    </a:xfrm>
                    <a:prstGeom prst="rect">
                      <a:avLst/>
                    </a:prstGeom>
                    <a:noFill/>
                    <a:ln>
                      <a:noFill/>
                    </a:ln>
                  </pic:spPr>
                </pic:pic>
              </a:graphicData>
            </a:graphic>
          </wp:inline>
        </w:drawing>
      </w:r>
    </w:p>
    <w:p>
      <w:pPr>
        <w:pStyle w:val="BodyTextFirstIndent2"/>
        <w:numPr>
          <w:ilvl w:val="0"/>
          <w:numId w:val="0"/>
        </w:numPr>
        <w:spacing w:after="0" w:line="360" w:lineRule="exact"/>
        <w:ind w:left="0" w:firstLine="440" w:leftChars="0"/>
        <w:rPr>
          <w:rFonts w:ascii="Times New Roman" w:eastAsia="宋体" w:hAnsi="Times New Roman" w:cs="Times New Roman" w:hint="default"/>
          <w:kern w:val="2"/>
          <w:sz w:val="22"/>
          <w:szCs w:val="22"/>
          <w:lang w:val="en-US" w:eastAsia="zh-CN" w:bidi="ar-SA"/>
        </w:rPr>
      </w:pPr>
      <w:r>
        <w:rPr>
          <w:rFonts w:ascii="宋体" w:eastAsia="宋体" w:hAnsi="宋体" w:cs="宋体" w:hint="eastAsia"/>
          <w:bCs/>
          <w:color w:val="000000"/>
          <w:szCs w:val="21"/>
        </w:rPr>
        <w:t>上图中供应商填写的“投标报价”不作为报价参考。此处可以填写本项目</w:t>
      </w:r>
      <w:r>
        <w:rPr>
          <w:rFonts w:ascii="宋体" w:eastAsia="宋体" w:hAnsi="宋体" w:cs="宋体" w:hint="eastAsia"/>
          <w:b w:val="0"/>
          <w:bCs/>
          <w:color w:val="000000"/>
          <w:szCs w:val="21"/>
          <w:lang w:val="en-US" w:eastAsia="zh-CN"/>
        </w:rPr>
        <w:t>工时单价报价</w:t>
      </w:r>
      <w:r>
        <w:rPr>
          <w:rFonts w:ascii="宋体" w:eastAsia="宋体" w:hAnsi="宋体" w:cs="宋体" w:hint="eastAsia"/>
          <w:b w:val="0"/>
          <w:bCs/>
          <w:color w:val="000000"/>
          <w:szCs w:val="21"/>
        </w:rPr>
        <w:t>即可</w:t>
      </w:r>
      <w:r>
        <w:rPr>
          <w:rFonts w:ascii="宋体" w:eastAsia="宋体" w:hAnsi="宋体" w:cs="宋体" w:hint="eastAsia"/>
          <w:bCs/>
          <w:color w:val="000000"/>
          <w:szCs w:val="21"/>
        </w:rPr>
        <w:t>。</w:t>
      </w:r>
      <w:r>
        <w:rPr>
          <w:rFonts w:ascii="宋体" w:eastAsia="宋体" w:hAnsi="宋体" w:cs="宋体" w:hint="eastAsia"/>
          <w:bCs/>
          <w:color w:val="000000"/>
          <w:szCs w:val="21"/>
          <w:lang w:val="en-US" w:eastAsia="zh-CN"/>
        </w:rPr>
        <w:t>投标</w:t>
      </w:r>
      <w:r>
        <w:rPr>
          <w:rFonts w:ascii="宋体" w:eastAsia="宋体" w:hAnsi="宋体" w:cs="宋体" w:hint="eastAsia"/>
          <w:bCs/>
          <w:color w:val="000000"/>
          <w:szCs w:val="21"/>
        </w:rPr>
        <w:t>报价以供应商在</w:t>
      </w:r>
      <w:r>
        <w:rPr>
          <w:rFonts w:ascii="宋体" w:eastAsia="宋体" w:hAnsi="宋体" w:cs="宋体" w:hint="eastAsia"/>
          <w:bCs/>
          <w:color w:val="000000"/>
          <w:szCs w:val="21"/>
          <w:lang w:val="en-US" w:eastAsia="zh-CN"/>
        </w:rPr>
        <w:t>投标</w:t>
      </w:r>
      <w:r>
        <w:rPr>
          <w:rFonts w:ascii="宋体" w:eastAsia="宋体" w:hAnsi="宋体" w:cs="宋体" w:hint="eastAsia"/>
          <w:bCs/>
          <w:color w:val="000000"/>
          <w:szCs w:val="21"/>
        </w:rPr>
        <w:t>文件中提交的《分项报价表》为准。</w:t>
      </w:r>
    </w:p>
    <w:p>
      <w:pPr>
        <w:tabs>
          <w:tab w:val="left" w:pos="720"/>
        </w:tabs>
        <w:jc w:val="center"/>
        <w:rPr>
          <w:b/>
          <w:sz w:val="24"/>
        </w:rPr>
      </w:pP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pPr>
        <w:rPr>
          <w:b/>
          <w:bCs/>
        </w:rPr>
      </w:pPr>
    </w:p>
    <w:p/>
    <w:p>
      <w:pPr>
        <w:pStyle w:val="Heading3"/>
        <w:jc w:val="center"/>
        <w:rPr>
          <w:rFonts w:ascii="黑体" w:eastAsia="黑体" w:hint="eastAsia"/>
          <w:b w:val="0"/>
          <w:sz w:val="24"/>
          <w:szCs w:val="24"/>
        </w:rPr>
      </w:pPr>
      <w:r>
        <w:rPr>
          <w:rFonts w:ascii="黑体" w:eastAsia="黑体" w:hint="eastAsia"/>
          <w:b w:val="0"/>
          <w:sz w:val="24"/>
          <w:szCs w:val="24"/>
          <w:lang w:val="en-US" w:eastAsia="zh-CN"/>
        </w:rPr>
        <w:t>五、</w:t>
      </w:r>
      <w:r>
        <w:rPr>
          <w:rFonts w:ascii="黑体" w:eastAsia="黑体" w:hint="eastAsia"/>
          <w:b w:val="0"/>
          <w:sz w:val="24"/>
          <w:szCs w:val="24"/>
        </w:rPr>
        <w:t>供应商同类项目业绩情况（格式自定）</w:t>
      </w:r>
    </w:p>
    <w:p>
      <w:pPr>
        <w:pStyle w:val="BodyText"/>
        <w:rPr>
          <w:b w:val="0"/>
          <w:bCs w:val="0"/>
        </w:rPr>
      </w:pPr>
      <w:r>
        <w:rPr>
          <w:rFonts w:hint="eastAsia"/>
          <w:b w:val="0"/>
          <w:bCs w:val="0"/>
        </w:rPr>
        <w:t>（特别提示：投标人须按本招标文件评标信息中这一评审因素要求，提供证明资料）</w:t>
      </w:r>
    </w:p>
    <w:p>
      <w:pPr>
        <w:pStyle w:val="Heading3"/>
        <w:jc w:val="center"/>
        <w:rPr>
          <w:rFonts w:ascii="黑体" w:eastAsia="黑体" w:hint="eastAsia"/>
          <w:b w:val="0"/>
          <w:sz w:val="24"/>
          <w:szCs w:val="24"/>
        </w:rPr>
      </w:pPr>
      <w:r>
        <w:rPr>
          <w:rFonts w:ascii="黑体" w:eastAsia="黑体" w:hint="eastAsia"/>
          <w:b w:val="0"/>
          <w:sz w:val="24"/>
          <w:szCs w:val="24"/>
          <w:lang w:val="en-US" w:eastAsia="zh-CN"/>
        </w:rPr>
        <w:t>六、</w:t>
      </w:r>
      <w:r>
        <w:rPr>
          <w:rFonts w:ascii="黑体" w:eastAsia="黑体" w:hint="eastAsia"/>
          <w:b w:val="0"/>
          <w:sz w:val="24"/>
          <w:szCs w:val="24"/>
        </w:rPr>
        <w:t>服务网点</w:t>
      </w:r>
    </w:p>
    <w:p>
      <w:pPr>
        <w:spacing w:line="360" w:lineRule="auto"/>
        <w:jc w:val="center"/>
        <w:rPr>
          <w:sz w:val="24"/>
        </w:rPr>
      </w:pPr>
      <w:r>
        <w:rPr>
          <w:rFonts w:hint="eastAsia"/>
          <w:sz w:val="24"/>
        </w:rPr>
        <w:t>承诺函</w:t>
      </w:r>
    </w:p>
    <w:p>
      <w:pPr>
        <w:spacing w:line="360" w:lineRule="auto"/>
        <w:rPr>
          <w:sz w:val="24"/>
        </w:rPr>
      </w:pPr>
      <w:r>
        <w:rPr>
          <w:rFonts w:hint="eastAsia"/>
          <w:sz w:val="24"/>
        </w:rPr>
        <w:t>致：深圳公共资源交易中心、采购人</w:t>
      </w:r>
    </w:p>
    <w:p>
      <w:pPr>
        <w:spacing w:line="360" w:lineRule="auto"/>
        <w:ind w:firstLine="420" w:firstLineChars="200"/>
        <w:rPr>
          <w:sz w:val="24"/>
        </w:rPr>
      </w:pPr>
      <w:r>
        <w:rPr>
          <w:rFonts w:hint="eastAsia"/>
          <w:sz w:val="24"/>
        </w:rPr>
        <w:t>我单位承诺，中标后为本项目提供本地经营（服务）网点，如不遵守相应承诺，愿按违约处理，并承担由此给采购人带来的损失。</w:t>
      </w:r>
    </w:p>
    <w:p>
      <w:pPr>
        <w:spacing w:line="360" w:lineRule="auto"/>
        <w:ind w:right="960" w:firstLine="4830" w:firstLineChars="2300"/>
        <w:rPr>
          <w:sz w:val="24"/>
        </w:rPr>
      </w:pPr>
      <w:r>
        <w:rPr>
          <w:rFonts w:hint="eastAsia"/>
          <w:sz w:val="24"/>
        </w:rPr>
        <w:t xml:space="preserve">投标人：              </w:t>
      </w:r>
    </w:p>
    <w:p>
      <w:pPr>
        <w:spacing w:line="360" w:lineRule="auto"/>
        <w:rPr>
          <w:sz w:val="24"/>
        </w:rPr>
      </w:pPr>
      <w:r>
        <w:rPr>
          <w:rFonts w:hint="eastAsia"/>
          <w:sz w:val="24"/>
        </w:rPr>
        <w:t xml:space="preserve">                                              日期：    年   月   日</w:t>
      </w:r>
    </w:p>
    <w:p>
      <w:pPr>
        <w:spacing w:line="360" w:lineRule="auto"/>
        <w:rPr>
          <w:sz w:val="24"/>
        </w:rPr>
      </w:pPr>
      <w:r>
        <w:rPr>
          <w:b/>
          <w:bCs/>
          <w:sz w:val="24"/>
        </w:rPr>
        <w:t>特别提示：投标人需按以上模板要求提供承诺函，否则将按不得分处理</w:t>
      </w:r>
      <w:r>
        <w:rPr>
          <w:rFonts w:hint="eastAsia"/>
          <w:b/>
          <w:bCs/>
          <w:sz w:val="24"/>
        </w:rPr>
        <w:t>。</w:t>
      </w:r>
    </w:p>
    <w:p>
      <w:pPr>
        <w:spacing w:line="360" w:lineRule="auto"/>
        <w:rPr>
          <w:sz w:val="24"/>
        </w:rPr>
      </w:pPr>
      <w:r>
        <w:rPr>
          <w:rFonts w:hint="eastAsia"/>
          <w:sz w:val="24"/>
        </w:rPr>
        <w:t>（特别提示：投标人须按本招标文件评标信息中这一评审因素要求，提供证明资料）</w:t>
      </w:r>
    </w:p>
    <w:p/>
    <w:p>
      <w:pPr>
        <w:ind w:firstLine="1260" w:firstLineChars="600"/>
        <w:rPr>
          <w:b/>
          <w:color w:val="FF0000"/>
          <w:sz w:val="24"/>
        </w:rPr>
      </w:pPr>
      <w:r>
        <w:rPr>
          <w:rFonts w:hint="eastAsia"/>
          <w:b/>
          <w:color w:val="FF0000"/>
          <w:sz w:val="24"/>
        </w:rPr>
        <w:t>（信息公开部分的内容到此为止！以下为信息不公开部分。）</w:t>
      </w:r>
    </w:p>
    <w:p>
      <w:pPr>
        <w:jc w:val="center"/>
        <w:rPr>
          <w:b/>
          <w:sz w:val="32"/>
          <w:szCs w:val="32"/>
        </w:rPr>
      </w:pPr>
    </w:p>
    <w:p>
      <w:pPr>
        <w:jc w:val="center"/>
        <w:rPr>
          <w:b/>
          <w:sz w:val="32"/>
          <w:szCs w:val="32"/>
        </w:rPr>
      </w:pPr>
    </w:p>
    <w:p>
      <w:pPr>
        <w:rPr>
          <w:rFonts w:ascii="仿宋_GB2312" w:eastAsia="仿宋_GB2312"/>
          <w:b/>
          <w:sz w:val="30"/>
          <w:szCs w:val="30"/>
        </w:rPr>
      </w:pPr>
      <w:r>
        <w:rPr>
          <w:rFonts w:ascii="仿宋_GB2312" w:eastAsia="仿宋_GB2312" w:hint="eastAsia"/>
          <w:b/>
          <w:sz w:val="30"/>
          <w:szCs w:val="30"/>
        </w:rPr>
        <w:br w:type="page"/>
      </w:r>
    </w:p>
    <w:p>
      <w:pPr>
        <w:outlineLvl w:val="1"/>
        <w:rPr>
          <w:rFonts w:ascii="宋体" w:hAnsi="宋体" w:hint="eastAsia"/>
          <w:b/>
          <w:color w:val="FF0000"/>
          <w:sz w:val="28"/>
          <w:szCs w:val="28"/>
        </w:rPr>
      </w:pPr>
      <w:r>
        <w:rPr>
          <w:rFonts w:ascii="宋体" w:hAnsi="宋体" w:hint="eastAsia"/>
          <w:b/>
          <w:color w:val="FF0000"/>
          <w:sz w:val="28"/>
          <w:szCs w:val="28"/>
        </w:rPr>
        <w:t>投标文件附件（信息不公开部分）</w:t>
      </w:r>
    </w:p>
    <w:p>
      <w:pPr>
        <w:snapToGrid w:val="0"/>
        <w:jc w:val="center"/>
        <w:outlineLvl w:val="2"/>
        <w:rPr>
          <w:rFonts w:ascii="黑体" w:eastAsia="黑体" w:hAnsi="宋体" w:hint="eastAsia"/>
          <w:bCs/>
          <w:sz w:val="24"/>
          <w:szCs w:val="32"/>
        </w:rPr>
      </w:pPr>
      <w:r>
        <w:rPr>
          <w:rFonts w:ascii="黑体" w:eastAsia="黑体" w:hAnsi="宋体" w:hint="eastAsia"/>
          <w:bCs/>
          <w:sz w:val="24"/>
          <w:szCs w:val="32"/>
        </w:rPr>
        <w:t>一、供应商基本情况表</w:t>
      </w:r>
    </w:p>
    <w:tbl>
      <w:tblPr>
        <w:tblStyle w:val="TableGrid"/>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0"/>
        <w:gridCol w:w="645"/>
        <w:gridCol w:w="1530"/>
        <w:gridCol w:w="904"/>
        <w:gridCol w:w="752"/>
        <w:gridCol w:w="1146"/>
        <w:gridCol w:w="1429"/>
        <w:gridCol w:w="1420"/>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89" w:type="pct"/>
            <w:gridSpan w:val="2"/>
            <w:vAlign w:val="center"/>
          </w:tcPr>
          <w:p>
            <w:pPr>
              <w:rPr>
                <w:rFonts w:ascii="宋体" w:hAnsi="宋体" w:cs="宋体" w:hint="eastAsia"/>
                <w:szCs w:val="21"/>
              </w:rPr>
            </w:pPr>
            <w:r>
              <w:rPr>
                <w:rFonts w:ascii="宋体" w:hAnsi="宋体" w:cs="宋体" w:hint="eastAsia"/>
                <w:szCs w:val="21"/>
              </w:rPr>
              <w:t>投标（响应）供应商</w:t>
            </w:r>
          </w:p>
        </w:tc>
        <w:tc>
          <w:tcPr>
            <w:tcW w:w="1427" w:type="pct"/>
            <w:gridSpan w:val="2"/>
            <w:vAlign w:val="center"/>
          </w:tcPr>
          <w:p>
            <w:pPr>
              <w:jc w:val="center"/>
              <w:rPr>
                <w:rFonts w:ascii="宋体" w:hAnsi="宋体" w:cs="宋体" w:hint="eastAsia"/>
                <w:szCs w:val="21"/>
              </w:rPr>
            </w:pPr>
          </w:p>
        </w:tc>
        <w:tc>
          <w:tcPr>
            <w:tcW w:w="1113" w:type="pct"/>
            <w:gridSpan w:val="2"/>
            <w:vAlign w:val="center"/>
          </w:tcPr>
          <w:p>
            <w:pPr>
              <w:jc w:val="center"/>
              <w:rPr>
                <w:rFonts w:ascii="宋体" w:hAnsi="宋体" w:cs="宋体" w:hint="eastAsia"/>
                <w:szCs w:val="21"/>
              </w:rPr>
            </w:pPr>
            <w:r>
              <w:rPr>
                <w:rFonts w:ascii="宋体" w:hAnsi="宋体" w:cs="宋体" w:hint="eastAsia"/>
                <w:szCs w:val="21"/>
              </w:rPr>
              <w:t>项目名称及编号</w:t>
            </w:r>
          </w:p>
        </w:tc>
        <w:tc>
          <w:tcPr>
            <w:tcW w:w="1669" w:type="pct"/>
            <w:gridSpan w:val="2"/>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5000" w:type="pct"/>
            <w:gridSpan w:val="8"/>
            <w:vAlign w:val="center"/>
          </w:tcPr>
          <w:p>
            <w:pPr>
              <w:jc w:val="center"/>
              <w:rPr>
                <w:rFonts w:ascii="宋体" w:hAnsi="宋体" w:cs="宋体" w:hint="eastAsia"/>
                <w:szCs w:val="21"/>
              </w:rPr>
            </w:pPr>
            <w:r>
              <w:rPr>
                <w:rFonts w:ascii="宋体" w:hAnsi="宋体" w:cs="宋体" w:hint="eastAsia"/>
                <w:b/>
                <w:bCs/>
                <w:szCs w:val="21"/>
              </w:rPr>
              <w:t>投标（响应）供应商相关人员情况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vAlign w:val="center"/>
          </w:tcPr>
          <w:p>
            <w:pPr>
              <w:snapToGrid w:val="0"/>
              <w:jc w:val="center"/>
              <w:rPr>
                <w:rFonts w:ascii="宋体" w:hAnsi="宋体" w:cs="宋体" w:hint="eastAsia"/>
                <w:szCs w:val="21"/>
              </w:rPr>
            </w:pPr>
            <w:r>
              <w:rPr>
                <w:rFonts w:ascii="宋体" w:hAnsi="宋体" w:cs="宋体" w:hint="eastAsia"/>
                <w:szCs w:val="21"/>
              </w:rPr>
              <w:t>序号</w:t>
            </w:r>
          </w:p>
        </w:tc>
        <w:tc>
          <w:tcPr>
            <w:tcW w:w="1275" w:type="pct"/>
            <w:gridSpan w:val="2"/>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职务</w:t>
            </w:r>
          </w:p>
        </w:tc>
        <w:tc>
          <w:tcPr>
            <w:tcW w:w="529" w:type="pct"/>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姓名</w:t>
            </w:r>
          </w:p>
        </w:tc>
        <w:tc>
          <w:tcPr>
            <w:tcW w:w="1113" w:type="pct"/>
            <w:gridSpan w:val="2"/>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身份证号码</w:t>
            </w:r>
          </w:p>
        </w:tc>
        <w:tc>
          <w:tcPr>
            <w:tcW w:w="838" w:type="pct"/>
            <w:tcBorders>
              <w:bottom w:val="single" w:sz="4" w:space="0" w:color="auto"/>
            </w:tcBorders>
            <w:vAlign w:val="center"/>
          </w:tcPr>
          <w:p>
            <w:pPr>
              <w:snapToGrid w:val="0"/>
              <w:jc w:val="center"/>
              <w:rPr>
                <w:rFonts w:ascii="宋体" w:hAnsi="宋体" w:cs="宋体" w:hint="eastAsia"/>
                <w:szCs w:val="21"/>
              </w:rPr>
            </w:pPr>
            <w:r>
              <w:rPr>
                <w:rFonts w:ascii="宋体" w:hAnsi="宋体" w:cs="宋体" w:hint="eastAsia"/>
                <w:szCs w:val="21"/>
              </w:rPr>
              <w:t>劳动合同</w:t>
            </w:r>
          </w:p>
          <w:p>
            <w:pPr>
              <w:snapToGrid w:val="0"/>
              <w:jc w:val="center"/>
              <w:rPr>
                <w:rFonts w:ascii="宋体" w:hAnsi="宋体" w:cs="宋体" w:hint="eastAsia"/>
                <w:szCs w:val="21"/>
              </w:rPr>
            </w:pPr>
            <w:r>
              <w:rPr>
                <w:rFonts w:ascii="宋体" w:hAnsi="宋体" w:cs="宋体" w:hint="eastAsia"/>
                <w:szCs w:val="21"/>
              </w:rPr>
              <w:t>关系单位</w:t>
            </w:r>
          </w:p>
        </w:tc>
        <w:tc>
          <w:tcPr>
            <w:tcW w:w="830" w:type="pct"/>
            <w:tcBorders>
              <w:bottom w:val="single" w:sz="4" w:space="0" w:color="auto"/>
            </w:tcBorders>
            <w:vAlign w:val="center"/>
          </w:tcPr>
          <w:p>
            <w:pPr>
              <w:snapToGrid w:val="0"/>
              <w:jc w:val="center"/>
              <w:rPr>
                <w:rFonts w:ascii="宋体" w:hAnsi="宋体" w:cs="宋体" w:hint="eastAsia"/>
                <w:szCs w:val="21"/>
              </w:rPr>
            </w:pPr>
            <w:r>
              <w:rPr>
                <w:rFonts w:ascii="宋体" w:hAnsi="宋体" w:cs="宋体" w:hint="eastAsia"/>
                <w:szCs w:val="21"/>
              </w:rPr>
              <w:t>缴纳社会</w:t>
            </w:r>
          </w:p>
          <w:p>
            <w:pPr>
              <w:snapToGrid w:val="0"/>
              <w:jc w:val="center"/>
              <w:rPr>
                <w:rFonts w:ascii="宋体" w:hAnsi="宋体" w:cs="宋体" w:hint="eastAsia"/>
                <w:szCs w:val="21"/>
              </w:rPr>
            </w:pPr>
            <w:r>
              <w:rPr>
                <w:rFonts w:ascii="宋体" w:hAnsi="宋体" w:cs="宋体" w:hint="eastAsia"/>
                <w:szCs w:val="21"/>
              </w:rPr>
              <w:t>保险单位</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spacing w:line="460" w:lineRule="exact"/>
              <w:jc w:val="center"/>
              <w:rPr>
                <w:rFonts w:ascii="宋体" w:hAnsi="宋体" w:cs="宋体" w:hint="eastAsia"/>
                <w:szCs w:val="21"/>
              </w:rPr>
            </w:pPr>
            <w:r>
              <w:rPr>
                <w:rFonts w:ascii="宋体" w:hAnsi="宋体" w:cs="宋体" w:hint="eastAsia"/>
                <w:szCs w:val="21"/>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tcBorders>
            <w:vAlign w:val="center"/>
          </w:tcPr>
          <w:p>
            <w:pPr>
              <w:jc w:val="center"/>
              <w:rPr>
                <w:rFonts w:ascii="宋体" w:hAnsi="宋体" w:cs="宋体" w:hint="eastAsia"/>
                <w:szCs w:val="21"/>
              </w:rPr>
            </w:pPr>
            <w:r>
              <w:rPr>
                <w:rFonts w:ascii="宋体" w:hAnsi="宋体" w:cs="宋体" w:hint="eastAsia"/>
                <w:szCs w:val="21"/>
              </w:rPr>
              <w:t>3</w:t>
            </w:r>
          </w:p>
        </w:tc>
        <w:tc>
          <w:tcPr>
            <w:tcW w:w="1275" w:type="pct"/>
            <w:gridSpan w:val="2"/>
            <w:tcBorders>
              <w:top w:val="single" w:sz="4" w:space="0" w:color="auto"/>
            </w:tcBorders>
            <w:vAlign w:val="center"/>
          </w:tcPr>
          <w:p>
            <w:pPr>
              <w:jc w:val="center"/>
              <w:rPr>
                <w:rFonts w:ascii="宋体" w:hAnsi="宋体" w:cs="宋体" w:hint="eastAsia"/>
                <w:szCs w:val="21"/>
              </w:rPr>
            </w:pPr>
            <w:r>
              <w:rPr>
                <w:rFonts w:ascii="宋体" w:hAnsi="宋体" w:cs="宋体" w:hint="eastAsia"/>
                <w:szCs w:val="21"/>
              </w:rPr>
              <w:t>项目负责人</w:t>
            </w:r>
          </w:p>
        </w:tc>
        <w:tc>
          <w:tcPr>
            <w:tcW w:w="529" w:type="pct"/>
            <w:tcBorders>
              <w:top w:val="single" w:sz="4" w:space="0" w:color="auto"/>
            </w:tcBorders>
            <w:vAlign w:val="center"/>
          </w:tcPr>
          <w:p>
            <w:pPr>
              <w:jc w:val="center"/>
              <w:rPr>
                <w:rFonts w:ascii="宋体" w:hAnsi="宋体" w:cs="宋体" w:hint="eastAsia"/>
                <w:szCs w:val="21"/>
              </w:rPr>
            </w:pPr>
          </w:p>
        </w:tc>
        <w:tc>
          <w:tcPr>
            <w:tcW w:w="1113" w:type="pct"/>
            <w:gridSpan w:val="2"/>
            <w:tcBorders>
              <w:top w:val="single" w:sz="4" w:space="0" w:color="auto"/>
            </w:tcBorders>
            <w:vAlign w:val="center"/>
          </w:tcPr>
          <w:p>
            <w:pPr>
              <w:jc w:val="center"/>
              <w:rPr>
                <w:rFonts w:ascii="宋体" w:hAnsi="宋体" w:cs="宋体" w:hint="eastAsia"/>
                <w:szCs w:val="21"/>
              </w:rPr>
            </w:pPr>
          </w:p>
        </w:tc>
        <w:tc>
          <w:tcPr>
            <w:tcW w:w="838" w:type="pct"/>
            <w:tcBorders>
              <w:top w:val="single" w:sz="4" w:space="0" w:color="auto"/>
            </w:tcBorders>
            <w:vAlign w:val="center"/>
          </w:tcPr>
          <w:p>
            <w:pPr>
              <w:jc w:val="center"/>
              <w:rPr>
                <w:rFonts w:ascii="宋体" w:hAnsi="宋体" w:cs="宋体" w:hint="eastAsia"/>
                <w:szCs w:val="21"/>
              </w:rPr>
            </w:pPr>
          </w:p>
        </w:tc>
        <w:tc>
          <w:tcPr>
            <w:tcW w:w="830" w:type="pct"/>
            <w:tcBorders>
              <w:top w:val="single" w:sz="4" w:space="0" w:color="auto"/>
            </w:tcBorders>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411" w:type="pct"/>
            <w:vAlign w:val="center"/>
          </w:tcPr>
          <w:p>
            <w:pPr>
              <w:jc w:val="center"/>
              <w:rPr>
                <w:rFonts w:ascii="宋体" w:hAnsi="宋体" w:cs="宋体" w:hint="eastAsia"/>
                <w:szCs w:val="21"/>
              </w:rPr>
            </w:pPr>
            <w:r>
              <w:rPr>
                <w:rFonts w:ascii="宋体" w:hAnsi="宋体" w:cs="宋体" w:hint="eastAsia"/>
                <w:szCs w:val="21"/>
              </w:rPr>
              <w:t>4</w:t>
            </w:r>
          </w:p>
        </w:tc>
        <w:tc>
          <w:tcPr>
            <w:tcW w:w="1275" w:type="pct"/>
            <w:gridSpan w:val="2"/>
            <w:vAlign w:val="center"/>
          </w:tcPr>
          <w:p>
            <w:pPr>
              <w:jc w:val="center"/>
              <w:rPr>
                <w:rFonts w:ascii="宋体" w:hAnsi="宋体" w:cs="宋体" w:hint="eastAsia"/>
                <w:szCs w:val="21"/>
              </w:rPr>
            </w:pPr>
            <w:r>
              <w:rPr>
                <w:rFonts w:ascii="宋体" w:hAnsi="宋体" w:cs="宋体" w:hint="eastAsia"/>
                <w:szCs w:val="21"/>
              </w:rPr>
              <w:t>主要技术人员</w:t>
            </w:r>
          </w:p>
        </w:tc>
        <w:tc>
          <w:tcPr>
            <w:tcW w:w="529" w:type="pct"/>
            <w:vAlign w:val="center"/>
          </w:tcPr>
          <w:p>
            <w:pPr>
              <w:jc w:val="center"/>
              <w:rPr>
                <w:rFonts w:ascii="宋体" w:hAnsi="宋体" w:cs="宋体" w:hint="eastAsia"/>
                <w:szCs w:val="21"/>
              </w:rPr>
            </w:pPr>
          </w:p>
        </w:tc>
        <w:tc>
          <w:tcPr>
            <w:tcW w:w="1113" w:type="pct"/>
            <w:gridSpan w:val="2"/>
            <w:vAlign w:val="center"/>
          </w:tcPr>
          <w:p>
            <w:pPr>
              <w:jc w:val="center"/>
              <w:rPr>
                <w:rFonts w:ascii="宋体" w:hAnsi="宋体" w:cs="宋体" w:hint="eastAsia"/>
                <w:szCs w:val="21"/>
              </w:rPr>
            </w:pPr>
          </w:p>
        </w:tc>
        <w:tc>
          <w:tcPr>
            <w:tcW w:w="838" w:type="pct"/>
            <w:vAlign w:val="center"/>
          </w:tcPr>
          <w:p>
            <w:pPr>
              <w:jc w:val="center"/>
              <w:rPr>
                <w:rFonts w:ascii="宋体" w:hAnsi="宋体" w:cs="宋体" w:hint="eastAsia"/>
                <w:szCs w:val="21"/>
              </w:rPr>
            </w:pPr>
          </w:p>
        </w:tc>
        <w:tc>
          <w:tcPr>
            <w:tcW w:w="830" w:type="pct"/>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411" w:type="pct"/>
            <w:vAlign w:val="center"/>
          </w:tcPr>
          <w:p>
            <w:pPr>
              <w:jc w:val="center"/>
              <w:rPr>
                <w:rFonts w:ascii="宋体" w:hAnsi="宋体" w:cs="宋体" w:hint="eastAsia"/>
                <w:szCs w:val="21"/>
              </w:rPr>
            </w:pPr>
            <w:r>
              <w:rPr>
                <w:rFonts w:ascii="宋体" w:hAnsi="宋体" w:cs="宋体" w:hint="eastAsia"/>
                <w:szCs w:val="21"/>
              </w:rPr>
              <w:t>5</w:t>
            </w:r>
          </w:p>
        </w:tc>
        <w:tc>
          <w:tcPr>
            <w:tcW w:w="1275" w:type="pct"/>
            <w:gridSpan w:val="2"/>
            <w:vAlign w:val="center"/>
          </w:tcPr>
          <w:p>
            <w:pPr>
              <w:snapToGrid w:val="0"/>
              <w:jc w:val="center"/>
              <w:rPr>
                <w:rFonts w:ascii="宋体" w:hAnsi="宋体" w:cs="宋体" w:hint="eastAsia"/>
                <w:szCs w:val="21"/>
              </w:rPr>
            </w:pPr>
            <w:r>
              <w:rPr>
                <w:rFonts w:ascii="宋体" w:hAnsi="宋体" w:cs="宋体" w:hint="eastAsia"/>
                <w:szCs w:val="21"/>
              </w:rPr>
              <w:t>投标文件编制人员</w:t>
            </w:r>
          </w:p>
        </w:tc>
        <w:tc>
          <w:tcPr>
            <w:tcW w:w="529" w:type="pct"/>
            <w:vAlign w:val="center"/>
          </w:tcPr>
          <w:p>
            <w:pPr>
              <w:jc w:val="center"/>
              <w:rPr>
                <w:rFonts w:ascii="宋体" w:hAnsi="宋体" w:cs="宋体" w:hint="eastAsia"/>
                <w:szCs w:val="21"/>
              </w:rPr>
            </w:pPr>
          </w:p>
        </w:tc>
        <w:tc>
          <w:tcPr>
            <w:tcW w:w="1113" w:type="pct"/>
            <w:gridSpan w:val="2"/>
            <w:vAlign w:val="center"/>
          </w:tcPr>
          <w:p>
            <w:pPr>
              <w:jc w:val="center"/>
              <w:rPr>
                <w:rFonts w:ascii="宋体" w:hAnsi="宋体" w:cs="宋体" w:hint="eastAsia"/>
                <w:szCs w:val="21"/>
              </w:rPr>
            </w:pPr>
          </w:p>
        </w:tc>
        <w:tc>
          <w:tcPr>
            <w:tcW w:w="838" w:type="pct"/>
            <w:vAlign w:val="center"/>
          </w:tcPr>
          <w:p>
            <w:pPr>
              <w:jc w:val="center"/>
              <w:rPr>
                <w:rFonts w:ascii="宋体" w:hAnsi="宋体" w:cs="宋体" w:hint="eastAsia"/>
                <w:szCs w:val="21"/>
              </w:rPr>
            </w:pPr>
          </w:p>
        </w:tc>
        <w:tc>
          <w:tcPr>
            <w:tcW w:w="830" w:type="pct"/>
            <w:vAlign w:val="center"/>
          </w:tcPr>
          <w:p>
            <w:pPr>
              <w:jc w:val="center"/>
              <w:rPr>
                <w:rFonts w:ascii="宋体" w:hAnsi="宋体" w:cs="宋体" w:hint="eastAsia"/>
                <w:szCs w:val="21"/>
              </w:rPr>
            </w:pPr>
          </w:p>
        </w:tc>
      </w:tr>
      <w:tr>
        <w:tblPrEx>
          <w:tblW w:w="4998" w:type="pct"/>
          <w:jc w:val="center"/>
          <w:tblCellMar>
            <w:top w:w="0" w:type="dxa"/>
            <w:left w:w="108" w:type="dxa"/>
            <w:bottom w:w="0" w:type="dxa"/>
            <w:right w:w="108" w:type="dxa"/>
          </w:tblCellMar>
        </w:tblPrEx>
        <w:trPr>
          <w:jc w:val="center"/>
        </w:trPr>
        <w:tc>
          <w:tcPr>
            <w:tcW w:w="5000" w:type="pct"/>
            <w:gridSpan w:val="8"/>
            <w:vAlign w:val="center"/>
          </w:tcPr>
          <w:p>
            <w:pPr>
              <w:rPr>
                <w:rFonts w:ascii="宋体" w:hAnsi="宋体" w:cs="宋体" w:hint="eastAsia"/>
                <w:szCs w:val="21"/>
              </w:rPr>
            </w:pPr>
            <w:r>
              <w:rPr>
                <w:rFonts w:ascii="宋体" w:hAnsi="宋体" w:cs="宋体" w:hint="eastAsia"/>
                <w:b/>
                <w:bCs/>
                <w:szCs w:val="21"/>
              </w:rPr>
              <w:t>说明：同一职务有多人担任（如主要技术人员），应分行填写。</w:t>
            </w:r>
          </w:p>
        </w:tc>
      </w:tr>
      <w:tr>
        <w:tblPrEx>
          <w:tblW w:w="4998" w:type="pct"/>
          <w:jc w:val="center"/>
          <w:tblCellMar>
            <w:top w:w="0" w:type="dxa"/>
            <w:left w:w="108" w:type="dxa"/>
            <w:bottom w:w="0" w:type="dxa"/>
            <w:right w:w="108" w:type="dxa"/>
          </w:tblCellMar>
        </w:tblPrEx>
        <w:trPr>
          <w:trHeight w:val="539"/>
          <w:jc w:val="center"/>
        </w:trPr>
        <w:tc>
          <w:tcPr>
            <w:tcW w:w="5000" w:type="pct"/>
            <w:gridSpan w:val="8"/>
            <w:vAlign w:val="center"/>
          </w:tcPr>
          <w:p>
            <w:pPr>
              <w:jc w:val="center"/>
              <w:rPr>
                <w:rFonts w:ascii="宋体" w:hAnsi="宋体" w:cs="宋体" w:hint="eastAsia"/>
                <w:b/>
                <w:bCs/>
                <w:szCs w:val="21"/>
              </w:rPr>
            </w:pPr>
            <w:r>
              <w:rPr>
                <w:rFonts w:ascii="宋体" w:hAnsi="宋体" w:cs="宋体" w:hint="eastAsia"/>
                <w:b/>
                <w:bCs/>
                <w:szCs w:val="21"/>
              </w:rPr>
              <w:t>投标（响应）供应商关联关系情况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序号</w:t>
            </w:r>
          </w:p>
        </w:tc>
        <w:tc>
          <w:tcPr>
            <w:tcW w:w="1275" w:type="pct"/>
            <w:gridSpan w:val="2"/>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关联关系类型</w:t>
            </w:r>
          </w:p>
        </w:tc>
        <w:tc>
          <w:tcPr>
            <w:tcW w:w="971" w:type="pct"/>
            <w:gridSpan w:val="2"/>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关联主体名称</w:t>
            </w:r>
          </w:p>
        </w:tc>
        <w:tc>
          <w:tcPr>
            <w:tcW w:w="2340" w:type="pct"/>
            <w:gridSpan w:val="3"/>
            <w:tcBorders>
              <w:bottom w:val="single" w:sz="4" w:space="0" w:color="auto"/>
            </w:tcBorders>
            <w:vAlign w:val="center"/>
          </w:tcPr>
          <w:p>
            <w:pPr>
              <w:jc w:val="center"/>
              <w:rPr>
                <w:rFonts w:ascii="宋体" w:hAnsi="宋体" w:cs="宋体" w:hint="eastAsia"/>
                <w:szCs w:val="21"/>
              </w:rPr>
            </w:pPr>
            <w:r>
              <w:rPr>
                <w:rFonts w:ascii="宋体" w:hAnsi="宋体" w:cs="宋体" w:hint="eastAsia"/>
                <w:szCs w:val="21"/>
              </w:rPr>
              <w:t>备注</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hint="eastAsia"/>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4998" w:type="pct"/>
          <w:jc w:val="center"/>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r>
              <w:rPr>
                <w:rFonts w:ascii="宋体" w:hAnsi="宋体" w:cs="宋体" w:hint="eastAsia"/>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hAnsi="宋体" w:cs="宋体" w:hint="eastAsia"/>
                <w:szCs w:val="21"/>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hint="eastAsia"/>
                <w:szCs w:val="21"/>
              </w:rPr>
            </w:pPr>
            <w:r>
              <w:rPr>
                <w:rFonts w:ascii="宋体" w:hAnsi="宋体" w:cs="宋体" w:hint="eastAsia"/>
                <w:szCs w:val="21"/>
              </w:rPr>
              <w:t>指对投标（响应）供应商不具有出资持股关系，但对其存在管理关系的主体。</w:t>
            </w:r>
          </w:p>
        </w:tc>
      </w:tr>
      <w:tr>
        <w:tblPrEx>
          <w:tblW w:w="4998" w:type="pct"/>
          <w:jc w:val="center"/>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snapToGrid w:val="0"/>
              <w:rPr>
                <w:rFonts w:ascii="宋体" w:hAnsi="宋体" w:cs="宋体" w:hint="eastAsia"/>
                <w:szCs w:val="21"/>
              </w:rPr>
            </w:pPr>
            <w:r>
              <w:rPr>
                <w:rFonts w:ascii="宋体" w:hAnsi="宋体" w:cs="宋体" w:hint="eastAsia"/>
                <w:b/>
                <w:bCs/>
                <w:szCs w:val="21"/>
              </w:rPr>
              <w:t>说明：同一关联关系类型有多个主体的，应分行填写。</w:t>
            </w:r>
          </w:p>
        </w:tc>
      </w:tr>
    </w:tbl>
    <w:p>
      <w:pPr>
        <w:pStyle w:val="NoSpacing"/>
        <w:rPr>
          <w:rFonts w:ascii="宋体" w:hAnsi="宋体" w:hint="eastAsia"/>
          <w:b/>
          <w:color w:val="FF0000"/>
          <w:sz w:val="28"/>
          <w:szCs w:val="28"/>
        </w:rPr>
      </w:pPr>
    </w:p>
    <w:p>
      <w:pPr>
        <w:pStyle w:val="Heading3"/>
        <w:jc w:val="center"/>
        <w:rPr>
          <w:rFonts w:ascii="黑体" w:eastAsia="黑体" w:hint="eastAsia"/>
          <w:b w:val="0"/>
          <w:sz w:val="24"/>
        </w:rPr>
      </w:pPr>
      <w:r>
        <w:rPr>
          <w:rFonts w:ascii="黑体" w:eastAsia="黑体" w:hint="eastAsia"/>
          <w:b w:val="0"/>
          <w:sz w:val="24"/>
        </w:rPr>
        <w:t>二、</w:t>
      </w:r>
      <w:bookmarkStart w:id="44" w:name="_Hlk72092499"/>
      <w:r>
        <w:rPr>
          <w:rFonts w:ascii="黑体" w:eastAsia="黑体" w:hint="eastAsia"/>
          <w:b w:val="0"/>
          <w:sz w:val="24"/>
        </w:rPr>
        <w:t>法定代表人（负责人）证明书</w:t>
      </w:r>
      <w:bookmarkEnd w:id="44"/>
    </w:p>
    <w:p>
      <w:pPr>
        <w:rPr>
          <w:sz w:val="24"/>
        </w:rPr>
      </w:pP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0"/>
        </w:numPr>
        <w:spacing w:line="360" w:lineRule="auto"/>
        <w:ind w:firstLine="420" w:firstLineChars="200"/>
        <w:rPr>
          <w:szCs w:val="21"/>
        </w:rPr>
      </w:pPr>
      <w:r>
        <w:rPr>
          <w:rFonts w:hint="eastAsia"/>
          <w:szCs w:val="21"/>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0" w:firstLineChars="200"/>
        <w:rPr>
          <w:szCs w:val="21"/>
        </w:rPr>
      </w:pPr>
      <w:r>
        <w:rPr>
          <w:rFonts w:hint="eastAsia"/>
          <w:szCs w:val="21"/>
        </w:rPr>
        <w:t>本项目投标授权代表为法定代表人（负责人）的，无需提供</w:t>
      </w:r>
      <w:r>
        <w:rPr>
          <w:rFonts w:hint="eastAsia"/>
          <w:szCs w:val="21"/>
        </w:rPr>
        <w:t>《投标文件签署授权委托书》</w:t>
      </w:r>
      <w:r>
        <w:rPr>
          <w:rFonts w:hint="eastAsia"/>
          <w:szCs w:val="21"/>
        </w:rPr>
        <w:t>。</w:t>
      </w:r>
    </w:p>
    <w:p>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pPr>
            <w:r>
              <w:rPr>
                <w:rFonts w:hint="eastAsia"/>
              </w:rPr>
              <w:t>证件扫描件正面</w:t>
            </w:r>
          </w:p>
          <w:p>
            <w:pPr>
              <w:pStyle w:val="BodyText"/>
            </w:pPr>
          </w:p>
          <w:p>
            <w:pPr>
              <w:pStyle w:val="BodyText2"/>
            </w:pPr>
          </w:p>
          <w:p>
            <w:pPr>
              <w:pStyle w:val="BodyText2"/>
            </w:pPr>
          </w:p>
          <w:p>
            <w:pPr>
              <w:pStyle w:val="BodyText2"/>
            </w:pPr>
          </w:p>
        </w:tc>
        <w:tc>
          <w:tcPr>
            <w:tcW w:w="4265" w:type="dxa"/>
          </w:tcPr>
          <w:p>
            <w:pPr>
              <w:jc w:val="center"/>
            </w:pPr>
            <w:r>
              <w:rPr>
                <w:rFonts w:hint="eastAsia"/>
              </w:rPr>
              <w:t>证件扫描件反面</w:t>
            </w:r>
          </w:p>
          <w:p>
            <w:pPr>
              <w:pStyle w:val="BodyText"/>
              <w:jc w:val="center"/>
            </w:pPr>
          </w:p>
          <w:p>
            <w:pPr>
              <w:pStyle w:val="BodyText2"/>
              <w:jc w:val="center"/>
            </w:pPr>
          </w:p>
        </w:tc>
      </w:tr>
    </w:tbl>
    <w:p>
      <w:pPr>
        <w:pStyle w:val="NoSpacing"/>
        <w:rPr>
          <w:rFonts w:ascii="黑体" w:eastAsia="黑体" w:hAnsi="黑体" w:cs="黑体" w:hint="eastAsia"/>
          <w:b/>
          <w:bCs/>
          <w:sz w:val="24"/>
          <w:szCs w:val="24"/>
        </w:rPr>
      </w:pPr>
    </w:p>
    <w:p>
      <w:pPr>
        <w:pStyle w:val="NoSpacing"/>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rPr>
          <w:sz w:val="24"/>
        </w:rPr>
      </w:pPr>
    </w:p>
    <w:p>
      <w:pPr>
        <w:pStyle w:val="Heading3"/>
        <w:spacing w:before="120" w:after="120"/>
        <w:jc w:val="center"/>
        <w:rPr>
          <w:rFonts w:ascii="黑体" w:eastAsia="黑体" w:hint="eastAsia"/>
          <w:b w:val="0"/>
          <w:sz w:val="24"/>
        </w:rPr>
      </w:pPr>
      <w:r>
        <w:rPr>
          <w:rFonts w:ascii="黑体" w:eastAsia="黑体" w:hint="eastAsia"/>
          <w:b w:val="0"/>
          <w:sz w:val="24"/>
        </w:rPr>
        <w:t>三、投标文件签署授权委托书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pPr>
            <w:r>
              <w:rPr>
                <w:rFonts w:hint="eastAsia"/>
              </w:rPr>
              <w:t>证件扫描件正面</w:t>
            </w:r>
          </w:p>
          <w:p>
            <w:pPr>
              <w:pStyle w:val="BodyText"/>
            </w:pPr>
          </w:p>
          <w:p>
            <w:pPr>
              <w:pStyle w:val="BodyText2"/>
            </w:pPr>
          </w:p>
          <w:p>
            <w:pPr>
              <w:pStyle w:val="BodyText2"/>
            </w:pPr>
          </w:p>
          <w:p>
            <w:pPr>
              <w:pStyle w:val="BodyText2"/>
            </w:pPr>
          </w:p>
        </w:tc>
        <w:tc>
          <w:tcPr>
            <w:tcW w:w="4265" w:type="dxa"/>
          </w:tcPr>
          <w:p>
            <w:pPr>
              <w:jc w:val="center"/>
            </w:pPr>
            <w:r>
              <w:rPr>
                <w:rFonts w:hint="eastAsia"/>
              </w:rPr>
              <w:t>证件扫描件反面</w:t>
            </w:r>
          </w:p>
          <w:p>
            <w:pPr>
              <w:pStyle w:val="BodyText"/>
              <w:jc w:val="center"/>
            </w:pPr>
          </w:p>
          <w:p>
            <w:pPr>
              <w:pStyle w:val="BodyText2"/>
              <w:jc w:val="center"/>
            </w:pPr>
          </w:p>
        </w:tc>
      </w:tr>
    </w:tbl>
    <w:p>
      <w:pPr>
        <w:pStyle w:val="NoSpacing"/>
        <w:rPr>
          <w:rFonts w:ascii="黑体" w:eastAsia="黑体" w:hAnsi="黑体" w:cs="黑体" w:hint="eastAsia"/>
          <w:b/>
          <w:bCs/>
          <w:sz w:val="24"/>
          <w:szCs w:val="24"/>
        </w:rPr>
      </w:pPr>
    </w:p>
    <w:p>
      <w:pPr>
        <w:pStyle w:val="NoSpacing"/>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Heading3"/>
        <w:jc w:val="center"/>
        <w:rPr>
          <w:rFonts w:ascii="黑体" w:eastAsia="黑体" w:hint="eastAsia"/>
          <w:b w:val="0"/>
          <w:kern w:val="0"/>
          <w:sz w:val="24"/>
          <w:szCs w:val="24"/>
        </w:rPr>
      </w:pPr>
      <w:r>
        <w:rPr>
          <w:rFonts w:ascii="黑体" w:eastAsia="黑体" w:hint="eastAsia"/>
          <w:b w:val="0"/>
          <w:kern w:val="0"/>
          <w:sz w:val="24"/>
          <w:szCs w:val="24"/>
        </w:rPr>
        <w:t>四、</w:t>
      </w:r>
      <w:bookmarkStart w:id="45" w:name="_Hlk72092634"/>
      <w:r>
        <w:rPr>
          <w:rFonts w:ascii="黑体" w:eastAsia="黑体" w:hint="eastAsia"/>
          <w:b w:val="0"/>
          <w:kern w:val="0"/>
          <w:sz w:val="24"/>
          <w:szCs w:val="24"/>
        </w:rPr>
        <w:t>实质性条款响应情况表</w:t>
      </w:r>
      <w:bookmarkEnd w:id="45"/>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2891"/>
        <w:gridCol w:w="1361"/>
        <w:gridCol w:w="1842"/>
        <w:gridCol w:w="1418"/>
      </w:tblGrid>
      <w:tr>
        <w:tblPrEx>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adjustRightInd w:val="0"/>
              <w:snapToGrid w:val="0"/>
              <w:spacing w:line="360" w:lineRule="auto"/>
              <w:jc w:val="center"/>
              <w:rPr>
                <w:rFonts w:ascii="宋体" w:hAnsi="宋体" w:hint="eastAsia"/>
                <w:kern w:val="0"/>
                <w:szCs w:val="21"/>
              </w:rPr>
            </w:pPr>
            <w:bookmarkStart w:id="46" w:name="_Hlk72092651"/>
            <w:r>
              <w:rPr>
                <w:rFonts w:ascii="宋体" w:hAnsi="宋体" w:hint="eastAsia"/>
                <w:kern w:val="0"/>
                <w:szCs w:val="21"/>
              </w:rPr>
              <w:t>序号</w:t>
            </w:r>
          </w:p>
        </w:tc>
        <w:tc>
          <w:tcPr>
            <w:tcW w:w="2891" w:type="dxa"/>
            <w:vAlign w:val="center"/>
          </w:tcPr>
          <w:p>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361" w:type="dxa"/>
            <w:vAlign w:val="center"/>
          </w:tcPr>
          <w:p>
            <w:pPr>
              <w:adjustRightInd w:val="0"/>
              <w:snapToGrid w:val="0"/>
              <w:spacing w:line="360" w:lineRule="auto"/>
              <w:jc w:val="center"/>
              <w:rPr>
                <w:rFonts w:ascii="宋体" w:hAnsi="宋体" w:hint="eastAsia"/>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hint="eastAsia"/>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hint="eastAsia"/>
                <w:kern w:val="0"/>
                <w:szCs w:val="21"/>
              </w:rPr>
            </w:pPr>
            <w:r>
              <w:rPr>
                <w:rFonts w:hint="eastAsia"/>
              </w:rPr>
              <w:t>说明</w:t>
            </w:r>
          </w:p>
        </w:tc>
      </w:tr>
      <w:tr>
        <w:tblPrEx>
          <w:tblW w:w="8217" w:type="dxa"/>
          <w:tblInd w:w="0" w:type="dxa"/>
          <w:tblLayout w:type="fixed"/>
          <w:tblCellMar>
            <w:top w:w="0" w:type="dxa"/>
            <w:left w:w="108" w:type="dxa"/>
            <w:bottom w:w="0" w:type="dxa"/>
            <w:right w:w="108" w:type="dxa"/>
          </w:tblCellMar>
        </w:tblPrEx>
        <w:tc>
          <w:tcPr>
            <w:tcW w:w="705" w:type="dxa"/>
          </w:tcPr>
          <w:p>
            <w:pPr>
              <w:adjustRightInd w:val="0"/>
              <w:snapToGrid w:val="0"/>
              <w:spacing w:line="360" w:lineRule="auto"/>
              <w:rPr>
                <w:rFonts w:ascii="宋体" w:hAnsi="宋体" w:hint="eastAsia"/>
                <w:kern w:val="0"/>
                <w:szCs w:val="21"/>
              </w:rPr>
            </w:pPr>
            <w:bookmarkEnd w:id="46"/>
            <w:r>
              <w:rPr>
                <w:rFonts w:ascii="宋体" w:hAnsi="宋体" w:hint="eastAsia"/>
                <w:kern w:val="0"/>
                <w:szCs w:val="21"/>
              </w:rPr>
              <w:t>1</w:t>
            </w:r>
          </w:p>
        </w:tc>
        <w:tc>
          <w:tcPr>
            <w:tcW w:w="2891" w:type="dxa"/>
            <w:vAlign w:val="center"/>
          </w:tcPr>
          <w:p>
            <w:pPr>
              <w:adjustRightInd w:val="0"/>
              <w:snapToGrid w:val="0"/>
              <w:spacing w:line="360" w:lineRule="auto"/>
              <w:jc w:val="center"/>
              <w:rPr>
                <w:rFonts w:hAnsi="宋体" w:hint="eastAsia"/>
                <w:kern w:val="0"/>
                <w:szCs w:val="21"/>
              </w:rPr>
            </w:pPr>
            <w:r>
              <w:rPr>
                <w:rFonts w:hint="eastAsia"/>
              </w:rPr>
              <w:t>满足本项目标★的条款要求</w:t>
            </w:r>
          </w:p>
        </w:tc>
        <w:tc>
          <w:tcPr>
            <w:tcW w:w="1361" w:type="dxa"/>
          </w:tcPr>
          <w:p>
            <w:pPr>
              <w:adjustRightInd w:val="0"/>
              <w:snapToGrid w:val="0"/>
              <w:spacing w:line="360" w:lineRule="auto"/>
              <w:rPr>
                <w:rFonts w:ascii="宋体" w:hAnsi="宋体" w:hint="eastAsia"/>
                <w:kern w:val="0"/>
                <w:szCs w:val="21"/>
              </w:rPr>
            </w:pPr>
          </w:p>
        </w:tc>
        <w:tc>
          <w:tcPr>
            <w:tcW w:w="1842" w:type="dxa"/>
          </w:tcPr>
          <w:p>
            <w:pPr>
              <w:adjustRightInd w:val="0"/>
              <w:snapToGrid w:val="0"/>
              <w:spacing w:line="360" w:lineRule="auto"/>
              <w:rPr>
                <w:rFonts w:ascii="宋体" w:hAnsi="宋体" w:hint="eastAsia"/>
                <w:kern w:val="0"/>
                <w:szCs w:val="21"/>
              </w:rPr>
            </w:pPr>
          </w:p>
        </w:tc>
        <w:tc>
          <w:tcPr>
            <w:tcW w:w="1418" w:type="dxa"/>
          </w:tcPr>
          <w:p>
            <w:pPr>
              <w:adjustRightInd w:val="0"/>
              <w:snapToGrid w:val="0"/>
              <w:spacing w:line="360" w:lineRule="auto"/>
              <w:rPr>
                <w:rFonts w:ascii="宋体" w:hAnsi="宋体" w:hint="eastAsia"/>
                <w:kern w:val="0"/>
                <w:szCs w:val="21"/>
              </w:rPr>
            </w:pPr>
          </w:p>
        </w:tc>
      </w:tr>
    </w:tbl>
    <w:p>
      <w:pPr>
        <w:ind w:firstLine="420" w:firstLineChars="200"/>
        <w:rPr>
          <w:b/>
          <w:sz w:val="24"/>
          <w:szCs w:val="22"/>
        </w:rPr>
      </w:pPr>
      <w:r>
        <w:rPr>
          <w:rFonts w:hint="eastAsia"/>
          <w:b/>
          <w:sz w:val="24"/>
          <w:szCs w:val="22"/>
        </w:rPr>
        <w:t>注：1.上表所列各项均为不可负偏离条款。</w:t>
      </w:r>
    </w:p>
    <w:p>
      <w:pPr>
        <w:ind w:firstLine="420"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2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20" w:firstLineChars="200"/>
        <w:rPr>
          <w:b/>
          <w:sz w:val="24"/>
        </w:rPr>
      </w:pPr>
      <w:r>
        <w:rPr>
          <w:b/>
          <w:sz w:val="24"/>
        </w:rPr>
        <w:t>4.</w:t>
      </w:r>
      <w:r>
        <w:rPr>
          <w:rFonts w:hint="eastAsia"/>
          <w:b/>
          <w:sz w:val="24"/>
        </w:rPr>
        <w:t>评审委员会有权对投标响应情况作出判断（作出评审结论）。</w:t>
      </w:r>
    </w:p>
    <w:p>
      <w:pPr>
        <w:ind w:firstLine="42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20"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rPr>
          <w:b/>
          <w:bCs/>
          <w:sz w:val="24"/>
        </w:rPr>
      </w:pPr>
    </w:p>
    <w:p>
      <w:pPr>
        <w:rPr>
          <w:b/>
          <w:bCs/>
          <w:sz w:val="24"/>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五、车辆维修服务方案（格式自定）</w:t>
      </w:r>
    </w:p>
    <w:p>
      <w:pPr>
        <w:pStyle w:val="NormalIndent"/>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六、应急服务方案（格式自定）</w:t>
      </w:r>
    </w:p>
    <w:p>
      <w:pPr>
        <w:pStyle w:val="NormalIndent"/>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七、售后服务方案（格式自定）</w:t>
      </w:r>
    </w:p>
    <w:p>
      <w:pPr>
        <w:pStyle w:val="NormalIndent"/>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ind w:firstLine="0"/>
        <w:rPr>
          <w:rFonts w:asciiTheme="minorEastAsia" w:eastAsiaTheme="minorEastAsia" w:hAnsiTheme="minorEastAsia" w:cstheme="minorEastAsia" w:hint="eastAsia"/>
          <w:color w:val="auto"/>
          <w:sz w:val="24"/>
          <w:highlight w:val="none"/>
        </w:rPr>
      </w:pPr>
    </w:p>
    <w:p>
      <w:pPr>
        <w:pStyle w:val="NormalIndent"/>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lang w:val="en-US" w:eastAsia="zh-CN"/>
        </w:rPr>
        <w:t>八</w:t>
      </w:r>
      <w:r>
        <w:rPr>
          <w:rFonts w:ascii="黑体" w:eastAsia="黑体" w:hint="eastAsia"/>
          <w:b w:val="0"/>
          <w:kern w:val="0"/>
          <w:sz w:val="24"/>
          <w:szCs w:val="24"/>
        </w:rPr>
        <w:t>、违约承诺（格式自定）</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Heading3"/>
        <w:jc w:val="center"/>
        <w:rPr>
          <w:rFonts w:ascii="黑体" w:eastAsia="黑体" w:hint="eastAsia"/>
          <w:b w:val="0"/>
          <w:kern w:val="0"/>
          <w:sz w:val="24"/>
          <w:szCs w:val="24"/>
        </w:rPr>
      </w:pPr>
      <w:r>
        <w:rPr>
          <w:rFonts w:ascii="黑体" w:eastAsia="黑体" w:hint="eastAsia"/>
          <w:b w:val="0"/>
          <w:kern w:val="0"/>
          <w:sz w:val="24"/>
          <w:szCs w:val="24"/>
          <w:lang w:val="en-US" w:eastAsia="zh-CN"/>
        </w:rPr>
        <w:t>九、</w:t>
      </w:r>
      <w:r>
        <w:rPr>
          <w:rFonts w:ascii="黑体" w:eastAsia="黑体" w:hint="eastAsia"/>
          <w:b w:val="0"/>
          <w:kern w:val="0"/>
          <w:sz w:val="24"/>
          <w:szCs w:val="24"/>
        </w:rPr>
        <w:t>项目完成（服务期满）后的服务方案</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十、维修场所情况（格式自定）</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十一、响应时间（格式自定）</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NormalIndent"/>
        <w:spacing w:before="60" w:beforeLines="25" w:after="60" w:afterLines="25"/>
        <w:ind w:firstLine="0"/>
        <w:rPr>
          <w:rFonts w:asciiTheme="minorEastAsia" w:eastAsiaTheme="minorEastAsia" w:hAnsiTheme="minorEastAsia" w:cstheme="minorEastAsia" w:hint="eastAsia"/>
          <w:color w:val="auto"/>
          <w:sz w:val="24"/>
          <w:highlight w:val="none"/>
        </w:rPr>
      </w:pPr>
    </w:p>
    <w:p>
      <w:pPr>
        <w:pStyle w:val="Heading3"/>
        <w:jc w:val="center"/>
        <w:rPr>
          <w:rFonts w:ascii="黑体" w:eastAsia="黑体" w:hint="eastAsia"/>
          <w:b w:val="0"/>
          <w:kern w:val="0"/>
          <w:sz w:val="24"/>
          <w:szCs w:val="24"/>
        </w:rPr>
      </w:pPr>
      <w:r>
        <w:rPr>
          <w:rFonts w:ascii="黑体" w:eastAsia="黑体" w:hint="eastAsia"/>
          <w:b w:val="0"/>
          <w:kern w:val="0"/>
          <w:sz w:val="24"/>
          <w:szCs w:val="24"/>
        </w:rPr>
        <w:t>十二、拟安排的项目主要团队成员（主要技术人员）情况（格式自定）</w:t>
      </w:r>
    </w:p>
    <w:p>
      <w:pPr>
        <w:rPr>
          <w:rFonts w:asciiTheme="minorEastAsia" w:eastAsiaTheme="minorEastAsia" w:hAnsiTheme="minorEastAsia" w:cstheme="minorEastAsia" w:hint="eastAsia"/>
          <w:color w:val="auto"/>
          <w:sz w:val="24"/>
          <w:highlight w:val="none"/>
        </w:rPr>
      </w:pPr>
      <w:r>
        <w:rPr>
          <w:rFonts w:asciiTheme="minorEastAsia" w:eastAsiaTheme="minorEastAsia" w:hAnsiTheme="minorEastAsia" w:cstheme="minorEastAsia" w:hint="eastAsia"/>
          <w:color w:val="auto"/>
          <w:sz w:val="24"/>
          <w:highlight w:val="none"/>
        </w:rPr>
        <w:t>（特别提示：投标人须按本招标文件评标信息中这一评审因素要求，提供证明资料）</w:t>
      </w:r>
    </w:p>
    <w:p>
      <w:pPr>
        <w:pStyle w:val="BodyText2"/>
      </w:pPr>
    </w:p>
    <w:p>
      <w:pPr>
        <w:pStyle w:val="Heading3"/>
        <w:jc w:val="center"/>
        <w:rPr>
          <w:rFonts w:ascii="黑体" w:eastAsia="黑体" w:hint="eastAsia"/>
          <w:b w:val="0"/>
          <w:bCs w:val="0"/>
          <w:sz w:val="24"/>
          <w:szCs w:val="20"/>
        </w:rPr>
      </w:pPr>
      <w:r>
        <w:rPr>
          <w:rFonts w:ascii="黑体" w:eastAsia="黑体" w:hint="eastAsia"/>
          <w:b w:val="0"/>
          <w:bCs w:val="0"/>
          <w:sz w:val="24"/>
          <w:szCs w:val="20"/>
        </w:rPr>
        <w:t>十</w:t>
      </w:r>
      <w:r>
        <w:rPr>
          <w:rFonts w:ascii="黑体" w:eastAsia="黑体" w:hint="eastAsia"/>
          <w:b w:val="0"/>
          <w:bCs w:val="0"/>
          <w:sz w:val="24"/>
          <w:szCs w:val="20"/>
          <w:lang w:val="en-US" w:eastAsia="zh-CN"/>
        </w:rPr>
        <w:t>三</w:t>
      </w:r>
      <w:r>
        <w:rPr>
          <w:rFonts w:ascii="黑体" w:eastAsia="黑体" w:hint="eastAsia"/>
          <w:b w:val="0"/>
          <w:bCs w:val="0"/>
          <w:sz w:val="24"/>
          <w:szCs w:val="20"/>
        </w:rPr>
        <w:t>、</w:t>
      </w:r>
      <w:bookmarkStart w:id="47" w:name="_Hlk72062872"/>
      <w:r>
        <w:rPr>
          <w:rFonts w:ascii="黑体" w:eastAsia="黑体" w:hint="eastAsia"/>
          <w:b w:val="0"/>
          <w:bCs w:val="0"/>
          <w:sz w:val="24"/>
          <w:szCs w:val="20"/>
        </w:rPr>
        <w:t>投标人认为需要加以说明的其他内容</w:t>
      </w:r>
      <w:bookmarkEnd w:id="47"/>
    </w:p>
    <w:p>
      <w:pPr>
        <w:widowControl/>
        <w:jc w:val="center"/>
        <w:rPr>
          <w:rFonts w:ascii="黑体" w:eastAsia="黑体" w:hAnsi="宋体" w:hint="eastAsia"/>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none"/>
        </w:rPr>
        <w:t>）政府采购违法行为风险知悉确认书</w:t>
      </w:r>
    </w:p>
    <w:p>
      <w:pPr>
        <w:widowControl/>
        <w:jc w:val="center"/>
        <w:rPr>
          <w:rFonts w:ascii="黑体" w:eastAsia="黑体" w:hAnsi="宋体" w:hint="eastAsia"/>
          <w:kern w:val="0"/>
          <w:sz w:val="24"/>
          <w:szCs w:val="20"/>
        </w:rPr>
      </w:pPr>
    </w:p>
    <w:p>
      <w:pPr>
        <w:spacing w:after="120" w:afterLines="50" w:line="360" w:lineRule="exact"/>
        <w:ind w:firstLine="420" w:firstLineChars="200"/>
        <w:rPr>
          <w:rFonts w:ascii="宋体" w:hAnsi="宋体" w:cs="宋体" w:hint="eastAsia"/>
          <w:b/>
          <w:bCs/>
          <w:szCs w:val="21"/>
        </w:rPr>
      </w:pPr>
      <w:r>
        <w:rPr>
          <w:rFonts w:ascii="宋体" w:hAnsi="宋体" w:cs="宋体" w:hint="eastAsia"/>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78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szCs w:val="21"/>
              </w:rPr>
            </w:pPr>
            <w:r>
              <w:rPr>
                <w:rFonts w:ascii="宋体" w:hAnsi="宋体" w:cs="宋体" w:hint="eastAsia"/>
                <w:szCs w:val="21"/>
              </w:rPr>
              <w:t>序号</w:t>
            </w:r>
          </w:p>
        </w:tc>
        <w:tc>
          <w:tcPr>
            <w:tcW w:w="7811" w:type="dxa"/>
          </w:tcPr>
          <w:p>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tblPrEx>
          <w:tblW w:w="0" w:type="auto"/>
          <w:tblInd w:w="0" w:type="dxa"/>
          <w:tblCellMar>
            <w:top w:w="0" w:type="dxa"/>
            <w:left w:w="108" w:type="dxa"/>
            <w:bottom w:w="0" w:type="dxa"/>
            <w:right w:w="108" w:type="dxa"/>
          </w:tblCellMar>
        </w:tblPrEx>
        <w:tc>
          <w:tcPr>
            <w:tcW w:w="711" w:type="dxa"/>
          </w:tcPr>
          <w:p>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tblPrEx>
          <w:tblW w:w="0" w:type="auto"/>
          <w:tblInd w:w="0" w:type="dxa"/>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tblPrEx>
          <w:tblW w:w="0" w:type="auto"/>
          <w:tblInd w:w="0" w:type="dxa"/>
          <w:tblCellMar>
            <w:top w:w="0" w:type="dxa"/>
            <w:left w:w="108" w:type="dxa"/>
            <w:bottom w:w="0" w:type="dxa"/>
            <w:right w:w="108" w:type="dxa"/>
          </w:tblCellMar>
        </w:tblPrEx>
        <w:tc>
          <w:tcPr>
            <w:tcW w:w="711" w:type="dxa"/>
          </w:tcPr>
          <w:p>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tblPrEx>
          <w:tblW w:w="0" w:type="auto"/>
          <w:tblInd w:w="0" w:type="dxa"/>
          <w:tblCellMar>
            <w:top w:w="0" w:type="dxa"/>
            <w:left w:w="108" w:type="dxa"/>
            <w:bottom w:w="0" w:type="dxa"/>
            <w:right w:w="108" w:type="dxa"/>
          </w:tblCellMar>
        </w:tblPrEx>
        <w:tc>
          <w:tcPr>
            <w:tcW w:w="711" w:type="dxa"/>
          </w:tcPr>
          <w:p>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tblPrEx>
          <w:tblW w:w="0" w:type="auto"/>
          <w:tblInd w:w="0" w:type="dxa"/>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c>
          <w:tcPr>
            <w:tcW w:w="711" w:type="dxa"/>
          </w:tcPr>
          <w:p>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pPr>
              <w:spacing w:line="400" w:lineRule="exact"/>
              <w:jc w:val="left"/>
              <w:rPr>
                <w:rFonts w:ascii="宋体" w:hAnsi="宋体" w:cs="宋体" w:hint="eastAsia"/>
                <w:szCs w:val="21"/>
              </w:rPr>
            </w:pPr>
            <w:r>
              <w:rPr>
                <w:rFonts w:ascii="宋体" w:hAnsi="宋体" w:cs="宋体" w:hint="eastAsia"/>
                <w:szCs w:val="21"/>
              </w:rPr>
              <w:t>擅自将投标密钥或电子营业执照出借他人使用或未妥善保管。</w:t>
            </w:r>
          </w:p>
        </w:tc>
      </w:tr>
    </w:tbl>
    <w:p>
      <w:pPr>
        <w:spacing w:before="120" w:beforeLines="50" w:line="380" w:lineRule="exact"/>
        <w:ind w:firstLine="420" w:firstLineChars="200"/>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pPr>
        <w:spacing w:line="380" w:lineRule="exact"/>
        <w:ind w:firstLine="420" w:firstLineChars="200"/>
        <w:rPr>
          <w:rFonts w:ascii="宋体" w:hAnsi="宋体" w:cs="宋体" w:hint="eastAsia"/>
          <w:szCs w:val="21"/>
        </w:rPr>
      </w:pPr>
      <w:r>
        <w:rPr>
          <w:rFonts w:ascii="宋体" w:hAnsi="宋体" w:cs="宋体" w:hint="eastAsia"/>
          <w:szCs w:val="21"/>
        </w:rPr>
        <w:t>（一）通过转让或者租借等方式从其他单位获取资格或者资质证书投标的。</w:t>
      </w:r>
    </w:p>
    <w:p>
      <w:pPr>
        <w:spacing w:line="380" w:lineRule="exact"/>
        <w:ind w:firstLine="420" w:firstLineChars="20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pPr>
        <w:spacing w:line="380" w:lineRule="exact"/>
        <w:ind w:firstLine="420" w:firstLineChars="200"/>
        <w:rPr>
          <w:rFonts w:ascii="宋体" w:hAnsi="宋体" w:cs="宋体" w:hint="eastAsia"/>
          <w:szCs w:val="21"/>
        </w:rPr>
      </w:pPr>
      <w:r>
        <w:rPr>
          <w:rFonts w:ascii="宋体" w:hAnsi="宋体" w:cs="宋体" w:hint="eastAsia"/>
          <w:szCs w:val="21"/>
        </w:rPr>
        <w:t>（三）项目负责人或者主要技术人员不是本单位人员的。</w:t>
      </w:r>
    </w:p>
    <w:p>
      <w:pPr>
        <w:spacing w:line="380" w:lineRule="exact"/>
        <w:ind w:firstLine="420" w:firstLineChars="200"/>
        <w:rPr>
          <w:rFonts w:ascii="宋体" w:hAnsi="宋体" w:cs="宋体" w:hint="eastAsia"/>
          <w:szCs w:val="21"/>
        </w:rPr>
      </w:pPr>
      <w:r>
        <w:rPr>
          <w:rFonts w:ascii="宋体" w:hAnsi="宋体" w:cs="宋体" w:hint="eastAsia"/>
          <w:szCs w:val="21"/>
        </w:rPr>
        <w:t>（四）投标保证金不是从投标供应商基本账户转出的。</w:t>
      </w:r>
    </w:p>
    <w:p>
      <w:pPr>
        <w:spacing w:line="380" w:lineRule="exact"/>
        <w:ind w:firstLine="420" w:firstLineChars="200"/>
        <w:rPr>
          <w:rFonts w:ascii="宋体" w:hAnsi="宋体" w:cs="宋体" w:hint="eastAsia"/>
          <w:szCs w:val="21"/>
        </w:rPr>
      </w:pPr>
      <w:r>
        <w:rPr>
          <w:rFonts w:ascii="宋体" w:hAnsi="宋体" w:cs="宋体" w:hint="eastAsia"/>
          <w:szCs w:val="21"/>
        </w:rPr>
        <w:t>（五）其他隐瞒真实情况、提供虚假资料的行为。</w:t>
      </w:r>
    </w:p>
    <w:p>
      <w:pPr>
        <w:spacing w:line="380" w:lineRule="exact"/>
        <w:ind w:firstLine="420" w:firstLineChars="200"/>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pPr>
        <w:spacing w:line="380" w:lineRule="exact"/>
        <w:ind w:firstLine="420" w:firstLineChars="200"/>
        <w:rPr>
          <w:rFonts w:ascii="宋体" w:hAnsi="宋体" w:cs="宋体" w:hint="eastAsia"/>
          <w:szCs w:val="21"/>
        </w:rPr>
      </w:pPr>
      <w:r>
        <w:rPr>
          <w:rFonts w:ascii="宋体" w:hAnsi="宋体" w:cs="宋体" w:hint="eastAsia"/>
          <w:szCs w:val="21"/>
        </w:rPr>
        <w:t>（一）投标供应商之间相互约定给予未中标的供应商利益补偿。</w:t>
      </w:r>
    </w:p>
    <w:p>
      <w:pPr>
        <w:spacing w:line="380" w:lineRule="exact"/>
        <w:ind w:firstLine="420" w:firstLineChars="20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pPr>
        <w:spacing w:line="340" w:lineRule="exact"/>
        <w:ind w:firstLine="420" w:firstLineChars="200"/>
        <w:rPr>
          <w:rFonts w:ascii="宋体" w:hAnsi="宋体" w:cs="宋体" w:hint="eastAsia"/>
          <w:szCs w:val="21"/>
        </w:rPr>
      </w:pPr>
      <w:r>
        <w:rPr>
          <w:rFonts w:ascii="宋体" w:hAnsi="宋体" w:cs="宋体" w:hint="eastAsia"/>
          <w:szCs w:val="21"/>
        </w:rPr>
        <w:t>（四）不同投标供应商的投标文件或部分投标文件相互混装。</w:t>
      </w:r>
    </w:p>
    <w:p>
      <w:pPr>
        <w:spacing w:line="340" w:lineRule="exact"/>
        <w:ind w:firstLine="420" w:firstLineChars="200"/>
        <w:rPr>
          <w:rFonts w:ascii="宋体" w:hAnsi="宋体" w:cs="宋体" w:hint="eastAsia"/>
          <w:szCs w:val="21"/>
        </w:rPr>
      </w:pPr>
      <w:r>
        <w:rPr>
          <w:rFonts w:ascii="宋体" w:hAnsi="宋体" w:cs="宋体" w:hint="eastAsia"/>
          <w:szCs w:val="21"/>
        </w:rPr>
        <w:t>（五）不同投标供应商的投标文件内容存在非正常一致。</w:t>
      </w:r>
    </w:p>
    <w:p>
      <w:pPr>
        <w:spacing w:line="340" w:lineRule="exact"/>
        <w:ind w:firstLine="420" w:firstLineChars="20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pPr>
        <w:spacing w:line="340" w:lineRule="exact"/>
        <w:ind w:firstLine="420" w:firstLineChars="200"/>
        <w:rPr>
          <w:rFonts w:ascii="宋体" w:hAnsi="宋体" w:cs="宋体" w:hint="eastAsia"/>
          <w:szCs w:val="21"/>
        </w:rPr>
      </w:pPr>
      <w:r>
        <w:rPr>
          <w:rFonts w:ascii="宋体" w:hAnsi="宋体" w:cs="宋体" w:hint="eastAsia"/>
          <w:szCs w:val="21"/>
        </w:rPr>
        <w:t>（七）不同投标人的投标报价呈规律性差异。</w:t>
      </w:r>
    </w:p>
    <w:p>
      <w:pPr>
        <w:spacing w:line="340" w:lineRule="exact"/>
        <w:ind w:firstLine="420" w:firstLineChars="200"/>
        <w:rPr>
          <w:rFonts w:ascii="宋体" w:hAnsi="宋体" w:cs="宋体" w:hint="eastAsia"/>
          <w:szCs w:val="21"/>
        </w:rPr>
      </w:pPr>
      <w:r>
        <w:rPr>
          <w:rFonts w:ascii="宋体" w:hAnsi="宋体" w:cs="宋体" w:hint="eastAsia"/>
          <w:szCs w:val="21"/>
        </w:rPr>
        <w:t>（八）不同投标人的投标保证金从同一单位或者个人的账户转出。</w:t>
      </w:r>
    </w:p>
    <w:p>
      <w:pPr>
        <w:spacing w:line="340" w:lineRule="exact"/>
        <w:ind w:firstLine="420" w:firstLineChars="200"/>
        <w:rPr>
          <w:rFonts w:ascii="宋体" w:hAnsi="宋体" w:cs="宋体" w:hint="eastAsia"/>
          <w:szCs w:val="21"/>
        </w:rPr>
      </w:pPr>
      <w:r>
        <w:rPr>
          <w:rFonts w:ascii="宋体" w:hAnsi="宋体" w:cs="宋体" w:hint="eastAsia"/>
          <w:szCs w:val="21"/>
        </w:rPr>
        <w:t>（九）主管部门依照法律、法规认定的其他情形。</w:t>
      </w:r>
    </w:p>
    <w:p>
      <w:pPr>
        <w:spacing w:line="340" w:lineRule="exact"/>
        <w:ind w:firstLine="420" w:firstLineChars="200"/>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pPr>
        <w:spacing w:line="340" w:lineRule="exact"/>
        <w:ind w:firstLine="420" w:firstLineChars="20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ascii="宋体" w:hAnsi="宋体" w:cs="宋体" w:hint="eastAsia"/>
          <w:szCs w:val="21"/>
        </w:rPr>
      </w:pPr>
      <w:r>
        <w:rPr>
          <w:rFonts w:ascii="宋体" w:hAnsi="宋体" w:cs="宋体" w:hint="eastAsia"/>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hAnsi="宋体" w:cs="宋体" w:hint="eastAsia"/>
          <w:b/>
          <w:bCs/>
          <w:szCs w:val="21"/>
        </w:rPr>
        <w:t>擅自将投标密钥或电子营业执照出借他人使用所造成的法律后果，由我单位自行承担</w:t>
      </w:r>
      <w:r>
        <w:rPr>
          <w:rFonts w:ascii="宋体" w:hAnsi="宋体" w:cs="宋体" w:hint="eastAsia"/>
          <w:szCs w:val="21"/>
        </w:rPr>
        <w:t>。</w:t>
      </w:r>
    </w:p>
    <w:p>
      <w:pPr>
        <w:spacing w:line="340" w:lineRule="exact"/>
        <w:ind w:firstLine="420" w:firstLineChars="200"/>
        <w:rPr>
          <w:rFonts w:ascii="宋体" w:hAnsi="宋体" w:cs="宋体" w:hint="eastAsia"/>
          <w:b/>
          <w:szCs w:val="21"/>
        </w:rPr>
      </w:pPr>
      <w:r>
        <w:rPr>
          <w:rFonts w:ascii="宋体" w:hAnsi="宋体" w:cs="宋体" w:hint="eastAsia"/>
          <w:b/>
          <w:szCs w:val="21"/>
        </w:rPr>
        <w:t>四、我单位已充分知悉政府采购违法、违规行为的法律后果。</w:t>
      </w:r>
    </w:p>
    <w:p>
      <w:pPr>
        <w:spacing w:line="340" w:lineRule="exact"/>
        <w:ind w:firstLine="420" w:firstLineChars="200"/>
        <w:rPr>
          <w:rFonts w:ascii="宋体" w:hAnsi="宋体" w:cs="宋体" w:hint="eastAsia"/>
          <w:szCs w:val="21"/>
          <w:highlight w:val="none"/>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w:t>
      </w:r>
      <w:r>
        <w:rPr>
          <w:rFonts w:ascii="宋体" w:hAnsi="宋体" w:cs="宋体" w:hint="eastAsia"/>
          <w:szCs w:val="21"/>
          <w:highlight w:val="none"/>
        </w:rPr>
        <w:t>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ascii="宋体" w:hAnsi="宋体" w:cs="宋体" w:hint="eastAsia"/>
          <w:szCs w:val="21"/>
          <w:highlight w:val="none"/>
        </w:rPr>
      </w:pPr>
      <w:r>
        <w:rPr>
          <w:rFonts w:ascii="宋体" w:hAnsi="宋体" w:cs="宋体" w:hint="eastAsia"/>
          <w:szCs w:val="21"/>
          <w:highlight w:val="none"/>
        </w:rPr>
        <w:t>以下文字请投标供应商抄写并确认：“我单位已仔细阅读《政府采购违法行为风险知悉确认书》，充分知悉违法行为的法律后果，并承诺将严谨、诚信、依法依规参与政府采购活动”。</w:t>
      </w:r>
    </w:p>
    <w:tbl>
      <w:tblPr>
        <w:tblStyle w:val="15"/>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hAnsi="宋体" w:eastAsiaTheme="minorEastAsia" w:cs="宋体" w:hint="eastAsia"/>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eastAsiaTheme="minorEastAsia" w:cs="宋体" w:hint="eastAsia"/>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hAnsi="宋体" w:eastAsiaTheme="minorEastAsia" w:cs="宋体" w:hint="eastAsia"/>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hAnsi="宋体" w:eastAsiaTheme="minorEastAsia" w:cs="宋体" w:hint="eastAsia"/>
                <w:spacing w:val="-4"/>
                <w:kern w:val="0"/>
                <w:szCs w:val="21"/>
              </w:rPr>
            </w:pPr>
          </w:p>
        </w:tc>
      </w:tr>
    </w:tbl>
    <w:p>
      <w:pPr>
        <w:widowControl/>
        <w:wordWrap w:val="0"/>
        <w:autoSpaceDE w:val="0"/>
        <w:autoSpaceDN w:val="0"/>
        <w:spacing w:line="340" w:lineRule="exact"/>
        <w:ind w:right="808" w:firstLine="420" w:firstLineChars="200"/>
        <w:jc w:val="right"/>
        <w:rPr>
          <w:rFonts w:ascii="宋体" w:hAnsi="宋体" w:cs="宋体" w:hint="eastAsia"/>
          <w:spacing w:val="-4"/>
          <w:kern w:val="0"/>
          <w:szCs w:val="21"/>
        </w:rPr>
      </w:pPr>
    </w:p>
    <w:p>
      <w:pPr>
        <w:widowControl/>
        <w:wordWrap w:val="0"/>
        <w:autoSpaceDE w:val="0"/>
        <w:autoSpaceDN w:val="0"/>
        <w:spacing w:line="340" w:lineRule="exact"/>
        <w:ind w:right="808" w:firstLine="420" w:firstLineChars="200"/>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pPr>
        <w:widowControl/>
        <w:wordWrap w:val="0"/>
        <w:autoSpaceDE w:val="0"/>
        <w:autoSpaceDN w:val="0"/>
        <w:spacing w:line="340" w:lineRule="exact"/>
        <w:ind w:right="808" w:firstLine="420" w:firstLineChars="200"/>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pPr>
        <w:widowControl/>
        <w:wordWrap w:val="0"/>
        <w:autoSpaceDE w:val="0"/>
        <w:autoSpaceDN w:val="0"/>
        <w:spacing w:line="340" w:lineRule="exact"/>
        <w:ind w:right="808" w:firstLine="420" w:firstLineChars="200"/>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pPr>
        <w:widowControl/>
        <w:autoSpaceDE w:val="0"/>
        <w:autoSpaceDN w:val="0"/>
        <w:spacing w:line="340" w:lineRule="exact"/>
        <w:ind w:firstLine="420" w:firstLineChars="200"/>
        <w:jc w:val="left"/>
        <w:rPr>
          <w:rFonts w:ascii="宋体" w:hAnsi="宋体" w:cs="宋体" w:hint="eastAsia"/>
          <w:b/>
          <w:bCs/>
          <w:spacing w:val="-4"/>
          <w:kern w:val="0"/>
          <w:szCs w:val="21"/>
        </w:rPr>
      </w:pPr>
    </w:p>
    <w:p>
      <w:pPr>
        <w:widowControl/>
        <w:autoSpaceDE w:val="0"/>
        <w:autoSpaceDN w:val="0"/>
        <w:spacing w:line="340" w:lineRule="exact"/>
        <w:ind w:firstLine="420" w:firstLineChars="200"/>
        <w:jc w:val="left"/>
        <w:rPr>
          <w:rFonts w:ascii="宋体" w:hAnsi="宋体" w:cs="宋体" w:hint="eastAsia"/>
          <w:b/>
          <w:bCs/>
          <w:spacing w:val="-4"/>
          <w:kern w:val="0"/>
          <w:szCs w:val="21"/>
        </w:rPr>
      </w:pPr>
      <w:r>
        <w:rPr>
          <w:rFonts w:ascii="宋体" w:hAnsi="宋体" w:cs="宋体" w:hint="eastAsia"/>
          <w:b/>
          <w:bCs/>
          <w:spacing w:val="-4"/>
          <w:kern w:val="0"/>
          <w:szCs w:val="21"/>
        </w:rPr>
        <w:t>注：1.《政府采购违法行为风险知悉确认书》需由投标供应商负责人签字并加盖单位公章后，扫描上传至投标文件一并提交。</w:t>
      </w:r>
    </w:p>
    <w:p>
      <w:pPr>
        <w:pStyle w:val="NoSpacing"/>
      </w:pPr>
      <w:r>
        <w:rPr>
          <w:rFonts w:ascii="宋体" w:hAnsi="宋体" w:cs="宋体" w:hint="eastAsia"/>
          <w:b/>
          <w:bCs/>
          <w:spacing w:val="-4"/>
          <w:kern w:val="0"/>
          <w:szCs w:val="21"/>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rPr>
          <w:rFonts w:eastAsiaTheme="minorEastAsia"/>
          <w:kern w:val="0"/>
          <w:sz w:val="24"/>
        </w:rPr>
      </w:pPr>
    </w:p>
    <w:p>
      <w:pPr>
        <w:jc w:val="center"/>
        <w:rPr>
          <w:rFonts w:ascii="黑体" w:eastAsia="黑体"/>
          <w:sz w:val="24"/>
          <w:szCs w:val="20"/>
        </w:rPr>
      </w:pPr>
      <w:r>
        <w:rPr>
          <w:rFonts w:ascii="黑体" w:eastAsia="黑体" w:hint="eastAsia"/>
          <w:sz w:val="24"/>
          <w:szCs w:val="20"/>
        </w:rPr>
        <w:t>（二）订单融资情况</w:t>
      </w:r>
    </w:p>
    <w:p>
      <w:pPr>
        <w:ind w:firstLine="420" w:firstLineChars="200"/>
        <w:rPr>
          <w:rFonts w:ascii="宋体" w:hAnsi="宋体" w:cs="宋体" w:hint="eastAsia"/>
          <w:b/>
          <w:bCs/>
        </w:rPr>
      </w:pPr>
      <w:r>
        <w:rPr>
          <w:rFonts w:ascii="宋体" w:hAnsi="宋体" w:cs="宋体" w:hint="eastAsia"/>
          <w:b/>
          <w:bCs/>
        </w:rPr>
        <w:t>1、关于政府采购订单融资政策</w:t>
      </w:r>
    </w:p>
    <w:p>
      <w:pPr>
        <w:pStyle w:val="BodyText"/>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rFonts w:ascii="宋体" w:hAnsi="宋体" w:cs="宋体" w:hint="eastAsia"/>
          <w:b/>
          <w:bCs/>
        </w:rPr>
      </w:pPr>
      <w:r>
        <w:rPr>
          <w:rFonts w:ascii="宋体" w:hAnsi="宋体" w:cs="宋体" w:hint="eastAsia"/>
          <w:b/>
          <w:bCs/>
        </w:rPr>
        <w:t>2、供应商账户信息</w:t>
      </w:r>
    </w:p>
    <w:p>
      <w:pPr>
        <w:ind w:left="420" w:firstLine="210" w:leftChars="20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firstLine="210" w:leftChars="20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firstLine="210" w:leftChars="20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firstLine="210" w:leftChars="20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firstLine="210" w:leftChars="200" w:firstLineChars="100"/>
        <w:rPr>
          <w:szCs w:val="21"/>
        </w:rPr>
      </w:pPr>
      <w:r>
        <w:rPr>
          <w:rFonts w:hint="eastAsia"/>
          <w:szCs w:val="21"/>
        </w:rPr>
        <w:t xml:space="preserve"> </w:t>
      </w:r>
      <w:r>
        <w:rPr>
          <w:rFonts w:ascii="宋体" w:hAnsi="宋体" w:eastAsiaTheme="minorEastAsia" w:hint="eastAsia"/>
          <w:b/>
          <w:bCs/>
          <w:color w:val="FF0000"/>
          <w:spacing w:val="-4"/>
          <w:kern w:val="0"/>
          <w:szCs w:val="21"/>
        </w:rPr>
        <w:t>注：本项填写内容作为订单融资开展的参考信息，不作为供应商资格性审查及符合性审查条件。</w:t>
      </w:r>
    </w:p>
    <w:p>
      <w:pPr>
        <w:widowControl/>
        <w:spacing w:line="360" w:lineRule="auto"/>
        <w:jc w:val="left"/>
        <w:rPr>
          <w:rFonts w:eastAsiaTheme="minorEastAsia"/>
          <w:b/>
          <w:bCs/>
          <w:kern w:val="0"/>
          <w:sz w:val="24"/>
        </w:rPr>
      </w:pPr>
    </w:p>
    <w:p>
      <w:pPr>
        <w:widowControl/>
        <w:jc w:val="center"/>
        <w:rPr>
          <w:rFonts w:ascii="黑体" w:eastAsia="黑体" w:hAnsi="宋体" w:hint="eastAsia"/>
          <w:kern w:val="0"/>
          <w:sz w:val="24"/>
          <w:szCs w:val="20"/>
        </w:rPr>
      </w:pPr>
      <w:r>
        <w:rPr>
          <w:rFonts w:ascii="黑体" w:eastAsia="黑体" w:hAnsi="宋体" w:hint="eastAsia"/>
          <w:kern w:val="0"/>
          <w:sz w:val="24"/>
          <w:szCs w:val="20"/>
        </w:rPr>
        <w:t>（三）投标人认为需要加以说明的其他内容（格式自定）</w:t>
      </w:r>
    </w:p>
    <w:p/>
    <w:p>
      <w:pPr>
        <w:pStyle w:val="BodyText"/>
        <w:sectPr>
          <w:pgSz w:w="11907" w:h="16840"/>
          <w:pgMar w:top="1440" w:right="1797" w:bottom="1440" w:left="1797" w:header="851" w:footer="992" w:gutter="0"/>
          <w:cols w:num="1" w:space="425"/>
          <w:titlePg/>
          <w:docGrid w:linePitch="462" w:charSpace="0"/>
        </w:sectPr>
      </w:pPr>
    </w:p>
    <w:p>
      <w:pPr>
        <w:pStyle w:val="BodyText"/>
      </w:pPr>
    </w:p>
    <w:p>
      <w:pPr>
        <w:pStyle w:val="Heading2"/>
        <w:rPr>
          <w:rFonts w:hint="eastAsia"/>
        </w:rPr>
      </w:pPr>
      <w:r>
        <w:rPr>
          <w:rFonts w:hint="eastAsia"/>
        </w:rPr>
        <w:t>第五章  合同条款及格式</w:t>
      </w:r>
    </w:p>
    <w:p>
      <w:pPr>
        <w:ind w:firstLine="412" w:firstLineChars="196"/>
      </w:pPr>
    </w:p>
    <w:p>
      <w:pPr>
        <w:jc w:val="center"/>
      </w:pPr>
      <w:r>
        <w:rPr>
          <w:rFonts w:hint="eastAsia"/>
          <w:b/>
          <w:sz w:val="24"/>
        </w:rPr>
        <w:t>（仅供参考，具体以项目需求及采购结果为准）</w:t>
      </w:r>
    </w:p>
    <w:p>
      <w:pPr>
        <w:rPr>
          <w:rFonts w:ascii="宋体" w:hAnsi="宋体" w:hint="eastAsia"/>
          <w:b/>
          <w:bCs/>
          <w:szCs w:val="21"/>
        </w:rPr>
      </w:pPr>
    </w:p>
    <w:p>
      <w:pPr>
        <w:rPr>
          <w:rFonts w:ascii="宋体" w:hAnsi="宋体" w:hint="eastAsia"/>
          <w:b/>
          <w:bCs/>
          <w:szCs w:val="21"/>
        </w:rPr>
      </w:pPr>
      <w:r>
        <w:rPr>
          <w:rFonts w:ascii="宋体" w:hAnsi="宋体" w:hint="eastAsia"/>
          <w:b/>
          <w:bCs/>
          <w:szCs w:val="21"/>
        </w:rPr>
        <w:t>甲方：</w:t>
      </w:r>
    </w:p>
    <w:p>
      <w:pPr>
        <w:rPr>
          <w:rFonts w:ascii="宋体" w:hAnsi="宋体" w:hint="eastAsia"/>
          <w:szCs w:val="21"/>
        </w:rPr>
      </w:pPr>
      <w:r>
        <w:rPr>
          <w:rFonts w:ascii="宋体" w:hAnsi="宋体" w:hint="eastAsia"/>
          <w:szCs w:val="21"/>
        </w:rPr>
        <w:t>地址：</w:t>
      </w:r>
    </w:p>
    <w:p>
      <w:pPr>
        <w:rPr>
          <w:rFonts w:ascii="宋体" w:hAnsi="宋体" w:hint="eastAsia"/>
          <w:szCs w:val="21"/>
        </w:rPr>
      </w:pPr>
      <w:r>
        <w:rPr>
          <w:rFonts w:ascii="宋体" w:hAnsi="宋体" w:hint="eastAsia"/>
          <w:szCs w:val="21"/>
        </w:rPr>
        <w:t>联系人：</w:t>
      </w:r>
      <w:r>
        <w:rPr>
          <w:rFonts w:ascii="宋体" w:hAnsi="宋体"/>
          <w:szCs w:val="21"/>
        </w:rPr>
        <w:t xml:space="preserve">                          </w:t>
      </w:r>
    </w:p>
    <w:p>
      <w:pPr>
        <w:rPr>
          <w:rFonts w:ascii="宋体" w:hAnsi="宋体" w:hint="eastAsia"/>
          <w:b/>
          <w:bCs/>
          <w:szCs w:val="21"/>
        </w:rPr>
      </w:pPr>
      <w:r>
        <w:rPr>
          <w:rFonts w:ascii="宋体" w:hAnsi="宋体" w:hint="eastAsia"/>
          <w:szCs w:val="21"/>
        </w:rPr>
        <w:t>联系电话：</w:t>
      </w:r>
    </w:p>
    <w:p>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pPr>
        <w:rPr>
          <w:rFonts w:ascii="宋体" w:hAnsi="宋体" w:hint="eastAsia"/>
          <w:b/>
          <w:bCs/>
          <w:szCs w:val="21"/>
        </w:rPr>
      </w:pPr>
      <w:r>
        <w:rPr>
          <w:rFonts w:ascii="宋体" w:hAnsi="宋体" w:hint="eastAsia"/>
          <w:b/>
          <w:bCs/>
          <w:szCs w:val="21"/>
        </w:rPr>
        <w:t>乙方：</w:t>
      </w:r>
    </w:p>
    <w:p>
      <w:pPr>
        <w:rPr>
          <w:rFonts w:ascii="宋体" w:hAnsi="宋体" w:hint="eastAsia"/>
          <w:szCs w:val="21"/>
        </w:rPr>
      </w:pPr>
      <w:r>
        <w:rPr>
          <w:rFonts w:ascii="宋体" w:hAnsi="宋体" w:hint="eastAsia"/>
          <w:szCs w:val="21"/>
        </w:rPr>
        <w:t>地址：</w:t>
      </w:r>
    </w:p>
    <w:p>
      <w:pPr>
        <w:rPr>
          <w:rFonts w:ascii="宋体" w:hAnsi="宋体" w:hint="eastAsia"/>
          <w:szCs w:val="21"/>
        </w:rPr>
      </w:pPr>
      <w:r>
        <w:rPr>
          <w:rFonts w:ascii="宋体" w:hAnsi="宋体" w:hint="eastAsia"/>
          <w:szCs w:val="21"/>
        </w:rPr>
        <w:t>联系人：</w:t>
      </w:r>
      <w:r>
        <w:rPr>
          <w:rFonts w:ascii="宋体" w:hAnsi="宋体"/>
          <w:szCs w:val="21"/>
        </w:rPr>
        <w:t xml:space="preserve">                          </w:t>
      </w:r>
    </w:p>
    <w:p>
      <w:pPr>
        <w:rPr>
          <w:rFonts w:ascii="宋体" w:hAnsi="宋体" w:hint="eastAsia"/>
          <w:b/>
          <w:bCs/>
          <w:szCs w:val="21"/>
        </w:rPr>
      </w:pPr>
      <w:r>
        <w:rPr>
          <w:rFonts w:ascii="宋体" w:hAnsi="宋体" w:hint="eastAsia"/>
          <w:szCs w:val="21"/>
        </w:rPr>
        <w:t>联系电话：</w:t>
      </w:r>
    </w:p>
    <w:p>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pPr>
        <w:rPr>
          <w:rFonts w:ascii="宋体" w:hAnsi="宋体" w:hint="eastAsia"/>
          <w:szCs w:val="21"/>
        </w:rPr>
      </w:pP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根据深圳公共资源交易中心（深圳交易集团有限公司政府采购业务分公司）***号项目结果，***单位为中标人。按照《中华人民共和国民法典》（第三编 合同）》和《深圳经济特区政府采购条例》，经深圳市（以下简称甲方）和单位（以下简称乙方）协商，就甲方委托乙方承担</w:t>
      </w:r>
      <w:r>
        <w:rPr>
          <w:rFonts w:asciiTheme="minorEastAsia" w:eastAsiaTheme="minorEastAsia" w:hAnsiTheme="minorEastAsia" w:cstheme="minorEastAsia" w:hint="eastAsia"/>
          <w:b/>
          <w:bCs/>
          <w:snapToGrid w:val="0"/>
          <w:kern w:val="0"/>
          <w:sz w:val="21"/>
          <w:szCs w:val="21"/>
          <w:u w:val="single"/>
          <w:lang w:val="zh-CN"/>
        </w:rPr>
        <w:t xml:space="preserve">                      服务项目</w:t>
      </w:r>
      <w:r>
        <w:rPr>
          <w:rFonts w:asciiTheme="minorEastAsia" w:eastAsiaTheme="minorEastAsia" w:hAnsiTheme="minorEastAsia" w:cstheme="minorEastAsia" w:hint="eastAsia"/>
          <w:sz w:val="21"/>
          <w:szCs w:val="21"/>
        </w:rPr>
        <w:t>，达成以下合同条款：</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第一条　项目概况</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 xml:space="preserve">项目名称： </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lang w:val="zh-CN"/>
        </w:rPr>
      </w:pPr>
      <w:r>
        <w:rPr>
          <w:rFonts w:asciiTheme="minorEastAsia" w:eastAsiaTheme="minorEastAsia" w:hAnsiTheme="minorEastAsia" w:cstheme="minorEastAsia" w:hint="eastAsia"/>
          <w:sz w:val="21"/>
          <w:szCs w:val="21"/>
        </w:rPr>
        <w:t>项目内容：</w:t>
      </w:r>
      <w:r>
        <w:rPr>
          <w:rFonts w:asciiTheme="minorEastAsia" w:eastAsiaTheme="minorEastAsia" w:hAnsiTheme="minorEastAsia" w:cstheme="minorEastAsia" w:hint="eastAsia"/>
          <w:bCs/>
          <w:sz w:val="21"/>
          <w:szCs w:val="21"/>
        </w:rPr>
        <w:t>为深圳市公安局轨道交通分局的公务</w:t>
      </w:r>
      <w:r>
        <w:rPr>
          <w:rFonts w:asciiTheme="minorEastAsia" w:eastAsiaTheme="minorEastAsia" w:hAnsiTheme="minorEastAsia" w:cstheme="minorEastAsia" w:hint="eastAsia"/>
          <w:bCs/>
          <w:sz w:val="21"/>
          <w:szCs w:val="21"/>
          <w:lang w:val="zh-CN"/>
        </w:rPr>
        <w:t>车辆</w:t>
      </w:r>
      <w:r>
        <w:rPr>
          <w:rFonts w:asciiTheme="minorEastAsia" w:eastAsiaTheme="minorEastAsia" w:hAnsiTheme="minorEastAsia" w:cstheme="minorEastAsia" w:hint="eastAsia"/>
          <w:bCs/>
          <w:sz w:val="21"/>
          <w:szCs w:val="21"/>
        </w:rPr>
        <w:t>提供</w:t>
      </w:r>
      <w:r>
        <w:rPr>
          <w:rFonts w:asciiTheme="minorEastAsia" w:eastAsiaTheme="minorEastAsia" w:hAnsiTheme="minorEastAsia" w:cstheme="minorEastAsia" w:hint="eastAsia"/>
          <w:bCs/>
          <w:sz w:val="21"/>
          <w:szCs w:val="21"/>
          <w:highlight w:val="none"/>
          <w:lang w:val="zh-CN"/>
        </w:rPr>
        <w:t>维护保养，大小修理，车辆年审，路途施救和其他有关汽车维修的服务、</w:t>
      </w:r>
      <w:r>
        <w:rPr>
          <w:rFonts w:asciiTheme="minorEastAsia" w:eastAsiaTheme="minorEastAsia" w:hAnsiTheme="minorEastAsia" w:cstheme="minorEastAsia" w:hint="eastAsia"/>
          <w:bCs/>
          <w:sz w:val="21"/>
          <w:szCs w:val="21"/>
          <w:highlight w:val="none"/>
        </w:rPr>
        <w:t>有专人提供接车到验车出厂的全过程服务，确保在规定时限内完成维修服务，提供电话预约，上门服务，急修快修救援服务，在深圳市内免费提供24小时故障急修服务</w:t>
      </w:r>
      <w:r>
        <w:rPr>
          <w:rFonts w:asciiTheme="minorEastAsia" w:eastAsiaTheme="minorEastAsia" w:hAnsiTheme="minorEastAsia" w:cstheme="minorEastAsia" w:hint="eastAsia"/>
          <w:bCs/>
          <w:sz w:val="21"/>
          <w:szCs w:val="21"/>
          <w:highlight w:val="none"/>
          <w:lang w:val="zh-CN"/>
        </w:rPr>
        <w:t>。（“小修”指所报车型的所有维修保养项目，包括各级维护、性能检测、故障诊断、事故维修等；“大修”涵</w:t>
      </w:r>
      <w:r>
        <w:rPr>
          <w:rFonts w:asciiTheme="minorEastAsia" w:eastAsiaTheme="minorEastAsia" w:hAnsiTheme="minorEastAsia" w:cstheme="minorEastAsia" w:hint="eastAsia"/>
          <w:bCs/>
          <w:sz w:val="21"/>
          <w:szCs w:val="21"/>
          <w:lang w:val="zh-CN"/>
        </w:rPr>
        <w:t>盖总成件维修及车身翻新等大项专项维修）</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w:t>
      </w:r>
      <w:r>
        <w:rPr>
          <w:rFonts w:asciiTheme="minorEastAsia" w:eastAsiaTheme="minorEastAsia" w:hAnsiTheme="minorEastAsia" w:cstheme="minorEastAsia" w:hint="eastAsia"/>
          <w:sz w:val="21"/>
          <w:szCs w:val="21"/>
          <w:lang w:eastAsia="zh-CN"/>
        </w:rPr>
        <w:t>，</w:t>
      </w:r>
      <w:r>
        <w:rPr>
          <w:rFonts w:asciiTheme="minorEastAsia" w:eastAsiaTheme="minorEastAsia" w:hAnsiTheme="minorEastAsia" w:cstheme="minorEastAsia" w:hint="eastAsia"/>
          <w:sz w:val="21"/>
          <w:szCs w:val="21"/>
        </w:rPr>
        <w:t>以</w:t>
      </w:r>
      <w:r>
        <w:rPr>
          <w:rFonts w:asciiTheme="minorEastAsia" w:eastAsiaTheme="minorEastAsia" w:hAnsiTheme="minorEastAsia" w:cstheme="minorEastAsia" w:hint="eastAsia"/>
          <w:sz w:val="21"/>
          <w:szCs w:val="21"/>
          <w:lang w:val="en-US" w:eastAsia="zh-CN"/>
        </w:rPr>
        <w:t>及</w:t>
      </w:r>
      <w:r>
        <w:rPr>
          <w:rFonts w:asciiTheme="minorEastAsia" w:eastAsiaTheme="minorEastAsia" w:hAnsiTheme="minorEastAsia" w:cstheme="minorEastAsia" w:hint="eastAsia"/>
          <w:sz w:val="21"/>
          <w:szCs w:val="21"/>
        </w:rPr>
        <w:t>各种方式寄送技术资料到甲方办公室所发生的费用。</w:t>
      </w:r>
    </w:p>
    <w:p>
      <w:pPr>
        <w:pStyle w:val="NormalIndent"/>
        <w:keepNext w:val="0"/>
        <w:keepLines w:val="0"/>
        <w:pageBreakBefore w:val="0"/>
        <w:kinsoku/>
        <w:wordWrap/>
        <w:overflowPunct/>
        <w:topLinePunct w:val="0"/>
        <w:autoSpaceDE/>
        <w:autoSpaceDN/>
        <w:bidi w:val="0"/>
        <w:adjustRightInd/>
        <w:snapToGrid/>
        <w:spacing w:line="24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支付方式：分期支付。</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第二条  服务范围</w:t>
      </w:r>
    </w:p>
    <w:tbl>
      <w:tblPr>
        <w:tblStyle w:val="TableNormal"/>
        <w:tblW w:w="0" w:type="auto"/>
        <w:tblInd w:w="-263" w:type="dxa"/>
        <w:tblLayout w:type="fixed"/>
        <w:tblCellMar>
          <w:top w:w="0" w:type="dxa"/>
          <w:left w:w="108" w:type="dxa"/>
          <w:bottom w:w="0" w:type="dxa"/>
          <w:right w:w="108" w:type="dxa"/>
        </w:tblCellMar>
      </w:tblPr>
      <w:tblGrid>
        <w:gridCol w:w="687"/>
        <w:gridCol w:w="1425"/>
        <w:gridCol w:w="2250"/>
        <w:gridCol w:w="1088"/>
        <w:gridCol w:w="975"/>
        <w:gridCol w:w="1275"/>
        <w:gridCol w:w="1020"/>
      </w:tblGrid>
      <w:tr>
        <w:tblPrEx>
          <w:tblW w:w="0" w:type="auto"/>
          <w:tblInd w:w="-263" w:type="dxa"/>
          <w:tblLayout w:type="fixed"/>
          <w:tblCellMar>
            <w:top w:w="0" w:type="dxa"/>
            <w:left w:w="108" w:type="dxa"/>
            <w:bottom w:w="0" w:type="dxa"/>
            <w:right w:w="108" w:type="dxa"/>
          </w:tblCellMar>
        </w:tblPrEx>
        <w:trPr>
          <w:trHeight w:val="815"/>
        </w:trPr>
        <w:tc>
          <w:tcPr>
            <w:tcW w:w="687"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b/>
                <w:bCs/>
                <w:color w:val="000000"/>
                <w:kern w:val="0"/>
                <w:sz w:val="21"/>
                <w:szCs w:val="21"/>
              </w:rPr>
            </w:pPr>
            <w:r>
              <w:rPr>
                <w:rFonts w:asciiTheme="minorEastAsia" w:eastAsiaTheme="minorEastAsia" w:hAnsiTheme="minorEastAsia" w:cstheme="minorEastAsia" w:hint="eastAsia"/>
                <w:b/>
                <w:bCs/>
                <w:color w:val="000000"/>
                <w:kern w:val="0"/>
                <w:sz w:val="21"/>
                <w:szCs w:val="21"/>
              </w:rPr>
              <w:t>包组</w:t>
            </w:r>
          </w:p>
        </w:tc>
        <w:tc>
          <w:tcPr>
            <w:tcW w:w="1425"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b/>
                <w:bCs/>
                <w:color w:val="000000"/>
                <w:kern w:val="0"/>
                <w:sz w:val="21"/>
                <w:szCs w:val="21"/>
              </w:rPr>
            </w:pPr>
            <w:r>
              <w:rPr>
                <w:rFonts w:asciiTheme="minorEastAsia" w:eastAsiaTheme="minorEastAsia" w:hAnsiTheme="minorEastAsia" w:cstheme="minorEastAsia" w:hint="eastAsia"/>
                <w:b/>
                <w:bCs/>
                <w:color w:val="000000"/>
                <w:kern w:val="0"/>
                <w:sz w:val="21"/>
                <w:szCs w:val="21"/>
              </w:rPr>
              <w:t>片区</w:t>
            </w:r>
          </w:p>
        </w:tc>
        <w:tc>
          <w:tcPr>
            <w:tcW w:w="2250"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kern w:val="0"/>
                <w:sz w:val="21"/>
                <w:szCs w:val="21"/>
              </w:rPr>
            </w:pPr>
            <w:r>
              <w:rPr>
                <w:rFonts w:asciiTheme="minorEastAsia" w:eastAsiaTheme="minorEastAsia" w:hAnsiTheme="minorEastAsia" w:cstheme="minorEastAsia" w:hint="eastAsia"/>
                <w:b/>
                <w:bCs/>
                <w:color w:val="000000"/>
                <w:kern w:val="0"/>
                <w:sz w:val="21"/>
                <w:szCs w:val="21"/>
              </w:rPr>
              <w:t>单位名称</w:t>
            </w:r>
          </w:p>
        </w:tc>
        <w:tc>
          <w:tcPr>
            <w:tcW w:w="1088" w:type="dxa"/>
            <w:tcBorders>
              <w:top w:val="single" w:sz="4" w:space="0" w:color="000000"/>
              <w:left w:val="single" w:sz="4" w:space="0" w:color="000000"/>
              <w:bottom w:val="single" w:sz="4"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kern w:val="0"/>
                <w:sz w:val="21"/>
                <w:szCs w:val="21"/>
              </w:rPr>
            </w:pPr>
            <w:r>
              <w:rPr>
                <w:rFonts w:asciiTheme="minorEastAsia" w:eastAsiaTheme="minorEastAsia" w:hAnsiTheme="minorEastAsia" w:cstheme="minorEastAsia" w:hint="eastAsia"/>
                <w:b/>
                <w:bCs/>
                <w:color w:val="000000"/>
                <w:kern w:val="0"/>
                <w:sz w:val="21"/>
                <w:szCs w:val="21"/>
              </w:rPr>
              <w:t>车辆类型</w:t>
            </w:r>
          </w:p>
        </w:tc>
        <w:tc>
          <w:tcPr>
            <w:tcW w:w="975" w:type="dxa"/>
            <w:tcBorders>
              <w:top w:val="single" w:sz="4" w:space="0" w:color="000000"/>
              <w:left w:val="single" w:sz="4" w:space="0" w:color="000000"/>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kern w:val="0"/>
                <w:sz w:val="21"/>
                <w:szCs w:val="21"/>
              </w:rPr>
            </w:pPr>
            <w:r>
              <w:rPr>
                <w:rFonts w:asciiTheme="minorEastAsia" w:eastAsiaTheme="minorEastAsia" w:hAnsiTheme="minorEastAsia" w:cstheme="minorEastAsia" w:hint="eastAsia"/>
                <w:b/>
                <w:bCs/>
                <w:color w:val="000000"/>
                <w:kern w:val="0"/>
                <w:sz w:val="21"/>
                <w:szCs w:val="21"/>
              </w:rPr>
              <w:t>预估车辆数量/辆</w:t>
            </w:r>
          </w:p>
        </w:tc>
        <w:tc>
          <w:tcPr>
            <w:tcW w:w="1275" w:type="dxa"/>
            <w:tcBorders>
              <w:top w:val="single" w:sz="4" w:space="0" w:color="auto"/>
              <w:left w:val="single" w:sz="4" w:space="0" w:color="auto"/>
              <w:bottom w:val="single" w:sz="4" w:space="0" w:color="auto"/>
              <w:right w:val="single" w:sz="4" w:space="0" w:color="00000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kern w:val="0"/>
                <w:sz w:val="21"/>
                <w:szCs w:val="21"/>
              </w:rPr>
            </w:pPr>
            <w:r>
              <w:rPr>
                <w:rFonts w:asciiTheme="minorEastAsia" w:eastAsiaTheme="minorEastAsia" w:hAnsiTheme="minorEastAsia" w:cstheme="minorEastAsia" w:hint="eastAsia"/>
                <w:b/>
                <w:bCs/>
                <w:color w:val="000000"/>
                <w:kern w:val="0"/>
                <w:sz w:val="21"/>
                <w:szCs w:val="21"/>
              </w:rPr>
              <w:t>服务区域</w:t>
            </w:r>
          </w:p>
        </w:tc>
        <w:tc>
          <w:tcPr>
            <w:tcW w:w="1020" w:type="dxa"/>
            <w:tcBorders>
              <w:top w:val="single" w:sz="4" w:space="0" w:color="auto"/>
              <w:left w:val="single" w:sz="4" w:space="0" w:color="000000"/>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kern w:val="0"/>
                <w:sz w:val="21"/>
                <w:szCs w:val="21"/>
              </w:rPr>
            </w:pPr>
            <w:r>
              <w:rPr>
                <w:rFonts w:asciiTheme="minorEastAsia" w:eastAsiaTheme="minorEastAsia" w:hAnsiTheme="minorEastAsia" w:cstheme="minorEastAsia" w:hint="eastAsia"/>
                <w:b/>
                <w:bCs/>
                <w:color w:val="000000"/>
                <w:kern w:val="0"/>
                <w:sz w:val="21"/>
                <w:szCs w:val="21"/>
              </w:rPr>
              <w:t>支付上限（元）</w:t>
            </w:r>
          </w:p>
        </w:tc>
      </w:tr>
      <w:tr>
        <w:tblPrEx>
          <w:tblW w:w="0" w:type="auto"/>
          <w:tblInd w:w="-263" w:type="dxa"/>
          <w:tblLayout w:type="fixed"/>
          <w:tblCellMar>
            <w:top w:w="0" w:type="dxa"/>
            <w:left w:w="108" w:type="dxa"/>
            <w:bottom w:w="0" w:type="dxa"/>
            <w:right w:w="108" w:type="dxa"/>
          </w:tblCellMar>
        </w:tblPrEx>
        <w:trPr>
          <w:trHeight w:val="437"/>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b/>
                <w:bCs/>
                <w:color w:val="000000"/>
                <w:kern w:val="0"/>
                <w:sz w:val="21"/>
                <w:szCs w:val="21"/>
              </w:rP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b/>
                <w:bCs/>
                <w:color w:val="000000"/>
                <w:sz w:val="21"/>
                <w:szCs w:val="21"/>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398"/>
        </w:trPr>
        <w:tc>
          <w:tcPr>
            <w:tcW w:w="68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397"/>
        </w:trPr>
        <w:tc>
          <w:tcPr>
            <w:tcW w:w="68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22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540"/>
        </w:trPr>
        <w:tc>
          <w:tcPr>
            <w:tcW w:w="68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447"/>
        </w:trPr>
        <w:tc>
          <w:tcPr>
            <w:tcW w:w="68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22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450"/>
        </w:trPr>
        <w:tc>
          <w:tcPr>
            <w:tcW w:w="687"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b/>
                <w:bCs/>
                <w:color w:val="000000"/>
                <w:sz w:val="21"/>
                <w:szCs w:val="21"/>
              </w:rPr>
            </w:pPr>
          </w:p>
        </w:tc>
        <w:tc>
          <w:tcPr>
            <w:tcW w:w="225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Theme="minorEastAsia" w:eastAsiaTheme="minorEastAsia" w:hAnsiTheme="minorEastAsia" w:cstheme="minorEastAsia" w:hint="eastAsia"/>
                <w:color w:val="000000"/>
                <w:sz w:val="21"/>
                <w:szCs w:val="21"/>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eastAsiaTheme="minorEastAsia" w:hAnsiTheme="minorEastAsia" w:cstheme="minorEastAsia" w:hint="eastAsia"/>
                <w:color w:val="000000"/>
                <w:sz w:val="21"/>
                <w:szCs w:val="21"/>
              </w:rPr>
            </w:pPr>
          </w:p>
        </w:tc>
      </w:tr>
      <w:tr>
        <w:tblPrEx>
          <w:tblW w:w="0" w:type="auto"/>
          <w:tblInd w:w="-263" w:type="dxa"/>
          <w:tblLayout w:type="fixed"/>
          <w:tblCellMar>
            <w:top w:w="0" w:type="dxa"/>
            <w:left w:w="108" w:type="dxa"/>
            <w:bottom w:w="0" w:type="dxa"/>
            <w:right w:w="108" w:type="dxa"/>
          </w:tblCellMar>
        </w:tblPrEx>
        <w:trPr>
          <w:trHeight w:val="450"/>
        </w:trPr>
        <w:tc>
          <w:tcPr>
            <w:tcW w:w="87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tabs>
                <w:tab w:val="left" w:pos="3373"/>
              </w:tabs>
              <w:kinsoku/>
              <w:wordWrap/>
              <w:overflowPunct/>
              <w:topLinePunct w:val="0"/>
              <w:autoSpaceDE/>
              <w:autoSpaceDN/>
              <w:bidi w:val="0"/>
              <w:adjustRightInd/>
              <w:snapToGrid/>
              <w:spacing w:line="240" w:lineRule="auto"/>
              <w:ind w:firstLine="630" w:firstLineChars="300"/>
              <w:jc w:val="left"/>
              <w:rPr>
                <w:rFonts w:asciiTheme="minorEastAsia" w:eastAsiaTheme="minorEastAsia" w:hAnsiTheme="minorEastAsia" w:cstheme="minorEastAsia" w:hint="eastAsia"/>
                <w:color w:val="000000"/>
                <w:sz w:val="21"/>
                <w:szCs w:val="21"/>
                <w:lang w:eastAsia="zh-CN"/>
              </w:rPr>
            </w:pPr>
            <w:r>
              <w:rPr>
                <w:rFonts w:asciiTheme="minorEastAsia" w:eastAsiaTheme="minorEastAsia" w:hAnsiTheme="minorEastAsia" w:cstheme="minorEastAsia" w:hint="eastAsia"/>
                <w:color w:val="000000"/>
                <w:sz w:val="21"/>
                <w:szCs w:val="21"/>
                <w:lang w:eastAsia="zh-CN"/>
              </w:rPr>
              <w:t>备注：甲方可根据单位实际情况，对服务单位的车辆进行更换</w:t>
            </w:r>
          </w:p>
        </w:tc>
      </w:tr>
    </w:tbl>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p>
    <w:p>
      <w:pPr>
        <w:keepNext w:val="0"/>
        <w:keepLines w:val="0"/>
        <w:pageBreakBefore w:val="0"/>
        <w:numPr>
          <w:ilvl w:val="0"/>
          <w:numId w:val="11"/>
        </w:numPr>
        <w:kinsoku/>
        <w:wordWrap/>
        <w:overflowPunct/>
        <w:topLinePunct w:val="0"/>
        <w:autoSpaceDE/>
        <w:autoSpaceDN/>
        <w:bidi w:val="0"/>
        <w:adjustRightInd/>
        <w:snapToGrid/>
        <w:spacing w:line="240" w:lineRule="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lang w:eastAsia="zh-CN"/>
        </w:rPr>
        <w:t>服务要求</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sz w:val="21"/>
          <w:szCs w:val="21"/>
          <w:highlight w:val="none"/>
        </w:rPr>
        <w:t>遵循公平、公开、公正、廉洁、高效的原则，由甲乙双方根据《</w:t>
      </w:r>
      <w:r>
        <w:rPr>
          <w:rFonts w:asciiTheme="minorEastAsia" w:eastAsiaTheme="minorEastAsia" w:hAnsiTheme="minorEastAsia" w:cstheme="minorEastAsia" w:hint="eastAsia"/>
          <w:sz w:val="21"/>
          <w:szCs w:val="21"/>
          <w:highlight w:val="none"/>
        </w:rPr>
        <w:fldChar w:fldCharType="begin"/>
      </w:r>
      <w:r>
        <w:rPr>
          <w:rFonts w:asciiTheme="minorEastAsia" w:eastAsiaTheme="minorEastAsia" w:hAnsiTheme="minorEastAsia" w:cstheme="minorEastAsia" w:hint="eastAsia"/>
          <w:sz w:val="21"/>
          <w:szCs w:val="21"/>
          <w:highlight w:val="none"/>
        </w:rPr>
        <w:instrText xml:space="preserve"> HYPERLINK "https://law.wkinfo.com.cn/document/show?collection=legislation&amp;aid=MTAwMDAwMTUwODA=&amp;language=%E4%B8%AD%E6%96%87" \t "https://law.wkinfo.com.cn/legislation/detail/_blank" </w:instrText>
      </w:r>
      <w:r>
        <w:rPr>
          <w:rFonts w:asciiTheme="minorEastAsia" w:eastAsiaTheme="minorEastAsia" w:hAnsiTheme="minorEastAsia" w:cstheme="minorEastAsia" w:hint="eastAsia"/>
          <w:sz w:val="21"/>
          <w:szCs w:val="21"/>
          <w:highlight w:val="none"/>
        </w:rPr>
        <w:fldChar w:fldCharType="separate"/>
      </w:r>
      <w:r>
        <w:rPr>
          <w:rFonts w:asciiTheme="minorEastAsia" w:eastAsiaTheme="minorEastAsia" w:hAnsiTheme="minorEastAsia" w:cstheme="minorEastAsia" w:hint="eastAsia"/>
          <w:sz w:val="21"/>
          <w:szCs w:val="21"/>
          <w:highlight w:val="none"/>
        </w:rPr>
        <w:t>机动车维修管理规定</w:t>
      </w:r>
      <w:r>
        <w:rPr>
          <w:rFonts w:asciiTheme="minorEastAsia" w:eastAsiaTheme="minorEastAsia" w:hAnsiTheme="minorEastAsia" w:cstheme="minorEastAsia" w:hint="eastAsia"/>
          <w:sz w:val="21"/>
          <w:szCs w:val="21"/>
          <w:highlight w:val="none"/>
        </w:rPr>
        <w:fldChar w:fldCharType="end"/>
      </w:r>
      <w:r>
        <w:rPr>
          <w:rFonts w:asciiTheme="minorEastAsia" w:eastAsiaTheme="minorEastAsia" w:hAnsiTheme="minorEastAsia" w:cstheme="minorEastAsia" w:hint="eastAsia"/>
          <w:sz w:val="21"/>
          <w:szCs w:val="21"/>
          <w:highlight w:val="none"/>
          <w:shd w:val="clear" w:color="auto" w:fill="FFFFFF"/>
        </w:rPr>
        <w:t>》并</w:t>
      </w:r>
      <w:r>
        <w:rPr>
          <w:rFonts w:asciiTheme="minorEastAsia" w:eastAsiaTheme="minorEastAsia" w:hAnsiTheme="minorEastAsia" w:cstheme="minorEastAsia" w:hint="eastAsia"/>
          <w:sz w:val="21"/>
          <w:szCs w:val="21"/>
          <w:highlight w:val="none"/>
        </w:rPr>
        <w:t>结合实际情况协商确定。</w:t>
      </w:r>
      <w:r>
        <w:rPr>
          <w:rFonts w:asciiTheme="minorEastAsia" w:eastAsiaTheme="minorEastAsia" w:hAnsiTheme="minorEastAsia" w:cstheme="minorEastAsia" w:hint="eastAsia"/>
          <w:bCs/>
          <w:sz w:val="21"/>
          <w:szCs w:val="21"/>
        </w:rPr>
        <w:t>要求车辆维修服务提供者在故障诊断、维修技术、零件更换、服务态度、价格透明、维修周期、质量保证和环保措施等方面达到高标准，以确保客户获得优质、可靠的维修服务体验。</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1、在本项目履约服务期内，如</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出现资质条件变更、经营范围变更等不能承担履行本项目的能力的情况，</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有义务及时书面告知</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，主动申请放弃或者由</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取消其维修企业资格。</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w:t>
      </w:r>
      <w:r>
        <w:rPr>
          <w:rFonts w:asciiTheme="minorEastAsia" w:eastAsiaTheme="minorEastAsia" w:hAnsiTheme="minorEastAsia" w:cstheme="minorEastAsia" w:hint="eastAsia"/>
          <w:bCs/>
          <w:sz w:val="21"/>
          <w:szCs w:val="21"/>
          <w:lang w:val="zh-CN"/>
        </w:rPr>
        <w:t>甲方有权在中标人的维修业务中获得优先服务，若甲方有需求，中标人需提供免费的上门接</w:t>
      </w:r>
      <w:r>
        <w:rPr>
          <w:rFonts w:asciiTheme="minorEastAsia" w:eastAsiaTheme="minorEastAsia" w:hAnsiTheme="minorEastAsia" w:cstheme="minorEastAsia" w:hint="eastAsia"/>
          <w:bCs/>
          <w:sz w:val="21"/>
          <w:szCs w:val="21"/>
        </w:rPr>
        <w:t>车到验车出厂</w:t>
      </w:r>
      <w:r>
        <w:rPr>
          <w:rFonts w:asciiTheme="minorEastAsia" w:eastAsiaTheme="minorEastAsia" w:hAnsiTheme="minorEastAsia" w:cstheme="minorEastAsia" w:hint="eastAsia"/>
          <w:bCs/>
          <w:sz w:val="21"/>
          <w:szCs w:val="21"/>
          <w:lang w:val="en-US" w:eastAsia="zh-CN"/>
        </w:rPr>
        <w:t>送回使用单位</w:t>
      </w:r>
      <w:r>
        <w:rPr>
          <w:rFonts w:asciiTheme="minorEastAsia" w:eastAsiaTheme="minorEastAsia" w:hAnsiTheme="minorEastAsia" w:cstheme="minorEastAsia" w:hint="eastAsia"/>
          <w:bCs/>
          <w:sz w:val="21"/>
          <w:szCs w:val="21"/>
        </w:rPr>
        <w:t>的全过程服务，确保在规定时限内完成维修服务</w:t>
      </w:r>
      <w:r>
        <w:rPr>
          <w:rFonts w:asciiTheme="minorEastAsia" w:eastAsiaTheme="minorEastAsia" w:hAnsiTheme="minorEastAsia" w:cstheme="minorEastAsia" w:hint="eastAsia"/>
          <w:bCs/>
          <w:sz w:val="21"/>
          <w:szCs w:val="21"/>
          <w:lang w:val="zh-CN"/>
        </w:rPr>
        <w:t>。</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须接受</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以及相关监督部门的监管，积极配合上述部门的工作检查，提供相应资料。</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须理解并遵照执行</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的相关管理制度规定，并接受违反制度的相应处理。当相关管理要求发生变更时，若认同变更后的内容，则遵照有关要求执行并接受相应违反管理要求的处罚；若不认同变更后的内容，可书面申请退出本项目入围维修企业。</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须承诺承担的维修项目保证符合国家的质量、服务、安全等相关标准。</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6、</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须严格按照国家对车辆维修行业的有关法律、法规以及政策、规定进行经营，</w:t>
      </w:r>
      <w:r>
        <w:rPr>
          <w:rFonts w:asciiTheme="minorEastAsia" w:eastAsiaTheme="minorEastAsia" w:hAnsiTheme="minorEastAsia" w:cstheme="minorEastAsia" w:hint="eastAsia"/>
          <w:bCs/>
          <w:sz w:val="21"/>
          <w:szCs w:val="21"/>
          <w:lang w:val="zh-CN"/>
        </w:rPr>
        <w:t>不得将送修车辆转厂维修</w:t>
      </w:r>
      <w:r>
        <w:rPr>
          <w:rFonts w:asciiTheme="minorEastAsia" w:eastAsiaTheme="minorEastAsia" w:hAnsiTheme="minorEastAsia" w:cstheme="minorEastAsia" w:hint="eastAsia"/>
          <w:bCs/>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7、</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须保证严格执行国家及行业主管部门相关质量标准，确保采购质量，保证所用配件是符合国家质量标准的全新原厂配件，不得使用假冒伪劣产品，不得以旧充新、以副顶正、以次充好，严把材料质量关。</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8、</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须承诺执行招标文件规定的收费标准，不得虚报维修项目和</w:t>
      </w:r>
      <w:r>
        <w:rPr>
          <w:rFonts w:asciiTheme="minorEastAsia" w:eastAsiaTheme="minorEastAsia" w:hAnsiTheme="minorEastAsia" w:cstheme="minorEastAsia" w:hint="eastAsia"/>
          <w:bCs/>
          <w:sz w:val="21"/>
          <w:szCs w:val="21"/>
          <w:lang w:val="en-US" w:eastAsia="zh-CN"/>
        </w:rPr>
        <w:t>施工工时</w:t>
      </w:r>
      <w:r>
        <w:rPr>
          <w:rFonts w:asciiTheme="minorEastAsia" w:eastAsiaTheme="minorEastAsia" w:hAnsiTheme="minorEastAsia" w:cstheme="minorEastAsia" w:hint="eastAsia"/>
          <w:bCs/>
          <w:sz w:val="21"/>
          <w:szCs w:val="21"/>
        </w:rPr>
        <w:t>，不得擅自提高相关费用。</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9、</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须承诺在合同执行期内必须严格执行中标的材料管理费率和工时费，不得随意提价或变相提价。</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10、</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须承诺建立车辆维修档案，将车辆“送修—</w:t>
      </w:r>
      <w:r>
        <w:rPr>
          <w:rFonts w:asciiTheme="minorEastAsia" w:eastAsiaTheme="minorEastAsia" w:hAnsiTheme="minorEastAsia" w:cstheme="minorEastAsia" w:hint="eastAsia"/>
          <w:bCs/>
          <w:sz w:val="21"/>
          <w:szCs w:val="21"/>
          <w:lang w:val="en-US" w:eastAsia="zh-CN"/>
        </w:rPr>
        <w:t>报价</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bCs/>
          <w:sz w:val="21"/>
          <w:szCs w:val="21"/>
          <w:lang w:val="en-US" w:eastAsia="zh-CN"/>
        </w:rPr>
        <w:t>维修</w:t>
      </w:r>
      <w:r>
        <w:rPr>
          <w:rFonts w:asciiTheme="minorEastAsia" w:eastAsiaTheme="minorEastAsia" w:hAnsiTheme="minorEastAsia" w:cstheme="minorEastAsia" w:hint="eastAsia"/>
          <w:bCs/>
          <w:sz w:val="21"/>
          <w:szCs w:val="21"/>
        </w:rPr>
        <w:t>－结算”整个维修过程的相关真实资料保存完整，装订整齐交由专人负责管理。维修档案储存内容主要包括：维修项目报价单、维修项目</w:t>
      </w:r>
      <w:r>
        <w:rPr>
          <w:rFonts w:asciiTheme="minorEastAsia" w:eastAsiaTheme="minorEastAsia" w:hAnsiTheme="minorEastAsia" w:cstheme="minorEastAsia" w:hint="eastAsia"/>
          <w:bCs/>
          <w:sz w:val="21"/>
          <w:szCs w:val="21"/>
          <w:lang w:val="en-US" w:eastAsia="zh-CN"/>
        </w:rPr>
        <w:t>图像资料</w:t>
      </w:r>
      <w:r>
        <w:rPr>
          <w:rFonts w:asciiTheme="minorEastAsia" w:eastAsiaTheme="minorEastAsia" w:hAnsiTheme="minorEastAsia" w:cstheme="minorEastAsia" w:hint="eastAsia"/>
          <w:bCs/>
          <w:sz w:val="21"/>
          <w:szCs w:val="21"/>
        </w:rPr>
        <w:t>、维修清单详细信息、维修收费结算单等。档案管理要求随查随调，归档内容完整、资料齐全。</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11、</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须承诺车辆维修结算时，必须主动向车属单位出示当月的车辆维修</w:t>
      </w:r>
      <w:r>
        <w:rPr>
          <w:rFonts w:asciiTheme="minorEastAsia" w:eastAsiaTheme="minorEastAsia" w:hAnsiTheme="minorEastAsia" w:cstheme="minorEastAsia" w:hint="eastAsia"/>
          <w:bCs/>
          <w:sz w:val="21"/>
          <w:szCs w:val="21"/>
          <w:lang w:val="en-US" w:eastAsia="zh-CN"/>
        </w:rPr>
        <w:t>汇总</w:t>
      </w:r>
      <w:r>
        <w:rPr>
          <w:rFonts w:asciiTheme="minorEastAsia" w:eastAsiaTheme="minorEastAsia" w:hAnsiTheme="minorEastAsia" w:cstheme="minorEastAsia" w:hint="eastAsia"/>
          <w:bCs/>
          <w:sz w:val="21"/>
          <w:szCs w:val="21"/>
        </w:rPr>
        <w:t>清</w:t>
      </w:r>
      <w:r>
        <w:rPr>
          <w:rFonts w:asciiTheme="minorEastAsia" w:eastAsiaTheme="minorEastAsia" w:hAnsiTheme="minorEastAsia" w:cstheme="minorEastAsia" w:hint="eastAsia"/>
          <w:bCs/>
          <w:sz w:val="21"/>
          <w:szCs w:val="21"/>
          <w:lang w:val="en-US" w:eastAsia="zh-CN"/>
        </w:rPr>
        <w:t>单</w:t>
      </w:r>
      <w:r>
        <w:rPr>
          <w:rFonts w:asciiTheme="minorEastAsia" w:eastAsiaTheme="minorEastAsia" w:hAnsiTheme="minorEastAsia" w:cstheme="minorEastAsia" w:hint="eastAsia"/>
          <w:bCs/>
          <w:sz w:val="21"/>
          <w:szCs w:val="21"/>
        </w:rPr>
        <w:t>、车辆维修结算单、维修</w:t>
      </w:r>
      <w:r>
        <w:rPr>
          <w:rFonts w:asciiTheme="minorEastAsia" w:eastAsiaTheme="minorEastAsia" w:hAnsiTheme="minorEastAsia" w:cstheme="minorEastAsia" w:hint="eastAsia"/>
          <w:bCs/>
          <w:sz w:val="21"/>
          <w:szCs w:val="21"/>
          <w:lang w:val="en-US" w:eastAsia="zh-CN"/>
        </w:rPr>
        <w:t>费用等额</w:t>
      </w:r>
      <w:r>
        <w:rPr>
          <w:rFonts w:asciiTheme="minorEastAsia" w:eastAsiaTheme="minorEastAsia" w:hAnsiTheme="minorEastAsia" w:cstheme="minorEastAsia" w:hint="eastAsia"/>
          <w:bCs/>
          <w:sz w:val="21"/>
          <w:szCs w:val="21"/>
        </w:rPr>
        <w:t>发票等，用户单位核实无误后按</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有关规定支付相关费用。同一维修项目不分拆结算，不虚开结算单，确保</w:t>
      </w:r>
      <w:r>
        <w:rPr>
          <w:rFonts w:asciiTheme="minorEastAsia" w:eastAsiaTheme="minorEastAsia" w:hAnsiTheme="minorEastAsia" w:cstheme="minorEastAsia" w:hint="eastAsia"/>
          <w:bCs/>
          <w:sz w:val="21"/>
          <w:szCs w:val="21"/>
          <w:lang w:val="en-US" w:eastAsia="zh-CN"/>
        </w:rPr>
        <w:t>结算费用与报价项目费用一致</w:t>
      </w:r>
      <w:r>
        <w:rPr>
          <w:rFonts w:asciiTheme="minorEastAsia" w:eastAsiaTheme="minorEastAsia" w:hAnsiTheme="minorEastAsia" w:cstheme="minorEastAsia" w:hint="eastAsia"/>
          <w:bCs/>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12、</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须配合</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车辆维修项目管理，协助</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对车辆维修信息进行实时监控，并将按要求报送相关数据和资料。</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13、</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应保证维修质量，送修车辆维修合格出厂后，要按《</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HYPERLINK "https://law.wkinfo.com.cn/document/show?collection=legislation&amp;aid=MTAwMDAwNzI5ODc=&amp;language=%E4%B8%AD%E6%96%87" \t "https://law.wkinfo.com.cn/legislation/detail/_blank" </w:instrText>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hint="eastAsia"/>
          <w:bCs/>
          <w:sz w:val="21"/>
          <w:szCs w:val="21"/>
        </w:rPr>
        <w:t>中华人民共和国道路运输条例</w:t>
      </w:r>
      <w:r>
        <w:rPr>
          <w:rFonts w:asciiTheme="minorEastAsia" w:eastAsiaTheme="minorEastAsia" w:hAnsiTheme="minorEastAsia" w:cstheme="minorEastAsia" w:hint="eastAsia"/>
          <w:bCs/>
          <w:sz w:val="21"/>
          <w:szCs w:val="21"/>
        </w:rPr>
        <w:fldChar w:fldCharType="end"/>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HYPERLINK "https://law.wkinfo.com.cn/document/show?collection=legislation&amp;aid=MTAwMDAwMTUwODA=&amp;language=%E4%B8%AD%E6%96%87" \t "https://law.wkinfo.com.cn/legislation/detail/_blank" </w:instrText>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hint="eastAsia"/>
          <w:bCs/>
          <w:sz w:val="21"/>
          <w:szCs w:val="21"/>
        </w:rPr>
        <w:t>机动车维修管理规定</w:t>
      </w:r>
      <w:r>
        <w:rPr>
          <w:rFonts w:asciiTheme="minorEastAsia" w:eastAsiaTheme="minorEastAsia" w:hAnsiTheme="minorEastAsia" w:cstheme="minorEastAsia" w:hint="eastAsia"/>
          <w:bCs/>
          <w:sz w:val="21"/>
          <w:szCs w:val="21"/>
        </w:rPr>
        <w:fldChar w:fldCharType="end"/>
      </w:r>
      <w:r>
        <w:rPr>
          <w:rFonts w:asciiTheme="minorEastAsia" w:eastAsiaTheme="minorEastAsia" w:hAnsiTheme="minorEastAsia" w:cstheme="minorEastAsia" w:hint="eastAsia"/>
          <w:bCs/>
          <w:sz w:val="21"/>
          <w:szCs w:val="21"/>
        </w:rPr>
        <w:t>》中的保修期内的责任保障期限和车辆质量保障里程执行。本项目涉及的车辆在原维修保养期内（质量保修期内）的，继续由原维修机构负责，中标人对超过原维修保养期（质量保修期内）的车辆进行维修。在保修期内，同一故障因维修质量造成的机械事故和经济损失，由</w:t>
      </w:r>
      <w:r>
        <w:rPr>
          <w:rFonts w:asciiTheme="minorEastAsia" w:eastAsiaTheme="minorEastAsia" w:hAnsiTheme="minorEastAsia" w:cstheme="minorEastAsia" w:hint="eastAsia"/>
          <w:bCs/>
          <w:sz w:val="21"/>
          <w:szCs w:val="21"/>
          <w:lang w:val="zh-CN"/>
        </w:rPr>
        <w:t>中标人</w:t>
      </w:r>
      <w:r>
        <w:rPr>
          <w:rFonts w:asciiTheme="minorEastAsia" w:eastAsiaTheme="minorEastAsia" w:hAnsiTheme="minorEastAsia" w:cstheme="minorEastAsia" w:hint="eastAsia"/>
          <w:bCs/>
          <w:sz w:val="21"/>
          <w:szCs w:val="21"/>
        </w:rPr>
        <w:t>负责承担赔偿责任。</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14、售后服务要求，中标人的车辆维修项目半年内再次出现同样问题返修，</w:t>
      </w:r>
      <w:r>
        <w:rPr>
          <w:rFonts w:asciiTheme="minorEastAsia" w:eastAsiaTheme="minorEastAsia" w:hAnsiTheme="minorEastAsia" w:cstheme="minorEastAsia" w:hint="eastAsia"/>
          <w:bCs/>
          <w:sz w:val="21"/>
          <w:szCs w:val="21"/>
          <w:lang w:eastAsia="zh-CN"/>
        </w:rPr>
        <w:t>甲方</w:t>
      </w:r>
      <w:r>
        <w:rPr>
          <w:rFonts w:asciiTheme="minorEastAsia" w:eastAsiaTheme="minorEastAsia" w:hAnsiTheme="minorEastAsia" w:cstheme="minorEastAsia" w:hint="eastAsia"/>
          <w:bCs/>
          <w:sz w:val="21"/>
          <w:szCs w:val="21"/>
        </w:rPr>
        <w:t>不再支付维修费用，</w:t>
      </w:r>
      <w:r>
        <w:rPr>
          <w:rFonts w:asciiTheme="minorEastAsia" w:eastAsiaTheme="minorEastAsia" w:hAnsiTheme="minorEastAsia" w:cstheme="minorEastAsia" w:hint="eastAsia"/>
          <w:sz w:val="21"/>
          <w:szCs w:val="21"/>
        </w:rPr>
        <w:t>对查不出原因的维修质量问题，在质量保修期内，应无偿进行返修。</w:t>
      </w:r>
      <w:r>
        <w:rPr>
          <w:rFonts w:asciiTheme="minorEastAsia" w:eastAsiaTheme="minorEastAsia" w:hAnsiTheme="minorEastAsia" w:cstheme="minorEastAsia" w:hint="eastAsia"/>
          <w:bCs/>
          <w:sz w:val="21"/>
          <w:szCs w:val="21"/>
        </w:rPr>
        <w:t>同一问题半年内返修率超过3次的纳入履约考核。</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15、中标人提供</w:t>
      </w:r>
      <w:r>
        <w:rPr>
          <w:rFonts w:asciiTheme="minorEastAsia" w:eastAsiaTheme="minorEastAsia" w:hAnsiTheme="minorEastAsia" w:cstheme="minorEastAsia" w:hint="eastAsia"/>
          <w:bCs/>
          <w:sz w:val="21"/>
          <w:szCs w:val="21"/>
          <w:lang w:val="zh-CN"/>
        </w:rPr>
        <w:t>市内免费救援服务(含节假日)、紧急故障上门服务(含节假日)，</w:t>
      </w:r>
      <w:r>
        <w:rPr>
          <w:rFonts w:asciiTheme="minorEastAsia" w:eastAsiaTheme="minorEastAsia" w:hAnsiTheme="minorEastAsia" w:cstheme="minorEastAsia" w:hint="eastAsia"/>
          <w:bCs/>
          <w:sz w:val="21"/>
          <w:szCs w:val="21"/>
        </w:rPr>
        <w:t>故障车辆免费上门提车、送车；</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lang w:val="zh-CN"/>
        </w:rPr>
      </w:pPr>
      <w:r>
        <w:rPr>
          <w:rFonts w:asciiTheme="minorEastAsia" w:eastAsiaTheme="minorEastAsia" w:hAnsiTheme="minorEastAsia" w:cstheme="minorEastAsia" w:hint="eastAsia"/>
          <w:bCs/>
          <w:sz w:val="21"/>
          <w:szCs w:val="21"/>
        </w:rPr>
        <w:t>16、售后服务要求，中标人</w:t>
      </w:r>
      <w:r>
        <w:rPr>
          <w:rFonts w:asciiTheme="minorEastAsia" w:eastAsiaTheme="minorEastAsia" w:hAnsiTheme="minorEastAsia" w:cstheme="minorEastAsia" w:hint="eastAsia"/>
          <w:sz w:val="21"/>
          <w:szCs w:val="21"/>
        </w:rPr>
        <w:t>为修理出厂车辆提供免费清洁、吸尘服务</w:t>
      </w:r>
      <w:r>
        <w:rPr>
          <w:rFonts w:asciiTheme="minorEastAsia" w:eastAsiaTheme="minorEastAsia" w:hAnsiTheme="minorEastAsia" w:cstheme="minorEastAsia" w:hint="eastAsia"/>
          <w:bCs/>
          <w:sz w:val="21"/>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bCs/>
          <w:sz w:val="21"/>
          <w:szCs w:val="21"/>
        </w:rPr>
        <w:t>17、售后服务要求，中标人需做好</w:t>
      </w:r>
      <w:r>
        <w:rPr>
          <w:rFonts w:asciiTheme="minorEastAsia" w:eastAsiaTheme="minorEastAsia" w:hAnsiTheme="minorEastAsia" w:cstheme="minorEastAsia" w:hint="eastAsia"/>
          <w:sz w:val="21"/>
          <w:szCs w:val="21"/>
        </w:rPr>
        <w:t>配件质保及旧件回收管理。</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18、由于公安工作的特殊性、时效性和天气、环境等不确定性，需要中标人提供车辆故障的应急服务方案 ，及时有效解决</w:t>
      </w:r>
      <w:r>
        <w:rPr>
          <w:rFonts w:asciiTheme="minorEastAsia" w:eastAsiaTheme="minorEastAsia" w:hAnsiTheme="minorEastAsia" w:cstheme="minorEastAsia" w:hint="eastAsia"/>
          <w:sz w:val="21"/>
          <w:szCs w:val="21"/>
          <w:lang w:eastAsia="zh-CN"/>
        </w:rPr>
        <w:t>甲方</w:t>
      </w:r>
      <w:r>
        <w:rPr>
          <w:rFonts w:asciiTheme="minorEastAsia" w:eastAsiaTheme="minorEastAsia" w:hAnsiTheme="minorEastAsia" w:cstheme="minorEastAsia" w:hint="eastAsia"/>
          <w:sz w:val="21"/>
          <w:szCs w:val="21"/>
        </w:rPr>
        <w:t>的需求，提供24小时应急维修服务（含节假日）。</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hint="eastAsia"/>
          <w:sz w:val="21"/>
          <w:szCs w:val="21"/>
          <w:lang w:val="en-US" w:eastAsia="zh-CN"/>
        </w:rPr>
        <w:t>19</w:t>
      </w:r>
      <w:r>
        <w:rPr>
          <w:rFonts w:asciiTheme="minorEastAsia" w:eastAsiaTheme="minorEastAsia" w:hAnsiTheme="minorEastAsia" w:cstheme="minorEastAsia" w:hint="eastAsia"/>
          <w:sz w:val="21"/>
          <w:szCs w:val="21"/>
        </w:rPr>
        <w:t>、考虑到现有的公务车辆数、后期有可能增加的公务车辆数及中标人有可能承接其他单位的车辆维修事宜，同时维修车辆需要一定的周期，短期内待修车辆可能占用一定场地，因此中标人需有足够的维修场地作为支撑。</w:t>
      </w:r>
    </w:p>
    <w:p>
      <w:pPr>
        <w:keepNext w:val="0"/>
        <w:keepLines w:val="0"/>
        <w:pageBreakBefore w:val="0"/>
        <w:kinsoku/>
        <w:wordWrap/>
        <w:overflowPunct/>
        <w:topLinePunct w:val="0"/>
        <w:autoSpaceDE/>
        <w:autoSpaceDN/>
        <w:bidi w:val="0"/>
        <w:adjustRightInd/>
        <w:snapToGrid/>
        <w:spacing w:line="240" w:lineRule="auto"/>
        <w:ind w:firstLine="435"/>
        <w:jc w:val="left"/>
        <w:rPr>
          <w:rFonts w:asciiTheme="minorEastAsia" w:eastAsiaTheme="minorEastAsia" w:hAnsiTheme="minorEastAsia" w:cstheme="minorEastAsia" w:hint="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highlight w:val="none"/>
          <w:lang w:eastAsia="zh-CN"/>
        </w:rPr>
      </w:pPr>
      <w:r>
        <w:rPr>
          <w:rFonts w:asciiTheme="minorEastAsia" w:eastAsiaTheme="minorEastAsia" w:hAnsiTheme="minorEastAsia" w:cstheme="minorEastAsia" w:hint="eastAsia"/>
          <w:sz w:val="21"/>
          <w:szCs w:val="21"/>
          <w:highlight w:val="none"/>
          <w:lang w:eastAsia="zh-CN"/>
        </w:rPr>
        <w:t>四、</w:t>
      </w:r>
      <w:r>
        <w:rPr>
          <w:rFonts w:asciiTheme="minorEastAsia" w:eastAsiaTheme="minorEastAsia" w:hAnsiTheme="minorEastAsia" w:cstheme="minorEastAsia" w:hint="eastAsia"/>
          <w:sz w:val="21"/>
          <w:szCs w:val="21"/>
          <w:highlight w:val="none"/>
        </w:rPr>
        <w:t>维修费用</w:t>
      </w:r>
      <w:r>
        <w:rPr>
          <w:rFonts w:asciiTheme="minorEastAsia" w:eastAsiaTheme="minorEastAsia" w:hAnsiTheme="minorEastAsia" w:cstheme="minorEastAsia" w:hint="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0" w:lineRule="auto"/>
        <w:ind w:firstLine="424" w:firstLineChars="202"/>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维修费用（含税）标准按本次招标结果执行，具体标准为：</w:t>
      </w:r>
    </w:p>
    <w:p>
      <w:pPr>
        <w:keepNext w:val="0"/>
        <w:keepLines w:val="0"/>
        <w:pageBreakBefore w:val="0"/>
        <w:kinsoku/>
        <w:wordWrap/>
        <w:overflowPunct/>
        <w:topLinePunct w:val="0"/>
        <w:autoSpaceDE/>
        <w:autoSpaceDN/>
        <w:bidi w:val="0"/>
        <w:adjustRightInd/>
        <w:snapToGrid/>
        <w:spacing w:line="240" w:lineRule="auto"/>
        <w:ind w:firstLine="424" w:firstLineChars="202"/>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1、</w:t>
      </w:r>
      <w:r>
        <w:rPr>
          <w:rFonts w:asciiTheme="minorEastAsia" w:eastAsiaTheme="minorEastAsia" w:hAnsiTheme="minorEastAsia" w:cstheme="minorEastAsia" w:hint="eastAsia"/>
          <w:snapToGrid w:val="0"/>
          <w:kern w:val="0"/>
          <w:sz w:val="21"/>
          <w:szCs w:val="21"/>
          <w:highlight w:val="none"/>
        </w:rPr>
        <w:t>维修人工费工时单价</w:t>
      </w:r>
      <w:r>
        <w:rPr>
          <w:rFonts w:asciiTheme="minorEastAsia" w:eastAsiaTheme="minorEastAsia" w:hAnsiTheme="minorEastAsia" w:cstheme="minorEastAsia" w:hint="eastAsia"/>
          <w:sz w:val="21"/>
          <w:szCs w:val="21"/>
          <w:highlight w:val="none"/>
        </w:rPr>
        <w:t>：≤</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u w:val="single"/>
          <w:lang w:val="en-US" w:eastAsia="zh-CN"/>
        </w:rPr>
        <w:t xml:space="preserve">  </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rPr>
        <w:t>元/小时；</w:t>
      </w:r>
    </w:p>
    <w:p>
      <w:pPr>
        <w:keepNext w:val="0"/>
        <w:keepLines w:val="0"/>
        <w:pageBreakBefore w:val="0"/>
        <w:kinsoku/>
        <w:wordWrap/>
        <w:overflowPunct/>
        <w:topLinePunct w:val="0"/>
        <w:autoSpaceDE/>
        <w:autoSpaceDN/>
        <w:bidi w:val="0"/>
        <w:adjustRightInd/>
        <w:snapToGrid/>
        <w:spacing w:line="240" w:lineRule="auto"/>
        <w:ind w:firstLine="424" w:firstLineChars="202"/>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2、</w:t>
      </w:r>
      <w:r>
        <w:rPr>
          <w:rFonts w:asciiTheme="minorEastAsia" w:eastAsiaTheme="minorEastAsia" w:hAnsiTheme="minorEastAsia" w:cstheme="minorEastAsia" w:hint="eastAsia"/>
          <w:snapToGrid w:val="0"/>
          <w:kern w:val="0"/>
          <w:sz w:val="21"/>
          <w:szCs w:val="21"/>
          <w:highlight w:val="none"/>
        </w:rPr>
        <w:t>维修</w:t>
      </w:r>
      <w:r>
        <w:rPr>
          <w:rFonts w:asciiTheme="minorEastAsia" w:eastAsiaTheme="minorEastAsia" w:hAnsiTheme="minorEastAsia" w:cstheme="minorEastAsia" w:hint="eastAsia"/>
          <w:sz w:val="21"/>
          <w:szCs w:val="21"/>
          <w:highlight w:val="none"/>
        </w:rPr>
        <w:t>材料</w:t>
      </w:r>
      <w:r>
        <w:rPr>
          <w:rFonts w:asciiTheme="minorEastAsia" w:eastAsiaTheme="minorEastAsia" w:hAnsiTheme="minorEastAsia" w:cstheme="minorEastAsia" w:hint="eastAsia"/>
          <w:snapToGrid w:val="0"/>
          <w:kern w:val="0"/>
          <w:sz w:val="21"/>
          <w:szCs w:val="21"/>
          <w:highlight w:val="none"/>
        </w:rPr>
        <w:t>管理费率：</w:t>
      </w:r>
      <w:r>
        <w:rPr>
          <w:rFonts w:asciiTheme="minorEastAsia" w:eastAsiaTheme="minorEastAsia" w:hAnsiTheme="minorEastAsia" w:cstheme="minorEastAsia" w:hint="eastAsia"/>
          <w:sz w:val="21"/>
          <w:szCs w:val="21"/>
          <w:highlight w:val="none"/>
        </w:rPr>
        <w:t>≤</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u w:val="single"/>
          <w:lang w:val="en-US" w:eastAsia="zh-CN"/>
        </w:rPr>
        <w:t xml:space="preserve">  </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rPr>
        <w:t>% 。</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lang w:eastAsia="zh-CN"/>
        </w:rPr>
        <w:t>五</w:t>
      </w:r>
      <w:r>
        <w:rPr>
          <w:rFonts w:asciiTheme="minorEastAsia" w:eastAsiaTheme="minorEastAsia" w:hAnsiTheme="minorEastAsia" w:cstheme="minorEastAsia" w:hint="eastAsia"/>
          <w:sz w:val="21"/>
          <w:szCs w:val="21"/>
          <w:highlight w:val="none"/>
        </w:rPr>
        <w:t>、结算</w:t>
      </w:r>
      <w:r>
        <w:rPr>
          <w:rFonts w:asciiTheme="minorEastAsia" w:eastAsiaTheme="minorEastAsia" w:hAnsiTheme="minorEastAsia" w:cstheme="minorEastAsia" w:hint="eastAsia"/>
          <w:sz w:val="21"/>
          <w:szCs w:val="21"/>
          <w:highlight w:val="none"/>
          <w:lang w:eastAsia="zh-CN"/>
        </w:rPr>
        <w:t>及付款</w:t>
      </w:r>
      <w:r>
        <w:rPr>
          <w:rFonts w:asciiTheme="minorEastAsia" w:eastAsiaTheme="minorEastAsia" w:hAnsiTheme="minorEastAsia" w:cstheme="minorEastAsia" w:hint="eastAsia"/>
          <w:sz w:val="21"/>
          <w:szCs w:val="21"/>
          <w:highlight w:val="none"/>
        </w:rPr>
        <w:t>方式：</w:t>
      </w:r>
    </w:p>
    <w:p>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bCs w:val="0"/>
          <w:sz w:val="21"/>
          <w:szCs w:val="21"/>
          <w:highlight w:val="none"/>
          <w:lang w:eastAsia="zh-CN"/>
        </w:rPr>
        <w:t>1、结算方式：原则上每月结算一次。乙方在结算月的10日前须将上月“车辆维修</w:t>
      </w:r>
      <w:r>
        <w:rPr>
          <w:rFonts w:asciiTheme="minorEastAsia" w:eastAsiaTheme="minorEastAsia" w:hAnsiTheme="minorEastAsia" w:cstheme="minorEastAsia" w:hint="eastAsia"/>
          <w:bCs w:val="0"/>
          <w:sz w:val="21"/>
          <w:szCs w:val="21"/>
          <w:highlight w:val="none"/>
          <w:lang w:val="en-US" w:eastAsia="zh-CN"/>
        </w:rPr>
        <w:t>汇总</w:t>
      </w:r>
      <w:r>
        <w:rPr>
          <w:rFonts w:asciiTheme="minorEastAsia" w:eastAsiaTheme="minorEastAsia" w:hAnsiTheme="minorEastAsia" w:cstheme="minorEastAsia" w:hint="eastAsia"/>
          <w:bCs w:val="0"/>
          <w:sz w:val="21"/>
          <w:szCs w:val="21"/>
          <w:highlight w:val="none"/>
          <w:lang w:eastAsia="zh-CN"/>
        </w:rPr>
        <w:t>清</w:t>
      </w:r>
      <w:r>
        <w:rPr>
          <w:rFonts w:asciiTheme="minorEastAsia" w:eastAsiaTheme="minorEastAsia" w:hAnsiTheme="minorEastAsia" w:cstheme="minorEastAsia" w:hint="eastAsia"/>
          <w:bCs w:val="0"/>
          <w:sz w:val="21"/>
          <w:szCs w:val="21"/>
          <w:highlight w:val="none"/>
          <w:lang w:val="en-US" w:eastAsia="zh-CN"/>
        </w:rPr>
        <w:t>单</w:t>
      </w:r>
      <w:r>
        <w:rPr>
          <w:rFonts w:asciiTheme="minorEastAsia" w:eastAsiaTheme="minorEastAsia" w:hAnsiTheme="minorEastAsia" w:cstheme="minorEastAsia" w:hint="eastAsia"/>
          <w:bCs w:val="0"/>
          <w:sz w:val="21"/>
          <w:szCs w:val="21"/>
          <w:highlight w:val="none"/>
          <w:lang w:eastAsia="zh-CN"/>
        </w:rPr>
        <w:t>”、“车辆维修</w:t>
      </w:r>
      <w:r>
        <w:rPr>
          <w:rFonts w:asciiTheme="minorEastAsia" w:eastAsiaTheme="minorEastAsia" w:hAnsiTheme="minorEastAsia" w:cstheme="minorEastAsia" w:hint="eastAsia"/>
          <w:bCs w:val="0"/>
          <w:sz w:val="21"/>
          <w:szCs w:val="21"/>
          <w:highlight w:val="none"/>
          <w:lang w:val="en-US" w:eastAsia="zh-CN"/>
        </w:rPr>
        <w:t>项目</w:t>
      </w:r>
      <w:r>
        <w:rPr>
          <w:rFonts w:asciiTheme="minorEastAsia" w:eastAsiaTheme="minorEastAsia" w:hAnsiTheme="minorEastAsia" w:cstheme="minorEastAsia" w:hint="eastAsia"/>
          <w:bCs w:val="0"/>
          <w:sz w:val="21"/>
          <w:szCs w:val="21"/>
          <w:highlight w:val="none"/>
          <w:lang w:eastAsia="zh-CN"/>
        </w:rPr>
        <w:t>结算单”、“</w:t>
      </w:r>
      <w:r>
        <w:rPr>
          <w:rFonts w:asciiTheme="minorEastAsia" w:eastAsiaTheme="minorEastAsia" w:hAnsiTheme="minorEastAsia" w:cstheme="minorEastAsia" w:hint="eastAsia"/>
          <w:bCs w:val="0"/>
          <w:sz w:val="21"/>
          <w:szCs w:val="21"/>
          <w:highlight w:val="none"/>
          <w:lang w:val="en-US" w:eastAsia="zh-CN"/>
        </w:rPr>
        <w:t>检查及施工图像资料</w:t>
      </w:r>
      <w:r>
        <w:rPr>
          <w:rFonts w:asciiTheme="minorEastAsia" w:eastAsiaTheme="minorEastAsia" w:hAnsiTheme="minorEastAsia" w:cstheme="minorEastAsia" w:hint="eastAsia"/>
          <w:bCs w:val="0"/>
          <w:sz w:val="21"/>
          <w:szCs w:val="21"/>
          <w:highlight w:val="none"/>
          <w:lang w:eastAsia="zh-CN"/>
        </w:rPr>
        <w:t>”等结算材料交甲方，甲方核对确认无误后，由乙方开取发票，甲方收到发票后协助办理报销手续，乙方不出具</w:t>
      </w:r>
      <w:r>
        <w:rPr>
          <w:rFonts w:asciiTheme="minorEastAsia" w:eastAsiaTheme="minorEastAsia" w:hAnsiTheme="minorEastAsia" w:cstheme="minorEastAsia" w:hint="eastAsia"/>
          <w:sz w:val="21"/>
          <w:szCs w:val="21"/>
          <w:highlight w:val="none"/>
        </w:rPr>
        <w:t>规定的结算票据和结算清单以及合规发票的，甲方有权拒绝支付费用。</w:t>
      </w:r>
    </w:p>
    <w:p>
      <w:pPr>
        <w:keepNext w:val="0"/>
        <w:keepLines w:val="0"/>
        <w:pageBreakBefore w:val="0"/>
        <w:kinsoku/>
        <w:wordWrap/>
        <w:overflowPunct/>
        <w:topLinePunct w:val="0"/>
        <w:autoSpaceDE/>
        <w:autoSpaceDN/>
        <w:bidi w:val="0"/>
        <w:adjustRightInd/>
        <w:snapToGrid/>
        <w:spacing w:line="240" w:lineRule="auto"/>
        <w:ind w:firstLine="0" w:firstLineChars="0"/>
        <w:rPr>
          <w:rFonts w:asciiTheme="minorEastAsia" w:eastAsiaTheme="minorEastAsia" w:hAnsiTheme="minorEastAsia" w:cstheme="minorEastAsia" w:hint="eastAsia"/>
          <w:sz w:val="21"/>
          <w:szCs w:val="21"/>
          <w:highlight w:val="none"/>
          <w:lang w:val="en-US" w:eastAsia="zh-CN"/>
        </w:rPr>
      </w:pPr>
      <w:r>
        <w:rPr>
          <w:rFonts w:asciiTheme="minorEastAsia" w:eastAsiaTheme="minorEastAsia" w:hAnsiTheme="minorEastAsia" w:cstheme="minorEastAsia" w:hint="eastAsia"/>
          <w:b/>
          <w:sz w:val="21"/>
          <w:szCs w:val="21"/>
          <w:lang w:val="en-US" w:eastAsia="zh-CN"/>
        </w:rPr>
        <w:t>2.</w:t>
      </w:r>
      <w:r>
        <w:rPr>
          <w:rFonts w:asciiTheme="minorEastAsia" w:eastAsiaTheme="minorEastAsia" w:hAnsiTheme="minorEastAsia" w:cstheme="minorEastAsia" w:hint="eastAsia"/>
          <w:b/>
          <w:sz w:val="21"/>
          <w:szCs w:val="21"/>
        </w:rPr>
        <w:t>付款方式</w:t>
      </w:r>
      <w:r>
        <w:rPr>
          <w:rFonts w:asciiTheme="minorEastAsia" w:eastAsiaTheme="minorEastAsia" w:hAnsiTheme="minorEastAsia" w:cstheme="minorEastAsia" w:hint="eastAsia"/>
          <w:b/>
          <w:sz w:val="21"/>
          <w:szCs w:val="21"/>
          <w:lang w:eastAsia="zh-CN"/>
        </w:rPr>
        <w:t>：</w:t>
      </w:r>
      <w:r>
        <w:rPr>
          <w:rFonts w:asciiTheme="minorEastAsia" w:eastAsiaTheme="minorEastAsia" w:hAnsiTheme="minorEastAsia" w:cstheme="minorEastAsia" w:hint="eastAsia"/>
          <w:bCs/>
          <w:sz w:val="21"/>
          <w:szCs w:val="21"/>
          <w:lang w:eastAsia="zh-CN"/>
        </w:rPr>
        <w:t>原则上</w:t>
      </w:r>
      <w:r>
        <w:rPr>
          <w:rFonts w:asciiTheme="minorEastAsia" w:eastAsiaTheme="minorEastAsia" w:hAnsiTheme="minorEastAsia" w:cstheme="minorEastAsia" w:hint="eastAsia"/>
          <w:bCs/>
          <w:sz w:val="21"/>
          <w:szCs w:val="21"/>
        </w:rPr>
        <w:t>采购人</w:t>
      </w:r>
      <w:r>
        <w:rPr>
          <w:rFonts w:asciiTheme="minorEastAsia" w:eastAsiaTheme="minorEastAsia" w:hAnsiTheme="minorEastAsia" w:cstheme="minorEastAsia" w:hint="eastAsia"/>
          <w:bCs/>
          <w:sz w:val="21"/>
          <w:szCs w:val="21"/>
          <w:lang w:val="en-US" w:eastAsia="zh-CN"/>
        </w:rPr>
        <w:t>当月</w:t>
      </w:r>
      <w:r>
        <w:rPr>
          <w:rFonts w:asciiTheme="minorEastAsia" w:eastAsiaTheme="minorEastAsia" w:hAnsiTheme="minorEastAsia" w:cstheme="minorEastAsia" w:hint="eastAsia"/>
          <w:bCs/>
          <w:sz w:val="21"/>
          <w:szCs w:val="21"/>
        </w:rPr>
        <w:t>以转账方式结清上月车辆维修款项，结算前供应商需开具相应的发票。结算单须标明维修项目名称、工时单价、维修材料价、维修材料管理费率；对修理项目</w:t>
      </w:r>
      <w:r>
        <w:rPr>
          <w:rFonts w:asciiTheme="minorEastAsia" w:eastAsiaTheme="minorEastAsia" w:hAnsiTheme="minorEastAsia" w:cstheme="minorEastAsia" w:hint="eastAsia"/>
          <w:bCs/>
          <w:sz w:val="21"/>
          <w:szCs w:val="21"/>
          <w:lang w:val="en-US" w:eastAsia="zh-CN"/>
        </w:rPr>
        <w:t>所更换</w:t>
      </w:r>
      <w:r>
        <w:rPr>
          <w:rFonts w:asciiTheme="minorEastAsia" w:eastAsiaTheme="minorEastAsia" w:hAnsiTheme="minorEastAsia" w:cstheme="minorEastAsia" w:hint="eastAsia"/>
          <w:bCs/>
          <w:sz w:val="21"/>
          <w:szCs w:val="21"/>
        </w:rPr>
        <w:t>的零配件应</w:t>
      </w:r>
      <w:r>
        <w:rPr>
          <w:rFonts w:asciiTheme="minorEastAsia" w:eastAsiaTheme="minorEastAsia" w:hAnsiTheme="minorEastAsia" w:cstheme="minorEastAsia" w:hint="eastAsia"/>
          <w:bCs/>
          <w:sz w:val="21"/>
          <w:szCs w:val="21"/>
          <w:lang w:val="en-US" w:eastAsia="zh-CN"/>
        </w:rPr>
        <w:t>在结算单中详细</w:t>
      </w:r>
      <w:r>
        <w:rPr>
          <w:rFonts w:asciiTheme="minorEastAsia" w:eastAsiaTheme="minorEastAsia" w:hAnsiTheme="minorEastAsia" w:cstheme="minorEastAsia" w:hint="eastAsia"/>
          <w:bCs/>
          <w:sz w:val="21"/>
          <w:szCs w:val="21"/>
        </w:rPr>
        <w:t>列</w:t>
      </w:r>
      <w:r>
        <w:rPr>
          <w:rFonts w:asciiTheme="minorEastAsia" w:eastAsiaTheme="minorEastAsia" w:hAnsiTheme="minorEastAsia" w:cstheme="minorEastAsia" w:hint="eastAsia"/>
          <w:bCs/>
          <w:sz w:val="21"/>
          <w:szCs w:val="21"/>
          <w:lang w:val="en-US" w:eastAsia="zh-CN"/>
        </w:rPr>
        <w:t>明。</w:t>
      </w:r>
    </w:p>
    <w:p>
      <w:pPr>
        <w:keepNext w:val="0"/>
        <w:keepLines w:val="0"/>
        <w:pageBreakBefore w:val="0"/>
        <w:numPr>
          <w:ilvl w:val="255"/>
          <w:numId w:val="0"/>
        </w:numPr>
        <w:kinsoku/>
        <w:wordWrap/>
        <w:overflowPunct/>
        <w:topLinePunct w:val="0"/>
        <w:autoSpaceDE/>
        <w:autoSpaceDN/>
        <w:bidi w:val="0"/>
        <w:adjustRightInd/>
        <w:snapToGrid/>
        <w:spacing w:line="240" w:lineRule="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lang w:val="en-US" w:eastAsia="zh-CN"/>
        </w:rPr>
        <w:t>3.</w:t>
      </w:r>
      <w:r>
        <w:rPr>
          <w:rFonts w:asciiTheme="minorEastAsia" w:eastAsiaTheme="minorEastAsia" w:hAnsiTheme="minorEastAsia" w:cstheme="minorEastAsia" w:hint="eastAsia"/>
          <w:sz w:val="21"/>
          <w:szCs w:val="21"/>
          <w:highlight w:val="none"/>
        </w:rPr>
        <w:t>甲方按照相关程序提交财政申办支付手续后视为已履行付款义务，因政府部门超期审批导致付款迟延的，不视为甲方违约。</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sz w:val="21"/>
          <w:szCs w:val="21"/>
          <w:highlight w:val="none"/>
          <w:lang w:eastAsia="zh-CN"/>
        </w:rPr>
      </w:pPr>
      <w:r>
        <w:rPr>
          <w:rFonts w:asciiTheme="minorEastAsia" w:eastAsiaTheme="minorEastAsia" w:hAnsiTheme="minorEastAsia" w:cstheme="minorEastAsia" w:hint="eastAsia"/>
          <w:sz w:val="21"/>
          <w:szCs w:val="21"/>
          <w:highlight w:val="none"/>
          <w:lang w:eastAsia="zh-CN"/>
        </w:rPr>
        <w:t>六、履约验收及验收标准</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lang w:eastAsia="zh-CN"/>
        </w:rPr>
      </w:pPr>
      <w:r>
        <w:rPr>
          <w:rFonts w:asciiTheme="minorEastAsia" w:eastAsiaTheme="minorEastAsia" w:hAnsiTheme="minorEastAsia" w:cstheme="minorEastAsia" w:hint="eastAsia"/>
          <w:bCs/>
          <w:sz w:val="21"/>
          <w:szCs w:val="21"/>
          <w:lang w:eastAsia="zh-CN"/>
        </w:rPr>
        <w:t>原则上，甲方按月对乙方进行履约评价，具体如下：</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（1）在项目履约过程中，采购人有权组织或授权相关人员对供应商进行现场考察，核实相关资料，供应商应提前准备相关资料原件，以备核准。</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（2）采购人在项目履约过程中对供应商开展履约检查，对车辆维修供应商开展现场抽查，并在日常工作中跟踪了解行业动态及供应商的价格、服务、履约执行情况，处理执行过程中出现的问题。</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（3）供应商应严格按照招标文件及合同要求诚信履约，并对履约行为和结果承担法律责任。</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（4）履约评价为差的，采购人经主管部门批准后有权终止合同。</w:t>
      </w:r>
    </w:p>
    <w:p>
      <w:pPr>
        <w:keepNext w:val="0"/>
        <w:keepLines w:val="0"/>
        <w:pageBreakBefore w:val="0"/>
        <w:kinsoku/>
        <w:wordWrap/>
        <w:overflowPunct/>
        <w:topLinePunct w:val="0"/>
        <w:autoSpaceDE/>
        <w:autoSpaceDN/>
        <w:bidi w:val="0"/>
        <w:adjustRightInd/>
        <w:snapToGrid/>
        <w:spacing w:line="240" w:lineRule="auto"/>
        <w:ind w:firstLine="420" w:firstLineChars="20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（5）《深圳市公安局轨道交通分局车辆维保履约情况反馈表》。（注：下表评价内容供参考；合同期限内采购人有权根据项目实际情况对评价考核内容进行调整。）</w:t>
      </w:r>
    </w:p>
    <w:p>
      <w:pPr>
        <w:spacing w:before="260" w:after="260"/>
        <w:jc w:val="center"/>
        <w:outlineLvl w:val="9"/>
        <w:rPr>
          <w:rFonts w:ascii="宋体" w:hAnsi="宋体" w:hint="eastAsia"/>
          <w:b/>
          <w:szCs w:val="32"/>
        </w:rPr>
      </w:pPr>
      <w:r>
        <w:rPr>
          <w:rFonts w:ascii="宋体" w:hAnsi="宋体" w:hint="eastAsia"/>
          <w:b/>
          <w:szCs w:val="32"/>
        </w:rPr>
        <w:t>深圳市公安局轨道交通分局车辆维保履约情况反馈表</w:t>
      </w:r>
    </w:p>
    <w:p>
      <w:pPr>
        <w:spacing w:line="240" w:lineRule="atLeast"/>
        <w:ind w:firstLine="442"/>
        <w:rPr>
          <w:rFonts w:ascii="宋体" w:hAnsi="宋体" w:hint="eastAsia"/>
          <w:b/>
          <w:szCs w:val="21"/>
        </w:rPr>
      </w:pPr>
      <w:r>
        <w:rPr>
          <w:rFonts w:ascii="宋体" w:hAnsi="宋体" w:hint="eastAsia"/>
          <w:b/>
          <w:szCs w:val="21"/>
        </w:rPr>
        <w:t>送修单位名称：</w:t>
      </w:r>
      <w:r>
        <w:rPr>
          <w:rFonts w:hint="eastAsia"/>
        </w:rPr>
        <w:t>深圳市公安局轨道交通分局</w:t>
      </w:r>
      <w:r>
        <w:rPr>
          <w:rFonts w:ascii="宋体" w:hAnsi="宋体" w:hint="eastAsia"/>
          <w:b/>
          <w:szCs w:val="21"/>
        </w:rPr>
        <w:t xml:space="preserve">             联系人及电话：</w:t>
      </w:r>
    </w:p>
    <w:p>
      <w:pPr>
        <w:spacing w:line="60" w:lineRule="exact"/>
        <w:ind w:firstLine="442"/>
        <w:rPr>
          <w:rFonts w:ascii="宋体" w:hAnsi="宋体" w:hint="eastAsia"/>
          <w:b/>
          <w:szCs w:val="21"/>
        </w:rPr>
      </w:pPr>
    </w:p>
    <w:tbl>
      <w:tblPr>
        <w:tblStyle w:val="TableNormal"/>
        <w:tblW w:w="499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0" w:type="dxa"/>
          <w:left w:w="108" w:type="dxa"/>
          <w:bottom w:w="0" w:type="dxa"/>
          <w:right w:w="108" w:type="dxa"/>
        </w:tblCellMar>
      </w:tblPr>
      <w:tblGrid>
        <w:gridCol w:w="869"/>
        <w:gridCol w:w="676"/>
        <w:gridCol w:w="676"/>
        <w:gridCol w:w="2571"/>
        <w:gridCol w:w="1706"/>
        <w:gridCol w:w="2029"/>
      </w:tblGrid>
      <w:tr>
        <w:tblPrEx>
          <w:tblW w:w="4999"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0" w:type="dxa"/>
            <w:left w:w="108" w:type="dxa"/>
            <w:bottom w:w="0" w:type="dxa"/>
            <w:right w:w="108" w:type="dxa"/>
          </w:tblCellMar>
        </w:tblPrEx>
        <w:trPr>
          <w:trHeight w:val="450"/>
          <w:jc w:val="center"/>
        </w:trPr>
        <w:tc>
          <w:tcPr>
            <w:tcW w:w="1279" w:type="pct"/>
            <w:gridSpan w:val="3"/>
            <w:vAlign w:val="center"/>
          </w:tcPr>
          <w:p>
            <w:pPr>
              <w:spacing w:line="240" w:lineRule="atLeast"/>
              <w:jc w:val="center"/>
              <w:rPr>
                <w:rFonts w:ascii="宋体" w:hAnsi="宋体" w:hint="eastAsia"/>
                <w:szCs w:val="21"/>
              </w:rPr>
            </w:pPr>
            <w:r>
              <w:rPr>
                <w:rFonts w:ascii="宋体" w:hAnsi="宋体" w:hint="eastAsia"/>
                <w:szCs w:val="21"/>
              </w:rPr>
              <w:t>项目名称</w:t>
            </w:r>
          </w:p>
        </w:tc>
        <w:tc>
          <w:tcPr>
            <w:tcW w:w="3720" w:type="pct"/>
            <w:gridSpan w:val="3"/>
            <w:vAlign w:val="center"/>
          </w:tcPr>
          <w:p>
            <w:pPr>
              <w:spacing w:line="240" w:lineRule="atLeast"/>
              <w:jc w:val="center"/>
              <w:rPr>
                <w:rFonts w:ascii="宋体" w:hAnsi="宋体" w:hint="eastAsia"/>
                <w:szCs w:val="21"/>
              </w:rPr>
            </w:pPr>
          </w:p>
        </w:tc>
      </w:tr>
      <w:tr>
        <w:tblPrEx>
          <w:tblW w:w="4999" w:type="pct"/>
          <w:jc w:val="center"/>
          <w:tblCellMar>
            <w:top w:w="0" w:type="dxa"/>
            <w:left w:w="108" w:type="dxa"/>
            <w:bottom w:w="0" w:type="dxa"/>
            <w:right w:w="108" w:type="dxa"/>
          </w:tblCellMar>
        </w:tblPrEx>
        <w:trPr>
          <w:trHeight w:val="461"/>
          <w:jc w:val="center"/>
        </w:trPr>
        <w:tc>
          <w:tcPr>
            <w:tcW w:w="1279" w:type="pct"/>
            <w:gridSpan w:val="3"/>
            <w:vAlign w:val="center"/>
          </w:tcPr>
          <w:p>
            <w:pPr>
              <w:spacing w:line="240" w:lineRule="atLeast"/>
              <w:jc w:val="center"/>
              <w:rPr>
                <w:rFonts w:ascii="宋体" w:hAnsi="宋体" w:hint="eastAsia"/>
                <w:szCs w:val="21"/>
              </w:rPr>
            </w:pPr>
            <w:r>
              <w:rPr>
                <w:rFonts w:ascii="宋体" w:hAnsi="宋体" w:hint="eastAsia"/>
                <w:szCs w:val="21"/>
              </w:rPr>
              <w:t>维修厂家</w:t>
            </w:r>
          </w:p>
        </w:tc>
        <w:tc>
          <w:tcPr>
            <w:tcW w:w="1515" w:type="pct"/>
            <w:vAlign w:val="center"/>
          </w:tcPr>
          <w:p>
            <w:pPr>
              <w:spacing w:line="240" w:lineRule="atLeast"/>
              <w:jc w:val="center"/>
              <w:rPr>
                <w:rFonts w:ascii="宋体" w:hAnsi="宋体" w:hint="eastAsia"/>
                <w:szCs w:val="21"/>
              </w:rPr>
            </w:pPr>
          </w:p>
        </w:tc>
        <w:tc>
          <w:tcPr>
            <w:tcW w:w="1008" w:type="pct"/>
            <w:vAlign w:val="center"/>
          </w:tcPr>
          <w:p>
            <w:pPr>
              <w:spacing w:line="240" w:lineRule="atLeast"/>
              <w:jc w:val="center"/>
              <w:rPr>
                <w:rFonts w:ascii="宋体" w:hAnsi="宋体" w:hint="eastAsia"/>
                <w:szCs w:val="21"/>
              </w:rPr>
            </w:pPr>
            <w:r>
              <w:rPr>
                <w:rFonts w:ascii="宋体" w:hAnsi="宋体" w:hint="eastAsia"/>
                <w:szCs w:val="21"/>
              </w:rPr>
              <w:t>联系人及电话</w:t>
            </w:r>
          </w:p>
        </w:tc>
        <w:tc>
          <w:tcPr>
            <w:tcW w:w="1197" w:type="pct"/>
            <w:vAlign w:val="center"/>
          </w:tcPr>
          <w:p>
            <w:pPr>
              <w:spacing w:line="240" w:lineRule="atLeast"/>
              <w:jc w:val="center"/>
              <w:rPr>
                <w:rFonts w:ascii="宋体" w:hAnsi="宋体" w:hint="eastAsia"/>
                <w:szCs w:val="21"/>
              </w:rPr>
            </w:pPr>
          </w:p>
        </w:tc>
      </w:tr>
      <w:tr>
        <w:tblPrEx>
          <w:tblW w:w="4999" w:type="pct"/>
          <w:jc w:val="center"/>
          <w:tblCellMar>
            <w:top w:w="0" w:type="dxa"/>
            <w:left w:w="108" w:type="dxa"/>
            <w:bottom w:w="0" w:type="dxa"/>
            <w:right w:w="108" w:type="dxa"/>
          </w:tblCellMar>
        </w:tblPrEx>
        <w:trPr>
          <w:trHeight w:val="438"/>
          <w:jc w:val="center"/>
        </w:trPr>
        <w:tc>
          <w:tcPr>
            <w:tcW w:w="1279" w:type="pct"/>
            <w:gridSpan w:val="3"/>
            <w:vAlign w:val="center"/>
          </w:tcPr>
          <w:p>
            <w:pPr>
              <w:spacing w:line="240" w:lineRule="atLeast"/>
              <w:jc w:val="center"/>
              <w:rPr>
                <w:rFonts w:ascii="宋体" w:hAnsi="宋体" w:hint="eastAsia"/>
                <w:szCs w:val="21"/>
              </w:rPr>
            </w:pPr>
            <w:r>
              <w:rPr>
                <w:rFonts w:ascii="宋体" w:hAnsi="宋体" w:hint="eastAsia"/>
                <w:szCs w:val="21"/>
              </w:rPr>
              <w:t>维修金额</w:t>
            </w:r>
          </w:p>
        </w:tc>
        <w:tc>
          <w:tcPr>
            <w:tcW w:w="1515" w:type="pct"/>
            <w:vAlign w:val="center"/>
          </w:tcPr>
          <w:p>
            <w:pPr>
              <w:spacing w:line="240" w:lineRule="atLeast"/>
              <w:jc w:val="center"/>
              <w:rPr>
                <w:rFonts w:ascii="宋体" w:hAnsi="宋体" w:hint="eastAsia"/>
                <w:szCs w:val="21"/>
              </w:rPr>
            </w:pPr>
          </w:p>
        </w:tc>
        <w:tc>
          <w:tcPr>
            <w:tcW w:w="1008" w:type="pct"/>
            <w:vAlign w:val="center"/>
          </w:tcPr>
          <w:p>
            <w:pPr>
              <w:spacing w:line="240" w:lineRule="atLeast"/>
              <w:jc w:val="center"/>
              <w:rPr>
                <w:rFonts w:ascii="宋体" w:hAnsi="宋体" w:hint="eastAsia"/>
                <w:szCs w:val="21"/>
              </w:rPr>
            </w:pPr>
            <w:r>
              <w:rPr>
                <w:rFonts w:ascii="宋体" w:hAnsi="宋体" w:hint="eastAsia"/>
                <w:szCs w:val="21"/>
              </w:rPr>
              <w:t>履约时间</w:t>
            </w:r>
          </w:p>
        </w:tc>
        <w:tc>
          <w:tcPr>
            <w:tcW w:w="1197" w:type="pct"/>
            <w:vAlign w:val="center"/>
          </w:tcPr>
          <w:p>
            <w:pPr>
              <w:spacing w:line="240" w:lineRule="atLeast"/>
              <w:rPr>
                <w:rFonts w:ascii="宋体" w:hAnsi="宋体" w:hint="eastAsia"/>
                <w:szCs w:val="21"/>
              </w:rPr>
            </w:pPr>
            <w:r>
              <w:rPr>
                <w:rFonts w:ascii="宋体" w:hAnsi="宋体" w:hint="eastAsia"/>
                <w:szCs w:val="21"/>
              </w:rPr>
              <w:t>自       至</w:t>
            </w:r>
          </w:p>
        </w:tc>
      </w:tr>
      <w:tr>
        <w:tblPrEx>
          <w:tblW w:w="4999" w:type="pct"/>
          <w:jc w:val="center"/>
          <w:tblCellMar>
            <w:top w:w="0" w:type="dxa"/>
            <w:left w:w="108" w:type="dxa"/>
            <w:bottom w:w="0" w:type="dxa"/>
            <w:right w:w="108" w:type="dxa"/>
          </w:tblCellMar>
        </w:tblPrEx>
        <w:trPr>
          <w:trHeight w:val="544"/>
          <w:jc w:val="center"/>
        </w:trPr>
        <w:tc>
          <w:tcPr>
            <w:tcW w:w="471" w:type="pct"/>
            <w:vMerge w:val="restart"/>
            <w:vAlign w:val="center"/>
          </w:tcPr>
          <w:p>
            <w:pPr>
              <w:spacing w:line="240" w:lineRule="atLeast"/>
              <w:ind w:firstLine="442"/>
              <w:jc w:val="center"/>
              <w:rPr>
                <w:rFonts w:ascii="宋体" w:hAnsi="宋体" w:hint="eastAsia"/>
                <w:b/>
                <w:szCs w:val="21"/>
              </w:rPr>
            </w:pPr>
            <w:r>
              <w:rPr>
                <w:rFonts w:ascii="宋体" w:hAnsi="宋体" w:hint="eastAsia"/>
                <w:b/>
                <w:szCs w:val="21"/>
              </w:rPr>
              <w:t>履约情况评价</w:t>
            </w:r>
          </w:p>
        </w:tc>
        <w:tc>
          <w:tcPr>
            <w:tcW w:w="807" w:type="pct"/>
            <w:gridSpan w:val="2"/>
            <w:tcBorders>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总体评价</w:t>
            </w:r>
          </w:p>
        </w:tc>
        <w:tc>
          <w:tcPr>
            <w:tcW w:w="3720" w:type="pct"/>
            <w:gridSpan w:val="3"/>
            <w:tcBorders>
              <w:left w:val="single" w:sz="4" w:space="0" w:color="auto"/>
            </w:tcBorders>
            <w:vAlign w:val="center"/>
          </w:tcPr>
          <w:p>
            <w:pPr>
              <w:spacing w:line="240" w:lineRule="atLeast"/>
              <w:ind w:firstLine="105" w:firstLineChars="50"/>
              <w:jc w:val="center"/>
              <w:rPr>
                <w:rFonts w:ascii="宋体" w:hAnsi="宋体" w:hint="eastAsia"/>
                <w:szCs w:val="21"/>
              </w:rPr>
            </w:pPr>
            <w:r>
              <w:rPr>
                <w:rFonts w:ascii="Wingdings 2" w:hAnsi="Wingdings 2" w:hint="eastAsia"/>
                <w:szCs w:val="21"/>
              </w:rPr>
              <w:t>£</w:t>
            </w:r>
            <w:r>
              <w:rPr>
                <w:rFonts w:ascii="宋体" w:hAnsi="宋体" w:hint="eastAsia"/>
                <w:szCs w:val="21"/>
              </w:rPr>
              <w:t xml:space="preserve">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val="restart"/>
            <w:tcBorders>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分项评价</w:t>
            </w: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质量方面</w:t>
            </w:r>
          </w:p>
        </w:tc>
        <w:tc>
          <w:tcPr>
            <w:tcW w:w="3720" w:type="pct"/>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价格方面</w:t>
            </w:r>
          </w:p>
        </w:tc>
        <w:tc>
          <w:tcPr>
            <w:tcW w:w="3720" w:type="pct"/>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服务方面</w:t>
            </w:r>
          </w:p>
        </w:tc>
        <w:tc>
          <w:tcPr>
            <w:tcW w:w="3720" w:type="pct"/>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w:t>
            </w:r>
            <w:r>
              <w:rPr>
                <w:rFonts w:ascii="Wingdings 2" w:hAnsi="Wingdings 2" w:hint="eastAsia"/>
                <w:szCs w:val="21"/>
              </w:rPr>
              <w:t>£</w:t>
            </w:r>
            <w:r>
              <w:rPr>
                <w:rFonts w:ascii="宋体" w:hAnsi="宋体" w:hint="eastAsia"/>
                <w:szCs w:val="21"/>
              </w:rPr>
              <w:t xml:space="preserve">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时间方面</w:t>
            </w:r>
          </w:p>
        </w:tc>
        <w:tc>
          <w:tcPr>
            <w:tcW w:w="3720" w:type="pct"/>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环境保护</w:t>
            </w:r>
          </w:p>
        </w:tc>
        <w:tc>
          <w:tcPr>
            <w:tcW w:w="3720" w:type="pct"/>
            <w:gridSpan w:val="3"/>
            <w:tcBorders>
              <w:lef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响应</w:t>
            </w:r>
          </w:p>
          <w:p>
            <w:pPr>
              <w:spacing w:line="240" w:lineRule="atLeast"/>
              <w:jc w:val="center"/>
              <w:rPr>
                <w:rFonts w:ascii="宋体" w:hAnsi="宋体" w:hint="eastAsia"/>
                <w:szCs w:val="21"/>
              </w:rPr>
            </w:pPr>
            <w:r>
              <w:rPr>
                <w:rFonts w:ascii="宋体" w:hAnsi="宋体" w:hint="eastAsia"/>
                <w:szCs w:val="21"/>
              </w:rPr>
              <w:t>方面</w:t>
            </w:r>
          </w:p>
        </w:tc>
        <w:tc>
          <w:tcPr>
            <w:tcW w:w="3720" w:type="pct"/>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返修情况</w:t>
            </w:r>
          </w:p>
        </w:tc>
        <w:tc>
          <w:tcPr>
            <w:tcW w:w="3720" w:type="pct"/>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458"/>
          <w:jc w:val="center"/>
        </w:trPr>
        <w:tc>
          <w:tcPr>
            <w:tcW w:w="471" w:type="pct"/>
            <w:vMerge/>
            <w:vAlign w:val="center"/>
          </w:tcPr>
          <w:p>
            <w:pPr>
              <w:spacing w:line="240" w:lineRule="atLeast"/>
              <w:jc w:val="center"/>
              <w:rPr>
                <w:rFonts w:ascii="宋体" w:hAnsi="宋体" w:hint="eastAsia"/>
                <w:szCs w:val="21"/>
              </w:rPr>
            </w:pPr>
          </w:p>
        </w:tc>
        <w:tc>
          <w:tcPr>
            <w:tcW w:w="403" w:type="pct"/>
            <w:vMerge/>
            <w:tcBorders>
              <w:right w:val="single" w:sz="4" w:space="0" w:color="auto"/>
            </w:tcBorders>
            <w:vAlign w:val="center"/>
          </w:tcPr>
          <w:p>
            <w:pPr>
              <w:spacing w:line="240" w:lineRule="atLeast"/>
              <w:jc w:val="center"/>
              <w:rPr>
                <w:rFonts w:ascii="宋体" w:hAnsi="宋体" w:hint="eastAsia"/>
                <w:szCs w:val="21"/>
              </w:rPr>
            </w:pPr>
          </w:p>
        </w:tc>
        <w:tc>
          <w:tcPr>
            <w:tcW w:w="403" w:type="pct"/>
            <w:tcBorders>
              <w:left w:val="single" w:sz="4" w:space="0" w:color="auto"/>
              <w:right w:val="single" w:sz="4" w:space="0" w:color="auto"/>
            </w:tcBorders>
            <w:vAlign w:val="center"/>
          </w:tcPr>
          <w:p>
            <w:pPr>
              <w:spacing w:line="240" w:lineRule="atLeast"/>
              <w:jc w:val="center"/>
              <w:rPr>
                <w:rFonts w:ascii="宋体" w:hAnsi="宋体" w:hint="eastAsia"/>
                <w:szCs w:val="21"/>
              </w:rPr>
            </w:pPr>
            <w:r>
              <w:rPr>
                <w:rFonts w:ascii="宋体" w:hAnsi="宋体" w:hint="eastAsia"/>
                <w:szCs w:val="21"/>
              </w:rPr>
              <w:t>售后服务</w:t>
            </w:r>
          </w:p>
        </w:tc>
        <w:tc>
          <w:tcPr>
            <w:tcW w:w="3720" w:type="pct"/>
            <w:gridSpan w:val="3"/>
            <w:tcBorders>
              <w:left w:val="single" w:sz="4" w:space="0" w:color="auto"/>
            </w:tcBorders>
            <w:vAlign w:val="center"/>
          </w:tcPr>
          <w:p>
            <w:pPr>
              <w:spacing w:before="120" w:beforeLines="50" w:after="120" w:afterLines="50" w:line="240" w:lineRule="atLeast"/>
              <w:rPr>
                <w:rFonts w:ascii="宋体" w:hAnsi="宋体" w:hint="eastAsia"/>
                <w:szCs w:val="21"/>
              </w:rPr>
            </w:pPr>
            <w:r>
              <w:rPr>
                <w:rFonts w:ascii="宋体" w:hAnsi="宋体" w:hint="eastAsia"/>
                <w:szCs w:val="21"/>
              </w:rPr>
              <w:t xml:space="preserve">     □ 优          □ 良          □ 中           □ 差</w:t>
            </w:r>
          </w:p>
        </w:tc>
      </w:tr>
      <w:tr>
        <w:tblPrEx>
          <w:tblW w:w="4999" w:type="pct"/>
          <w:jc w:val="center"/>
          <w:tblCellMar>
            <w:top w:w="0" w:type="dxa"/>
            <w:left w:w="108" w:type="dxa"/>
            <w:bottom w:w="0" w:type="dxa"/>
            <w:right w:w="108" w:type="dxa"/>
          </w:tblCellMar>
        </w:tblPrEx>
        <w:trPr>
          <w:trHeight w:val="1871"/>
          <w:jc w:val="center"/>
        </w:trPr>
        <w:tc>
          <w:tcPr>
            <w:tcW w:w="875" w:type="pct"/>
            <w:gridSpan w:val="2"/>
            <w:vAlign w:val="center"/>
          </w:tcPr>
          <w:p>
            <w:pPr>
              <w:spacing w:line="240" w:lineRule="atLeast"/>
              <w:jc w:val="center"/>
              <w:rPr>
                <w:rFonts w:ascii="宋体" w:hAnsi="宋体" w:hint="eastAsia"/>
                <w:szCs w:val="21"/>
              </w:rPr>
            </w:pPr>
            <w:r>
              <w:rPr>
                <w:rFonts w:ascii="宋体" w:hAnsi="宋体" w:hint="eastAsia"/>
                <w:szCs w:val="21"/>
              </w:rPr>
              <w:t>具体情况说明</w:t>
            </w:r>
          </w:p>
        </w:tc>
        <w:tc>
          <w:tcPr>
            <w:tcW w:w="4124" w:type="pct"/>
            <w:gridSpan w:val="4"/>
          </w:tcPr>
          <w:p>
            <w:pPr>
              <w:spacing w:line="240" w:lineRule="atLeast"/>
              <w:rPr>
                <w:rFonts w:ascii="宋体" w:hAnsi="宋体" w:hint="eastAsia"/>
                <w:szCs w:val="21"/>
              </w:rPr>
            </w:pPr>
          </w:p>
        </w:tc>
      </w:tr>
      <w:tr>
        <w:tblPrEx>
          <w:tblW w:w="4999" w:type="pct"/>
          <w:jc w:val="center"/>
          <w:tblCellMar>
            <w:top w:w="0" w:type="dxa"/>
            <w:left w:w="108" w:type="dxa"/>
            <w:bottom w:w="0" w:type="dxa"/>
            <w:right w:w="108" w:type="dxa"/>
          </w:tblCellMar>
        </w:tblPrEx>
        <w:trPr>
          <w:trHeight w:val="1970"/>
          <w:jc w:val="center"/>
        </w:trPr>
        <w:tc>
          <w:tcPr>
            <w:tcW w:w="875" w:type="pct"/>
            <w:gridSpan w:val="2"/>
            <w:vAlign w:val="center"/>
          </w:tcPr>
          <w:p>
            <w:pPr>
              <w:spacing w:line="240" w:lineRule="atLeast"/>
              <w:jc w:val="center"/>
              <w:rPr>
                <w:rFonts w:ascii="宋体" w:hAnsi="宋体" w:hint="eastAsia"/>
                <w:szCs w:val="21"/>
              </w:rPr>
            </w:pPr>
            <w:r>
              <w:rPr>
                <w:rFonts w:ascii="宋体" w:hAnsi="宋体" w:hint="eastAsia"/>
                <w:szCs w:val="21"/>
              </w:rPr>
              <w:t>送修单位意见</w:t>
            </w:r>
          </w:p>
          <w:p>
            <w:pPr>
              <w:spacing w:line="240" w:lineRule="atLeast"/>
              <w:jc w:val="center"/>
              <w:rPr>
                <w:rFonts w:ascii="宋体" w:hAnsi="宋体" w:hint="eastAsia"/>
                <w:szCs w:val="21"/>
              </w:rPr>
            </w:pPr>
            <w:r>
              <w:rPr>
                <w:rFonts w:ascii="宋体" w:hAnsi="宋体" w:hint="eastAsia"/>
                <w:szCs w:val="21"/>
              </w:rPr>
              <w:t>（公章）</w:t>
            </w:r>
          </w:p>
        </w:tc>
        <w:tc>
          <w:tcPr>
            <w:tcW w:w="4124" w:type="pct"/>
            <w:gridSpan w:val="4"/>
            <w:vAlign w:val="center"/>
          </w:tcPr>
          <w:p>
            <w:pPr>
              <w:spacing w:line="240" w:lineRule="atLeast"/>
              <w:rPr>
                <w:rFonts w:ascii="宋体" w:hAnsi="宋体" w:hint="eastAsia"/>
                <w:szCs w:val="21"/>
              </w:rPr>
            </w:pPr>
          </w:p>
          <w:p>
            <w:pPr>
              <w:spacing w:line="240" w:lineRule="atLeast"/>
              <w:rPr>
                <w:rFonts w:ascii="宋体" w:hAnsi="宋体" w:hint="eastAsia"/>
                <w:szCs w:val="21"/>
              </w:rPr>
            </w:pPr>
          </w:p>
          <w:p>
            <w:pPr>
              <w:spacing w:line="240" w:lineRule="atLeast"/>
              <w:rPr>
                <w:rFonts w:ascii="宋体" w:hAnsi="宋体" w:hint="eastAsia"/>
                <w:szCs w:val="21"/>
              </w:rPr>
            </w:pPr>
            <w:r>
              <w:rPr>
                <w:rFonts w:ascii="宋体" w:hAnsi="宋体" w:hint="eastAsia"/>
                <w:szCs w:val="21"/>
              </w:rPr>
              <w:t xml:space="preserve">                                        </w:t>
            </w:r>
          </w:p>
          <w:p>
            <w:pPr>
              <w:spacing w:line="240" w:lineRule="atLeast"/>
              <w:ind w:firstLine="3780" w:firstLineChars="1800"/>
              <w:rPr>
                <w:rFonts w:ascii="宋体" w:hAnsi="宋体" w:hint="eastAsia"/>
                <w:szCs w:val="21"/>
              </w:rPr>
            </w:pPr>
          </w:p>
          <w:p>
            <w:pPr>
              <w:spacing w:line="240" w:lineRule="atLeast"/>
              <w:ind w:firstLine="3780" w:firstLineChars="1800"/>
              <w:rPr>
                <w:rFonts w:ascii="宋体" w:hAnsi="宋体" w:hint="eastAsia"/>
                <w:szCs w:val="21"/>
              </w:rPr>
            </w:pPr>
            <w:r>
              <w:rPr>
                <w:rFonts w:ascii="宋体" w:hAnsi="宋体" w:hint="eastAsia"/>
                <w:szCs w:val="21"/>
              </w:rPr>
              <w:t>日期：   年   月   日</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说明：履约情况评价分为优、良、中、差四个等级，请在对应的框前打“√”，然后在“具体情况说明”一栏详细说明有关情况。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lang w:eastAsia="zh-CN"/>
        </w:rPr>
        <w:t>七、</w:t>
      </w:r>
      <w:r>
        <w:rPr>
          <w:rFonts w:asciiTheme="minorEastAsia" w:eastAsiaTheme="minorEastAsia" w:hAnsiTheme="minorEastAsia" w:cstheme="minorEastAsia" w:hint="eastAsia"/>
          <w:sz w:val="21"/>
          <w:szCs w:val="21"/>
          <w:highlight w:val="none"/>
        </w:rPr>
        <w:t>质量保证：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1、送修车辆维修合格出厂后，要按《</w:t>
      </w:r>
      <w:r>
        <w:rPr>
          <w:rFonts w:asciiTheme="minorEastAsia" w:eastAsiaTheme="minorEastAsia" w:hAnsiTheme="minorEastAsia" w:cstheme="minorEastAsia" w:hint="eastAsia"/>
          <w:sz w:val="21"/>
          <w:szCs w:val="21"/>
          <w:highlight w:val="none"/>
        </w:rPr>
        <w:fldChar w:fldCharType="begin"/>
      </w:r>
      <w:r>
        <w:rPr>
          <w:rFonts w:asciiTheme="minorEastAsia" w:eastAsiaTheme="minorEastAsia" w:hAnsiTheme="minorEastAsia" w:cstheme="minorEastAsia" w:hint="eastAsia"/>
          <w:sz w:val="21"/>
          <w:szCs w:val="21"/>
          <w:highlight w:val="none"/>
        </w:rPr>
        <w:instrText xml:space="preserve"> HYPERLINK "https://law.wkinfo.com.cn/document/show?collection=legislation&amp;aid=MTAwMDAwNzI5ODc=&amp;language=%E4%B8%AD%E6%96%87" \t "https://law.wkinfo.com.cn/legislation/detail/_blank" </w:instrText>
      </w:r>
      <w:r>
        <w:rPr>
          <w:rFonts w:asciiTheme="minorEastAsia" w:eastAsiaTheme="minorEastAsia" w:hAnsiTheme="minorEastAsia" w:cstheme="minorEastAsia" w:hint="eastAsia"/>
          <w:sz w:val="21"/>
          <w:szCs w:val="21"/>
          <w:highlight w:val="none"/>
        </w:rPr>
        <w:fldChar w:fldCharType="separate"/>
      </w:r>
      <w:r>
        <w:rPr>
          <w:rFonts w:asciiTheme="minorEastAsia" w:eastAsiaTheme="minorEastAsia" w:hAnsiTheme="minorEastAsia" w:cstheme="minorEastAsia" w:hint="eastAsia"/>
          <w:sz w:val="21"/>
          <w:szCs w:val="21"/>
          <w:highlight w:val="none"/>
        </w:rPr>
        <w:t>中华人民共和国道路运输条例</w:t>
      </w:r>
      <w:r>
        <w:rPr>
          <w:rFonts w:asciiTheme="minorEastAsia" w:eastAsiaTheme="minorEastAsia" w:hAnsiTheme="minorEastAsia" w:cstheme="minorEastAsia" w:hint="eastAsia"/>
          <w:sz w:val="21"/>
          <w:szCs w:val="21"/>
          <w:highlight w:val="none"/>
        </w:rPr>
        <w:fldChar w:fldCharType="end"/>
      </w:r>
      <w:r>
        <w:rPr>
          <w:rFonts w:asciiTheme="minorEastAsia" w:eastAsiaTheme="minorEastAsia" w:hAnsiTheme="minorEastAsia" w:cstheme="minorEastAsia" w:hint="eastAsia"/>
          <w:sz w:val="21"/>
          <w:szCs w:val="21"/>
          <w:highlight w:val="none"/>
        </w:rPr>
        <w:t>》、《</w:t>
      </w:r>
      <w:r>
        <w:rPr>
          <w:rFonts w:asciiTheme="minorEastAsia" w:eastAsiaTheme="minorEastAsia" w:hAnsiTheme="minorEastAsia" w:cstheme="minorEastAsia" w:hint="eastAsia"/>
          <w:sz w:val="21"/>
          <w:szCs w:val="21"/>
          <w:highlight w:val="none"/>
        </w:rPr>
        <w:fldChar w:fldCharType="begin"/>
      </w:r>
      <w:r>
        <w:rPr>
          <w:rFonts w:asciiTheme="minorEastAsia" w:eastAsiaTheme="minorEastAsia" w:hAnsiTheme="minorEastAsia" w:cstheme="minorEastAsia" w:hint="eastAsia"/>
          <w:sz w:val="21"/>
          <w:szCs w:val="21"/>
          <w:highlight w:val="none"/>
        </w:rPr>
        <w:instrText xml:space="preserve"> HYPERLINK "https://law.wkinfo.com.cn/document/show?collection=legislation&amp;aid=MTAwMDAwMTUwODA=&amp;language=%E4%B8%AD%E6%96%87" \t "https://law.wkinfo.com.cn/legislation/detail/_blank" </w:instrText>
      </w:r>
      <w:r>
        <w:rPr>
          <w:rFonts w:asciiTheme="minorEastAsia" w:eastAsiaTheme="minorEastAsia" w:hAnsiTheme="minorEastAsia" w:cstheme="minorEastAsia" w:hint="eastAsia"/>
          <w:sz w:val="21"/>
          <w:szCs w:val="21"/>
          <w:highlight w:val="none"/>
        </w:rPr>
        <w:fldChar w:fldCharType="separate"/>
      </w:r>
      <w:r>
        <w:rPr>
          <w:rFonts w:asciiTheme="minorEastAsia" w:eastAsiaTheme="minorEastAsia" w:hAnsiTheme="minorEastAsia" w:cstheme="minorEastAsia" w:hint="eastAsia"/>
          <w:sz w:val="21"/>
          <w:szCs w:val="21"/>
          <w:highlight w:val="none"/>
        </w:rPr>
        <w:t>机动车维修管理规定</w:t>
      </w:r>
      <w:r>
        <w:rPr>
          <w:rFonts w:asciiTheme="minorEastAsia" w:eastAsiaTheme="minorEastAsia" w:hAnsiTheme="minorEastAsia" w:cstheme="minorEastAsia" w:hint="eastAsia"/>
          <w:sz w:val="21"/>
          <w:szCs w:val="21"/>
          <w:highlight w:val="none"/>
        </w:rPr>
        <w:fldChar w:fldCharType="end"/>
      </w:r>
      <w:r>
        <w:rPr>
          <w:rFonts w:asciiTheme="minorEastAsia" w:eastAsiaTheme="minorEastAsia" w:hAnsiTheme="minorEastAsia" w:cstheme="minorEastAsia" w:hint="eastAsia"/>
          <w:sz w:val="21"/>
          <w:szCs w:val="21"/>
          <w:highlight w:val="none"/>
          <w:shd w:val="clear" w:color="auto" w:fill="FFFFFF"/>
        </w:rPr>
        <w:t>》中</w:t>
      </w:r>
      <w:r>
        <w:rPr>
          <w:rFonts w:asciiTheme="minorEastAsia" w:eastAsiaTheme="minorEastAsia" w:hAnsiTheme="minorEastAsia" w:cstheme="minorEastAsia" w:hint="eastAsia"/>
          <w:sz w:val="21"/>
          <w:szCs w:val="21"/>
          <w:highlight w:val="none"/>
        </w:rPr>
        <w:t>的保修期内的责任保障期限和车辆质量保障里程执行。在保修期内，同一故障因维修质量造成的机械事故和经济损失，由乙方负责承担赔偿责任。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2、保修期内，乙方应安排联络员</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u w:val="single"/>
          <w:lang w:val="en-US" w:eastAsia="zh-CN"/>
        </w:rPr>
        <w:t xml:space="preserve"> </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rPr>
        <w:t>作为车辆保修售后服务人员，其联系方式为：</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u w:val="single"/>
          <w:lang w:val="en-US" w:eastAsia="zh-CN"/>
        </w:rPr>
        <w:t xml:space="preserve">  </w:t>
      </w:r>
      <w:r>
        <w:rPr>
          <w:rFonts w:asciiTheme="minorEastAsia" w:eastAsiaTheme="minorEastAsia" w:hAnsiTheme="minorEastAsia" w:cstheme="minorEastAsia" w:hint="eastAsia"/>
          <w:sz w:val="21"/>
          <w:szCs w:val="21"/>
          <w:highlight w:val="none"/>
          <w:u w:val="single"/>
        </w:rPr>
        <w:t xml:space="preserve">     ，</w:t>
      </w:r>
      <w:r>
        <w:rPr>
          <w:rFonts w:asciiTheme="minorEastAsia" w:eastAsiaTheme="minorEastAsia" w:hAnsiTheme="minorEastAsia" w:cstheme="minorEastAsia" w:hint="eastAsia"/>
          <w:sz w:val="21"/>
          <w:szCs w:val="21"/>
          <w:highlight w:val="none"/>
        </w:rPr>
        <w:t>乙方应在接到甲方通知后24小时上门</w:t>
      </w:r>
      <w:r>
        <w:rPr>
          <w:rFonts w:asciiTheme="minorEastAsia" w:eastAsiaTheme="minorEastAsia" w:hAnsiTheme="minorEastAsia" w:cstheme="minorEastAsia" w:hint="eastAsia"/>
          <w:sz w:val="21"/>
          <w:szCs w:val="21"/>
          <w:highlight w:val="none"/>
        </w:rPr>
        <w:t>免费接送车</w:t>
      </w:r>
      <w:r>
        <w:rPr>
          <w:rFonts w:asciiTheme="minorEastAsia" w:eastAsiaTheme="minorEastAsia" w:hAnsiTheme="minorEastAsia" w:cstheme="minorEastAsia" w:hint="eastAsia"/>
          <w:sz w:val="21"/>
          <w:szCs w:val="21"/>
          <w:highlight w:val="none"/>
        </w:rPr>
        <w:t>或按照甲方要求的方式提供保修服务。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lang w:eastAsia="zh-CN"/>
        </w:rPr>
        <w:t>八</w:t>
      </w:r>
      <w:r>
        <w:rPr>
          <w:rFonts w:asciiTheme="minorEastAsia" w:eastAsiaTheme="minorEastAsia" w:hAnsiTheme="minorEastAsia" w:cstheme="minorEastAsia" w:hint="eastAsia"/>
          <w:sz w:val="21"/>
          <w:szCs w:val="21"/>
          <w:highlight w:val="none"/>
        </w:rPr>
        <w:t>、甲方的权利和义务</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1、有权获得优先服务；</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2、有权享受乙方提供的免费上门接送车服务；</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3、已维修完成的车辆，如发现质量问题，有权要求乙方无偿返工，直至满意为止；如发现与送修项目不符的项目，有权拒付此项费用。</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4、有权向有关部门投诉乙方的违约行为。</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5、甲方必须</w:t>
      </w:r>
      <w:r>
        <w:rPr>
          <w:rFonts w:asciiTheme="minorEastAsia" w:eastAsiaTheme="minorEastAsia" w:hAnsiTheme="minorEastAsia" w:cstheme="minorEastAsia" w:hint="eastAsia"/>
          <w:sz w:val="21"/>
          <w:szCs w:val="21"/>
          <w:highlight w:val="none"/>
          <w:lang w:val="en-US" w:eastAsia="zh-CN"/>
        </w:rPr>
        <w:t>严格</w:t>
      </w:r>
      <w:r>
        <w:rPr>
          <w:rFonts w:asciiTheme="minorEastAsia" w:eastAsiaTheme="minorEastAsia" w:hAnsiTheme="minorEastAsia" w:cstheme="minorEastAsia" w:hint="eastAsia"/>
          <w:sz w:val="21"/>
          <w:szCs w:val="21"/>
          <w:highlight w:val="none"/>
        </w:rPr>
        <w:t>按维修</w:t>
      </w:r>
      <w:r>
        <w:rPr>
          <w:rFonts w:asciiTheme="minorEastAsia" w:eastAsiaTheme="minorEastAsia" w:hAnsiTheme="minorEastAsia" w:cstheme="minorEastAsia" w:hint="eastAsia"/>
          <w:sz w:val="21"/>
          <w:szCs w:val="21"/>
          <w:highlight w:val="none"/>
          <w:lang w:val="en-US" w:eastAsia="zh-CN"/>
        </w:rPr>
        <w:t>审批</w:t>
      </w:r>
      <w:r>
        <w:rPr>
          <w:rFonts w:asciiTheme="minorEastAsia" w:eastAsiaTheme="minorEastAsia" w:hAnsiTheme="minorEastAsia" w:cstheme="minorEastAsia" w:hint="eastAsia"/>
          <w:sz w:val="21"/>
          <w:szCs w:val="21"/>
          <w:highlight w:val="none"/>
        </w:rPr>
        <w:t>程序办理车辆维修事宜。</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6、甲方应妥善保管好所有的维修单据资料，按规接受有关部门的检查。</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lang w:eastAsia="zh-CN"/>
        </w:rPr>
        <w:t>九</w:t>
      </w:r>
      <w:r>
        <w:rPr>
          <w:rFonts w:asciiTheme="minorEastAsia" w:eastAsiaTheme="minorEastAsia" w:hAnsiTheme="minorEastAsia" w:cstheme="minorEastAsia" w:hint="eastAsia"/>
          <w:sz w:val="21"/>
          <w:szCs w:val="21"/>
          <w:highlight w:val="none"/>
        </w:rPr>
        <w:t>、乙方的权利和义务</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1、按照</w:t>
      </w:r>
      <w:r>
        <w:rPr>
          <w:rFonts w:asciiTheme="minorEastAsia" w:eastAsiaTheme="minorEastAsia" w:hAnsiTheme="minorEastAsia" w:cstheme="minorEastAsia" w:hint="eastAsia"/>
          <w:sz w:val="21"/>
          <w:szCs w:val="21"/>
          <w:highlight w:val="none"/>
          <w:lang w:val="en-US" w:eastAsia="zh-CN"/>
        </w:rPr>
        <w:t>与甲方的协议</w:t>
      </w:r>
      <w:r>
        <w:rPr>
          <w:rFonts w:asciiTheme="minorEastAsia" w:eastAsiaTheme="minorEastAsia" w:hAnsiTheme="minorEastAsia" w:cstheme="minorEastAsia" w:hint="eastAsia"/>
          <w:sz w:val="21"/>
          <w:szCs w:val="21"/>
          <w:highlight w:val="none"/>
        </w:rPr>
        <w:t>维修程序办理车辆维修事宜；</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2、乙方不得将送修车辆转厂维修；</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3、必须按维修程序</w:t>
      </w:r>
      <w:r>
        <w:rPr>
          <w:rFonts w:asciiTheme="minorEastAsia" w:eastAsiaTheme="minorEastAsia" w:hAnsiTheme="minorEastAsia" w:cstheme="minorEastAsia" w:hint="eastAsia"/>
          <w:sz w:val="21"/>
          <w:szCs w:val="21"/>
          <w:highlight w:val="none"/>
          <w:lang w:val="en-US" w:eastAsia="zh-CN"/>
        </w:rPr>
        <w:t>开展</w:t>
      </w:r>
      <w:r>
        <w:rPr>
          <w:rFonts w:asciiTheme="minorEastAsia" w:eastAsiaTheme="minorEastAsia" w:hAnsiTheme="minorEastAsia" w:cstheme="minorEastAsia" w:hint="eastAsia"/>
          <w:sz w:val="21"/>
          <w:szCs w:val="21"/>
          <w:highlight w:val="none"/>
        </w:rPr>
        <w:t>车辆</w:t>
      </w:r>
      <w:r>
        <w:rPr>
          <w:rFonts w:asciiTheme="minorEastAsia" w:eastAsiaTheme="minorEastAsia" w:hAnsiTheme="minorEastAsia" w:cstheme="minorEastAsia" w:hint="eastAsia"/>
          <w:sz w:val="21"/>
          <w:szCs w:val="21"/>
          <w:highlight w:val="none"/>
          <w:lang w:val="en-US" w:eastAsia="zh-CN"/>
        </w:rPr>
        <w:t>施工</w:t>
      </w:r>
      <w:r>
        <w:rPr>
          <w:rFonts w:asciiTheme="minorEastAsia" w:eastAsiaTheme="minorEastAsia" w:hAnsiTheme="minorEastAsia" w:cstheme="minorEastAsia" w:hint="eastAsia"/>
          <w:sz w:val="21"/>
          <w:szCs w:val="21"/>
          <w:highlight w:val="none"/>
        </w:rPr>
        <w:t>维修；</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4、保证送修车辆的完好无损，不得擅自使用；</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5、保证维修质量；</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6、保证所更新配件是符合国家质量标准的崭新原厂配件，不得以次充好或</w:t>
      </w:r>
      <w:r>
        <w:rPr>
          <w:rFonts w:asciiTheme="minorEastAsia" w:eastAsiaTheme="minorEastAsia" w:hAnsiTheme="minorEastAsia" w:cstheme="minorEastAsia" w:hint="eastAsia"/>
          <w:sz w:val="21"/>
          <w:szCs w:val="21"/>
          <w:highlight w:val="none"/>
          <w:lang w:val="en-US" w:eastAsia="zh-CN"/>
        </w:rPr>
        <w:t>未经甲方确认项目</w:t>
      </w:r>
      <w:r>
        <w:rPr>
          <w:rFonts w:asciiTheme="minorEastAsia" w:eastAsiaTheme="minorEastAsia" w:hAnsiTheme="minorEastAsia" w:cstheme="minorEastAsia" w:hint="eastAsia"/>
          <w:sz w:val="21"/>
          <w:szCs w:val="21"/>
          <w:highlight w:val="none"/>
        </w:rPr>
        <w:t>更换汽车配件；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7、乙方应保存好所有的维修单据和资料，随时接受甲方及甲方上级主管部门的检查。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八、违约责任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1、因</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或其代表、雇员违反</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在本合同中任何义务、陈述或保证而给</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造成损失，</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应赔偿</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因此承担或遭受的任何损失、权利主张、赔偿金</w:t>
      </w:r>
      <w:r>
        <w:rPr>
          <w:rFonts w:asciiTheme="minorEastAsia" w:eastAsiaTheme="minorEastAsia" w:hAnsiTheme="minorEastAsia" w:cstheme="minorEastAsia" w:hint="eastAsia"/>
          <w:bCs/>
          <w:color w:val="auto"/>
          <w:sz w:val="21"/>
          <w:szCs w:val="21"/>
          <w:highlight w:val="none"/>
          <w:lang w:val="en-US" w:eastAsia="zh-CN"/>
        </w:rPr>
        <w:t>等一切</w:t>
      </w:r>
      <w:r>
        <w:rPr>
          <w:rFonts w:asciiTheme="minorEastAsia" w:eastAsiaTheme="minorEastAsia" w:hAnsiTheme="minorEastAsia" w:cstheme="minorEastAsia" w:hint="eastAsia"/>
          <w:bCs/>
          <w:color w:val="auto"/>
          <w:sz w:val="21"/>
          <w:szCs w:val="21"/>
          <w:highlight w:val="none"/>
        </w:rPr>
        <w:t>支出和费用，包括合理的律师费。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2、</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应完全地按照招标文件的要求和</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投标文件的承诺完成本项目，出于自身财务、技术、人力等原因导致不能履约的，应承担全部责任。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3、未经</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驾驶员同意的情况下，如</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人员擅自驾驶车辆出现责任事故，造成的一切责任由</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负责，</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不承担任何事故责任。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4、若</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发现</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派出的服务人员或提供设备不符合合同要求的，</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应在3天之内按要求派出人员或提供满足投标文件承诺的设备，否则</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有权终止合同，并保留追究</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责任及要求赔偿损失的权利。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5、</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工作人员违反本合同约定的保密义务，造成不良影响或对</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造成损失的，</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有权要求</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消除影响，并有权解除合同。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6、</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应对自身的安全生产负责，若非因</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原因发生的各种事故</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不承担任何责任。服务期间因</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管理不善或工作程序不当等责任原因或者严重违反安全生产管理制度引起安全事故的，造成人员伤害或财产损失的，构成违约，</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除应当赔偿因以上事故给</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及第三人造成的人身及财产损失。同时，</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有权与</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解除合同无需承担任何责任，不受服务期限制，</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不得以仍在中标服务期为由，要求继续履行合同或另行签订其他合同，</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应承担全部的责任及负责全部人员的安置，不得向</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提出赔偿。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7、</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因</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无法履约时，有权以无法履约为由在中标服务期内单方解除合同且无需承担任何责任，不受服务期限限制，</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不得以仍在中标服务期内为由，要求继续履行合同或另行签订其他合同，不得向</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提出赔偿。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bCs/>
          <w:color w:val="auto"/>
          <w:sz w:val="21"/>
          <w:szCs w:val="21"/>
          <w:highlight w:val="none"/>
        </w:rPr>
        <w:t>8、</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必须按合同约定协助</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按照要求开展工作；</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检查发现未按合同执行的，按违约处理。</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可责令</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限期整改，如</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5个工作日内仍未达到整改要求，则</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有权与</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解除合同无需承担任何责任，不受服务期限限制，</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不得以仍在中标服务期内为由，要求继续履行合同或另行签订其他合同，</w:t>
      </w:r>
      <w:r>
        <w:rPr>
          <w:rFonts w:asciiTheme="minorEastAsia" w:eastAsiaTheme="minorEastAsia" w:hAnsiTheme="minorEastAsia" w:cstheme="minorEastAsia" w:hint="eastAsia"/>
          <w:bCs/>
          <w:color w:val="auto"/>
          <w:sz w:val="21"/>
          <w:szCs w:val="21"/>
          <w:highlight w:val="none"/>
          <w:lang w:eastAsia="zh-CN"/>
        </w:rPr>
        <w:t>乙方</w:t>
      </w:r>
      <w:r>
        <w:rPr>
          <w:rFonts w:asciiTheme="minorEastAsia" w:eastAsiaTheme="minorEastAsia" w:hAnsiTheme="minorEastAsia" w:cstheme="minorEastAsia" w:hint="eastAsia"/>
          <w:bCs/>
          <w:color w:val="auto"/>
          <w:sz w:val="21"/>
          <w:szCs w:val="21"/>
          <w:highlight w:val="none"/>
        </w:rPr>
        <w:t>应承担全部的责任及负责全部人员的安置，不得向</w:t>
      </w:r>
      <w:r>
        <w:rPr>
          <w:rFonts w:asciiTheme="minorEastAsia" w:eastAsiaTheme="minorEastAsia" w:hAnsiTheme="minorEastAsia" w:cstheme="minorEastAsia" w:hint="eastAsia"/>
          <w:bCs/>
          <w:color w:val="auto"/>
          <w:sz w:val="21"/>
          <w:szCs w:val="21"/>
          <w:highlight w:val="none"/>
          <w:lang w:eastAsia="zh-CN"/>
        </w:rPr>
        <w:t>甲方</w:t>
      </w:r>
      <w:r>
        <w:rPr>
          <w:rFonts w:asciiTheme="minorEastAsia" w:eastAsiaTheme="minorEastAsia" w:hAnsiTheme="minorEastAsia" w:cstheme="minorEastAsia" w:hint="eastAsia"/>
          <w:bCs/>
          <w:color w:val="auto"/>
          <w:sz w:val="21"/>
          <w:szCs w:val="21"/>
          <w:highlight w:val="none"/>
        </w:rPr>
        <w:t>提出赔偿。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lang w:val="en-US" w:eastAsia="zh-CN"/>
        </w:rPr>
        <w:t>9</w:t>
      </w:r>
      <w:r>
        <w:rPr>
          <w:rFonts w:asciiTheme="minorEastAsia" w:eastAsiaTheme="minorEastAsia" w:hAnsiTheme="minorEastAsia" w:cstheme="minorEastAsia" w:hint="eastAsia"/>
          <w:color w:val="auto"/>
          <w:sz w:val="21"/>
          <w:szCs w:val="21"/>
          <w:highlight w:val="none"/>
        </w:rPr>
        <w:t>、其它违约违规行为。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出现上述情形的，乙方应当自接到甲方通知之日起10个工作日内按照甲方实际损失进行赔偿，甲方未批准项目已产生费用甲方有权不予支付、相应损失乙方自行承担，如甲方损失暂无法计算的，乙方应当按照上年度合同甲方已付费用的30%标准向甲方支付违约金，待甲方实际损失核定后，如违约金不足以弥补实际损失的，甲方有权继续追偿。如甲方选择解除合同的，乙方应在前述期限内一并完成解除合同工作交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九、协议的修改与终止</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1、经甲乙双方协商一致，可通过签订补充协议的方式修改本协议；</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2"/>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2、任何一方如因发生不可抗</w:t>
      </w:r>
      <w:r>
        <w:rPr>
          <w:rFonts w:asciiTheme="minorEastAsia" w:eastAsiaTheme="minorEastAsia" w:hAnsiTheme="minorEastAsia" w:cstheme="minorEastAsia" w:hint="eastAsia"/>
          <w:color w:val="auto"/>
          <w:sz w:val="21"/>
          <w:szCs w:val="21"/>
          <w:highlight w:val="none"/>
          <w:lang w:val="en-US" w:eastAsia="zh-CN"/>
        </w:rPr>
        <w:t>力</w:t>
      </w:r>
      <w:r>
        <w:rPr>
          <w:rFonts w:asciiTheme="minorEastAsia" w:eastAsiaTheme="minorEastAsia" w:hAnsiTheme="minorEastAsia" w:cstheme="minorEastAsia" w:hint="eastAsia"/>
          <w:color w:val="auto"/>
          <w:sz w:val="21"/>
          <w:szCs w:val="21"/>
          <w:highlight w:val="none"/>
        </w:rPr>
        <w:t>事件而丧失履行协议能力，另一方发出通知两次无响应的则本协议可</w:t>
      </w:r>
      <w:r>
        <w:rPr>
          <w:rFonts w:asciiTheme="minorEastAsia" w:eastAsiaTheme="minorEastAsia" w:hAnsiTheme="minorEastAsia" w:cstheme="minorEastAsia" w:hint="eastAsia"/>
          <w:color w:val="auto"/>
          <w:sz w:val="21"/>
          <w:szCs w:val="21"/>
          <w:highlight w:val="none"/>
        </w:rPr>
        <w:t>经双方协商一致后</w:t>
      </w:r>
      <w:r>
        <w:rPr>
          <w:rFonts w:asciiTheme="minorEastAsia" w:eastAsiaTheme="minorEastAsia" w:hAnsiTheme="minorEastAsia" w:cstheme="minorEastAsia" w:hint="eastAsia"/>
          <w:color w:val="auto"/>
          <w:sz w:val="21"/>
          <w:szCs w:val="21"/>
          <w:highlight w:val="none"/>
        </w:rPr>
        <w:t>终止。</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十、合同经营风险的说明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1、签订本合同，仅代表乙方具有为深圳市公安局轨道交通分局的公务用车提供维修服务的资格。甲方无法预计，同时无法保证乙方在合同期限内可以获得的市场份额和商业机会。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2、乙方应尽可能地向送修车辆提供更为优惠的价格和质量更高的服务，以提高自身的竞争能力。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十一、合同期限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本合同服务有效期限为</w:t>
      </w:r>
      <w:r>
        <w:rPr>
          <w:rFonts w:asciiTheme="minorEastAsia" w:eastAsiaTheme="minorEastAsia" w:hAnsiTheme="minorEastAsia" w:cstheme="minorEastAsia" w:hint="eastAsia"/>
          <w:color w:val="auto"/>
          <w:sz w:val="21"/>
          <w:szCs w:val="21"/>
          <w:highlight w:val="none"/>
          <w:u w:val="none"/>
          <w:lang w:val="en-US" w:eastAsia="zh-CN"/>
        </w:rPr>
        <w:t>自</w:t>
      </w:r>
      <w:r>
        <w:rPr>
          <w:rFonts w:asciiTheme="minorEastAsia" w:eastAsiaTheme="minorEastAsia" w:hAnsiTheme="minorEastAsia" w:cstheme="minorEastAsia" w:hint="eastAsia"/>
          <w:color w:val="auto"/>
          <w:sz w:val="21"/>
          <w:szCs w:val="21"/>
          <w:highlight w:val="none"/>
          <w:u w:val="single"/>
        </w:rPr>
        <w:t>202</w:t>
      </w:r>
      <w:r>
        <w:rPr>
          <w:rFonts w:asciiTheme="minorEastAsia" w:eastAsiaTheme="minorEastAsia" w:hAnsiTheme="minorEastAsia" w:cstheme="minorEastAsia" w:hint="eastAsia"/>
          <w:color w:val="auto"/>
          <w:sz w:val="21"/>
          <w:szCs w:val="21"/>
          <w:highlight w:val="none"/>
          <w:u w:val="single"/>
          <w:lang w:val="en-US" w:eastAsia="zh-CN"/>
        </w:rPr>
        <w:t>5</w:t>
      </w:r>
      <w:r>
        <w:rPr>
          <w:rFonts w:asciiTheme="minorEastAsia" w:eastAsiaTheme="minorEastAsia" w:hAnsiTheme="minorEastAsia" w:cstheme="minorEastAsia" w:hint="eastAsia"/>
          <w:color w:val="auto"/>
          <w:sz w:val="21"/>
          <w:szCs w:val="21"/>
          <w:highlight w:val="none"/>
          <w:u w:val="single"/>
        </w:rPr>
        <w:t>年</w:t>
      </w:r>
      <w:r>
        <w:rPr>
          <w:rFonts w:asciiTheme="minorEastAsia" w:eastAsiaTheme="minorEastAsia" w:hAnsiTheme="minorEastAsia" w:cstheme="minorEastAsia" w:hint="eastAsia"/>
          <w:color w:val="auto"/>
          <w:sz w:val="21"/>
          <w:szCs w:val="21"/>
          <w:highlight w:val="none"/>
          <w:u w:val="single"/>
          <w:lang w:val="en-US" w:eastAsia="zh-CN"/>
        </w:rPr>
        <w:t xml:space="preserve">  </w:t>
      </w:r>
      <w:r>
        <w:rPr>
          <w:rFonts w:asciiTheme="minorEastAsia" w:eastAsiaTheme="minorEastAsia" w:hAnsiTheme="minorEastAsia" w:cstheme="minorEastAsia" w:hint="eastAsia"/>
          <w:color w:val="auto"/>
          <w:sz w:val="21"/>
          <w:szCs w:val="21"/>
          <w:highlight w:val="none"/>
          <w:u w:val="single"/>
        </w:rPr>
        <w:t>月</w:t>
      </w:r>
      <w:r>
        <w:rPr>
          <w:rFonts w:asciiTheme="minorEastAsia" w:eastAsiaTheme="minorEastAsia" w:hAnsiTheme="minorEastAsia" w:cstheme="minorEastAsia" w:hint="eastAsia"/>
          <w:color w:val="auto"/>
          <w:sz w:val="21"/>
          <w:szCs w:val="21"/>
          <w:highlight w:val="none"/>
          <w:u w:val="single"/>
          <w:lang w:val="en-US" w:eastAsia="zh-CN"/>
        </w:rPr>
        <w:t xml:space="preserve">  </w:t>
      </w:r>
      <w:r>
        <w:rPr>
          <w:rFonts w:asciiTheme="minorEastAsia" w:eastAsiaTheme="minorEastAsia" w:hAnsiTheme="minorEastAsia" w:cstheme="minorEastAsia" w:hint="eastAsia"/>
          <w:color w:val="auto"/>
          <w:sz w:val="21"/>
          <w:szCs w:val="21"/>
          <w:highlight w:val="none"/>
          <w:u w:val="single"/>
        </w:rPr>
        <w:t>日起至</w:t>
      </w:r>
      <w:r>
        <w:rPr>
          <w:rFonts w:asciiTheme="minorEastAsia" w:eastAsiaTheme="minorEastAsia" w:hAnsiTheme="minorEastAsia" w:cstheme="minorEastAsia" w:hint="eastAsia"/>
          <w:color w:val="auto"/>
          <w:sz w:val="21"/>
          <w:szCs w:val="21"/>
          <w:highlight w:val="none"/>
          <w:u w:val="single"/>
          <w:lang w:val="en-US" w:eastAsia="zh-CN"/>
        </w:rPr>
        <w:t xml:space="preserve">   </w:t>
      </w:r>
      <w:r>
        <w:rPr>
          <w:rFonts w:asciiTheme="minorEastAsia" w:eastAsiaTheme="minorEastAsia" w:hAnsiTheme="minorEastAsia" w:cstheme="minorEastAsia" w:hint="eastAsia"/>
          <w:color w:val="auto"/>
          <w:sz w:val="21"/>
          <w:szCs w:val="21"/>
          <w:highlight w:val="none"/>
          <w:u w:val="single"/>
        </w:rPr>
        <w:t>年</w:t>
      </w:r>
      <w:r>
        <w:rPr>
          <w:rFonts w:asciiTheme="minorEastAsia" w:eastAsiaTheme="minorEastAsia" w:hAnsiTheme="minorEastAsia" w:cstheme="minorEastAsia" w:hint="eastAsia"/>
          <w:color w:val="auto"/>
          <w:sz w:val="21"/>
          <w:szCs w:val="21"/>
          <w:highlight w:val="none"/>
          <w:u w:val="single"/>
          <w:lang w:val="en-US" w:eastAsia="zh-CN"/>
        </w:rPr>
        <w:t xml:space="preserve">   </w:t>
      </w:r>
      <w:r>
        <w:rPr>
          <w:rFonts w:asciiTheme="minorEastAsia" w:eastAsiaTheme="minorEastAsia" w:hAnsiTheme="minorEastAsia" w:cstheme="minorEastAsia" w:hint="eastAsia"/>
          <w:color w:val="auto"/>
          <w:sz w:val="21"/>
          <w:szCs w:val="21"/>
          <w:highlight w:val="none"/>
          <w:u w:val="single"/>
        </w:rPr>
        <w:t>月</w:t>
      </w:r>
      <w:r>
        <w:rPr>
          <w:rFonts w:asciiTheme="minorEastAsia" w:eastAsiaTheme="minorEastAsia" w:hAnsiTheme="minorEastAsia" w:cstheme="minorEastAsia" w:hint="eastAsia"/>
          <w:color w:val="auto"/>
          <w:sz w:val="21"/>
          <w:szCs w:val="21"/>
          <w:highlight w:val="none"/>
          <w:u w:val="single"/>
          <w:lang w:val="en-US" w:eastAsia="zh-CN"/>
        </w:rPr>
        <w:t xml:space="preserve">   </w:t>
      </w:r>
      <w:r>
        <w:rPr>
          <w:rFonts w:asciiTheme="minorEastAsia" w:eastAsiaTheme="minorEastAsia" w:hAnsiTheme="minorEastAsia" w:cstheme="minorEastAsia" w:hint="eastAsia"/>
          <w:color w:val="auto"/>
          <w:sz w:val="21"/>
          <w:szCs w:val="21"/>
          <w:highlight w:val="none"/>
          <w:u w:val="single"/>
        </w:rPr>
        <w:t>日</w:t>
      </w:r>
      <w:r>
        <w:rPr>
          <w:rFonts w:asciiTheme="minorEastAsia" w:eastAsiaTheme="minorEastAsia" w:hAnsiTheme="minorEastAsia" w:cstheme="minorEastAsia" w:hint="eastAsia"/>
          <w:color w:val="auto"/>
          <w:sz w:val="21"/>
          <w:szCs w:val="21"/>
          <w:highlight w:val="none"/>
        </w:rPr>
        <w:t>止。甲方出于自身特殊情况需要可提前解除合同无需承担违约责任，乙方已提供维修服务的，甲方应按照乙方实际的工作量支付维修费后方可解除合同。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bCs/>
          <w:color w:val="auto"/>
          <w:sz w:val="21"/>
          <w:szCs w:val="21"/>
          <w:highlight w:val="none"/>
        </w:rPr>
      </w:pPr>
      <w:r>
        <w:rPr>
          <w:rFonts w:asciiTheme="minorEastAsia" w:eastAsiaTheme="minorEastAsia" w:hAnsiTheme="minorEastAsia" w:cstheme="minorEastAsia" w:hint="eastAsia"/>
          <w:color w:val="auto"/>
          <w:sz w:val="21"/>
          <w:szCs w:val="21"/>
          <w:highlight w:val="none"/>
        </w:rPr>
        <w:t>本项目为长期服务项目，合同期满可以续签，但合同履行期限最长不得超过三十六个月。如</w:t>
      </w:r>
      <w:r>
        <w:rPr>
          <w:rFonts w:asciiTheme="minorEastAsia" w:eastAsiaTheme="minorEastAsia" w:hAnsiTheme="minorEastAsia" w:cstheme="minorEastAsia" w:hint="eastAsia"/>
          <w:color w:val="auto"/>
          <w:sz w:val="21"/>
          <w:szCs w:val="21"/>
          <w:highlight w:val="none"/>
          <w:lang w:eastAsia="zh-CN"/>
        </w:rPr>
        <w:t>甲方</w:t>
      </w:r>
      <w:r>
        <w:rPr>
          <w:rFonts w:asciiTheme="minorEastAsia" w:eastAsiaTheme="minorEastAsia" w:hAnsiTheme="minorEastAsia" w:cstheme="minorEastAsia" w:hint="eastAsia"/>
          <w:color w:val="auto"/>
          <w:sz w:val="21"/>
          <w:szCs w:val="21"/>
          <w:highlight w:val="none"/>
        </w:rPr>
        <w:t>对履约情况不满意，</w:t>
      </w:r>
      <w:r>
        <w:rPr>
          <w:rFonts w:asciiTheme="minorEastAsia" w:eastAsiaTheme="minorEastAsia" w:hAnsiTheme="minorEastAsia" w:cstheme="minorEastAsia" w:hint="eastAsia"/>
          <w:color w:val="auto"/>
          <w:sz w:val="21"/>
          <w:szCs w:val="21"/>
          <w:highlight w:val="none"/>
          <w:lang w:eastAsia="zh-CN"/>
        </w:rPr>
        <w:t>甲方</w:t>
      </w:r>
      <w:r>
        <w:rPr>
          <w:rFonts w:asciiTheme="minorEastAsia" w:eastAsiaTheme="minorEastAsia" w:hAnsiTheme="minorEastAsia" w:cstheme="minorEastAsia" w:hint="eastAsia"/>
          <w:color w:val="auto"/>
          <w:sz w:val="21"/>
          <w:szCs w:val="21"/>
          <w:highlight w:val="none"/>
        </w:rPr>
        <w:t>不再续约。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color w:val="000000"/>
          <w:sz w:val="21"/>
          <w:szCs w:val="21"/>
          <w:highlight w:val="none"/>
        </w:rPr>
      </w:pPr>
      <w:r>
        <w:rPr>
          <w:rFonts w:asciiTheme="minorEastAsia" w:eastAsiaTheme="minorEastAsia" w:hAnsiTheme="minorEastAsia" w:cstheme="minorEastAsia" w:hint="eastAsia"/>
          <w:color w:val="000000"/>
          <w:sz w:val="21"/>
          <w:szCs w:val="21"/>
          <w:highlight w:val="none"/>
        </w:rPr>
        <w:t>十二、技术责任鉴定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color w:val="000000"/>
          <w:sz w:val="21"/>
          <w:szCs w:val="21"/>
          <w:highlight w:val="none"/>
        </w:rPr>
        <w:t>如双方在合同履行中</w:t>
      </w:r>
      <w:r>
        <w:rPr>
          <w:rFonts w:asciiTheme="minorEastAsia" w:eastAsiaTheme="minorEastAsia" w:hAnsiTheme="minorEastAsia" w:cstheme="minorEastAsia" w:hint="eastAsia"/>
          <w:sz w:val="21"/>
          <w:szCs w:val="21"/>
          <w:highlight w:val="none"/>
        </w:rPr>
        <w:t>因技术问题出现纠纷，由</w:t>
      </w:r>
      <w:r>
        <w:rPr>
          <w:rFonts w:asciiTheme="minorEastAsia" w:eastAsiaTheme="minorEastAsia" w:hAnsiTheme="minorEastAsia" w:cstheme="minorEastAsia" w:hint="eastAsia"/>
          <w:sz w:val="21"/>
          <w:szCs w:val="21"/>
          <w:highlight w:val="none"/>
          <w:lang w:val="en-US" w:eastAsia="zh-CN"/>
        </w:rPr>
        <w:t>深圳市</w:t>
      </w:r>
      <w:r>
        <w:rPr>
          <w:rFonts w:asciiTheme="minorEastAsia" w:eastAsiaTheme="minorEastAsia" w:hAnsiTheme="minorEastAsia" w:cstheme="minorEastAsia" w:hint="eastAsia"/>
          <w:sz w:val="21"/>
          <w:szCs w:val="21"/>
          <w:highlight w:val="none"/>
        </w:rPr>
        <w:t>交通</w:t>
      </w:r>
      <w:r>
        <w:rPr>
          <w:rFonts w:asciiTheme="minorEastAsia" w:eastAsiaTheme="minorEastAsia" w:hAnsiTheme="minorEastAsia" w:cstheme="minorEastAsia" w:hint="eastAsia"/>
          <w:sz w:val="21"/>
          <w:szCs w:val="21"/>
          <w:highlight w:val="none"/>
          <w:lang w:val="en-US" w:eastAsia="zh-CN"/>
        </w:rPr>
        <w:t>运输</w:t>
      </w:r>
      <w:r>
        <w:rPr>
          <w:rFonts w:asciiTheme="minorEastAsia" w:eastAsiaTheme="minorEastAsia" w:hAnsiTheme="minorEastAsia" w:cstheme="minorEastAsia" w:hint="eastAsia"/>
          <w:sz w:val="21"/>
          <w:szCs w:val="21"/>
          <w:highlight w:val="none"/>
        </w:rPr>
        <w:t>局进行调解或者委托相关资质部门进行技术责任鉴定。经鉴定不合格的，鉴定费用由乙方承担。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十三、争议及解决</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如双方</w:t>
      </w:r>
      <w:r>
        <w:rPr>
          <w:rFonts w:asciiTheme="minorEastAsia" w:eastAsiaTheme="minorEastAsia" w:hAnsiTheme="minorEastAsia" w:cstheme="minorEastAsia" w:hint="eastAsia"/>
          <w:bCs/>
          <w:sz w:val="21"/>
          <w:szCs w:val="21"/>
          <w:highlight w:val="none"/>
        </w:rPr>
        <w:t>之间的一切有关本项目的争议应通过友好协商解决。如果协商不成，可通过法律途径解决，向</w:t>
      </w:r>
      <w:r>
        <w:rPr>
          <w:rFonts w:asciiTheme="minorEastAsia" w:eastAsiaTheme="minorEastAsia" w:hAnsiTheme="minorEastAsia" w:cstheme="minorEastAsia" w:hint="eastAsia"/>
          <w:bCs/>
          <w:sz w:val="21"/>
          <w:szCs w:val="21"/>
          <w:highlight w:val="none"/>
          <w:lang w:eastAsia="zh-CN"/>
        </w:rPr>
        <w:t>甲方</w:t>
      </w:r>
      <w:r>
        <w:rPr>
          <w:rFonts w:asciiTheme="minorEastAsia" w:eastAsiaTheme="minorEastAsia" w:hAnsiTheme="minorEastAsia" w:cstheme="minorEastAsia" w:hint="eastAsia"/>
          <w:bCs/>
          <w:sz w:val="21"/>
          <w:szCs w:val="21"/>
          <w:highlight w:val="none"/>
        </w:rPr>
        <w:t>所在地有管辖权的法院起诉，争议期间，各方仍应继续履约未涉争议的条款。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十四、其它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1、如本合同约定与招投标文件相冲突的，实质性内容应以招投标文件为准，非实质性内容以本合同约定为准。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2、本合同未尽事宜双方另行签订补充协议，补充协议与本合同具有同样的法律效力。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十五、本合同经甲乙双方法定代表人（或授权代表）签字并经甲方加盖公章（或部门章）以及乙方加盖公章后立即生效。本合同一式</w:t>
      </w:r>
      <w:r>
        <w:rPr>
          <w:rFonts w:asciiTheme="minorEastAsia" w:eastAsiaTheme="minorEastAsia" w:hAnsiTheme="minorEastAsia" w:cstheme="minorEastAsia" w:hint="eastAsia"/>
          <w:sz w:val="21"/>
          <w:szCs w:val="21"/>
          <w:highlight w:val="none"/>
          <w:lang w:val="en-US" w:eastAsia="zh-CN"/>
        </w:rPr>
        <w:t>肆</w:t>
      </w:r>
      <w:r>
        <w:rPr>
          <w:rFonts w:asciiTheme="minorEastAsia" w:eastAsiaTheme="minorEastAsia" w:hAnsiTheme="minorEastAsia" w:cstheme="minorEastAsia" w:hint="eastAsia"/>
          <w:sz w:val="21"/>
          <w:szCs w:val="21"/>
          <w:highlight w:val="none"/>
        </w:rPr>
        <w:t>份，甲方执贰份，乙方执</w:t>
      </w:r>
      <w:r>
        <w:rPr>
          <w:rFonts w:asciiTheme="minorEastAsia" w:eastAsiaTheme="minorEastAsia" w:hAnsiTheme="minorEastAsia" w:cstheme="minorEastAsia" w:hint="eastAsia"/>
          <w:sz w:val="21"/>
          <w:szCs w:val="21"/>
          <w:highlight w:val="none"/>
          <w:lang w:val="en-US" w:eastAsia="zh-CN"/>
        </w:rPr>
        <w:t>貳</w:t>
      </w:r>
      <w:r>
        <w:rPr>
          <w:rFonts w:asciiTheme="minorEastAsia" w:eastAsiaTheme="minorEastAsia" w:hAnsiTheme="minorEastAsia" w:cstheme="minorEastAsia" w:hint="eastAsia"/>
          <w:sz w:val="21"/>
          <w:szCs w:val="21"/>
          <w:highlight w:val="none"/>
        </w:rPr>
        <w:t>份，均具同等法律效力。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十六、双方确认位于协议首页的送达地址适用范围包括双方非诉时各类通知、协议等文件以及就合同发生纠纷时法律文书和相关文件的送达。任何一方送达地址需要变更时应当提前3日书面通知对方，未履行通知义务，该地址仍视为有效送达地址。</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十七、本合同附件是本合同不可分割的一部分，与本合同具有同等法律效力。</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附件：1.《保密协议书》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lang w:val="en-US" w:eastAsia="zh-CN"/>
        </w:rPr>
      </w:pPr>
      <w:r>
        <w:rPr>
          <w:rFonts w:asciiTheme="minorEastAsia" w:eastAsiaTheme="minorEastAsia" w:hAnsiTheme="minorEastAsia" w:cstheme="minorEastAsia" w:hint="eastAsia"/>
          <w:sz w:val="21"/>
          <w:szCs w:val="21"/>
          <w:highlight w:val="none"/>
          <w:lang w:val="en-US" w:eastAsia="zh-CN"/>
        </w:rPr>
        <w:t xml:space="preserve">      2.</w:t>
      </w:r>
      <w:r>
        <w:rPr>
          <w:rFonts w:asciiTheme="minorEastAsia" w:eastAsiaTheme="minorEastAsia" w:hAnsiTheme="minorEastAsia" w:cstheme="minorEastAsia" w:hint="eastAsia"/>
          <w:sz w:val="21"/>
          <w:szCs w:val="21"/>
          <w:highlight w:val="none"/>
        </w:rPr>
        <w:t>《</w:t>
      </w:r>
      <w:r>
        <w:rPr>
          <w:rFonts w:asciiTheme="minorEastAsia" w:eastAsiaTheme="minorEastAsia" w:hAnsiTheme="minorEastAsia" w:cstheme="minorEastAsia" w:hint="eastAsia"/>
          <w:sz w:val="21"/>
          <w:szCs w:val="21"/>
          <w:highlight w:val="none"/>
          <w:lang w:val="en-US" w:eastAsia="zh-CN"/>
        </w:rPr>
        <w:t>廉洁从业责任书</w:t>
      </w:r>
      <w:r>
        <w:rPr>
          <w:rFonts w:asciiTheme="minorEastAsia" w:eastAsiaTheme="minorEastAsia" w:hAnsiTheme="minorEastAsia" w:cstheme="minorEastAsia" w:hint="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z w:val="21"/>
          <w:szCs w:val="21"/>
          <w:highlight w:val="none"/>
        </w:rPr>
      </w:pPr>
      <w:r>
        <w:rPr>
          <w:rFonts w:asciiTheme="minorEastAsia" w:eastAsiaTheme="minorEastAsia" w:hAnsiTheme="minorEastAsia" w:cstheme="minorEastAsia" w:hint="eastAsia"/>
          <w:sz w:val="21"/>
          <w:szCs w:val="21"/>
          <w:highlight w:val="none"/>
        </w:rPr>
        <w:t>（以下无正文，为合同签署页）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r>
        <w:rPr>
          <w:rFonts w:asciiTheme="minorEastAsia" w:eastAsiaTheme="minorEastAsia" w:hAnsiTheme="minorEastAsia" w:cstheme="minorEastAsia" w:hint="eastAsia"/>
          <w:snapToGrid w:val="0"/>
          <w:kern w:val="0"/>
          <w:sz w:val="21"/>
          <w:szCs w:val="21"/>
          <w:highlight w:val="none"/>
        </w:rPr>
        <w:t xml:space="preserve">甲方单位：（盖章）                  </w:t>
      </w:r>
      <w:r>
        <w:rPr>
          <w:rFonts w:asciiTheme="minorEastAsia" w:eastAsiaTheme="minorEastAsia" w:hAnsiTheme="minorEastAsia" w:cstheme="minorEastAsia" w:hint="eastAsia"/>
          <w:snapToGrid w:val="0"/>
          <w:kern w:val="0"/>
          <w:sz w:val="21"/>
          <w:szCs w:val="21"/>
          <w:highlight w:val="none"/>
          <w:lang w:val="en-US" w:eastAsia="zh-CN"/>
        </w:rPr>
        <w:t xml:space="preserve"> </w:t>
      </w:r>
      <w:r>
        <w:rPr>
          <w:rFonts w:asciiTheme="minorEastAsia" w:eastAsiaTheme="minorEastAsia" w:hAnsiTheme="minorEastAsia" w:cstheme="minorEastAsia" w:hint="eastAsia"/>
          <w:snapToGrid w:val="0"/>
          <w:kern w:val="0"/>
          <w:sz w:val="21"/>
          <w:szCs w:val="21"/>
          <w:highlight w:val="none"/>
        </w:rPr>
        <w:t xml:space="preserve">  乙方单位：（盖章）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r>
        <w:rPr>
          <w:rFonts w:asciiTheme="minorEastAsia" w:eastAsiaTheme="minorEastAsia" w:hAnsiTheme="minorEastAsia" w:cstheme="minorEastAsia" w:hint="eastAsia"/>
          <w:snapToGrid w:val="0"/>
          <w:kern w:val="0"/>
          <w:sz w:val="21"/>
          <w:szCs w:val="21"/>
          <w:highlight w:val="none"/>
        </w:rPr>
        <w:t xml:space="preserve">法定代表人                          </w:t>
      </w:r>
      <w:r>
        <w:rPr>
          <w:rFonts w:asciiTheme="minorEastAsia" w:eastAsiaTheme="minorEastAsia" w:hAnsiTheme="minorEastAsia" w:cstheme="minorEastAsia" w:hint="eastAsia"/>
          <w:snapToGrid w:val="0"/>
          <w:kern w:val="0"/>
          <w:sz w:val="21"/>
          <w:szCs w:val="21"/>
          <w:highlight w:val="none"/>
          <w:lang w:val="en-US" w:eastAsia="zh-CN"/>
        </w:rPr>
        <w:t xml:space="preserve"> </w:t>
      </w:r>
      <w:r>
        <w:rPr>
          <w:rFonts w:asciiTheme="minorEastAsia" w:eastAsiaTheme="minorEastAsia" w:hAnsiTheme="minorEastAsia" w:cstheme="minorEastAsia" w:hint="eastAsia"/>
          <w:snapToGrid w:val="0"/>
          <w:kern w:val="0"/>
          <w:sz w:val="21"/>
          <w:szCs w:val="21"/>
          <w:highlight w:val="none"/>
        </w:rPr>
        <w:t xml:space="preserve">  法定代表人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r>
        <w:rPr>
          <w:rFonts w:asciiTheme="minorEastAsia" w:eastAsiaTheme="minorEastAsia" w:hAnsiTheme="minorEastAsia" w:cstheme="minorEastAsia" w:hint="eastAsia"/>
          <w:snapToGrid w:val="0"/>
          <w:kern w:val="0"/>
          <w:sz w:val="21"/>
          <w:szCs w:val="21"/>
          <w:highlight w:val="none"/>
        </w:rPr>
        <w:t xml:space="preserve">或授权代表（签章）：            </w:t>
      </w:r>
      <w:r>
        <w:rPr>
          <w:rFonts w:asciiTheme="minorEastAsia" w:eastAsiaTheme="minorEastAsia" w:hAnsiTheme="minorEastAsia" w:cstheme="minorEastAsia" w:hint="eastAsia"/>
          <w:snapToGrid w:val="0"/>
          <w:kern w:val="0"/>
          <w:sz w:val="21"/>
          <w:szCs w:val="21"/>
          <w:highlight w:val="none"/>
          <w:lang w:val="en-US" w:eastAsia="zh-CN"/>
        </w:rPr>
        <w:t xml:space="preserve">   </w:t>
      </w:r>
      <w:r>
        <w:rPr>
          <w:rFonts w:asciiTheme="minorEastAsia" w:eastAsiaTheme="minorEastAsia" w:hAnsiTheme="minorEastAsia" w:cstheme="minorEastAsia" w:hint="eastAsia"/>
          <w:snapToGrid w:val="0"/>
          <w:kern w:val="0"/>
          <w:sz w:val="21"/>
          <w:szCs w:val="21"/>
          <w:highlight w:val="none"/>
        </w:rPr>
        <w:t xml:space="preserve">或授权代表（签章）：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highlight w:val="none"/>
        </w:rPr>
      </w:pPr>
      <w:r>
        <w:rPr>
          <w:rFonts w:asciiTheme="minorEastAsia" w:eastAsiaTheme="minorEastAsia" w:hAnsiTheme="minorEastAsia" w:cstheme="minorEastAsia" w:hint="eastAsia"/>
          <w:snapToGrid w:val="0"/>
          <w:kern w:val="0"/>
          <w:sz w:val="21"/>
          <w:szCs w:val="21"/>
          <w:highlight w:val="none"/>
        </w:rPr>
        <w:t xml:space="preserve">日期：    年    月   日             </w:t>
      </w:r>
      <w:r>
        <w:rPr>
          <w:rFonts w:asciiTheme="minorEastAsia" w:eastAsiaTheme="minorEastAsia" w:hAnsiTheme="minorEastAsia" w:cstheme="minorEastAsia" w:hint="eastAsia"/>
          <w:snapToGrid w:val="0"/>
          <w:kern w:val="0"/>
          <w:sz w:val="21"/>
          <w:szCs w:val="21"/>
          <w:highlight w:val="none"/>
          <w:lang w:val="en-US" w:eastAsia="zh-CN"/>
        </w:rPr>
        <w:t xml:space="preserve"> </w:t>
      </w:r>
      <w:r>
        <w:rPr>
          <w:rFonts w:asciiTheme="minorEastAsia" w:eastAsiaTheme="minorEastAsia" w:hAnsiTheme="minorEastAsia" w:cstheme="minorEastAsia" w:hint="eastAsia"/>
          <w:snapToGrid w:val="0"/>
          <w:kern w:val="0"/>
          <w:sz w:val="21"/>
          <w:szCs w:val="21"/>
          <w:highlight w:val="none"/>
        </w:rPr>
        <w:t xml:space="preserve">  日期：     年    月   </w:t>
      </w:r>
      <w:r>
        <w:rPr>
          <w:rFonts w:asciiTheme="minorEastAsia" w:eastAsiaTheme="minorEastAsia" w:hAnsiTheme="minorEastAsia" w:cstheme="minorEastAsia" w:hint="eastAsia"/>
          <w:snapToGrid w:val="0"/>
          <w:kern w:val="0"/>
          <w:sz w:val="21"/>
          <w:szCs w:val="21"/>
          <w:highlight w:val="none"/>
          <w:lang w:val="en-US" w:eastAsia="zh-CN"/>
        </w:rPr>
        <w:t xml:space="preserve"> </w:t>
      </w:r>
      <w:r>
        <w:rPr>
          <w:rFonts w:asciiTheme="minorEastAsia" w:eastAsiaTheme="minorEastAsia" w:hAnsiTheme="minorEastAsia" w:cstheme="minorEastAsia" w:hint="eastAsia"/>
          <w:snapToGrid w:val="0"/>
          <w:kern w:val="0"/>
          <w:sz w:val="21"/>
          <w:szCs w:val="21"/>
          <w:highlight w:val="none"/>
        </w:rPr>
        <w:t>日</w:t>
      </w:r>
    </w:p>
    <w:p>
      <w:pPr>
        <w:pStyle w:val="NoSpacing"/>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eastAsiaTheme="minorEastAsia" w:hAnsiTheme="minorEastAsia" w:cstheme="minorEastAsia" w:hint="eastAsia"/>
          <w:snapToGrid w:val="0"/>
          <w:kern w:val="0"/>
          <w:sz w:val="21"/>
          <w:szCs w:val="21"/>
          <w:highlight w:val="none"/>
        </w:rPr>
      </w:pPr>
      <w:r>
        <w:rPr>
          <w:rFonts w:asciiTheme="minorEastAsia" w:eastAsiaTheme="minorEastAsia" w:hAnsiTheme="minorEastAsia" w:cstheme="minorEastAsia" w:hint="eastAsia"/>
          <w:snapToGrid w:val="0"/>
          <w:kern w:val="0"/>
          <w:sz w:val="21"/>
          <w:szCs w:val="21"/>
          <w:highlight w:val="none"/>
        </w:rPr>
        <w:t>附件1：</w:t>
      </w:r>
    </w:p>
    <w:p>
      <w:pPr>
        <w:pStyle w:val="NoSpacing"/>
        <w:spacing w:line="480" w:lineRule="exact"/>
        <w:jc w:val="left"/>
        <w:rPr>
          <w:rFonts w:ascii="宋体" w:hAnsi="宋体" w:cs="方正小标宋简体" w:hint="eastAsia"/>
          <w:bCs/>
          <w:kern w:val="0"/>
          <w:sz w:val="24"/>
          <w:szCs w:val="24"/>
        </w:rPr>
      </w:pPr>
    </w:p>
    <w:p>
      <w:pPr>
        <w:rPr>
          <w:rFonts w:ascii="方正小标宋简体" w:eastAsia="方正小标宋简体" w:hAnsi="方正小标宋简体" w:cs="方正小标宋简体" w:hint="eastAsia"/>
          <w:bCs/>
          <w:kern w:val="0"/>
          <w:sz w:val="44"/>
          <w:szCs w:val="28"/>
        </w:rPr>
      </w:pPr>
      <w:r>
        <w:rPr>
          <w:rFonts w:ascii="方正小标宋简体" w:eastAsia="方正小标宋简体" w:hAnsi="方正小标宋简体" w:cs="方正小标宋简体" w:hint="eastAsia"/>
          <w:bCs/>
          <w:kern w:val="0"/>
          <w:sz w:val="44"/>
          <w:szCs w:val="28"/>
        </w:rPr>
        <w:br w:type="page"/>
      </w:r>
    </w:p>
    <w:p>
      <w:pPr>
        <w:pStyle w:val="NoSpacing"/>
        <w:spacing w:line="480" w:lineRule="exact"/>
        <w:jc w:val="left"/>
        <w:rPr>
          <w:rFonts w:ascii="宋体" w:hAnsi="宋体" w:cs="宋体" w:hint="eastAsia"/>
          <w:snapToGrid w:val="0"/>
          <w:kern w:val="0"/>
          <w:sz w:val="24"/>
          <w:highlight w:val="none"/>
        </w:rPr>
      </w:pPr>
      <w:r>
        <w:rPr>
          <w:rFonts w:ascii="宋体" w:hAnsi="宋体" w:cs="宋体" w:hint="eastAsia"/>
          <w:snapToGrid w:val="0"/>
          <w:kern w:val="0"/>
          <w:sz w:val="24"/>
          <w:highlight w:val="none"/>
        </w:rPr>
        <w:t>附件1：</w:t>
      </w:r>
    </w:p>
    <w:p>
      <w:pPr>
        <w:pStyle w:val="NoSpacing"/>
        <w:spacing w:line="480" w:lineRule="exact"/>
        <w:jc w:val="center"/>
        <w:rPr>
          <w:rFonts w:ascii="方正小标宋简体" w:eastAsia="方正小标宋简体" w:hAnsi="方正小标宋简体" w:cs="方正小标宋简体" w:hint="eastAsia"/>
          <w:bCs/>
          <w:kern w:val="0"/>
          <w:sz w:val="44"/>
          <w:szCs w:val="28"/>
        </w:rPr>
      </w:pPr>
      <w:r>
        <w:rPr>
          <w:rFonts w:ascii="方正小标宋简体" w:eastAsia="方正小标宋简体" w:hAnsi="方正小标宋简体" w:cs="方正小标宋简体" w:hint="eastAsia"/>
          <w:bCs/>
          <w:kern w:val="0"/>
          <w:sz w:val="44"/>
          <w:szCs w:val="28"/>
        </w:rPr>
        <w:t>保密协议</w:t>
      </w:r>
    </w:p>
    <w:p>
      <w:pPr>
        <w:pStyle w:val="NoSpacing"/>
        <w:spacing w:line="480" w:lineRule="exact"/>
        <w:rPr>
          <w:rFonts w:ascii="宋体" w:hAnsi="宋体" w:cs="宋体" w:hint="eastAsia"/>
          <w:kern w:val="0"/>
          <w:sz w:val="28"/>
          <w:szCs w:val="28"/>
        </w:rPr>
      </w:pPr>
      <w:r>
        <w:rPr>
          <w:rFonts w:hint="eastAsia"/>
          <w:kern w:val="0"/>
          <w:sz w:val="24"/>
          <w:szCs w:val="24"/>
        </w:rPr>
        <w:t>　</w:t>
      </w:r>
      <w:r>
        <w:rPr>
          <w:rFonts w:ascii="仿宋" w:eastAsia="仿宋" w:hAnsi="仿宋" w:hint="eastAsia"/>
          <w:kern w:val="0"/>
          <w:sz w:val="28"/>
          <w:szCs w:val="28"/>
        </w:rPr>
        <w:t>　</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 xml:space="preserve">甲方：深圳市公安局轨道交通分局 </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lang w:eastAsia="zh-CN"/>
        </w:rPr>
      </w:pPr>
      <w:r>
        <w:rPr>
          <w:rFonts w:asciiTheme="minorEastAsia" w:eastAsiaTheme="minorEastAsia" w:hAnsiTheme="minorEastAsia" w:cstheme="minorEastAsia" w:hint="eastAsia"/>
          <w:kern w:val="0"/>
          <w:sz w:val="21"/>
          <w:szCs w:val="21"/>
        </w:rPr>
        <w:t>乙方：</w:t>
      </w:r>
      <w:r>
        <w:rPr>
          <w:rFonts w:asciiTheme="minorEastAsia" w:eastAsiaTheme="minorEastAsia" w:hAnsiTheme="minorEastAsia" w:cstheme="minorEastAsia" w:hint="eastAsia"/>
          <w:kern w:val="0"/>
          <w:sz w:val="21"/>
          <w:szCs w:val="21"/>
          <w:lang w:val="en-US" w:eastAsia="zh-CN"/>
        </w:rPr>
        <w:t xml:space="preserve"> </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　乙方因中标深圳市公安局轨道交通分局</w:t>
      </w:r>
      <w:r>
        <w:rPr>
          <w:rFonts w:asciiTheme="minorEastAsia" w:eastAsiaTheme="minorEastAsia" w:hAnsiTheme="minorEastAsia" w:cstheme="minorEastAsia" w:hint="eastAsia"/>
          <w:kern w:val="0"/>
          <w:sz w:val="21"/>
          <w:szCs w:val="21"/>
          <w:lang w:val="en-US" w:eastAsia="zh-CN"/>
        </w:rPr>
        <w:t xml:space="preserve"> “”</w:t>
      </w:r>
      <w:r>
        <w:rPr>
          <w:rFonts w:asciiTheme="minorEastAsia" w:eastAsiaTheme="minorEastAsia" w:hAnsiTheme="minorEastAsia" w:cstheme="minorEastAsia" w:hint="eastAsia"/>
          <w:b/>
          <w:bCs/>
          <w:kern w:val="0"/>
          <w:sz w:val="21"/>
          <w:szCs w:val="21"/>
        </w:rPr>
        <w:t>（项目编号：</w:t>
      </w:r>
      <w:r>
        <w:rPr>
          <w:rFonts w:asciiTheme="minorEastAsia" w:eastAsiaTheme="minorEastAsia" w:hAnsiTheme="minorEastAsia" w:cstheme="minorEastAsia" w:hint="eastAsia"/>
          <w:b/>
          <w:bCs/>
          <w:kern w:val="0"/>
          <w:sz w:val="21"/>
          <w:szCs w:val="21"/>
          <w:lang w:val="en-US" w:eastAsia="zh-CN"/>
        </w:rPr>
        <w:t xml:space="preserve"> </w:t>
      </w:r>
      <w:r>
        <w:rPr>
          <w:rFonts w:asciiTheme="minorEastAsia" w:eastAsiaTheme="minorEastAsia" w:hAnsiTheme="minorEastAsia" w:cstheme="minorEastAsia" w:hint="eastAsia"/>
          <w:b/>
          <w:bCs/>
          <w:kern w:val="0"/>
          <w:sz w:val="21"/>
          <w:szCs w:val="21"/>
        </w:rPr>
        <w:t>），</w:t>
      </w:r>
      <w:r>
        <w:rPr>
          <w:rFonts w:asciiTheme="minorEastAsia" w:eastAsiaTheme="minorEastAsia" w:hAnsiTheme="minorEastAsia" w:cstheme="minorEastAsia" w:hint="eastAsia"/>
          <w:kern w:val="0"/>
          <w:sz w:val="21"/>
          <w:szCs w:val="21"/>
        </w:rPr>
        <w:t>为防止公安手段及相关信息泄露，确保对该项目相关工作事项予以有效保密保护，明确保密责任，根据《中华人民共和国保守国家秘密法》的相关规定，经双方友好协商，特此签订本协议。</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一、保密内容</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乙方从甲方获得的与该项目有关或因项目产生的任何商业、营销、技术、运营数据或甲方其他内部信息资料，无论以何种形式或载于何种载体，无论在披露时是否以口头、图像或以书面方式表明其具有保密性，均属于保密内容。</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2、乙方从甲方获得的与项目有关或因项目产生的任何装备、人员、财务等相关资料，无论以何种形式或载于何种载体，无论在披露时是否以口头、图像或以书面方式表明其具有保密性，均属于保密内容。</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二、保密责任</w:t>
      </w:r>
    </w:p>
    <w:p>
      <w:pPr>
        <w:pStyle w:val="NoSpacing"/>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　　（一）对于本协议约定的秘密，甲乙双方在此同意：</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1、严守机密，并采取所有保密措施和制度保护该秘密(包括但不仅限于任何一方为保护其自有秘密所采用的措施和制度);</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2、不泄露任何秘密给任何第三方，“泄露”行为包括但不限于明示、默示或在公开场合、公开平台讨论、评论;</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3、除用于履行与对方的合同之外，任何时候均不得将该秘密用于其他任何目的;</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4、不得复制或通过反向工程使用该秘密。一方应当与能接触另一方秘密的员工、代理等签订一份保密协议，此协议的实质内容应与本协议相似。</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（二）甲乙双方已经阅读了《中华人民共和国保守国家秘密法》的法律条文并知悉双方的保密制度规定，双方应确保各自的员工同样知悉并遵守本保密协议涉及的保密内容、保密责任及相应法律规定。</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三、例外约定</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秘密拥有方同意上述条款不适用于下述情形：</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1、该秘密已经变成普通大众可以获取的资料;</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2、能书面证明另一方从拥有方收到技术资料之前已经熟知该资料;</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3、由第三方合法提供的资料;</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4、未使用拥有方的技术资料而独立开发出来的技术。</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四、返还信息</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任何时候，只要收到秘密拥有方的书面要求，另一方应立即归还全部秘密资料和文件，包含该秘密资料的媒体及其任何或全部复印件或摘要。如果该技术资料属于不能归还的形式、或已经复制或转录到其他资料或载体中，则应删除。任何一方不得以任何形式保留对方所提供的资料，如因履行合同约定事项需要使用的，应当取得秘密拥有方的书面许可后在许可范围内使用。</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五、保密期限</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本保密协议独立于项目协议长期有效，不因原协议的终止或解除而失去效力。</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六、违约责任</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乙方未能遵守上述协议，有违反保密规定行为而造成泄密的，甲方可依据有关规定追究保密责任人的责任，同时并赔偿给合同总金额10%的违约金；构成犯罪的，将依法追究刑事责任。</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七、争议解决</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由于本协议的履行或解释而产生的或与之有关的任何争议，如双方无法协商解决，则提交</w:t>
      </w:r>
      <w:r>
        <w:rPr>
          <w:rFonts w:asciiTheme="minorEastAsia" w:eastAsiaTheme="minorEastAsia" w:hAnsiTheme="minorEastAsia" w:cstheme="minorEastAsia" w:hint="eastAsia"/>
          <w:kern w:val="0"/>
          <w:sz w:val="21"/>
          <w:szCs w:val="21"/>
          <w:u w:val="single"/>
        </w:rPr>
        <w:t xml:space="preserve">  甲方  </w:t>
      </w:r>
      <w:r>
        <w:rPr>
          <w:rFonts w:asciiTheme="minorEastAsia" w:eastAsiaTheme="minorEastAsia" w:hAnsiTheme="minorEastAsia" w:cstheme="minorEastAsia" w:hint="eastAsia"/>
          <w:kern w:val="0"/>
          <w:sz w:val="21"/>
          <w:szCs w:val="21"/>
        </w:rPr>
        <w:t>所在地人民法院处理。</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八、其他约定</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1、任何一方在任何时间任何期限里没有行使其本协议项下的权利，并不能解释为他已经放弃了该权利。</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2、如果本协议的任何部分、条款或规定是不合法的或者是不可执行的，协议其他部分的有效性和可执行性仍不受影响。</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3、未经另一方同意，任何一方不得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pStyle w:val="NoSpacing"/>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kern w:val="0"/>
          <w:sz w:val="21"/>
          <w:szCs w:val="21"/>
        </w:rPr>
      </w:pPr>
      <w:r>
        <w:rPr>
          <w:rFonts w:asciiTheme="minorEastAsia" w:eastAsiaTheme="minorEastAsia" w:hAnsiTheme="minorEastAsia" w:cstheme="minorEastAsia" w:hint="eastAsia"/>
          <w:kern w:val="0"/>
          <w:sz w:val="21"/>
          <w:szCs w:val="21"/>
        </w:rPr>
        <w:t>4、本协议一式两份，甲方执一份，乙方执一份，均具同等法律效力。自双方盖章以及法定代表人或授权代表签字之日起生效。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甲方单位：（盖章）             乙方单位：（盖章）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或授权委托人（签章）：           或授权委托人（签章）：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napToGrid w:val="0"/>
          <w:kern w:val="0"/>
          <w:sz w:val="21"/>
          <w:szCs w:val="21"/>
        </w:rPr>
        <w:t>日期：    年  月  日                 日期：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z w:val="21"/>
          <w:szCs w:val="21"/>
          <w:highlight w:val="none"/>
        </w:rPr>
      </w:pPr>
    </w:p>
    <w:p>
      <w:pPr>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lang w:eastAsia="zh-CN"/>
        </w:rPr>
      </w:pPr>
      <w:r>
        <w:rPr>
          <w:rFonts w:asciiTheme="minorEastAsia" w:eastAsiaTheme="minorEastAsia" w:hAnsiTheme="minorEastAsia" w:cstheme="minorEastAsia" w:hint="eastAsia"/>
          <w:snapToGrid w:val="0"/>
          <w:kern w:val="0"/>
          <w:sz w:val="21"/>
          <w:szCs w:val="21"/>
        </w:rPr>
        <w:t>附件</w:t>
      </w:r>
      <w:r>
        <w:rPr>
          <w:rFonts w:asciiTheme="minorEastAsia" w:eastAsiaTheme="minorEastAsia" w:hAnsiTheme="minorEastAsia" w:cstheme="minorEastAsia" w:hint="eastAsia"/>
          <w:snapToGrid w:val="0"/>
          <w:kern w:val="0"/>
          <w:sz w:val="21"/>
          <w:szCs w:val="21"/>
          <w:lang w:val="en-US" w:eastAsia="zh-CN"/>
        </w:rPr>
        <w:t>2</w:t>
      </w:r>
      <w:r>
        <w:rPr>
          <w:rFonts w:asciiTheme="minorEastAsia" w:eastAsiaTheme="minorEastAsia" w:hAnsiTheme="minorEastAsia" w:cstheme="minorEastAsia" w:hint="eastAsia"/>
          <w:snapToGrid w:val="0"/>
          <w:kern w:val="0"/>
          <w:sz w:val="21"/>
          <w:szCs w:val="21"/>
        </w:rPr>
        <w:t>：</w:t>
      </w:r>
    </w:p>
    <w:p>
      <w:pPr>
        <w:pStyle w:val="NoSpacing"/>
        <w:spacing w:line="480" w:lineRule="exact"/>
        <w:jc w:val="center"/>
        <w:rPr>
          <w:rFonts w:ascii="方正小标宋简体" w:eastAsia="方正小标宋简体" w:hAnsi="方正小标宋简体" w:cs="方正小标宋简体" w:hint="eastAsia"/>
          <w:bCs/>
          <w:kern w:val="0"/>
          <w:sz w:val="44"/>
          <w:szCs w:val="28"/>
        </w:rPr>
      </w:pPr>
      <w:r>
        <w:rPr>
          <w:rFonts w:ascii="方正小标宋简体" w:eastAsia="方正小标宋简体" w:hAnsi="方正小标宋简体" w:cs="方正小标宋简体" w:hint="eastAsia"/>
          <w:bCs/>
          <w:kern w:val="0"/>
          <w:sz w:val="44"/>
          <w:szCs w:val="28"/>
        </w:rPr>
        <w:t>廉洁从业责任书</w:t>
      </w:r>
    </w:p>
    <w:p>
      <w:pPr>
        <w:keepNext w:val="0"/>
        <w:keepLines w:val="0"/>
        <w:pageBreakBefore w:val="0"/>
        <w:widowControl w:val="0"/>
        <w:tabs>
          <w:tab w:val="left" w:pos="5865"/>
        </w:tabs>
        <w:kinsoku/>
        <w:wordWrap/>
        <w:overflowPunct/>
        <w:topLinePunct w:val="0"/>
        <w:autoSpaceDE/>
        <w:autoSpaceDN/>
        <w:bidi w:val="0"/>
        <w:adjustRightInd/>
        <w:snapToGrid/>
        <w:spacing w:line="240" w:lineRule="auto"/>
        <w:ind w:firstLine="210" w:firstLineChars="1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甲方：深圳市公安局轨道交通分局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lang w:eastAsia="zh-CN"/>
        </w:rPr>
      </w:pPr>
      <w:r>
        <w:rPr>
          <w:rFonts w:asciiTheme="minorEastAsia" w:eastAsiaTheme="minorEastAsia" w:hAnsiTheme="minorEastAsia" w:cstheme="minorEastAsia" w:hint="eastAsia"/>
          <w:snapToGrid w:val="0"/>
          <w:kern w:val="0"/>
          <w:sz w:val="21"/>
          <w:szCs w:val="21"/>
        </w:rPr>
        <w:t>乙方：</w:t>
      </w:r>
      <w:r>
        <w:rPr>
          <w:rFonts w:asciiTheme="minorEastAsia" w:eastAsiaTheme="minorEastAsia" w:hAnsiTheme="minorEastAsia" w:cstheme="minorEastAsia" w:hint="eastAsia"/>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    为规范甲乙双方的交易行为，维护公平竞争，预防商业贿赂，根据国家有关法律法规，经双方协商一致，签订本责任书。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第一条甲乙双方共同责任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（一）严格遵守国家有关法律法规以及廉洁从业的有关规定。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（二）严格遵守商业道德和市场规则，共同营造公平公正的交易环境。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（三）加强有关人员的管理和廉洁从业教育，自觉抵制不廉洁行为；在交易过程中发现对方及其工作人员存在违规违纪违法问题，应及时向监察部门或司法机关举报。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第二条甲方及其人员的责任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（一）不得索要或接受乙方及其相关单位、人员提供的折扣费、中介费、佣金、礼金、有价证券、支付凭证、贵重物品等。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（二）不得在乙方及其相关单位报销任何应由甲方或个人支付的费用。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（三）不得违反规定在乙方及其相关单位投资入股、合伙经营，不得向乙方单位及人员借款或委托买卖股票、债券等。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（四）不得要求、暗示和接受乙方及其相关单位和个人为其购买或装修住房、婚丧嫁娶、配偶和子女的上学或工作安排以及出国（境）、旅游等提供方便。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（五）不得参加乙方及其相关单位安排的可能影响公正执行公务的宴请及健身、娱乐等活动。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（六）不得接受、占用或以明显低于市场价格购买、租用乙方及其相关单位提供的通讯工具、交通工具和高档办公用品。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（七）不得通过乙方及其相关单位为其配偶、子女及其他特定关系人谋取不正当利益。</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（八）不得违反规定在乙方或乙方相关单位兼职和领取兼职工资及报酬；不得利用甲方的商业秘密、业务渠道等谋取个人私利，或将其提供泄漏给乙方及其它企业和个人。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（九）不得利用职权和工作之便向乙方提出与交易无关的事项或要求。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第三条乙方及其人员的责任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（一）不得向甲方及其人员提供折扣费、中介费、佣金、礼金、有价证券、支付凭证、贵重物品等。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（二）不得为甲方及其人员报销应由甲方或个人支付的费用。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（三）不得为甲方人员投资入股、个人借款或买卖股票、债券等提供方便。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（四）不得为甲方人员购买或装修住房、婚丧嫁娶、配偶子女上学或工作安排以及出国（境）、旅游等提供方便。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（五）不得为甲方人员安排有可能影响公平交易的宴请、健身、娱乐等活动。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（六）不得为甲方及其人员购置或以明显低于市场价值提供通讯工具、交通工具和高档办公用品。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（七）不得为甲方人员的配偶、子女及其他特定关系人谋取不正当利益提供方便。</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（八）不得违反规定安排甲方人员在乙方或乙方相关企业兼职和领取兼职工资及报酬；不得向甲方人员打探涉及甲方的商业秘密。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（九）甲方对涉嫌不廉洁的商业行为进行调查时，乙方有配合甲方提供证据、作证的义务。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（十）未经甲方书面同意，乙方不得向任何新闻媒体、第三人述及有关甲方人员廉洁从业方面的评价、信息。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第四条违约责任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一）甲方及其人员有违反本责任书第一条、第二条规定的，乙方除有权要求甲方赔偿由此造成乙方的损失外，还将按照管理权限，依据有关法律法规和规定给予有关人员纪律处分或组织处理；涉嫌犯罪的，移交司法机关追究刑事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（二）乙方及其人员有违反本责任书第一条、第三条规定的，根据情况和后果，甲方有权要求乙方赔偿由此造成的甲方损失；涉嫌犯罪的，报请司法机关追究刑事责任。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第五条本责任书自双方盖章以及法定代表人或授权代表签字之日起生效。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甲乙双方签订交易合同的，本责任书作为交易合同的附件，与交易合同具有同等法律效力；如双方未签订交易合同，本责任书独立有效。交易合同出现争议，不影响本责任书仍然继续发生效力，甲乙双方仍应遵守本责任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第六条甲乙双方及其人员在交易活动完成后，发生或发现违反本责任书规定的行为，按本责任书规定处理。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第七条本责任书一式两份，甲乙双方各执一份，具有同等法律效力。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第八条本责任书争议解决方式与交易合同保持一致，如双方未签订交易合同，甲乙双方同意向甲方所在地法院提起诉讼。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snapToGrid w:val="0"/>
          <w:kern w:val="0"/>
          <w:sz w:val="21"/>
          <w:szCs w:val="21"/>
        </w:rPr>
        <w:sym w:font="宋体" w:char="E5E5"/>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甲方单位：（盖章）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乙方单位：（盖章）</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snapToGrid w:val="0"/>
          <w:kern w:val="0"/>
          <w:sz w:val="21"/>
          <w:szCs w:val="21"/>
        </w:rPr>
        <w:sym w:font="宋体" w:char="E5E5"/>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法定代表人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法定代表人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或授权委托人（签章）： 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或授权委托人（签章）：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eastAsiaTheme="minorEastAsia" w:hAnsiTheme="minorEastAsia" w:cstheme="minorEastAsia" w:hint="eastAsia"/>
          <w:snapToGrid w:val="0"/>
          <w:kern w:val="0"/>
          <w:sz w:val="21"/>
          <w:szCs w:val="21"/>
        </w:rPr>
      </w:pPr>
      <w:r>
        <w:rPr>
          <w:rFonts w:asciiTheme="minorEastAsia" w:eastAsiaTheme="minorEastAsia" w:hAnsiTheme="minorEastAsia" w:cstheme="minorEastAsia" w:hint="eastAsia"/>
          <w:snapToGrid w:val="0"/>
          <w:kern w:val="0"/>
          <w:sz w:val="21"/>
          <w:szCs w:val="21"/>
        </w:rPr>
        <w:t xml:space="preserve">日期：    年  月  日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   </w:t>
      </w:r>
      <w:r>
        <w:rPr>
          <w:rFonts w:asciiTheme="minorEastAsia" w:eastAsiaTheme="minorEastAsia" w:hAnsiTheme="minorEastAsia" w:cstheme="minorEastAsia" w:hint="eastAsia"/>
          <w:snapToGrid w:val="0"/>
          <w:kern w:val="0"/>
          <w:sz w:val="21"/>
          <w:szCs w:val="21"/>
          <w:lang w:val="en-US" w:eastAsia="zh-CN"/>
        </w:rPr>
        <w:t xml:space="preserve">     </w:t>
      </w:r>
      <w:r>
        <w:rPr>
          <w:rFonts w:asciiTheme="minorEastAsia" w:eastAsiaTheme="minorEastAsia" w:hAnsiTheme="minorEastAsia" w:cstheme="minorEastAsia" w:hint="eastAsia"/>
          <w:snapToGrid w:val="0"/>
          <w:kern w:val="0"/>
          <w:sz w:val="21"/>
          <w:szCs w:val="21"/>
        </w:rPr>
        <w:t xml:space="preserve"> 日期：    年  月  日</w:t>
      </w:r>
    </w:p>
    <w:p>
      <w:pPr>
        <w:spacing w:line="480" w:lineRule="exact"/>
        <w:rPr>
          <w:rFonts w:ascii="宋体" w:hAnsi="宋体" w:cs="宋体"/>
          <w:sz w:val="24"/>
          <w:highlight w:val="none"/>
        </w:rPr>
      </w:pPr>
    </w:p>
    <w:p>
      <w:pPr>
        <w:spacing w:before="120" w:beforeLines="50" w:after="120" w:afterLines="50"/>
        <w:ind w:left="562"/>
        <w:outlineLvl w:val="9"/>
        <w:rPr>
          <w:rFonts w:hint="eastAsia"/>
          <w:szCs w:val="28"/>
        </w:rPr>
      </w:pPr>
    </w:p>
    <w:p>
      <w:pPr>
        <w:spacing w:before="120" w:beforeLines="50" w:after="120" w:afterLines="50"/>
        <w:ind w:left="562"/>
        <w:outlineLvl w:val="9"/>
        <w:rPr>
          <w:rFonts w:hint="eastAsia"/>
          <w:szCs w:val="28"/>
        </w:rPr>
      </w:pPr>
    </w:p>
    <w:p>
      <w:pPr>
        <w:rPr>
          <w:rFonts w:hint="eastAsia"/>
          <w:szCs w:val="28"/>
        </w:rPr>
      </w:pPr>
      <w:r>
        <w:rPr>
          <w:rFonts w:hint="eastAsia"/>
          <w:szCs w:val="28"/>
        </w:rPr>
        <w:br w:type="page"/>
      </w:r>
    </w:p>
    <w:p>
      <w:pPr>
        <w:pStyle w:val="Heading1"/>
        <w:spacing w:before="120" w:beforeLines="50" w:after="120" w:afterLines="50"/>
        <w:ind w:left="562"/>
        <w:rPr>
          <w:rFonts w:hint="eastAsia"/>
          <w:szCs w:val="28"/>
        </w:rPr>
      </w:pPr>
      <w:r>
        <w:rPr>
          <w:rFonts w:hint="eastAsia"/>
          <w:szCs w:val="28"/>
        </w:rPr>
        <w:t>第二册  通用条款（公开招标）</w:t>
      </w:r>
    </w:p>
    <w:p>
      <w:pPr>
        <w:pStyle w:val="Heading2"/>
        <w:numPr>
          <w:ilvl w:val="0"/>
          <w:numId w:val="12"/>
        </w:numPr>
        <w:spacing w:before="120" w:beforeLines="50" w:after="120" w:afterLines="50"/>
        <w:ind w:left="562" w:hanging="562"/>
        <w:rPr>
          <w:rFonts w:hint="eastAsia"/>
          <w:sz w:val="28"/>
          <w:szCs w:val="28"/>
        </w:rPr>
      </w:pPr>
      <w:bookmarkStart w:id="48" w:name="_Hlk72399513"/>
      <w:r>
        <w:rPr>
          <w:rFonts w:hint="eastAsia"/>
          <w:sz w:val="28"/>
          <w:szCs w:val="28"/>
        </w:rPr>
        <w:t>总则</w:t>
      </w:r>
    </w:p>
    <w:p>
      <w:pPr>
        <w:rPr>
          <w:rFonts w:ascii="黑体" w:eastAsia="黑体" w:hAnsi="宋体" w:hint="eastAsia"/>
          <w:sz w:val="24"/>
        </w:rPr>
      </w:pPr>
      <w:bookmarkEnd w:id="48"/>
      <w:r>
        <w:rPr>
          <w:rFonts w:ascii="黑体" w:eastAsia="黑体" w:hAnsi="宋体" w:hint="eastAsia"/>
          <w:sz w:val="24"/>
        </w:rPr>
        <w:t>1. 通用条款说明</w:t>
      </w:r>
    </w:p>
    <w:p>
      <w:pPr>
        <w:ind w:firstLine="412" w:firstLineChars="196"/>
        <w:rPr>
          <w:rFonts w:ascii="宋体" w:hAnsi="宋体" w:hint="eastAsia"/>
          <w:szCs w:val="21"/>
        </w:rPr>
      </w:pPr>
      <w:r>
        <w:rPr>
          <w:rFonts w:ascii="宋体" w:hAnsi="宋体" w:hint="eastAsia"/>
          <w:szCs w:val="21"/>
        </w:rPr>
        <w:t>1.1政府集中采购机构发出招标文件通用条款版本，列出深圳市政府采购项目进行招标采购所适用的通用条款内容。</w:t>
      </w:r>
      <w:bookmarkStart w:id="49" w:name="_Hlk72399729"/>
      <w:r>
        <w:rPr>
          <w:rFonts w:ascii="宋体" w:hAnsi="宋体" w:hint="eastAsia"/>
          <w:szCs w:val="21"/>
        </w:rPr>
        <w:t>如有需要，政府集中采购机构可以对通用条款的内容进行补充。</w:t>
      </w:r>
      <w:bookmarkEnd w:id="49"/>
    </w:p>
    <w:p>
      <w:pPr>
        <w:ind w:firstLine="412" w:firstLineChars="196"/>
        <w:rPr>
          <w:rFonts w:ascii="宋体" w:hAnsi="宋体" w:hint="eastAsia"/>
          <w:szCs w:val="21"/>
        </w:rPr>
      </w:pPr>
      <w:r>
        <w:rPr>
          <w:rFonts w:ascii="宋体" w:hAnsi="宋体" w:hint="eastAsia"/>
          <w:szCs w:val="21"/>
        </w:rPr>
        <w:t>1.2招标文件分为第一册“专用条款”和第二册“通用条款”。</w:t>
      </w:r>
    </w:p>
    <w:p>
      <w:pPr>
        <w:ind w:firstLine="412" w:firstLineChars="196"/>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pPr>
        <w:ind w:firstLine="412" w:firstLineChars="196"/>
        <w:rPr>
          <w:rFonts w:ascii="宋体" w:hAnsi="宋体" w:hint="eastAsia"/>
          <w:szCs w:val="21"/>
        </w:rPr>
      </w:pPr>
      <w:r>
        <w:rPr>
          <w:rFonts w:ascii="宋体" w:hAnsi="宋体" w:hint="eastAsia"/>
          <w:szCs w:val="21"/>
        </w:rPr>
        <w:t>1.4“通用条款”是适用于政府采购公开招标项目的基础性条款，具有普遍性和通用性。</w:t>
      </w:r>
    </w:p>
    <w:p>
      <w:pPr>
        <w:ind w:firstLine="412" w:firstLineChars="196"/>
        <w:rPr>
          <w:rFonts w:ascii="宋体" w:hAnsi="宋体" w:hint="eastAsia"/>
          <w:szCs w:val="21"/>
        </w:rPr>
      </w:pPr>
      <w:r>
        <w:rPr>
          <w:rFonts w:ascii="宋体" w:hAnsi="宋体" w:hint="eastAsia"/>
          <w:szCs w:val="21"/>
        </w:rPr>
        <w:t>1.5 “专用条款”和“通用条款”表述不一致或有冲突时，以“专用条款”为准。</w:t>
      </w:r>
    </w:p>
    <w:p>
      <w:pPr>
        <w:rPr>
          <w:rFonts w:ascii="黑体" w:eastAsia="黑体" w:hAnsi="宋体" w:hint="eastAsia"/>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pPr>
        <w:ind w:firstLine="412" w:firstLineChars="196"/>
        <w:rPr>
          <w:rFonts w:ascii="宋体" w:hAnsi="宋体" w:hint="eastAsia"/>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pPr>
        <w:rPr>
          <w:rFonts w:ascii="黑体" w:eastAsia="黑体" w:hAnsi="宋体" w:hint="eastAsia"/>
          <w:sz w:val="24"/>
        </w:rPr>
      </w:pPr>
      <w:r>
        <w:rPr>
          <w:rFonts w:ascii="黑体" w:eastAsia="黑体" w:hAnsi="宋体" w:hint="eastAsia"/>
          <w:sz w:val="24"/>
        </w:rPr>
        <w:t>3．定义</w:t>
      </w:r>
    </w:p>
    <w:p>
      <w:pPr>
        <w:ind w:firstLine="420" w:firstLineChars="200"/>
        <w:rPr>
          <w:rFonts w:ascii="宋体" w:hAnsi="宋体" w:hint="eastAsia"/>
          <w:szCs w:val="21"/>
        </w:rPr>
      </w:pPr>
      <w:r>
        <w:rPr>
          <w:rFonts w:ascii="宋体" w:hAnsi="宋体"/>
          <w:szCs w:val="21"/>
        </w:rPr>
        <w:t>招标文件中下列术语应解释为：</w:t>
      </w:r>
    </w:p>
    <w:p>
      <w:pPr>
        <w:ind w:firstLine="412" w:firstLineChars="196"/>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pPr>
        <w:ind w:firstLine="412" w:firstLineChars="196"/>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pPr>
        <w:ind w:firstLine="412" w:firstLineChars="196"/>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pPr>
        <w:ind w:firstLine="412" w:firstLineChars="196"/>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pPr>
        <w:ind w:firstLine="412" w:firstLineChars="196"/>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pPr>
        <w:ind w:firstLine="412" w:firstLineChars="196"/>
        <w:rPr>
          <w:rFonts w:ascii="宋体" w:hAnsi="宋体" w:hint="eastAsia"/>
          <w:szCs w:val="21"/>
        </w:rPr>
      </w:pPr>
      <w:r>
        <w:rPr>
          <w:rFonts w:ascii="宋体" w:hAnsi="宋体" w:hint="eastAsia"/>
          <w:szCs w:val="21"/>
        </w:rPr>
        <w:t>3.6“合同”指由本次招标所产生的合同或合约文件；</w:t>
      </w:r>
    </w:p>
    <w:p>
      <w:pPr>
        <w:ind w:firstLine="412" w:firstLineChars="196"/>
        <w:rPr>
          <w:rFonts w:ascii="宋体" w:hAnsi="宋体" w:hint="eastAsia"/>
          <w:szCs w:val="21"/>
        </w:rPr>
      </w:pPr>
      <w:r>
        <w:rPr>
          <w:rFonts w:ascii="宋体" w:hAnsi="宋体" w:hint="eastAsia"/>
          <w:szCs w:val="21"/>
        </w:rPr>
        <w:t>3.7“电子投标文件”指利用</w:t>
      </w:r>
      <w:r>
        <w:rPr>
          <w:rFonts w:ascii="宋体" w:hAnsi="宋体" w:hint="eastAsia"/>
          <w:b/>
          <w:bCs/>
          <w:szCs w:val="21"/>
        </w:rPr>
        <w:t>深圳公共资源交易中心（深圳交易集团有限公司政府采购业务分公司）</w:t>
      </w:r>
      <w:r>
        <w:rPr>
          <w:rFonts w:ascii="宋体" w:hAnsi="宋体" w:hint="eastAsia"/>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bookmarkStart w:id="50" w:name="_Hlk72398581"/>
      <w:r>
        <w:rPr>
          <w:rFonts w:ascii="宋体" w:hAnsi="宋体" w:hint="eastAsia"/>
          <w:szCs w:val="21"/>
        </w:rPr>
        <w:t>；</w:t>
      </w:r>
      <w:bookmarkEnd w:id="50"/>
    </w:p>
    <w:p>
      <w:pPr>
        <w:ind w:firstLine="412" w:firstLineChars="196"/>
        <w:rPr>
          <w:rFonts w:ascii="宋体" w:hAnsi="宋体" w:hint="eastAsia"/>
          <w:szCs w:val="21"/>
        </w:rPr>
      </w:pPr>
      <w:r>
        <w:rPr>
          <w:rFonts w:ascii="宋体" w:hAnsi="宋体" w:hint="eastAsia"/>
          <w:szCs w:val="21"/>
        </w:rPr>
        <w:t>3.8“网上投标”指通过</w:t>
      </w:r>
      <w:r>
        <w:rPr>
          <w:rFonts w:ascii="宋体" w:hAnsi="宋体" w:hint="eastAsia"/>
          <w:b/>
          <w:bCs/>
          <w:szCs w:val="21"/>
        </w:rPr>
        <w:t>深圳公共资源交易中心（深圳交易集团有限公司政府采购业务分公司）</w:t>
      </w:r>
      <w:r>
        <w:rPr>
          <w:rFonts w:ascii="宋体" w:hAnsi="宋体" w:hint="eastAsia"/>
          <w:szCs w:val="21"/>
        </w:rPr>
        <w:t>网站上传电子投标文件；</w:t>
      </w:r>
    </w:p>
    <w:p>
      <w:pPr>
        <w:ind w:firstLine="412" w:firstLineChars="196"/>
        <w:rPr>
          <w:rFonts w:ascii="宋体" w:hAnsi="宋体" w:hint="eastAsia"/>
          <w:szCs w:val="21"/>
        </w:rPr>
      </w:pPr>
      <w:r>
        <w:rPr>
          <w:rFonts w:ascii="宋体" w:hAnsi="宋体" w:hint="eastAsia"/>
          <w:szCs w:val="21"/>
        </w:rPr>
        <w:t>3.9招标文件中的标题或题名仅起引导作用，而不应视为对招标文件内容的理解和解释。</w:t>
      </w:r>
    </w:p>
    <w:p>
      <w:pPr>
        <w:rPr>
          <w:rFonts w:ascii="黑体" w:eastAsia="黑体" w:hAnsi="宋体" w:hint="eastAsia"/>
          <w:sz w:val="24"/>
        </w:rPr>
      </w:pPr>
      <w:r>
        <w:rPr>
          <w:rFonts w:ascii="黑体" w:eastAsia="黑体" w:hAnsi="宋体" w:hint="eastAsia"/>
          <w:sz w:val="24"/>
        </w:rPr>
        <w:t xml:space="preserve">4. </w:t>
      </w:r>
      <w:bookmarkStart w:id="51" w:name="_Hlk72398643"/>
      <w:r>
        <w:rPr>
          <w:rFonts w:ascii="黑体" w:eastAsia="黑体" w:hAnsi="宋体" w:hint="eastAsia"/>
          <w:sz w:val="24"/>
        </w:rPr>
        <w:t>政府采购供应商责任</w:t>
      </w:r>
    </w:p>
    <w:p>
      <w:pPr>
        <w:ind w:firstLine="412" w:firstLineChars="196"/>
        <w:rPr>
          <w:rFonts w:ascii="宋体" w:hAnsi="宋体" w:hint="eastAsia"/>
          <w:szCs w:val="21"/>
        </w:rPr>
      </w:pPr>
      <w:r>
        <w:rPr>
          <w:rFonts w:ascii="宋体" w:hAnsi="宋体" w:hint="eastAsia"/>
          <w:szCs w:val="21"/>
        </w:rPr>
        <w:t>4.1欢迎诚信、有实力和有社会责任心的供应商参与政府采购事业。</w:t>
      </w:r>
    </w:p>
    <w:p>
      <w:pPr>
        <w:ind w:firstLine="412" w:firstLineChars="196"/>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eastAsia="黑体" w:hAnsi="宋体" w:hint="eastAsia"/>
          <w:sz w:val="24"/>
        </w:rPr>
      </w:pPr>
      <w:r>
        <w:rPr>
          <w:rFonts w:ascii="黑体" w:eastAsia="黑体" w:hAnsi="宋体" w:hint="eastAsia"/>
          <w:sz w:val="24"/>
        </w:rPr>
        <w:t>5．投标人参加政府采购的条件</w:t>
      </w:r>
    </w:p>
    <w:p>
      <w:pPr>
        <w:ind w:firstLine="412" w:firstLineChars="196"/>
        <w:rPr>
          <w:rFonts w:ascii="宋体" w:hAnsi="宋体" w:hint="eastAsia"/>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pPr>
        <w:ind w:firstLine="412" w:firstLineChars="196"/>
        <w:rPr>
          <w:rFonts w:ascii="宋体" w:hAnsi="宋体" w:hint="eastAsia"/>
          <w:szCs w:val="21"/>
        </w:rPr>
      </w:pPr>
      <w:r>
        <w:rPr>
          <w:rFonts w:ascii="宋体" w:hAnsi="宋体" w:hint="eastAsia"/>
          <w:szCs w:val="21"/>
        </w:rPr>
        <w:t>5.2投标人资格要求</w:t>
      </w:r>
    </w:p>
    <w:p>
      <w:pPr>
        <w:ind w:firstLine="412" w:firstLineChars="196"/>
        <w:rPr>
          <w:rFonts w:ascii="宋体" w:hAnsi="宋体" w:hint="eastAsia"/>
          <w:szCs w:val="21"/>
        </w:rPr>
      </w:pPr>
      <w:r>
        <w:rPr>
          <w:rFonts w:ascii="宋体" w:hAnsi="宋体" w:hint="eastAsia"/>
          <w:szCs w:val="21"/>
        </w:rPr>
        <w:t>参加本项目的投标人应具备的资格条件详见本项目招标公告中 “投标人资格要求”（即申请人的资格要求）的内容。</w:t>
      </w:r>
    </w:p>
    <w:p>
      <w:pPr>
        <w:ind w:firstLine="412" w:firstLineChars="196"/>
        <w:rPr>
          <w:rFonts w:ascii="宋体" w:hAnsi="宋体" w:hint="eastAsia"/>
          <w:szCs w:val="21"/>
        </w:rPr>
      </w:pPr>
      <w:r>
        <w:rPr>
          <w:rFonts w:ascii="宋体" w:hAnsi="宋体" w:hint="eastAsia"/>
          <w:szCs w:val="21"/>
        </w:rPr>
        <w:t>5.3联合体投标</w:t>
      </w:r>
    </w:p>
    <w:p>
      <w:pPr>
        <w:ind w:firstLine="412" w:firstLineChars="196"/>
        <w:rPr>
          <w:rFonts w:ascii="宋体" w:hAnsi="宋体" w:hint="eastAsia"/>
          <w:szCs w:val="21"/>
        </w:rPr>
      </w:pPr>
      <w:r>
        <w:rPr>
          <w:rFonts w:ascii="宋体" w:hAnsi="宋体" w:hint="eastAsia"/>
          <w:szCs w:val="21"/>
        </w:rPr>
        <w:t>5.3.1　以下有关联合体投标的条款仅适用于允许投标人组成联合体投标的项目。</w:t>
      </w:r>
    </w:p>
    <w:p>
      <w:pPr>
        <w:ind w:firstLine="412" w:firstLineChars="196"/>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pPr>
        <w:ind w:firstLine="412" w:firstLineChars="196"/>
        <w:rPr>
          <w:rFonts w:ascii="宋体" w:hAnsi="宋体" w:hint="eastAsia"/>
        </w:rPr>
      </w:pPr>
      <w:r>
        <w:rPr>
          <w:rFonts w:ascii="宋体" w:hAnsi="宋体" w:hint="eastAsia"/>
        </w:rPr>
        <w:t>（1）投标联合体各方参加政府采购活动应当具备下列条件：</w:t>
      </w:r>
      <w:r>
        <w:rPr>
          <w:rFonts w:ascii="宋体" w:hAnsi="宋体"/>
        </w:rPr>
        <w:t xml:space="preserve"> </w:t>
      </w:r>
    </w:p>
    <w:p>
      <w:pPr>
        <w:ind w:left="420" w:firstLine="412" w:leftChars="200" w:firstLineChars="196"/>
        <w:rPr>
          <w:rFonts w:ascii="宋体" w:hAnsi="宋体" w:hint="eastAsia"/>
        </w:rPr>
      </w:pPr>
      <w:r>
        <w:rPr>
          <w:rFonts w:ascii="宋体" w:hAnsi="宋体" w:hint="eastAsia"/>
        </w:rPr>
        <w:t>1、具有独立承担民事责任的能力；</w:t>
      </w:r>
      <w:r>
        <w:rPr>
          <w:rFonts w:ascii="宋体" w:hAnsi="宋体"/>
        </w:rPr>
        <w:t xml:space="preserve"> </w:t>
      </w:r>
    </w:p>
    <w:p>
      <w:pPr>
        <w:ind w:left="420" w:firstLine="412" w:firstLineChars="196"/>
        <w:rPr>
          <w:rFonts w:ascii="宋体" w:hAnsi="宋体" w:hint="eastAsia"/>
        </w:rPr>
      </w:pPr>
      <w:r>
        <w:rPr>
          <w:rFonts w:ascii="宋体" w:hAnsi="宋体" w:hint="eastAsia"/>
        </w:rPr>
        <w:t>2、有良好的商业信誉和健全的财务会计制度；</w:t>
      </w:r>
      <w:r>
        <w:rPr>
          <w:rFonts w:ascii="宋体" w:hAnsi="宋体"/>
        </w:rPr>
        <w:t xml:space="preserve"> </w:t>
      </w:r>
    </w:p>
    <w:p>
      <w:pPr>
        <w:ind w:left="420" w:firstLine="412" w:leftChars="200" w:firstLineChars="196"/>
        <w:rPr>
          <w:rFonts w:ascii="宋体" w:hAnsi="宋体" w:hint="eastAsia"/>
        </w:rPr>
      </w:pPr>
      <w:r>
        <w:rPr>
          <w:rFonts w:ascii="宋体" w:hAnsi="宋体" w:hint="eastAsia"/>
        </w:rPr>
        <w:t>3、具有履行合同所必需的设备和专业技术能力；</w:t>
      </w:r>
      <w:r>
        <w:rPr>
          <w:rFonts w:ascii="宋体" w:hAnsi="宋体"/>
        </w:rPr>
        <w:t xml:space="preserve"> </w:t>
      </w:r>
    </w:p>
    <w:p>
      <w:pPr>
        <w:ind w:left="420" w:firstLine="412" w:leftChars="200" w:firstLineChars="196"/>
        <w:rPr>
          <w:rFonts w:ascii="宋体" w:hAnsi="宋体" w:hint="eastAsia"/>
        </w:rPr>
      </w:pPr>
      <w:r>
        <w:rPr>
          <w:rFonts w:ascii="宋体" w:hAnsi="宋体" w:hint="eastAsia"/>
        </w:rPr>
        <w:t>4、有依法缴纳税收和社会保障资金的良好记录；</w:t>
      </w:r>
      <w:r>
        <w:rPr>
          <w:rFonts w:ascii="宋体" w:hAnsi="宋体"/>
        </w:rPr>
        <w:t xml:space="preserve"> </w:t>
      </w:r>
    </w:p>
    <w:p>
      <w:pPr>
        <w:ind w:left="420" w:firstLine="412" w:leftChars="200" w:firstLineChars="196"/>
        <w:rPr>
          <w:rFonts w:ascii="宋体" w:hAnsi="宋体" w:hint="eastAsia"/>
        </w:rPr>
      </w:pPr>
      <w:r>
        <w:rPr>
          <w:rFonts w:ascii="宋体" w:hAnsi="宋体" w:hint="eastAsia"/>
        </w:rPr>
        <w:t>5、参加政府采购活动前三年内，在经营活动中没有重大违法记录；</w:t>
      </w:r>
      <w:r>
        <w:rPr>
          <w:rFonts w:ascii="宋体" w:hAnsi="宋体"/>
        </w:rPr>
        <w:t xml:space="preserve"> </w:t>
      </w:r>
    </w:p>
    <w:p>
      <w:pPr>
        <w:ind w:left="420" w:firstLine="412" w:leftChars="200" w:firstLineChars="196"/>
        <w:rPr>
          <w:rFonts w:ascii="宋体" w:hAnsi="宋体" w:hint="eastAsia"/>
        </w:rPr>
      </w:pPr>
      <w:r>
        <w:rPr>
          <w:rFonts w:ascii="宋体" w:hAnsi="宋体" w:hint="eastAsia"/>
        </w:rPr>
        <w:t>6、法律、行政法规规定的其他条件。</w:t>
      </w:r>
      <w:r>
        <w:rPr>
          <w:rFonts w:ascii="宋体" w:hAnsi="宋体"/>
        </w:rPr>
        <w:t xml:space="preserve"> </w:t>
      </w:r>
    </w:p>
    <w:p>
      <w:pPr>
        <w:ind w:firstLine="412" w:firstLineChars="196"/>
        <w:rPr>
          <w:rFonts w:ascii="宋体" w:hAnsi="宋体" w:hint="eastAsia"/>
        </w:rPr>
      </w:pPr>
      <w:r>
        <w:rPr>
          <w:rFonts w:ascii="宋体" w:hAnsi="宋体" w:hint="eastAsia"/>
        </w:rPr>
        <w:t>（2）在投标截止前，投标联合体各方均应注册成政府集中采购机构供应商；</w:t>
      </w:r>
    </w:p>
    <w:p>
      <w:pPr>
        <w:ind w:firstLine="412" w:firstLineChars="196"/>
        <w:rPr>
          <w:rFonts w:ascii="宋体" w:hAnsi="宋体" w:hint="eastAsia"/>
        </w:rPr>
      </w:pPr>
      <w:r>
        <w:rPr>
          <w:rFonts w:ascii="宋体" w:hAnsi="宋体" w:hint="eastAsia"/>
        </w:rPr>
        <w:t>（3）联合体中有同类资质的供应商按照联合体分工承担相同工作的，应当按照资质等级较低的供应商确定资质等级；</w:t>
      </w:r>
    </w:p>
    <w:p>
      <w:pPr>
        <w:ind w:firstLine="412"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2" w:firstLineChars="196"/>
        <w:rPr>
          <w:rFonts w:ascii="宋体" w:hAnsi="宋体" w:hint="eastAsia"/>
        </w:rPr>
      </w:pPr>
      <w:r>
        <w:rPr>
          <w:rFonts w:ascii="宋体" w:hAnsi="宋体" w:hint="eastAsia"/>
        </w:rPr>
        <w:t>（5）投标人的投标文件及中标后签署的合同协议对联合体各方均具法律约束力；</w:t>
      </w:r>
    </w:p>
    <w:p>
      <w:pPr>
        <w:ind w:firstLine="412" w:firstLineChars="196"/>
        <w:rPr>
          <w:rFonts w:ascii="宋体" w:hAnsi="宋体" w:hint="eastAsia"/>
        </w:rPr>
      </w:pPr>
      <w:r>
        <w:rPr>
          <w:rFonts w:ascii="宋体" w:hAnsi="宋体" w:hint="eastAsia"/>
        </w:rPr>
        <w:t>（6）联合体各方应当签订联合体投标协议，明确约定各方拟承担的工作和责任，并将该协议随投标文件一并递交给政府集中采购机构；</w:t>
      </w:r>
    </w:p>
    <w:p>
      <w:pPr>
        <w:ind w:firstLine="412" w:firstLineChars="196"/>
        <w:rPr>
          <w:rFonts w:ascii="宋体" w:hAnsi="宋体" w:hint="eastAsia"/>
        </w:rPr>
      </w:pPr>
      <w:r>
        <w:rPr>
          <w:rFonts w:ascii="宋体" w:hAnsi="宋体" w:hint="eastAsia"/>
        </w:rPr>
        <w:t>（7）联合体中标后，联合体各方应当共同与采购人签订合同，就中标项目向采购人承担连带责任；</w:t>
      </w:r>
    </w:p>
    <w:p>
      <w:pPr>
        <w:ind w:firstLine="412" w:firstLineChars="196"/>
        <w:rPr>
          <w:rFonts w:ascii="宋体" w:hAnsi="宋体" w:hint="eastAsia"/>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2" w:firstLineChars="196"/>
        <w:rPr>
          <w:rFonts w:ascii="宋体" w:hAnsi="宋体" w:hint="eastAsia"/>
          <w:szCs w:val="21"/>
        </w:rPr>
      </w:pPr>
      <w:r>
        <w:rPr>
          <w:rFonts w:ascii="宋体" w:hAnsi="宋体" w:hint="eastAsia"/>
        </w:rPr>
        <w:t>（9）本通用条款中“投标人”一词亦指联合体各方，专用条款另有规定或说明的除外。</w:t>
      </w:r>
    </w:p>
    <w:p>
      <w:pPr>
        <w:rPr>
          <w:rFonts w:ascii="黑体" w:eastAsia="黑体" w:hAnsi="宋体" w:hint="eastAsia"/>
          <w:sz w:val="24"/>
        </w:rPr>
      </w:pPr>
      <w:r>
        <w:rPr>
          <w:rFonts w:ascii="黑体" w:eastAsia="黑体" w:hAnsi="宋体" w:hint="eastAsia"/>
          <w:sz w:val="24"/>
        </w:rPr>
        <w:t>6．政策导向</w:t>
      </w:r>
    </w:p>
    <w:p>
      <w:pPr>
        <w:ind w:firstLine="412" w:firstLineChars="196"/>
        <w:rPr>
          <w:rFonts w:ascii="宋体" w:hAnsi="宋体" w:hint="eastAsia"/>
        </w:rPr>
      </w:pPr>
      <w:r>
        <w:rPr>
          <w:rFonts w:ascii="宋体" w:hAnsi="宋体" w:hint="eastAsia"/>
        </w:rPr>
        <w:t>6.1</w:t>
      </w:r>
      <w:r>
        <w:rPr>
          <w:rFonts w:ascii="宋体" w:hAnsi="宋体"/>
        </w:rPr>
        <w:t xml:space="preserve">  </w:t>
      </w:r>
      <w:r>
        <w:rPr>
          <w:rFonts w:ascii="宋体" w:hAnsi="宋体" w:hint="eastAsia"/>
        </w:rPr>
        <w:t>政府采购扶持贫困地区、中小企业、监狱企业和残疾人福利性单位发展，支持节能减排、环境保护。</w:t>
      </w:r>
    </w:p>
    <w:p>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pPr>
        <w:ind w:firstLine="405"/>
      </w:pPr>
      <w:r>
        <w:rPr>
          <w:rFonts w:ascii="宋体" w:hAnsi="宋体" w:hint="eastAsia"/>
        </w:rPr>
        <w:t>6.3  本项目支持投标人性别平等的相关政策。</w:t>
      </w:r>
    </w:p>
    <w:p>
      <w:pPr>
        <w:rPr>
          <w:rFonts w:ascii="黑体" w:eastAsia="黑体" w:hAnsi="宋体" w:hint="eastAsia"/>
          <w:sz w:val="24"/>
        </w:rPr>
      </w:pPr>
      <w:r>
        <w:rPr>
          <w:rFonts w:ascii="黑体" w:eastAsia="黑体" w:hAnsi="宋体" w:hint="eastAsia"/>
          <w:sz w:val="24"/>
        </w:rPr>
        <w:t>7. 本项目若涉及采购货物，则合格的货物及相应服务应满足以下要求：</w:t>
      </w:r>
    </w:p>
    <w:p>
      <w:pPr>
        <w:ind w:firstLine="412" w:firstLineChars="196"/>
        <w:rPr>
          <w:rFonts w:ascii="宋体" w:hAnsi="宋体" w:hint="eastAsia"/>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pPr>
        <w:ind w:firstLine="412" w:firstLineChars="196"/>
        <w:rPr>
          <w:rFonts w:ascii="宋体" w:hAnsi="宋体" w:hint="eastAsia"/>
        </w:rPr>
      </w:pPr>
      <w:r>
        <w:rPr>
          <w:rFonts w:ascii="宋体" w:hAnsi="宋体" w:hint="eastAsia"/>
        </w:rPr>
        <w:t>7.2  国产的货物及其有关服务必须符合中华人民共和国的设计、制造生产标准及行业标准。招标公告有其他要求的，亦应符合其要求。</w:t>
      </w:r>
    </w:p>
    <w:p>
      <w:pPr>
        <w:ind w:firstLine="412" w:firstLineChars="196"/>
        <w:rPr>
          <w:rFonts w:ascii="宋体" w:hAnsi="宋体" w:hint="eastAsia"/>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2" w:firstLineChars="196"/>
        <w:rPr>
          <w:rFonts w:ascii="宋体" w:hAnsi="宋体" w:hint="eastAsia"/>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52"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pPr>
        <w:ind w:firstLine="412" w:firstLineChars="196"/>
        <w:rPr>
          <w:rFonts w:ascii="宋体" w:hAnsi="宋体" w:hint="eastAsia"/>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2" w:firstLineChars="196"/>
        <w:rPr>
          <w:rFonts w:ascii="宋体" w:hAnsi="宋体" w:hint="eastAsia"/>
        </w:rPr>
      </w:pPr>
      <w:r>
        <w:rPr>
          <w:rFonts w:ascii="宋体" w:hAnsi="宋体" w:hint="eastAsia"/>
        </w:rPr>
        <w:t>7.6  工期要求：投标人在投标时对其所投项目应提交交货进度、交货计划等，在合同规定的时间内完成项目实施工作。</w:t>
      </w:r>
    </w:p>
    <w:p>
      <w:pPr>
        <w:ind w:firstLine="412" w:firstLineChars="196"/>
        <w:rPr>
          <w:rFonts w:ascii="宋体" w:hAnsi="宋体" w:hint="eastAsia"/>
        </w:rPr>
      </w:pPr>
      <w:r>
        <w:rPr>
          <w:rFonts w:ascii="宋体" w:hAnsi="宋体" w:hint="eastAsia"/>
        </w:rPr>
        <w:t>7.7  投标人必须承担的设备运输、安装调试、验收检测和提供设备操作说明书、图纸等其他相关及类似的义务。</w:t>
      </w:r>
    </w:p>
    <w:p>
      <w:pPr>
        <w:rPr>
          <w:rFonts w:ascii="黑体" w:eastAsia="黑体" w:hAnsi="宋体" w:hint="eastAsia"/>
          <w:sz w:val="24"/>
        </w:rPr>
      </w:pPr>
      <w:r>
        <w:rPr>
          <w:rFonts w:ascii="黑体" w:eastAsia="黑体" w:hAnsi="宋体" w:hint="eastAsia"/>
          <w:sz w:val="24"/>
        </w:rPr>
        <w:t>8．投标费用</w:t>
      </w:r>
    </w:p>
    <w:p>
      <w:pPr>
        <w:ind w:firstLine="412" w:firstLineChars="196"/>
        <w:rPr>
          <w:rFonts w:ascii="宋体" w:hAnsi="宋体" w:hint="eastAsia"/>
          <w:szCs w:val="21"/>
        </w:rPr>
      </w:pPr>
      <w:r>
        <w:rPr>
          <w:rFonts w:ascii="宋体" w:hAnsi="宋体" w:hint="eastAsia"/>
          <w:szCs w:val="21"/>
        </w:rPr>
        <w:t>不论投标结果如何，投标人应承担其编制投标文件与递交投标文件所涉及的一切费用。</w:t>
      </w:r>
    </w:p>
    <w:p>
      <w:pPr>
        <w:rPr>
          <w:rFonts w:ascii="黑体" w:eastAsia="黑体" w:hAnsi="宋体" w:hint="eastAsia"/>
          <w:sz w:val="24"/>
        </w:rPr>
      </w:pPr>
      <w:r>
        <w:rPr>
          <w:rFonts w:ascii="黑体" w:eastAsia="黑体" w:hAnsi="宋体" w:hint="eastAsia"/>
          <w:sz w:val="24"/>
        </w:rPr>
        <w:t>9．踏勘现场</w:t>
      </w:r>
    </w:p>
    <w:p>
      <w:pPr>
        <w:ind w:firstLine="412" w:firstLineChars="196"/>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2" w:firstLineChars="196"/>
        <w:rPr>
          <w:rFonts w:ascii="宋体" w:hAnsi="宋体" w:hint="eastAsia"/>
        </w:rPr>
      </w:pPr>
      <w:r>
        <w:rPr>
          <w:rFonts w:ascii="宋体" w:hAnsi="宋体" w:hint="eastAsia"/>
        </w:rPr>
        <w:t>9.2投标人及其人员经过采购人的允许，可以进入采购人的项目现场踏勘。若招标文件要求投标人于统一时间地点踏勘现场的，投标人应当按时前往。</w:t>
      </w:r>
    </w:p>
    <w:p>
      <w:pPr>
        <w:ind w:firstLine="412" w:firstLineChars="196"/>
        <w:rPr>
          <w:rFonts w:ascii="宋体" w:hAnsi="宋体" w:hint="eastAsia"/>
        </w:rPr>
      </w:pPr>
      <w:r>
        <w:rPr>
          <w:rFonts w:ascii="宋体" w:hAnsi="宋体" w:hint="eastAsia"/>
        </w:rPr>
        <w:t>9.3采购人应当通过政府集中采购机构向投标人提供有关现场的书面资料和数据。</w:t>
      </w:r>
    </w:p>
    <w:p>
      <w:pPr>
        <w:ind w:firstLine="412" w:firstLineChars="196"/>
        <w:rPr>
          <w:rFonts w:ascii="宋体" w:hAnsi="宋体" w:hint="eastAsia"/>
        </w:rPr>
      </w:pPr>
      <w:r>
        <w:rPr>
          <w:rFonts w:ascii="宋体" w:hAnsi="宋体" w:hint="eastAsia"/>
        </w:rPr>
        <w:t>9.4任何人或任何组织在踏勘现场时向投标人提供的任何书面资料或口头承诺，未经政府集中采购机构在网上发布或书面通知，均作无效处理。</w:t>
      </w:r>
    </w:p>
    <w:p>
      <w:pPr>
        <w:ind w:firstLine="412" w:firstLineChars="196"/>
        <w:rPr>
          <w:rFonts w:ascii="宋体" w:hAnsi="宋体" w:hint="eastAsia"/>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pPr>
        <w:rPr>
          <w:rFonts w:ascii="宋体" w:hAnsi="宋体" w:hint="eastAsia"/>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pPr>
        <w:ind w:firstLine="412" w:firstLineChars="196"/>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2" w:firstLineChars="196"/>
        <w:rPr>
          <w:rFonts w:ascii="宋体" w:hAnsi="宋体" w:hint="eastAsia"/>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pPr>
        <w:ind w:firstLine="412" w:firstLineChars="196"/>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p>
      <w:pPr>
        <w:ind w:firstLine="412" w:firstLineChars="196"/>
        <w:rPr>
          <w:rFonts w:ascii="宋体" w:hAnsi="宋体" w:hint="eastAsia"/>
        </w:rPr>
      </w:pPr>
      <w:bookmarkEnd w:id="51"/>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招标文件</w:t>
      </w:r>
    </w:p>
    <w:p>
      <w:pPr>
        <w:rPr>
          <w:rFonts w:ascii="黑体" w:eastAsia="黑体" w:hAnsi="宋体" w:hint="eastAsia"/>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53" w:name="_Hlk72399819"/>
      <w:r>
        <w:rPr>
          <w:rFonts w:ascii="黑体" w:eastAsia="黑体" w:hAnsi="宋体" w:hint="eastAsia"/>
          <w:sz w:val="24"/>
        </w:rPr>
        <w:t>招标文件的编制与组成</w:t>
      </w:r>
    </w:p>
    <w:p>
      <w:pPr>
        <w:snapToGrid w:val="0"/>
        <w:ind w:firstLine="420" w:firstLineChars="20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pPr>
        <w:ind w:firstLine="412" w:firstLineChars="196"/>
        <w:rPr>
          <w:rFonts w:ascii="宋体" w:hAnsi="宋体" w:hint="eastAsia"/>
          <w:szCs w:val="21"/>
        </w:rPr>
      </w:pPr>
      <w:r>
        <w:rPr>
          <w:rFonts w:ascii="宋体" w:hAnsi="宋体" w:hint="eastAsia"/>
          <w:szCs w:val="21"/>
        </w:rPr>
        <w:t>招标文件包括下列内容：</w:t>
      </w:r>
    </w:p>
    <w:p>
      <w:pPr>
        <w:ind w:left="420" w:firstLine="412" w:leftChars="200" w:firstLineChars="196"/>
        <w:rPr>
          <w:rFonts w:ascii="宋体" w:hAnsi="宋体" w:hint="eastAsia"/>
          <w:b/>
          <w:szCs w:val="21"/>
        </w:rPr>
      </w:pPr>
      <w:r>
        <w:rPr>
          <w:rFonts w:ascii="宋体" w:hAnsi="宋体" w:hint="eastAsia"/>
          <w:b/>
          <w:szCs w:val="21"/>
        </w:rPr>
        <w:t>第一册  专用条款</w:t>
      </w:r>
    </w:p>
    <w:p>
      <w:pPr>
        <w:ind w:left="1079" w:leftChars="514"/>
        <w:rPr>
          <w:rFonts w:ascii="宋体" w:hAnsi="宋体" w:hint="eastAsia"/>
          <w:b/>
          <w:szCs w:val="21"/>
        </w:rPr>
      </w:pPr>
      <w:r>
        <w:rPr>
          <w:rFonts w:ascii="宋体" w:hAnsi="宋体" w:hint="eastAsia"/>
          <w:b/>
          <w:szCs w:val="21"/>
        </w:rPr>
        <w:t>关键信息</w:t>
      </w:r>
    </w:p>
    <w:p>
      <w:pPr>
        <w:ind w:left="630" w:firstLine="412" w:leftChars="300" w:firstLineChars="196"/>
        <w:rPr>
          <w:rFonts w:ascii="宋体" w:hAnsi="宋体" w:hint="eastAsia"/>
          <w:szCs w:val="21"/>
        </w:rPr>
      </w:pPr>
      <w:r>
        <w:rPr>
          <w:rFonts w:ascii="宋体" w:hAnsi="宋体" w:hint="eastAsia"/>
          <w:szCs w:val="21"/>
        </w:rPr>
        <w:t>第一章  招标公告</w:t>
      </w:r>
    </w:p>
    <w:p>
      <w:pPr>
        <w:ind w:left="630" w:firstLine="412" w:leftChars="300" w:firstLineChars="196"/>
        <w:rPr>
          <w:rFonts w:ascii="宋体" w:hAnsi="宋体" w:hint="eastAsia"/>
          <w:szCs w:val="21"/>
        </w:rPr>
      </w:pPr>
      <w:r>
        <w:rPr>
          <w:rFonts w:ascii="宋体" w:hAnsi="宋体" w:hint="eastAsia"/>
          <w:szCs w:val="21"/>
        </w:rPr>
        <w:t>第二章  对通用条款的补充内容及其他关键信息</w:t>
      </w:r>
    </w:p>
    <w:p>
      <w:pPr>
        <w:ind w:left="630" w:firstLine="412" w:leftChars="300" w:firstLineChars="196"/>
        <w:rPr>
          <w:rFonts w:ascii="宋体" w:hAnsi="宋体" w:hint="eastAsia"/>
          <w:szCs w:val="21"/>
        </w:rPr>
      </w:pPr>
      <w:r>
        <w:rPr>
          <w:rFonts w:ascii="宋体" w:hAnsi="宋体" w:hint="eastAsia"/>
          <w:szCs w:val="21"/>
        </w:rPr>
        <w:t>第三章  用户需求书</w:t>
      </w:r>
    </w:p>
    <w:p>
      <w:pPr>
        <w:ind w:left="630" w:firstLine="412" w:leftChars="300" w:firstLineChars="196"/>
        <w:rPr>
          <w:rFonts w:ascii="宋体" w:hAnsi="宋体" w:hint="eastAsia"/>
          <w:szCs w:val="21"/>
        </w:rPr>
      </w:pPr>
      <w:r>
        <w:rPr>
          <w:rFonts w:hint="eastAsia"/>
        </w:rPr>
        <w:t xml:space="preserve">第四章 </w:t>
      </w:r>
      <w:r>
        <w:t xml:space="preserve"> </w:t>
      </w:r>
      <w:r>
        <w:rPr>
          <w:rFonts w:hint="eastAsia"/>
        </w:rPr>
        <w:t>投标文件格式及附件</w:t>
      </w:r>
    </w:p>
    <w:p>
      <w:pPr>
        <w:ind w:left="630" w:firstLine="412" w:leftChars="300" w:firstLineChars="196"/>
        <w:rPr>
          <w:rFonts w:ascii="宋体" w:hAnsi="宋体" w:hint="eastAsia"/>
          <w:szCs w:val="21"/>
        </w:rPr>
      </w:pPr>
      <w:r>
        <w:rPr>
          <w:rFonts w:ascii="宋体" w:hAnsi="宋体" w:hint="eastAsia"/>
          <w:szCs w:val="21"/>
        </w:rPr>
        <w:t>第五章  合同条款及格式</w:t>
      </w:r>
    </w:p>
    <w:p>
      <w:pPr>
        <w:ind w:left="420" w:firstLine="412" w:leftChars="200" w:firstLineChars="196"/>
        <w:rPr>
          <w:rFonts w:ascii="宋体" w:hAnsi="宋体" w:hint="eastAsia"/>
          <w:b/>
          <w:szCs w:val="21"/>
        </w:rPr>
      </w:pPr>
      <w:r>
        <w:rPr>
          <w:rFonts w:ascii="宋体" w:hAnsi="宋体" w:hint="eastAsia"/>
          <w:b/>
          <w:szCs w:val="21"/>
        </w:rPr>
        <w:t>第二册  通用条款</w:t>
      </w:r>
    </w:p>
    <w:p>
      <w:pPr>
        <w:ind w:left="630" w:firstLine="412" w:leftChars="300" w:firstLineChars="196"/>
        <w:rPr>
          <w:rFonts w:ascii="宋体" w:hAnsi="宋体" w:hint="eastAsia"/>
          <w:szCs w:val="21"/>
        </w:rPr>
      </w:pPr>
      <w:r>
        <w:rPr>
          <w:rFonts w:ascii="宋体" w:hAnsi="宋体" w:hint="eastAsia"/>
          <w:szCs w:val="21"/>
        </w:rPr>
        <w:t>第一章  总则</w:t>
      </w:r>
    </w:p>
    <w:p>
      <w:pPr>
        <w:ind w:left="630" w:firstLine="412" w:leftChars="300" w:firstLineChars="196"/>
        <w:rPr>
          <w:rFonts w:ascii="宋体" w:hAnsi="宋体" w:hint="eastAsia"/>
          <w:szCs w:val="21"/>
        </w:rPr>
      </w:pPr>
      <w:r>
        <w:rPr>
          <w:rFonts w:ascii="宋体" w:hAnsi="宋体" w:hint="eastAsia"/>
          <w:szCs w:val="21"/>
        </w:rPr>
        <w:t>第二章  招标文件</w:t>
      </w:r>
    </w:p>
    <w:p>
      <w:pPr>
        <w:ind w:left="630" w:firstLine="412" w:leftChars="300" w:firstLineChars="196"/>
        <w:rPr>
          <w:rFonts w:ascii="宋体" w:hAnsi="宋体" w:hint="eastAsia"/>
          <w:szCs w:val="21"/>
        </w:rPr>
      </w:pPr>
      <w:r>
        <w:rPr>
          <w:rFonts w:ascii="宋体" w:hAnsi="宋体" w:hint="eastAsia"/>
          <w:szCs w:val="21"/>
        </w:rPr>
        <w:t>第三章  投标文件的编制</w:t>
      </w:r>
    </w:p>
    <w:p>
      <w:pPr>
        <w:ind w:left="630" w:firstLine="412" w:leftChars="300" w:firstLineChars="196"/>
        <w:rPr>
          <w:rFonts w:ascii="宋体" w:hAnsi="宋体" w:hint="eastAsia"/>
          <w:szCs w:val="21"/>
        </w:rPr>
      </w:pPr>
      <w:r>
        <w:rPr>
          <w:rFonts w:ascii="宋体" w:hAnsi="宋体" w:hint="eastAsia"/>
          <w:szCs w:val="21"/>
        </w:rPr>
        <w:t>第四章  投标文件的递交</w:t>
      </w:r>
    </w:p>
    <w:p>
      <w:pPr>
        <w:ind w:left="630" w:firstLine="412" w:leftChars="300" w:firstLineChars="196"/>
        <w:rPr>
          <w:rFonts w:ascii="宋体" w:hAnsi="宋体" w:hint="eastAsia"/>
          <w:szCs w:val="21"/>
        </w:rPr>
      </w:pPr>
      <w:r>
        <w:rPr>
          <w:rFonts w:ascii="宋体" w:hAnsi="宋体" w:hint="eastAsia"/>
          <w:szCs w:val="21"/>
        </w:rPr>
        <w:t>第五章  开标</w:t>
      </w:r>
    </w:p>
    <w:p>
      <w:pPr>
        <w:ind w:left="630" w:firstLine="412" w:leftChars="300" w:firstLineChars="196"/>
        <w:rPr>
          <w:rFonts w:ascii="宋体" w:hAnsi="宋体" w:hint="eastAsia"/>
          <w:szCs w:val="21"/>
        </w:rPr>
      </w:pPr>
      <w:r>
        <w:rPr>
          <w:rFonts w:ascii="宋体" w:hAnsi="宋体" w:hint="eastAsia"/>
          <w:szCs w:val="21"/>
        </w:rPr>
        <w:t>第六章  评审要求</w:t>
      </w:r>
    </w:p>
    <w:p>
      <w:pPr>
        <w:ind w:left="630" w:firstLine="412" w:leftChars="300" w:firstLineChars="196"/>
        <w:rPr>
          <w:rFonts w:ascii="宋体" w:hAnsi="宋体" w:hint="eastAsia"/>
          <w:szCs w:val="21"/>
        </w:rPr>
      </w:pPr>
      <w:r>
        <w:rPr>
          <w:rFonts w:ascii="宋体" w:hAnsi="宋体" w:hint="eastAsia"/>
          <w:szCs w:val="21"/>
        </w:rPr>
        <w:t>第七章  评审程序及评审方法</w:t>
      </w:r>
    </w:p>
    <w:p>
      <w:pPr>
        <w:ind w:left="630" w:firstLine="412" w:leftChars="300" w:firstLineChars="196"/>
        <w:rPr>
          <w:rFonts w:ascii="宋体" w:hAnsi="宋体" w:hint="eastAsia"/>
          <w:szCs w:val="21"/>
        </w:rPr>
      </w:pPr>
      <w:r>
        <w:rPr>
          <w:rFonts w:ascii="宋体" w:hAnsi="宋体" w:hint="eastAsia"/>
          <w:szCs w:val="21"/>
        </w:rPr>
        <w:t>第八章  定标及公示</w:t>
      </w:r>
    </w:p>
    <w:p>
      <w:pPr>
        <w:ind w:left="630" w:firstLine="412" w:leftChars="300" w:firstLineChars="196"/>
        <w:rPr>
          <w:rFonts w:ascii="宋体" w:hAnsi="宋体" w:hint="eastAsia"/>
          <w:szCs w:val="21"/>
        </w:rPr>
      </w:pPr>
      <w:r>
        <w:rPr>
          <w:rFonts w:ascii="宋体" w:hAnsi="宋体" w:hint="eastAsia"/>
          <w:szCs w:val="21"/>
        </w:rPr>
        <w:t>第九章  公开招标失败的后续处理</w:t>
      </w:r>
    </w:p>
    <w:p>
      <w:pPr>
        <w:ind w:left="630" w:firstLine="412" w:leftChars="300" w:firstLineChars="196"/>
        <w:rPr>
          <w:rFonts w:ascii="宋体" w:hAnsi="宋体" w:hint="eastAsia"/>
          <w:szCs w:val="21"/>
        </w:rPr>
      </w:pPr>
      <w:r>
        <w:rPr>
          <w:rFonts w:ascii="宋体" w:hAnsi="宋体" w:hint="eastAsia"/>
          <w:szCs w:val="21"/>
        </w:rPr>
        <w:t>第十章  合同的授予与备案</w:t>
      </w:r>
    </w:p>
    <w:p>
      <w:pPr>
        <w:ind w:left="630" w:firstLine="412" w:leftChars="300" w:firstLineChars="196"/>
        <w:rPr>
          <w:rFonts w:ascii="宋体" w:hAnsi="宋体" w:hint="eastAsia"/>
          <w:szCs w:val="21"/>
        </w:rPr>
      </w:pPr>
      <w:r>
        <w:rPr>
          <w:rFonts w:ascii="宋体" w:hAnsi="宋体" w:hint="eastAsia"/>
          <w:szCs w:val="21"/>
        </w:rPr>
        <w:t>第十一章  质疑处理</w:t>
      </w:r>
    </w:p>
    <w:p>
      <w:pPr>
        <w:ind w:firstLine="412" w:firstLineChars="196"/>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2" w:firstLineChars="196"/>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eastAsia="黑体" w:hAnsi="宋体" w:hint="eastAsia"/>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pPr>
        <w:ind w:firstLine="412" w:firstLineChars="196"/>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pPr>
        <w:ind w:firstLine="412" w:firstLineChars="196"/>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pPr>
        <w:ind w:firstLine="412" w:firstLineChars="196"/>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pPr>
        <w:rPr>
          <w:rFonts w:ascii="黑体" w:eastAsia="黑体" w:hAnsi="宋体" w:hint="eastAsia"/>
          <w:sz w:val="24"/>
        </w:rPr>
      </w:pPr>
      <w:r>
        <w:rPr>
          <w:rFonts w:ascii="黑体" w:eastAsia="黑体" w:hAnsi="宋体"/>
          <w:sz w:val="24"/>
        </w:rPr>
        <w:t>1</w:t>
      </w:r>
      <w:r>
        <w:rPr>
          <w:rFonts w:ascii="黑体" w:eastAsia="黑体" w:hAnsi="宋体" w:hint="eastAsia"/>
          <w:sz w:val="24"/>
        </w:rPr>
        <w:t>3．招标文件的修改</w:t>
      </w:r>
    </w:p>
    <w:p>
      <w:pPr>
        <w:ind w:firstLine="412" w:firstLineChars="196"/>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pPr>
        <w:ind w:firstLine="412" w:firstLineChars="196"/>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pPr>
        <w:ind w:firstLine="412" w:firstLineChars="196"/>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2" w:firstLineChars="196"/>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pPr>
        <w:rPr>
          <w:rFonts w:ascii="宋体" w:hAnsi="宋体" w:hint="eastAsia"/>
          <w:szCs w:val="21"/>
        </w:rPr>
      </w:pPr>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投标文件的编制</w:t>
      </w:r>
    </w:p>
    <w:p>
      <w:pPr>
        <w:rPr>
          <w:rFonts w:ascii="黑体" w:eastAsia="黑体" w:hAnsi="宋体" w:hint="eastAsia"/>
          <w:sz w:val="24"/>
        </w:rPr>
      </w:pPr>
      <w:r>
        <w:rPr>
          <w:rFonts w:ascii="黑体" w:eastAsia="黑体" w:hAnsi="宋体" w:hint="eastAsia"/>
          <w:sz w:val="24"/>
        </w:rPr>
        <w:t>14．</w:t>
      </w:r>
      <w:bookmarkStart w:id="54" w:name="_Hlk72400236"/>
      <w:r>
        <w:rPr>
          <w:rFonts w:ascii="黑体" w:eastAsia="黑体" w:hAnsi="宋体" w:hint="eastAsia"/>
          <w:sz w:val="24"/>
        </w:rPr>
        <w:t>投标文件的语言及度量单位</w:t>
      </w:r>
    </w:p>
    <w:p>
      <w:pPr>
        <w:ind w:firstLine="412" w:firstLineChars="196"/>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2" w:firstLineChars="196"/>
        <w:rPr>
          <w:rFonts w:ascii="宋体" w:hAnsi="宋体" w:hint="eastAsia"/>
          <w:szCs w:val="21"/>
        </w:rPr>
      </w:pPr>
      <w:r>
        <w:rPr>
          <w:rFonts w:ascii="宋体" w:hAnsi="宋体" w:hint="eastAsia"/>
          <w:szCs w:val="21"/>
        </w:rPr>
        <w:t>14.2 除技术规范另有规定外，投标文件使用的度量单位，均采用中华人民共和国法定计量单位。</w:t>
      </w:r>
    </w:p>
    <w:p>
      <w:pPr>
        <w:rPr>
          <w:rFonts w:ascii="黑体" w:eastAsia="黑体" w:hAnsi="宋体" w:hint="eastAsia"/>
          <w:sz w:val="24"/>
        </w:rPr>
      </w:pPr>
      <w:bookmarkEnd w:id="54"/>
      <w:r>
        <w:rPr>
          <w:rFonts w:ascii="黑体" w:eastAsia="黑体" w:hAnsi="宋体" w:hint="eastAsia"/>
          <w:sz w:val="24"/>
        </w:rPr>
        <w:t>15．</w:t>
      </w:r>
      <w:bookmarkStart w:id="55" w:name="_Hlk72401567"/>
      <w:r>
        <w:rPr>
          <w:rFonts w:ascii="黑体" w:eastAsia="黑体" w:hAnsi="宋体" w:hint="eastAsia"/>
          <w:sz w:val="24"/>
        </w:rPr>
        <w:t>投标文件的组成</w:t>
      </w:r>
    </w:p>
    <w:p>
      <w:pPr>
        <w:ind w:firstLine="412" w:firstLineChars="196"/>
        <w:rPr>
          <w:rFonts w:ascii="宋体" w:hAnsi="宋体" w:hint="eastAsia"/>
          <w:szCs w:val="21"/>
        </w:rPr>
      </w:pPr>
      <w:r>
        <w:rPr>
          <w:rFonts w:ascii="宋体" w:hAnsi="宋体" w:hint="eastAsia"/>
          <w:szCs w:val="21"/>
        </w:rPr>
        <w:t>具体内容在招标文件专用条款中进行规定。</w:t>
      </w:r>
    </w:p>
    <w:p>
      <w:pPr>
        <w:rPr>
          <w:rFonts w:ascii="黑体" w:eastAsia="黑体" w:hAnsi="宋体" w:hint="eastAsia"/>
          <w:sz w:val="24"/>
        </w:rPr>
      </w:pPr>
      <w:r>
        <w:rPr>
          <w:rFonts w:ascii="黑体" w:eastAsia="黑体" w:hAnsi="宋体"/>
          <w:sz w:val="24"/>
        </w:rPr>
        <w:t>16．投标文件格式</w:t>
      </w:r>
    </w:p>
    <w:p>
      <w:pPr>
        <w:ind w:firstLine="412" w:firstLineChars="196"/>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pPr>
        <w:rPr>
          <w:rFonts w:ascii="黑体" w:eastAsia="黑体" w:hAnsi="宋体" w:hint="eastAsia"/>
          <w:sz w:val="24"/>
        </w:rPr>
      </w:pPr>
      <w:r>
        <w:rPr>
          <w:rFonts w:ascii="黑体" w:eastAsia="黑体" w:hAnsi="宋体" w:hint="eastAsia"/>
          <w:sz w:val="24"/>
        </w:rPr>
        <w:t>17．投标货币</w:t>
      </w:r>
    </w:p>
    <w:p>
      <w:pPr>
        <w:ind w:firstLine="412" w:firstLineChars="196"/>
        <w:rPr>
          <w:rFonts w:ascii="宋体" w:hAnsi="宋体" w:hint="eastAsia"/>
          <w:szCs w:val="21"/>
        </w:rPr>
      </w:pPr>
      <w:r>
        <w:rPr>
          <w:rFonts w:ascii="宋体" w:hAnsi="宋体" w:hint="eastAsia"/>
          <w:szCs w:val="21"/>
        </w:rPr>
        <w:t>本项目的投标报价应以人民币计。</w:t>
      </w:r>
    </w:p>
    <w:p>
      <w:pPr>
        <w:rPr>
          <w:rFonts w:ascii="黑体" w:eastAsia="黑体" w:hAnsi="宋体" w:hint="eastAsia"/>
          <w:sz w:val="24"/>
        </w:rPr>
      </w:pPr>
      <w:bookmarkEnd w:id="55"/>
      <w:r>
        <w:rPr>
          <w:rFonts w:ascii="黑体" w:eastAsia="黑体" w:hAnsi="宋体" w:hint="eastAsia"/>
          <w:sz w:val="24"/>
        </w:rPr>
        <w:t>18．</w:t>
      </w:r>
      <w:bookmarkStart w:id="56" w:name="_Hlk72401735"/>
      <w:r>
        <w:rPr>
          <w:rFonts w:ascii="黑体" w:eastAsia="黑体" w:hAnsi="宋体" w:hint="eastAsia"/>
          <w:sz w:val="24"/>
        </w:rPr>
        <w:t>证明投标文件投标技术方案的合格性和符合招标文件规定的文件要求</w:t>
      </w:r>
    </w:p>
    <w:p>
      <w:pPr>
        <w:ind w:firstLine="412" w:firstLineChars="196"/>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pPr>
        <w:ind w:firstLine="412" w:firstLineChars="196"/>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2" w:firstLineChars="196"/>
        <w:rPr>
          <w:rFonts w:ascii="宋体" w:hAnsi="宋体" w:hint="eastAsia"/>
          <w:szCs w:val="21"/>
        </w:rPr>
      </w:pPr>
      <w:r>
        <w:rPr>
          <w:rFonts w:ascii="宋体" w:hAnsi="宋体" w:hint="eastAsia"/>
          <w:szCs w:val="21"/>
        </w:rPr>
        <w:t>18.2.1主要技术指标和性能的详细说明。</w:t>
      </w:r>
    </w:p>
    <w:p>
      <w:pPr>
        <w:ind w:firstLine="412" w:firstLineChars="196"/>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pPr>
        <w:ind w:firstLine="412" w:firstLineChars="196"/>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2" w:firstLineChars="196"/>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pPr>
        <w:ind w:firstLine="412" w:firstLineChars="196"/>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2" w:firstLineChars="196"/>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pPr>
        <w:ind w:firstLine="412" w:firstLineChars="196"/>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pPr>
        <w:ind w:firstLine="412" w:firstLineChars="196"/>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p>
      <w:pPr>
        <w:rPr>
          <w:rFonts w:ascii="黑体" w:eastAsia="黑体" w:hAnsi="宋体" w:hint="eastAsia"/>
          <w:sz w:val="24"/>
        </w:rPr>
      </w:pPr>
      <w:bookmarkEnd w:id="56"/>
      <w:r>
        <w:rPr>
          <w:rFonts w:ascii="黑体" w:eastAsia="黑体" w:hAnsi="宋体" w:hint="eastAsia"/>
          <w:sz w:val="24"/>
        </w:rPr>
        <w:t>19．</w:t>
      </w:r>
      <w:bookmarkStart w:id="57" w:name="_Hlk72402034"/>
      <w:r>
        <w:rPr>
          <w:rFonts w:ascii="黑体" w:eastAsia="黑体" w:hAnsi="宋体" w:hint="eastAsia"/>
          <w:sz w:val="24"/>
        </w:rPr>
        <w:t>投标文件其他证明文件的要求</w:t>
      </w:r>
    </w:p>
    <w:p>
      <w:pPr>
        <w:rPr>
          <w:rFonts w:ascii="宋体" w:hAnsi="宋体" w:hint="eastAsia"/>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w:t>
      </w:r>
      <w:bookmarkStart w:id="58" w:name="_Hlk71407299"/>
      <w:r>
        <w:rPr>
          <w:rFonts w:ascii="宋体" w:hAnsi="宋体" w:hint="eastAsia"/>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pPr>
        <w:ind w:firstLine="412" w:firstLineChars="196"/>
        <w:rPr>
          <w:rFonts w:ascii="宋体" w:hAnsi="宋体" w:hint="eastAsia"/>
          <w:szCs w:val="21"/>
        </w:rPr>
      </w:pPr>
      <w:bookmarkEnd w:id="58"/>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eastAsia="黑体" w:hAnsi="宋体" w:hint="eastAsia"/>
          <w:sz w:val="24"/>
        </w:rPr>
      </w:pPr>
      <w:r>
        <w:rPr>
          <w:rFonts w:ascii="黑体" w:eastAsia="黑体" w:hAnsi="宋体" w:hint="eastAsia"/>
          <w:sz w:val="24"/>
        </w:rPr>
        <w:t>20．投标有效期</w:t>
      </w:r>
    </w:p>
    <w:p>
      <w:pPr>
        <w:ind w:firstLine="412" w:firstLineChars="196"/>
        <w:rPr>
          <w:rFonts w:ascii="宋体" w:hAnsi="宋体" w:hint="eastAsia"/>
          <w:szCs w:val="21"/>
        </w:rPr>
      </w:pPr>
      <w:bookmarkEnd w:id="57"/>
      <w:bookmarkStart w:id="59" w:name="_Hlk7240221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pPr>
        <w:ind w:firstLine="412" w:firstLineChars="196"/>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2" w:firstLineChars="196"/>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p>
      <w:pPr>
        <w:rPr>
          <w:rFonts w:ascii="黑体" w:eastAsia="黑体" w:hAnsi="宋体" w:hint="eastAsia"/>
          <w:sz w:val="24"/>
        </w:rPr>
      </w:pPr>
      <w:bookmarkEnd w:id="59"/>
      <w:r>
        <w:rPr>
          <w:rFonts w:ascii="黑体" w:eastAsia="黑体" w:hAnsi="宋体" w:hint="eastAsia"/>
          <w:sz w:val="24"/>
        </w:rPr>
        <w:t>21．</w:t>
      </w:r>
      <w:bookmarkStart w:id="60" w:name="_Hlk72402325"/>
      <w:r>
        <w:rPr>
          <w:rFonts w:ascii="黑体" w:eastAsia="黑体" w:hAnsi="宋体" w:hint="eastAsia"/>
          <w:sz w:val="24"/>
        </w:rPr>
        <w:t xml:space="preserve">关于投标保证金 </w:t>
      </w:r>
    </w:p>
    <w:p>
      <w:pPr>
        <w:rPr>
          <w:rFonts w:ascii="宋体" w:hAnsi="宋体" w:hint="eastAsia"/>
          <w:szCs w:val="21"/>
        </w:rPr>
      </w:pPr>
      <w:r>
        <w:rPr>
          <w:rFonts w:ascii="宋体" w:hAnsi="宋体" w:hint="eastAsia"/>
          <w:szCs w:val="21"/>
        </w:rPr>
        <w:t xml:space="preserve">    21.1 </w:t>
      </w:r>
      <w:r>
        <w:rPr>
          <w:rFonts w:hint="eastAsia"/>
        </w:rPr>
        <w:t>根据《深圳市财政局关于调整政府采购投标（响应）保证金管理政策的通知》（深财购〔2021〕51号）文的规定，本项目不收取投标保证金。</w:t>
      </w:r>
    </w:p>
    <w:p>
      <w:pPr>
        <w:rPr>
          <w:rFonts w:ascii="黑体" w:eastAsia="黑体" w:hAnsi="宋体" w:hint="eastAsia"/>
          <w:sz w:val="24"/>
        </w:rPr>
      </w:pPr>
      <w:r>
        <w:rPr>
          <w:rFonts w:ascii="黑体" w:eastAsia="黑体" w:hAnsi="宋体" w:hint="eastAsia"/>
          <w:sz w:val="24"/>
        </w:rPr>
        <w:t>22．投标人的替代方案</w:t>
      </w:r>
    </w:p>
    <w:p>
      <w:pPr>
        <w:ind w:firstLine="412" w:firstLineChars="196"/>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2" w:firstLineChars="196"/>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eastAsia="黑体" w:hAnsi="宋体" w:hint="eastAsia"/>
          <w:sz w:val="24"/>
        </w:rPr>
      </w:pPr>
      <w:bookmarkEnd w:id="60"/>
      <w:r>
        <w:rPr>
          <w:rFonts w:ascii="黑体" w:eastAsia="黑体" w:hAnsi="宋体" w:hint="eastAsia"/>
          <w:sz w:val="24"/>
        </w:rPr>
        <w:t>23．</w:t>
      </w:r>
      <w:bookmarkStart w:id="61"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pPr>
        <w:ind w:firstLine="412" w:firstLineChars="196"/>
        <w:rPr>
          <w:rFonts w:ascii="宋体" w:hAnsi="宋体" w:hint="eastAsia"/>
        </w:rPr>
      </w:pPr>
      <w:r>
        <w:rPr>
          <w:rFonts w:ascii="宋体" w:hAnsi="宋体" w:hint="eastAsia"/>
        </w:rPr>
        <w:t>23.1投标人应准备所投项目的电子投标文件一份。此电子投标文件须由投标人根据政府集中采购机构提供的后缀名为.</w:t>
      </w:r>
      <w:r>
        <w:rPr>
          <w:rFonts w:ascii="宋体" w:hAnsi="宋体"/>
        </w:rPr>
        <w:t>szczf</w:t>
      </w:r>
      <w:r>
        <w:rPr>
          <w:rFonts w:ascii="宋体" w:hAnsi="宋体" w:hint="eastAsia"/>
        </w:rPr>
        <w:t>的电子招标文件，下载并使用相应的深圳智慧采购平台投标文件制作专用软件打开招标文件（.szczf格式）【下载地址：</w:t>
      </w:r>
      <w:r>
        <w:rPr>
          <w:rFonts w:ascii="宋体" w:hAnsi="宋体"/>
        </w:rPr>
        <w:t>http://zfcg.szggzy.com:8081/cgxy/013002/list.html</w:t>
      </w:r>
      <w:r>
        <w:rPr>
          <w:rFonts w:ascii="宋体" w:hAnsi="宋体" w:hint="eastAsia"/>
        </w:rPr>
        <w:t>深圳智慧采购平台投标文件制作专用软件.zip】。</w:t>
      </w:r>
    </w:p>
    <w:p>
      <w:pPr>
        <w:ind w:firstLine="412" w:firstLineChars="196"/>
        <w:rPr>
          <w:rFonts w:ascii="宋体" w:hAnsi="宋体" w:hint="eastAsia"/>
        </w:rPr>
      </w:pPr>
      <w:r>
        <w:rPr>
          <w:rFonts w:ascii="宋体" w:hAnsi="宋体" w:hint="eastAsia"/>
        </w:rPr>
        <w:t>23.2投标人在使用《投标书编制软件》编制投标书时须注意：</w:t>
      </w:r>
    </w:p>
    <w:p>
      <w:pPr>
        <w:ind w:firstLine="412" w:firstLineChars="196"/>
        <w:rPr>
          <w:rFonts w:ascii="宋体" w:hAnsi="宋体" w:hint="eastAsia"/>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pPr>
        <w:ind w:firstLine="412" w:firstLineChars="196"/>
        <w:rPr>
          <w:rFonts w:ascii="宋体" w:hAnsi="宋体" w:hint="eastAsia"/>
        </w:rPr>
      </w:pPr>
      <w:r>
        <w:rPr>
          <w:rFonts w:ascii="宋体" w:hAnsi="宋体" w:hint="eastAsia"/>
        </w:rPr>
        <w:t>23.2.2不能用非本公司的电子密钥加密本公司的投标文件，或者用其它公司的登录用户上传本公司的投标文件。</w:t>
      </w:r>
    </w:p>
    <w:p>
      <w:pPr>
        <w:ind w:firstLine="412" w:firstLineChars="196"/>
        <w:rPr>
          <w:rFonts w:ascii="宋体" w:hAnsi="宋体" w:hint="eastAsia"/>
        </w:rPr>
      </w:pPr>
      <w:r>
        <w:rPr>
          <w:rFonts w:ascii="宋体" w:hAnsi="宋体" w:hint="eastAsia"/>
        </w:rPr>
        <w:t>23.2.3要求用《投标书编制软件》编制投标书的包，不能用其它方式编制投标书。编制投标文件时，电脑须连通互联网。</w:t>
      </w:r>
    </w:p>
    <w:p>
      <w:pPr>
        <w:ind w:firstLine="412" w:firstLineChars="196"/>
        <w:rPr>
          <w:rFonts w:ascii="宋体" w:hAnsi="宋体" w:hint="eastAsia"/>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pPr>
        <w:ind w:firstLine="412" w:firstLineChars="196"/>
        <w:rPr>
          <w:rFonts w:ascii="宋体" w:hAnsi="宋体" w:hint="eastAsia"/>
        </w:rPr>
      </w:pPr>
      <w:r>
        <w:rPr>
          <w:rFonts w:ascii="宋体" w:hAnsi="宋体" w:hint="eastAsia"/>
        </w:rPr>
        <w:t>23.2.5完整填写“投标关键信息”，如下图所示：</w:t>
      </w:r>
    </w:p>
    <w:p>
      <w:pPr>
        <w:ind w:firstLine="412" w:firstLineChars="196"/>
        <w:rPr>
          <w:rFonts w:ascii="宋体" w:hAnsi="宋体" w:hint="eastAsia"/>
        </w:rPr>
      </w:pPr>
      <w:r>
        <w:rPr>
          <w:rFonts w:ascii="宋体" w:hAnsi="宋体"/>
        </w:rPr>
        <w:drawing>
          <wp:inline distT="0" distB="0" distL="0" distR="0">
            <wp:extent cx="5279390" cy="2719070"/>
            <wp:effectExtent l="0" t="0" r="3810" b="11430"/>
            <wp:docPr id="7"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图形用户界面, 应用程序&#10;&#10;描述已自动生成"/>
                    <pic:cNvPicPr>
                      <a:picLocks noChangeAspect="1" noChangeArrowheads="1"/>
                    </pic:cNvPicPr>
                  </pic:nvPicPr>
                  <pic:blipFill>
                    <a:blip xmlns:r="http://schemas.openxmlformats.org/officeDocument/2006/relationships" r:embed="rId8"/>
                    <a:stretch>
                      <a:fillRect/>
                    </a:stretch>
                  </pic:blipFill>
                  <pic:spPr>
                    <a:xfrm>
                      <a:off x="0" y="0"/>
                      <a:ext cx="5279390" cy="2719070"/>
                    </a:xfrm>
                    <a:prstGeom prst="rect">
                      <a:avLst/>
                    </a:prstGeom>
                    <a:noFill/>
                    <a:ln w="9525">
                      <a:noFill/>
                      <a:miter lim="800000"/>
                      <a:headEnd/>
                      <a:tailEnd/>
                    </a:ln>
                  </pic:spPr>
                </pic:pic>
              </a:graphicData>
            </a:graphic>
          </wp:inline>
        </w:drawing>
      </w:r>
    </w:p>
    <w:p>
      <w:pPr>
        <w:widowControl/>
        <w:jc w:val="left"/>
        <w:rPr>
          <w:rFonts w:ascii="宋体" w:hAnsi="宋体" w:cs="宋体" w:hint="eastAsia"/>
          <w:kern w:val="0"/>
          <w:sz w:val="24"/>
        </w:rPr>
      </w:pPr>
    </w:p>
    <w:p>
      <w:pPr>
        <w:ind w:firstLine="412" w:firstLineChars="196"/>
        <w:rPr>
          <w:rFonts w:ascii="宋体" w:hAnsi="宋体" w:hint="eastAsia"/>
          <w:b/>
        </w:rPr>
      </w:pPr>
      <w:r>
        <w:rPr>
          <w:rFonts w:ascii="宋体" w:hAnsi="宋体" w:hint="eastAsia"/>
          <w:b/>
        </w:rPr>
        <w:t>备注：上述“开标一览表”中的“投标报价”将作为价格分计算依据；其它信息仅是对投标文件相关内容的概括性表述，不作为评审依据。</w:t>
      </w:r>
    </w:p>
    <w:p>
      <w:pPr>
        <w:ind w:firstLine="412" w:firstLineChars="196"/>
        <w:rPr>
          <w:rFonts w:ascii="宋体" w:hAnsi="宋体" w:hint="eastAsia"/>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pPr>
        <w:ind w:firstLine="412" w:firstLineChars="196"/>
        <w:rPr>
          <w:rFonts w:ascii="宋体" w:hAnsi="宋体" w:hint="eastAsia"/>
        </w:rPr>
      </w:pPr>
      <w:r>
        <w:rPr>
          <w:rFonts w:ascii="宋体" w:hAnsi="宋体" w:hint="eastAsia"/>
        </w:rPr>
        <w:t>23.2.7投标文件编写完成后，</w:t>
      </w:r>
      <w:r>
        <w:rPr>
          <w:rFonts w:ascii="宋体" w:hAnsi="宋体" w:hint="eastAsia"/>
          <w:b/>
        </w:rPr>
        <w:t>必须用属于投标人的电子密钥或电子营业执照进行加密，否则视同未盖公章，将导致投标文件无效。</w:t>
      </w:r>
    </w:p>
    <w:p>
      <w:pPr>
        <w:ind w:firstLine="412" w:firstLineChars="196"/>
        <w:rPr>
          <w:rFonts w:ascii="宋体" w:hAnsi="宋体" w:hint="eastAsia"/>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2" w:firstLineChars="196"/>
        <w:rPr>
          <w:rFonts w:ascii="宋体" w:hAnsi="宋体" w:hint="eastAsia"/>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pPr>
        <w:ind w:firstLine="412" w:firstLineChars="196"/>
        <w:rPr>
          <w:rFonts w:ascii="宋体" w:hAnsi="宋体" w:hint="eastAsia"/>
        </w:rPr>
      </w:pPr>
      <w:r>
        <w:rPr>
          <w:rFonts w:ascii="宋体" w:hAnsi="宋体" w:hint="eastAsia"/>
        </w:rPr>
        <w:t>23.3电报、电话、传真形式的投标概不接受。</w:t>
      </w:r>
    </w:p>
    <w:p>
      <w:pPr>
        <w:ind w:firstLine="412" w:firstLineChars="196"/>
        <w:rPr>
          <w:rFonts w:ascii="宋体" w:hAnsi="宋体" w:hint="eastAsia"/>
          <w:b/>
        </w:rPr>
      </w:pPr>
      <w:r>
        <w:rPr>
          <w:rFonts w:ascii="宋体" w:hAnsi="宋体" w:hint="eastAsia"/>
          <w:b/>
        </w:rPr>
        <w:t>23.4经投标人电子密钥或电子营业执照加密的投标文件无须盖章或签字，</w:t>
      </w:r>
      <w:r>
        <w:rPr>
          <w:rFonts w:ascii="宋体" w:hAnsi="宋体" w:hint="eastAsia"/>
        </w:rPr>
        <w:t>专用条款另有要求的除外。</w:t>
      </w:r>
    </w:p>
    <w:p>
      <w:pPr>
        <w:ind w:firstLine="412" w:firstLineChars="196"/>
        <w:rPr>
          <w:rFonts w:ascii="宋体" w:hAnsi="宋体" w:hint="eastAsia"/>
        </w:rPr>
      </w:pPr>
      <w:r>
        <w:rPr>
          <w:rFonts w:ascii="宋体" w:hAnsi="宋体" w:hint="eastAsia"/>
          <w:b/>
        </w:rPr>
        <w:t>23.5</w:t>
      </w:r>
      <w:r>
        <w:rPr>
          <w:rFonts w:ascii="宋体" w:hAnsi="宋体" w:hint="eastAsia"/>
        </w:rPr>
        <w:t xml:space="preserve"> 各类资格（资质）文件提供扫描件，专用条款另有要求的除外。</w:t>
      </w:r>
      <w:bookmarkEnd w:id="61"/>
    </w:p>
    <w:p>
      <w:pPr>
        <w:ind w:firstLine="412" w:firstLineChars="196"/>
        <w:rPr>
          <w:rFonts w:ascii="宋体" w:hAnsi="宋体" w:hint="eastAsia"/>
          <w:szCs w:val="21"/>
        </w:rPr>
      </w:pPr>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投标文件的递交</w:t>
      </w:r>
    </w:p>
    <w:p>
      <w:pPr>
        <w:rPr>
          <w:rFonts w:ascii="黑体" w:eastAsia="黑体" w:hAnsi="宋体" w:hint="eastAsia"/>
          <w:sz w:val="24"/>
        </w:rPr>
      </w:pPr>
      <w:bookmarkStart w:id="62" w:name="_Hlk72405459"/>
      <w:r>
        <w:rPr>
          <w:rFonts w:ascii="黑体" w:eastAsia="黑体" w:hAnsi="宋体" w:hint="eastAsia"/>
          <w:sz w:val="24"/>
        </w:rPr>
        <w:t>24．投标文件的保密</w:t>
      </w:r>
    </w:p>
    <w:p>
      <w:pPr>
        <w:ind w:firstLine="412" w:firstLineChars="196"/>
        <w:rPr>
          <w:rFonts w:ascii="宋体" w:hAnsi="宋体" w:hint="eastAsia"/>
        </w:rPr>
      </w:pPr>
      <w:r>
        <w:rPr>
          <w:rFonts w:ascii="宋体" w:hAnsi="宋体" w:hint="eastAsia"/>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投标文件自动进行加密，此加密程序确保投标文件在到达投标截止时间后才能解密查看。在加密过程中，请按照软件提示进行操作。加密界面如下图所示：</w:t>
      </w:r>
    </w:p>
    <w:p>
      <w:pPr>
        <w:ind w:firstLine="412" w:firstLineChars="196"/>
        <w:rPr>
          <w:rFonts w:ascii="宋体" w:hAnsi="宋体" w:hint="eastAsia"/>
        </w:rPr>
      </w:pPr>
    </w:p>
    <w:p>
      <w:pPr>
        <w:ind w:firstLine="412" w:firstLineChars="196"/>
        <w:rPr>
          <w:rFonts w:ascii="宋体" w:hAnsi="宋体" w:hint="eastAsia"/>
        </w:rPr>
      </w:pPr>
      <w:r>
        <w:rPr>
          <w:rFonts w:ascii="宋体" w:hAnsi="宋体"/>
        </w:rPr>
        <w:drawing>
          <wp:inline distT="0" distB="0" distL="0" distR="0">
            <wp:extent cx="5279390" cy="2719070"/>
            <wp:effectExtent l="0" t="0" r="3810" b="11430"/>
            <wp:docPr id="10"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图形用户界面, 应用程序&#10;&#10;描述已自动生成"/>
                    <pic:cNvPicPr>
                      <a:picLocks noChangeAspect="1" noChangeArrowheads="1"/>
                    </pic:cNvPicPr>
                  </pic:nvPicPr>
                  <pic:blipFill>
                    <a:blip xmlns:r="http://schemas.openxmlformats.org/officeDocument/2006/relationships" r:embed="rId8"/>
                    <a:stretch>
                      <a:fillRect/>
                    </a:stretch>
                  </pic:blipFill>
                  <pic:spPr>
                    <a:xfrm>
                      <a:off x="0" y="0"/>
                      <a:ext cx="5279390" cy="2719070"/>
                    </a:xfrm>
                    <a:prstGeom prst="rect">
                      <a:avLst/>
                    </a:prstGeom>
                    <a:noFill/>
                    <a:ln w="9525">
                      <a:noFill/>
                      <a:miter lim="800000"/>
                      <a:headEnd/>
                      <a:tailEnd/>
                    </a:ln>
                  </pic:spPr>
                </pic:pic>
              </a:graphicData>
            </a:graphic>
          </wp:inline>
        </w:drawing>
      </w:r>
    </w:p>
    <w:p>
      <w:pPr>
        <w:ind w:firstLine="412" w:firstLineChars="196"/>
        <w:rPr>
          <w:rFonts w:ascii="宋体" w:hAnsi="宋体" w:hint="eastAsia"/>
        </w:rPr>
      </w:pPr>
    </w:p>
    <w:p>
      <w:pPr>
        <w:ind w:firstLine="412" w:firstLineChars="196"/>
        <w:rPr>
          <w:rFonts w:ascii="宋体" w:hAnsi="宋体" w:hint="eastAsia"/>
        </w:rPr>
      </w:pPr>
      <w:r>
        <w:rPr>
          <w:rFonts w:ascii="宋体" w:hAnsi="宋体"/>
        </w:rPr>
        <w:drawing>
          <wp:inline distT="0" distB="0" distL="0" distR="0">
            <wp:extent cx="5279390" cy="2727325"/>
            <wp:effectExtent l="0" t="0" r="3810" b="3175"/>
            <wp:docPr id="13"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图形用户界面&#10;&#10;描述已自动生成"/>
                    <pic:cNvPicPr>
                      <a:picLocks noChangeAspect="1" noChangeArrowheads="1"/>
                    </pic:cNvPicPr>
                  </pic:nvPicPr>
                  <pic:blipFill>
                    <a:blip xmlns:r="http://schemas.openxmlformats.org/officeDocument/2006/relationships" r:embed="rId10"/>
                    <a:stretch>
                      <a:fillRect/>
                    </a:stretch>
                  </pic:blipFill>
                  <pic:spPr>
                    <a:xfrm>
                      <a:off x="0" y="0"/>
                      <a:ext cx="5279390" cy="2727325"/>
                    </a:xfrm>
                    <a:prstGeom prst="rect">
                      <a:avLst/>
                    </a:prstGeom>
                    <a:noFill/>
                    <a:ln w="9525">
                      <a:noFill/>
                      <a:miter lim="800000"/>
                      <a:headEnd/>
                      <a:tailEnd/>
                    </a:ln>
                  </pic:spPr>
                </pic:pic>
              </a:graphicData>
            </a:graphic>
          </wp:inline>
        </w:drawing>
      </w:r>
    </w:p>
    <w:p>
      <w:pPr>
        <w:ind w:firstLine="412" w:firstLineChars="196"/>
        <w:rPr>
          <w:rFonts w:ascii="宋体" w:hAnsi="宋体" w:hint="eastAsia"/>
        </w:rPr>
      </w:pPr>
    </w:p>
    <w:p>
      <w:pPr>
        <w:widowControl/>
        <w:jc w:val="left"/>
        <w:rPr>
          <w:sz w:val="24"/>
        </w:rPr>
      </w:pPr>
    </w:p>
    <w:p>
      <w:pPr>
        <w:rPr>
          <w:rFonts w:ascii="宋体" w:hAnsi="宋体" w:hint="eastAsia"/>
          <w:b/>
        </w:rPr>
      </w:pPr>
      <w:r>
        <w:rPr>
          <w:rFonts w:ascii="宋体" w:hAnsi="宋体" w:hint="eastAsia"/>
        </w:rPr>
        <w:t xml:space="preserve">   </w:t>
      </w:r>
      <w:r>
        <w:rPr>
          <w:rFonts w:ascii="宋体" w:hAnsi="宋体" w:hint="eastAsia"/>
          <w:b/>
        </w:rPr>
        <w:t xml:space="preserve"> 24.2若采购项目出现延期情况：</w:t>
      </w:r>
    </w:p>
    <w:p>
      <w:pPr>
        <w:ind w:firstLine="420" w:firstLineChars="200"/>
        <w:rPr>
          <w:rFonts w:ascii="黑体" w:eastAsia="黑体" w:hAnsi="宋体" w:hint="eastAsia"/>
          <w:b/>
          <w:sz w:val="24"/>
        </w:rPr>
      </w:pPr>
      <w:r>
        <w:rPr>
          <w:rFonts w:ascii="宋体" w:hAnsi="宋体" w:hint="eastAsia"/>
          <w:b/>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定）。否则，投标人自行承担投标文件无法解密导致投标无效的后果。</w:t>
      </w:r>
    </w:p>
    <w:p>
      <w:pPr>
        <w:rPr>
          <w:rFonts w:ascii="黑体" w:eastAsia="黑体" w:hAnsi="宋体" w:hint="eastAsia"/>
          <w:sz w:val="24"/>
        </w:rPr>
      </w:pPr>
      <w:r>
        <w:rPr>
          <w:rFonts w:ascii="黑体" w:eastAsia="黑体" w:hAnsi="宋体" w:hint="eastAsia"/>
          <w:sz w:val="24"/>
        </w:rPr>
        <w:t>25．上传投标文件及投标截止日期</w:t>
      </w:r>
    </w:p>
    <w:p>
      <w:pPr>
        <w:ind w:firstLine="412" w:firstLineChars="196"/>
        <w:rPr>
          <w:rFonts w:ascii="宋体" w:hAnsi="宋体" w:hint="eastAsia"/>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政府采购智慧平台用户网上办事子系统（http://zfcg.szggzy.com:8081/TPBidder/memberLogin）”，用“【我的项目】→【项目流程】→【递交投标(应答)文件】”功能点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w:t>
      </w:r>
      <w:r>
        <w:rPr>
          <w:rFonts w:ascii="宋体" w:hAnsi="宋体" w:hint="eastAsia"/>
          <w:b/>
          <w:bCs/>
        </w:rPr>
        <w:t>（地址：深圳市南山区沙河西路3185号南山智谷A座（深圳交易集团总部大楼）3楼）</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pPr>
        <w:ind w:firstLine="412" w:firstLineChars="196"/>
        <w:rPr>
          <w:rFonts w:ascii="宋体" w:hAnsi="宋体" w:hint="eastAsia"/>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2" w:firstLineChars="196"/>
        <w:rPr>
          <w:rFonts w:ascii="宋体" w:hAnsi="宋体" w:hint="eastAsia"/>
        </w:rPr>
      </w:pPr>
      <w:r>
        <w:rPr>
          <w:rFonts w:ascii="宋体" w:hAnsi="宋体" w:hint="eastAsia"/>
        </w:rPr>
        <w:t>25</w:t>
      </w:r>
      <w:r>
        <w:rPr>
          <w:rFonts w:ascii="宋体" w:hAnsi="宋体"/>
        </w:rPr>
        <w:t>.</w:t>
      </w:r>
      <w:r>
        <w:rPr>
          <w:rFonts w:ascii="宋体" w:hAnsi="宋体" w:hint="eastAsia"/>
        </w:rPr>
        <w:t>3投标截止时间以后不得上传投标文件。</w:t>
      </w:r>
    </w:p>
    <w:p>
      <w:pPr>
        <w:ind w:firstLine="412" w:firstLineChars="196"/>
        <w:rPr>
          <w:rFonts w:ascii="宋体" w:hAnsi="宋体" w:hint="eastAsia"/>
        </w:rPr>
      </w:pPr>
    </w:p>
    <w:p>
      <w:pPr>
        <w:rPr>
          <w:rFonts w:ascii="黑体" w:eastAsia="黑体" w:hAnsi="宋体" w:hint="eastAsia"/>
          <w:sz w:val="24"/>
        </w:rPr>
      </w:pPr>
      <w:bookmarkEnd w:id="62"/>
      <w:r>
        <w:rPr>
          <w:rFonts w:ascii="黑体" w:eastAsia="黑体" w:hAnsi="宋体" w:hint="eastAsia"/>
          <w:sz w:val="24"/>
        </w:rPr>
        <w:t>26. 样品、现场演示、方案讲解</w:t>
      </w:r>
    </w:p>
    <w:p>
      <w:pPr>
        <w:ind w:firstLine="412" w:firstLineChars="196"/>
        <w:rPr>
          <w:rFonts w:ascii="宋体" w:hAnsi="宋体" w:hint="eastAsia"/>
          <w:szCs w:val="21"/>
        </w:rPr>
      </w:pPr>
      <w:r>
        <w:rPr>
          <w:rFonts w:ascii="宋体" w:hAnsi="宋体" w:hint="eastAsia"/>
          <w:szCs w:val="21"/>
        </w:rPr>
        <w:t>26.1 样品、现场演示、方案讲解等事项在招标文件专用条款中进行规定。</w:t>
      </w:r>
    </w:p>
    <w:p>
      <w:pPr>
        <w:rPr>
          <w:rFonts w:ascii="黑体" w:eastAsia="黑体" w:hAnsi="宋体" w:hint="eastAsia"/>
          <w:sz w:val="24"/>
        </w:rPr>
      </w:pPr>
      <w:bookmarkStart w:id="63"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pPr>
        <w:ind w:firstLine="412" w:firstLineChars="196"/>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pPr>
        <w:ind w:firstLine="412" w:firstLineChars="196"/>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pPr>
        <w:ind w:firstLine="412" w:firstLineChars="196"/>
        <w:rPr>
          <w:rFonts w:ascii="宋体" w:hAnsi="宋体" w:hint="eastAsia"/>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pPr>
        <w:ind w:firstLine="412" w:firstLineChars="196"/>
        <w:rPr>
          <w:rFonts w:ascii="宋体" w:hAnsi="宋体" w:hint="eastAsia"/>
          <w:szCs w:val="21"/>
        </w:rPr>
      </w:pPr>
      <w:r>
        <w:rPr>
          <w:rFonts w:ascii="宋体" w:hAnsi="宋体" w:hint="eastAsia"/>
          <w:szCs w:val="21"/>
        </w:rPr>
        <w:t>27.4政府集中采购机构不退还投标文件，专用条款另有规定的除外。</w:t>
      </w:r>
    </w:p>
    <w:p>
      <w:pPr>
        <w:pStyle w:val="Heading2"/>
        <w:numPr>
          <w:ilvl w:val="0"/>
          <w:numId w:val="12"/>
        </w:numPr>
        <w:spacing w:before="120" w:beforeLines="50" w:after="120" w:afterLines="50"/>
        <w:ind w:left="562" w:hanging="562"/>
        <w:rPr>
          <w:rFonts w:hint="eastAsia"/>
          <w:sz w:val="28"/>
          <w:szCs w:val="28"/>
        </w:rPr>
      </w:pPr>
      <w:bookmarkEnd w:id="63"/>
      <w:r>
        <w:rPr>
          <w:rFonts w:hint="eastAsia"/>
          <w:sz w:val="28"/>
          <w:szCs w:val="28"/>
        </w:rPr>
        <w:t>开标</w:t>
      </w:r>
    </w:p>
    <w:p>
      <w:pPr>
        <w:rPr>
          <w:rFonts w:ascii="黑体" w:eastAsia="黑体" w:hAnsi="宋体" w:hint="eastAsia"/>
          <w:sz w:val="24"/>
        </w:rPr>
      </w:pPr>
      <w:r>
        <w:rPr>
          <w:rFonts w:ascii="黑体" w:eastAsia="黑体" w:hAnsi="宋体" w:hint="eastAsia"/>
          <w:sz w:val="24"/>
        </w:rPr>
        <w:t>28．开标</w:t>
      </w:r>
    </w:p>
    <w:p>
      <w:pPr>
        <w:ind w:firstLine="315" w:firstLineChars="150"/>
        <w:rPr>
          <w:rFonts w:ascii="宋体" w:hAnsi="宋体" w:hint="eastAsia"/>
          <w:szCs w:val="21"/>
        </w:rPr>
      </w:pPr>
      <w:r>
        <w:rPr>
          <w:rFonts w:ascii="宋体" w:hAnsi="宋体" w:hint="eastAsia"/>
          <w:szCs w:val="21"/>
        </w:rPr>
        <w:t>28.1投标人须在开标当日的开标时间至解密截止时间内进行解密，逾期未解密的作无效处理。解密方法：登录“深圳政府采购智慧平台用户网上办事子系统（</w:t>
      </w:r>
      <w:r>
        <w:rPr>
          <w:rFonts w:ascii="宋体" w:hAnsi="宋体" w:hint="eastAsia"/>
        </w:rPr>
        <w:t>http://zfcg.szggzy.com:8081/TPBidder/memberLogin</w:t>
      </w:r>
      <w:r>
        <w:rPr>
          <w:rFonts w:ascii="宋体" w:hAnsi="宋体" w:hint="eastAsia"/>
          <w:szCs w:val="21"/>
        </w:rPr>
        <w:t>）”，使用本单位制作电子投标文件同一个电子密钥，在“【我的项目】→【项目流程】→【开标及解密】”进行在线解密、查询开标情况。</w:t>
      </w:r>
    </w:p>
    <w:p>
      <w:pPr>
        <w:ind w:firstLine="315" w:firstLineChars="150"/>
        <w:rPr>
          <w:rFonts w:ascii="宋体" w:hAnsi="宋体" w:hint="eastAsia"/>
          <w:szCs w:val="21"/>
        </w:rPr>
      </w:pPr>
      <w:r>
        <w:rPr>
          <w:rFonts w:ascii="宋体" w:hAnsi="宋体" w:hint="eastAsia"/>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hint="eastAsia"/>
          <w:szCs w:val="21"/>
        </w:rPr>
      </w:pPr>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评审要求</w:t>
      </w:r>
    </w:p>
    <w:p>
      <w:pPr>
        <w:rPr>
          <w:rFonts w:ascii="黑体" w:eastAsia="黑体" w:hAnsi="宋体" w:hint="eastAsia"/>
          <w:sz w:val="24"/>
        </w:rPr>
      </w:pPr>
      <w:r>
        <w:rPr>
          <w:rFonts w:ascii="黑体" w:eastAsia="黑体" w:hAnsi="宋体" w:hint="eastAsia"/>
          <w:sz w:val="24"/>
        </w:rPr>
        <w:t>29．评审委员会组成</w:t>
      </w:r>
    </w:p>
    <w:p>
      <w:pPr>
        <w:ind w:firstLine="412" w:firstLineChars="196"/>
        <w:rPr>
          <w:rFonts w:ascii="宋体" w:hAnsi="宋体" w:hint="eastAsia"/>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pPr>
        <w:ind w:firstLine="412" w:firstLineChars="196"/>
        <w:rPr>
          <w:rFonts w:ascii="宋体" w:hAnsi="宋体" w:hint="eastAsia"/>
        </w:rPr>
      </w:pPr>
      <w:bookmarkStart w:id="64"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64"/>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pPr>
        <w:ind w:firstLine="412" w:firstLineChars="196"/>
        <w:rPr>
          <w:rFonts w:ascii="宋体" w:hAnsi="宋体" w:hint="eastAsia"/>
        </w:rPr>
      </w:pPr>
      <w:r>
        <w:rPr>
          <w:rFonts w:ascii="宋体" w:hAnsi="宋体" w:hint="eastAsia"/>
        </w:rPr>
        <w:t>29.2评审定标应当遵循公平、公正、科学、择优的原则。</w:t>
      </w:r>
    </w:p>
    <w:p>
      <w:pPr>
        <w:ind w:firstLine="412" w:firstLineChars="196"/>
        <w:rPr>
          <w:rFonts w:ascii="宋体" w:hAnsi="宋体" w:hint="eastAsia"/>
        </w:rPr>
      </w:pPr>
      <w:r>
        <w:rPr>
          <w:rFonts w:ascii="宋体" w:hAnsi="宋体" w:hint="eastAsia"/>
        </w:rPr>
        <w:t>29.3评审活动依法进行，任何单位和个人不得非法干预评标过程和结果。</w:t>
      </w:r>
    </w:p>
    <w:p>
      <w:pPr>
        <w:ind w:firstLine="412" w:firstLineChars="196"/>
        <w:rPr>
          <w:rFonts w:ascii="宋体" w:hAnsi="宋体" w:hint="eastAsia"/>
        </w:rPr>
      </w:pPr>
      <w:r>
        <w:rPr>
          <w:rFonts w:ascii="宋体" w:hAnsi="宋体" w:hint="eastAsia"/>
        </w:rPr>
        <w:t>29.4评审过程中不允许违背评标程序或采用招标文件未载明的评标方法或评标因素进行评标。</w:t>
      </w:r>
    </w:p>
    <w:p>
      <w:pPr>
        <w:ind w:firstLine="412" w:firstLineChars="196"/>
        <w:rPr>
          <w:rFonts w:ascii="宋体" w:hAnsi="宋体" w:hint="eastAsia"/>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pPr>
        <w:rPr>
          <w:rFonts w:ascii="黑体" w:eastAsia="黑体" w:hAnsi="宋体" w:hint="eastAsia"/>
          <w:sz w:val="24"/>
        </w:rPr>
      </w:pPr>
      <w:r>
        <w:rPr>
          <w:rFonts w:ascii="黑体" w:eastAsia="黑体" w:hAnsi="宋体" w:hint="eastAsia"/>
          <w:sz w:val="24"/>
        </w:rPr>
        <w:t>30．向评审委员会提供的资料</w:t>
      </w:r>
    </w:p>
    <w:p>
      <w:pPr>
        <w:ind w:firstLine="412" w:firstLineChars="196"/>
        <w:rPr>
          <w:rFonts w:ascii="宋体" w:hAnsi="宋体" w:hint="eastAsia"/>
        </w:rPr>
      </w:pPr>
      <w:r>
        <w:rPr>
          <w:rFonts w:ascii="宋体" w:hAnsi="宋体" w:hint="eastAsia"/>
        </w:rPr>
        <w:t>30.1公开发布的招标文件，包括图纸、服务清单、答疑文件等；</w:t>
      </w:r>
    </w:p>
    <w:p>
      <w:pPr>
        <w:ind w:firstLine="412" w:firstLineChars="196"/>
        <w:rPr>
          <w:rFonts w:ascii="宋体" w:hAnsi="宋体" w:hint="eastAsia"/>
        </w:rPr>
      </w:pPr>
      <w:r>
        <w:rPr>
          <w:rFonts w:ascii="宋体" w:hAnsi="宋体" w:hint="eastAsia"/>
        </w:rPr>
        <w:t>30.2其他评标必须的资料。</w:t>
      </w:r>
    </w:p>
    <w:p>
      <w:pPr>
        <w:ind w:firstLine="412" w:firstLineChars="196"/>
        <w:rPr>
          <w:rFonts w:ascii="宋体" w:hAnsi="宋体" w:hint="eastAsia"/>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pPr>
        <w:ind w:firstLine="412" w:firstLineChars="196"/>
        <w:rPr>
          <w:rFonts w:ascii="宋体" w:hAnsi="宋体" w:hint="eastAsia"/>
        </w:rPr>
      </w:pPr>
      <w:r>
        <w:rPr>
          <w:rFonts w:ascii="宋体" w:hAnsi="宋体" w:hint="eastAsia"/>
        </w:rPr>
        <w:t>（1）招标的目的；</w:t>
      </w:r>
    </w:p>
    <w:p>
      <w:pPr>
        <w:ind w:firstLine="412" w:firstLineChars="196"/>
        <w:rPr>
          <w:rFonts w:ascii="宋体" w:hAnsi="宋体" w:hint="eastAsia"/>
        </w:rPr>
      </w:pPr>
      <w:r>
        <w:rPr>
          <w:rFonts w:ascii="宋体" w:hAnsi="宋体" w:hint="eastAsia"/>
        </w:rPr>
        <w:t>（2）招标项目需求的范围和性质；</w:t>
      </w:r>
    </w:p>
    <w:p>
      <w:pPr>
        <w:ind w:firstLine="412" w:firstLineChars="196"/>
        <w:rPr>
          <w:rFonts w:ascii="宋体" w:hAnsi="宋体" w:hint="eastAsia"/>
        </w:rPr>
      </w:pPr>
      <w:r>
        <w:rPr>
          <w:rFonts w:ascii="宋体" w:hAnsi="宋体" w:hint="eastAsia"/>
        </w:rPr>
        <w:t>（3）招标文件规定的投标人的资格、预算金额、商务条款；</w:t>
      </w:r>
    </w:p>
    <w:p>
      <w:pPr>
        <w:ind w:firstLine="412" w:firstLineChars="196"/>
        <w:rPr>
          <w:rFonts w:ascii="宋体" w:hAnsi="宋体" w:hint="eastAsia"/>
        </w:rPr>
      </w:pPr>
      <w:r>
        <w:rPr>
          <w:rFonts w:ascii="宋体" w:hAnsi="宋体" w:hint="eastAsia"/>
        </w:rPr>
        <w:t>（4）招标文件规定的评标程序、评标方法和评标因素；</w:t>
      </w:r>
    </w:p>
    <w:p>
      <w:pPr>
        <w:ind w:firstLine="412" w:firstLineChars="196"/>
        <w:rPr>
          <w:rFonts w:ascii="宋体" w:hAnsi="宋体" w:hint="eastAsia"/>
        </w:rPr>
      </w:pPr>
      <w:r>
        <w:rPr>
          <w:rFonts w:ascii="宋体" w:hAnsi="宋体" w:hint="eastAsia"/>
        </w:rPr>
        <w:t>（5）招标文件所列示的资格性审查表及符合性审查表。</w:t>
      </w:r>
    </w:p>
    <w:p>
      <w:pPr>
        <w:rPr>
          <w:rFonts w:ascii="黑体" w:eastAsia="黑体" w:hAnsi="宋体" w:hint="eastAsia"/>
          <w:sz w:val="24"/>
        </w:rPr>
      </w:pPr>
      <w:r>
        <w:rPr>
          <w:rFonts w:ascii="黑体" w:eastAsia="黑体" w:hAnsi="宋体" w:hint="eastAsia"/>
          <w:sz w:val="24"/>
        </w:rPr>
        <w:t>31．独立评审</w:t>
      </w:r>
    </w:p>
    <w:p>
      <w:pPr>
        <w:ind w:firstLine="412" w:firstLineChars="196"/>
        <w:rPr>
          <w:rFonts w:ascii="宋体" w:hAnsi="宋体" w:hint="eastAsia"/>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pPr>
        <w:ind w:firstLine="412" w:firstLineChars="196"/>
        <w:rPr>
          <w:rFonts w:ascii="宋体" w:hAnsi="宋体" w:hint="eastAsia"/>
          <w:bCs/>
          <w:szCs w:val="21"/>
        </w:rPr>
      </w:pPr>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评审程序及评审方法</w:t>
      </w:r>
    </w:p>
    <w:p>
      <w:pPr>
        <w:rPr>
          <w:rFonts w:ascii="黑体" w:eastAsia="黑体" w:hAnsi="宋体" w:hint="eastAsia"/>
          <w:sz w:val="24"/>
        </w:rPr>
      </w:pPr>
      <w:r>
        <w:rPr>
          <w:rFonts w:ascii="黑体" w:eastAsia="黑体" w:hAnsi="宋体" w:hint="eastAsia"/>
          <w:sz w:val="24"/>
        </w:rPr>
        <w:t>32．投标文件初审</w:t>
      </w:r>
    </w:p>
    <w:p>
      <w:pPr>
        <w:ind w:firstLine="412" w:firstLineChars="196"/>
        <w:rPr>
          <w:rFonts w:ascii="宋体" w:hAnsi="宋体" w:hint="eastAsia"/>
        </w:rPr>
      </w:pPr>
      <w:r>
        <w:rPr>
          <w:rFonts w:ascii="宋体" w:hAnsi="宋体" w:hint="eastAsia"/>
        </w:rPr>
        <w:t>32.1投标文件初审包括资格性审查和符合性审查。</w:t>
      </w:r>
    </w:p>
    <w:p>
      <w:pPr>
        <w:ind w:firstLine="412" w:firstLineChars="196"/>
        <w:rPr>
          <w:rFonts w:ascii="宋体" w:hAnsi="宋体" w:hint="eastAsia"/>
        </w:rPr>
      </w:pPr>
      <w:r>
        <w:rPr>
          <w:rFonts w:ascii="宋体" w:hAnsi="宋体" w:hint="eastAsia"/>
        </w:rPr>
        <w:t>资格性审查：依据法律法规和招标文件的规定，对投标文件中的资格证明等进行审查，以确定投标供应商是否具备投标资格。</w:t>
      </w:r>
    </w:p>
    <w:p>
      <w:pPr>
        <w:ind w:firstLine="412" w:firstLineChars="196"/>
        <w:rPr>
          <w:rFonts w:ascii="宋体" w:hAnsi="宋体" w:hint="eastAsia"/>
        </w:rPr>
      </w:pPr>
      <w:r>
        <w:rPr>
          <w:rFonts w:ascii="宋体" w:hAnsi="宋体" w:hint="eastAsia"/>
        </w:rPr>
        <w:t>符合性审查：依据招标文件的规定，对投标文件的有效性、完整性和对招标文件的响应程度进行审查，以确定是否满足符合性审查的要求。</w:t>
      </w:r>
    </w:p>
    <w:p>
      <w:pPr>
        <w:ind w:firstLine="412" w:firstLineChars="196"/>
        <w:rPr>
          <w:rFonts w:ascii="宋体" w:hAnsi="宋体" w:hint="eastAsia"/>
        </w:rPr>
      </w:pPr>
      <w:r>
        <w:rPr>
          <w:rFonts w:ascii="宋体" w:hAnsi="宋体" w:hint="eastAsia"/>
        </w:rPr>
        <w:t>32.2 投标文件初审内容请详见《资格性审查表》和《符合性审查表》部分。投标人若有一条审查不通过则按投标无效处理。</w:t>
      </w:r>
    </w:p>
    <w:p>
      <w:pPr>
        <w:ind w:firstLine="412" w:firstLineChars="196"/>
        <w:rPr>
          <w:rFonts w:ascii="宋体" w:hAnsi="宋体" w:hint="eastAsia"/>
          <w:bCs/>
        </w:rPr>
      </w:pPr>
      <w:r>
        <w:rPr>
          <w:rFonts w:ascii="宋体" w:hAnsi="宋体" w:hint="eastAsia"/>
          <w:bCs/>
        </w:rPr>
        <w:t>32.3 投标文件初审中关于供应商家数的计算:</w:t>
      </w:r>
    </w:p>
    <w:p>
      <w:pPr>
        <w:ind w:firstLine="412" w:firstLineChars="196"/>
        <w:rPr>
          <w:rFonts w:ascii="宋体" w:hAnsi="宋体" w:hint="eastAsia"/>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2" w:firstLineChars="196"/>
        <w:rPr>
          <w:rFonts w:ascii="宋体" w:hAnsi="宋体" w:hint="eastAsia"/>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pPr>
        <w:ind w:firstLine="412" w:firstLineChars="196"/>
        <w:rPr>
          <w:rFonts w:ascii="宋体" w:hAnsi="宋体" w:hint="eastAsia"/>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pPr>
        <w:ind w:firstLine="412" w:firstLineChars="196"/>
        <w:rPr>
          <w:rFonts w:ascii="宋体" w:hAnsi="宋体" w:hint="eastAsia"/>
        </w:rPr>
      </w:pPr>
      <w:r>
        <w:rPr>
          <w:rFonts w:ascii="宋体" w:hAnsi="宋体" w:hint="eastAsia"/>
        </w:rPr>
        <w:t>32.4投标人投标文件作无效处理的情形，具体包括但不限于以下：</w:t>
      </w:r>
    </w:p>
    <w:p>
      <w:pPr>
        <w:ind w:firstLine="412" w:firstLineChars="196"/>
      </w:pPr>
      <w:r>
        <w:rPr>
          <w:rFonts w:ascii="宋体" w:hAnsi="宋体" w:hint="eastAsia"/>
        </w:rPr>
        <w:t>32.4.1</w:t>
      </w:r>
      <w:r>
        <w:rPr>
          <w:rFonts w:hint="eastAsia"/>
        </w:rPr>
        <w:t>不同投标人的投标文件由同一单位或者同一个人编制，或者由同一个人分阶段参与编制；</w:t>
      </w:r>
    </w:p>
    <w:p>
      <w:pPr>
        <w:ind w:firstLine="412" w:firstLineChars="196"/>
      </w:pPr>
      <w:r>
        <w:rPr>
          <w:rFonts w:ascii="宋体" w:hAnsi="宋体"/>
        </w:rPr>
        <w:t>32.4.</w:t>
      </w:r>
      <w:r>
        <w:rPr>
          <w:rFonts w:ascii="宋体" w:hAnsi="宋体" w:hint="eastAsia"/>
        </w:rPr>
        <w:t>2</w:t>
      </w:r>
      <w:r>
        <w:rPr>
          <w:rFonts w:hint="eastAsia"/>
        </w:rPr>
        <w:t>不同投标人委托同一单位或者个人办理投标事宜；</w:t>
      </w:r>
    </w:p>
    <w:p>
      <w:pPr>
        <w:ind w:firstLine="412" w:firstLineChars="196"/>
        <w:rPr>
          <w:rFonts w:ascii="宋体" w:hAnsi="宋体" w:hint="eastAsia"/>
        </w:rPr>
      </w:pPr>
      <w:r>
        <w:rPr>
          <w:rFonts w:ascii="宋体" w:hAnsi="宋体" w:hint="eastAsia"/>
        </w:rPr>
        <w:t>32.4.3不同投标人的投标文件载明的项目管理成员或者联系人员为同一人；</w:t>
      </w:r>
    </w:p>
    <w:p>
      <w:pPr>
        <w:ind w:firstLine="412" w:firstLineChars="196"/>
        <w:rPr>
          <w:rFonts w:ascii="宋体" w:hAnsi="宋体" w:hint="eastAsia"/>
        </w:rPr>
      </w:pPr>
      <w:r>
        <w:rPr>
          <w:rFonts w:ascii="宋体" w:hAnsi="宋体" w:hint="eastAsia"/>
        </w:rPr>
        <w:t>32.4.4不同投标人的投标文件异常一致或者投标报价呈规律性差异；</w:t>
      </w:r>
    </w:p>
    <w:p>
      <w:pPr>
        <w:ind w:firstLine="412" w:firstLineChars="196"/>
        <w:rPr>
          <w:rFonts w:ascii="宋体" w:hAnsi="宋体" w:hint="eastAsia"/>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pPr>
        <w:ind w:firstLine="412" w:firstLineChars="196"/>
        <w:rPr>
          <w:rFonts w:ascii="宋体" w:hAnsi="宋体" w:hint="eastAsia"/>
        </w:rPr>
      </w:pPr>
      <w:r>
        <w:rPr>
          <w:rFonts w:ascii="宋体" w:hAnsi="宋体" w:hint="eastAsia"/>
        </w:rPr>
        <w:t>32.4.6投标供应商之间相互约定给予未中标的供应商利益补偿；</w:t>
      </w:r>
    </w:p>
    <w:p>
      <w:pPr>
        <w:ind w:firstLine="412" w:firstLineChars="196"/>
        <w:rPr>
          <w:rFonts w:ascii="宋体" w:hAnsi="宋体" w:hint="eastAsia"/>
        </w:rPr>
      </w:pPr>
      <w:r>
        <w:rPr>
          <w:rFonts w:ascii="宋体" w:hAnsi="宋体" w:hint="eastAsia"/>
        </w:rPr>
        <w:t>32.4.7不同投标供应商的法定代表人、主要经营负责人、项目投标授权代表人、项目负责人、主要技术人员为同一人、属同一单位或者同一单位缴纳社会保险；</w:t>
      </w:r>
    </w:p>
    <w:p>
      <w:pPr>
        <w:ind w:firstLine="412" w:firstLineChars="196"/>
        <w:rPr>
          <w:rFonts w:ascii="宋体" w:hAnsi="宋体" w:hint="eastAsia"/>
        </w:rPr>
      </w:pPr>
      <w:r>
        <w:rPr>
          <w:rFonts w:ascii="宋体" w:hAnsi="宋体" w:hint="eastAsia"/>
        </w:rPr>
        <w:t>32.4.8不同投标供应商的投标文件内容存在非正常一致；</w:t>
      </w:r>
    </w:p>
    <w:p>
      <w:pPr>
        <w:ind w:firstLine="412" w:firstLineChars="196"/>
        <w:rPr>
          <w:rFonts w:ascii="宋体" w:hAnsi="宋体" w:hint="eastAsia"/>
        </w:rPr>
      </w:pPr>
      <w:r>
        <w:rPr>
          <w:rFonts w:ascii="宋体" w:hAnsi="宋体" w:hint="eastAsia"/>
        </w:rPr>
        <w:t>32.4.9在同一单位工作人员为两家以上（含两家）供应商进行同一项投标活动；</w:t>
      </w:r>
    </w:p>
    <w:p>
      <w:pPr>
        <w:ind w:firstLine="412" w:firstLineChars="196"/>
        <w:rPr>
          <w:rFonts w:ascii="宋体" w:hAnsi="宋体" w:hint="eastAsia"/>
        </w:rPr>
      </w:pPr>
      <w:r>
        <w:rPr>
          <w:rFonts w:ascii="宋体" w:hAnsi="宋体" w:hint="eastAsia"/>
        </w:rPr>
        <w:t>32.4.10主管部门依照法律、法规认定的其他情形。</w:t>
      </w:r>
    </w:p>
    <w:p>
      <w:pPr>
        <w:ind w:firstLine="412" w:firstLineChars="196"/>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pPr>
        <w:rPr>
          <w:rFonts w:ascii="黑体" w:eastAsia="黑体" w:hAnsi="宋体" w:hint="eastAsia"/>
          <w:sz w:val="24"/>
        </w:rPr>
      </w:pPr>
      <w:r>
        <w:rPr>
          <w:rFonts w:ascii="黑体" w:eastAsia="黑体" w:hAnsi="宋体" w:hint="eastAsia"/>
          <w:sz w:val="24"/>
        </w:rPr>
        <w:t>33．澄清有关问题</w:t>
      </w:r>
    </w:p>
    <w:p>
      <w:pPr>
        <w:ind w:firstLine="412" w:firstLineChars="196"/>
        <w:rPr>
          <w:rFonts w:ascii="宋体" w:hAnsi="宋体" w:hint="eastAsia"/>
        </w:rPr>
      </w:pPr>
      <w:bookmarkStart w:id="65"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65"/>
    </w:p>
    <w:p>
      <w:pPr>
        <w:ind w:firstLine="412" w:firstLineChars="196"/>
        <w:rPr>
          <w:rFonts w:ascii="宋体" w:hAnsi="宋体" w:hint="eastAsia"/>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2" w:firstLineChars="196"/>
        <w:rPr>
          <w:rFonts w:ascii="宋体" w:hAnsi="宋体" w:hint="eastAsia"/>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pPr>
        <w:ind w:firstLine="412" w:firstLineChars="196"/>
        <w:rPr>
          <w:rFonts w:ascii="宋体" w:hAnsi="宋体" w:hint="eastAsia"/>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2" w:firstLineChars="196"/>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pPr>
        <w:rPr>
          <w:rFonts w:ascii="黑体" w:eastAsia="黑体" w:hAnsi="宋体" w:hint="eastAsia"/>
          <w:sz w:val="24"/>
        </w:rPr>
      </w:pPr>
      <w:bookmarkStart w:id="66" w:name="_Toc73518151"/>
      <w:bookmarkStart w:id="67" w:name="_Toc73521669"/>
      <w:bookmarkStart w:id="68" w:name="_Toc73517673"/>
      <w:bookmarkStart w:id="69" w:name="_Toc73521581"/>
      <w:bookmarkStart w:id="70" w:name="_Toc100052400"/>
      <w:r>
        <w:rPr>
          <w:rFonts w:ascii="黑体" w:eastAsia="黑体" w:hAnsi="宋体" w:hint="eastAsia"/>
          <w:sz w:val="24"/>
        </w:rPr>
        <w:t>34．错误的修正</w:t>
      </w:r>
      <w:bookmarkEnd w:id="66"/>
      <w:bookmarkEnd w:id="67"/>
      <w:bookmarkEnd w:id="68"/>
      <w:bookmarkEnd w:id="69"/>
      <w:bookmarkEnd w:id="70"/>
    </w:p>
    <w:p>
      <w:pPr>
        <w:ind w:firstLine="412" w:firstLineChars="196"/>
        <w:rPr>
          <w:rFonts w:ascii="宋体" w:hAnsi="宋体" w:hint="eastAsia"/>
          <w:szCs w:val="21"/>
        </w:rPr>
      </w:pPr>
      <w:r>
        <w:rPr>
          <w:rFonts w:ascii="宋体" w:hAnsi="宋体" w:hint="eastAsia"/>
          <w:szCs w:val="21"/>
        </w:rPr>
        <w:t>投标文件报价出现前后不一致的，除专用条款另有规定外，按照下列规定修正：</w:t>
      </w:r>
    </w:p>
    <w:p>
      <w:pPr>
        <w:ind w:firstLine="412" w:firstLineChars="196"/>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pPr>
        <w:ind w:firstLine="412" w:firstLineChars="196"/>
        <w:rPr>
          <w:rFonts w:ascii="宋体" w:hAnsi="宋体" w:hint="eastAsia"/>
          <w:szCs w:val="21"/>
        </w:rPr>
      </w:pPr>
      <w:r>
        <w:rPr>
          <w:rFonts w:ascii="宋体" w:hAnsi="宋体" w:hint="eastAsia"/>
          <w:szCs w:val="21"/>
        </w:rPr>
        <w:t>34.2大写金额和小写金额不一致的，以大写金额为准；</w:t>
      </w:r>
    </w:p>
    <w:p>
      <w:pPr>
        <w:ind w:firstLine="412" w:firstLineChars="196"/>
        <w:rPr>
          <w:rFonts w:ascii="宋体" w:hAnsi="宋体" w:hint="eastAsia"/>
          <w:szCs w:val="21"/>
        </w:rPr>
      </w:pPr>
      <w:r>
        <w:rPr>
          <w:rFonts w:ascii="宋体" w:hAnsi="宋体" w:hint="eastAsia"/>
          <w:szCs w:val="21"/>
        </w:rPr>
        <w:t>34.3单价金额小数点或者百分比有明显错位，以开标一览表的总价为准，并修改单价；</w:t>
      </w:r>
    </w:p>
    <w:p>
      <w:pPr>
        <w:ind w:firstLine="412" w:firstLineChars="196"/>
        <w:rPr>
          <w:rFonts w:ascii="宋体" w:hAnsi="宋体" w:hint="eastAsia"/>
          <w:szCs w:val="21"/>
        </w:rPr>
      </w:pPr>
      <w:r>
        <w:rPr>
          <w:rFonts w:ascii="宋体" w:hAnsi="宋体" w:hint="eastAsia"/>
          <w:szCs w:val="21"/>
        </w:rPr>
        <w:t>34.4总价金额与按单价汇总金额不一致的，以单价金额计算结果为准。</w:t>
      </w:r>
    </w:p>
    <w:p>
      <w:pPr>
        <w:ind w:firstLine="412" w:firstLineChars="196"/>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pPr>
        <w:rPr>
          <w:rFonts w:ascii="黑体" w:eastAsia="黑体" w:hAnsi="宋体" w:hint="eastAsia"/>
          <w:sz w:val="24"/>
        </w:rPr>
      </w:pPr>
      <w:r>
        <w:rPr>
          <w:rFonts w:ascii="黑体" w:eastAsia="黑体" w:hAnsi="宋体" w:hint="eastAsia"/>
          <w:sz w:val="24"/>
        </w:rPr>
        <w:t>35．投标文件的比较与评价</w:t>
      </w:r>
    </w:p>
    <w:p>
      <w:pPr>
        <w:ind w:firstLine="412" w:firstLineChars="196"/>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2" w:firstLineChars="196"/>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pPr>
        <w:rPr>
          <w:rFonts w:ascii="黑体" w:eastAsia="黑体" w:hAnsi="宋体" w:hint="eastAsia"/>
          <w:sz w:val="24"/>
        </w:rPr>
      </w:pPr>
      <w:r>
        <w:rPr>
          <w:rFonts w:ascii="黑体" w:eastAsia="黑体" w:hAnsi="宋体" w:hint="eastAsia"/>
          <w:sz w:val="24"/>
        </w:rPr>
        <w:t>36. 实地考察或资料查验</w:t>
      </w:r>
    </w:p>
    <w:p>
      <w:pPr>
        <w:ind w:firstLine="412" w:firstLineChars="196"/>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pPr>
        <w:rPr>
          <w:rFonts w:ascii="黑体" w:eastAsia="黑体" w:hAnsi="宋体" w:hint="eastAsia"/>
          <w:sz w:val="24"/>
        </w:rPr>
      </w:pPr>
      <w:r>
        <w:rPr>
          <w:rFonts w:ascii="黑体" w:eastAsia="黑体" w:hAnsi="宋体" w:hint="eastAsia"/>
          <w:sz w:val="24"/>
        </w:rPr>
        <w:t>37．评审方法</w:t>
      </w:r>
    </w:p>
    <w:p>
      <w:pPr>
        <w:ind w:firstLine="412" w:firstLineChars="196"/>
        <w:rPr>
          <w:rFonts w:ascii="宋体" w:hAnsi="宋体" w:hint="eastAsia"/>
          <w:b/>
          <w:bCs/>
          <w:szCs w:val="21"/>
        </w:rPr>
      </w:pPr>
      <w:r>
        <w:rPr>
          <w:rFonts w:ascii="宋体" w:hAnsi="宋体" w:hint="eastAsia"/>
          <w:b/>
          <w:bCs/>
          <w:szCs w:val="21"/>
        </w:rPr>
        <w:t>37.1.1最低价法</w:t>
      </w:r>
    </w:p>
    <w:p>
      <w:pPr>
        <w:ind w:firstLine="412" w:firstLineChars="196"/>
        <w:rPr>
          <w:rFonts w:ascii="ˎ̥" w:hAnsi="ˎ̥" w:hint="eastAsia"/>
        </w:rPr>
      </w:pPr>
      <w:bookmarkStart w:id="71" w:name="_Hlk72438142"/>
      <w:r>
        <w:rPr>
          <w:rFonts w:ascii="ˎ̥" w:hAnsi="ˎ̥"/>
        </w:rPr>
        <w:t>最低价法，是指</w:t>
      </w:r>
      <w:r>
        <w:rPr>
          <w:rFonts w:ascii="ˎ̥" w:hAnsi="ˎ̥" w:hint="eastAsia"/>
        </w:rPr>
        <w:t>完全</w:t>
      </w:r>
      <w:r>
        <w:rPr>
          <w:rFonts w:ascii="ˎ̥" w:hAnsi="ˎ̥"/>
        </w:rPr>
        <w:t>满足招标文件实质性要求，</w:t>
      </w:r>
      <w:r>
        <w:rPr>
          <w:rFonts w:ascii="ˎ̥" w:hAnsi="ˎ̥" w:hint="eastAsia"/>
        </w:rPr>
        <w:t>按照报价由低到高的顺序，依据招标文件中规定的数量或者比例推荐候选中标供应商。</w:t>
      </w:r>
    </w:p>
    <w:p>
      <w:pPr>
        <w:ind w:firstLine="412" w:firstLineChars="196"/>
        <w:rPr>
          <w:rFonts w:ascii="宋体" w:hAnsi="宋体" w:hint="eastAsia"/>
          <w:b/>
          <w:bCs/>
          <w:szCs w:val="21"/>
        </w:rPr>
      </w:pPr>
      <w:r>
        <w:rPr>
          <w:rFonts w:ascii="宋体" w:hAnsi="宋体" w:hint="eastAsia"/>
          <w:b/>
          <w:bCs/>
          <w:szCs w:val="21"/>
        </w:rPr>
        <w:t>37.1.2综合评分法</w:t>
      </w:r>
    </w:p>
    <w:p>
      <w:pPr>
        <w:ind w:firstLine="412" w:firstLineChars="196"/>
        <w:rPr>
          <w:rFonts w:ascii="ˎ̥" w:hAnsi="ˎ̥" w:hint="eastAsia"/>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71"/>
    </w:p>
    <w:p>
      <w:pPr>
        <w:ind w:firstLine="412" w:firstLineChars="196"/>
        <w:rPr>
          <w:rFonts w:ascii="宋体" w:hAnsi="宋体" w:hint="eastAsia"/>
          <w:b/>
          <w:bCs/>
          <w:szCs w:val="21"/>
        </w:rPr>
      </w:pPr>
      <w:r>
        <w:rPr>
          <w:rFonts w:ascii="ˎ̥" w:hAnsi="ˎ̥" w:hint="eastAsia"/>
        </w:rPr>
        <w:t>3</w:t>
      </w:r>
      <w:r>
        <w:rPr>
          <w:rFonts w:ascii="宋体" w:hAnsi="宋体" w:hint="eastAsia"/>
          <w:b/>
          <w:bCs/>
          <w:szCs w:val="21"/>
        </w:rPr>
        <w:t>7.2 本项目采用的评审方法见本项目招标文件第一册“专用条款”的相关内容。</w:t>
      </w:r>
    </w:p>
    <w:p>
      <w:pPr>
        <w:ind w:firstLine="412" w:firstLineChars="196"/>
        <w:rPr>
          <w:rFonts w:ascii="宋体" w:hAnsi="宋体" w:hint="eastAsia"/>
          <w:b/>
          <w:bCs/>
          <w:szCs w:val="21"/>
        </w:rPr>
      </w:pPr>
      <w:r>
        <w:rPr>
          <w:rFonts w:ascii="宋体" w:hAnsi="宋体" w:hint="eastAsia"/>
          <w:b/>
          <w:bCs/>
          <w:szCs w:val="21"/>
        </w:rPr>
        <w:t>37.3重新评审的情形</w:t>
      </w:r>
    </w:p>
    <w:p>
      <w:pPr>
        <w:ind w:firstLine="412" w:firstLineChars="196"/>
        <w:rPr>
          <w:rFonts w:ascii="宋体" w:hAnsi="宋体" w:hint="eastAsia"/>
          <w:b/>
          <w:bCs/>
          <w:szCs w:val="21"/>
        </w:rPr>
      </w:pPr>
      <w:r>
        <w:rPr>
          <w:rFonts w:ascii="宋体" w:hAnsi="宋体" w:cs="宋体" w:hint="eastAsia"/>
          <w:kern w:val="0"/>
          <w:szCs w:val="21"/>
        </w:rPr>
        <w:t>评审结果汇总完成后，除下列情形外，任何人不得修改评审结果：</w:t>
      </w:r>
    </w:p>
    <w:p>
      <w:pPr>
        <w:ind w:firstLine="412" w:firstLineChars="196"/>
        <w:rPr>
          <w:rFonts w:ascii="宋体" w:hAnsi="宋体" w:cs="宋体" w:hint="eastAsia"/>
          <w:kern w:val="0"/>
          <w:szCs w:val="21"/>
        </w:rPr>
      </w:pPr>
      <w:r>
        <w:rPr>
          <w:rFonts w:ascii="宋体" w:hAnsi="宋体" w:cs="宋体" w:hint="eastAsia"/>
          <w:kern w:val="0"/>
          <w:szCs w:val="21"/>
        </w:rPr>
        <w:t>37.3.1分值汇总计算错误的；</w:t>
      </w:r>
    </w:p>
    <w:p>
      <w:pPr>
        <w:ind w:firstLine="412" w:firstLineChars="196"/>
        <w:rPr>
          <w:rFonts w:ascii="宋体" w:hAnsi="宋体" w:cs="宋体" w:hint="eastAsia"/>
          <w:kern w:val="0"/>
          <w:szCs w:val="21"/>
        </w:rPr>
      </w:pPr>
      <w:r>
        <w:rPr>
          <w:rFonts w:ascii="宋体" w:hAnsi="宋体" w:cs="宋体" w:hint="eastAsia"/>
          <w:kern w:val="0"/>
          <w:szCs w:val="21"/>
        </w:rPr>
        <w:t>37.3.2分项评分超出评分标准范围的；</w:t>
      </w:r>
    </w:p>
    <w:p>
      <w:pPr>
        <w:ind w:firstLine="412" w:firstLineChars="196"/>
        <w:rPr>
          <w:rFonts w:ascii="宋体" w:hAnsi="宋体" w:cs="宋体" w:hint="eastAsia"/>
          <w:kern w:val="0"/>
          <w:szCs w:val="21"/>
        </w:rPr>
      </w:pPr>
      <w:r>
        <w:rPr>
          <w:rFonts w:ascii="宋体" w:hAnsi="宋体" w:cs="宋体" w:hint="eastAsia"/>
          <w:kern w:val="0"/>
          <w:szCs w:val="21"/>
        </w:rPr>
        <w:t>37.3.3评审委员会成员对客观评审因素评分不一致的；</w:t>
      </w:r>
    </w:p>
    <w:p>
      <w:pPr>
        <w:ind w:firstLine="412" w:firstLineChars="196"/>
        <w:rPr>
          <w:rFonts w:ascii="宋体" w:hAnsi="宋体" w:cs="宋体" w:hint="eastAsia"/>
          <w:kern w:val="0"/>
          <w:szCs w:val="21"/>
        </w:rPr>
      </w:pPr>
      <w:r>
        <w:rPr>
          <w:rFonts w:ascii="宋体" w:hAnsi="宋体" w:cs="宋体" w:hint="eastAsia"/>
          <w:kern w:val="0"/>
          <w:szCs w:val="21"/>
        </w:rPr>
        <w:t>37.3.4经评审委员会认定评分畸高、畸低的。</w:t>
      </w:r>
    </w:p>
    <w:p>
      <w:pPr>
        <w:ind w:firstLine="412" w:firstLineChars="196"/>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2" w:firstLineChars="196"/>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pPr>
        <w:ind w:firstLine="412" w:firstLineChars="196"/>
        <w:rPr>
          <w:rFonts w:ascii="宋体" w:hAnsi="宋体" w:hint="eastAsia"/>
          <w:b/>
          <w:bCs/>
          <w:szCs w:val="21"/>
        </w:rPr>
      </w:pPr>
      <w:r>
        <w:rPr>
          <w:rFonts w:ascii="宋体" w:hAnsi="宋体" w:hint="eastAsia"/>
          <w:b/>
          <w:bCs/>
          <w:szCs w:val="21"/>
        </w:rPr>
        <w:t>37.4重新组建评审委员会的情形</w:t>
      </w:r>
    </w:p>
    <w:p>
      <w:pPr>
        <w:ind w:firstLine="412" w:firstLineChars="196"/>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pPr>
        <w:ind w:firstLine="412" w:firstLineChars="196"/>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pPr>
        <w:ind w:firstLine="412" w:firstLineChars="196"/>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pPr>
        <w:ind w:firstLine="412" w:firstLineChars="196"/>
        <w:rPr>
          <w:rFonts w:ascii="宋体" w:hAnsi="宋体" w:cs="宋体" w:hint="eastAsia"/>
          <w:kern w:val="0"/>
          <w:szCs w:val="21"/>
        </w:rPr>
      </w:pPr>
      <w:r>
        <w:rPr>
          <w:rFonts w:ascii="宋体" w:hAnsi="宋体" w:cs="宋体" w:hint="eastAsia"/>
          <w:kern w:val="0"/>
          <w:szCs w:val="21"/>
        </w:rPr>
        <w:t>37.4.3评审委员会及其成员独立评标受到非法干预的；</w:t>
      </w:r>
    </w:p>
    <w:p>
      <w:pPr>
        <w:ind w:firstLine="412" w:firstLineChars="196"/>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pPr>
        <w:ind w:firstLine="412" w:firstLineChars="196"/>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pPr>
        <w:ind w:firstLine="412" w:firstLineChars="196"/>
        <w:rPr>
          <w:rFonts w:ascii="宋体" w:hAnsi="宋体" w:hint="eastAsia"/>
          <w:szCs w:val="21"/>
        </w:rPr>
      </w:pPr>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定标及公示</w:t>
      </w:r>
    </w:p>
    <w:p>
      <w:pPr>
        <w:rPr>
          <w:rFonts w:ascii="黑体" w:eastAsia="黑体" w:hAnsi="宋体" w:hint="eastAsia"/>
          <w:sz w:val="24"/>
        </w:rPr>
      </w:pPr>
      <w:r>
        <w:rPr>
          <w:rFonts w:ascii="黑体" w:eastAsia="黑体" w:hAnsi="宋体" w:hint="eastAsia"/>
          <w:sz w:val="24"/>
        </w:rPr>
        <w:t>38．定标方法</w:t>
      </w:r>
    </w:p>
    <w:p>
      <w:pPr>
        <w:ind w:firstLine="412" w:firstLineChars="196"/>
        <w:rPr>
          <w:rFonts w:ascii="宋体" w:hAnsi="宋体" w:hint="eastAsia"/>
          <w:szCs w:val="21"/>
        </w:rPr>
      </w:pPr>
      <w:r>
        <w:rPr>
          <w:rFonts w:ascii="宋体" w:hAnsi="宋体" w:hint="eastAsia"/>
          <w:szCs w:val="21"/>
        </w:rPr>
        <w:t>38.1非评定分离项目定标方法</w:t>
      </w:r>
    </w:p>
    <w:p>
      <w:pPr>
        <w:ind w:firstLine="412" w:firstLineChars="196"/>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2" w:firstLineChars="196"/>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p>
    <w:p>
      <w:pPr>
        <w:ind w:firstLine="412" w:firstLineChars="196"/>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pPr>
        <w:ind w:firstLine="412" w:firstLineChars="196"/>
        <w:rPr>
          <w:rFonts w:ascii="宋体" w:hAnsi="宋体" w:hint="eastAsia"/>
          <w:szCs w:val="21"/>
        </w:rPr>
      </w:pPr>
      <w:r>
        <w:rPr>
          <w:rFonts w:ascii="宋体" w:hAnsi="宋体" w:hint="eastAsia"/>
          <w:szCs w:val="21"/>
        </w:rPr>
        <w:t>38.2评定分离项目定标方法</w:t>
      </w:r>
    </w:p>
    <w:p>
      <w:pPr>
        <w:ind w:firstLine="412" w:firstLineChars="196"/>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2" w:firstLineChars="196"/>
      </w:pPr>
      <w:r>
        <w:rPr>
          <w:rFonts w:ascii="宋体" w:hAnsi="宋体"/>
          <w:szCs w:val="21"/>
        </w:rPr>
        <w:t xml:space="preserve">38.2.2 </w:t>
      </w:r>
      <w:bookmarkStart w:id="72"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pPr>
        <w:ind w:firstLine="412" w:firstLineChars="196"/>
        <w:rPr>
          <w:rFonts w:ascii="宋体" w:hAnsi="宋体" w:hint="eastAsia"/>
          <w:szCs w:val="21"/>
        </w:rPr>
      </w:pPr>
      <w:r>
        <w:rPr>
          <w:rFonts w:ascii="宋体" w:hAnsi="宋体" w:hint="eastAsia"/>
          <w:szCs w:val="21"/>
        </w:rPr>
        <w:t>38.2.3</w:t>
      </w:r>
      <w:bookmarkStart w:id="73"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72"/>
      <w:bookmarkEnd w:id="73"/>
    </w:p>
    <w:p>
      <w:pPr>
        <w:ind w:firstLine="412" w:firstLineChars="196"/>
        <w:rPr>
          <w:rFonts w:ascii="宋体" w:hAnsi="宋体" w:hint="eastAsia"/>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pPr>
        <w:ind w:firstLine="412" w:firstLineChars="196"/>
        <w:rPr>
          <w:rFonts w:ascii="宋体" w:hAnsi="宋体" w:hint="eastAsia"/>
          <w:szCs w:val="21"/>
        </w:rPr>
      </w:pPr>
      <w:r>
        <w:rPr>
          <w:rFonts w:ascii="宋体" w:hAnsi="宋体" w:hint="eastAsia"/>
          <w:szCs w:val="21"/>
        </w:rPr>
        <w:t>说明：采购人及投标供应商应按照上述方法提前做好相关准备。</w:t>
      </w:r>
    </w:p>
    <w:p>
      <w:pPr>
        <w:ind w:firstLine="412" w:firstLineChars="196"/>
        <w:rPr>
          <w:rFonts w:ascii="宋体" w:hAnsi="宋体" w:hint="eastAsia"/>
          <w:szCs w:val="21"/>
        </w:rPr>
      </w:pPr>
      <w:r>
        <w:rPr>
          <w:rFonts w:ascii="宋体" w:hAnsi="宋体" w:hint="eastAsia"/>
          <w:szCs w:val="21"/>
        </w:rPr>
        <w:t>38.3专用条款另有规定的，按专用条款相关要求定标。</w:t>
      </w:r>
    </w:p>
    <w:p>
      <w:pPr>
        <w:rPr>
          <w:rFonts w:ascii="黑体" w:eastAsia="黑体" w:hAnsi="宋体" w:hint="eastAsia"/>
          <w:sz w:val="24"/>
        </w:rPr>
      </w:pPr>
      <w:r>
        <w:rPr>
          <w:rFonts w:ascii="黑体" w:eastAsia="黑体" w:hAnsi="宋体" w:hint="eastAsia"/>
          <w:sz w:val="24"/>
        </w:rPr>
        <w:t>39．编写评审报告</w:t>
      </w:r>
    </w:p>
    <w:p>
      <w:pPr>
        <w:ind w:firstLine="412" w:firstLineChars="196"/>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eastAsia="黑体" w:hAnsi="宋体" w:hint="eastAsia"/>
          <w:sz w:val="24"/>
        </w:rPr>
      </w:pPr>
      <w:r>
        <w:rPr>
          <w:rFonts w:ascii="黑体" w:eastAsia="黑体" w:hAnsi="宋体" w:hint="eastAsia"/>
          <w:sz w:val="24"/>
        </w:rPr>
        <w:t>40．中标公告</w:t>
      </w:r>
    </w:p>
    <w:p>
      <w:pPr>
        <w:ind w:firstLine="412" w:firstLineChars="196"/>
        <w:rPr>
          <w:rFonts w:ascii="宋体" w:hAnsi="宋体" w:hint="eastAsia"/>
          <w:szCs w:val="21"/>
        </w:rPr>
      </w:pPr>
      <w:r>
        <w:rPr>
          <w:rFonts w:ascii="宋体" w:hAnsi="宋体" w:hint="eastAsia"/>
          <w:szCs w:val="21"/>
        </w:rPr>
        <w:t>40.1</w:t>
      </w:r>
      <w:bookmarkStart w:id="74"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End w:id="74"/>
      <w:bookmarkStart w:id="75" w:name="_Hlk72438751"/>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 监督电话：0755-83948143。</w:t>
      </w:r>
      <w:r>
        <w:rPr>
          <w:rFonts w:ascii="宋体" w:hAnsi="宋体" w:hint="eastAsia"/>
          <w:szCs w:val="21"/>
        </w:rPr>
        <w:t>若在公示期内未提出质疑，则视为认同该评审结果。</w:t>
      </w:r>
    </w:p>
    <w:p>
      <w:pPr>
        <w:ind w:firstLine="412" w:firstLineChars="196"/>
        <w:rPr>
          <w:rFonts w:ascii="宋体" w:hAnsi="宋体" w:hint="eastAsia"/>
          <w:szCs w:val="21"/>
        </w:rPr>
      </w:pPr>
      <w:bookmarkEnd w:id="75"/>
      <w:r>
        <w:rPr>
          <w:rFonts w:ascii="宋体" w:hAnsi="宋体" w:hint="eastAsia"/>
          <w:szCs w:val="21"/>
        </w:rPr>
        <w:t>40.2质疑、投诉供应商应保证质疑、投诉内容的真实性和可靠性，并承担相应的法律责任。</w:t>
      </w:r>
    </w:p>
    <w:p>
      <w:pPr>
        <w:rPr>
          <w:rFonts w:ascii="黑体" w:eastAsia="黑体" w:hAnsi="宋体" w:hint="eastAsia"/>
          <w:sz w:val="24"/>
        </w:rPr>
      </w:pPr>
      <w:r>
        <w:rPr>
          <w:rFonts w:ascii="黑体" w:eastAsia="黑体" w:hAnsi="宋体" w:hint="eastAsia"/>
          <w:sz w:val="24"/>
        </w:rPr>
        <w:t>41．中标通知书</w:t>
      </w:r>
    </w:p>
    <w:p>
      <w:pPr>
        <w:ind w:firstLine="412" w:firstLineChars="196"/>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6" w:name="_Hlk72438863"/>
      <w:r>
        <w:rPr>
          <w:rFonts w:ascii="宋体" w:hAnsi="宋体" w:hint="eastAsia"/>
          <w:szCs w:val="21"/>
        </w:rPr>
        <w:t>中标公告公布以后无异常的情况下,中标供应商和采购人可自行在</w:t>
      </w:r>
      <w:r>
        <w:rPr>
          <w:rFonts w:ascii="宋体" w:hAnsi="宋体" w:hint="eastAsia"/>
          <w:b/>
          <w:bCs/>
          <w:szCs w:val="21"/>
        </w:rPr>
        <w:t>“深圳政府采购智慧平台（http://zfcg.szggzy.com/）”</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6"/>
    </w:p>
    <w:p>
      <w:pPr>
        <w:ind w:firstLine="412" w:firstLineChars="196"/>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pPr>
        <w:ind w:firstLine="412" w:firstLineChars="196"/>
        <w:rPr>
          <w:rFonts w:ascii="宋体" w:hAnsi="宋体" w:hint="eastAsia"/>
          <w:szCs w:val="21"/>
        </w:rPr>
      </w:pPr>
      <w:bookmarkStart w:id="77" w:name="_Hlk71407340"/>
      <w:r>
        <w:rPr>
          <w:rFonts w:ascii="宋体" w:hAnsi="宋体" w:hint="eastAsia"/>
          <w:szCs w:val="21"/>
        </w:rPr>
        <w:t>41.3因质疑投诉或其它原因导致项目结果变更或采购终止的，政府集中采购机构有权吊销中标通知书。</w:t>
      </w:r>
    </w:p>
    <w:p>
      <w:pPr>
        <w:ind w:firstLine="412" w:firstLineChars="196"/>
        <w:rPr>
          <w:rFonts w:ascii="宋体" w:hAnsi="宋体" w:hint="eastAsia"/>
          <w:szCs w:val="21"/>
        </w:rPr>
      </w:pPr>
      <w:bookmarkEnd w:id="77"/>
    </w:p>
    <w:p>
      <w:pPr>
        <w:pStyle w:val="Heading2"/>
        <w:numPr>
          <w:ilvl w:val="0"/>
          <w:numId w:val="12"/>
        </w:numPr>
        <w:spacing w:before="120" w:beforeLines="50" w:after="120" w:afterLines="50"/>
        <w:ind w:left="562" w:hanging="562"/>
        <w:rPr>
          <w:rFonts w:hint="eastAsia"/>
          <w:sz w:val="28"/>
          <w:szCs w:val="28"/>
        </w:rPr>
      </w:pPr>
      <w:r>
        <w:rPr>
          <w:rFonts w:hint="eastAsia"/>
          <w:sz w:val="28"/>
          <w:szCs w:val="28"/>
        </w:rPr>
        <w:t>公开招标失败的后续处理</w:t>
      </w:r>
    </w:p>
    <w:p>
      <w:pPr>
        <w:rPr>
          <w:rFonts w:ascii="黑体" w:eastAsia="黑体" w:hAnsi="宋体" w:hint="eastAsia"/>
          <w:sz w:val="24"/>
        </w:rPr>
      </w:pPr>
      <w:r>
        <w:rPr>
          <w:rFonts w:ascii="黑体" w:eastAsia="黑体" w:hAnsi="宋体" w:hint="eastAsia"/>
          <w:sz w:val="24"/>
        </w:rPr>
        <w:t>42．公开招标失败的处理</w:t>
      </w:r>
    </w:p>
    <w:p>
      <w:pPr>
        <w:ind w:firstLine="412" w:firstLineChars="196"/>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pPr>
        <w:ind w:firstLine="412" w:firstLineChars="196"/>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ind w:firstLine="412" w:firstLineChars="196"/>
        <w:rPr>
          <w:rFonts w:ascii="宋体" w:hAnsi="宋体" w:hint="eastAsia"/>
          <w:szCs w:val="21"/>
        </w:rPr>
      </w:pPr>
      <w:r>
        <w:rPr>
          <w:rFonts w:ascii="宋体" w:hAnsi="宋体" w:hint="eastAsia"/>
          <w:szCs w:val="21"/>
        </w:rPr>
        <w:t>42.3重新组织采购有以下两种组织形式：</w:t>
      </w:r>
    </w:p>
    <w:p>
      <w:pPr>
        <w:ind w:firstLine="412" w:firstLineChars="196"/>
        <w:rPr>
          <w:rFonts w:ascii="宋体" w:hAnsi="宋体" w:hint="eastAsia"/>
        </w:rPr>
      </w:pPr>
      <w:r>
        <w:rPr>
          <w:rFonts w:ascii="宋体" w:hAnsi="宋体" w:hint="eastAsia"/>
        </w:rPr>
        <w:t>（1）由政府集中采购机构重新组织公开招标；</w:t>
      </w:r>
    </w:p>
    <w:p>
      <w:pPr>
        <w:ind w:firstLine="412" w:firstLineChars="196"/>
        <w:rPr>
          <w:rFonts w:ascii="宋体" w:hAnsi="宋体" w:hint="eastAsia"/>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pPr>
        <w:ind w:firstLine="412" w:firstLineChars="196"/>
        <w:rPr>
          <w:rFonts w:ascii="宋体" w:hAnsi="宋体" w:hint="eastAsia"/>
        </w:rPr>
      </w:pPr>
      <w:r>
        <w:rPr>
          <w:rFonts w:ascii="宋体" w:hAnsi="宋体" w:hint="eastAsia"/>
        </w:rPr>
        <w:t>42.4公开招标失败的采购项目重新组织公开招标，由政府集中采购机构重新按公开招标流程组织采购活动。</w:t>
      </w:r>
    </w:p>
    <w:p>
      <w:pPr>
        <w:rPr>
          <w:rFonts w:ascii="宋体" w:hAnsi="宋体" w:hint="eastAsia"/>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pPr>
        <w:rPr>
          <w:rFonts w:ascii="黑体" w:eastAsia="黑体" w:hAnsi="宋体" w:hint="eastAsia"/>
          <w:sz w:val="24"/>
        </w:rPr>
      </w:pPr>
    </w:p>
    <w:p>
      <w:pPr>
        <w:pStyle w:val="Heading2"/>
        <w:numPr>
          <w:ilvl w:val="0"/>
          <w:numId w:val="12"/>
        </w:numPr>
        <w:spacing w:before="120" w:beforeLines="50" w:after="120" w:afterLines="50"/>
        <w:ind w:left="562" w:hanging="562"/>
        <w:rPr>
          <w:rFonts w:hint="eastAsia"/>
          <w:sz w:val="28"/>
          <w:szCs w:val="28"/>
        </w:rPr>
      </w:pPr>
      <w:bookmarkStart w:id="78" w:name="_Hlk72439043"/>
      <w:r>
        <w:rPr>
          <w:rFonts w:hint="eastAsia"/>
          <w:sz w:val="28"/>
          <w:szCs w:val="28"/>
        </w:rPr>
        <w:t>合同的授予与备案</w:t>
      </w:r>
      <w:bookmarkEnd w:id="78"/>
    </w:p>
    <w:p>
      <w:pPr>
        <w:rPr>
          <w:rFonts w:ascii="黑体" w:eastAsia="黑体" w:hAnsi="宋体" w:hint="eastAsia"/>
          <w:sz w:val="24"/>
        </w:rPr>
      </w:pPr>
      <w:bookmarkStart w:id="79" w:name="_Toc73521586"/>
      <w:bookmarkStart w:id="80" w:name="_Toc100052408"/>
      <w:bookmarkStart w:id="81" w:name="_Toc73521674"/>
      <w:bookmarkStart w:id="82" w:name="_Toc73518157"/>
      <w:bookmarkStart w:id="83" w:name="_Toc73517679"/>
      <w:bookmarkStart w:id="84" w:name="_Hlk72439088"/>
      <w:r>
        <w:rPr>
          <w:rFonts w:ascii="黑体" w:eastAsia="黑体" w:hAnsi="宋体" w:hint="eastAsia"/>
          <w:sz w:val="24"/>
        </w:rPr>
        <w:t>43．合同授予标准</w:t>
      </w:r>
      <w:bookmarkEnd w:id="79"/>
      <w:bookmarkEnd w:id="80"/>
      <w:bookmarkEnd w:id="81"/>
      <w:bookmarkEnd w:id="82"/>
      <w:bookmarkEnd w:id="83"/>
    </w:p>
    <w:p>
      <w:pPr>
        <w:ind w:firstLine="412" w:firstLineChars="196"/>
        <w:rPr>
          <w:rFonts w:ascii="宋体" w:hAnsi="宋体" w:hint="eastAsia"/>
          <w:szCs w:val="21"/>
        </w:rPr>
      </w:pPr>
      <w:r>
        <w:rPr>
          <w:rFonts w:ascii="宋体" w:hAnsi="宋体" w:hint="eastAsia"/>
          <w:szCs w:val="21"/>
        </w:rPr>
        <w:t>本项目的合同将授予经本招标文件规定评审确定的中标供应商。</w:t>
      </w:r>
    </w:p>
    <w:p>
      <w:pPr>
        <w:rPr>
          <w:rFonts w:ascii="黑体" w:eastAsia="黑体" w:hAnsi="宋体" w:hint="eastAsia"/>
          <w:sz w:val="24"/>
        </w:rPr>
      </w:pPr>
      <w:bookmarkStart w:id="85" w:name="_Toc73521587"/>
      <w:bookmarkStart w:id="86" w:name="_Toc73518158"/>
      <w:bookmarkStart w:id="87" w:name="_Toc100052409"/>
      <w:bookmarkStart w:id="88" w:name="_Toc73517680"/>
      <w:bookmarkStart w:id="89" w:name="_Toc73521675"/>
      <w:r>
        <w:rPr>
          <w:rFonts w:ascii="黑体" w:eastAsia="黑体" w:hAnsi="宋体" w:hint="eastAsia"/>
          <w:sz w:val="24"/>
        </w:rPr>
        <w:t>44．</w:t>
      </w:r>
      <w:bookmarkEnd w:id="85"/>
      <w:bookmarkEnd w:id="86"/>
      <w:bookmarkEnd w:id="87"/>
      <w:bookmarkEnd w:id="88"/>
      <w:bookmarkEnd w:id="89"/>
      <w:r>
        <w:rPr>
          <w:rFonts w:ascii="黑体" w:eastAsia="黑体" w:hAnsi="宋体" w:hint="eastAsia"/>
          <w:sz w:val="24"/>
        </w:rPr>
        <w:t>接受和拒绝任何或所有投标的权力</w:t>
      </w:r>
    </w:p>
    <w:p>
      <w:pPr>
        <w:ind w:firstLine="412" w:firstLineChars="196"/>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eastAsia="黑体" w:hAnsi="宋体" w:hint="eastAsia"/>
          <w:sz w:val="24"/>
        </w:rPr>
      </w:pPr>
      <w:bookmarkStart w:id="90" w:name="_Toc73521589"/>
      <w:bookmarkStart w:id="91" w:name="_Toc73517682"/>
      <w:bookmarkStart w:id="92" w:name="_Toc73518160"/>
      <w:bookmarkStart w:id="93" w:name="_Toc73521677"/>
      <w:bookmarkStart w:id="94" w:name="_Toc100052410"/>
      <w:r>
        <w:rPr>
          <w:rFonts w:ascii="黑体" w:eastAsia="黑体" w:hAnsi="宋体" w:hint="eastAsia"/>
          <w:sz w:val="24"/>
        </w:rPr>
        <w:t>45．合同的签订</w:t>
      </w:r>
      <w:bookmarkEnd w:id="90"/>
      <w:bookmarkEnd w:id="91"/>
      <w:bookmarkEnd w:id="92"/>
      <w:bookmarkEnd w:id="93"/>
      <w:bookmarkEnd w:id="94"/>
    </w:p>
    <w:p>
      <w:pPr>
        <w:ind w:firstLine="412" w:firstLineChars="196"/>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ind w:firstLine="412" w:firstLineChars="196"/>
        <w:rPr>
          <w:rFonts w:ascii="宋体" w:hAnsi="宋体" w:hint="eastAsia"/>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pPr>
        <w:ind w:firstLine="412" w:firstLineChars="196"/>
        <w:rPr>
          <w:rFonts w:ascii="宋体" w:hAnsi="宋体" w:hint="eastAsia"/>
          <w:szCs w:val="21"/>
        </w:rPr>
      </w:pPr>
      <w:r>
        <w:rPr>
          <w:rFonts w:ascii="宋体" w:hAnsi="宋体" w:hint="eastAsia"/>
          <w:szCs w:val="21"/>
        </w:rPr>
        <w:t>45.3中标人应当按照合同约定履行义务，完成中标项目，不得将中标项目转让（转包）给他人。</w:t>
      </w:r>
    </w:p>
    <w:p>
      <w:pPr>
        <w:rPr>
          <w:rFonts w:ascii="黑体" w:eastAsia="黑体" w:hAnsi="宋体" w:hint="eastAsia"/>
          <w:sz w:val="24"/>
        </w:rPr>
      </w:pPr>
      <w:bookmarkStart w:id="95" w:name="_Toc73517683"/>
      <w:bookmarkStart w:id="96" w:name="_Toc73521590"/>
      <w:bookmarkStart w:id="97" w:name="_Toc73521678"/>
      <w:bookmarkStart w:id="98" w:name="_Toc100052411"/>
      <w:bookmarkStart w:id="99" w:name="_Toc73518161"/>
      <w:r>
        <w:rPr>
          <w:rFonts w:ascii="黑体" w:eastAsia="黑体" w:hAnsi="宋体" w:hint="eastAsia"/>
          <w:sz w:val="24"/>
        </w:rPr>
        <w:t>46．履约担保</w:t>
      </w:r>
      <w:bookmarkEnd w:id="95"/>
      <w:bookmarkEnd w:id="96"/>
      <w:bookmarkEnd w:id="97"/>
      <w:bookmarkEnd w:id="98"/>
      <w:bookmarkEnd w:id="99"/>
    </w:p>
    <w:p>
      <w:pPr>
        <w:ind w:firstLine="412" w:firstLineChars="196"/>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pPr>
        <w:ind w:firstLine="412" w:firstLineChars="196"/>
        <w:rPr>
          <w:rFonts w:ascii="宋体" w:hAnsi="宋体" w:hint="eastAsia"/>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eastAsia="黑体" w:hAnsi="宋体" w:hint="eastAsia"/>
          <w:sz w:val="24"/>
        </w:rPr>
      </w:pPr>
      <w:r>
        <w:rPr>
          <w:rFonts w:ascii="黑体" w:eastAsia="黑体" w:hAnsi="宋体" w:hint="eastAsia"/>
          <w:sz w:val="24"/>
        </w:rPr>
        <w:t>47. 合同备案</w:t>
      </w:r>
    </w:p>
    <w:p>
      <w:pPr>
        <w:ind w:firstLine="412" w:firstLineChars="196"/>
        <w:rPr>
          <w:rFonts w:ascii="宋体" w:hAnsi="宋体" w:hint="eastAsia"/>
          <w:szCs w:val="21"/>
        </w:rPr>
      </w:pPr>
      <w:r>
        <w:rPr>
          <w:rFonts w:ascii="宋体" w:hAnsi="宋体" w:hint="eastAsia"/>
          <w:szCs w:val="21"/>
        </w:rPr>
        <w:t>采购人与中标供应商自中标通知书发出之日起10个工作日内签订政府采购合同，</w:t>
      </w:r>
      <w:r>
        <w:rPr>
          <w:rFonts w:ascii="宋体" w:hAnsi="宋体" w:hint="eastAsia"/>
          <w:szCs w:val="21"/>
        </w:rPr>
        <w:t>并按财政部门规定提交备案。</w:t>
      </w:r>
    </w:p>
    <w:p>
      <w:pPr>
        <w:rPr>
          <w:rFonts w:ascii="黑体" w:eastAsia="黑体" w:hAnsi="宋体" w:hint="eastAsia"/>
          <w:sz w:val="24"/>
        </w:rPr>
      </w:pPr>
      <w:r>
        <w:rPr>
          <w:rFonts w:ascii="黑体" w:eastAsia="黑体" w:hAnsi="宋体" w:hint="eastAsia"/>
          <w:sz w:val="24"/>
        </w:rPr>
        <w:t>48. 合同变更</w:t>
      </w:r>
    </w:p>
    <w:p>
      <w:pPr>
        <w:ind w:firstLine="412" w:firstLineChars="196"/>
        <w:rPr>
          <w:rFonts w:ascii="宋体" w:hAnsi="宋体" w:hint="eastAsia"/>
          <w:szCs w:val="21"/>
        </w:rPr>
      </w:pPr>
      <w:r>
        <w:rPr>
          <w:rFonts w:ascii="宋体" w:hAnsi="宋体" w:hint="eastAsia"/>
          <w:szCs w:val="21"/>
        </w:rPr>
        <w:t>合同变更事宜按《深圳市财政局关于优化政府采购合同备案的通知》（深财发保〔2022〕2号）相关规定执行。</w:t>
      </w:r>
    </w:p>
    <w:p>
      <w:pPr>
        <w:rPr>
          <w:rFonts w:ascii="黑体" w:eastAsia="黑体" w:hAnsi="宋体" w:hint="eastAsia"/>
          <w:sz w:val="24"/>
        </w:rPr>
      </w:pPr>
      <w:r>
        <w:rPr>
          <w:rFonts w:ascii="黑体" w:eastAsia="黑体" w:hAnsi="宋体" w:hint="eastAsia"/>
          <w:sz w:val="24"/>
        </w:rPr>
        <w:t>49. 项目验收</w:t>
      </w:r>
    </w:p>
    <w:p>
      <w:pPr>
        <w:widowControl/>
        <w:ind w:right="176" w:firstLine="420"/>
        <w:jc w:val="left"/>
        <w:rPr>
          <w:rFonts w:ascii="宋体" w:hAnsi="宋体" w:hint="eastAsia"/>
        </w:rPr>
      </w:pPr>
      <w:r>
        <w:rPr>
          <w:rFonts w:ascii="宋体" w:hAnsi="宋体" w:hint="eastAsia"/>
        </w:rPr>
        <w:t>49.1采购人应当按照招标文件和合同规定的标准和方法，及时组织验收。</w:t>
      </w:r>
      <w:r>
        <w:rPr>
          <w:rFonts w:ascii="宋体" w:hAnsi="宋体"/>
        </w:rPr>
        <w:t xml:space="preserve"> </w:t>
      </w:r>
    </w:p>
    <w:p>
      <w:pPr>
        <w:rPr>
          <w:rFonts w:ascii="黑体" w:eastAsia="黑体" w:hAnsi="宋体" w:hint="eastAsia"/>
          <w:sz w:val="24"/>
        </w:rPr>
      </w:pPr>
      <w:r>
        <w:rPr>
          <w:rFonts w:ascii="黑体" w:eastAsia="黑体" w:hAnsi="宋体" w:hint="eastAsia"/>
          <w:sz w:val="24"/>
        </w:rPr>
        <w:t>50. 宣传</w:t>
      </w:r>
    </w:p>
    <w:p>
      <w:pPr>
        <w:ind w:left="210" w:firstLine="412" w:leftChars="100" w:firstLineChars="196"/>
        <w:rPr>
          <w:rFonts w:ascii="宋体" w:hAnsi="宋体" w:hint="eastAsia"/>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pPr>
        <w:ind w:left="210" w:firstLine="412" w:leftChars="100" w:firstLineChars="196"/>
        <w:rPr>
          <w:rFonts w:ascii="宋体" w:hAnsi="宋体" w:hint="eastAsia"/>
        </w:rPr>
      </w:pPr>
      <w:r>
        <w:rPr>
          <w:rFonts w:ascii="宋体" w:hAnsi="宋体"/>
        </w:rPr>
        <w:t>a.名片、宣传册、广告标语等；</w:t>
      </w:r>
    </w:p>
    <w:p>
      <w:pPr>
        <w:ind w:left="210" w:firstLine="412" w:leftChars="100" w:firstLineChars="196"/>
        <w:rPr>
          <w:rFonts w:ascii="宋体" w:hAnsi="宋体" w:hint="eastAsia"/>
        </w:rPr>
      </w:pPr>
      <w:r>
        <w:rPr>
          <w:rFonts w:ascii="宋体" w:hAnsi="宋体"/>
        </w:rPr>
        <w:t>b.案例介绍、推广等；</w:t>
      </w:r>
    </w:p>
    <w:p>
      <w:pPr>
        <w:ind w:left="210" w:firstLine="412" w:leftChars="100" w:firstLineChars="196"/>
        <w:rPr>
          <w:rFonts w:ascii="宋体" w:hAnsi="宋体" w:hint="eastAsia"/>
        </w:rPr>
      </w:pPr>
      <w:r>
        <w:rPr>
          <w:rFonts w:ascii="宋体" w:hAnsi="宋体" w:hint="eastAsia"/>
        </w:rPr>
        <w:t>c.工作</w:t>
      </w:r>
      <w:r>
        <w:rPr>
          <w:rFonts w:ascii="宋体" w:hAnsi="宋体"/>
        </w:rPr>
        <w:t>人员向其他消费群体宣传。</w:t>
      </w:r>
    </w:p>
    <w:p>
      <w:pPr>
        <w:rPr>
          <w:rFonts w:ascii="黑体" w:eastAsia="黑体" w:hAnsi="宋体" w:hint="eastAsia"/>
          <w:sz w:val="24"/>
        </w:rPr>
      </w:pPr>
      <w:r>
        <w:rPr>
          <w:rFonts w:ascii="黑体" w:eastAsia="黑体" w:hAnsi="宋体" w:hint="eastAsia"/>
          <w:sz w:val="24"/>
        </w:rPr>
        <w:t>51. 供应商违法责任</w:t>
      </w:r>
    </w:p>
    <w:p>
      <w:pPr>
        <w:ind w:firstLine="412" w:firstLineChars="196"/>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2" w:firstLineChars="196"/>
        <w:rPr>
          <w:rFonts w:ascii="宋体" w:hAnsi="宋体" w:hint="eastAsia"/>
          <w:szCs w:val="21"/>
        </w:rPr>
      </w:pPr>
      <w:r>
        <w:rPr>
          <w:rFonts w:ascii="宋体" w:hAnsi="宋体" w:hint="eastAsia"/>
          <w:szCs w:val="21"/>
        </w:rPr>
        <w:t>（1）在采购活动中应当回避而未回避的；</w:t>
      </w:r>
    </w:p>
    <w:p>
      <w:pPr>
        <w:ind w:firstLine="412" w:firstLineChars="196"/>
        <w:rPr>
          <w:rFonts w:ascii="宋体" w:hAnsi="宋体" w:hint="eastAsia"/>
          <w:szCs w:val="21"/>
        </w:rPr>
      </w:pPr>
      <w:r>
        <w:rPr>
          <w:rFonts w:ascii="宋体" w:hAnsi="宋体" w:hint="eastAsia"/>
          <w:szCs w:val="21"/>
        </w:rPr>
        <w:t>（2）未按本条例规定签订、履行采购合同，造成严重后果的；</w:t>
      </w:r>
    </w:p>
    <w:p>
      <w:pPr>
        <w:ind w:firstLine="412" w:firstLineChars="196"/>
        <w:rPr>
          <w:rFonts w:ascii="宋体" w:hAnsi="宋体" w:hint="eastAsia"/>
          <w:szCs w:val="21"/>
        </w:rPr>
      </w:pPr>
      <w:r>
        <w:rPr>
          <w:rFonts w:ascii="宋体" w:hAnsi="宋体" w:hint="eastAsia"/>
          <w:szCs w:val="21"/>
        </w:rPr>
        <w:t>（3）隐瞒真实情况，提供虚假资料的；</w:t>
      </w:r>
    </w:p>
    <w:p>
      <w:pPr>
        <w:ind w:firstLine="412" w:firstLineChars="196"/>
        <w:rPr>
          <w:rFonts w:ascii="宋体" w:hAnsi="宋体" w:hint="eastAsia"/>
          <w:szCs w:val="21"/>
        </w:rPr>
      </w:pPr>
      <w:r>
        <w:rPr>
          <w:rFonts w:ascii="宋体" w:hAnsi="宋体" w:hint="eastAsia"/>
          <w:szCs w:val="21"/>
        </w:rPr>
        <w:t>（4）以非法手段排斥其他供应商参与竞争的；</w:t>
      </w:r>
    </w:p>
    <w:p>
      <w:pPr>
        <w:ind w:firstLine="412" w:firstLineChars="196"/>
        <w:rPr>
          <w:rFonts w:ascii="宋体" w:hAnsi="宋体" w:hint="eastAsia"/>
          <w:szCs w:val="21"/>
        </w:rPr>
      </w:pPr>
      <w:r>
        <w:rPr>
          <w:rFonts w:ascii="宋体" w:hAnsi="宋体" w:hint="eastAsia"/>
          <w:szCs w:val="21"/>
        </w:rPr>
        <w:t>（5）与其他采购参加人串通投标的；</w:t>
      </w:r>
    </w:p>
    <w:p>
      <w:pPr>
        <w:ind w:firstLine="412" w:firstLineChars="196"/>
        <w:rPr>
          <w:rFonts w:ascii="宋体" w:hAnsi="宋体" w:hint="eastAsia"/>
          <w:szCs w:val="21"/>
        </w:rPr>
      </w:pPr>
      <w:r>
        <w:rPr>
          <w:rFonts w:ascii="宋体" w:hAnsi="宋体" w:hint="eastAsia"/>
          <w:szCs w:val="21"/>
        </w:rPr>
        <w:t>（6）恶意投诉的；</w:t>
      </w:r>
    </w:p>
    <w:p>
      <w:pPr>
        <w:ind w:firstLine="412" w:firstLineChars="196"/>
        <w:rPr>
          <w:rFonts w:ascii="宋体" w:hAnsi="宋体" w:hint="eastAsia"/>
          <w:szCs w:val="21"/>
        </w:rPr>
      </w:pPr>
      <w:r>
        <w:rPr>
          <w:rFonts w:ascii="宋体" w:hAnsi="宋体" w:hint="eastAsia"/>
          <w:szCs w:val="21"/>
        </w:rPr>
        <w:t>（7）向采购项目相关人行贿或者提供其他不当利益的；</w:t>
      </w:r>
    </w:p>
    <w:p>
      <w:pPr>
        <w:ind w:firstLine="412" w:firstLineChars="196"/>
        <w:rPr>
          <w:rFonts w:ascii="宋体" w:hAnsi="宋体" w:hint="eastAsia"/>
          <w:szCs w:val="21"/>
        </w:rPr>
      </w:pPr>
      <w:r>
        <w:rPr>
          <w:rFonts w:ascii="宋体" w:hAnsi="宋体" w:hint="eastAsia"/>
          <w:szCs w:val="21"/>
        </w:rPr>
        <w:t>（8）阻碍、抗拒主管部门监督检查的；</w:t>
      </w:r>
    </w:p>
    <w:p>
      <w:pPr>
        <w:ind w:firstLine="412" w:firstLineChars="196"/>
        <w:rPr>
          <w:rFonts w:ascii="宋体" w:hAnsi="宋体" w:hint="eastAsia"/>
          <w:szCs w:val="21"/>
        </w:rPr>
      </w:pPr>
      <w:r>
        <w:rPr>
          <w:rFonts w:ascii="宋体" w:hAnsi="宋体" w:hint="eastAsia"/>
          <w:szCs w:val="21"/>
        </w:rPr>
        <w:t>（9）其他违反本条例规定的行为。</w:t>
      </w:r>
    </w:p>
    <w:p>
      <w:pPr>
        <w:ind w:firstLine="412" w:firstLineChars="196"/>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》（深财购〔2021〕51号）的要求，供应商在政府采购活动中出现《深圳经济特区政府采购条例实施细则》第八十条所列情形的，</w:t>
      </w:r>
      <w:bookmarkStart w:id="100" w:name="_Hlk72440769"/>
      <w:r>
        <w:rPr>
          <w:rFonts w:ascii="宋体" w:hAnsi="宋体" w:hint="eastAsia"/>
          <w:szCs w:val="21"/>
        </w:rPr>
        <w:t>政府集中采购机构或采购人不予退还其交纳的谈判保证金，情节严重的，并由主管部门</w:t>
      </w:r>
      <w:bookmarkEnd w:id="100"/>
      <w:r>
        <w:rPr>
          <w:rFonts w:ascii="宋体" w:hAnsi="宋体" w:hint="eastAsia"/>
          <w:szCs w:val="21"/>
        </w:rPr>
        <w:t>记入供应商诚信档案，予以通报：</w:t>
      </w:r>
    </w:p>
    <w:p>
      <w:pPr>
        <w:ind w:firstLine="412" w:firstLineChars="196"/>
        <w:rPr>
          <w:rFonts w:ascii="宋体" w:hAnsi="宋体" w:hint="eastAsia"/>
          <w:szCs w:val="21"/>
        </w:rPr>
      </w:pPr>
      <w:r>
        <w:rPr>
          <w:rFonts w:ascii="宋体" w:hAnsi="宋体" w:hint="eastAsia"/>
          <w:szCs w:val="21"/>
        </w:rPr>
        <w:t>（1</w:t>
      </w:r>
      <w:r>
        <w:rPr>
          <w:rFonts w:ascii="宋体" w:hAnsi="宋体"/>
          <w:szCs w:val="21"/>
        </w:rPr>
        <w:t>）投标截止后，撤销投标的；</w:t>
      </w:r>
    </w:p>
    <w:p>
      <w:pPr>
        <w:ind w:firstLine="412" w:firstLineChars="196"/>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pPr>
        <w:ind w:firstLine="412" w:firstLineChars="196"/>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pPr>
        <w:ind w:firstLine="412" w:firstLineChars="196"/>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pPr>
        <w:pStyle w:val="Heading2"/>
        <w:numPr>
          <w:ilvl w:val="0"/>
          <w:numId w:val="12"/>
        </w:numPr>
        <w:spacing w:before="120" w:beforeLines="50" w:after="120" w:afterLines="50"/>
        <w:ind w:left="562" w:hanging="562"/>
        <w:rPr>
          <w:rFonts w:hint="eastAsia"/>
          <w:sz w:val="28"/>
          <w:szCs w:val="28"/>
        </w:rPr>
      </w:pPr>
      <w:bookmarkEnd w:id="84"/>
      <w:r>
        <w:rPr>
          <w:rFonts w:hint="eastAsia"/>
          <w:sz w:val="28"/>
          <w:szCs w:val="28"/>
        </w:rPr>
        <w:t>质疑处理</w:t>
      </w:r>
    </w:p>
    <w:p>
      <w:pPr>
        <w:rPr>
          <w:rFonts w:ascii="黑体" w:eastAsia="黑体" w:hAnsi="宋体" w:hint="eastAsia"/>
          <w:sz w:val="24"/>
        </w:rPr>
      </w:pPr>
      <w:bookmarkStart w:id="101" w:name="_Hlk72439706"/>
      <w:r>
        <w:rPr>
          <w:rFonts w:ascii="黑体" w:eastAsia="黑体" w:hAnsi="宋体" w:hint="eastAsia"/>
          <w:sz w:val="24"/>
        </w:rPr>
        <w:t>52.质疑提出与答复</w:t>
      </w:r>
    </w:p>
    <w:p>
      <w:pPr>
        <w:rPr>
          <w:rFonts w:ascii="宋体" w:hAnsi="宋体" w:hint="eastAsia"/>
          <w:szCs w:val="21"/>
        </w:rPr>
      </w:pPr>
      <w:r>
        <w:rPr>
          <w:rFonts w:ascii="宋体" w:hAnsi="宋体" w:hint="eastAsia"/>
          <w:szCs w:val="21"/>
        </w:rPr>
        <w:t xml:space="preserve">    52.1提出质疑</w:t>
      </w:r>
    </w:p>
    <w:p>
      <w:pPr>
        <w:rPr>
          <w:rFonts w:ascii="宋体" w:hAnsi="宋体" w:hint="eastAsia"/>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hint="eastAsia"/>
          <w:szCs w:val="21"/>
        </w:rPr>
      </w:pPr>
      <w:r>
        <w:rPr>
          <w:rFonts w:ascii="宋体" w:hAnsi="宋体" w:hint="eastAsia"/>
          <w:szCs w:val="21"/>
        </w:rPr>
        <w:t xml:space="preserve">    52.2</w:t>
      </w:r>
      <w:r>
        <w:rPr>
          <w:rFonts w:ascii="宋体" w:hAnsi="宋体"/>
          <w:szCs w:val="21"/>
        </w:rPr>
        <w:t>法律依据</w:t>
      </w:r>
    </w:p>
    <w:p>
      <w:pPr>
        <w:rPr>
          <w:rFonts w:ascii="宋体" w:hAnsi="宋体" w:hint="eastAsia"/>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pPr>
        <w:rPr>
          <w:rFonts w:ascii="宋体" w:hAnsi="宋体" w:hint="eastAsia"/>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pPr>
        <w:rPr>
          <w:rFonts w:ascii="宋体" w:hAnsi="宋体" w:hint="eastAsia"/>
          <w:szCs w:val="21"/>
        </w:rPr>
      </w:pPr>
      <w:r>
        <w:rPr>
          <w:rFonts w:ascii="宋体" w:hAnsi="宋体" w:hint="eastAsia"/>
          <w:szCs w:val="21"/>
        </w:rPr>
        <w:t xml:space="preserve">    52.3.1提出质疑的供应商应当是参与所质疑项目采购活动的供应商；以联合体形式参与的，质疑应当由组成联合体的所有成员共同提出；</w:t>
      </w:r>
    </w:p>
    <w:p>
      <w:pPr>
        <w:rPr>
          <w:rFonts w:ascii="宋体" w:hAnsi="宋体" w:hint="eastAsia"/>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ind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pPr>
        <w:ind w:firstLine="420"/>
        <w:rPr>
          <w:rFonts w:ascii="宋体" w:hAnsi="宋体" w:hint="eastAsia"/>
          <w:szCs w:val="21"/>
        </w:rPr>
      </w:pPr>
      <w:r>
        <w:rPr>
          <w:rFonts w:ascii="宋体" w:hAnsi="宋体" w:hint="eastAsia"/>
          <w:szCs w:val="21"/>
        </w:rPr>
        <w:t>（1）供应商的名称（或者姓名）、地址、邮编、邮箱、联系人及联系电话；</w:t>
      </w:r>
    </w:p>
    <w:p>
      <w:pPr>
        <w:ind w:firstLine="420" w:firstLineChars="200"/>
        <w:rPr>
          <w:rFonts w:ascii="宋体" w:hAnsi="宋体" w:hint="eastAsia"/>
          <w:szCs w:val="21"/>
        </w:rPr>
      </w:pPr>
      <w:r>
        <w:rPr>
          <w:rFonts w:ascii="宋体" w:hAnsi="宋体" w:hint="eastAsia"/>
          <w:szCs w:val="21"/>
        </w:rPr>
        <w:t>（2）质疑项目的名称、编号；</w:t>
      </w:r>
    </w:p>
    <w:p>
      <w:pPr>
        <w:ind w:firstLine="420" w:firstLineChars="200"/>
        <w:rPr>
          <w:rFonts w:ascii="宋体" w:hAnsi="宋体" w:hint="eastAsia"/>
          <w:szCs w:val="21"/>
        </w:rPr>
      </w:pPr>
      <w:r>
        <w:rPr>
          <w:rFonts w:ascii="宋体" w:hAnsi="宋体" w:hint="eastAsia"/>
          <w:szCs w:val="21"/>
        </w:rPr>
        <w:t>（3）具体、明确的质疑对象、质疑事项和质疑请求；</w:t>
      </w:r>
    </w:p>
    <w:p>
      <w:pPr>
        <w:ind w:firstLine="420" w:firstLineChars="200"/>
        <w:rPr>
          <w:rFonts w:ascii="宋体" w:hAnsi="宋体" w:hint="eastAsia"/>
          <w:szCs w:val="21"/>
        </w:rPr>
      </w:pPr>
      <w:r>
        <w:rPr>
          <w:rFonts w:ascii="宋体" w:hAnsi="宋体" w:hint="eastAsia"/>
          <w:szCs w:val="21"/>
        </w:rPr>
        <w:t>（4）因质疑事项而受损害的权益；</w:t>
      </w:r>
    </w:p>
    <w:p>
      <w:pPr>
        <w:ind w:firstLine="420" w:firstLineChars="200"/>
        <w:rPr>
          <w:rFonts w:ascii="宋体" w:hAnsi="宋体" w:hint="eastAsia"/>
          <w:szCs w:val="21"/>
        </w:rPr>
      </w:pPr>
      <w:r>
        <w:rPr>
          <w:rFonts w:ascii="宋体" w:hAnsi="宋体" w:hint="eastAsia"/>
          <w:szCs w:val="21"/>
        </w:rPr>
        <w:t>（5）事实依据；</w:t>
      </w:r>
    </w:p>
    <w:p>
      <w:pPr>
        <w:ind w:firstLine="420" w:firstLineChars="200"/>
        <w:rPr>
          <w:rFonts w:ascii="宋体" w:hAnsi="宋体" w:hint="eastAsia"/>
          <w:szCs w:val="21"/>
        </w:rPr>
      </w:pPr>
      <w:r>
        <w:rPr>
          <w:rFonts w:ascii="宋体" w:hAnsi="宋体" w:hint="eastAsia"/>
          <w:szCs w:val="21"/>
        </w:rPr>
        <w:t>（6）必要的法律依据；</w:t>
      </w:r>
    </w:p>
    <w:p>
      <w:pPr>
        <w:ind w:firstLine="420" w:firstLineChars="200"/>
        <w:rPr>
          <w:rFonts w:ascii="宋体" w:hAnsi="宋体" w:hint="eastAsia"/>
          <w:szCs w:val="21"/>
        </w:rPr>
      </w:pPr>
      <w:r>
        <w:rPr>
          <w:rFonts w:ascii="宋体" w:hAnsi="宋体" w:hint="eastAsia"/>
          <w:szCs w:val="21"/>
        </w:rPr>
        <w:t>（7）提出质疑的日期。</w:t>
      </w:r>
    </w:p>
    <w:p>
      <w:pPr>
        <w:ind w:firstLine="420" w:firstLineChars="20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hint="eastAsia"/>
          <w:szCs w:val="21"/>
        </w:rPr>
      </w:pPr>
      <w:r>
        <w:rPr>
          <w:rFonts w:ascii="宋体" w:hAnsi="宋体" w:hint="eastAsia"/>
          <w:szCs w:val="21"/>
        </w:rPr>
        <w:t>52.4提交</w:t>
      </w:r>
      <w:r>
        <w:rPr>
          <w:rFonts w:ascii="宋体" w:hAnsi="宋体"/>
          <w:szCs w:val="21"/>
        </w:rPr>
        <w:t>材料</w:t>
      </w:r>
    </w:p>
    <w:p>
      <w:pPr>
        <w:ind w:firstLine="420" w:firstLineChars="20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hint="eastAsia"/>
          <w:szCs w:val="21"/>
        </w:rPr>
      </w:pPr>
      <w:r>
        <w:rPr>
          <w:rFonts w:ascii="宋体" w:hAnsi="宋体" w:hint="eastAsia"/>
          <w:szCs w:val="21"/>
        </w:rPr>
        <w:t>52.5收文地点</w:t>
      </w:r>
    </w:p>
    <w:p>
      <w:pPr>
        <w:ind w:firstLine="420" w:firstLineChars="200"/>
        <w:rPr>
          <w:rFonts w:ascii="宋体" w:hAnsi="宋体" w:hint="eastAsia"/>
          <w:b/>
          <w:bCs/>
          <w:szCs w:val="21"/>
        </w:rPr>
      </w:pPr>
      <w:r>
        <w:rPr>
          <w:rFonts w:ascii="宋体" w:hAnsi="宋体" w:hint="eastAsia"/>
          <w:b/>
          <w:bCs/>
          <w:szCs w:val="21"/>
        </w:rPr>
        <w:t>地址：深圳公共资源交易中心（深圳交易集团有限公司政府采购业务分公司）深圳市南山区沙河西路3185号南山智谷A座（深圳交易集团总部大楼）27楼，质疑咨询电话：0755-86500050。</w:t>
      </w:r>
    </w:p>
    <w:p>
      <w:pPr>
        <w:ind w:firstLine="420" w:firstLineChars="200"/>
        <w:rPr>
          <w:rFonts w:ascii="宋体" w:hAnsi="宋体" w:hint="eastAsia"/>
          <w:szCs w:val="21"/>
        </w:rPr>
      </w:pPr>
      <w:r>
        <w:rPr>
          <w:rFonts w:ascii="宋体" w:hAnsi="宋体" w:hint="eastAsia"/>
          <w:szCs w:val="21"/>
        </w:rPr>
        <w:t>52.6收文办理</w:t>
      </w:r>
      <w:r>
        <w:rPr>
          <w:rFonts w:ascii="宋体" w:hAnsi="宋体"/>
          <w:szCs w:val="21"/>
        </w:rPr>
        <w:t>程序</w:t>
      </w:r>
    </w:p>
    <w:p>
      <w:pPr>
        <w:ind w:firstLine="420" w:firstLineChars="20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eastAsia="仿宋" w:hAnsi="仿宋" w:hint="eastAsia"/>
          <w:sz w:val="28"/>
          <w:szCs w:val="28"/>
        </w:rPr>
      </w:pPr>
      <w:r>
        <w:rPr>
          <w:rFonts w:ascii="宋体" w:hAnsi="宋体" w:hint="eastAsia"/>
          <w:szCs w:val="21"/>
        </w:rPr>
        <w:t>52.6.2供应商提交的质疑材料不符合质疑条件的，视情况处理：</w:t>
      </w:r>
    </w:p>
    <w:p>
      <w:pPr>
        <w:ind w:firstLine="420" w:firstLineChars="20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pPr>
        <w:ind w:firstLine="420" w:firstLineChars="200"/>
        <w:rPr>
          <w:rFonts w:ascii="宋体" w:hAnsi="宋体" w:hint="eastAsia"/>
          <w:szCs w:val="21"/>
        </w:rPr>
      </w:pPr>
      <w:r>
        <w:rPr>
          <w:rFonts w:ascii="宋体" w:hAnsi="宋体" w:hint="eastAsia"/>
          <w:szCs w:val="21"/>
        </w:rPr>
        <w:t>供应商提交的质疑存在下列情形之一的，不予受理：</w:t>
      </w:r>
    </w:p>
    <w:p>
      <w:pPr>
        <w:ind w:firstLine="420" w:firstLineChars="200"/>
        <w:rPr>
          <w:rFonts w:ascii="宋体" w:hAnsi="宋体" w:hint="eastAsia"/>
          <w:szCs w:val="21"/>
        </w:rPr>
      </w:pPr>
      <w:r>
        <w:rPr>
          <w:rFonts w:ascii="宋体" w:hAnsi="宋体" w:hint="eastAsia"/>
          <w:szCs w:val="21"/>
        </w:rPr>
        <w:t>（1）质疑主体不满足要求的；</w:t>
      </w:r>
    </w:p>
    <w:p>
      <w:pPr>
        <w:ind w:firstLine="420" w:firstLineChars="200"/>
        <w:rPr>
          <w:rFonts w:ascii="宋体" w:hAnsi="宋体" w:hint="eastAsia"/>
          <w:szCs w:val="21"/>
        </w:rPr>
      </w:pPr>
      <w:r>
        <w:rPr>
          <w:rFonts w:ascii="宋体" w:hAnsi="宋体" w:hint="eastAsia"/>
          <w:szCs w:val="21"/>
        </w:rPr>
        <w:t>（2）供应商自身权益未受到损害的；</w:t>
      </w:r>
    </w:p>
    <w:p>
      <w:pPr>
        <w:ind w:firstLine="420" w:firstLineChars="200"/>
        <w:rPr>
          <w:rFonts w:ascii="宋体" w:hAnsi="宋体" w:hint="eastAsia"/>
          <w:szCs w:val="21"/>
        </w:rPr>
      </w:pPr>
      <w:r>
        <w:rPr>
          <w:rFonts w:ascii="宋体" w:hAnsi="宋体" w:hint="eastAsia"/>
          <w:szCs w:val="21"/>
        </w:rPr>
        <w:t>（3）供应商未在法定质疑期限内提出质疑的；</w:t>
      </w:r>
    </w:p>
    <w:p>
      <w:pPr>
        <w:ind w:firstLine="420" w:firstLineChars="20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pPr>
        <w:ind w:firstLine="420" w:firstLineChars="200"/>
        <w:rPr>
          <w:rFonts w:ascii="宋体" w:hAnsi="宋体" w:hint="eastAsia"/>
          <w:szCs w:val="21"/>
        </w:rPr>
      </w:pPr>
      <w:r>
        <w:rPr>
          <w:rFonts w:ascii="宋体" w:hAnsi="宋体" w:hint="eastAsia"/>
          <w:szCs w:val="21"/>
        </w:rPr>
        <w:t>（5）其他不符合受理条件情形的。</w:t>
      </w:r>
    </w:p>
    <w:p>
      <w:pPr>
        <w:ind w:firstLine="420" w:firstLineChars="200"/>
        <w:rPr>
          <w:rFonts w:ascii="宋体" w:hAnsi="宋体" w:hint="eastAsia"/>
          <w:szCs w:val="21"/>
        </w:rPr>
      </w:pPr>
      <w:r>
        <w:rPr>
          <w:rFonts w:ascii="宋体" w:hAnsi="宋体" w:hint="eastAsia"/>
          <w:szCs w:val="21"/>
        </w:rPr>
        <w:t>质疑事项不予受理的，政府集中采购机构应当向供应商出具不符合质疑条件告知书。</w:t>
      </w:r>
    </w:p>
    <w:p>
      <w:pPr>
        <w:rPr>
          <w:rFonts w:ascii="宋体" w:hAnsi="宋体" w:hint="eastAsia"/>
          <w:szCs w:val="21"/>
        </w:rPr>
      </w:pPr>
      <w:r>
        <w:rPr>
          <w:rFonts w:ascii="宋体" w:hAnsi="宋体" w:hint="eastAsia"/>
          <w:color w:val="FF0000"/>
          <w:szCs w:val="21"/>
        </w:rPr>
        <w:t xml:space="preserve">  </w:t>
      </w:r>
      <w:r>
        <w:rPr>
          <w:rFonts w:ascii="宋体" w:hAnsi="宋体" w:hint="eastAsia"/>
          <w:szCs w:val="21"/>
        </w:rPr>
        <w:t xml:space="preserve">  52.7质疑答复时限</w:t>
      </w:r>
    </w:p>
    <w:p>
      <w:pPr>
        <w:rPr>
          <w:rFonts w:ascii="宋体" w:hAnsi="宋体" w:hint="eastAsia"/>
          <w:szCs w:val="21"/>
        </w:rPr>
      </w:pPr>
      <w:r>
        <w:rPr>
          <w:rFonts w:ascii="宋体" w:hAnsi="宋体" w:hint="eastAsia"/>
          <w:szCs w:val="21"/>
        </w:rPr>
        <w:t xml:space="preserve">    自收文之日起七个工作日内。</w:t>
      </w:r>
    </w:p>
    <w:p>
      <w:pPr>
        <w:rPr>
          <w:rFonts w:ascii="宋体" w:hAnsi="宋体" w:hint="eastAsia"/>
          <w:szCs w:val="21"/>
        </w:rPr>
      </w:pPr>
      <w:r>
        <w:rPr>
          <w:rFonts w:ascii="宋体" w:hAnsi="宋体" w:hint="eastAsia"/>
          <w:szCs w:val="21"/>
        </w:rPr>
        <w:t xml:space="preserve">    52.8投诉</w:t>
      </w:r>
    </w:p>
    <w:p>
      <w:pPr>
        <w:rPr>
          <w:rFonts w:ascii="宋体" w:hAnsi="宋体" w:hint="eastAsia"/>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pPr>
        <w:rPr>
          <w:rFonts w:ascii="黑体" w:eastAsia="黑体" w:hAnsi="宋体" w:hint="eastAsia"/>
          <w:sz w:val="24"/>
        </w:rPr>
      </w:pPr>
      <w:r>
        <w:rPr>
          <w:rFonts w:ascii="黑体" w:eastAsia="黑体" w:hAnsi="宋体" w:hint="eastAsia"/>
          <w:sz w:val="24"/>
        </w:rPr>
        <w:t>53. 质疑后续处理</w:t>
      </w:r>
    </w:p>
    <w:p>
      <w:pPr>
        <w:rPr>
          <w:rFonts w:ascii="宋体" w:hAnsi="宋体" w:hint="eastAsia"/>
          <w:szCs w:val="21"/>
        </w:rPr>
      </w:pPr>
      <w:r>
        <w:rPr>
          <w:rFonts w:ascii="宋体" w:hAnsi="宋体" w:hint="eastAsia"/>
          <w:szCs w:val="21"/>
        </w:rPr>
        <w:t xml:space="preserve">    53.1供应商质疑不成立，或者成立但未对中标、成交结果构成影响的，继续开展采购活动。</w:t>
      </w:r>
    </w:p>
    <w:p>
      <w:pPr>
        <w:rPr>
          <w:rFonts w:ascii="宋体" w:hAnsi="宋体" w:hint="eastAsia"/>
          <w:szCs w:val="21"/>
        </w:rPr>
      </w:pPr>
      <w:r>
        <w:rPr>
          <w:rFonts w:ascii="宋体" w:hAnsi="宋体" w:hint="eastAsia"/>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p>
    <w:p>
      <w:bookmarkEnd w:id="101"/>
    </w:p>
    <w:p>
      <w:pPr>
        <w:ind w:firstLine="420" w:firstLineChars="200"/>
        <w:rPr>
          <w:rFonts w:ascii="宋体" w:hAnsi="宋体" w:hint="eastAsia"/>
          <w:szCs w:val="21"/>
        </w:rPr>
      </w:pPr>
    </w:p>
    <w:sectPr>
      <w:pgSz w:w="11907" w:h="16840"/>
      <w:pgMar w:top="1440" w:right="1797" w:bottom="1440" w:left="1797" w:header="851" w:footer="992" w:gutter="0"/>
      <w:cols w:num="1" w:space="425"/>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0"/>
    <w:family w:val="auto"/>
    <w:pitch w:val="default"/>
    <w:sig w:usb0="00000000" w:usb1="00000000" w:usb2="00000000" w:usb3="00000000" w:csb0="00040001"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54</w:t>
    </w:r>
    <w:r>
      <w:fldChar w:fldCharType="end"/>
    </w:r>
    <w:r>
      <w:t xml:space="preserve"> -</w:t>
    </w: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FFFFFF7C"/>
    <w:multiLevelType w:val="singleLevel"/>
    <w:tmpl w:val="FFFFFF7C"/>
    <w:lvl w:ilvl="0">
      <w:start w:val="1"/>
      <w:numFmt w:val="decimal"/>
      <w:pStyle w:val="41"/>
      <w:lvlText w:val="%1."/>
      <w:lvlJc w:val="left"/>
      <w:pPr>
        <w:tabs>
          <w:tab w:val="left" w:pos="2040"/>
        </w:tabs>
        <w:ind w:left="2040" w:hanging="360" w:leftChars="800" w:hangingChars="200"/>
      </w:pPr>
    </w:lvl>
  </w:abstractNum>
  <w:abstractNum w:abstractNumId="4">
    <w:nsid w:val="FFFFFF89"/>
    <w:multiLevelType w:val="singleLevel"/>
    <w:tmpl w:val="FFFFFF89"/>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5">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2503483"/>
    <w:multiLevelType w:val="multilevel"/>
    <w:tmpl w:val="12503483"/>
    <w:lvl w:ilvl="0">
      <w:start w:val="1"/>
      <w:numFmt w:val="bullet"/>
      <w:pStyle w:val="a14"/>
      <w:lvlText w:val=""/>
      <w:lvlJc w:val="left"/>
      <w:pPr>
        <w:tabs>
          <w:tab w:val="left" w:pos="420"/>
        </w:tabs>
        <w:ind w:left="420" w:hanging="420"/>
      </w:pPr>
      <w:rPr>
        <w:rFonts w:ascii="Wingdings" w:hAnsi="Wingdings" w:hint="default"/>
      </w:rPr>
    </w:lvl>
    <w:lvl w:ilvl="1">
      <w:start w:val="1"/>
      <w:numFmt w:val="bullet"/>
      <w:pStyle w:val="a13"/>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4"/>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nsid w:val="2F395B7B"/>
    <w:multiLevelType w:val="multilevel"/>
    <w:tmpl w:val="2F395B7B"/>
    <w:lvl w:ilvl="0">
      <w:start w:val="1"/>
      <w:numFmt w:val="bullet"/>
      <w:pStyle w:val="12"/>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nsid w:val="36E3A3F1"/>
    <w:multiLevelType w:val="singleLevel"/>
    <w:tmpl w:val="36E3A3F1"/>
    <w:lvl w:ilvl="0">
      <w:start w:val="2"/>
      <w:numFmt w:val="chineseCounting"/>
      <w:suff w:val="nothing"/>
      <w:lvlText w:val="%1、"/>
      <w:lvlJc w:val="left"/>
      <w:rPr>
        <w:rFonts w:hint="eastAsia"/>
      </w:rPr>
    </w:lvl>
  </w:abstractNum>
  <w:abstractNum w:abstractNumId="10">
    <w:nsid w:val="3AAB95F5"/>
    <w:multiLevelType w:val="singleLevel"/>
    <w:tmpl w:val="3AAB95F5"/>
    <w:lvl w:ilvl="0">
      <w:start w:val="1"/>
      <w:numFmt w:val="decimal"/>
      <w:lvlText w:val="%1."/>
      <w:lvlJc w:val="left"/>
      <w:pPr>
        <w:tabs>
          <w:tab w:val="left" w:pos="312"/>
        </w:tabs>
      </w:pPr>
    </w:lvl>
  </w:abstractNum>
  <w:abstractNum w:abstractNumId="11">
    <w:nsid w:val="7AEF7716"/>
    <w:multiLevelType w:val="multilevel"/>
    <w:tmpl w:val="7AEF7716"/>
    <w:lvl w:ilvl="0">
      <w:start w:val="1"/>
      <w:numFmt w:val="chineseCountingThousand"/>
      <w:pStyle w:val="32"/>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1"/>
  </w:num>
  <w:num w:numId="6">
    <w:abstractNumId w:val="8"/>
  </w:num>
  <w:num w:numId="7">
    <w:abstractNumId w:val="1"/>
  </w:num>
  <w:num w:numId="8">
    <w:abstractNumId w:val="10"/>
  </w:num>
  <w:num w:numId="9">
    <w:abstractNumId w:val="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trackRevision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2M0OThmNzY3ZDkyMmYxZWY4OWFiNGNlNWZhNT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unhideWhenUsed="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0" w:uiPriority="0" w:unhideWhenUsed="0" w:qFormat="1"/>
    <w:lsdException w:name="footnote text" w:uiPriority="0"/>
    <w:lsdException w:name="annotation text" w:semiHidden="0" w:unhideWhenUsed="0" w:qFormat="1"/>
    <w:lsdException w:name="header" w:semiHidden="0" w:unhideWhenUsed="0" w:qFormat="1"/>
    <w:lsdException w:name="footer" w:semiHidden="0" w:uiPriority="0" w:unhideWhenUsed="0" w:qFormat="1"/>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uiPriority="0"/>
    <w:lsdException w:name="annotation reference" w:semiHidden="0" w:unhideWhenUsed="0" w:qFormat="1"/>
    <w:lsdException w:name="line number" w:uiPriority="0"/>
    <w:lsdException w:name="page number" w:semiHidden="0" w:uiPriority="0" w:unhideWhenUsed="0" w:qFormat="1"/>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qFormat="1"/>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semiHidden="0" w:uiPriority="0" w:unhideWhenUsed="0" w:qFormat="1"/>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uiPriority="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uiPriority="0"/>
    <w:lsdException w:name="Normal (Web)" w:semiHidden="0" w:unhideWhenUsed="0" w:qFormat="1"/>
    <w:lsdException w:name="HTML Acronym" w:uiPriority="0" w:qFormat="1"/>
    <w:lsdException w:name="HTML Address" w:uiPriority="0"/>
    <w:lsdException w:name="HTML Cite" w:uiPriority="0" w:qFormat="1"/>
    <w:lsdException w:name="HTML Code" w:uiPriority="0" w:qFormat="1"/>
    <w:lsdException w:name="HTML Definition" w:uiPriority="0" w:qFormat="1"/>
    <w:lsdException w:name="HTML Keyboard" w:uiPriority="0" w:qFormat="1"/>
    <w:lsdException w:name="HTML Preformatted" w:semiHidden="0" w:uiPriority="0" w:unhideWhenUsed="0" w:qFormat="1"/>
    <w:lsdException w:name="HTML Sample" w:uiPriority="0" w:qFormat="1"/>
    <w:lsdException w:name="HTML Typewriter" w:uiPriority="0" w:qFormat="1"/>
    <w:lsdException w:name="HTML Variable" w:uiPriority="0" w:qFormat="1"/>
    <w:lsdException w:name="Normal Table" w:qFormat="1"/>
    <w:lsdException w:name="annotation subject"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nhideWhenUsed="0" w:qFormat="1"/>
    <w:lsdException w:name="Table Grid" w:semiHidden="0" w:uiPriority="39" w:unhideWhenUsed="0" w:qFormat="1"/>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autoRedefine/>
    <w:qFormat/>
    <w:pPr>
      <w:adjustRightInd w:val="0"/>
      <w:jc w:val="center"/>
      <w:textAlignment w:val="baseline"/>
      <w:outlineLvl w:val="1"/>
    </w:pPr>
    <w:rPr>
      <w:kern w:val="0"/>
      <w:sz w:val="24"/>
      <w:szCs w:val="20"/>
    </w:rPr>
  </w:style>
  <w:style w:type="paragraph" w:styleId="Heading3">
    <w:name w:val="heading 3"/>
    <w:basedOn w:val="Heading4"/>
    <w:next w:val="Normal"/>
    <w:link w:val="3"/>
    <w:autoRedefine/>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
    <w:qFormat/>
    <w:pPr>
      <w:keepNext/>
      <w:keepLines/>
      <w:spacing w:before="280" w:after="290" w:line="376" w:lineRule="auto"/>
      <w:outlineLvl w:val="4"/>
    </w:pPr>
    <w:rPr>
      <w:b/>
      <w:sz w:val="28"/>
      <w:szCs w:val="20"/>
    </w:rPr>
  </w:style>
  <w:style w:type="paragraph" w:styleId="Heading6">
    <w:name w:val="heading 6"/>
    <w:basedOn w:val="Normal"/>
    <w:next w:val="NormalIndent"/>
    <w:link w:val="6"/>
    <w:autoRedefine/>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
    <w:qFormat/>
    <w:pPr>
      <w:keepNext/>
      <w:keepLines/>
      <w:spacing w:before="240" w:after="64" w:line="320" w:lineRule="auto"/>
      <w:outlineLvl w:val="6"/>
    </w:pPr>
    <w:rPr>
      <w:b/>
      <w:sz w:val="24"/>
      <w:szCs w:val="20"/>
    </w:rPr>
  </w:style>
  <w:style w:type="paragraph" w:styleId="Heading8">
    <w:name w:val="heading 8"/>
    <w:basedOn w:val="Normal"/>
    <w:next w:val="NormalIndent"/>
    <w:link w:val="8"/>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
    <w:autoRedefine/>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link w:val="a"/>
    <w:autoRedefine/>
    <w:qFormat/>
    <w:pPr>
      <w:ind w:firstLine="420"/>
    </w:pPr>
    <w:rPr>
      <w:szCs w:val="20"/>
    </w:rPr>
  </w:style>
  <w:style w:type="paragraph" w:styleId="TOC7">
    <w:name w:val="toc 7"/>
    <w:basedOn w:val="Normal"/>
    <w:next w:val="Normal"/>
    <w:semiHidden/>
    <w:qFormat/>
    <w:pPr>
      <w:ind w:left="1260"/>
      <w:jc w:val="left"/>
    </w:pPr>
    <w:rPr>
      <w:szCs w:val="21"/>
    </w:rPr>
  </w:style>
  <w:style w:type="paragraph" w:styleId="Caption">
    <w:name w:val="caption"/>
    <w:basedOn w:val="Normal"/>
    <w:next w:val="Normal"/>
    <w:autoRedefine/>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autoRedefine/>
    <w:qFormat/>
    <w:pPr>
      <w:numPr>
        <w:ilvl w:val="0"/>
        <w:numId w:val="1"/>
      </w:numPr>
    </w:pPr>
    <w:rPr>
      <w:szCs w:val="20"/>
    </w:rPr>
  </w:style>
  <w:style w:type="paragraph" w:styleId="DocumentMap">
    <w:name w:val="Document Map"/>
    <w:basedOn w:val="Normal"/>
    <w:autoRedefine/>
    <w:semiHidden/>
    <w:qFormat/>
    <w:pPr>
      <w:shd w:val="clear" w:color="auto" w:fill="000080"/>
    </w:pPr>
  </w:style>
  <w:style w:type="paragraph" w:styleId="CommentText">
    <w:name w:val="annotation text"/>
    <w:basedOn w:val="Normal"/>
    <w:link w:val="a28"/>
    <w:autoRedefine/>
    <w:uiPriority w:val="99"/>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1"/>
    <w:autoRedefine/>
    <w:qFormat/>
    <w:pPr>
      <w:spacing w:after="120"/>
    </w:pPr>
    <w:rPr>
      <w:sz w:val="16"/>
      <w:szCs w:val="16"/>
    </w:rPr>
  </w:style>
  <w:style w:type="paragraph" w:styleId="BodyText">
    <w:name w:val="Body Text"/>
    <w:basedOn w:val="Normal"/>
    <w:next w:val="BodyText2"/>
    <w:link w:val="a9"/>
    <w:autoRedefine/>
    <w:qFormat/>
    <w:pPr>
      <w:spacing w:line="360" w:lineRule="auto"/>
    </w:pPr>
    <w:rPr>
      <w:b/>
      <w:bCs/>
      <w:sz w:val="24"/>
    </w:rPr>
  </w:style>
  <w:style w:type="paragraph" w:styleId="BodyText2">
    <w:name w:val="Body Text 2"/>
    <w:basedOn w:val="Normal"/>
    <w:link w:val="21"/>
    <w:autoRedefine/>
    <w:qFormat/>
    <w:pPr>
      <w:spacing w:line="360" w:lineRule="auto"/>
    </w:pPr>
    <w:rPr>
      <w:sz w:val="24"/>
    </w:rPr>
  </w:style>
  <w:style w:type="paragraph" w:styleId="BodyTextIndent">
    <w:name w:val="Body Text Indent"/>
    <w:basedOn w:val="Normal"/>
    <w:link w:val="a5"/>
    <w:autoRedefine/>
    <w:qFormat/>
    <w:pPr>
      <w:spacing w:line="360" w:lineRule="auto"/>
      <w:ind w:firstLine="420" w:firstLineChars="200"/>
    </w:pPr>
  </w:style>
  <w:style w:type="paragraph" w:styleId="TOC5">
    <w:name w:val="toc 5"/>
    <w:basedOn w:val="Normal"/>
    <w:next w:val="Normal"/>
    <w:autoRedefine/>
    <w:semiHidden/>
    <w:qFormat/>
    <w:pPr>
      <w:ind w:left="840"/>
      <w:jc w:val="left"/>
    </w:pPr>
    <w:rPr>
      <w:szCs w:val="21"/>
    </w:rPr>
  </w:style>
  <w:style w:type="paragraph" w:styleId="TOC3">
    <w:name w:val="toc 3"/>
    <w:basedOn w:val="Normal"/>
    <w:next w:val="Normal"/>
    <w:autoRedefine/>
    <w:semiHidden/>
    <w:qFormat/>
    <w:pPr>
      <w:ind w:left="420"/>
      <w:jc w:val="left"/>
    </w:pPr>
    <w:rPr>
      <w:i/>
      <w:iCs/>
    </w:rPr>
  </w:style>
  <w:style w:type="paragraph" w:styleId="PlainText">
    <w:name w:val="Plain Text"/>
    <w:basedOn w:val="Normal"/>
    <w:link w:val="a8"/>
    <w:autoRedefine/>
    <w:qFormat/>
    <w:rPr>
      <w:rFonts w:ascii="宋体" w:hAnsi="Courier New"/>
      <w:szCs w:val="20"/>
    </w:rPr>
  </w:style>
  <w:style w:type="paragraph" w:styleId="TOC8">
    <w:name w:val="toc 8"/>
    <w:basedOn w:val="Normal"/>
    <w:next w:val="Normal"/>
    <w:autoRedefine/>
    <w:semiHidden/>
    <w:qFormat/>
    <w:pPr>
      <w:ind w:left="1470"/>
      <w:jc w:val="left"/>
    </w:pPr>
    <w:rPr>
      <w:szCs w:val="21"/>
    </w:rPr>
  </w:style>
  <w:style w:type="paragraph" w:styleId="Date">
    <w:name w:val="Date"/>
    <w:basedOn w:val="Normal"/>
    <w:next w:val="Normal"/>
    <w:link w:val="a7"/>
    <w:autoRedefine/>
    <w:qFormat/>
    <w:rPr>
      <w:rFonts w:ascii="宋体" w:hAnsi="Courier New"/>
      <w:sz w:val="32"/>
      <w:szCs w:val="20"/>
    </w:rPr>
  </w:style>
  <w:style w:type="paragraph" w:styleId="BodyTextIndent2">
    <w:name w:val="Body Text Indent 2"/>
    <w:basedOn w:val="Normal"/>
    <w:link w:val="20"/>
    <w:autoRedefine/>
    <w:qFormat/>
    <w:pPr>
      <w:spacing w:beforeLines="50" w:afterLines="50" w:line="120" w:lineRule="auto"/>
      <w:ind w:firstLine="840" w:firstLineChars="400"/>
      <w:jc w:val="left"/>
    </w:pPr>
    <w:rPr>
      <w:rFonts w:ascii="宋体" w:hAnsi="宋体"/>
    </w:rPr>
  </w:style>
  <w:style w:type="paragraph" w:styleId="BalloonText">
    <w:name w:val="Balloon Text"/>
    <w:basedOn w:val="Normal"/>
    <w:link w:val="a12"/>
    <w:autoRedefine/>
    <w:uiPriority w:val="99"/>
    <w:semiHidden/>
    <w:qFormat/>
    <w:rPr>
      <w:sz w:val="18"/>
      <w:szCs w:val="18"/>
    </w:rPr>
  </w:style>
  <w:style w:type="paragraph" w:styleId="Footer">
    <w:name w:val="footer"/>
    <w:basedOn w:val="Normal"/>
    <w:link w:val="a11"/>
    <w:autoRedefine/>
    <w:qFormat/>
    <w:pPr>
      <w:tabs>
        <w:tab w:val="center" w:pos="4153"/>
        <w:tab w:val="right" w:pos="8306"/>
      </w:tabs>
      <w:snapToGrid w:val="0"/>
      <w:jc w:val="left"/>
    </w:pPr>
    <w:rPr>
      <w:sz w:val="18"/>
      <w:szCs w:val="18"/>
    </w:rPr>
  </w:style>
  <w:style w:type="paragraph" w:styleId="Header">
    <w:name w:val="header"/>
    <w:basedOn w:val="Normal"/>
    <w:link w:val="a10"/>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semiHidden/>
    <w:qFormat/>
    <w:pPr>
      <w:spacing w:before="120" w:after="120"/>
      <w:jc w:val="left"/>
    </w:pPr>
    <w:rPr>
      <w:b/>
      <w:bCs/>
      <w:caps/>
    </w:rPr>
  </w:style>
  <w:style w:type="paragraph" w:styleId="TOC4">
    <w:name w:val="toc 4"/>
    <w:basedOn w:val="Normal"/>
    <w:next w:val="Normal"/>
    <w:autoRedefine/>
    <w:semiHidden/>
    <w:qFormat/>
    <w:pPr>
      <w:ind w:left="630"/>
      <w:jc w:val="left"/>
    </w:pPr>
    <w:rPr>
      <w:szCs w:val="21"/>
    </w:rPr>
  </w:style>
  <w:style w:type="paragraph" w:styleId="TOC6">
    <w:name w:val="toc 6"/>
    <w:basedOn w:val="Normal"/>
    <w:next w:val="Normal"/>
    <w:autoRedefine/>
    <w:semiHidden/>
    <w:qFormat/>
    <w:pPr>
      <w:ind w:left="1050"/>
      <w:jc w:val="left"/>
    </w:pPr>
    <w:rPr>
      <w:szCs w:val="21"/>
    </w:rPr>
  </w:style>
  <w:style w:type="paragraph" w:styleId="BodyTextIndent3">
    <w:name w:val="Body Text Indent 3"/>
    <w:basedOn w:val="Normal"/>
    <w:link w:val="30"/>
    <w:autoRedefine/>
    <w:qFormat/>
    <w:pPr>
      <w:spacing w:line="360" w:lineRule="auto"/>
      <w:ind w:firstLine="482" w:firstLineChars="200"/>
    </w:pPr>
    <w:rPr>
      <w:rFonts w:ascii="宋体"/>
      <w:b/>
      <w:bCs/>
      <w:sz w:val="24"/>
    </w:rPr>
  </w:style>
  <w:style w:type="paragraph" w:styleId="TOC2">
    <w:name w:val="toc 2"/>
    <w:basedOn w:val="Normal"/>
    <w:next w:val="Normal"/>
    <w:autoRedefine/>
    <w:semiHidden/>
    <w:qFormat/>
    <w:pPr>
      <w:tabs>
        <w:tab w:val="right" w:leader="dot" w:pos="8296"/>
      </w:tabs>
      <w:ind w:left="210"/>
      <w:jc w:val="left"/>
    </w:pPr>
    <w:rPr>
      <w:smallCaps/>
    </w:rPr>
  </w:style>
  <w:style w:type="paragraph" w:styleId="TOC9">
    <w:name w:val="toc 9"/>
    <w:basedOn w:val="Normal"/>
    <w:next w:val="Normal"/>
    <w:autoRedefine/>
    <w:semiHidden/>
    <w:qFormat/>
    <w:pPr>
      <w:ind w:left="1680"/>
      <w:jc w:val="left"/>
    </w:pPr>
    <w:rPr>
      <w:szCs w:val="21"/>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link w:val="a31"/>
    <w:autoRedefine/>
    <w:uiPriority w:val="99"/>
    <w:qFormat/>
    <w:rPr>
      <w:sz w:val="24"/>
    </w:rPr>
  </w:style>
  <w:style w:type="paragraph" w:styleId="Index1">
    <w:name w:val="index 1"/>
    <w:basedOn w:val="Normal"/>
    <w:next w:val="Normal"/>
    <w:autoRedefine/>
    <w:semiHidden/>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link w:val="a6"/>
    <w:autoRedefine/>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a29"/>
    <w:autoRedefine/>
    <w:uiPriority w:val="9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a20"/>
    <w:autoRedefine/>
    <w:qFormat/>
    <w:pPr>
      <w:spacing w:after="120" w:line="240" w:lineRule="auto"/>
      <w:ind w:firstLine="420" w:firstLineChars="100"/>
    </w:pPr>
    <w:rPr>
      <w:sz w:val="21"/>
    </w:rPr>
  </w:style>
  <w:style w:type="paragraph" w:styleId="BodyTextFirstIndent2">
    <w:name w:val="Body Text First Indent 2"/>
    <w:basedOn w:val="BodyTextIndent"/>
    <w:qFormat/>
    <w:pPr>
      <w:spacing w:after="120" w:line="240" w:lineRule="auto"/>
      <w:ind w:left="420" w:leftChars="200"/>
    </w:p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utoRedefine/>
    <w:qFormat/>
    <w:rPr>
      <w:b/>
      <w:bCs/>
    </w:rPr>
  </w:style>
  <w:style w:type="character" w:styleId="PageNumber">
    <w:name w:val="page number"/>
    <w:basedOn w:val="DefaultParagraphFont"/>
    <w:autoRedefine/>
    <w:qFormat/>
  </w:style>
  <w:style w:type="character" w:styleId="FollowedHyperlink">
    <w:name w:val="FollowedHyperlink"/>
    <w:autoRedefine/>
    <w:qFormat/>
    <w:rPr>
      <w:color w:val="800080"/>
      <w:u w:val="single"/>
    </w:rPr>
  </w:style>
  <w:style w:type="character" w:styleId="Emphasis">
    <w:name w:val="Emphasis"/>
    <w:basedOn w:val="DefaultParagraphFont"/>
    <w:qFormat/>
    <w:rPr>
      <w:b/>
      <w:bCs/>
    </w:rPr>
  </w:style>
  <w:style w:type="character" w:styleId="HTMLDefinition">
    <w:name w:val="HTML Definition"/>
    <w:basedOn w:val="DefaultParagraphFont"/>
    <w:semiHidden/>
    <w:unhideWhenUsed/>
    <w:qFormat/>
  </w:style>
  <w:style w:type="character" w:styleId="HTMLTypewriter">
    <w:name w:val="HTML Typewriter"/>
    <w:basedOn w:val="DefaultParagraphFont"/>
    <w:semiHidden/>
    <w:unhideWhenUsed/>
    <w:qFormat/>
    <w:rPr>
      <w:rFonts w:ascii="monospace" w:eastAsia="monospace" w:hAnsi="monospace" w:cs="monospace"/>
      <w:sz w:val="20"/>
    </w:rPr>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autoRedefine/>
    <w:qFormat/>
    <w:rPr>
      <w:color w:val="0000FF"/>
      <w:u w:val="single"/>
    </w:rPr>
  </w:style>
  <w:style w:type="character" w:styleId="HTMLCode">
    <w:name w:val="HTML Code"/>
    <w:basedOn w:val="DefaultParagraphFont"/>
    <w:semiHidden/>
    <w:unhideWhenUsed/>
    <w:qFormat/>
    <w:rPr>
      <w:rFonts w:ascii="monospace" w:eastAsia="monospace" w:hAnsi="monospace" w:cs="monospace" w:hint="default"/>
      <w:sz w:val="20"/>
    </w:rPr>
  </w:style>
  <w:style w:type="character" w:styleId="CommentReference">
    <w:name w:val="annotation reference"/>
    <w:basedOn w:val="DefaultParagraphFont"/>
    <w:autoRedefine/>
    <w:uiPriority w:val="99"/>
    <w:qFormat/>
    <w:rPr>
      <w:sz w:val="21"/>
      <w:szCs w:val="21"/>
    </w:rPr>
  </w:style>
  <w:style w:type="character" w:styleId="HTMLCite">
    <w:name w:val="HTML Cite"/>
    <w:basedOn w:val="DefaultParagraphFont"/>
    <w:semiHidden/>
    <w:unhideWhenUsed/>
    <w:qFormat/>
  </w:style>
  <w:style w:type="character" w:styleId="HTMLKeyboard">
    <w:name w:val="HTML Keyboard"/>
    <w:basedOn w:val="DefaultParagraphFont"/>
    <w:semiHidden/>
    <w:unhideWhenUsed/>
    <w:qFormat/>
    <w:rPr>
      <w:rFonts w:ascii="monospace" w:eastAsia="monospace" w:hAnsi="monospace" w:cs="monospace" w:hint="default"/>
      <w:sz w:val="20"/>
    </w:rPr>
  </w:style>
  <w:style w:type="character" w:styleId="HTMLSample">
    <w:name w:val="HTML Sample"/>
    <w:basedOn w:val="DefaultParagraphFont"/>
    <w:semiHidden/>
    <w:unhideWhenUsed/>
    <w:qFormat/>
    <w:rPr>
      <w:rFonts w:ascii="monospace" w:eastAsia="monospace" w:hAnsi="monospace" w:cs="monospace" w:hint="default"/>
    </w:rPr>
  </w:style>
  <w:style w:type="character" w:customStyle="1" w:styleId="4">
    <w:name w:val="标题 4 字符"/>
    <w:link w:val="Heading4"/>
    <w:autoRedefine/>
    <w:uiPriority w:val="9"/>
    <w:qFormat/>
    <w:rPr>
      <w:rFonts w:ascii="Arial" w:eastAsia="黑体" w:hAnsi="Arial"/>
      <w:b/>
      <w:bCs/>
      <w:kern w:val="2"/>
      <w:sz w:val="28"/>
      <w:szCs w:val="28"/>
      <w:lang w:val="en-US" w:eastAsia="zh-CN" w:bidi="ar-SA"/>
    </w:rPr>
  </w:style>
  <w:style w:type="paragraph" w:customStyle="1" w:styleId="Char">
    <w:name w:val="Char"/>
    <w:basedOn w:val="Normal"/>
    <w:autoRedefine/>
    <w:qFormat/>
    <w:pPr>
      <w:widowControl/>
      <w:spacing w:after="160" w:line="240" w:lineRule="exact"/>
      <w:jc w:val="left"/>
    </w:pPr>
    <w:rPr>
      <w:rFonts w:ascii="Verdana" w:eastAsia="仿宋_GB2312" w:hAnsi="Verdana"/>
      <w:kern w:val="0"/>
      <w:sz w:val="24"/>
      <w:szCs w:val="20"/>
      <w:lang w:eastAsia="en-US"/>
    </w:rPr>
  </w:style>
  <w:style w:type="character" w:customStyle="1" w:styleId="3">
    <w:name w:val="标题 3 字符"/>
    <w:link w:val="Heading3"/>
    <w:autoRedefine/>
    <w:uiPriority w:val="9"/>
    <w:qFormat/>
    <w:rPr>
      <w:rFonts w:ascii="宋体" w:eastAsia="宋体" w:hAnsi="宋体"/>
      <w:b/>
      <w:bCs/>
      <w:kern w:val="2"/>
      <w:sz w:val="28"/>
      <w:szCs w:val="32"/>
      <w:lang w:val="en-US" w:eastAsia="zh-CN" w:bidi="ar-SA"/>
    </w:rPr>
  </w:style>
  <w:style w:type="character" w:customStyle="1" w:styleId="1">
    <w:name w:val="标题 1 字符"/>
    <w:link w:val="Heading1"/>
    <w:autoRedefine/>
    <w:qFormat/>
    <w:rPr>
      <w:rFonts w:ascii="宋体" w:eastAsia="黑体" w:hAnsi="宋体"/>
      <w:b/>
      <w:bCs/>
      <w:kern w:val="44"/>
      <w:sz w:val="28"/>
      <w:szCs w:val="44"/>
      <w:lang w:val="en-US" w:eastAsia="zh-CN" w:bidi="ar-SA"/>
    </w:rPr>
  </w:style>
  <w:style w:type="character" w:customStyle="1" w:styleId="a">
    <w:name w:val="正文缩进 字符"/>
    <w:link w:val="NormalIndent"/>
    <w:autoRedefine/>
    <w:qFormat/>
    <w:rPr>
      <w:rFonts w:eastAsia="宋体"/>
      <w:kern w:val="2"/>
      <w:sz w:val="21"/>
      <w:lang w:val="en-US" w:eastAsia="zh-CN" w:bidi="ar-SA"/>
    </w:rPr>
  </w:style>
  <w:style w:type="character" w:customStyle="1" w:styleId="3Char">
    <w:name w:val="标题 3 Char"/>
    <w:autoRedefine/>
    <w:qFormat/>
    <w:rPr>
      <w:rFonts w:ascii="黑体" w:eastAsia="黑体"/>
      <w:bCs/>
      <w:sz w:val="30"/>
    </w:rPr>
  </w:style>
  <w:style w:type="paragraph" w:customStyle="1" w:styleId="41">
    <w:name w:val="样式41"/>
    <w:basedOn w:val="Normal"/>
    <w:autoRedefine/>
    <w:qFormat/>
    <w:pPr>
      <w:numPr>
        <w:ilvl w:val="0"/>
        <w:numId w:val="2"/>
      </w:numPr>
      <w:tabs>
        <w:tab w:val="left" w:pos="945"/>
      </w:tabs>
      <w:spacing w:line="360" w:lineRule="auto"/>
    </w:pPr>
    <w:rPr>
      <w:b/>
      <w:color w:val="000000"/>
      <w:sz w:val="24"/>
      <w:szCs w:val="20"/>
    </w:rPr>
  </w:style>
  <w:style w:type="paragraph" w:customStyle="1" w:styleId="a0">
    <w:name w:val="图"/>
    <w:basedOn w:val="Normal"/>
    <w:autoRedefine/>
    <w:qFormat/>
    <w:pPr>
      <w:keepNext/>
      <w:adjustRightInd w:val="0"/>
      <w:snapToGrid w:val="0"/>
      <w:spacing w:before="60" w:after="60" w:line="300" w:lineRule="auto"/>
      <w:jc w:val="center"/>
    </w:pPr>
    <w:rPr>
      <w:spacing w:val="20"/>
      <w:kern w:val="0"/>
      <w:sz w:val="24"/>
      <w:szCs w:val="20"/>
    </w:rPr>
  </w:style>
  <w:style w:type="paragraph" w:customStyle="1" w:styleId="a1">
    <w:name w:val="文档正文"/>
    <w:basedOn w:val="Normal"/>
    <w:autoRedefine/>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autoRedefine/>
    <w:qFormat/>
    <w:pPr>
      <w:suppressAutoHyphens/>
      <w:autoSpaceDE w:val="0"/>
      <w:spacing w:after="120"/>
      <w:jc w:val="left"/>
    </w:pPr>
    <w:rPr>
      <w:rFonts w:ascii="Helvetica" w:hAnsi="Helvetica"/>
      <w:kern w:val="1"/>
      <w:sz w:val="20"/>
      <w:szCs w:val="20"/>
    </w:rPr>
  </w:style>
  <w:style w:type="paragraph" w:customStyle="1" w:styleId="a2">
    <w:name w:val="自定义正文"/>
    <w:basedOn w:val="Normal"/>
    <w:autoRedefine/>
    <w:qFormat/>
    <w:pPr>
      <w:spacing w:afterLines="50"/>
      <w:ind w:left="600" w:leftChars="600"/>
    </w:pPr>
  </w:style>
  <w:style w:type="paragraph" w:customStyle="1" w:styleId="CharCharCharCharChar">
    <w:name w:val="Char Char Char Char Char"/>
    <w:basedOn w:val="Normal"/>
    <w:autoRedefine/>
    <w:qFormat/>
    <w:rPr>
      <w:rFonts w:ascii="Tahoma" w:hAnsi="Tahoma"/>
      <w:sz w:val="24"/>
      <w:szCs w:val="20"/>
    </w:rPr>
  </w:style>
  <w:style w:type="paragraph" w:customStyle="1" w:styleId="10">
    <w:name w:val="小标题 1"/>
    <w:basedOn w:val="Normal"/>
    <w:autoRedefine/>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autoRedefine/>
    <w:qFormat/>
    <w:rPr>
      <w:rFonts w:ascii="Tahoma" w:hAnsi="Tahoma"/>
      <w:sz w:val="24"/>
      <w:szCs w:val="20"/>
    </w:rPr>
  </w:style>
  <w:style w:type="paragraph" w:customStyle="1" w:styleId="a3">
    <w:name w:val="È±Ê¡ÎÄ±¾"/>
    <w:basedOn w:val="Normal"/>
    <w:autoRedefine/>
    <w:qFormat/>
    <w:pPr>
      <w:widowControl/>
      <w:overflowPunct w:val="0"/>
      <w:autoSpaceDE w:val="0"/>
      <w:autoSpaceDN w:val="0"/>
      <w:adjustRightInd w:val="0"/>
      <w:jc w:val="left"/>
      <w:textAlignment w:val="baseline"/>
    </w:pPr>
    <w:rPr>
      <w:kern w:val="0"/>
      <w:sz w:val="24"/>
      <w:szCs w:val="20"/>
    </w:rPr>
  </w:style>
  <w:style w:type="character" w:customStyle="1" w:styleId="2">
    <w:name w:val="标题 2 字符"/>
    <w:link w:val="Heading2"/>
    <w:autoRedefine/>
    <w:qFormat/>
    <w:rPr>
      <w:rFonts w:ascii="宋体" w:eastAsia="宋体" w:hAnsi="宋体"/>
      <w:b/>
      <w:bCs/>
      <w:sz w:val="24"/>
      <w:lang w:val="en-US" w:eastAsia="zh-CN" w:bidi="ar-SA"/>
    </w:rPr>
  </w:style>
  <w:style w:type="paragraph" w:customStyle="1" w:styleId="CharCharCharCharCharChar1Char">
    <w:name w:val="Char Char Char Char Char Char1 Char"/>
    <w:basedOn w:val="Normal"/>
    <w:autoRedefine/>
    <w:qFormat/>
    <w:pPr>
      <w:widowControl/>
      <w:spacing w:after="160" w:line="240" w:lineRule="exact"/>
      <w:jc w:val="left"/>
    </w:pPr>
    <w:rPr>
      <w:rFonts w:ascii="Verdana" w:hAnsi="Verdana"/>
      <w:kern w:val="0"/>
      <w:szCs w:val="20"/>
      <w:lang w:eastAsia="en-US"/>
    </w:rPr>
  </w:style>
  <w:style w:type="paragraph" w:styleId="ListParagraph">
    <w:name w:val="List Paragraph"/>
    <w:basedOn w:val="Normal"/>
    <w:autoRedefine/>
    <w:uiPriority w:val="34"/>
    <w:qFormat/>
    <w:pPr>
      <w:ind w:firstLine="420" w:firstLineChars="200"/>
    </w:pPr>
    <w:rPr>
      <w:rFonts w:ascii="Calibri" w:hAnsi="Calibri"/>
      <w:szCs w:val="22"/>
    </w:rPr>
  </w:style>
  <w:style w:type="paragraph" w:customStyle="1" w:styleId="USE1">
    <w:name w:val="USE 1"/>
    <w:basedOn w:val="Normal"/>
    <w:autoRedefine/>
    <w:qFormat/>
    <w:pPr>
      <w:spacing w:line="200" w:lineRule="atLeast"/>
      <w:jc w:val="left"/>
    </w:pPr>
    <w:rPr>
      <w:rFonts w:ascii="宋体" w:hAnsi="宋体"/>
      <w:b/>
      <w:sz w:val="24"/>
      <w:szCs w:val="28"/>
    </w:rPr>
  </w:style>
  <w:style w:type="paragraph" w:customStyle="1" w:styleId="RFItextfrom3rdLevel">
    <w:name w:val="RFI text from 3rd Level"/>
    <w:basedOn w:val="Normal"/>
    <w:autoRedefine/>
    <w:qFormat/>
    <w:pPr>
      <w:widowControl/>
      <w:numPr>
        <w:ilvl w:val="0"/>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4">
    <w:name w:val="正文文字缩进项目"/>
    <w:basedOn w:val="BodyTextIndent"/>
    <w:autoRedefine/>
    <w:qFormat/>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autoRedefine/>
    <w:qFormat/>
    <w:pPr>
      <w:adjustRightInd/>
      <w:spacing w:before="0" w:after="0"/>
      <w:jc w:val="both"/>
      <w:textAlignment w:val="auto"/>
    </w:pPr>
    <w:rPr>
      <w:rFonts w:ascii="Cambria" w:hAnsi="Cambria" w:cs="宋体"/>
      <w:kern w:val="2"/>
      <w:sz w:val="32"/>
    </w:rPr>
  </w:style>
  <w:style w:type="character" w:customStyle="1" w:styleId="H4Char2">
    <w:name w:val="H4 Char2"/>
    <w:autoRedefine/>
    <w:qFormat/>
    <w:rPr>
      <w:rFonts w:ascii="Arial" w:eastAsia="黑体" w:hAnsi="Arial"/>
      <w:b/>
      <w:bCs/>
      <w:kern w:val="2"/>
      <w:sz w:val="28"/>
      <w:szCs w:val="28"/>
      <w:lang w:val="en-US" w:eastAsia="zh-CN" w:bidi="ar-SA"/>
    </w:rPr>
  </w:style>
  <w:style w:type="character" w:customStyle="1" w:styleId="a5">
    <w:name w:val="正文文本缩进 字符"/>
    <w:link w:val="BodyTextIndent"/>
    <w:autoRedefine/>
    <w:qFormat/>
    <w:rPr>
      <w:rFonts w:eastAsia="宋体"/>
      <w:kern w:val="2"/>
      <w:sz w:val="21"/>
      <w:szCs w:val="24"/>
      <w:lang w:val="en-US" w:eastAsia="zh-CN" w:bidi="ar-SA"/>
    </w:rPr>
  </w:style>
  <w:style w:type="character" w:customStyle="1" w:styleId="5">
    <w:name w:val="标题 5 字符"/>
    <w:link w:val="Heading5"/>
    <w:autoRedefine/>
    <w:qFormat/>
    <w:rPr>
      <w:rFonts w:eastAsia="宋体"/>
      <w:b/>
      <w:kern w:val="2"/>
      <w:sz w:val="28"/>
      <w:lang w:val="en-US" w:eastAsia="zh-CN" w:bidi="ar-SA"/>
    </w:rPr>
  </w:style>
  <w:style w:type="character" w:customStyle="1" w:styleId="Char0">
    <w:name w:val="第*章 Char"/>
    <w:autoRedefine/>
    <w:qFormat/>
    <w:rPr>
      <w:rFonts w:ascii="Arial" w:eastAsia="黑体" w:hAnsi="Arial"/>
      <w:b/>
      <w:bCs/>
      <w:kern w:val="2"/>
      <w:sz w:val="32"/>
      <w:szCs w:val="32"/>
    </w:rPr>
  </w:style>
  <w:style w:type="character" w:customStyle="1" w:styleId="1Char">
    <w:name w:val="章标题1 Char"/>
    <w:autoRedefine/>
    <w:qFormat/>
    <w:rPr>
      <w:rFonts w:eastAsia="宋体"/>
      <w:b/>
      <w:bCs/>
      <w:kern w:val="2"/>
      <w:sz w:val="32"/>
      <w:szCs w:val="32"/>
      <w:lang w:val="en-US" w:eastAsia="zh-CN" w:bidi="ar-SA"/>
    </w:rPr>
  </w:style>
  <w:style w:type="character" w:customStyle="1" w:styleId="6">
    <w:name w:val="标题 6 字符"/>
    <w:link w:val="Heading6"/>
    <w:autoRedefine/>
    <w:qFormat/>
    <w:rPr>
      <w:rFonts w:ascii="Arial" w:eastAsia="黑体" w:hAnsi="Arial"/>
      <w:b/>
      <w:kern w:val="2"/>
      <w:sz w:val="24"/>
      <w:lang w:val="en-US" w:eastAsia="zh-CN" w:bidi="ar-SA"/>
    </w:rPr>
  </w:style>
  <w:style w:type="character" w:customStyle="1" w:styleId="7">
    <w:name w:val="标题 7 字符"/>
    <w:link w:val="Heading7"/>
    <w:autoRedefine/>
    <w:qFormat/>
    <w:rPr>
      <w:rFonts w:eastAsia="宋体"/>
      <w:b/>
      <w:kern w:val="2"/>
      <w:sz w:val="24"/>
      <w:lang w:val="en-US" w:eastAsia="zh-CN" w:bidi="ar-SA"/>
    </w:rPr>
  </w:style>
  <w:style w:type="character" w:customStyle="1" w:styleId="8">
    <w:name w:val="标题 8 字符"/>
    <w:link w:val="Heading8"/>
    <w:autoRedefine/>
    <w:qFormat/>
    <w:rPr>
      <w:rFonts w:ascii="Arial" w:eastAsia="黑体" w:hAnsi="Arial"/>
      <w:kern w:val="2"/>
      <w:sz w:val="24"/>
      <w:lang w:val="en-US" w:eastAsia="zh-CN" w:bidi="ar-SA"/>
    </w:rPr>
  </w:style>
  <w:style w:type="character" w:customStyle="1" w:styleId="9">
    <w:name w:val="标题 9 字符"/>
    <w:link w:val="Heading9"/>
    <w:autoRedefine/>
    <w:qFormat/>
    <w:rPr>
      <w:rFonts w:ascii="Arial" w:eastAsia="黑体" w:hAnsi="Arial"/>
      <w:kern w:val="2"/>
      <w:sz w:val="21"/>
      <w:lang w:val="en-US" w:eastAsia="zh-CN" w:bidi="ar-SA"/>
    </w:rPr>
  </w:style>
  <w:style w:type="character" w:customStyle="1" w:styleId="a6">
    <w:name w:val="标题 字符"/>
    <w:link w:val="Title"/>
    <w:autoRedefine/>
    <w:qFormat/>
    <w:rPr>
      <w:rFonts w:ascii="Arial" w:eastAsia="隶书" w:hAnsi="Arial" w:cs="Arial"/>
      <w:b/>
      <w:bCs/>
      <w:kern w:val="2"/>
      <w:sz w:val="32"/>
      <w:szCs w:val="32"/>
      <w:lang w:val="en-US" w:eastAsia="zh-CN" w:bidi="ar-SA"/>
    </w:rPr>
  </w:style>
  <w:style w:type="character" w:customStyle="1" w:styleId="a7">
    <w:name w:val="日期 字符"/>
    <w:link w:val="Date"/>
    <w:autoRedefine/>
    <w:qFormat/>
    <w:rPr>
      <w:rFonts w:ascii="宋体" w:eastAsia="宋体" w:hAnsi="Courier New"/>
      <w:kern w:val="2"/>
      <w:sz w:val="32"/>
      <w:lang w:val="en-US" w:eastAsia="zh-CN" w:bidi="ar-SA"/>
    </w:rPr>
  </w:style>
  <w:style w:type="character" w:customStyle="1" w:styleId="HTML">
    <w:name w:val="HTML 预设格式 字符"/>
    <w:link w:val="HTMLPreformatted"/>
    <w:autoRedefine/>
    <w:qFormat/>
    <w:rPr>
      <w:rFonts w:ascii="Arial Unicode MS" w:eastAsia="Arial Unicode MS" w:hAnsi="Arial Unicode MS"/>
      <w:color w:val="000000"/>
      <w:lang w:val="en-US" w:eastAsia="zh-CN" w:bidi="ar-SA"/>
    </w:rPr>
  </w:style>
  <w:style w:type="character" w:customStyle="1" w:styleId="a8">
    <w:name w:val="纯文本 字符"/>
    <w:link w:val="PlainText"/>
    <w:autoRedefine/>
    <w:qFormat/>
    <w:rPr>
      <w:rFonts w:ascii="宋体" w:eastAsia="宋体" w:hAnsi="Courier New"/>
      <w:kern w:val="2"/>
      <w:sz w:val="21"/>
      <w:lang w:val="en-US" w:eastAsia="zh-CN" w:bidi="ar-SA"/>
    </w:rPr>
  </w:style>
  <w:style w:type="character" w:customStyle="1" w:styleId="Char1">
    <w:name w:val="正文文字首行缩进 Char"/>
    <w:autoRedefine/>
    <w:qFormat/>
    <w:rPr>
      <w:kern w:val="2"/>
      <w:sz w:val="21"/>
      <w:szCs w:val="24"/>
    </w:rPr>
  </w:style>
  <w:style w:type="character" w:customStyle="1" w:styleId="a9">
    <w:name w:val="正文文本 字符"/>
    <w:link w:val="BodyText"/>
    <w:qFormat/>
    <w:rPr>
      <w:rFonts w:eastAsia="宋体"/>
      <w:b/>
      <w:bCs/>
      <w:kern w:val="2"/>
      <w:sz w:val="24"/>
      <w:szCs w:val="24"/>
      <w:lang w:val="en-US" w:eastAsia="zh-CN" w:bidi="ar-SA"/>
    </w:rPr>
  </w:style>
  <w:style w:type="character" w:customStyle="1" w:styleId="20">
    <w:name w:val="正文文本缩进 2 字符"/>
    <w:link w:val="BodyTextIndent2"/>
    <w:autoRedefine/>
    <w:qFormat/>
    <w:rPr>
      <w:rFonts w:ascii="宋体" w:eastAsia="宋体" w:hAnsi="宋体"/>
      <w:kern w:val="2"/>
      <w:sz w:val="21"/>
      <w:szCs w:val="24"/>
      <w:lang w:val="en-US" w:eastAsia="zh-CN" w:bidi="ar-SA"/>
    </w:rPr>
  </w:style>
  <w:style w:type="character" w:customStyle="1" w:styleId="a10">
    <w:name w:val="页眉 字符"/>
    <w:link w:val="Header"/>
    <w:autoRedefine/>
    <w:uiPriority w:val="99"/>
    <w:qFormat/>
    <w:rPr>
      <w:rFonts w:eastAsia="宋体"/>
      <w:kern w:val="2"/>
      <w:sz w:val="18"/>
      <w:szCs w:val="18"/>
      <w:lang w:val="en-US" w:eastAsia="zh-CN" w:bidi="ar-SA"/>
    </w:rPr>
  </w:style>
  <w:style w:type="character" w:customStyle="1" w:styleId="30">
    <w:name w:val="正文文本缩进 3 字符"/>
    <w:link w:val="BodyTextIndent3"/>
    <w:autoRedefine/>
    <w:qFormat/>
    <w:rPr>
      <w:rFonts w:ascii="宋体" w:eastAsia="宋体"/>
      <w:b/>
      <w:bCs/>
      <w:kern w:val="2"/>
      <w:sz w:val="24"/>
      <w:szCs w:val="24"/>
      <w:lang w:val="en-US" w:eastAsia="zh-CN" w:bidi="ar-SA"/>
    </w:rPr>
  </w:style>
  <w:style w:type="character" w:customStyle="1" w:styleId="21">
    <w:name w:val="正文文本 2 字符"/>
    <w:link w:val="BodyText2"/>
    <w:autoRedefine/>
    <w:qFormat/>
    <w:rPr>
      <w:rFonts w:eastAsia="宋体"/>
      <w:kern w:val="2"/>
      <w:sz w:val="24"/>
      <w:szCs w:val="24"/>
      <w:lang w:val="en-US" w:eastAsia="zh-CN" w:bidi="ar-SA"/>
    </w:rPr>
  </w:style>
  <w:style w:type="character" w:customStyle="1" w:styleId="a11">
    <w:name w:val="页脚 字符"/>
    <w:link w:val="Footer"/>
    <w:autoRedefine/>
    <w:qFormat/>
    <w:rPr>
      <w:rFonts w:eastAsia="宋体"/>
      <w:kern w:val="2"/>
      <w:sz w:val="18"/>
      <w:szCs w:val="18"/>
      <w:lang w:val="en-US" w:eastAsia="zh-CN" w:bidi="ar-SA"/>
    </w:rPr>
  </w:style>
  <w:style w:type="character" w:customStyle="1" w:styleId="31">
    <w:name w:val="正文文本 3 字符"/>
    <w:link w:val="BodyText3"/>
    <w:qFormat/>
    <w:rPr>
      <w:rFonts w:eastAsia="宋体"/>
      <w:kern w:val="2"/>
      <w:sz w:val="16"/>
      <w:szCs w:val="16"/>
      <w:lang w:val="en-US" w:eastAsia="zh-CN" w:bidi="ar-SA"/>
    </w:rPr>
  </w:style>
  <w:style w:type="character" w:customStyle="1" w:styleId="a12">
    <w:name w:val="批注框文本 字符"/>
    <w:link w:val="BalloonText"/>
    <w:autoRedefine/>
    <w:uiPriority w:val="99"/>
    <w:semiHidden/>
    <w:qFormat/>
    <w:rPr>
      <w:rFonts w:eastAsia="宋体"/>
      <w:kern w:val="2"/>
      <w:sz w:val="18"/>
      <w:szCs w:val="18"/>
      <w:lang w:val="en-US" w:eastAsia="zh-CN" w:bidi="ar-SA"/>
    </w:rPr>
  </w:style>
  <w:style w:type="paragraph" w:customStyle="1" w:styleId="11">
    <w:name w:val="样式1"/>
    <w:basedOn w:val="Title"/>
    <w:autoRedefine/>
    <w:qFormat/>
    <w:pPr>
      <w:spacing w:before="120" w:after="120"/>
    </w:pPr>
    <w:rPr>
      <w:rFonts w:eastAsia="黑体"/>
      <w:b w:val="0"/>
      <w:sz w:val="30"/>
      <w:szCs w:val="21"/>
    </w:rPr>
  </w:style>
  <w:style w:type="paragraph" w:customStyle="1" w:styleId="22">
    <w:name w:val="样式2"/>
    <w:basedOn w:val="Title"/>
    <w:next w:val="11"/>
    <w:autoRedefine/>
    <w:qFormat/>
    <w:pPr>
      <w:spacing w:before="120" w:after="120"/>
    </w:pPr>
    <w:rPr>
      <w:rFonts w:eastAsia="黑体"/>
      <w:b w:val="0"/>
      <w:sz w:val="30"/>
      <w:szCs w:val="30"/>
    </w:rPr>
  </w:style>
  <w:style w:type="character" w:customStyle="1" w:styleId="3CharChar">
    <w:name w:val="标题 3 Char Char"/>
    <w:autoRedefine/>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autoRedefine/>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autoRedefine/>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autoRedefine/>
    <w:qFormat/>
    <w:pPr>
      <w:spacing w:line="360" w:lineRule="auto"/>
      <w:ind w:firstLine="200" w:firstLineChars="200"/>
    </w:pPr>
    <w:rPr>
      <w:szCs w:val="20"/>
    </w:rPr>
  </w:style>
  <w:style w:type="paragraph" w:customStyle="1" w:styleId="a13">
    <w:name w:val="设计依据"/>
    <w:basedOn w:val="BodyText"/>
    <w:autoRedefine/>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14">
    <w:name w:val="方案要点"/>
    <w:basedOn w:val="Normal"/>
    <w:autoRedefine/>
    <w:qFormat/>
    <w:pPr>
      <w:numPr>
        <w:ilvl w:val="0"/>
        <w:numId w:val="4"/>
      </w:numPr>
      <w:spacing w:line="360" w:lineRule="auto"/>
    </w:pPr>
    <w:rPr>
      <w:rFonts w:ascii="仿宋_GB2312" w:eastAsia="仿宋_GB2312" w:hAnsi="宋体"/>
      <w:color w:val="000000"/>
      <w:sz w:val="28"/>
      <w:szCs w:val="28"/>
    </w:rPr>
  </w:style>
  <w:style w:type="paragraph" w:customStyle="1" w:styleId="40">
    <w:name w:val="样式4"/>
    <w:basedOn w:val="Normal"/>
    <w:autoRedefine/>
    <w:qFormat/>
    <w:pPr>
      <w:tabs>
        <w:tab w:val="left" w:pos="842"/>
      </w:tabs>
      <w:spacing w:line="360" w:lineRule="auto"/>
      <w:ind w:left="842" w:hanging="420"/>
    </w:pPr>
    <w:rPr>
      <w:sz w:val="24"/>
    </w:rPr>
  </w:style>
  <w:style w:type="paragraph" w:customStyle="1" w:styleId="a15">
    <w:name w:val="文字"/>
    <w:basedOn w:val="Normal"/>
    <w:autoRedefine/>
    <w:qFormat/>
    <w:pPr>
      <w:tabs>
        <w:tab w:val="left" w:pos="8520"/>
      </w:tabs>
      <w:spacing w:line="312" w:lineRule="auto"/>
      <w:ind w:right="-210" w:firstLine="556"/>
    </w:pPr>
    <w:rPr>
      <w:rFonts w:ascii="宋体"/>
      <w:sz w:val="28"/>
      <w:szCs w:val="20"/>
    </w:rPr>
  </w:style>
  <w:style w:type="paragraph" w:customStyle="1" w:styleId="----">
    <w:name w:val="--规划-表格-居左"/>
    <w:basedOn w:val="--"/>
    <w:autoRedefine/>
    <w:qFormat/>
    <w:pPr>
      <w:spacing w:line="240" w:lineRule="auto"/>
      <w:ind w:firstLine="0" w:firstLineChars="0"/>
    </w:pPr>
    <w:rPr>
      <w:sz w:val="20"/>
    </w:rPr>
  </w:style>
  <w:style w:type="paragraph" w:customStyle="1" w:styleId="----0">
    <w:name w:val="--规划-表格-居中"/>
    <w:basedOn w:val="--"/>
    <w:autoRedefine/>
    <w:qFormat/>
    <w:pPr>
      <w:spacing w:line="240" w:lineRule="auto"/>
      <w:ind w:firstLine="0" w:firstLineChars="0"/>
      <w:jc w:val="center"/>
    </w:pPr>
    <w:rPr>
      <w:sz w:val="20"/>
    </w:rPr>
  </w:style>
  <w:style w:type="paragraph" w:customStyle="1" w:styleId="--0">
    <w:name w:val="--编号内缩进"/>
    <w:basedOn w:val="Normal"/>
    <w:autoRedefine/>
    <w:qFormat/>
    <w:pPr>
      <w:spacing w:line="360" w:lineRule="auto"/>
      <w:ind w:left="420" w:firstLine="200" w:firstLineChars="200"/>
    </w:pPr>
    <w:rPr>
      <w:szCs w:val="21"/>
    </w:rPr>
  </w:style>
  <w:style w:type="paragraph" w:customStyle="1" w:styleId="---">
    <w:name w:val="--规划-题注"/>
    <w:basedOn w:val="Normal"/>
    <w:next w:val="--"/>
    <w:autoRedefine/>
    <w:qFormat/>
    <w:pPr>
      <w:spacing w:line="360" w:lineRule="auto"/>
      <w:jc w:val="center"/>
    </w:pPr>
    <w:rPr>
      <w:rFonts w:eastAsia="黑体"/>
    </w:rPr>
  </w:style>
  <w:style w:type="paragraph" w:customStyle="1" w:styleId="---0">
    <w:name w:val="--规划-图和表"/>
    <w:next w:val="--"/>
    <w:autoRedefine/>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autoRedefine/>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16">
    <w:name w:val="缺省文本"/>
    <w:basedOn w:val="Normal"/>
    <w:autoRedefine/>
    <w:qFormat/>
    <w:pPr>
      <w:autoSpaceDE w:val="0"/>
      <w:autoSpaceDN w:val="0"/>
      <w:adjustRightInd w:val="0"/>
      <w:jc w:val="left"/>
    </w:pPr>
    <w:rPr>
      <w:kern w:val="0"/>
    </w:rPr>
  </w:style>
  <w:style w:type="paragraph" w:customStyle="1" w:styleId="a17">
    <w:name w:val="封面文档标题"/>
    <w:basedOn w:val="Normal"/>
    <w:autoRedefine/>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2">
    <w:name w:val="样式3"/>
    <w:basedOn w:val="Heading1"/>
    <w:autoRedefine/>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autoRedefine/>
    <w:qFormat/>
    <w:rPr>
      <w:rFonts w:eastAsia="宋体"/>
      <w:kern w:val="2"/>
      <w:sz w:val="21"/>
      <w:lang w:val="en-US" w:eastAsia="zh-CN" w:bidi="ar-SA"/>
    </w:rPr>
  </w:style>
  <w:style w:type="paragraph" w:customStyle="1" w:styleId="word">
    <w:name w:val="word"/>
    <w:basedOn w:val="Normal"/>
    <w:autoRedefine/>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18">
    <w:name w:val="列表项目"/>
    <w:basedOn w:val="Normal"/>
    <w:autoRedefine/>
    <w:qFormat/>
    <w:pPr>
      <w:tabs>
        <w:tab w:val="left" w:pos="420"/>
        <w:tab w:val="left" w:pos="1080"/>
      </w:tabs>
      <w:spacing w:line="288" w:lineRule="auto"/>
      <w:ind w:left="1080" w:hanging="360"/>
    </w:pPr>
    <w:rPr>
      <w:sz w:val="24"/>
      <w:szCs w:val="20"/>
    </w:rPr>
  </w:style>
  <w:style w:type="character" w:customStyle="1" w:styleId="content1">
    <w:name w:val="content1"/>
    <w:autoRedefine/>
    <w:qFormat/>
    <w:rPr>
      <w:rFonts w:ascii="??" w:hAnsi="??" w:hint="default"/>
      <w:sz w:val="16"/>
      <w:szCs w:val="16"/>
      <w:u w:val="none"/>
    </w:rPr>
  </w:style>
  <w:style w:type="character" w:customStyle="1" w:styleId="unnamed4">
    <w:name w:val="unnamed4"/>
    <w:basedOn w:val="DefaultParagraphFont"/>
    <w:autoRedefine/>
    <w:qFormat/>
  </w:style>
  <w:style w:type="character" w:customStyle="1" w:styleId="font2">
    <w:name w:val="font2"/>
    <w:basedOn w:val="DefaultParagraphFont"/>
    <w:autoRedefine/>
    <w:qFormat/>
  </w:style>
  <w:style w:type="character" w:customStyle="1" w:styleId="font41">
    <w:name w:val="font41"/>
    <w:autoRedefine/>
    <w:qFormat/>
    <w:rPr>
      <w:color w:val="000000"/>
      <w:spacing w:val="260"/>
      <w:sz w:val="18"/>
      <w:szCs w:val="18"/>
      <w:u w:val="none"/>
    </w:rPr>
  </w:style>
  <w:style w:type="paragraph" w:customStyle="1" w:styleId="a19">
    <w:name w:val="正文(首行缩进)"/>
    <w:autoRedefine/>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autoRedefine/>
    <w:qFormat/>
    <w:pPr>
      <w:widowControl/>
      <w:spacing w:before="100" w:beforeAutospacing="1" w:after="100" w:afterAutospacing="1"/>
      <w:jc w:val="left"/>
    </w:pPr>
    <w:rPr>
      <w:rFonts w:ascii="宋体" w:hAnsi="宋体"/>
      <w:b/>
      <w:bCs/>
      <w:kern w:val="0"/>
      <w:sz w:val="28"/>
      <w:szCs w:val="28"/>
    </w:rPr>
  </w:style>
  <w:style w:type="character" w:customStyle="1" w:styleId="a20">
    <w:name w:val="正文文本首行缩进 字符"/>
    <w:link w:val="BodyTextFirstIndent"/>
    <w:autoRedefine/>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0">
    <w:name w:val="汉议细等线简8"/>
    <w:autoRedefine/>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autoRedefine/>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autoRedefine/>
    <w:qFormat/>
  </w:style>
  <w:style w:type="paragraph" w:customStyle="1" w:styleId="90">
    <w:name w:val="9"/>
    <w:basedOn w:val="Normal"/>
    <w:next w:val="NormalIndent"/>
    <w:autoRedefine/>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autoRedefine/>
    <w:qFormat/>
  </w:style>
  <w:style w:type="paragraph" w:customStyle="1" w:styleId="81">
    <w:name w:val="8"/>
    <w:basedOn w:val="Normal"/>
    <w:next w:val="BodyTextIndent"/>
    <w:autoRedefine/>
    <w:qFormat/>
    <w:pPr>
      <w:spacing w:after="120"/>
      <w:ind w:left="420" w:leftChars="200"/>
    </w:pPr>
  </w:style>
  <w:style w:type="paragraph" w:customStyle="1" w:styleId="70">
    <w:name w:val="7"/>
    <w:basedOn w:val="Normal"/>
    <w:autoRedefine/>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autoRedefine/>
    <w:qFormat/>
    <w:pPr>
      <w:autoSpaceDE w:val="0"/>
      <w:autoSpaceDN w:val="0"/>
      <w:adjustRightInd w:val="0"/>
      <w:jc w:val="left"/>
    </w:pPr>
    <w:rPr>
      <w:rFonts w:ascii="黑体" w:eastAsia="黑体"/>
      <w:b/>
      <w:bCs/>
      <w:kern w:val="0"/>
      <w:sz w:val="20"/>
      <w:szCs w:val="20"/>
    </w:rPr>
  </w:style>
  <w:style w:type="paragraph" w:customStyle="1" w:styleId="50">
    <w:name w:val="5"/>
    <w:basedOn w:val="Normal"/>
    <w:autoRedefine/>
    <w:qFormat/>
    <w:pPr>
      <w:autoSpaceDE w:val="0"/>
      <w:autoSpaceDN w:val="0"/>
      <w:adjustRightInd w:val="0"/>
      <w:jc w:val="left"/>
    </w:pPr>
    <w:rPr>
      <w:rFonts w:ascii="宋体"/>
      <w:b/>
      <w:bCs/>
      <w:kern w:val="0"/>
      <w:sz w:val="18"/>
      <w:szCs w:val="18"/>
    </w:rPr>
  </w:style>
  <w:style w:type="paragraph" w:customStyle="1" w:styleId="60">
    <w:name w:val="6"/>
    <w:basedOn w:val="50"/>
    <w:autoRedefine/>
    <w:qFormat/>
    <w:pPr>
      <w:spacing w:line="270" w:lineRule="atLeast"/>
      <w:jc w:val="both"/>
    </w:pPr>
    <w:rPr>
      <w:b w:val="0"/>
      <w:bCs w:val="0"/>
    </w:rPr>
  </w:style>
  <w:style w:type="paragraph" w:customStyle="1" w:styleId="a21">
    <w:name w:val="产品描述"/>
    <w:autoRedefine/>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22">
    <w:name w:val="姜文清定义的正文"/>
    <w:basedOn w:val="Normal"/>
    <w:autoRedefine/>
    <w:qFormat/>
    <w:pPr>
      <w:spacing w:line="240" w:lineRule="atLeast"/>
      <w:ind w:firstLine="567"/>
    </w:pPr>
    <w:rPr>
      <w:szCs w:val="20"/>
    </w:rPr>
  </w:style>
  <w:style w:type="paragraph" w:customStyle="1" w:styleId="Default">
    <w:name w:val="Default"/>
    <w:autoRedefine/>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CM2">
    <w:name w:val="CM2"/>
    <w:basedOn w:val="Default"/>
    <w:next w:val="Default"/>
    <w:autoRedefine/>
    <w:qFormat/>
    <w:pPr>
      <w:spacing w:line="200" w:lineRule="atLeast"/>
    </w:pPr>
    <w:rPr>
      <w:rFonts w:ascii="Arial" w:eastAsia="宋体" w:hAnsi="Arial" w:cs="Times New Roman"/>
      <w:color w:val="auto"/>
    </w:rPr>
  </w:style>
  <w:style w:type="paragraph" w:customStyle="1" w:styleId="NormalParagraph">
    <w:name w:val="Normal Paragraph"/>
    <w:basedOn w:val="Normal"/>
    <w:autoRedefine/>
    <w:qFormat/>
    <w:pPr>
      <w:widowControl/>
      <w:spacing w:before="120" w:line="360" w:lineRule="auto"/>
      <w:ind w:firstLine="425"/>
    </w:pPr>
    <w:rPr>
      <w:kern w:val="0"/>
      <w:sz w:val="24"/>
    </w:rPr>
  </w:style>
  <w:style w:type="character" w:customStyle="1" w:styleId="blue">
    <w:name w:val="blue"/>
    <w:basedOn w:val="DefaultParagraphFont"/>
    <w:autoRedefine/>
    <w:qFormat/>
  </w:style>
  <w:style w:type="paragraph" w:customStyle="1" w:styleId="blue1">
    <w:name w:val="blue1"/>
    <w:basedOn w:val="Normal"/>
    <w:autoRedefine/>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autoRedefine/>
    <w:qFormat/>
  </w:style>
  <w:style w:type="character" w:customStyle="1" w:styleId="font11">
    <w:name w:val="font11"/>
    <w:autoRedefine/>
    <w:qFormat/>
    <w:rPr>
      <w:rFonts w:ascii="ˎ̥" w:hAnsi="ˎ̥" w:hint="default"/>
    </w:rPr>
  </w:style>
  <w:style w:type="paragraph" w:customStyle="1" w:styleId="a140">
    <w:name w:val="a14"/>
    <w:basedOn w:val="Normal"/>
    <w:autoRedefine/>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autoRedefine/>
    <w:qFormat/>
  </w:style>
  <w:style w:type="character" w:customStyle="1" w:styleId="prodheadlines">
    <w:name w:val="prodheadlines"/>
    <w:basedOn w:val="DefaultParagraphFont"/>
    <w:autoRedefine/>
    <w:qFormat/>
  </w:style>
  <w:style w:type="character" w:customStyle="1" w:styleId="text">
    <w:name w:val="text"/>
    <w:basedOn w:val="DefaultParagraphFont"/>
    <w:autoRedefine/>
    <w:qFormat/>
  </w:style>
  <w:style w:type="paragraph" w:customStyle="1" w:styleId="text1">
    <w:name w:val="text1"/>
    <w:basedOn w:val="Normal"/>
    <w:autoRedefine/>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autoRedefine/>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autoRedefine/>
    <w:hidden/>
    <w:qFormat/>
    <w:pPr>
      <w:widowControl/>
      <w:pBdr>
        <w:top w:val="single" w:sz="6" w:space="1" w:color="auto"/>
      </w:pBdr>
      <w:jc w:val="center"/>
    </w:pPr>
    <w:rPr>
      <w:rFonts w:ascii="Arial" w:hAnsi="Arial" w:cs="Arial"/>
      <w:vanish/>
      <w:kern w:val="0"/>
      <w:sz w:val="16"/>
      <w:szCs w:val="16"/>
    </w:rPr>
  </w:style>
  <w:style w:type="paragraph" w:customStyle="1" w:styleId="a23">
    <w:name w:val="正文样式"/>
    <w:basedOn w:val="Normal"/>
    <w:autoRedefine/>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autoRedefine/>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24">
    <w:name w:val="段落正文"/>
    <w:basedOn w:val="PlainText"/>
    <w:autoRedefine/>
    <w:qFormat/>
    <w:pPr>
      <w:ind w:firstLine="560" w:firstLineChars="200"/>
    </w:pPr>
    <w:rPr>
      <w:sz w:val="28"/>
    </w:rPr>
  </w:style>
  <w:style w:type="character" w:customStyle="1" w:styleId="gray6">
    <w:name w:val="gray6"/>
    <w:basedOn w:val="DefaultParagraphFont"/>
    <w:autoRedefine/>
    <w:qFormat/>
  </w:style>
  <w:style w:type="character" w:customStyle="1" w:styleId="style9">
    <w:name w:val="style9"/>
    <w:basedOn w:val="DefaultParagraphFont"/>
    <w:autoRedefine/>
    <w:qFormat/>
  </w:style>
  <w:style w:type="paragraph" w:customStyle="1" w:styleId="24">
    <w:name w:val="2册标题4"/>
    <w:basedOn w:val="Normal"/>
    <w:next w:val="Normal"/>
    <w:autoRedefine/>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autoRedefine/>
    <w:qFormat/>
  </w:style>
  <w:style w:type="paragraph" w:customStyle="1" w:styleId="style2">
    <w:name w:val="style2"/>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Normal"/>
    <w:autoRedefine/>
    <w:qFormat/>
    <w:pPr>
      <w:jc w:val="left"/>
    </w:pPr>
    <w:rPr>
      <w:rFonts w:ascii="Tahoma" w:hAnsi="Tahoma"/>
      <w:sz w:val="24"/>
      <w:szCs w:val="20"/>
    </w:rPr>
  </w:style>
  <w:style w:type="paragraph" w:customStyle="1" w:styleId="12">
    <w:name w:val="编号1"/>
    <w:basedOn w:val="Normal"/>
    <w:autoRedefine/>
    <w:qFormat/>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qFormat/>
    <w:pPr>
      <w:widowControl/>
      <w:spacing w:line="400" w:lineRule="exact"/>
      <w:jc w:val="center"/>
    </w:pPr>
    <w:rPr>
      <w:rFonts w:ascii="Verdana" w:hAnsi="Verdana"/>
      <w:kern w:val="0"/>
      <w:szCs w:val="20"/>
      <w:lang w:eastAsia="en-US"/>
    </w:rPr>
  </w:style>
  <w:style w:type="paragraph" w:customStyle="1" w:styleId="font0">
    <w:name w:val="font0"/>
    <w:basedOn w:val="Normal"/>
    <w:autoRedefine/>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autoRedefine/>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autoRedefine/>
    <w:qFormat/>
    <w:pPr>
      <w:widowControl/>
      <w:spacing w:before="100" w:beforeAutospacing="1" w:after="100" w:afterAutospacing="1"/>
      <w:jc w:val="left"/>
    </w:pPr>
    <w:rPr>
      <w:kern w:val="0"/>
      <w:sz w:val="24"/>
    </w:rPr>
  </w:style>
  <w:style w:type="paragraph" w:customStyle="1" w:styleId="xl24">
    <w:name w:val="xl24"/>
    <w:basedOn w:val="Normal"/>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25">
    <w:name w:val="表格字"/>
    <w:basedOn w:val="Normal"/>
    <w:autoRedefine/>
    <w:qFormat/>
    <w:pPr>
      <w:adjustRightInd w:val="0"/>
      <w:jc w:val="center"/>
    </w:pPr>
    <w:rPr>
      <w:rFonts w:ascii="宋体"/>
      <w:sz w:val="24"/>
      <w:szCs w:val="20"/>
    </w:rPr>
  </w:style>
  <w:style w:type="character" w:customStyle="1" w:styleId="a26">
    <w:name w:val="样式 小三 加粗"/>
    <w:autoRedefine/>
    <w:qFormat/>
    <w:rPr>
      <w:rFonts w:eastAsia="宋体"/>
      <w:b/>
      <w:bCs/>
      <w:sz w:val="32"/>
    </w:rPr>
  </w:style>
  <w:style w:type="paragraph" w:customStyle="1" w:styleId="xl28">
    <w:name w:val="xl28"/>
    <w:basedOn w:val="Normal"/>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autoRedefine/>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20">
    <w:name w:val="Char2"/>
    <w:basedOn w:val="Normal"/>
    <w:autoRedefine/>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autoRedefine/>
    <w:qFormat/>
  </w:style>
  <w:style w:type="paragraph" w:customStyle="1" w:styleId="a27">
    <w:name w:val="缩进正文"/>
    <w:basedOn w:val="Normal"/>
    <w:link w:val="Char3"/>
    <w:autoRedefine/>
    <w:qFormat/>
    <w:pPr>
      <w:ind w:firstLine="560" w:firstLineChars="200"/>
    </w:pPr>
    <w:rPr>
      <w:rFonts w:eastAsia="仿宋_GB2312" w:cs="宋体"/>
      <w:sz w:val="28"/>
      <w:szCs w:val="20"/>
    </w:rPr>
  </w:style>
  <w:style w:type="character" w:customStyle="1" w:styleId="Char3">
    <w:name w:val="缩进正文 Char"/>
    <w:link w:val="a27"/>
    <w:autoRedefine/>
    <w:qFormat/>
    <w:rPr>
      <w:rFonts w:eastAsia="仿宋_GB2312" w:cs="宋体"/>
      <w:kern w:val="2"/>
      <w:sz w:val="28"/>
      <w:lang w:val="en-US" w:eastAsia="zh-CN" w:bidi="ar-SA"/>
    </w:rPr>
  </w:style>
  <w:style w:type="paragraph" w:customStyle="1" w:styleId="13">
    <w:name w:val="列出段落1"/>
    <w:basedOn w:val="Normal"/>
    <w:autoRedefine/>
    <w:qFormat/>
    <w:pPr>
      <w:ind w:firstLine="420" w:firstLineChars="200"/>
    </w:pPr>
    <w:rPr>
      <w:rFonts w:ascii="Calibri" w:hAnsi="Calibri" w:cs="Calibri"/>
      <w:szCs w:val="21"/>
    </w:rPr>
  </w:style>
  <w:style w:type="character" w:customStyle="1" w:styleId="a28">
    <w:name w:val="批注文字 字符"/>
    <w:basedOn w:val="DefaultParagraphFont"/>
    <w:link w:val="CommentText"/>
    <w:autoRedefine/>
    <w:uiPriority w:val="99"/>
    <w:qFormat/>
    <w:rPr>
      <w:rFonts w:ascii="宋体"/>
      <w:sz w:val="34"/>
    </w:rPr>
  </w:style>
  <w:style w:type="character" w:customStyle="1" w:styleId="a29">
    <w:name w:val="批注主题 字符"/>
    <w:basedOn w:val="a28"/>
    <w:link w:val="CommentSubject"/>
    <w:autoRedefine/>
    <w:uiPriority w:val="99"/>
    <w:qFormat/>
    <w:rPr>
      <w:rFonts w:ascii="宋体"/>
      <w:sz w:val="34"/>
    </w:rPr>
  </w:style>
  <w:style w:type="paragraph" w:customStyle="1" w:styleId="a30">
    <w:name w:val="评价"/>
    <w:basedOn w:val="Normal"/>
    <w:autoRedefine/>
    <w:qFormat/>
    <w:pPr>
      <w:spacing w:afterLines="20"/>
      <w:ind w:firstLine="1446" w:firstLineChars="200"/>
    </w:pPr>
    <w:rPr>
      <w:rFonts w:ascii="Calibri" w:hAnsi="Calibri"/>
      <w:sz w:val="24"/>
    </w:rPr>
  </w:style>
  <w:style w:type="paragraph" w:customStyle="1" w:styleId="14">
    <w:name w:val="修订1"/>
    <w:autoRedefine/>
    <w:hidden/>
    <w:uiPriority w:val="99"/>
    <w:semiHidden/>
    <w:qFormat/>
    <w:rPr>
      <w:rFonts w:ascii="Times New Roman" w:eastAsia="宋体" w:hAnsi="Times New Roman" w:cs="Times New Roman"/>
      <w:kern w:val="2"/>
      <w:sz w:val="21"/>
      <w:szCs w:val="24"/>
      <w:lang w:val="en-US" w:eastAsia="zh-CN" w:bidi="ar-SA"/>
    </w:rPr>
  </w:style>
  <w:style w:type="character" w:customStyle="1" w:styleId="alt-edited1">
    <w:name w:val="alt-edited1"/>
    <w:autoRedefine/>
    <w:qFormat/>
    <w:rPr>
      <w:color w:val="4D90F0"/>
    </w:rPr>
  </w:style>
  <w:style w:type="character" w:customStyle="1" w:styleId="bodytextChar1">
    <w:name w:val="body text Char1"/>
    <w:autoRedefine/>
    <w:qFormat/>
    <w:rPr>
      <w:rFonts w:eastAsia="宋体"/>
      <w:kern w:val="2"/>
      <w:sz w:val="21"/>
      <w:lang w:val="en-US" w:eastAsia="zh-CN" w:bidi="ar-SA"/>
    </w:rPr>
  </w:style>
  <w:style w:type="character" w:customStyle="1" w:styleId="a31">
    <w:name w:val="普通(网站) 字符"/>
    <w:link w:val="NormalWeb"/>
    <w:autoRedefine/>
    <w:qFormat/>
    <w:rPr>
      <w:kern w:val="2"/>
      <w:sz w:val="24"/>
      <w:szCs w:val="24"/>
    </w:rPr>
  </w:style>
  <w:style w:type="character" w:customStyle="1" w:styleId="Char12">
    <w:name w:val="批注文字 Char1"/>
    <w:autoRedefine/>
    <w:uiPriority w:val="99"/>
    <w:qFormat/>
    <w:rPr>
      <w:rFonts w:ascii="宋体"/>
      <w:sz w:val="34"/>
    </w:rPr>
  </w:style>
  <w:style w:type="character" w:customStyle="1" w:styleId="Char13">
    <w:name w:val="正文缩进 Char1"/>
    <w:autoRedefine/>
    <w:qFormat/>
    <w:rPr>
      <w:rFonts w:eastAsia="宋体"/>
      <w:kern w:val="2"/>
      <w:sz w:val="21"/>
      <w:lang w:val="en-US" w:eastAsia="zh-CN" w:bidi="ar-SA"/>
    </w:rPr>
  </w:style>
  <w:style w:type="table" w:customStyle="1" w:styleId="15">
    <w:name w:val="网格型1"/>
    <w:basedOn w:val="TableNormal"/>
    <w:autoRedefine/>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styleId="NoSpacing">
    <w:name w:val="No Spacing"/>
    <w:autoRedefine/>
    <w:uiPriority w:val="1"/>
    <w:qFormat/>
    <w:pPr>
      <w:widowControl w:val="0"/>
      <w:jc w:val="both"/>
    </w:pPr>
    <w:rPr>
      <w:rFonts w:ascii="Calibri" w:eastAsia="宋体" w:hAnsi="Calibri" w:cs="Times New Roman"/>
      <w:kern w:val="2"/>
      <w:sz w:val="21"/>
      <w:szCs w:val="22"/>
      <w:lang w:val="en-US" w:eastAsia="zh-CN" w:bidi="ar-SA"/>
    </w:rPr>
  </w:style>
  <w:style w:type="paragraph" w:customStyle="1" w:styleId="33">
    <w:name w:val="修订3"/>
    <w:hidden/>
    <w:uiPriority w:val="99"/>
    <w:unhideWhenUsed/>
    <w:qFormat/>
    <w:rPr>
      <w:rFonts w:ascii="Times New Roman" w:eastAsia="宋体" w:hAnsi="Times New Roman" w:cs="Times New Roman"/>
      <w:kern w:val="2"/>
      <w:sz w:val="21"/>
      <w:szCs w:val="24"/>
      <w:lang w:val="en-US" w:eastAsia="zh-CN" w:bidi="ar-SA"/>
    </w:rPr>
  </w:style>
  <w:style w:type="paragraph" w:customStyle="1" w:styleId="Revision">
    <w:name w:val="Revision"/>
    <w:hidden/>
    <w:uiPriority w:val="99"/>
    <w:unhideWhenUsed/>
    <w:qFormat/>
    <w:rPr>
      <w:rFonts w:ascii="Times New Roman" w:eastAsia="宋体" w:hAnsi="Times New Roman" w:cs="Times New Roman"/>
      <w:kern w:val="2"/>
      <w:sz w:val="21"/>
      <w:szCs w:val="24"/>
      <w:lang w:val="en-US" w:eastAsia="zh-CN" w:bidi="ar-SA"/>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rPr>
      <w:color w:val="2590EB"/>
      <w:shd w:val="clear" w:color="auto" w:fill="E9F4FD"/>
    </w:rPr>
  </w:style>
  <w:style w:type="character" w:customStyle="1" w:styleId="mini-outputtext1">
    <w:name w:val="mini-outputtext1"/>
    <w:basedOn w:val="DefaultParagraphFont"/>
    <w:qFormat/>
  </w:style>
  <w:style w:type="character" w:customStyle="1" w:styleId="hover4">
    <w:name w:val="hover4"/>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20E73-64B0-4C7A-8490-A3EE72B712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11372</Words>
  <Characters>12188</Characters>
  <Application>Microsoft Office Word</Application>
  <DocSecurity>0</DocSecurity>
  <Lines>1631</Lines>
  <Paragraphs>1646</Paragraphs>
  <ScaleCrop>false</ScaleCrop>
  <Company>Microsoft</Company>
  <LinksUpToDate>false</LinksUpToDate>
  <CharactersWithSpaces>12270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陈青霞</cp:lastModifiedBy>
  <cp:revision>7</cp:revision>
  <cp:lastPrinted>2021-05-09T08:02:00Z</cp:lastPrinted>
  <dcterms:created xsi:type="dcterms:W3CDTF">2025-04-22T10:00:00Z</dcterms:created>
  <dcterms:modified xsi:type="dcterms:W3CDTF">2025-05-13T10:59:51Z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EC1004EDAAFF4B5DBB43EAFF4DC5FBB3_13</vt:lpwstr>
  </property>
  <property fmtid="{D5CDD505-2E9C-101B-9397-08002B2CF9AE}" pid="3" name="KSOProductBuildVer">
    <vt:lpwstr>2052-12.1.0.20784</vt:lpwstr>
  </property>
  <property fmtid="{D5CDD505-2E9C-101B-9397-08002B2CF9AE}" pid="4" name="KSOTemplateDocerSaveRecord">
    <vt:lpwstr>eyJoZGlkIjoiMGZmNTJlYzM1YjQ4MTFhMTEzYmM2ZTYwZDI1MjAwM2EifQ==</vt:lpwstr>
  </property>
</Properties>
</file>