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440001-2026-14320</w:t>
      </w:r>
    </w:p>
    <w:p>
      <w:pPr>
        <w:pStyle w:val="null3"/>
        <w:jc w:val="center"/>
        <w:outlineLvl w:val="3"/>
      </w:pPr>
      <w:r>
        <w:rPr>
          <w:sz w:val="24"/>
          <w:b/>
        </w:rPr>
        <w:t>采购项目编号：</w:t>
      </w:r>
      <w:r>
        <w:rPr>
          <w:sz w:val="24"/>
          <w:b/>
        </w:rPr>
        <w:t>0724-2631Z3472496</w:t>
      </w:r>
    </w:p>
    <w:p>
      <w:pPr>
        <w:pStyle w:val="null3"/>
        <w:jc w:val="center"/>
        <w:outlineLvl w:val="3"/>
      </w:pPr>
      <w:r>
        <w:rPr>
          <w:sz w:val="24"/>
          <w:b/>
        </w:rPr>
        <w:t>项目名称：</w:t>
      </w:r>
      <w:r>
        <w:rPr>
          <w:sz w:val="24"/>
          <w:b/>
        </w:rPr>
        <w:t>广州中医药大学第三附属医院全自动生化分析仪采购项目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广州中医药大学第三附属医院全自动生化分析仪采购项目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广州中医药大学第三附属医院全自动生化分析仪采购项目</w:t>
      </w:r>
    </w:p>
    <w:p>
      <w:pPr>
        <w:pStyle w:val="null3"/>
        <w:ind w:firstLine="480"/>
      </w:pPr>
      <w:r>
        <w:rPr/>
        <w:t>采购计划编号：</w:t>
      </w:r>
      <w:r>
        <w:rPr/>
        <w:t>440001-2026-14320</w:t>
      </w:r>
    </w:p>
    <w:p>
      <w:pPr>
        <w:pStyle w:val="null3"/>
        <w:ind w:firstLine="480"/>
      </w:pPr>
      <w:r>
        <w:rPr/>
        <w:t>采购项目编号：</w:t>
      </w:r>
      <w:r>
        <w:rPr/>
        <w:t>0724-2631Z3472496</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采购包1(全自动生化分析仪):</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全自动生化分析仪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全自动生化分析仪</w:t>
            </w:r>
          </w:p>
        </w:tc>
        <w:tc>
          <w:tcPr>
            <w:tcW w:type="dxa" w:w="2076"/>
          </w:tcPr>
          <w:p>
            <w:pPr>
              <w:pStyle w:val="null3"/>
              <w:jc w:val="left"/>
            </w:pPr>
            <w:r>
              <w:rPr/>
              <w:t>全自动生化分析仪</w:t>
            </w:r>
          </w:p>
        </w:tc>
      </w:tr>
    </w:tbl>
    <w:p>
      <w:pPr>
        <w:pStyle w:val="null3"/>
      </w:pPr>
      <w:r>
        <w:rPr/>
        <w:t>本采购包不接受联合体投标</w:t>
      </w:r>
    </w:p>
    <w:p>
      <w:pPr>
        <w:pStyle w:val="null3"/>
      </w:pPr>
      <w:r>
        <w:rPr/>
        <w:t>合同分包：不允许合同分包</w:t>
      </w:r>
    </w:p>
    <w:p>
      <w:pPr>
        <w:pStyle w:val="null3"/>
      </w:pPr>
      <w:r>
        <w:rPr/>
        <w:t>合同履行期限：合同签订之日起30天内将合同设备送达采购人指定地点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或自然人，投标（响应）时提交有效的营业执照（或事业法人登记证或身份证等相关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3）具有良好的商业信誉和健全的财务会计制度：提供以下任一证明：①2025年度经审计的财务报告复印件； ②提供2026年至今任意1个月的财务状况报告复印件；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采购包1（全自动生化分析仪）：</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采购包1（全自动生化分析仪）：</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若投标人为所投产品生产企业：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p>
      <w:pPr>
        <w:pStyle w:val="null3"/>
      </w:pPr>
      <w:r>
        <w:rPr/>
        <w:t>4)投标人必须符合法律、行政法规规定的其他条件【提供投标函】。</w:t>
      </w:r>
    </w:p>
    <w:p>
      <w:pPr>
        <w:pStyle w:val="null3"/>
      </w:pPr>
      <w:r>
        <w:rPr/>
        <w:t>5)本项目不接受联合体投标。（提供承诺函，格式自拟）。</w:t>
      </w:r>
    </w:p>
    <w:p>
      <w:pPr>
        <w:pStyle w:val="null3"/>
      </w:pPr>
      <w:r>
        <w:rPr/>
        <w:t>6)本项目不接受分包或转包。（提供承诺函，格式自拟）。</w:t>
      </w:r>
    </w:p>
    <w:p>
      <w:pPr>
        <w:pStyle w:val="null3"/>
      </w:pPr>
      <w:r>
        <w:rPr/>
        <w:t>7)投标人按规定在广东政府采购智慧云平台完成项目投标登记并在线获取本项目采购文件。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37860540/ 37860539</w:t>
      </w:r>
    </w:p>
    <w:p>
      <w:pPr>
        <w:pStyle w:val="null3"/>
        <w:outlineLvl w:val="3"/>
      </w:pPr>
      <w:r>
        <w:rPr>
          <w:sz w:val="24"/>
          <w:b/>
        </w:rPr>
        <w:t xml:space="preserve"> 3.项目联系方式</w:t>
      </w:r>
    </w:p>
    <w:p>
      <w:pPr>
        <w:pStyle w:val="null3"/>
        <w:ind w:firstLine="480"/>
      </w:pPr>
      <w:r>
        <w:rPr/>
        <w:t xml:space="preserve"> 项目联系人：</w:t>
      </w:r>
      <w:r>
        <w:rPr/>
        <w:t>罗梓慧/吴佳耿/李家荣</w:t>
      </w:r>
    </w:p>
    <w:p>
      <w:pPr>
        <w:pStyle w:val="null3"/>
        <w:ind w:firstLine="480"/>
      </w:pPr>
      <w:r>
        <w:rPr/>
        <w:t xml:space="preserve"> 电话：</w:t>
      </w:r>
      <w:r>
        <w:rPr/>
        <w:t>020-37861060/ 37860540/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64"/>
        <w:gridCol w:w="1469"/>
        <w:gridCol w:w="2973"/>
      </w:tblGrid>
      <w:tr>
        <w:tc>
          <w:tcPr>
            <w:tcW w:type="dxa" w:w="38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标的名称</w:t>
            </w:r>
          </w:p>
        </w:tc>
        <w:tc>
          <w:tcPr>
            <w:tcW w:type="dxa" w:w="14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数量</w:t>
            </w:r>
          </w:p>
        </w:tc>
        <w:tc>
          <w:tcPr>
            <w:tcW w:type="dxa" w:w="29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最高限价（含税）</w:t>
            </w:r>
          </w:p>
        </w:tc>
      </w:tr>
      <w:tr>
        <w:tc>
          <w:tcPr>
            <w:tcW w:type="dxa" w:w="3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全自动生化分析仪</w:t>
            </w:r>
          </w:p>
        </w:tc>
        <w:tc>
          <w:tcPr>
            <w:tcW w:type="dxa" w:w="1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1套</w:t>
            </w:r>
          </w:p>
        </w:tc>
        <w:tc>
          <w:tcPr>
            <w:tcW w:type="dxa" w:w="29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人民币170万元</w:t>
            </w:r>
          </w:p>
        </w:tc>
      </w:tr>
    </w:tbl>
    <w:p>
      <w:pPr>
        <w:pStyle w:val="null3"/>
      </w:pPr>
      <w:r>
        <w:rPr/>
        <w:t>采购包1（全自动生化分析仪）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50%,合同签订之日起30天内，采购人向中标人支付合同总价的50%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2期：支付比例50%,设备调试验收合格后，采购人在收到中标人全部的付款申请文件的30天内向中标人支付合同总价的50%。因中标人付款申请文件不充分不合格等原因导致延期，不视为采购人延期支付。 设备调试验收合格后，中标人应凭以下文件向采购人申请付款（如法规有相关规定，从其规定）： 1.经双方签字盖章的合同及附件 2.采购人收货证明 3.实物验收及调试验收书面确认书 4.中标人开具的合规的全额增值税普通发票(发票内容与合同设备内容一致，如有医疗器械证，依照注册证名称开具发票)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30天内将合同设备送达采购人指定地点，采购人应及时组织相关人员进行设备实物的验收，如采购人认为必要时可引进第三方检测机构或邀请参与本项目的其他供应商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溯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1.中标人应保证在设备的实物验收合格后10个工作日内设备全部安装完毕，并自行将设备调试至正常运行的最佳状态。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（1）一次性退还：本合同的履约保证金于合同履约期满；中标人递交申请书并经采购人书面确认后，采购人将扣除应扣款项(如有)后的履约保证金余额在次月一次性无息退还中标人。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其他要求，同意采购方以任何形式对我方投标文件内容及招标方认为有必要的相关资料的真实性和有效性进行审查、验证。</w:t>
            </w:r>
          </w:p>
          <w:p>
            <w:pPr>
              <w:pStyle w:val="null3"/>
            </w:pPr>
            <w:r>
              <w:rPr/>
              <w:t>补充附件，投标人应将招标公告的招标文件附件中“补充附件”内容填写好相关信息后附在投标文件中。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响应合同所有条款</w:t>
            </w:r>
          </w:p>
        </w:tc>
        <w:tc>
          <w:tcPr>
            <w:tcW w:type="dxa" w:w="2076"/>
          </w:tcPr>
          <w:p>
            <w:pPr>
              <w:pStyle w:val="null3"/>
              <w:jc w:val="left"/>
            </w:pPr>
            <w:r>
              <w:rPr/>
              <w:t>★完全响应本项目合同格式中的所有条款（投标人提供承诺函，格式自拟并加盖投标人公章）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质保期要求</w:t>
            </w:r>
          </w:p>
        </w:tc>
        <w:tc>
          <w:tcPr>
            <w:tcW w:type="dxa" w:w="2076"/>
          </w:tcPr>
          <w:p>
            <w:pPr>
              <w:pStyle w:val="null3"/>
              <w:jc w:val="left"/>
            </w:pPr>
            <w:r>
              <w:rPr/>
              <w:t>★整机（包含全自动生化分析仪主机、ISE组件、样本前处理模块（含离心机）、样本后处理模块（含冰箱）、全自动样本分拣机、样本气动传输系统（含管路）、光源灯、反应杯）质保柒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若投标文件存在响应时间不一致的情况时，以更快响应时间为准）。原则上中标人应当自到达现场开始的8个小时内完成维修工作，如需更换配件等原因无法现场解决故障问题的，中标人应在收到采购人的维修通知（包括但不限于电话、电子邮件等方式）后的24小时内提供备用机，设备维修或更换零配件过程中及提供备用机时所产生的一切费用已包含在合同总价内。若中标人无法在约定时间内履行上述约定，采购人有权自行请第三方公司对设备进行维修，相关维修费用及停机损失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30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药品监督管理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30天内为采购人更换符合本合同条款约定的设备，如中标人更换符合本合同条款约定的设备确存在困难的（需提供相关证明），中标人应在征得采购人书面同意后为其更换功能相同或相似的可替代设备且性能不得低于原设备的100%（需附相应的证明材料）（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响应串通投标处置条款</w:t>
            </w:r>
          </w:p>
        </w:tc>
        <w:tc>
          <w:tcPr>
            <w:tcW w:type="dxa" w:w="2076"/>
          </w:tcPr>
          <w:p>
            <w:pPr>
              <w:pStyle w:val="null3"/>
              <w:jc w:val="left"/>
            </w:pPr>
            <w:r>
              <w:rPr/>
              <w:t>★投标人须完全响应串通投标处置条款，具体如下：投标人存在政府采购相关法律法规规定的属于投标人相互串通投标情形的，投标无效。投标人串通投标中标的，其行为是在签订合同生效之前被认定的，则中标无效，投标保证金（如有）不予退还，其行为是在签订合同生效之后被证实的，中标无效，采购人有权终止合同，投保人履约保证金不予退还，并按合同约定承担违约责任。（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★报价要求： 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安装调试要求： （1）中标人负责本合同下所有设备的安装调试工作，安装调试中所涉费用由中标人自行承担。在安装调试期间所发生的中标人人员的交通费、食宿费用等由中标人自行承担。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及相关责任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培训计划</w:t>
            </w:r>
          </w:p>
        </w:tc>
        <w:tc>
          <w:tcPr>
            <w:tcW w:type="dxa" w:w="2076"/>
          </w:tcPr>
          <w:p>
            <w:pPr>
              <w:pStyle w:val="null3"/>
              <w:jc w:val="left"/>
            </w:pPr>
            <w:r>
              <w:rPr/>
              <w:t>提供详细的操作培训计划表及培训课程表（培训次数≥2）。同时从设备全生命周期维度提供详细可行的售后服务方案。</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检验报告要求</w:t>
            </w:r>
          </w:p>
        </w:tc>
        <w:tc>
          <w:tcPr>
            <w:tcW w:type="dxa" w:w="2076"/>
          </w:tcPr>
          <w:p>
            <w:pPr>
              <w:pStyle w:val="null3"/>
              <w:jc w:val="left"/>
            </w:pPr>
            <w:r>
              <w:rPr/>
              <w:t>★投标人须在投标文件中提交《注册检验报告提交承诺函》（格式自拟并加盖投标人公章），承诺： （1）在本项目中标通知书发出之日起30日内，向采购人提供所投产品的完整、有效的注册检验报告； （2）所提交的注册检验报告的技术参数，应与投标文件中关于所投产品的技术响应保持一致。 （3）中标人未在前款约定期限内提交符合要求的注册检验报告的，视为中标人无正当理由拒不与采购人签订政府采购合同，采购人将依法取消其中标资格，不予退还投标保证金，并书面报告财政部门。 （4）中标人提交的注册检验报告技术参数，与投标文件中响应的技术参数存在不一致，采购人有权暂停签订政府采购合同，并将相关情况书面报告财政部门，由财政部门依法调查并作出认定，经财政部门调查认定，中标人的上述行为属于《中华人民共和国政府采购法》第七十七条第一款第（一）项规定的"提供虚假材料谋取中标、成交"情形的，中标结果无效，中标人还应当依法承担罚款、列入不良行为记录名单、一定期限内禁止参加政府采购活动等行政处罚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全自动生化分析仪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全自动生化分析仪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left="420"/>
            </w:pPr>
            <w:r>
              <w:rPr>
                <w:sz w:val="24"/>
              </w:rPr>
              <w:t>1.</w:t>
            </w:r>
            <w:r>
              <w:rPr>
                <w:sz w:val="24"/>
              </w:rPr>
              <w:t>★恒温系统：采用循环水浴式控温，温度控制在 37.0℃±0.3℃ 范围内。</w:t>
            </w:r>
          </w:p>
        </w:tc>
      </w:tr>
      <w:tr>
        <w:tc>
          <w:tcPr>
            <w:tcW w:type="dxa" w:w="2076"/>
          </w:tcPr>
          <w:p>
            <w:pPr>
              <w:pStyle w:val="null3"/>
            </w:pPr>
            <w:r>
              <w:rPr/>
              <w:t>▲</w:t>
            </w:r>
          </w:p>
        </w:tc>
        <w:tc>
          <w:tcPr>
            <w:tcW w:type="dxa" w:w="415"/>
          </w:tcPr>
          <w:p>
            <w:pPr>
              <w:pStyle w:val="null3"/>
            </w:pPr>
            <w:r>
              <w:rPr/>
              <w:t>2</w:t>
            </w:r>
          </w:p>
        </w:tc>
        <w:tc>
          <w:tcPr>
            <w:tcW w:type="dxa" w:w="5814"/>
          </w:tcPr>
          <w:p>
            <w:pPr>
              <w:pStyle w:val="null3"/>
              <w:ind w:left="420"/>
            </w:pPr>
            <w:r>
              <w:rPr>
                <w:sz w:val="24"/>
              </w:rPr>
              <w:t>2.</w:t>
            </w:r>
            <w:r>
              <w:rPr>
                <w:sz w:val="24"/>
              </w:rPr>
              <w:t>▲单模块生化检测速度：生化单模块检测速度≥2000测试/小时，单模块电解质检测速度≥900测试/小时，单台仪器最大可扩展≥4个功能模块。</w:t>
            </w:r>
          </w:p>
        </w:tc>
      </w:tr>
      <w:tr>
        <w:tc>
          <w:tcPr>
            <w:tcW w:type="dxa" w:w="2076"/>
          </w:tcPr>
          <w:p>
            <w:pPr>
              <w:pStyle w:val="null3"/>
            </w:pPr>
            <w:r>
              <w:rPr/>
              <w:t>▲</w:t>
            </w:r>
          </w:p>
        </w:tc>
        <w:tc>
          <w:tcPr>
            <w:tcW w:type="dxa" w:w="415"/>
          </w:tcPr>
          <w:p>
            <w:pPr>
              <w:pStyle w:val="null3"/>
            </w:pPr>
            <w:r>
              <w:rPr/>
              <w:t>3</w:t>
            </w:r>
          </w:p>
        </w:tc>
        <w:tc>
          <w:tcPr>
            <w:tcW w:type="dxa" w:w="5814"/>
          </w:tcPr>
          <w:p>
            <w:pPr>
              <w:pStyle w:val="null3"/>
              <w:ind w:left="420"/>
            </w:pPr>
            <w:r>
              <w:rPr>
                <w:sz w:val="24"/>
              </w:rPr>
              <w:t>3.</w:t>
            </w:r>
            <w:r>
              <w:rPr>
                <w:sz w:val="24"/>
              </w:rPr>
              <w:t>▲单模块生化分析仪双试剂位≥70个，具备全试剂冷藏功能。</w:t>
            </w:r>
          </w:p>
        </w:tc>
      </w:tr>
      <w:tr>
        <w:tc>
          <w:tcPr>
            <w:tcW w:type="dxa" w:w="2076"/>
          </w:tcPr>
          <w:p/>
        </w:tc>
        <w:tc>
          <w:tcPr>
            <w:tcW w:type="dxa" w:w="415"/>
          </w:tcPr>
          <w:p>
            <w:pPr>
              <w:pStyle w:val="null3"/>
            </w:pPr>
            <w:r>
              <w:rPr/>
              <w:t>4</w:t>
            </w:r>
          </w:p>
        </w:tc>
        <w:tc>
          <w:tcPr>
            <w:tcW w:type="dxa" w:w="5814"/>
          </w:tcPr>
          <w:p>
            <w:pPr>
              <w:pStyle w:val="null3"/>
              <w:ind w:left="420"/>
            </w:pPr>
            <w:r>
              <w:rPr>
                <w:sz w:val="24"/>
              </w:rPr>
              <w:t>4.</w:t>
            </w:r>
            <w:r>
              <w:rPr>
                <w:sz w:val="24"/>
              </w:rPr>
              <w:t>采用轨道式进样，可连续装载样本，最大样本容量</w:t>
            </w:r>
            <w:r>
              <w:rPr>
                <w:sz w:val="24"/>
              </w:rPr>
              <w:t>≥300个，样品架附有样品架条形码。</w:t>
            </w:r>
          </w:p>
        </w:tc>
      </w:tr>
      <w:tr>
        <w:tc>
          <w:tcPr>
            <w:tcW w:type="dxa" w:w="2076"/>
          </w:tcPr>
          <w:p/>
        </w:tc>
        <w:tc>
          <w:tcPr>
            <w:tcW w:type="dxa" w:w="415"/>
          </w:tcPr>
          <w:p>
            <w:pPr>
              <w:pStyle w:val="null3"/>
            </w:pPr>
            <w:r>
              <w:rPr/>
              <w:t>5</w:t>
            </w:r>
          </w:p>
        </w:tc>
        <w:tc>
          <w:tcPr>
            <w:tcW w:type="dxa" w:w="5814"/>
          </w:tcPr>
          <w:p>
            <w:pPr>
              <w:pStyle w:val="null3"/>
            </w:pPr>
            <w:r>
              <w:rPr>
                <w:sz w:val="24"/>
              </w:rPr>
              <w:t>5.</w:t>
            </w:r>
            <w:r>
              <w:rPr>
                <w:sz w:val="24"/>
              </w:rPr>
              <w:t>分析方法：可选择</w:t>
            </w:r>
            <w:r>
              <w:rPr>
                <w:sz w:val="24"/>
              </w:rPr>
              <w:t>1点终点法、2点终点法、2点速率法、速率法等。</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6.</w:t>
            </w:r>
            <w:r>
              <w:rPr>
                <w:sz w:val="24"/>
              </w:rPr>
              <w:t>▲</w:t>
            </w:r>
            <w:r>
              <w:rPr>
                <w:sz w:val="24"/>
              </w:rPr>
              <w:t>可根据具体项目设定不同反应时间，且可设定</w:t>
            </w:r>
            <w:r>
              <w:rPr>
                <w:sz w:val="24"/>
              </w:rPr>
              <w:t>≥10分钟的反应时间。</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吸光度线性范围：</w:t>
            </w:r>
            <w:r>
              <w:rPr>
                <w:sz w:val="24"/>
              </w:rPr>
              <w:t>0～3.0 Abs；波长数≥12个，波长范围涵盖340nm～800nm，同时</w:t>
            </w:r>
            <w:r>
              <w:rPr>
                <w:sz w:val="24"/>
              </w:rPr>
              <w:t>具备</w:t>
            </w:r>
            <w:r>
              <w:rPr>
                <w:sz w:val="24"/>
              </w:rPr>
              <w:t>405nm波长、单波长、双</w:t>
            </w:r>
            <w:r>
              <w:rPr>
                <w:sz w:val="24"/>
              </w:rPr>
              <w:t>波长测量。</w:t>
            </w:r>
          </w:p>
        </w:tc>
      </w:tr>
      <w:tr>
        <w:tc>
          <w:tcPr>
            <w:tcW w:type="dxa" w:w="2076"/>
          </w:tcPr>
          <w:p/>
        </w:tc>
        <w:tc>
          <w:tcPr>
            <w:tcW w:type="dxa" w:w="415"/>
          </w:tcPr>
          <w:p>
            <w:pPr>
              <w:pStyle w:val="null3"/>
            </w:pPr>
            <w:r>
              <w:rPr/>
              <w:t>8</w:t>
            </w:r>
          </w:p>
        </w:tc>
        <w:tc>
          <w:tcPr>
            <w:tcW w:type="dxa" w:w="5814"/>
          </w:tcPr>
          <w:p>
            <w:pPr>
              <w:pStyle w:val="null3"/>
            </w:pPr>
            <w:r>
              <w:rPr>
                <w:sz w:val="24"/>
              </w:rPr>
              <w:t>8.</w:t>
            </w:r>
            <w:r>
              <w:rPr>
                <w:sz w:val="24"/>
              </w:rPr>
              <w:t>样品量：范围涵盖</w:t>
            </w:r>
            <w:r>
              <w:rPr>
                <w:sz w:val="24"/>
              </w:rPr>
              <w:t>1.2uL～35uL，0.1uL步进，具有自动增减量及前稀释、自动检测液面、纵向横向防碰自动保护等功能。</w:t>
            </w:r>
          </w:p>
        </w:tc>
      </w:tr>
      <w:tr>
        <w:tc>
          <w:tcPr>
            <w:tcW w:type="dxa" w:w="2076"/>
          </w:tcPr>
          <w:p/>
        </w:tc>
        <w:tc>
          <w:tcPr>
            <w:tcW w:type="dxa" w:w="415"/>
          </w:tcPr>
          <w:p>
            <w:pPr>
              <w:pStyle w:val="null3"/>
            </w:pPr>
            <w:r>
              <w:rPr/>
              <w:t>9</w:t>
            </w:r>
          </w:p>
        </w:tc>
        <w:tc>
          <w:tcPr>
            <w:tcW w:type="dxa" w:w="5814"/>
          </w:tcPr>
          <w:p>
            <w:pPr>
              <w:pStyle w:val="null3"/>
            </w:pPr>
            <w:r>
              <w:rPr>
                <w:sz w:val="24"/>
              </w:rPr>
              <w:t>9.</w:t>
            </w:r>
            <w:r>
              <w:rPr>
                <w:sz w:val="24"/>
              </w:rPr>
              <w:t>试剂量：范围涵盖</w:t>
            </w:r>
            <w:r>
              <w:rPr>
                <w:sz w:val="24"/>
              </w:rPr>
              <w:t>20uL～180uL，1uL步进。</w:t>
            </w:r>
          </w:p>
        </w:tc>
      </w:tr>
      <w:tr>
        <w:tc>
          <w:tcPr>
            <w:tcW w:type="dxa" w:w="2076"/>
          </w:tcPr>
          <w:p/>
        </w:tc>
        <w:tc>
          <w:tcPr>
            <w:tcW w:type="dxa" w:w="415"/>
          </w:tcPr>
          <w:p>
            <w:pPr>
              <w:pStyle w:val="null3"/>
            </w:pPr>
            <w:r>
              <w:rPr/>
              <w:t>10</w:t>
            </w:r>
          </w:p>
        </w:tc>
        <w:tc>
          <w:tcPr>
            <w:tcW w:type="dxa" w:w="5814"/>
          </w:tcPr>
          <w:p>
            <w:pPr>
              <w:pStyle w:val="null3"/>
            </w:pPr>
            <w:r>
              <w:rPr>
                <w:sz w:val="24"/>
              </w:rPr>
              <w:t>10.</w:t>
            </w:r>
            <w:r>
              <w:rPr>
                <w:sz w:val="24"/>
              </w:rPr>
              <w:t>反应液量：范围涵盖</w:t>
            </w:r>
            <w:r>
              <w:rPr>
                <w:sz w:val="24"/>
              </w:rPr>
              <w:t>80uL～250uL，1uL步进。</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4"/>
              </w:rPr>
              <w:t>11.</w:t>
            </w:r>
            <w:r>
              <w:rPr>
                <w:sz w:val="24"/>
              </w:rPr>
              <w:t>▲反应杯：采用半永久性使用的UV塑料杯。</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4"/>
              </w:rPr>
              <w:t>12.</w:t>
            </w:r>
            <w:r>
              <w:rPr>
                <w:sz w:val="24"/>
              </w:rPr>
              <w:t>▲搅拌系统：采用非接触式搅拌。</w:t>
            </w:r>
          </w:p>
        </w:tc>
      </w:tr>
      <w:tr>
        <w:tc>
          <w:tcPr>
            <w:tcW w:type="dxa" w:w="2076"/>
          </w:tcPr>
          <w:p/>
        </w:tc>
        <w:tc>
          <w:tcPr>
            <w:tcW w:type="dxa" w:w="415"/>
          </w:tcPr>
          <w:p>
            <w:pPr>
              <w:pStyle w:val="null3"/>
            </w:pPr>
            <w:r>
              <w:rPr/>
              <w:t>13</w:t>
            </w:r>
          </w:p>
        </w:tc>
        <w:tc>
          <w:tcPr>
            <w:tcW w:type="dxa" w:w="5814"/>
          </w:tcPr>
          <w:p>
            <w:pPr>
              <w:pStyle w:val="null3"/>
            </w:pPr>
            <w:r>
              <w:rPr>
                <w:sz w:val="24"/>
              </w:rPr>
              <w:t>13.</w:t>
            </w:r>
            <w:r>
              <w:rPr>
                <w:sz w:val="24"/>
              </w:rPr>
              <w:t>具备样品针堵塞检测功能，可实时监测吸样压力变化并异常预警。</w:t>
            </w:r>
          </w:p>
        </w:tc>
      </w:tr>
      <w:tr>
        <w:tc>
          <w:tcPr>
            <w:tcW w:type="dxa" w:w="2076"/>
          </w:tcPr>
          <w:p/>
        </w:tc>
        <w:tc>
          <w:tcPr>
            <w:tcW w:type="dxa" w:w="415"/>
          </w:tcPr>
          <w:p>
            <w:pPr>
              <w:pStyle w:val="null3"/>
            </w:pPr>
            <w:r>
              <w:rPr/>
              <w:t>14</w:t>
            </w:r>
          </w:p>
        </w:tc>
        <w:tc>
          <w:tcPr>
            <w:tcW w:type="dxa" w:w="5814"/>
          </w:tcPr>
          <w:p>
            <w:pPr>
              <w:pStyle w:val="null3"/>
            </w:pPr>
            <w:r>
              <w:rPr>
                <w:sz w:val="24"/>
              </w:rPr>
              <w:t>14.</w:t>
            </w:r>
            <w:r>
              <w:rPr>
                <w:sz w:val="24"/>
              </w:rPr>
              <w:t>具备在线质控管理、自动校准、多点校准、折线校准、校准点选择、比色分析计算、校准追踪、前带检测等功能。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4"/>
              </w:rPr>
              <w:t>15.</w:t>
            </w:r>
            <w:r>
              <w:rPr>
                <w:sz w:val="24"/>
              </w:rPr>
              <w:t>▲样本前处理开盖速度：≥1000管/小时。</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rPr>
              <w:t>16.</w:t>
            </w:r>
            <w:r>
              <w:rPr>
                <w:sz w:val="24"/>
              </w:rPr>
              <w:t>▲离心机单模块批次离心样本量：≥90管。</w:t>
            </w:r>
          </w:p>
        </w:tc>
      </w:tr>
      <w:tr>
        <w:tc>
          <w:tcPr>
            <w:tcW w:type="dxa" w:w="2076"/>
          </w:tcPr>
          <w:p/>
        </w:tc>
        <w:tc>
          <w:tcPr>
            <w:tcW w:type="dxa" w:w="415"/>
          </w:tcPr>
          <w:p>
            <w:pPr>
              <w:pStyle w:val="null3"/>
            </w:pPr>
            <w:r>
              <w:rPr/>
              <w:t>17</w:t>
            </w:r>
          </w:p>
        </w:tc>
        <w:tc>
          <w:tcPr>
            <w:tcW w:type="dxa" w:w="5814"/>
          </w:tcPr>
          <w:p>
            <w:pPr>
              <w:pStyle w:val="null3"/>
            </w:pPr>
            <w:r>
              <w:rPr>
                <w:sz w:val="24"/>
              </w:rPr>
              <w:t>17.</w:t>
            </w:r>
            <w:r>
              <w:rPr>
                <w:sz w:val="24"/>
              </w:rPr>
              <w:t>样本后处理冰箱容量：</w:t>
            </w:r>
            <w:r>
              <w:rPr>
                <w:sz w:val="24"/>
              </w:rPr>
              <w:t>≥10000管。</w:t>
            </w:r>
          </w:p>
        </w:tc>
      </w:tr>
      <w:tr>
        <w:tc>
          <w:tcPr>
            <w:tcW w:type="dxa" w:w="2076"/>
          </w:tcPr>
          <w:p/>
        </w:tc>
        <w:tc>
          <w:tcPr>
            <w:tcW w:type="dxa" w:w="415"/>
          </w:tcPr>
          <w:p>
            <w:pPr>
              <w:pStyle w:val="null3"/>
            </w:pPr>
            <w:r>
              <w:rPr/>
              <w:t>18</w:t>
            </w:r>
          </w:p>
        </w:tc>
        <w:tc>
          <w:tcPr>
            <w:tcW w:type="dxa" w:w="5814"/>
          </w:tcPr>
          <w:p>
            <w:pPr>
              <w:pStyle w:val="null3"/>
            </w:pPr>
            <w:r>
              <w:rPr>
                <w:sz w:val="24"/>
              </w:rPr>
              <w:t>18.</w:t>
            </w:r>
            <w:r>
              <w:rPr>
                <w:sz w:val="24"/>
              </w:rPr>
              <w:t>单台样本分拣机试管自动分拣速度：</w:t>
            </w:r>
            <w:r>
              <w:rPr>
                <w:sz w:val="24"/>
              </w:rPr>
              <w:t>≥2000管/小时。</w:t>
            </w:r>
          </w:p>
        </w:tc>
      </w:tr>
      <w:tr>
        <w:tc>
          <w:tcPr>
            <w:tcW w:type="dxa" w:w="2076"/>
          </w:tcPr>
          <w:p/>
        </w:tc>
        <w:tc>
          <w:tcPr>
            <w:tcW w:type="dxa" w:w="415"/>
          </w:tcPr>
          <w:p>
            <w:pPr>
              <w:pStyle w:val="null3"/>
            </w:pPr>
            <w:r>
              <w:rPr/>
              <w:t>19</w:t>
            </w:r>
          </w:p>
        </w:tc>
        <w:tc>
          <w:tcPr>
            <w:tcW w:type="dxa" w:w="5814"/>
          </w:tcPr>
          <w:p>
            <w:pPr>
              <w:pStyle w:val="null3"/>
            </w:pPr>
            <w:r>
              <w:rPr>
                <w:sz w:val="24"/>
              </w:rPr>
              <w:t>19.</w:t>
            </w:r>
            <w:r>
              <w:rPr>
                <w:sz w:val="24"/>
              </w:rPr>
              <w:t>气动输送系统传输标本效率：</w:t>
            </w:r>
            <w:r>
              <w:rPr>
                <w:sz w:val="24"/>
              </w:rPr>
              <w:t>≥900管/小时。</w:t>
            </w:r>
          </w:p>
        </w:tc>
      </w:tr>
      <w:tr>
        <w:tc>
          <w:tcPr>
            <w:tcW w:type="dxa" w:w="2076"/>
          </w:tcPr>
          <w:p/>
        </w:tc>
        <w:tc>
          <w:tcPr>
            <w:tcW w:type="dxa" w:w="415"/>
          </w:tcPr>
          <w:p>
            <w:pPr>
              <w:pStyle w:val="null3"/>
            </w:pPr>
            <w:r>
              <w:rPr/>
              <w:t>20</w:t>
            </w:r>
          </w:p>
        </w:tc>
        <w:tc>
          <w:tcPr>
            <w:tcW w:type="dxa" w:w="5814"/>
          </w:tcPr>
          <w:p>
            <w:pPr>
              <w:pStyle w:val="null3"/>
            </w:pPr>
            <w:r>
              <w:rPr>
                <w:sz w:val="24"/>
              </w:rPr>
              <w:t>20.</w:t>
            </w:r>
            <w:r>
              <w:rPr>
                <w:sz w:val="24"/>
              </w:rPr>
              <w:t>样本前处理模块具备</w:t>
            </w:r>
            <w:r>
              <w:rPr>
                <w:sz w:val="24"/>
              </w:rPr>
              <w:t>离心、开盖、移载、血清质量检查等功能。</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4"/>
              </w:rPr>
              <w:t>21.</w:t>
            </w:r>
            <w:r>
              <w:rPr>
                <w:sz w:val="24"/>
              </w:rPr>
              <w:t>★试剂耗材开放。（投标人提供承诺函，格式自拟并加盖投标人公章。）</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4"/>
              </w:rPr>
              <w:t>22.</w:t>
            </w:r>
            <w:r>
              <w:rPr>
                <w:sz w:val="24"/>
              </w:rPr>
              <w:t>★设备生产日期须为到货时日期的</w:t>
            </w:r>
            <w:r>
              <w:rPr>
                <w:sz w:val="24"/>
              </w:rPr>
              <w:t>6</w:t>
            </w:r>
            <w:r>
              <w:rPr>
                <w:sz w:val="24"/>
              </w:rPr>
              <w:t>个月内。（投标人提供承诺函，格式自拟并加盖投标人公章</w:t>
            </w:r>
            <w:r>
              <w:rPr>
                <w:sz w:val="24"/>
              </w:rPr>
              <w:t>。</w:t>
            </w:r>
            <w:r>
              <w:rPr>
                <w:sz w:val="24"/>
              </w:rPr>
              <w:t>）</w:t>
            </w:r>
          </w:p>
        </w:tc>
      </w:tr>
      <w:tr>
        <w:tc>
          <w:tcPr>
            <w:tcW w:type="dxa" w:w="2076"/>
          </w:tcPr>
          <w:p>
            <w:pPr>
              <w:pStyle w:val="null3"/>
            </w:pPr>
            <w:r>
              <w:rPr/>
              <w:t>★</w:t>
            </w:r>
          </w:p>
        </w:tc>
        <w:tc>
          <w:tcPr>
            <w:tcW w:type="dxa" w:w="415"/>
          </w:tcPr>
          <w:p>
            <w:pPr>
              <w:pStyle w:val="null3"/>
            </w:pPr>
            <w:r>
              <w:rPr/>
              <w:t>23</w:t>
            </w:r>
          </w:p>
        </w:tc>
        <w:tc>
          <w:tcPr>
            <w:tcW w:type="dxa" w:w="5814"/>
          </w:tcPr>
          <w:p>
            <w:pPr>
              <w:pStyle w:val="null3"/>
              <w:ind w:left="420"/>
            </w:pPr>
            <w:r>
              <w:rPr>
                <w:sz w:val="24"/>
              </w:rPr>
              <w:t>23.</w:t>
            </w:r>
            <w:r>
              <w:rPr>
                <w:sz w:val="24"/>
              </w:rPr>
              <w:t>★如所投产品属于第二类、第三类医疗器械，则必须在投标文件中提供有效的医疗器械注册证明。（如国家另有规定，则适用其规定</w:t>
            </w:r>
            <w:r>
              <w:rPr>
                <w:sz w:val="24"/>
              </w:rPr>
              <w:t>。</w:t>
            </w:r>
            <w:r>
              <w:rPr>
                <w:sz w:val="24"/>
              </w:rPr>
              <w:t>）</w:t>
            </w:r>
          </w:p>
        </w:tc>
      </w:tr>
      <w:tr>
        <w:tc>
          <w:tcPr>
            <w:tcW w:type="dxa" w:w="2076"/>
          </w:tcPr>
          <w:p>
            <w:pPr>
              <w:pStyle w:val="null3"/>
            </w:pPr>
            <w:r>
              <w:rPr/>
              <w:t>★</w:t>
            </w:r>
          </w:p>
        </w:tc>
        <w:tc>
          <w:tcPr>
            <w:tcW w:type="dxa" w:w="415"/>
          </w:tcPr>
          <w:p>
            <w:pPr>
              <w:pStyle w:val="null3"/>
            </w:pPr>
            <w:r>
              <w:rPr/>
              <w:t>24</w:t>
            </w:r>
          </w:p>
        </w:tc>
        <w:tc>
          <w:tcPr>
            <w:tcW w:type="dxa" w:w="5814"/>
          </w:tcPr>
          <w:p>
            <w:pPr>
              <w:pStyle w:val="null3"/>
              <w:ind w:left="420"/>
            </w:pPr>
            <w:r>
              <w:rPr>
                <w:sz w:val="24"/>
              </w:rPr>
              <w:t>24.</w:t>
            </w:r>
            <w:r>
              <w:rPr>
                <w:sz w:val="24"/>
              </w:rPr>
              <w:t>★配置清单</w:t>
            </w:r>
            <w:r>
              <w:rPr>
                <w:sz w:val="24"/>
              </w:rPr>
              <w:t>（投标人提供承诺函，格式自拟并加盖投标人公章）</w:t>
            </w:r>
          </w:p>
          <w:tbl>
            <w:tblPr>
              <w:tblBorders>
                <w:top w:val="none" w:color="000000" w:sz="4"/>
                <w:left w:val="none" w:color="000000" w:sz="4"/>
                <w:bottom w:val="none" w:color="000000" w:sz="4"/>
                <w:right w:val="none" w:color="000000" w:sz="4"/>
                <w:insideH w:val="none"/>
                <w:insideV w:val="none"/>
              </w:tblBorders>
            </w:tblPr>
            <w:tblGrid>
              <w:gridCol w:w="611"/>
              <w:gridCol w:w="4011"/>
              <w:gridCol w:w="965"/>
            </w:tblGrid>
            <w:tr>
              <w:tc>
                <w:tcPr>
                  <w:tcW w:type="dxa" w:w="611"/>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b/>
                    </w:rPr>
                    <w:t>序号</w:t>
                  </w:r>
                </w:p>
              </w:tc>
              <w:tc>
                <w:tcPr>
                  <w:tcW w:type="dxa" w:w="4011"/>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b/>
                    </w:rPr>
                    <w:t>配置名称</w:t>
                  </w:r>
                </w:p>
              </w:tc>
              <w:tc>
                <w:tcPr>
                  <w:tcW w:type="dxa" w:w="965"/>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b/>
                    </w:rPr>
                    <w:t>数量（单位）</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1</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全自动生化分析仪</w:t>
                  </w:r>
                  <w:r>
                    <w:rPr>
                      <w:sz w:val="24"/>
                    </w:rPr>
                    <w:t>主机</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台</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2</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ISE</w:t>
                  </w:r>
                  <w:r>
                    <w:rPr>
                      <w:sz w:val="24"/>
                    </w:rPr>
                    <w:t>组件</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3</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样本前处理模块（含离心机）</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4</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样本后处理模块（含冰箱）</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5</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全自动样本分拣机</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台</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6</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样本气动传输系统（含管路）</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7</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光源灯</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个</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8</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反应杯</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9</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用户使用说明书</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份</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10</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合格证</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份</w:t>
                  </w:r>
                </w:p>
              </w:tc>
            </w:tr>
            <w:tr>
              <w:tc>
                <w:tcPr>
                  <w:tcW w:type="dxa" w:w="5587"/>
                  <w:gridSpan w:val="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备注：</w:t>
                  </w:r>
                  <w:r>
                    <w:rPr>
                      <w:sz w:val="24"/>
                    </w:rPr>
                    <w:t>配置清单中所有配件需与系统主机适配、兼容。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采购包1(全自动生化分析仪)：综合评分法,是指投标文件满足招标文件全部实质性要求，且按照评审因素的量化指标评审得分最高的投标人为中标候选人的评标方法。（最低报价不是中标的唯一依据。）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采购包1（全自动生化分析仪）：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采购包1（全自动生化分析仪）：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或自然人，投标（响应）时提交有效的营业执照（或事业法人登记证或身份证等相关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提供以下任一证明：①2025年度经审计的财务报告复印件； ②提供2026年至今任意1个月的财务状况报告复印件；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若投标人为所投产品生产企业：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本项目不接受联合体投标。（提供承诺函，格式自拟）。</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本项目不接受分包或转包。（提供承诺函，格式自拟）。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13</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采购包1（全自动生化分析仪）：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采购包1(全自动生化分析仪):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(28.0分)</w:t>
            </w:r>
          </w:p>
        </w:tc>
        <w:tc>
          <w:tcPr>
            <w:tcW w:type="dxa" w:w="5076"/>
          </w:tcPr>
          <w:p>
            <w:pPr>
              <w:pStyle w:val="null3"/>
              <w:jc w:val="left"/>
            </w:pPr>
            <w:r>
              <w:rPr/>
              <w:t>所投产品技术参数全部满足采购需求书中带▲号的重要技术参数（共7项），得28分；每出现一处▲号负偏离，扣4分。 注:①投标人须提供证明资料证明投标产品的技术参数符合性。若采购需求书中已明确须提供的证明资料的，按照采购需求书的要求提供相应证明资料。若采购需求书中未明确须提供的证明资料的，投标人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书技术参数要求的投标产品参数在证明资料中所处的位置，在证明资料中做出标记并注明对应的采购需求书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所投货物技术参数及性能、配置与不带▲号的技术参数要求、采购需求书的符合性 (18.0分)</w:t>
            </w:r>
          </w:p>
        </w:tc>
        <w:tc>
          <w:tcPr>
            <w:tcW w:type="dxa" w:w="5076"/>
          </w:tcPr>
          <w:p>
            <w:pPr>
              <w:pStyle w:val="null3"/>
              <w:jc w:val="left"/>
            </w:pPr>
            <w:r>
              <w:rPr/>
              <w:t>所投产品技术参数全部满足采购需求书中不带▲号和★号的一般技术参数（共12项），得18分；每出现一处负偏离，扣1.5分。 注:①投标人须提供证明资料证明投标产品的技术参数符合性。若采购需求书中已明确须提供的证明资料的，按照采购需求书的要求提供相应证明资料。若采购需求书中未明确须提供的证明资料的，投标人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书技术参数要求的投标产品参数在证明资料中所处的位置，在证明资料中做出标记并注明对应的采购需求书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售后服务的内容(包括零配件明细清单、售后服务方案（全生命周期维度）等) (7.0分)</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培训计划及课程合理，整体售后服务方案内容（设备全生命周期维度）完全满足或优于本项目需求得7分； 售后服务方案基本清晰：提供了零配件清单但不完善，下浮率适中，维护保养服务方案基本可行，培训计划及课程合理，整体售后服务方案内容（设备全生命周期维度）基本满足本项目需求得3分； 售后服务方案潦草、不清晰：提供了零配件清单但不完善，下浮率低，维护保养服务方案难以理解，培训计划及课程混乱，整体售后服务方案内容（设备全生命周期维度）不满足本项目需求得1分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应根据采购需求商务要求的内容提供培训方案，包括但不限于以下内容:①培训内容，培训时间计划，③培训人员安排。(1)培训方案覆盖上述全部要求，对方案内容进行评审:方案有针对性、培训时间计划能保障项目实施，培训人员专业性强，整体方案内容完全满足且优于用户实际需 求的，得6分；(2)培训方案覆盖上述全部要求，对方案内容进行评审:较有针对性、培训时间计划较能保障项目实施，培训人员具有专业性，整体方案内容符合用户实际需求的，得3分；(3)没有完全覆盖上述全部要求，培训内容针对性一般、培训时间计划部分程度上能保障项目实施，培训人员专业性一般，整体方案内容不符合采购需求的，得1分；(4)未提供方案或其他的，得0分。</w:t>
            </w:r>
          </w:p>
        </w:tc>
      </w:tr>
      <w:tr>
        <w:tc>
          <w:tcPr>
            <w:tcW w:type="dxa" w:w="922"/>
            <w:gridSpan w:val="2"/>
            <w:vMerge/>
          </w:tcPr>
          <w:p/>
        </w:tc>
        <w:tc>
          <w:tcPr>
            <w:tcW w:type="dxa" w:w="2307"/>
          </w:tcPr>
          <w:p>
            <w:pPr>
              <w:pStyle w:val="null3"/>
              <w:jc w:val="left"/>
            </w:pPr>
            <w:r>
              <w:rPr/>
              <w:t>业绩评审 (3.0分)</w:t>
            </w:r>
          </w:p>
        </w:tc>
        <w:tc>
          <w:tcPr>
            <w:tcW w:type="dxa" w:w="5076"/>
          </w:tcPr>
          <w:p>
            <w:pPr>
              <w:pStyle w:val="null3"/>
              <w:jc w:val="left"/>
            </w:pPr>
            <w:r>
              <w:rPr/>
              <w:t>提供2023年1月1日至今（以签订合同的时间为准）与所投产品同品牌型号供货业绩，每提供1份业绩证明材料得1分，最高得3分。 （注：提供合同关键页，须包含项目内容、货物品牌型号、金额、签署双方单位名称、签署日期等未提供合同复印件或关键信息不完整的不得分。同一用户单位的多份合同或多个设备，只算一份。）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1分，其他情况或授权不完整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全自动生化分析仪</w:t>
      </w:r>
      <w:r>
        <w:rPr>
          <w:sz w:val="52"/>
          <w:b/>
        </w:rPr>
        <w:t>采购合同</w:t>
      </w:r>
    </w:p>
    <w:p>
      <w:pPr>
        <w:pStyle w:val="null3"/>
        <w:jc w:val="center"/>
      </w:pPr>
      <w:r>
        <w:rPr>
          <w:sz w:val="36"/>
          <w:b/>
        </w:rPr>
        <w:t>（</w:t>
      </w:r>
      <w:r>
        <w:rPr>
          <w:sz w:val="32"/>
          <w:b/>
        </w:rPr>
        <w:t>合同编号：</w:t>
      </w:r>
      <w:r>
        <w:rPr>
          <w:sz w:val="36"/>
          <w:b/>
        </w:rPr>
        <w:t>）</w:t>
      </w:r>
    </w:p>
    <w:p>
      <w:pPr>
        <w:pStyle w:val="null3"/>
        <w:jc w:val="center"/>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根据《中华人民共和国民法典》等相关法律规定以及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乙方负责向甲方提供下表中所列设备并负责设备的安装调试等。</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16"/>
        <w:gridCol w:w="1334"/>
        <w:gridCol w:w="1792"/>
        <w:gridCol w:w="771"/>
        <w:gridCol w:w="1608"/>
        <w:gridCol w:w="1569"/>
      </w:tblGrid>
      <w:tr>
        <w:tc>
          <w:tcPr>
            <w:tcW w:type="dxa" w:w="1216"/>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334"/>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79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771"/>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含税设备单价（元）</w:t>
            </w: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2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3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2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3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合计（含税）</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r>
    </w:tbl>
    <w:p>
      <w:pPr>
        <w:pStyle w:val="null3"/>
        <w:jc w:val="both"/>
      </w:pPr>
      <w:r>
        <w:rPr>
          <w:sz w:val="24"/>
        </w:rPr>
        <w:t>乙方所提供设备，必须符合国际通用标准、国家有关规范和环保要求及甲方采购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合同设备总价为￥元（大写：人民币），含税，其中税率为</w:t>
      </w:r>
      <w:r>
        <w:rPr>
          <w:sz w:val="21"/>
        </w:rPr>
        <w:t xml:space="preserve">    </w:t>
      </w:r>
      <w:r>
        <w:rPr>
          <w:sz w:val="24"/>
        </w:rPr>
        <w:t>；该合同总价包含合同设备价款、设备验收合格之前所产生的税费、包装费、仓储费、运输费、安装调试费、设备报关进口（如有）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w:t>
      </w:r>
      <w:r>
        <w:rPr>
          <w:sz w:val="24"/>
        </w:rPr>
        <w:t>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1"/>
          <w:u w:val="single"/>
        </w:rPr>
        <w:t xml:space="preserve"> </w:t>
      </w:r>
      <w:r>
        <w:rPr>
          <w:sz w:val="24"/>
          <w:u w:val="single"/>
        </w:rPr>
        <w:t>6</w:t>
      </w:r>
      <w:r>
        <w:rPr>
          <w:sz w:val="21"/>
          <w:u w:val="single"/>
        </w:rPr>
        <w:t xml:space="preserve">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w:t>
      </w:r>
      <w:r>
        <w:rPr>
          <w:sz w:val="24"/>
        </w:rPr>
        <w:t>的</w:t>
      </w:r>
      <w:r>
        <w:rPr>
          <w:sz w:val="24"/>
        </w:rPr>
        <w:t>、技术熟练且具备相应资质的技术人员到现场进行设备安装调试工作。现场工作期间，乙方应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全部费用及相关责任由乙方承担</w:t>
      </w:r>
      <w:r>
        <w:rPr>
          <w:sz w:val="24"/>
        </w:rPr>
        <w:t>。</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rPr>
        <w:t>30天内将合同设备送达甲方指定地点，甲方应及时组织相关人员进行设备实物的验收，如甲方认为必要时可引进第三方检测机构或邀请参与本项目的其他供应商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w:t>
      </w:r>
      <w:r>
        <w:rPr>
          <w:sz w:val="24"/>
        </w:rPr>
        <w:t>溯</w:t>
      </w:r>
      <w:r>
        <w:rPr>
          <w:sz w:val="24"/>
        </w:rPr>
        <w:t>查阅。所有随设备的附件必须齐全。乙方应将关键主机设备的用户手册、保修手册、相关资料及配备件、随机工具等交付给甲方，且使用操作及安全须知等重要资料应附有中文说明</w:t>
      </w:r>
      <w:r>
        <w:rPr>
          <w:sz w:val="24"/>
        </w:rPr>
        <w:t>,</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w:t>
      </w:r>
      <w:r>
        <w:rPr>
          <w:sz w:val="24"/>
        </w:rPr>
        <w:t>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后及时通知甲方进行调试验收，调试验收由甲乙双方相关人员共同参加，乙方应保证本合同下全部设备经安装调试后符合国际通用标准、国家规定的相关质量标准、符合厂家的出厂标准、达到采购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整机（包含全自动生化分析仪主机、</w:t>
      </w:r>
      <w:r>
        <w:rPr>
          <w:sz w:val="24"/>
        </w:rPr>
        <w:t>ISE组件、样本前处理模块（含离心机）、样本后处理模块（含冰箱）、全自动样本分拣机、样本气动传输系统（含管路）、光源灯、反应杯）质保柒年</w:t>
      </w:r>
      <w:r>
        <w:rPr>
          <w:sz w:val="24"/>
        </w:rPr>
        <w:t>，自设备调试验收合格并经甲、乙双方书面确认之日起计算。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w:t>
      </w:r>
      <w:r>
        <w:rPr>
          <w:sz w:val="24"/>
        </w:rPr>
        <w:t>及停机损失</w:t>
      </w:r>
      <w:r>
        <w:rPr>
          <w:sz w:val="24"/>
        </w:rPr>
        <w:t>从合同总价或履约保证金中扣除，不足部分甲方有权向乙方追索，同时甲方有权要求乙方承担违约责任。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w:t>
      </w:r>
      <w:r>
        <w:rPr>
          <w:sz w:val="24"/>
        </w:rPr>
        <w:t>应在</w:t>
      </w:r>
      <w:r>
        <w:rPr>
          <w:sz w:val="24"/>
          <w:u w:val="single"/>
        </w:rPr>
        <w:t>30</w:t>
      </w:r>
      <w:r>
        <w:rPr>
          <w:sz w:val="24"/>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3</w:t>
      </w:r>
      <w:r>
        <w:rPr>
          <w:sz w:val="24"/>
          <w:u w:val="single"/>
        </w:rPr>
        <w:t>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w:t>
      </w:r>
      <w:r>
        <w:rPr>
          <w:sz w:val="24"/>
        </w:rPr>
        <w:t>且性能不得低于原设备的</w:t>
      </w:r>
      <w:r>
        <w:rPr>
          <w:sz w:val="24"/>
        </w:rPr>
        <w:t>100%</w:t>
      </w:r>
      <w:r>
        <w:rPr>
          <w:sz w:val="24"/>
        </w:rPr>
        <w:t>（需附相应的证明材料）。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的银行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一次性退还：本合同的履约保</w:t>
      </w:r>
      <w:r>
        <w:rPr>
          <w:sz w:val="24"/>
        </w:rPr>
        <w:t>证金</w:t>
      </w:r>
      <w:r>
        <w:rPr>
          <w:sz w:val="24"/>
        </w:rPr>
        <w:t>于</w:t>
      </w:r>
      <w:r>
        <w:rPr>
          <w:sz w:val="24"/>
        </w:rPr>
        <w:t>合同履约期</w:t>
      </w:r>
      <w:r>
        <w:rPr>
          <w:sz w:val="24"/>
        </w:rPr>
        <w:t>满</w:t>
      </w:r>
      <w:r>
        <w:rPr>
          <w:sz w:val="24"/>
        </w:rPr>
        <w:t>，由乙方递交申请书</w:t>
      </w:r>
      <w:r>
        <w:rPr>
          <w:sz w:val="24"/>
        </w:rPr>
        <w:t>并经甲方书面确认后，甲方将扣除应扣款项（如有）后的履约保证金余额在次月一次性无息退还乙方</w:t>
      </w:r>
      <w:r>
        <w:rPr>
          <w:sz w:val="24"/>
        </w:rPr>
        <w:t>。</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w:t>
      </w:r>
      <w:r>
        <w:rPr>
          <w:sz w:val="24"/>
        </w:rPr>
        <w:t>本合同签订之日起</w:t>
      </w:r>
      <w:r>
        <w:rPr>
          <w:sz w:val="24"/>
          <w:u w:val="single"/>
        </w:rPr>
        <w:t>3</w:t>
      </w:r>
      <w:r>
        <w:rPr>
          <w:sz w:val="24"/>
          <w:u w:val="single"/>
        </w:rPr>
        <w:t>0</w:t>
      </w:r>
      <w:r>
        <w:rPr>
          <w:sz w:val="24"/>
        </w:rPr>
        <w:t>天内，甲方向乙方支付合同总价的</w:t>
      </w:r>
      <w:r>
        <w:rPr>
          <w:sz w:val="24"/>
          <w:u w:val="single"/>
        </w:rPr>
        <w:t>5</w:t>
      </w:r>
      <w:r>
        <w:rPr>
          <w:sz w:val="24"/>
          <w:u w:val="single"/>
        </w:rPr>
        <w:t>0</w:t>
      </w:r>
      <w:r>
        <w:rPr>
          <w:sz w:val="24"/>
          <w:u w:val="single"/>
        </w:rPr>
        <w:t>%</w:t>
      </w:r>
      <w:r>
        <w:rPr>
          <w:sz w:val="24"/>
        </w:rPr>
        <w:t>作为合同预付款，即：￥</w:t>
      </w:r>
      <w:r>
        <w:rPr>
          <w:sz w:val="24"/>
        </w:rPr>
        <w:t xml:space="preserve">             </w:t>
      </w:r>
      <w:r>
        <w:rPr>
          <w:sz w:val="24"/>
        </w:rPr>
        <w:t>（大写：人民币</w:t>
      </w:r>
      <w:r>
        <w:rPr>
          <w:sz w:val="24"/>
        </w:rPr>
        <w:t xml:space="preserve">                         </w:t>
      </w:r>
      <w:r>
        <w:rPr>
          <w:sz w:val="24"/>
        </w:rPr>
        <w:t>）；付款前乙方应提供与合同预付款金额相等的见索即付银行保函（保函的有效期为设备调试验收合格后的一个月），并向甲方开具与合同预付款金额相等的并加盖乙方财务章或公章的预付款收款凭据，预付款在货物全部到货并验收合格后自动转为货款的一部分。</w:t>
      </w:r>
      <w:r>
        <w:rPr>
          <w:sz w:val="24"/>
        </w:rPr>
        <w:t>如乙方无法提供上述银行保函，可提供甲方认可的其他担保方式。</w:t>
      </w:r>
    </w:p>
    <w:p>
      <w:pPr>
        <w:pStyle w:val="null3"/>
        <w:ind w:firstLine="480"/>
        <w:jc w:val="both"/>
      </w:pPr>
      <w:r>
        <w:rPr>
          <w:sz w:val="24"/>
        </w:rPr>
        <w:t>（三）设备调试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r>
        <w:rPr>
          <w:sz w:val="24"/>
        </w:rPr>
        <w:t>(</w:t>
      </w:r>
      <w:r>
        <w:rPr>
          <w:sz w:val="24"/>
        </w:rPr>
        <w:t>发票内容与合同设备内容一致，如有医疗器械证，依照注册证名称开具发票</w:t>
      </w:r>
      <w:r>
        <w:rPr>
          <w:sz w:val="24"/>
        </w:rPr>
        <w:t>)</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其他相关证明文件</w:t>
      </w:r>
    </w:p>
    <w:p>
      <w:pPr>
        <w:pStyle w:val="null3"/>
        <w:ind w:firstLine="477"/>
        <w:jc w:val="both"/>
      </w:pPr>
      <w:r>
        <w:rPr>
          <w:sz w:val="24"/>
        </w:rPr>
        <w:t>（四）甲方在收到乙方</w:t>
      </w:r>
      <w:r>
        <w:rPr>
          <w:sz w:val="24"/>
        </w:rPr>
        <w:t>全部</w:t>
      </w:r>
      <w:r>
        <w:rPr>
          <w:sz w:val="24"/>
        </w:rPr>
        <w:t>的付款申请文件</w:t>
      </w:r>
      <w:r>
        <w:rPr>
          <w:sz w:val="24"/>
          <w:u w:val="single"/>
        </w:rPr>
        <w:t>后</w:t>
      </w:r>
      <w:r>
        <w:rPr>
          <w:sz w:val="24"/>
          <w:u w:val="single"/>
        </w:rPr>
        <w:t>30</w:t>
      </w:r>
      <w:r>
        <w:rPr>
          <w:sz w:val="24"/>
          <w:u w:val="single"/>
        </w:rPr>
        <w:t>天内</w:t>
      </w:r>
      <w:r>
        <w:rPr>
          <w:sz w:val="24"/>
        </w:rPr>
        <w:t>向乙方支付合同总价的</w:t>
      </w:r>
      <w:r>
        <w:rPr>
          <w:sz w:val="21"/>
          <w:u w:val="single"/>
        </w:rPr>
        <w:t xml:space="preserve"> </w:t>
      </w:r>
      <w:r>
        <w:rPr>
          <w:sz w:val="24"/>
          <w:u w:val="single"/>
        </w:rPr>
        <w:t>5</w:t>
      </w:r>
      <w:r>
        <w:rPr>
          <w:sz w:val="24"/>
          <w:u w:val="single"/>
        </w:rPr>
        <w:t xml:space="preserve">0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r>
        <w:rPr>
          <w:sz w:val="24"/>
        </w:rPr>
        <w:t>因乙方付款申请文件不充分不合格等原因导致延期，不视为甲方延期支付。</w:t>
      </w:r>
    </w:p>
    <w:p>
      <w:pPr>
        <w:pStyle w:val="null3"/>
        <w:ind w:firstLine="480"/>
        <w:jc w:val="both"/>
      </w:pPr>
      <w:r>
        <w:rPr>
          <w:sz w:val="24"/>
        </w:rPr>
        <w:t>（五）除本合同第二条中甲乙双方约定的合同总价外，甲方没有责任向乙方另行支付任何款项，包括但不限于乙方工作人员的交通费、食宿费用等，本合同中另有约定的除外。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（六）乙方应充分理解甲方资金支付程序，甲方在前款规定的付款期限内办理完甲方的内部申请支付手续并向银行递交支付申请后，即视为甲方已经按期支付。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u w:val="single"/>
        </w:rPr>
        <w:t>7</w:t>
      </w:r>
      <w:r>
        <w:rPr>
          <w:sz w:val="24"/>
        </w:rPr>
        <w:t>天内使甲方重新获得使用上述设备的权利。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天内返回甲方已支付的设备款项，并赔偿因此给甲方造成的其他损失，若其向甲方支付的违约金不足以弥补的，乙方应另行赔偿，同时甲方有权收取乙方本合同总价的</w:t>
      </w:r>
      <w:r>
        <w:rPr>
          <w:sz w:val="24"/>
          <w:u w:val="single"/>
        </w:rPr>
        <w:t>5</w:t>
      </w:r>
      <w:r>
        <w:rPr>
          <w:sz w:val="24"/>
        </w:rPr>
        <w:t>%</w:t>
      </w:r>
      <w:r>
        <w:rPr>
          <w:sz w:val="24"/>
        </w:rPr>
        <w:t>（百分之五）作为违约金，甲方可直接在履约保证金中扣除。</w:t>
      </w:r>
    </w:p>
    <w:p>
      <w:pPr>
        <w:pStyle w:val="null3"/>
        <w:ind w:firstLine="480"/>
        <w:jc w:val="both"/>
      </w:pPr>
      <w:r>
        <w:rPr>
          <w:sz w:val="24"/>
        </w:rPr>
        <w:t>2.乙方向甲方提供的设备不符合本合同下的相关规</w:t>
      </w:r>
      <w:r>
        <w:rPr>
          <w:sz w:val="24"/>
        </w:rPr>
        <w:t>定，乙方应于</w:t>
      </w:r>
      <w:r>
        <w:rPr>
          <w:sz w:val="24"/>
          <w:u w:val="single"/>
        </w:rPr>
        <w:t>3</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w:t>
      </w:r>
      <w:r>
        <w:rPr>
          <w:sz w:val="24"/>
        </w:rPr>
        <w:t>款，并由乙方承担由此而产生的一切费用并赔偿甲方的全部损失</w:t>
      </w:r>
      <w:r>
        <w:rPr>
          <w:sz w:val="24"/>
        </w:rPr>
        <w:t>，同时甲方有权收取乙方本合同总价的</w:t>
      </w:r>
      <w:r>
        <w:rPr>
          <w:sz w:val="24"/>
          <w:u w:val="single"/>
        </w:rPr>
        <w:t>5</w:t>
      </w:r>
      <w:r>
        <w:rPr>
          <w:sz w:val="24"/>
        </w:rPr>
        <w:t>%</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w:t>
      </w:r>
      <w:r>
        <w:rPr>
          <w:sz w:val="24"/>
        </w:rPr>
        <w:t>主要</w:t>
      </w:r>
      <w:r>
        <w:rPr>
          <w:sz w:val="24"/>
        </w:rPr>
        <w:t>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w:t>
      </w:r>
      <w:r>
        <w:rPr>
          <w:sz w:val="24"/>
        </w:rPr>
        <w:t>并</w:t>
      </w:r>
      <w:r>
        <w:rPr>
          <w:sz w:val="24"/>
        </w:rPr>
        <w:t>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附件</w:t>
      </w:r>
      <w:r>
        <w:rPr>
          <w:sz w:val="24"/>
        </w:rPr>
        <w:t>3：配置清单(根据招标文件和投标文件确定)</w:t>
      </w:r>
    </w:p>
    <w:p>
      <w:pPr>
        <w:pStyle w:val="null3"/>
        <w:jc w:val="both"/>
      </w:pPr>
      <w:r>
        <w:rPr>
          <w:sz w:val="24"/>
        </w:rPr>
        <w:t>（以下无正文）</w:t>
      </w:r>
    </w:p>
    <w:p>
      <w:pPr>
        <w:pStyle w:val="null3"/>
        <w:jc w:val="left"/>
      </w:pP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067"/>
        <w:gridCol w:w="4226"/>
      </w:tblGrid>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29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t xml:space="preserve"> </w:t>
      </w:r>
    </w:p>
    <w:p>
      <w:pPr>
        <w:pStyle w:val="null3"/>
        <w:jc w:val="left"/>
      </w:pPr>
      <w:r>
        <w:rPr>
          <w:sz w:val="24"/>
        </w:rPr>
        <w:t>附件</w:t>
      </w:r>
      <w:r>
        <w:rPr>
          <w:sz w:val="24"/>
        </w:rPr>
        <w:t>1</w:t>
      </w:r>
      <w:r>
        <w:rPr>
          <w:sz w:val="24"/>
        </w:rPr>
        <w:t>：</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w:t>
      </w:r>
      <w:r>
        <w:rPr>
          <w:sz w:val="24"/>
        </w:rPr>
        <w:t>、所投货物具有合法来源，并且是从未使用的全新货物。并严格按照国家相关产品的技术标准进行生产、安装及售后服务，确保产品质量。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3"/>
        <w:gridCol w:w="1632"/>
        <w:gridCol w:w="1514"/>
        <w:gridCol w:w="2220"/>
        <w:gridCol w:w="2117"/>
      </w:tblGrid>
      <w:tr>
        <w:tc>
          <w:tcPr>
            <w:tcW w:type="dxa" w:w="82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4</w:t>
      </w:r>
      <w:r>
        <w:rPr>
          <w:sz w:val="24"/>
        </w:rPr>
        <w:t>、</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w:t>
      </w:r>
      <w:r>
        <w:rPr>
          <w:sz w:val="24"/>
        </w:rPr>
        <w:t>2</w:t>
      </w:r>
      <w:r>
        <w:rPr>
          <w:sz w:val="24"/>
        </w:rPr>
        <w:t>：</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w:t>
      </w:r>
      <w:r>
        <w:rPr>
          <w:sz w:val="28"/>
        </w:rPr>
        <w:t>回</w:t>
      </w:r>
      <w:r>
        <w:rPr>
          <w:sz w:val="28"/>
        </w:rPr>
        <w:t>.扣</w:t>
      </w:r>
      <w:r>
        <w:rPr>
          <w:sz w:val="28"/>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w:t>
      </w:r>
      <w:r>
        <w:rPr>
          <w:sz w:val="28"/>
        </w:rPr>
        <w:t>回</w:t>
      </w:r>
      <w:r>
        <w:rPr>
          <w:sz w:val="28"/>
        </w:rPr>
        <w:t>.扣</w:t>
      </w:r>
      <w:r>
        <w:rPr>
          <w:sz w:val="28"/>
        </w:rPr>
        <w:t>、宴请等方式影响甲方工作人员采购或使用医药产品的选择权，不得在学术活动中提供旅游、超标准支付食宿费用。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1"/>
          <w:u w:val="single"/>
        </w:rPr>
        <w:t xml:space="preserve">   </w:t>
      </w:r>
      <w:r>
        <w:rPr>
          <w:sz w:val="28"/>
          <w:u w:val="single"/>
        </w:rPr>
        <w:t xml:space="preserve"> </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w:t>
      </w:r>
      <w:r>
        <w:rPr>
          <w:sz w:val="28"/>
          <w:b/>
        </w:rPr>
        <w:t>6</w:t>
      </w:r>
      <w:r>
        <w:rPr>
          <w:sz w:val="28"/>
          <w:b/>
        </w:rPr>
        <w:t>年</w:t>
      </w:r>
      <w:r>
        <w:rPr>
          <w:sz w:val="28"/>
          <w:b/>
        </w:rPr>
        <w:t xml:space="preserve">  </w:t>
      </w:r>
      <w:r>
        <w:rPr>
          <w:sz w:val="28"/>
          <w:b/>
        </w:rPr>
        <w:t>月</w:t>
      </w:r>
      <w:r>
        <w:rPr>
          <w:sz w:val="28"/>
          <w:b/>
        </w:rPr>
        <w:t xml:space="preserve">  </w:t>
      </w:r>
      <w:r>
        <w:rPr>
          <w:sz w:val="28"/>
          <w:b/>
        </w:rPr>
        <w:t>日</w:t>
      </w:r>
      <w:r>
        <w:rPr>
          <w:sz w:val="21"/>
          <w:b/>
        </w:rPr>
        <w:t xml:space="preserve">                  </w:t>
      </w:r>
      <w:r>
        <w:rPr>
          <w:sz w:val="28"/>
          <w:b/>
        </w:rPr>
        <w:t>202</w:t>
      </w:r>
      <w:r>
        <w:rPr>
          <w:sz w:val="28"/>
          <w:b/>
        </w:rPr>
        <w:t>6</w:t>
      </w:r>
      <w:r>
        <w:rPr>
          <w:sz w:val="28"/>
          <w:b/>
        </w:rPr>
        <w:t>年</w:t>
      </w:r>
      <w:r>
        <w:rPr>
          <w:sz w:val="28"/>
          <w:b/>
        </w:rPr>
        <w:t xml:space="preserve">  </w:t>
      </w:r>
      <w:r>
        <w:rPr>
          <w:sz w:val="28"/>
          <w:b/>
        </w:rPr>
        <w:t>月</w:t>
      </w:r>
      <w:r>
        <w:rPr>
          <w:sz w:val="21"/>
          <w:b/>
        </w:rPr>
        <w:t xml:space="preserve"> </w:t>
      </w:r>
      <w:r>
        <w:rPr>
          <w:sz w:val="28"/>
          <w:b/>
        </w:rPr>
        <w:t>日</w:t>
      </w:r>
    </w:p>
    <w:p>
      <w:pPr>
        <w:pStyle w:val="null3"/>
        <w:jc w:val="both"/>
      </w:pPr>
      <w:r>
        <w:rPr/>
        <w:t xml:space="preserve"> </w:t>
      </w:r>
    </w:p>
    <w:p>
      <w:pPr>
        <w:pStyle w:val="null3"/>
        <w:jc w:val="both"/>
      </w:pPr>
      <w:r>
        <w:rPr>
          <w:sz w:val="24"/>
        </w:rPr>
        <w:t>附件</w:t>
      </w:r>
      <w:r>
        <w:rPr>
          <w:sz w:val="24"/>
        </w:rPr>
        <w:t>3：</w:t>
      </w:r>
    </w:p>
    <w:p>
      <w:pPr>
        <w:pStyle w:val="null3"/>
        <w:jc w:val="center"/>
      </w:pPr>
      <w:r>
        <w:rPr>
          <w:sz w:val="24"/>
          <w:b/>
        </w:rPr>
        <w:t>配置清单</w:t>
      </w:r>
      <w:r>
        <w:rPr>
          <w:sz w:val="24"/>
          <w:b/>
        </w:rPr>
        <w:t>(根据招标文件和投标文件确定)</w:t>
      </w:r>
    </w:p>
    <w:p>
      <w:pPr>
        <w:pStyle w:val="null3"/>
        <w:jc w:val="both"/>
      </w:pPr>
      <w:r>
        <w:rPr>
          <w:sz w:val="24"/>
        </w:rPr>
        <w:t>一、配置清单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440001-2026-14320</w:t>
      </w:r>
    </w:p>
    <w:p>
      <w:pPr>
        <w:pStyle w:val="null3"/>
        <w:jc w:val="center"/>
        <w:outlineLvl w:val="3"/>
      </w:pPr>
      <w:r>
        <w:rPr>
          <w:sz w:val="24"/>
          <w:b/>
        </w:rPr>
        <w:t>采购项目编号：</w:t>
      </w:r>
      <w:r>
        <w:rPr>
          <w:sz w:val="24"/>
          <w:b/>
        </w:rPr>
        <w:t>0724-2631Z3472496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广州中医药大学第三附属医院全自动生化分析仪采购项目</w:t>
      </w:r>
      <w:r>
        <w:rPr>
          <w:u w:val="single"/>
        </w:rPr>
        <w:t>”</w:t>
      </w:r>
      <w:r>
        <w:rPr/>
        <w:t>项目的招标[采购项目编号为：</w:t>
      </w:r>
      <w:r>
        <w:rPr>
          <w:u w:val="single"/>
        </w:rPr>
        <w:t>0724-2631Z3472496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广州中医药大学第三附属医院全自动生化分析仪采购项目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广州中医药大学第三附属医院全自动生化分析仪采购项目</w:t>
      </w:r>
      <w:r>
        <w:rPr/>
        <w:t>”项目采购[采购项目编号为</w:t>
      </w:r>
      <w:r>
        <w:rPr/>
        <w:t>0724-2631Z3472496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广州中医药大学第三附属医院全自动生化分析仪采购项目</w:t>
      </w:r>
      <w:r>
        <w:rPr/>
        <w:t>招标中获中标（采购项目编号：</w:t>
      </w:r>
      <w:r>
        <w:rPr/>
        <w:t>0724-2631Z3472496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广州中医药大学第三附属医院全自动生化分析仪采购项目</w:t>
      </w:r>
      <w:r>
        <w:rPr/>
        <w:t>”项目（采购项目编号：</w:t>
      </w:r>
      <w:r>
        <w:rPr/>
        <w:t>0724-2631Z3472496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