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441781-2026-00054</w:t>
      </w:r>
    </w:p>
    <w:p>
      <w:pPr>
        <w:pStyle w:val="null3"/>
        <w:jc w:val="center"/>
        <w:outlineLvl w:val="3"/>
      </w:pPr>
      <w:r>
        <w:rPr>
          <w:sz w:val="24"/>
          <w:b/>
        </w:rPr>
        <w:t>采购项目编号：</w:t>
      </w:r>
      <w:r>
        <w:rPr>
          <w:sz w:val="24"/>
          <w:b/>
        </w:rPr>
        <w:t>0724-2631YJ010043</w:t>
      </w:r>
    </w:p>
    <w:p>
      <w:pPr>
        <w:pStyle w:val="null3"/>
        <w:jc w:val="center"/>
        <w:outlineLvl w:val="3"/>
      </w:pPr>
      <w:r>
        <w:rPr>
          <w:sz w:val="24"/>
          <w:b/>
        </w:rPr>
        <w:t>项目名称：</w:t>
      </w:r>
      <w:r>
        <w:rPr>
          <w:sz w:val="24"/>
          <w:b/>
        </w:rPr>
        <w:t>阳春市道路交通拯救及车辆、大宗涉案物品保管服务项目</w:t>
      </w:r>
    </w:p>
    <w:p>
      <w:pPr>
        <w:pStyle w:val="null3"/>
        <w:jc w:val="center"/>
        <w:outlineLvl w:val="3"/>
      </w:pPr>
      <w:r>
        <w:rPr>
          <w:sz w:val="24"/>
          <w:b/>
        </w:rPr>
        <w:t>采购人：</w:t>
      </w:r>
      <w:r>
        <w:rPr>
          <w:sz w:val="24"/>
          <w:b/>
        </w:rPr>
        <w:t>阳春市公安局</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阳春市公安局</w:t>
      </w:r>
      <w:r>
        <w:rPr/>
        <w:t>的委托，采用</w:t>
      </w:r>
      <w:r>
        <w:rPr/>
        <w:t>公开招标</w:t>
      </w:r>
      <w:r>
        <w:rPr/>
        <w:t>方式组织采购</w:t>
      </w:r>
      <w:r>
        <w:rPr/>
        <w:t>阳春市道路交通拯救及车辆、大宗涉案物品保管服务项目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阳春市道路交通拯救及车辆、大宗涉案物品保管服务项目</w:t>
      </w:r>
    </w:p>
    <w:p>
      <w:pPr>
        <w:pStyle w:val="null3"/>
        <w:ind w:firstLine="480"/>
      </w:pPr>
      <w:r>
        <w:rPr/>
        <w:t>采购计划编号：</w:t>
      </w:r>
      <w:r>
        <w:rPr/>
        <w:t>441781-2026-00054</w:t>
      </w:r>
    </w:p>
    <w:p>
      <w:pPr>
        <w:pStyle w:val="null3"/>
        <w:ind w:firstLine="480"/>
      </w:pPr>
      <w:r>
        <w:rPr/>
        <w:t>采购项目编号：</w:t>
      </w:r>
      <w:r>
        <w:rPr/>
        <w:t>0724-2631YJ010043</w:t>
      </w:r>
    </w:p>
    <w:p>
      <w:pPr>
        <w:pStyle w:val="null3"/>
        <w:ind w:firstLine="480"/>
      </w:pPr>
      <w:r>
        <w:rPr/>
        <w:t>采购方式：</w:t>
      </w:r>
      <w:r>
        <w:rPr/>
        <w:t>公开招标</w:t>
      </w:r>
    </w:p>
    <w:p>
      <w:pPr>
        <w:pStyle w:val="null3"/>
        <w:ind w:firstLine="480"/>
      </w:pPr>
      <w:r>
        <w:rPr/>
        <w:t>预算金额：</w:t>
      </w:r>
      <w:r>
        <w:rPr/>
        <w:t>3,799,800.00</w:t>
      </w:r>
      <w:r>
        <w:rPr/>
        <w:t>元</w:t>
      </w:r>
    </w:p>
    <w:p>
      <w:pPr>
        <w:pStyle w:val="null3"/>
        <w:outlineLvl w:val="3"/>
      </w:pPr>
      <w:r>
        <w:rPr>
          <w:sz w:val="24"/>
          <w:b/>
        </w:rPr>
        <w:t>2.项目内容及需求情况（采购项目技术规格、参数及要求）</w:t>
      </w:r>
    </w:p>
    <w:p>
      <w:pPr>
        <w:pStyle w:val="null3"/>
      </w:pPr>
      <w:r>
        <w:rPr/>
        <w:t>采购包1(阳春市道路交通拯救及车辆、大宗涉案物品保管服务项目):</w:t>
      </w:r>
    </w:p>
    <w:p>
      <w:pPr>
        <w:pStyle w:val="null3"/>
      </w:pPr>
      <w:r>
        <w:rPr/>
        <w:t>采购包预算金额：3,799,800.00元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阳春市道路交通拯救及车辆、大宗涉案物品保管服务项目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合同履行期限：合同签订生效后24个月。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2）有依法缴纳税收和社会保障资金的良好记录：提供《阳江市政府采购供应商资格信用承诺函》（格式详见采购公告附件或招标文件“第二章采购需求”）。</w:t>
      </w:r>
    </w:p>
    <w:p>
      <w:pPr>
        <w:pStyle w:val="null3"/>
      </w:pPr>
      <w:r>
        <w:rPr/>
        <w:t>3）具有良好的商业信誉和健全的财务会计制度：提供《阳江市政府采购供应商资格信用承诺函》（格式详见采购公告附件或招标文件“第二章采购需求”）。</w:t>
      </w:r>
    </w:p>
    <w:p>
      <w:pPr>
        <w:pStyle w:val="null3"/>
      </w:pPr>
      <w:r>
        <w:rPr/>
        <w:t>4）履行合同所必需的设备和专业技术能力：提供《阳江市政府采购供应商资格信用承诺函》（格式详见采购公告附件或招标文件“第二章采购需求”）。</w:t>
      </w:r>
    </w:p>
    <w:p>
      <w:pPr>
        <w:pStyle w:val="null3"/>
      </w:pPr>
      <w:r>
        <w:rPr/>
        <w:t>5）参加采购活动前3年内，在经营活动中没有重大违法记录：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采购包1（阳春市道路交通拯救及车辆、大宗涉案物品保管服务项目）：</w:t>
      </w:r>
      <w:r>
        <w:rPr/>
        <w:t>本项目整体专门面向中小微企业采购，参与的供应商（联合体）服务全部由符合政策要求的中小企业承接。监狱企业、残疾人福利单位视同小型、微型企业。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项目标的按照《中小企业划分标准规定》（工信部联企业[2011]300号）划分行业为：其他未列明行业。</w:t>
      </w:r>
    </w:p>
    <w:p>
      <w:pPr>
        <w:pStyle w:val="null3"/>
        <w:outlineLvl w:val="3"/>
      </w:pPr>
      <w:r>
        <w:rPr>
          <w:sz w:val="24"/>
          <w:b/>
        </w:rPr>
        <w:t>3.本项目特定的资格要求：</w:t>
      </w:r>
    </w:p>
    <w:p>
      <w:pPr>
        <w:pStyle w:val="null3"/>
      </w:pPr>
      <w:r>
        <w:rPr/>
        <w:t>采购包1（阳春市道路交通拯救及车辆、大宗涉案物品保管服务项目）：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pPr>
      <w:r>
        <w:rPr/>
        <w:t>3)不接受联合体投标。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阳春市公安局</w:t>
      </w:r>
    </w:p>
    <w:p>
      <w:pPr>
        <w:pStyle w:val="null3"/>
        <w:ind w:firstLine="480"/>
      </w:pPr>
      <w:r>
        <w:rPr/>
        <w:t xml:space="preserve"> 地址：</w:t>
      </w:r>
      <w:r>
        <w:rPr/>
        <w:t>广东省阳春市春城街道阳春大道北178号</w:t>
      </w:r>
    </w:p>
    <w:p>
      <w:pPr>
        <w:pStyle w:val="null3"/>
        <w:ind w:firstLine="480"/>
      </w:pPr>
      <w:r>
        <w:rPr/>
        <w:t xml:space="preserve"> 联系方式：</w:t>
      </w:r>
      <w:r>
        <w:rPr/>
        <w:t>0662-7731320</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刘金、李哲霖、李忠威</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w:t>
      </w:r>
      <w:r>
        <w:rPr>
          <w:sz w:val="24"/>
        </w:rPr>
        <w:t>一</w:t>
      </w:r>
      <w:r>
        <w:rPr>
          <w:sz w:val="24"/>
        </w:rPr>
        <w:t>）</w:t>
      </w:r>
      <w:r>
        <w:rPr>
          <w:sz w:val="24"/>
        </w:rPr>
        <w:t>项目背景：</w:t>
      </w:r>
    </w:p>
    <w:p>
      <w:pPr>
        <w:pStyle w:val="null3"/>
      </w:pPr>
      <w:r>
        <w:rPr>
          <w:sz w:val="24"/>
        </w:rPr>
        <w:t>为规范交通秩序、提升道路通行效率，通过引入专业清障拯救服务，实现对违法车辆拖吊、事故车辆保管及重大活动交通保障的</w:t>
      </w:r>
      <w:r>
        <w:rPr>
          <w:sz w:val="24"/>
        </w:rPr>
        <w:t>响应供应商</w:t>
      </w:r>
      <w:r>
        <w:rPr>
          <w:sz w:val="24"/>
        </w:rPr>
        <w:t>准化管理，确保道路交通安全与畅通。</w:t>
      </w:r>
    </w:p>
    <w:p>
      <w:pPr>
        <w:pStyle w:val="null3"/>
        <w:jc w:val="left"/>
      </w:pPr>
      <w:r>
        <w:rPr>
          <w:sz w:val="24"/>
        </w:rPr>
        <w:t>（二）</w:t>
      </w:r>
      <w:r>
        <w:rPr>
          <w:sz w:val="24"/>
          <w:b/>
          <w:color w:val="000000"/>
        </w:rPr>
        <w:t>注：以下《阳江市政府采购供应商资格信用承诺函》，供应商须在投标文件中的</w:t>
      </w:r>
      <w:r>
        <w:rPr>
          <w:sz w:val="24"/>
          <w:b/>
          <w:color w:val="000000"/>
        </w:rPr>
        <w:t>“各类证明材料”或供应商认为合适的其他地方提供。</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0"/>
              <w:jc w:val="center"/>
            </w:pPr>
            <w:r>
              <w:rPr>
                <w:sz w:val="24"/>
                <w:b/>
                <w:color w:val="000000"/>
              </w:rPr>
              <w:t>阳江市政府采购供应商资格信用承诺函</w:t>
            </w:r>
          </w:p>
          <w:p>
            <w:pPr>
              <w:pStyle w:val="null3"/>
              <w:ind w:firstLine="504"/>
              <w:jc w:val="left"/>
            </w:pPr>
            <w:r>
              <w:rPr>
                <w:sz w:val="24"/>
                <w:color w:val="000000"/>
              </w:rPr>
              <w:t>我方自愿参加</w:t>
            </w:r>
            <w:r>
              <w:rPr>
                <w:sz w:val="19"/>
                <w:u w:val="single"/>
              </w:rPr>
              <w:t xml:space="preserve">        </w:t>
            </w:r>
            <w:r>
              <w:rPr>
                <w:sz w:val="24"/>
                <w:color w:val="000000"/>
                <w:u w:val="single"/>
              </w:rPr>
              <w:t>（项目名称）</w:t>
            </w:r>
            <w:r>
              <w:rPr>
                <w:sz w:val="24"/>
                <w:color w:val="000000"/>
                <w:u w:val="single"/>
              </w:rPr>
              <w:t xml:space="preserve">        </w:t>
            </w:r>
            <w:r>
              <w:rPr>
                <w:sz w:val="24"/>
                <w:color w:val="000000"/>
                <w:u w:val="single"/>
              </w:rPr>
              <w:t>项目</w:t>
            </w:r>
            <w:r>
              <w:rPr>
                <w:sz w:val="24"/>
                <w:color w:val="000000"/>
              </w:rPr>
              <w:t>(项目编号：</w:t>
            </w:r>
            <w:r>
              <w:rPr>
                <w:sz w:val="19"/>
                <w:u w:val="single"/>
              </w:rPr>
              <w:t xml:space="preserve">          </w:t>
            </w:r>
            <w:r>
              <w:rPr>
                <w:sz w:val="24"/>
                <w:color w:val="000000"/>
              </w:rPr>
              <w:t>)的政府采购活动，并郑重承诺符合《中华人民共和国政府采购法》第二十二条第一款第(二)项、第(三)项、第(四)项、第(五)项规定条件，具体包括:</w:t>
            </w:r>
          </w:p>
          <w:p>
            <w:pPr>
              <w:pStyle w:val="null3"/>
              <w:spacing w:before="240"/>
              <w:ind w:left="645"/>
              <w:jc w:val="left"/>
            </w:pPr>
            <w:r>
              <w:rPr>
                <w:sz w:val="24"/>
                <w:color w:val="000000"/>
              </w:rPr>
              <w:t>1.具有良好的商业信誉和健全的财务会计制度；</w:t>
            </w:r>
          </w:p>
          <w:p>
            <w:pPr>
              <w:pStyle w:val="null3"/>
              <w:spacing w:before="195"/>
              <w:ind w:left="645"/>
              <w:jc w:val="left"/>
            </w:pPr>
            <w:r>
              <w:rPr>
                <w:sz w:val="24"/>
                <w:color w:val="000000"/>
              </w:rPr>
              <w:t>2.具有履行合同所必需的设备和专业技术能力；</w:t>
            </w:r>
          </w:p>
          <w:p>
            <w:pPr>
              <w:pStyle w:val="null3"/>
              <w:spacing w:before="255"/>
              <w:ind w:left="645"/>
              <w:jc w:val="left"/>
            </w:pPr>
            <w:r>
              <w:rPr>
                <w:sz w:val="24"/>
                <w:color w:val="000000"/>
              </w:rPr>
              <w:t>3.具有依法缴纳税收和社会保障资金的良好记录；</w:t>
            </w:r>
          </w:p>
          <w:p>
            <w:pPr>
              <w:pStyle w:val="null3"/>
              <w:spacing w:before="240"/>
              <w:ind w:left="30" w:firstLine="612"/>
              <w:jc w:val="left"/>
            </w:pPr>
            <w:r>
              <w:rPr>
                <w:sz w:val="24"/>
                <w:color w:val="000000"/>
              </w:rPr>
              <w:t>4.参加政府采购活动前三年内，在经营活动中没有重大违法记录。</w:t>
            </w:r>
          </w:p>
          <w:p>
            <w:pPr>
              <w:pStyle w:val="null3"/>
              <w:spacing w:before="240"/>
              <w:ind w:left="30" w:firstLine="610"/>
              <w:jc w:val="left"/>
            </w:pPr>
            <w:r>
              <w:rPr>
                <w:sz w:val="24"/>
                <w:color w:val="000000"/>
              </w:rPr>
              <w:t>我方对上述承诺的真实性负责，在评审环节结束后，自愿接受采购单位</w:t>
            </w:r>
            <w:r>
              <w:rPr>
                <w:sz w:val="24"/>
                <w:color w:val="000000"/>
              </w:rPr>
              <w:t>(采购代理机构)的检查核验，配合提供相关证明材料，证明符合《中华人民共和国政府采购法》规定的供应商基本资格条件。如有虚假，将依法承担相应法律责任。</w:t>
            </w:r>
          </w:p>
          <w:p>
            <w:pPr>
              <w:pStyle w:val="null3"/>
              <w:spacing w:before="240"/>
              <w:ind w:left="645"/>
              <w:jc w:val="left"/>
            </w:pPr>
            <w:r>
              <w:rPr>
                <w:sz w:val="24"/>
                <w:color w:val="000000"/>
              </w:rPr>
              <w:t>特此承诺。</w:t>
            </w:r>
          </w:p>
          <w:p>
            <w:pPr>
              <w:pStyle w:val="null3"/>
              <w:spacing w:before="210"/>
              <w:ind w:left="30"/>
              <w:jc w:val="left"/>
            </w:pPr>
            <w:r>
              <w:rPr>
                <w:sz w:val="24"/>
                <w:b/>
                <w:color w:val="000000"/>
              </w:rPr>
              <w:t>供应商名称</w:t>
            </w:r>
            <w:r>
              <w:rPr>
                <w:sz w:val="24"/>
                <w:b/>
                <w:color w:val="000000"/>
              </w:rPr>
              <w:t>(公章):</w:t>
            </w:r>
          </w:p>
          <w:p>
            <w:pPr>
              <w:pStyle w:val="null3"/>
              <w:ind w:left="30"/>
              <w:jc w:val="left"/>
            </w:pPr>
            <w:r>
              <w:rPr>
                <w:sz w:val="24"/>
                <w:b/>
                <w:color w:val="000000"/>
              </w:rPr>
              <w:t>统一社会信用代码：</w:t>
            </w:r>
          </w:p>
          <w:p>
            <w:pPr>
              <w:pStyle w:val="null3"/>
              <w:spacing w:before="255"/>
              <w:ind w:left="30"/>
              <w:jc w:val="left"/>
            </w:pPr>
            <w:r>
              <w:rPr>
                <w:sz w:val="24"/>
                <w:b/>
                <w:color w:val="000000"/>
              </w:rPr>
              <w:t>法定代表人或授权代表</w:t>
            </w:r>
            <w:r>
              <w:rPr>
                <w:sz w:val="24"/>
                <w:b/>
                <w:color w:val="000000"/>
              </w:rPr>
              <w:t>(签名):</w:t>
            </w:r>
          </w:p>
          <w:p>
            <w:pPr>
              <w:pStyle w:val="null3"/>
              <w:ind w:left="30"/>
              <w:jc w:val="left"/>
            </w:pPr>
            <w:r>
              <w:rPr>
                <w:sz w:val="24"/>
                <w:b/>
                <w:color w:val="000000"/>
              </w:rPr>
              <w:t>日期：</w:t>
            </w:r>
            <w:r>
              <w:rPr>
                <w:sz w:val="19"/>
                <w:b/>
              </w:rPr>
              <w:t xml:space="preserve">    </w:t>
            </w:r>
            <w:r>
              <w:rPr>
                <w:sz w:val="24"/>
                <w:b/>
                <w:color w:val="000000"/>
              </w:rPr>
              <w:t>年</w:t>
            </w:r>
            <w:r>
              <w:rPr>
                <w:sz w:val="19"/>
                <w:b/>
              </w:rPr>
              <w:t xml:space="preserve">   </w:t>
            </w:r>
            <w:r>
              <w:rPr>
                <w:sz w:val="24"/>
                <w:b/>
                <w:color w:val="000000"/>
              </w:rPr>
              <w:t>月</w:t>
            </w:r>
            <w:r>
              <w:rPr>
                <w:sz w:val="19"/>
                <w:b/>
              </w:rPr>
              <w:t xml:space="preserve">    </w:t>
            </w:r>
            <w:r>
              <w:rPr>
                <w:sz w:val="24"/>
                <w:b/>
                <w:color w:val="000000"/>
              </w:rPr>
              <w:t>日</w:t>
            </w:r>
          </w:p>
          <w:p>
            <w:pPr>
              <w:pStyle w:val="null3"/>
              <w:ind w:left="30"/>
              <w:jc w:val="left"/>
            </w:pPr>
            <w:r>
              <w:rPr>
                <w:sz w:val="19"/>
              </w:rPr>
              <w:t xml:space="preserve"> </w:t>
            </w:r>
          </w:p>
          <w:p>
            <w:pPr>
              <w:pStyle w:val="null3"/>
              <w:ind w:left="15"/>
              <w:jc w:val="left"/>
            </w:pPr>
            <w:r>
              <w:rPr>
                <w:sz w:val="24"/>
                <w:color w:val="000000"/>
              </w:rPr>
              <w:t>注：供应商的法定代表人</w:t>
            </w:r>
            <w:r>
              <w:rPr>
                <w:sz w:val="24"/>
                <w:color w:val="000000"/>
              </w:rPr>
              <w:t>(其他组织的为负责人)或者授权代表的签名或盖章应真实、有效，如由投标代表签名或盖章的，应提供“法定代表人授权书”。</w:t>
            </w:r>
          </w:p>
        </w:tc>
      </w:tr>
    </w:tbl>
    <w:p>
      <w:pPr>
        <w:pStyle w:val="null3"/>
      </w:pPr>
      <w:r>
        <w:rPr/>
        <w:t>采购包1（阳春市道路交通拯救及车辆、大宗涉案物品保管服务项目）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合同签订生效后24个月。</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项目服务费按中标价平均分四次支付，每半年结算一次，中标人应于结算月的5日前（如遇节假日则顺延至节假日后的第一个工作日）向采购人提出请款申请，采购人在收到中标人的服务费申请之日起7个工作日内办理支付相关款项手续。 注：中标人须在采购人办理付款手续前，提供等额合法的发票给采购人，以便采购人及时办理支付手续。因采购人使用的是财政资金，采购人在前款规定的付款时间内向政府支付部门提出办理财政支付申请手续的时间(不含政府支付部门审核的时间)，在规定时间内提出支付申请手续后即视为采购人已经按期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中标人应按服务要求按时保质保量地完成保管工作，并按该项目服务内容、按约定的要求、周期向采购人交付工作成果。采购人应对中标人提交的工作成果按约定质量标准进行考核验收，并出具考核验收意见。</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投标报价要求</w:t>
            </w:r>
          </w:p>
        </w:tc>
        <w:tc>
          <w:tcPr>
            <w:tcW w:type="dxa" w:w="2076"/>
          </w:tcPr>
          <w:p>
            <w:pPr>
              <w:pStyle w:val="null3"/>
              <w:jc w:val="left"/>
            </w:pPr>
            <w:r>
              <w:rPr/>
              <w:t>（1）本项目采购预算金额为人民币3,799,800.00元，投标报价不能高于采购预算，否则将被视为无效投标。投标人应对项目所有的招标内容进行投标，不允许只对项目内部分内容进行投标。 （2）投标报价包含本项目所需的一切费用，包括但不限于人工费、材料费、设备使用费、拖吊费、搬运费、管理费、利润、各种税务费及合同实施过程中不可预见费用等的全部费用，采购人不再另行支付与本项目相关的任何费用。</w:t>
            </w:r>
          </w:p>
        </w:tc>
      </w:tr>
      <w:tr>
        <w:tc>
          <w:tcPr>
            <w:tcW w:type="dxa" w:w="2076"/>
          </w:tcPr>
          <w:p/>
        </w:tc>
        <w:tc>
          <w:tcPr>
            <w:tcW w:type="dxa" w:w="2076"/>
          </w:tcPr>
          <w:p>
            <w:pPr>
              <w:pStyle w:val="null3"/>
              <w:jc w:val="center"/>
            </w:pPr>
            <w:r>
              <w:rPr/>
              <w:t>2</w:t>
            </w:r>
          </w:p>
        </w:tc>
        <w:tc>
          <w:tcPr>
            <w:tcW w:type="dxa" w:w="2076"/>
          </w:tcPr>
          <w:p>
            <w:pPr>
              <w:pStyle w:val="null3"/>
              <w:jc w:val="left"/>
            </w:pPr>
            <w:r>
              <w:rPr/>
              <w:t>合同签订要求</w:t>
            </w:r>
          </w:p>
        </w:tc>
        <w:tc>
          <w:tcPr>
            <w:tcW w:type="dxa" w:w="2076"/>
          </w:tcPr>
          <w:p>
            <w:pPr>
              <w:pStyle w:val="null3"/>
              <w:jc w:val="left"/>
            </w:pPr>
            <w:r>
              <w:rPr/>
              <w:t>采购合同由中标人与采购人双方签订，签订时间为《中标通知书》发出之日起30日历日内。</w:t>
            </w:r>
          </w:p>
        </w:tc>
      </w:tr>
      <w:tr>
        <w:tc>
          <w:tcPr>
            <w:tcW w:type="dxa" w:w="2076"/>
          </w:tcPr>
          <w:p/>
        </w:tc>
        <w:tc>
          <w:tcPr>
            <w:tcW w:type="dxa" w:w="2076"/>
          </w:tcPr>
          <w:p>
            <w:pPr>
              <w:pStyle w:val="null3"/>
              <w:jc w:val="center"/>
            </w:pPr>
            <w:r>
              <w:rPr/>
              <w:t>3</w:t>
            </w:r>
          </w:p>
        </w:tc>
        <w:tc>
          <w:tcPr>
            <w:tcW w:type="dxa" w:w="2076"/>
          </w:tcPr>
          <w:p>
            <w:pPr>
              <w:pStyle w:val="null3"/>
              <w:jc w:val="left"/>
            </w:pPr>
            <w:r>
              <w:rPr/>
              <w:t>应急措施要求</w:t>
            </w:r>
          </w:p>
        </w:tc>
        <w:tc>
          <w:tcPr>
            <w:tcW w:type="dxa" w:w="2076"/>
          </w:tcPr>
          <w:p>
            <w:pPr>
              <w:pStyle w:val="null3"/>
              <w:jc w:val="left"/>
            </w:pPr>
            <w:r>
              <w:rPr/>
              <w:t>（1）中标人应建立应急响应机制，提供7×24小时服务热线。确保在接到采购人任务后，按约定时间到达现场进行作业。 （2）根据可能发生的突发事件类型，供应商应制定相应的应急预案。预案应明确应急响应流程、救援措施、设备材料、人员分工等，确保在突发事件发生时能够有序、高效地进行作业。 （3）中标人应定期组织应急救援演练，检验和提高应急预案的实用性和有效性。通过演练，加强各部门之间的协调和配合，提高应对突发事故的能力。</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阳春市道路交通拯救及车辆、大宗涉案物品保管服务项目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3,799,800.00</w:t>
            </w:r>
          </w:p>
        </w:tc>
        <w:tc>
          <w:tcPr>
            <w:tcW w:type="dxa" w:w="933"/>
          </w:tcPr>
          <w:p>
            <w:pPr>
              <w:pStyle w:val="null3"/>
              <w:jc w:val="right"/>
            </w:pPr>
            <w:r>
              <w:rPr/>
              <w:t>3,799,800.00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阳春市道路交通拯救及车辆、大宗涉案物品保管服务项目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rPr>
              <w:t>一、车辆及涉案物品保存期间的管理要求：</w:t>
            </w:r>
          </w:p>
          <w:p>
            <w:pPr>
              <w:pStyle w:val="null3"/>
              <w:jc w:val="both"/>
            </w:pPr>
            <w:r>
              <w:rPr>
                <w:sz w:val="24"/>
              </w:rPr>
              <w:t>1、中标人应按照采购人的交接要求，为采购人提供涉案车辆及涉案物品管理服务（包括但不限于对涉案车辆及涉案物品采取必要措施确保车辆及涉案物品的安全及证据的完好等相关工作）。从涉案车辆及涉案物品进场起到涉案车辆及涉案物品处理完毕止，中标人承担在此期间的消防安全责任和环境安全责任，必须做好涉案车辆及涉案物品的消防安全保障及环境安全保障措施。在此期间发生消防安全事故或环境安全事故的，所产生的法律和经济责任由中标人承担。</w:t>
            </w:r>
          </w:p>
          <w:p>
            <w:pPr>
              <w:pStyle w:val="null3"/>
              <w:jc w:val="both"/>
            </w:pPr>
            <w:r>
              <w:rPr>
                <w:sz w:val="24"/>
              </w:rPr>
              <w:t>2、中标人不得以任何理由向涉案车辆及涉案物品当事人收取保管期间的任何费用。</w:t>
            </w:r>
          </w:p>
          <w:p>
            <w:pPr>
              <w:pStyle w:val="null3"/>
            </w:pPr>
            <w:r>
              <w:rPr>
                <w:sz w:val="24"/>
              </w:rPr>
              <w:t>3、服务期满后，对于尚未处理完毕的涉案车辆及涉案物品，中标人必须无条件配合下一周期项目的中标人在30天内移交。</w:t>
            </w:r>
          </w:p>
        </w:tc>
      </w:tr>
      <w:tr>
        <w:tc>
          <w:tcPr>
            <w:tcW w:type="dxa" w:w="2076"/>
          </w:tcPr>
          <w:p/>
        </w:tc>
        <w:tc>
          <w:tcPr>
            <w:tcW w:type="dxa" w:w="415"/>
          </w:tcPr>
          <w:p>
            <w:pPr>
              <w:pStyle w:val="null3"/>
            </w:pPr>
            <w:r>
              <w:rPr/>
              <w:t>2</w:t>
            </w:r>
          </w:p>
        </w:tc>
        <w:tc>
          <w:tcPr>
            <w:tcW w:type="dxa" w:w="5814"/>
          </w:tcPr>
          <w:p>
            <w:pPr>
              <w:pStyle w:val="null3"/>
              <w:jc w:val="both"/>
            </w:pPr>
            <w:r>
              <w:rPr>
                <w:sz w:val="24"/>
              </w:rPr>
              <w:t>二、场地设置要求：</w:t>
            </w:r>
          </w:p>
          <w:p>
            <w:pPr>
              <w:pStyle w:val="null3"/>
              <w:jc w:val="both"/>
            </w:pPr>
            <w:r>
              <w:rPr>
                <w:sz w:val="24"/>
              </w:rPr>
              <w:t>1、停车场建设与停车管理业务、大宗涉案物品保管有关的设备设施和各类用房仓库无需中标人投资建设，由采购人负责规划建设。停车场地址为：阳春市产业转移工业园大岗脚工业区D8F。在项目实施期间如因采购人更换停车场地址，中标人须无条件转移涉案车辆及涉案物品至新场所。</w:t>
            </w:r>
          </w:p>
          <w:p>
            <w:pPr>
              <w:pStyle w:val="null3"/>
              <w:jc w:val="both"/>
            </w:pPr>
            <w:r>
              <w:rPr>
                <w:sz w:val="24"/>
              </w:rPr>
              <w:t>2、中标人应采取必要措施对暂扣涉案车辆的随车物品及涉案物品进行临时保管。小件随车物品及涉案物品应当在登记、拍照、编号后纳入物品保管室管理并在1个工作日内移交给采购人。</w:t>
            </w:r>
          </w:p>
          <w:p>
            <w:pPr>
              <w:pStyle w:val="null3"/>
              <w:jc w:val="both"/>
            </w:pPr>
            <w:r>
              <w:rPr>
                <w:sz w:val="24"/>
              </w:rPr>
              <w:t>3、各场地应履行信息公开制度，在业务办理窗口以及场地入口显著位置悬挂公示办理流程、注意事项、投诉电话、服务人员信息、不收费承诺等相关内容的公示标牌。</w:t>
            </w:r>
          </w:p>
          <w:p>
            <w:pPr>
              <w:pStyle w:val="null3"/>
              <w:jc w:val="both"/>
            </w:pPr>
            <w:r>
              <w:rPr>
                <w:sz w:val="24"/>
              </w:rPr>
              <w:t>▲4、如合同履约期间，因中标人违约行为解除合同的，中标人需承诺无偿提供涉案车辆及涉案物品管理服务，并负责采购人重新招标期间（直至新中标人签订合同后）所需的一切费用。（提供承诺函，格式自拟）</w:t>
            </w:r>
          </w:p>
          <w:p>
            <w:pPr>
              <w:pStyle w:val="null3"/>
            </w:pPr>
            <w:r>
              <w:rPr>
                <w:sz w:val="24"/>
              </w:rPr>
              <w:t>5、合同履约提供管理服务期间产生的水、电以及网络通讯等服务运营期间产生的一切费用由中标人承担。</w:t>
            </w:r>
          </w:p>
        </w:tc>
      </w:tr>
      <w:tr>
        <w:tc>
          <w:tcPr>
            <w:tcW w:type="dxa" w:w="2076"/>
          </w:tcPr>
          <w:p/>
        </w:tc>
        <w:tc>
          <w:tcPr>
            <w:tcW w:type="dxa" w:w="415"/>
          </w:tcPr>
          <w:p>
            <w:pPr>
              <w:pStyle w:val="null3"/>
            </w:pPr>
            <w:r>
              <w:rPr/>
              <w:t>3</w:t>
            </w:r>
          </w:p>
        </w:tc>
        <w:tc>
          <w:tcPr>
            <w:tcW w:type="dxa" w:w="5814"/>
          </w:tcPr>
          <w:p>
            <w:pPr>
              <w:pStyle w:val="null3"/>
              <w:jc w:val="both"/>
            </w:pPr>
            <w:r>
              <w:rPr>
                <w:sz w:val="24"/>
              </w:rPr>
              <w:t>三、场地服务（管理）要求：</w:t>
            </w:r>
          </w:p>
          <w:p>
            <w:pPr>
              <w:pStyle w:val="null3"/>
              <w:jc w:val="both"/>
            </w:pPr>
            <w:r>
              <w:rPr>
                <w:sz w:val="24"/>
              </w:rPr>
              <w:t>1、场地管理人员需穿着统一工作服上岗，上岗时应佩戴工作卡，对进场协助车辆摆放的拯救作业人员，以及车辆领取人必须全程进行监督，以防止车辆（含其他物品）在场内被人为损坏或盗走。</w:t>
            </w:r>
          </w:p>
          <w:p>
            <w:pPr>
              <w:pStyle w:val="null3"/>
              <w:jc w:val="both"/>
            </w:pPr>
            <w:r>
              <w:rPr>
                <w:sz w:val="24"/>
              </w:rPr>
              <w:t>2、场内应设置车辆钥匙保管柜和随车物品（贵重或小件物品）保管柜，对车辆钥匙和物品按单位、类别、进场顺序等条件分类有效摆放。</w:t>
            </w:r>
          </w:p>
          <w:p>
            <w:pPr>
              <w:pStyle w:val="null3"/>
              <w:jc w:val="both"/>
            </w:pPr>
            <w:r>
              <w:rPr>
                <w:sz w:val="24"/>
              </w:rPr>
              <w:t>3、制定与管理相适应的人员值班规范、车钥匙管理规范、随车物品管理规范、场地安全防范规定等详细工作制度，保障场地安全、有序、规范运转。相关制度应当报采购人备案。</w:t>
            </w:r>
          </w:p>
          <w:p>
            <w:pPr>
              <w:pStyle w:val="null3"/>
              <w:jc w:val="both"/>
            </w:pPr>
            <w:r>
              <w:rPr>
                <w:sz w:val="24"/>
              </w:rPr>
              <w:t>4、必须严格按照车辆接收程序接收车辆；场地内的车辆（含随车物品）需出场的，相关人员必须凭有效的放行条或勘验证明，并按放行程序办理手续后才能将车辆或物品领出。</w:t>
            </w:r>
          </w:p>
          <w:p>
            <w:pPr>
              <w:pStyle w:val="null3"/>
              <w:jc w:val="both"/>
            </w:pPr>
            <w:r>
              <w:rPr>
                <w:sz w:val="24"/>
              </w:rPr>
              <w:t>5、场地实施24小时值班制度，按工作职责配备足够的管理人员（包括但不限于场长、交接员、保安员、统计员等），本项目配备人员必须遵守采购人内部安保及保密等规定，涉及人员变更的须及时上报并经采购人书面同意方可更换。</w:t>
            </w:r>
          </w:p>
          <w:p>
            <w:pPr>
              <w:pStyle w:val="null3"/>
            </w:pPr>
            <w:r>
              <w:rPr>
                <w:sz w:val="24"/>
              </w:rPr>
              <w:t>▲6、中标人必须在合同签订前5个工作日提供场地管理人员的劳动合同或社保证明，并在合同实施后1个月内将各场所管理人员名册提交采购人备案，中标人应于收到采购人书面通知之日起1个月内提交备案。停车场负责办理车辆出库岗位（对外业务窗口）的工作时间：正常工作日：上午8：30时-12：00时,下午14：30-17：30，法定节假日休息，法定节假日：9：00时-14：00时。（提供承诺函，格式自拟）</w:t>
            </w:r>
          </w:p>
        </w:tc>
      </w:tr>
      <w:tr>
        <w:tc>
          <w:tcPr>
            <w:tcW w:type="dxa" w:w="2076"/>
          </w:tcPr>
          <w:p/>
        </w:tc>
        <w:tc>
          <w:tcPr>
            <w:tcW w:type="dxa" w:w="415"/>
          </w:tcPr>
          <w:p>
            <w:pPr>
              <w:pStyle w:val="null3"/>
            </w:pPr>
            <w:r>
              <w:rPr/>
              <w:t>4</w:t>
            </w:r>
          </w:p>
        </w:tc>
        <w:tc>
          <w:tcPr>
            <w:tcW w:type="dxa" w:w="5814"/>
          </w:tcPr>
          <w:p>
            <w:pPr>
              <w:pStyle w:val="null3"/>
              <w:jc w:val="both"/>
            </w:pPr>
            <w:r>
              <w:rPr>
                <w:sz w:val="24"/>
              </w:rPr>
              <w:t>四、拯救服务要求：</w:t>
            </w:r>
          </w:p>
          <w:p>
            <w:pPr>
              <w:pStyle w:val="null3"/>
              <w:jc w:val="both"/>
            </w:pPr>
            <w:r>
              <w:rPr>
                <w:sz w:val="24"/>
              </w:rPr>
              <w:t>（一）车辆要求：</w:t>
            </w:r>
          </w:p>
          <w:p>
            <w:pPr>
              <w:pStyle w:val="null3"/>
              <w:jc w:val="both"/>
            </w:pPr>
            <w:r>
              <w:rPr>
                <w:sz w:val="24"/>
              </w:rPr>
              <w:t>（</w:t>
            </w:r>
            <w:r>
              <w:rPr>
                <w:sz w:val="24"/>
              </w:rPr>
              <w:t>1）▲拟投入项目车辆总数为不少于13辆，要求如下表：</w:t>
            </w:r>
          </w:p>
          <w:tbl>
            <w:tblPr>
              <w:tblBorders>
                <w:top w:val="none" w:color="000000" w:sz="4"/>
                <w:left w:val="none" w:color="000000" w:sz="4"/>
                <w:bottom w:val="none" w:color="000000" w:sz="4"/>
                <w:right w:val="none" w:color="000000" w:sz="4"/>
                <w:insideH w:val="none"/>
                <w:insideV w:val="none"/>
              </w:tblBorders>
            </w:tblPr>
            <w:tblGrid>
              <w:gridCol w:w="989"/>
              <w:gridCol w:w="2595"/>
              <w:gridCol w:w="2001"/>
            </w:tblGrid>
            <w:tr>
              <w:tc>
                <w:tcPr>
                  <w:tcW w:type="dxa" w:w="989"/>
                  <w:tcBorders>
                    <w:top w:val="singl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序号</w:t>
                  </w:r>
                </w:p>
              </w:tc>
              <w:tc>
                <w:tcPr>
                  <w:tcW w:type="dxa" w:w="2595"/>
                  <w:tcBorders>
                    <w:top w:val="singl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车型</w:t>
                  </w:r>
                </w:p>
              </w:tc>
              <w:tc>
                <w:tcPr>
                  <w:tcW w:type="dxa" w:w="2001"/>
                  <w:tcBorders>
                    <w:top w:val="singl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数量</w:t>
                  </w:r>
                  <w:r>
                    <w:rPr>
                      <w:sz w:val="24"/>
                    </w:rPr>
                    <w:t>/单位</w:t>
                  </w:r>
                </w:p>
              </w:tc>
            </w:tr>
            <w:tr>
              <w:tc>
                <w:tcPr>
                  <w:tcW w:type="dxa" w:w="989"/>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1</w:t>
                  </w:r>
                </w:p>
              </w:tc>
              <w:tc>
                <w:tcPr>
                  <w:tcW w:type="dxa" w:w="2595"/>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3吨平板拖车</w:t>
                  </w:r>
                </w:p>
              </w:tc>
              <w:tc>
                <w:tcPr>
                  <w:tcW w:type="dxa" w:w="2001"/>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≥6台</w:t>
                  </w:r>
                </w:p>
              </w:tc>
            </w:tr>
            <w:tr>
              <w:tc>
                <w:tcPr>
                  <w:tcW w:type="dxa" w:w="989"/>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2</w:t>
                  </w:r>
                </w:p>
              </w:tc>
              <w:tc>
                <w:tcPr>
                  <w:tcW w:type="dxa" w:w="2595"/>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5吨平板拖车</w:t>
                  </w:r>
                </w:p>
              </w:tc>
              <w:tc>
                <w:tcPr>
                  <w:tcW w:type="dxa" w:w="2001"/>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≥1台</w:t>
                  </w:r>
                </w:p>
              </w:tc>
            </w:tr>
            <w:tr>
              <w:tc>
                <w:tcPr>
                  <w:tcW w:type="dxa" w:w="989"/>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3</w:t>
                  </w:r>
                </w:p>
              </w:tc>
              <w:tc>
                <w:tcPr>
                  <w:tcW w:type="dxa" w:w="2595"/>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15吨拖车</w:t>
                  </w:r>
                </w:p>
              </w:tc>
              <w:tc>
                <w:tcPr>
                  <w:tcW w:type="dxa" w:w="2001"/>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≥1台</w:t>
                  </w:r>
                </w:p>
              </w:tc>
            </w:tr>
            <w:tr>
              <w:tc>
                <w:tcPr>
                  <w:tcW w:type="dxa" w:w="989"/>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4</w:t>
                  </w:r>
                </w:p>
              </w:tc>
              <w:tc>
                <w:tcPr>
                  <w:tcW w:type="dxa" w:w="2595"/>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32吨拖车</w:t>
                  </w:r>
                </w:p>
              </w:tc>
              <w:tc>
                <w:tcPr>
                  <w:tcW w:type="dxa" w:w="2001"/>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≥1台</w:t>
                  </w:r>
                </w:p>
              </w:tc>
            </w:tr>
            <w:tr>
              <w:tc>
                <w:tcPr>
                  <w:tcW w:type="dxa" w:w="989"/>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5</w:t>
                  </w:r>
                </w:p>
              </w:tc>
              <w:tc>
                <w:tcPr>
                  <w:tcW w:type="dxa" w:w="2595"/>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25吨旋转吊车</w:t>
                  </w:r>
                </w:p>
              </w:tc>
              <w:tc>
                <w:tcPr>
                  <w:tcW w:type="dxa" w:w="2001"/>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≥1台</w:t>
                  </w:r>
                </w:p>
              </w:tc>
            </w:tr>
            <w:tr>
              <w:tc>
                <w:tcPr>
                  <w:tcW w:type="dxa" w:w="989"/>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6</w:t>
                  </w:r>
                </w:p>
              </w:tc>
              <w:tc>
                <w:tcPr>
                  <w:tcW w:type="dxa" w:w="2595"/>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50铲车</w:t>
                  </w:r>
                </w:p>
              </w:tc>
              <w:tc>
                <w:tcPr>
                  <w:tcW w:type="dxa" w:w="2001"/>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≥1台</w:t>
                  </w:r>
                </w:p>
              </w:tc>
            </w:tr>
            <w:tr>
              <w:tc>
                <w:tcPr>
                  <w:tcW w:type="dxa" w:w="989"/>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7</w:t>
                  </w:r>
                </w:p>
              </w:tc>
              <w:tc>
                <w:tcPr>
                  <w:tcW w:type="dxa" w:w="2595"/>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工具车</w:t>
                  </w:r>
                </w:p>
              </w:tc>
              <w:tc>
                <w:tcPr>
                  <w:tcW w:type="dxa" w:w="2001"/>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≥1台</w:t>
                  </w:r>
                </w:p>
              </w:tc>
            </w:tr>
            <w:tr>
              <w:tc>
                <w:tcPr>
                  <w:tcW w:type="dxa" w:w="989"/>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8</w:t>
                  </w:r>
                </w:p>
              </w:tc>
              <w:tc>
                <w:tcPr>
                  <w:tcW w:type="dxa" w:w="2595"/>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工作车</w:t>
                  </w:r>
                </w:p>
              </w:tc>
              <w:tc>
                <w:tcPr>
                  <w:tcW w:type="dxa" w:w="2001"/>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≥1台</w:t>
                  </w:r>
                </w:p>
              </w:tc>
            </w:tr>
            <w:tr>
              <w:tc>
                <w:tcPr>
                  <w:tcW w:type="dxa" w:w="3584"/>
                  <w:gridSpan w:val="2"/>
                  <w:tcBorders>
                    <w:top w:val="none" w:color="000000" w:sz="4"/>
                    <w:left w:val="singl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合计</w:t>
                  </w:r>
                </w:p>
              </w:tc>
              <w:tc>
                <w:tcPr>
                  <w:tcW w:type="dxa" w:w="2001"/>
                  <w:tcBorders>
                    <w:top w:val="none" w:color="000000" w:sz="4"/>
                    <w:left w:val="none" w:color="000000" w:sz="4"/>
                    <w:bottom w:val="single" w:color="000000" w:sz="4"/>
                    <w:right w:val="single" w:color="000000" w:sz="4"/>
                  </w:tcBorders>
                  <w:tcMar>
                    <w:top w:type="dxa" w:w="45"/>
                    <w:left w:type="dxa" w:w="105"/>
                    <w:bottom w:type="dxa" w:w="45"/>
                    <w:right w:type="dxa" w:w="105"/>
                  </w:tcMar>
                  <w:vAlign w:val="top"/>
                </w:tcPr>
                <w:p>
                  <w:pPr>
                    <w:pStyle w:val="null3"/>
                    <w:jc w:val="center"/>
                  </w:pPr>
                  <w:r>
                    <w:rPr>
                      <w:sz w:val="24"/>
                    </w:rPr>
                    <w:t>≥13台</w:t>
                  </w:r>
                </w:p>
              </w:tc>
            </w:tr>
          </w:tbl>
          <w:p>
            <w:pPr>
              <w:pStyle w:val="null3"/>
              <w:jc w:val="both"/>
            </w:pPr>
            <w:r>
              <w:rPr>
                <w:sz w:val="24"/>
              </w:rPr>
              <w:t>注：投标人必须按要求提供足够的车辆（车辆允许租赁），以满足采购人的车辆要求。（提供以下</w:t>
            </w:r>
            <w:r>
              <w:rPr>
                <w:sz w:val="24"/>
              </w:rPr>
              <w:t>3种证明材料之一：1、若投标人提供自有产权车辆（车辆所有人为投标人）须提供车辆照片以及有效期内的《机动车行驶证》扫描件；2、若投标人提供租赁车辆，须提供租赁期限覆盖本项目服务期（现有租赁合同有效期未覆盖本项目服务期的，须承诺现有租赁合同到期后续租的合同能满足项目服务要求及提供能满足服务要求同等的车辆）的车辆租赁协议扫描件和有效的《机动车行驶证》扫描件；3、投标人承诺中标后配备相关车辆的，需提供承诺函，格式自拟。）服务期内，因车辆报废、更新等原因，经采购人批准（需书面报备），可以更换车辆（吨位不得小于原车辆）。</w:t>
            </w:r>
          </w:p>
          <w:p>
            <w:pPr>
              <w:pStyle w:val="null3"/>
              <w:jc w:val="both"/>
            </w:pPr>
            <w:r>
              <w:rPr>
                <w:sz w:val="24"/>
              </w:rPr>
              <w:t>（</w:t>
            </w:r>
            <w:r>
              <w:rPr>
                <w:sz w:val="24"/>
              </w:rPr>
              <w:t>2）投标人提供的车辆必须购买相应的保险，除交强险外，还应购买保险理赔金额不少于100万的第三者责任险，且保险理赔时限在本项目服务期限内持续有效。</w:t>
            </w:r>
          </w:p>
          <w:p>
            <w:pPr>
              <w:pStyle w:val="null3"/>
              <w:jc w:val="both"/>
            </w:pPr>
            <w:r>
              <w:rPr>
                <w:sz w:val="24"/>
              </w:rPr>
              <w:t>（</w:t>
            </w:r>
            <w:r>
              <w:rPr>
                <w:sz w:val="24"/>
              </w:rPr>
              <w:t>3）</w:t>
            </w:r>
            <w:r>
              <w:rPr>
                <w:sz w:val="24"/>
              </w:rPr>
              <w:t>投标人提供的车辆必须安装全球卫星定位系统车载终端</w:t>
            </w:r>
            <w:r>
              <w:rPr>
                <w:sz w:val="24"/>
              </w:rPr>
              <w:t>，并确保设备正常运行，车辆定位数据须保存</w:t>
            </w:r>
            <w:r>
              <w:rPr>
                <w:sz w:val="24"/>
              </w:rPr>
              <w:t>3个月，并能随时提供给采购人。</w:t>
            </w:r>
          </w:p>
          <w:p>
            <w:pPr>
              <w:pStyle w:val="null3"/>
              <w:jc w:val="both"/>
            </w:pPr>
            <w:r>
              <w:rPr>
                <w:sz w:val="24"/>
              </w:rPr>
              <w:t>（</w:t>
            </w:r>
            <w:r>
              <w:rPr>
                <w:sz w:val="24"/>
              </w:rPr>
              <w:t>4）投标人提供的车辆必须安装行车记录仪，并确保设备正常运行，行车记录仪必须配备两个摄像头，满足日间、夜晚的记录要求，能清晰摄录从采购人将暂扣车辆移交给投标人起至投标人将暂扣车辆拖移至采购人指定停车场并移交完毕的整个过程，具体安装要求由采购人指定，摄录数据至少保存3个月。</w:t>
            </w:r>
          </w:p>
          <w:p>
            <w:pPr>
              <w:pStyle w:val="null3"/>
              <w:jc w:val="both"/>
            </w:pPr>
            <w:r>
              <w:rPr>
                <w:sz w:val="24"/>
              </w:rPr>
              <w:t>（</w:t>
            </w:r>
            <w:r>
              <w:rPr>
                <w:sz w:val="24"/>
              </w:rPr>
              <w:t>5）投标人提供的车辆必须统一车身颜色、喷涂投标人单位名称（如车辆属租赁的，投标人应在车辆明显位置标示出投标人单位名称）。</w:t>
            </w:r>
          </w:p>
          <w:p>
            <w:pPr>
              <w:pStyle w:val="null3"/>
              <w:jc w:val="both"/>
            </w:pPr>
            <w:r>
              <w:rPr>
                <w:sz w:val="24"/>
              </w:rPr>
              <w:t>（</w:t>
            </w:r>
            <w:r>
              <w:rPr>
                <w:sz w:val="24"/>
              </w:rPr>
              <w:t>6）服务期限内，在原服务车辆不能按时到场服务的情况下，投标人须提供同车型、同吨位的备用车辆（具有合格、完备证照）替代服务。</w:t>
            </w:r>
          </w:p>
          <w:p>
            <w:pPr>
              <w:pStyle w:val="null3"/>
              <w:jc w:val="both"/>
            </w:pPr>
            <w:r>
              <w:rPr>
                <w:sz w:val="24"/>
              </w:rPr>
              <w:t>（二）清障作业人员要求：</w:t>
            </w:r>
          </w:p>
          <w:p>
            <w:pPr>
              <w:pStyle w:val="null3"/>
              <w:jc w:val="both"/>
            </w:pPr>
            <w:r>
              <w:rPr>
                <w:sz w:val="24"/>
              </w:rPr>
              <w:t>★1、中标人须为本项目配备充足的作业人员，拖车及吊车作业人员须为持有特种车辆操作证的专人进行操作。（提供承诺函，格式自拟）</w:t>
            </w:r>
          </w:p>
          <w:p>
            <w:pPr>
              <w:pStyle w:val="null3"/>
              <w:jc w:val="both"/>
            </w:pPr>
            <w:r>
              <w:rPr>
                <w:sz w:val="24"/>
              </w:rPr>
              <w:t>2、中标人须加强作业人员交通清障操作技能的培训。</w:t>
            </w:r>
          </w:p>
          <w:p>
            <w:pPr>
              <w:pStyle w:val="null3"/>
              <w:jc w:val="both"/>
            </w:pPr>
            <w:r>
              <w:rPr>
                <w:sz w:val="24"/>
              </w:rPr>
              <w:t>3、实施清障作业的每辆车，应配备必要的作业人员，保证交通清障顺利完成。</w:t>
            </w:r>
          </w:p>
          <w:p>
            <w:pPr>
              <w:pStyle w:val="null3"/>
              <w:jc w:val="both"/>
            </w:pPr>
            <w:r>
              <w:rPr>
                <w:sz w:val="24"/>
              </w:rPr>
              <w:t>4、清障作业人员必须统一着装，按规范流程操作，同时必须听从民警的指挥。</w:t>
            </w:r>
          </w:p>
          <w:p>
            <w:pPr>
              <w:pStyle w:val="null3"/>
              <w:jc w:val="both"/>
            </w:pPr>
            <w:r>
              <w:rPr>
                <w:sz w:val="24"/>
              </w:rPr>
              <w:t>5、清障作业人员应报采购人备案，中标人不得录用有违法犯罪记录或被采购人认定为在拖吊车工作中违规的人员。</w:t>
            </w:r>
          </w:p>
          <w:p>
            <w:pPr>
              <w:pStyle w:val="null3"/>
              <w:jc w:val="both"/>
            </w:pPr>
            <w:r>
              <w:rPr>
                <w:sz w:val="24"/>
              </w:rPr>
              <w:t>6、本项目配备人员必须遵守采购人内部安保及保密等规定，涉及人员变更的须及时上报并经采购人书面同意方可更换。</w:t>
            </w:r>
          </w:p>
          <w:p>
            <w:pPr>
              <w:pStyle w:val="null3"/>
              <w:jc w:val="both"/>
            </w:pPr>
            <w:r>
              <w:rPr>
                <w:sz w:val="24"/>
              </w:rPr>
              <w:t>（三）清障作业服务要求：</w:t>
            </w:r>
          </w:p>
          <w:p>
            <w:pPr>
              <w:pStyle w:val="null3"/>
              <w:jc w:val="both"/>
            </w:pPr>
            <w:r>
              <w:rPr>
                <w:sz w:val="24"/>
              </w:rPr>
              <w:t>1、▲服务时间要求：</w:t>
            </w:r>
          </w:p>
          <w:p>
            <w:pPr>
              <w:pStyle w:val="null3"/>
              <w:jc w:val="both"/>
            </w:pPr>
            <w:r>
              <w:rPr>
                <w:sz w:val="24"/>
              </w:rPr>
              <w:t>提供全天</w:t>
            </w:r>
            <w:r>
              <w:rPr>
                <w:sz w:val="24"/>
              </w:rPr>
              <w:t>24小时的各类清障作业。应在接到采购人的通知后，按实际情况派出相应的车辆，于规定时间（具体为：白天7时至20时，5分钟；夜间20时至翌日7时，10分钟）内出车执行服务。出车执行服务时，除驾驶员外，应配备1-2名业务熟练的作业人员，保证作业的效率。（提供承诺函，格式自拟）</w:t>
            </w:r>
          </w:p>
          <w:p>
            <w:pPr>
              <w:pStyle w:val="null3"/>
              <w:jc w:val="both"/>
            </w:pPr>
            <w:r>
              <w:rPr>
                <w:sz w:val="24"/>
              </w:rPr>
              <w:t>2、现场作业要求：</w:t>
            </w:r>
          </w:p>
          <w:p>
            <w:pPr>
              <w:pStyle w:val="null3"/>
              <w:jc w:val="both"/>
            </w:pPr>
            <w:r>
              <w:rPr>
                <w:sz w:val="24"/>
              </w:rPr>
              <w:t>（</w:t>
            </w:r>
            <w:r>
              <w:rPr>
                <w:sz w:val="24"/>
              </w:rPr>
              <w:t>1）应按照采购人制订的拖吊车作业规范实施作业，包括对被拖吊车辆的检查和清点、按要求填写拖车作业单，以及按规范流程进行作业等；</w:t>
            </w:r>
          </w:p>
          <w:p>
            <w:pPr>
              <w:pStyle w:val="null3"/>
              <w:jc w:val="both"/>
            </w:pPr>
            <w:r>
              <w:rPr>
                <w:sz w:val="24"/>
              </w:rPr>
              <w:t>（</w:t>
            </w:r>
            <w:r>
              <w:rPr>
                <w:sz w:val="24"/>
              </w:rPr>
              <w:t>2）拖车作业人员应服从现场民警的指挥；</w:t>
            </w:r>
          </w:p>
          <w:p>
            <w:pPr>
              <w:pStyle w:val="null3"/>
              <w:jc w:val="both"/>
            </w:pPr>
            <w:r>
              <w:rPr>
                <w:sz w:val="24"/>
              </w:rPr>
              <w:t>（</w:t>
            </w:r>
            <w:r>
              <w:rPr>
                <w:sz w:val="24"/>
              </w:rPr>
              <w:t>3）作业过程中应遵守各项交通规则（如因作业需要违反交通规则的，应经民警同意）及相关规定，规范作业，不影响交通；</w:t>
            </w:r>
          </w:p>
          <w:p>
            <w:pPr>
              <w:pStyle w:val="null3"/>
              <w:jc w:val="both"/>
            </w:pPr>
            <w:r>
              <w:rPr>
                <w:sz w:val="24"/>
              </w:rPr>
              <w:t>（</w:t>
            </w:r>
            <w:r>
              <w:rPr>
                <w:sz w:val="24"/>
              </w:rPr>
              <w:t>4）实施清障作业时，必须有民警在场并取得委托（拖车作业单应由在场民警签名确认）。</w:t>
            </w:r>
          </w:p>
          <w:p>
            <w:pPr>
              <w:pStyle w:val="null3"/>
              <w:jc w:val="both"/>
            </w:pPr>
            <w:r>
              <w:rPr>
                <w:sz w:val="24"/>
              </w:rPr>
              <w:t>（</w:t>
            </w:r>
            <w:r>
              <w:rPr>
                <w:sz w:val="24"/>
              </w:rPr>
              <w:t>5）作业时必须严格遵守道路交通管理规定，不得因作业而造成交通堵塞或损坏市政设施。</w:t>
            </w:r>
          </w:p>
          <w:p>
            <w:pPr>
              <w:pStyle w:val="null3"/>
              <w:jc w:val="both"/>
            </w:pPr>
            <w:r>
              <w:rPr>
                <w:sz w:val="24"/>
              </w:rPr>
              <w:t>3、车上物品的处理要求：</w:t>
            </w:r>
          </w:p>
          <w:p>
            <w:pPr>
              <w:pStyle w:val="null3"/>
              <w:jc w:val="both"/>
            </w:pPr>
            <w:r>
              <w:rPr>
                <w:sz w:val="24"/>
              </w:rPr>
              <w:t>应按照采购人规定的程序及规范处置被拖吊车辆的随车物品。未经采购人或当事人同意，不得进入被拖吊车辆的车辆内部（包括驾驶乘坐仓以及车尾箱等）。</w:t>
            </w:r>
          </w:p>
          <w:p>
            <w:pPr>
              <w:pStyle w:val="null3"/>
              <w:jc w:val="both"/>
            </w:pPr>
            <w:r>
              <w:rPr>
                <w:sz w:val="24"/>
              </w:rPr>
              <w:t>4、拖吊进场的要求：</w:t>
            </w:r>
          </w:p>
          <w:p>
            <w:pPr>
              <w:pStyle w:val="null3"/>
              <w:jc w:val="both"/>
            </w:pPr>
            <w:r>
              <w:rPr>
                <w:sz w:val="24"/>
              </w:rPr>
              <w:t>保证应在暂扣车辆</w:t>
            </w:r>
            <w:r>
              <w:rPr>
                <w:sz w:val="24"/>
              </w:rPr>
              <w:t>3小时内（以执勤民警强制措施填写的时间为准），将被拖吊车辆拖吊至停车场，并按规定与停车场做好交接；如因特殊情况不能于规定时间拖吊进场的，报采购人登记处理。因中标人违反拖吊车作业规范，导致车辆（含随车物品）进场时与扣留时登记的实际状态不符的，由此造成的法律及经济责任由中标人承担。</w:t>
            </w:r>
          </w:p>
          <w:p>
            <w:pPr>
              <w:pStyle w:val="null3"/>
              <w:jc w:val="both"/>
            </w:pPr>
            <w:r>
              <w:rPr>
                <w:sz w:val="24"/>
              </w:rPr>
              <w:t>5、如现场民警要求将涉案货车拖移至称重点或治超点进行称重的，必须应予以满足，并在完成称重后，再将车辆拖移至指定的停车场。</w:t>
            </w:r>
          </w:p>
          <w:p>
            <w:pPr>
              <w:pStyle w:val="null3"/>
              <w:jc w:val="both"/>
            </w:pPr>
            <w:r>
              <w:rPr>
                <w:sz w:val="24"/>
              </w:rPr>
              <w:t>6、须对“清障作业”所拖吊车辆数据进行分类登记，并定期向采购人报备。</w:t>
            </w:r>
          </w:p>
          <w:p>
            <w:pPr>
              <w:pStyle w:val="null3"/>
              <w:jc w:val="both"/>
            </w:pPr>
            <w:r>
              <w:rPr>
                <w:sz w:val="24"/>
              </w:rPr>
              <w:t>（四）交通违法车辆的拖吊服务：</w:t>
            </w:r>
          </w:p>
          <w:p>
            <w:pPr>
              <w:pStyle w:val="null3"/>
              <w:jc w:val="both"/>
            </w:pPr>
            <w:r>
              <w:rPr>
                <w:sz w:val="24"/>
              </w:rPr>
              <w:t>1、采购人开展交通整治时，中标人应按采购人要求提供拖吊车服务。</w:t>
            </w:r>
          </w:p>
          <w:p>
            <w:pPr>
              <w:pStyle w:val="null3"/>
              <w:jc w:val="both"/>
            </w:pPr>
            <w:r>
              <w:rPr>
                <w:sz w:val="24"/>
              </w:rPr>
              <w:t>2、中标人应将被拖吊车辆的停放地点及联系方式等，通过文字标示或者其它方式告知当事人。</w:t>
            </w:r>
          </w:p>
          <w:p>
            <w:pPr>
              <w:pStyle w:val="null3"/>
              <w:jc w:val="both"/>
            </w:pPr>
            <w:r>
              <w:rPr>
                <w:sz w:val="24"/>
              </w:rPr>
              <w:t>3、中标人作业过程中应遵守有关法律法规、部门规章关于拖吊交通违法车辆的规定。</w:t>
            </w:r>
          </w:p>
          <w:p>
            <w:pPr>
              <w:pStyle w:val="null3"/>
              <w:jc w:val="both"/>
            </w:pPr>
            <w:r>
              <w:rPr>
                <w:sz w:val="24"/>
              </w:rPr>
              <w:t>（五）交通事故、故障车辆的拖吊服务：</w:t>
            </w:r>
          </w:p>
          <w:p>
            <w:pPr>
              <w:pStyle w:val="null3"/>
              <w:jc w:val="both"/>
            </w:pPr>
            <w:r>
              <w:rPr>
                <w:sz w:val="24"/>
              </w:rPr>
              <w:t>1、▲清理现场时间要求：</w:t>
            </w:r>
            <w:r>
              <w:rPr>
                <w:sz w:val="24"/>
              </w:rPr>
              <w:t>（提供承诺函，格式自拟）</w:t>
            </w:r>
          </w:p>
          <w:p>
            <w:pPr>
              <w:pStyle w:val="null3"/>
              <w:jc w:val="both"/>
            </w:pPr>
            <w:r>
              <w:rPr>
                <w:sz w:val="24"/>
              </w:rPr>
              <w:t>一般事故应在</w:t>
            </w:r>
            <w:r>
              <w:rPr>
                <w:sz w:val="24"/>
              </w:rPr>
              <w:t>20分钟内、死亡事故在40分钟内、较大事故及复杂现场在60分钟内清理完毕（时间从现场民警授权拖吊起计，至现场清理完毕并恢复正常通车止），经现场民警或采购人同意，清理时间可适当延长。</w:t>
            </w:r>
          </w:p>
          <w:p>
            <w:pPr>
              <w:pStyle w:val="null3"/>
            </w:pPr>
            <w:r>
              <w:rPr>
                <w:sz w:val="24"/>
              </w:rPr>
              <w:t>2、中标人提供服务的车辆应配备消防器材、水、木屑、沙及破拆器材等，并负责清理事故现场的血迹、油污、泥土等残留物。</w:t>
            </w:r>
          </w:p>
        </w:tc>
      </w:tr>
      <w:tr>
        <w:tc>
          <w:tcPr>
            <w:tcW w:type="dxa" w:w="2076"/>
          </w:tcPr>
          <w:p/>
        </w:tc>
        <w:tc>
          <w:tcPr>
            <w:tcW w:type="dxa" w:w="415"/>
          </w:tcPr>
          <w:p>
            <w:pPr>
              <w:pStyle w:val="null3"/>
            </w:pPr>
            <w:r>
              <w:rPr/>
              <w:t>5</w:t>
            </w:r>
          </w:p>
        </w:tc>
        <w:tc>
          <w:tcPr>
            <w:tcW w:type="dxa" w:w="5814"/>
          </w:tcPr>
          <w:p>
            <w:pPr>
              <w:pStyle w:val="null3"/>
              <w:jc w:val="both"/>
            </w:pPr>
            <w:r>
              <w:rPr>
                <w:sz w:val="24"/>
              </w:rPr>
              <w:t>五、管理制度要求：</w:t>
            </w:r>
          </w:p>
          <w:p>
            <w:pPr>
              <w:pStyle w:val="null3"/>
              <w:jc w:val="both"/>
            </w:pPr>
            <w:r>
              <w:rPr>
                <w:sz w:val="24"/>
              </w:rPr>
              <w:t>（一）车辆接收工作规程：</w:t>
            </w:r>
          </w:p>
          <w:p>
            <w:pPr>
              <w:pStyle w:val="null3"/>
              <w:jc w:val="both"/>
            </w:pPr>
            <w:r>
              <w:rPr>
                <w:sz w:val="24"/>
              </w:rPr>
              <w:t>1、汽车的接收工作规程：</w:t>
            </w:r>
          </w:p>
          <w:p>
            <w:pPr>
              <w:pStyle w:val="null3"/>
              <w:jc w:val="both"/>
            </w:pPr>
            <w:r>
              <w:rPr>
                <w:sz w:val="24"/>
              </w:rPr>
              <w:t>（</w:t>
            </w:r>
            <w:r>
              <w:rPr>
                <w:sz w:val="24"/>
              </w:rPr>
              <w:t>1）拍照：由拯救工作人员将涉案车辆停放在接收区红线区域内，接收人员要通过拍照固定车辆的入场状况。拍摄位置包括：仪表盘、收录机（CD机）、其他内饰、车辆外观、尾箱、随车物品、备用胎等，车身有明显刮损、凹陷痕迹的，要对相应位置进行近景扫描。</w:t>
            </w:r>
          </w:p>
          <w:p>
            <w:pPr>
              <w:pStyle w:val="null3"/>
              <w:jc w:val="both"/>
            </w:pPr>
            <w:r>
              <w:rPr>
                <w:sz w:val="24"/>
              </w:rPr>
              <w:t>①拍照车辆外观时，应在车前车后的45度角位置以及正前、正后方的位置，连同车辆号牌一同拍照；</w:t>
            </w:r>
          </w:p>
          <w:p>
            <w:pPr>
              <w:pStyle w:val="null3"/>
              <w:jc w:val="both"/>
            </w:pPr>
            <w:r>
              <w:rPr>
                <w:sz w:val="24"/>
              </w:rPr>
              <w:t>②如遇有烟、酒、茶叶等小件物品包装已拆开的，应小心打开包装盒，在拖车作业人员见证下将盒内的物品数量拍照清楚；</w:t>
            </w:r>
          </w:p>
          <w:p>
            <w:pPr>
              <w:pStyle w:val="null3"/>
              <w:jc w:val="both"/>
            </w:pPr>
            <w:r>
              <w:rPr>
                <w:sz w:val="24"/>
              </w:rPr>
              <w:t>（</w:t>
            </w:r>
            <w:r>
              <w:rPr>
                <w:sz w:val="24"/>
              </w:rPr>
              <w:t>2）拓印：接收人员对入场机动车逐一拓印车架号和发动机号，建立涉案机动车档案。</w:t>
            </w:r>
          </w:p>
          <w:p>
            <w:pPr>
              <w:pStyle w:val="null3"/>
              <w:jc w:val="both"/>
            </w:pPr>
            <w:r>
              <w:rPr>
                <w:sz w:val="24"/>
              </w:rPr>
              <w:t>（</w:t>
            </w:r>
            <w:r>
              <w:rPr>
                <w:sz w:val="24"/>
              </w:rPr>
              <w:t>3）登记和接收：接收人员要对照拖车作业单（信息登记表）记载的信息进行逐一核对。</w:t>
            </w:r>
          </w:p>
          <w:p>
            <w:pPr>
              <w:pStyle w:val="null3"/>
              <w:jc w:val="both"/>
            </w:pPr>
            <w:r>
              <w:rPr>
                <w:sz w:val="24"/>
              </w:rPr>
              <w:t>①拯救工作人员必须附有拖车作业单（信息登记表）入场，无拖车作业单（信息登记表）的，接收人员可予拒收，并马上通知采购人；</w:t>
            </w:r>
          </w:p>
          <w:p>
            <w:pPr>
              <w:pStyle w:val="null3"/>
              <w:jc w:val="both"/>
            </w:pPr>
            <w:r>
              <w:rPr>
                <w:sz w:val="24"/>
              </w:rPr>
              <w:t>②车辆实际情况与拖车作业单（信息登记表）记载信息相符的，可根据进场车辆实际状况在接收单上登记必要的补充信息后，由接收人员和拖吊人员共同确认；</w:t>
            </w:r>
          </w:p>
          <w:p>
            <w:pPr>
              <w:pStyle w:val="null3"/>
              <w:jc w:val="both"/>
            </w:pPr>
            <w:r>
              <w:rPr>
                <w:sz w:val="24"/>
              </w:rPr>
              <w:t>③车辆实际情况与拖车作业单（信息登记表）信息不相符的，应立即联系采购人到场核实或电话核实，待核实清楚确定车辆实际状态后方可办理确认手续，否则不予接收；</w:t>
            </w:r>
          </w:p>
          <w:p>
            <w:pPr>
              <w:pStyle w:val="null3"/>
              <w:jc w:val="both"/>
            </w:pPr>
            <w:r>
              <w:rPr>
                <w:sz w:val="24"/>
              </w:rPr>
              <w:t>④经双方签名后的拖车作业单（信息登记表）应留存一份。</w:t>
            </w:r>
          </w:p>
          <w:p>
            <w:pPr>
              <w:pStyle w:val="null3"/>
              <w:jc w:val="both"/>
            </w:pPr>
            <w:r>
              <w:rPr>
                <w:sz w:val="24"/>
              </w:rPr>
              <w:t>（</w:t>
            </w:r>
            <w:r>
              <w:rPr>
                <w:sz w:val="24"/>
              </w:rPr>
              <w:t>4）其它事项：</w:t>
            </w:r>
          </w:p>
          <w:p>
            <w:pPr>
              <w:pStyle w:val="null3"/>
              <w:jc w:val="both"/>
            </w:pPr>
            <w:r>
              <w:rPr>
                <w:sz w:val="24"/>
              </w:rPr>
              <w:t>①应在场内适当位置设置车辆接收区域，并划好标线，由接收人员指挥车辆到该指定区域停放，并立即进行拍照和拓印；</w:t>
            </w:r>
          </w:p>
          <w:p>
            <w:pPr>
              <w:pStyle w:val="null3"/>
              <w:jc w:val="both"/>
            </w:pPr>
            <w:r>
              <w:rPr>
                <w:sz w:val="24"/>
              </w:rPr>
              <w:t>②应调整好视频监控摄像头的位置和清晰度，做好日常的维护、保养和检查，保证设备的正常运转；</w:t>
            </w:r>
          </w:p>
          <w:p>
            <w:pPr>
              <w:pStyle w:val="null3"/>
              <w:jc w:val="both"/>
            </w:pPr>
            <w:r>
              <w:rPr>
                <w:sz w:val="24"/>
              </w:rPr>
              <w:t>③车场主管需定时查看车辆接收过程，发现问题及时解决；</w:t>
            </w:r>
          </w:p>
          <w:p>
            <w:pPr>
              <w:pStyle w:val="null3"/>
              <w:jc w:val="both"/>
            </w:pPr>
            <w:r>
              <w:rPr>
                <w:sz w:val="24"/>
              </w:rPr>
              <w:t>④夜间交接时要保证接收区域内灯光的明亮，确保采集有效信息；</w:t>
            </w:r>
          </w:p>
          <w:p>
            <w:pPr>
              <w:pStyle w:val="null3"/>
              <w:jc w:val="both"/>
            </w:pPr>
            <w:r>
              <w:rPr>
                <w:sz w:val="24"/>
              </w:rPr>
              <w:t>⑤拍照记录后，由接收人员指挥拯救工作人员将暂扣车辆拖移至场内适当位置，按场地的管理要求摆放。</w:t>
            </w:r>
          </w:p>
          <w:p>
            <w:pPr>
              <w:pStyle w:val="null3"/>
              <w:jc w:val="both"/>
            </w:pPr>
            <w:r>
              <w:rPr>
                <w:sz w:val="24"/>
              </w:rPr>
              <w:t>2、信息保存：</w:t>
            </w:r>
          </w:p>
          <w:p>
            <w:pPr>
              <w:pStyle w:val="null3"/>
              <w:jc w:val="both"/>
            </w:pPr>
            <w:r>
              <w:rPr>
                <w:sz w:val="24"/>
              </w:rPr>
              <w:t>（</w:t>
            </w:r>
            <w:r>
              <w:rPr>
                <w:sz w:val="24"/>
              </w:rPr>
              <w:t>1）▲接收车辆后应按采购人要求的涉案财物管理规定及时将数据录入涉案车辆管理系统。（提供承诺函，格式自拟）</w:t>
            </w:r>
          </w:p>
          <w:p>
            <w:pPr>
              <w:pStyle w:val="null3"/>
              <w:jc w:val="both"/>
            </w:pPr>
            <w:r>
              <w:rPr>
                <w:sz w:val="24"/>
              </w:rPr>
              <w:t>（</w:t>
            </w:r>
            <w:r>
              <w:rPr>
                <w:sz w:val="24"/>
              </w:rPr>
              <w:t>2）为确保现有计算机系统的稳定性，中标人须于各场添置足够容量的移动硬盘或计算机对信息进行保存。</w:t>
            </w:r>
          </w:p>
          <w:p>
            <w:pPr>
              <w:pStyle w:val="null3"/>
              <w:jc w:val="both"/>
            </w:pPr>
            <w:r>
              <w:rPr>
                <w:sz w:val="24"/>
              </w:rPr>
              <w:t>（</w:t>
            </w:r>
            <w:r>
              <w:rPr>
                <w:sz w:val="24"/>
              </w:rPr>
              <w:t>3）照片的保存按照上述方式按队别、类别、进场日期进行分类保存。</w:t>
            </w:r>
          </w:p>
          <w:p>
            <w:pPr>
              <w:pStyle w:val="null3"/>
              <w:jc w:val="both"/>
            </w:pPr>
            <w:r>
              <w:rPr>
                <w:sz w:val="24"/>
              </w:rPr>
              <w:t>（</w:t>
            </w:r>
            <w:r>
              <w:rPr>
                <w:sz w:val="24"/>
              </w:rPr>
              <w:t>4）接收单应按队别、车辆类别、日期分别存档备查。</w:t>
            </w:r>
            <w:r>
              <w:br/>
            </w:r>
            <w:r>
              <w:rPr>
                <w:sz w:val="24"/>
              </w:rPr>
              <w:t>（二）车辆放行程序：</w:t>
            </w:r>
          </w:p>
          <w:p>
            <w:pPr>
              <w:pStyle w:val="null3"/>
              <w:jc w:val="both"/>
            </w:pPr>
            <w:r>
              <w:rPr>
                <w:sz w:val="24"/>
              </w:rPr>
              <w:t>1、当事人前来领取的，必须由窗口工作人员进行验证核实。</w:t>
            </w:r>
          </w:p>
          <w:p>
            <w:pPr>
              <w:pStyle w:val="null3"/>
              <w:jc w:val="both"/>
            </w:pPr>
            <w:r>
              <w:rPr>
                <w:sz w:val="24"/>
              </w:rPr>
              <w:t>（</w:t>
            </w:r>
            <w:r>
              <w:rPr>
                <w:sz w:val="24"/>
              </w:rPr>
              <w:t>1）仅领取随车物品（货物）的：</w:t>
            </w:r>
          </w:p>
          <w:p>
            <w:pPr>
              <w:pStyle w:val="null3"/>
              <w:jc w:val="both"/>
            </w:pPr>
            <w:r>
              <w:rPr>
                <w:sz w:val="24"/>
              </w:rPr>
              <w:t>①查验提交的物品返还凭证原件。</w:t>
            </w:r>
          </w:p>
          <w:p>
            <w:pPr>
              <w:pStyle w:val="null3"/>
              <w:jc w:val="both"/>
            </w:pPr>
            <w:r>
              <w:rPr>
                <w:sz w:val="24"/>
              </w:rPr>
              <w:t>②查核无误的，查验其它必要的证据资料（身份证、行驶证、驾驶证等）。</w:t>
            </w:r>
          </w:p>
          <w:p>
            <w:pPr>
              <w:pStyle w:val="null3"/>
              <w:jc w:val="both"/>
            </w:pPr>
            <w:r>
              <w:rPr>
                <w:sz w:val="24"/>
              </w:rPr>
              <w:t>③领取人需进场领取或作业（卸载货物等）的，要求领取人按要求登记。</w:t>
            </w:r>
          </w:p>
          <w:p>
            <w:pPr>
              <w:pStyle w:val="null3"/>
              <w:jc w:val="both"/>
            </w:pPr>
            <w:r>
              <w:rPr>
                <w:sz w:val="24"/>
              </w:rPr>
              <w:t>④由场地管理人员对领取人的领取或卸载过程进行全程监督。</w:t>
            </w:r>
          </w:p>
          <w:p>
            <w:pPr>
              <w:pStyle w:val="null3"/>
              <w:jc w:val="both"/>
            </w:pPr>
            <w:r>
              <w:rPr>
                <w:sz w:val="24"/>
              </w:rPr>
              <w:t>⑤出场时由门岗工作人员或专职检查人员复核，复核无误的对出场情况进行拍照取证。</w:t>
            </w:r>
          </w:p>
          <w:p>
            <w:pPr>
              <w:pStyle w:val="null3"/>
              <w:jc w:val="both"/>
            </w:pPr>
            <w:r>
              <w:rPr>
                <w:sz w:val="24"/>
              </w:rPr>
              <w:t>⑥要求领取人签名确认领取物品。</w:t>
            </w:r>
          </w:p>
          <w:p>
            <w:pPr>
              <w:pStyle w:val="null3"/>
              <w:jc w:val="both"/>
            </w:pPr>
            <w:r>
              <w:rPr>
                <w:sz w:val="24"/>
              </w:rPr>
              <w:t>（</w:t>
            </w:r>
            <w:r>
              <w:rPr>
                <w:sz w:val="24"/>
              </w:rPr>
              <w:t>2）领取车辆的：</w:t>
            </w:r>
          </w:p>
          <w:p>
            <w:pPr>
              <w:pStyle w:val="null3"/>
              <w:jc w:val="both"/>
            </w:pPr>
            <w:r>
              <w:rPr>
                <w:sz w:val="24"/>
              </w:rPr>
              <w:t>①查验提交的物品返还凭证原件。</w:t>
            </w:r>
          </w:p>
          <w:p>
            <w:pPr>
              <w:pStyle w:val="null3"/>
              <w:jc w:val="both"/>
            </w:pPr>
            <w:r>
              <w:rPr>
                <w:sz w:val="24"/>
              </w:rPr>
              <w:t>②查核无误的，查验其它必要的证据资料（身份证、行驶证、驾驶证等）。</w:t>
            </w:r>
          </w:p>
          <w:p>
            <w:pPr>
              <w:pStyle w:val="null3"/>
              <w:jc w:val="both"/>
            </w:pPr>
            <w:r>
              <w:rPr>
                <w:sz w:val="24"/>
              </w:rPr>
              <w:t>③需要领取人进场辨认或驾驶的，要求领取人按要求登记进场。</w:t>
            </w:r>
          </w:p>
          <w:p>
            <w:pPr>
              <w:pStyle w:val="null3"/>
              <w:jc w:val="both"/>
            </w:pPr>
            <w:r>
              <w:rPr>
                <w:sz w:val="24"/>
              </w:rPr>
              <w:t>④由场地管理人员对其辨认或领取过程进行全程监督。</w:t>
            </w:r>
          </w:p>
          <w:p>
            <w:pPr>
              <w:pStyle w:val="null3"/>
              <w:jc w:val="both"/>
            </w:pPr>
            <w:r>
              <w:rPr>
                <w:sz w:val="24"/>
              </w:rPr>
              <w:t>⑤出场时由门岗工作人员或专职检查人员复核，复核无误的，当事人在出场确认表上签名，确认车辆无误后方可放行。</w:t>
            </w:r>
          </w:p>
          <w:p>
            <w:pPr>
              <w:pStyle w:val="null3"/>
              <w:jc w:val="both"/>
            </w:pPr>
            <w:r>
              <w:rPr>
                <w:sz w:val="24"/>
              </w:rPr>
              <w:t>⑥要求当事人签名确认车辆（含随车物品）。</w:t>
            </w:r>
          </w:p>
          <w:p>
            <w:pPr>
              <w:pStyle w:val="null3"/>
              <w:jc w:val="both"/>
            </w:pPr>
            <w:r>
              <w:rPr>
                <w:sz w:val="24"/>
              </w:rPr>
              <w:t>2、相关登记材料和核查材料应按队别、车辆类别以及出场顺序分类存档备查。</w:t>
            </w:r>
          </w:p>
          <w:p>
            <w:pPr>
              <w:pStyle w:val="null3"/>
            </w:pPr>
            <w:r>
              <w:rPr>
                <w:sz w:val="24"/>
              </w:rPr>
              <w:t>3、服务单位可根据实际工作需要对放行程序作进一步细化，并经采购人审批同意后方予以实施。</w:t>
            </w:r>
          </w:p>
        </w:tc>
      </w:tr>
      <w:tr>
        <w:tc>
          <w:tcPr>
            <w:tcW w:type="dxa" w:w="2076"/>
          </w:tcPr>
          <w:p/>
        </w:tc>
        <w:tc>
          <w:tcPr>
            <w:tcW w:type="dxa" w:w="415"/>
          </w:tcPr>
          <w:p>
            <w:pPr>
              <w:pStyle w:val="null3"/>
            </w:pPr>
            <w:r>
              <w:rPr/>
              <w:t>6</w:t>
            </w:r>
          </w:p>
        </w:tc>
        <w:tc>
          <w:tcPr>
            <w:tcW w:type="dxa" w:w="5814"/>
          </w:tcPr>
          <w:p>
            <w:pPr>
              <w:pStyle w:val="null3"/>
              <w:jc w:val="both"/>
            </w:pPr>
            <w:r>
              <w:rPr>
                <w:sz w:val="24"/>
              </w:rPr>
              <w:t>六、停放车辆保管服务要求：</w:t>
            </w:r>
          </w:p>
          <w:p>
            <w:pPr>
              <w:pStyle w:val="null3"/>
              <w:jc w:val="both"/>
            </w:pPr>
            <w:r>
              <w:rPr>
                <w:sz w:val="24"/>
              </w:rPr>
              <w:t>1、车辆保管场必须严格执行采购人的涉案财物管理，保管进场车辆及其车上财物的完整、安全。</w:t>
            </w:r>
          </w:p>
          <w:p>
            <w:pPr>
              <w:pStyle w:val="null3"/>
              <w:jc w:val="both"/>
            </w:pPr>
            <w:r>
              <w:rPr>
                <w:sz w:val="24"/>
              </w:rPr>
              <w:t>2、车辆保管场内停放的车辆及车上财物，如发生刑事案件、治安案件、安全事故、自然灾害等造成的一切损失，中标人须承担相应的赔偿责任和法律责任。</w:t>
            </w:r>
          </w:p>
          <w:p>
            <w:pPr>
              <w:pStyle w:val="null3"/>
              <w:jc w:val="both"/>
            </w:pPr>
            <w:r>
              <w:rPr>
                <w:sz w:val="24"/>
              </w:rPr>
              <w:t>3、要落实安全责任制，保证车场设施完好，保持车场整洁、车辆停放有序，做好防火、防盗、防灾等安全防范工作，确保安全管理、服务到位。</w:t>
            </w:r>
          </w:p>
          <w:p>
            <w:pPr>
              <w:pStyle w:val="null3"/>
              <w:jc w:val="both"/>
            </w:pPr>
            <w:r>
              <w:rPr>
                <w:sz w:val="24"/>
              </w:rPr>
              <w:t>4、要安排好人员，确保当天24小时都有人值班，根据车辆类别设立不同的停车区和对应的标志牌及通行区域，办理车辆存取手续，组织管理人员进行24小时常态化巡查，确保停放车辆安全。</w:t>
            </w:r>
          </w:p>
          <w:p>
            <w:pPr>
              <w:pStyle w:val="null3"/>
              <w:jc w:val="both"/>
            </w:pPr>
            <w:r>
              <w:rPr>
                <w:sz w:val="24"/>
              </w:rPr>
              <w:t>5、如在项目实施过程中与现行相关法律法规冲突的，以最新的相关法律规定执行。</w:t>
            </w:r>
          </w:p>
          <w:p>
            <w:pPr>
              <w:pStyle w:val="null3"/>
            </w:pPr>
            <w:r>
              <w:rPr>
                <w:sz w:val="24"/>
              </w:rPr>
              <w:t>6、车辆保管场内不得停放本项目规定以外的无关车辆。</w:t>
            </w:r>
          </w:p>
        </w:tc>
      </w:tr>
      <w:tr>
        <w:tc>
          <w:tcPr>
            <w:tcW w:type="dxa" w:w="2076"/>
          </w:tcPr>
          <w:p/>
        </w:tc>
        <w:tc>
          <w:tcPr>
            <w:tcW w:type="dxa" w:w="415"/>
          </w:tcPr>
          <w:p>
            <w:pPr>
              <w:pStyle w:val="null3"/>
            </w:pPr>
            <w:r>
              <w:rPr/>
              <w:t>7</w:t>
            </w:r>
          </w:p>
        </w:tc>
        <w:tc>
          <w:tcPr>
            <w:tcW w:type="dxa" w:w="5814"/>
          </w:tcPr>
          <w:p>
            <w:pPr>
              <w:pStyle w:val="null3"/>
              <w:jc w:val="both"/>
            </w:pPr>
            <w:r>
              <w:rPr>
                <w:sz w:val="24"/>
              </w:rPr>
              <w:t>七、涉案物品保管服务要求：</w:t>
            </w:r>
          </w:p>
          <w:p>
            <w:pPr>
              <w:pStyle w:val="null3"/>
              <w:jc w:val="both"/>
            </w:pPr>
            <w:r>
              <w:rPr>
                <w:sz w:val="24"/>
              </w:rPr>
              <w:t>1、为了确保涉案物品的安全，中标人应对拟派该项目的仓管工作人员保持相对稳定，管理人员不能频繁变动，且具备物品存放的常识及绝对保密意识，不得聘用临时工人进行保管、搬运等工作，避免物品流失。拟派人员必须遵纪守法、品行良好，无违法犯罪记录。</w:t>
            </w:r>
          </w:p>
          <w:p>
            <w:pPr>
              <w:pStyle w:val="null3"/>
              <w:jc w:val="both"/>
            </w:pPr>
            <w:r>
              <w:rPr>
                <w:sz w:val="24"/>
              </w:rPr>
              <w:t>2、中标人必须指定专人负责落实该项目的日常工作管理，开设服务电话专线(有2条电话线，并至少有1名工作人员专门负责值守，电话服务时间为24小时不间断)。必须安排人员24小时负责不间断的仓库安保工作。必须安排人员24小时响应涉案暂扣物品入仓的协助运输、拆装卸工作。对于仓库安防系统应定期巡检，保证系统正常运行，设备出现故障后必须立刻告知采购人。</w:t>
            </w:r>
          </w:p>
          <w:p>
            <w:pPr>
              <w:pStyle w:val="null3"/>
              <w:jc w:val="both"/>
            </w:pPr>
            <w:r>
              <w:rPr>
                <w:sz w:val="24"/>
              </w:rPr>
              <w:t>2、由于案件的数量和类型每年都不定，因此采购人无义务保证每年仓储的种类和实际发生数量，投标人应充分考虑其风险。</w:t>
            </w:r>
          </w:p>
          <w:p>
            <w:pPr>
              <w:pStyle w:val="null3"/>
              <w:jc w:val="both"/>
            </w:pPr>
            <w:r>
              <w:rPr>
                <w:sz w:val="24"/>
              </w:rPr>
              <w:t>3、涉案物品须存放仓库保管区域内，分类存储，中标人应按照相应的物品及案件信息做好存卡登记，方便仓库管理人员快速检索物品信息；特别对于有毒危废药品等涉案物品，中标人要将该类物品分类定点存放，在该类物品需要出仓销毁时，中标人应协助做好该类物品的分拣工作；为提高仓库的利用空间，采购人需不定期对仓库内物品进行位置调整，中标人需按照采购人的要求在三个工作日内对仓库内物品进行整理移库。</w:t>
            </w:r>
          </w:p>
          <w:p>
            <w:pPr>
              <w:pStyle w:val="null3"/>
              <w:jc w:val="both"/>
            </w:pPr>
            <w:r>
              <w:rPr>
                <w:sz w:val="24"/>
              </w:rPr>
              <w:t>4、中标人需提供电子计帐、电子文档及纸质文件，并造册登记仓库内物品的名称、数量以及物品的具体进岀情况，一式叁份，中标人和采购人(管理部门及执法部门)各执一份存底备查。每次物品进出时均要填写3联“物品进/出库单，双方经办人签字确认并加盖公章。</w:t>
            </w:r>
          </w:p>
          <w:p>
            <w:pPr>
              <w:pStyle w:val="null3"/>
              <w:jc w:val="both"/>
            </w:pPr>
            <w:r>
              <w:rPr>
                <w:sz w:val="24"/>
              </w:rPr>
              <w:t>5、涉案物品从中标人现场清点并开具单据开始，物品的安全交由中标人负责，涉案物品丢失或灭失需由中标人赔偿，按丢失物品的市场价值赔偿(“市场价值”是指如有案件当事人进货单价的，按当事人的进货单价计算，如无当事人进货单价的，则按丢失物品的市面行价计算，以物价部门核算为准)。</w:t>
            </w:r>
          </w:p>
          <w:p>
            <w:pPr>
              <w:pStyle w:val="null3"/>
              <w:jc w:val="both"/>
            </w:pPr>
            <w:r>
              <w:rPr>
                <w:sz w:val="24"/>
              </w:rPr>
              <w:t>6、中标人必须积极协助采购人对库存涉案物品进行不定期核査、取证、办理发还、移送、罚没等方面的后续处理工作，并负责将库存物品移出仓库门口指定位置，不得以任何理由推诿、拖延时间。</w:t>
            </w:r>
          </w:p>
          <w:p>
            <w:pPr>
              <w:pStyle w:val="null3"/>
              <w:jc w:val="both"/>
            </w:pPr>
            <w:r>
              <w:rPr>
                <w:sz w:val="24"/>
              </w:rPr>
              <w:t>7、中标人严格遵守釆购人的要求及相关制度，确保涉案物品摆放整洁有序，每月必须对仓库内环境卫生以及物品、进行清洁，做到不损坏、不遗失及篡改，妥善保管。</w:t>
            </w:r>
          </w:p>
          <w:p>
            <w:pPr>
              <w:pStyle w:val="null3"/>
              <w:jc w:val="both"/>
            </w:pPr>
            <w:r>
              <w:rPr>
                <w:sz w:val="24"/>
              </w:rPr>
              <w:t>8、中标人需确保仓库建筑物的安全及完整性，不得存在任何安全隐患，如建筑物出现任何损坏，中标人必须立刻告知采购人，并确保涉案物品存放的不受影响。</w:t>
            </w:r>
          </w:p>
          <w:p>
            <w:pPr>
              <w:pStyle w:val="null3"/>
            </w:pPr>
            <w:r>
              <w:rPr>
                <w:sz w:val="24"/>
              </w:rPr>
              <w:t>9、做好仓库的防潮、防鼠、防盗、防火、防自然灾害等工作，保证仓储物品完好。</w:t>
            </w:r>
          </w:p>
        </w:tc>
      </w:tr>
      <w:tr>
        <w:tc>
          <w:tcPr>
            <w:tcW w:type="dxa" w:w="2076"/>
          </w:tcPr>
          <w:p/>
        </w:tc>
        <w:tc>
          <w:tcPr>
            <w:tcW w:type="dxa" w:w="415"/>
          </w:tcPr>
          <w:p>
            <w:pPr>
              <w:pStyle w:val="null3"/>
            </w:pPr>
            <w:r>
              <w:rPr/>
              <w:t>8</w:t>
            </w:r>
          </w:p>
        </w:tc>
        <w:tc>
          <w:tcPr>
            <w:tcW w:type="dxa" w:w="5814"/>
          </w:tcPr>
          <w:p>
            <w:pPr>
              <w:pStyle w:val="null3"/>
              <w:jc w:val="both"/>
            </w:pPr>
            <w:r>
              <w:rPr>
                <w:sz w:val="24"/>
              </w:rPr>
              <w:t>八、其他要求：</w:t>
            </w:r>
          </w:p>
          <w:p>
            <w:pPr>
              <w:pStyle w:val="null3"/>
              <w:jc w:val="both"/>
            </w:pPr>
            <w:r>
              <w:rPr>
                <w:sz w:val="24"/>
              </w:rPr>
              <w:t>1、由于中标人的原因造成排涝不畅，导致涉案车辆及涉案物品受浸损坏，由此产生的经济损失及法律责任由中标人承担。</w:t>
            </w:r>
          </w:p>
          <w:p>
            <w:pPr>
              <w:pStyle w:val="null3"/>
              <w:jc w:val="both"/>
            </w:pPr>
            <w:r>
              <w:rPr>
                <w:sz w:val="24"/>
              </w:rPr>
              <w:t>2、未经采购人同意，中标人不得将权利及义务进行分包或转包，由此造成的法律及经济后果全部由中标人承担。</w:t>
            </w:r>
          </w:p>
          <w:p>
            <w:pPr>
              <w:pStyle w:val="null3"/>
              <w:jc w:val="both"/>
            </w:pPr>
            <w:r>
              <w:rPr>
                <w:sz w:val="24"/>
              </w:rPr>
              <w:t>3、因中标人管理不善或不按规定处理造成涉案车辆和车上财物及涉案物品在保存期间损坏、遗失、被盗、起火等情形的，中标人应承担相应的法律责任和经济责任。</w:t>
            </w:r>
          </w:p>
          <w:p>
            <w:pPr>
              <w:pStyle w:val="null3"/>
              <w:jc w:val="both"/>
            </w:pPr>
            <w:r>
              <w:rPr>
                <w:sz w:val="24"/>
              </w:rPr>
              <w:t>4、中标人应当依法做好涉案车辆及涉案物品的相关信息材料的安全保密工作，未经采购人同意，对所有涉案车辆及涉案物品相关的台账、文件、照片、音频等资料不得擅自向社会和第三方提供，否则，采购人将按情节严重程度要求中标人进行赔偿；造成重大不良影响的，将按合同违约条款，终止合同，并报监管部门处理，由此引起的一切后果，由中标人承担。并追究中标人相应的刑事责任。</w:t>
            </w:r>
          </w:p>
          <w:p>
            <w:pPr>
              <w:pStyle w:val="null3"/>
              <w:jc w:val="both"/>
            </w:pPr>
            <w:r>
              <w:rPr>
                <w:sz w:val="24"/>
              </w:rPr>
              <w:t>5、▲凡进出停车场的一切涉案车辆及涉案物品必须一样不漏予以登记，在《车辆及物品进出登记本》上应写明扣押时间、物品名称、数量或重量等，如车辆并注明发动机、车架号码及车上的物资等。涉案车辆及涉案物品进场数、出场数、库存数等相关数字要准确相符，建立的车辆及物品进出场登记台帐要妥善保管，以便采购人备查核实。（提供承诺函，格式自拟）</w:t>
            </w:r>
          </w:p>
          <w:p>
            <w:pPr>
              <w:pStyle w:val="null3"/>
              <w:jc w:val="both"/>
            </w:pPr>
            <w:r>
              <w:rPr>
                <w:sz w:val="24"/>
              </w:rPr>
              <w:t>6、中标人根据国家关规定及采购人的要求，对涉案车辆及涉案物品进行妥善管理。</w:t>
            </w:r>
          </w:p>
          <w:p>
            <w:pPr>
              <w:pStyle w:val="null3"/>
              <w:jc w:val="both"/>
            </w:pPr>
            <w:r>
              <w:rPr>
                <w:sz w:val="24"/>
              </w:rPr>
              <w:t>7、出现如下情形的，根据存在问题，采购人对中标人发出《整改通知书》，要求限期整改。中标人应在规定限期内实施整改，并将整改的情况书面报采购人。如在限期内没有实施整改的，采购人有权单方终止合同，取消中标人服务资格，造成采购人的经济损失以及引致的法律责任全由中标人承担。</w:t>
            </w:r>
          </w:p>
          <w:p>
            <w:pPr>
              <w:pStyle w:val="null3"/>
              <w:jc w:val="both"/>
            </w:pPr>
            <w:r>
              <w:rPr>
                <w:sz w:val="24"/>
              </w:rPr>
              <w:t>（</w:t>
            </w:r>
            <w:r>
              <w:rPr>
                <w:sz w:val="24"/>
              </w:rPr>
              <w:t>1）私自放行涉案车辆或涉案物品的或监守自盗涉案车辆或涉案物品的。</w:t>
            </w:r>
          </w:p>
          <w:p>
            <w:pPr>
              <w:pStyle w:val="null3"/>
              <w:jc w:val="both"/>
            </w:pPr>
            <w:r>
              <w:rPr>
                <w:sz w:val="24"/>
              </w:rPr>
              <w:t>（</w:t>
            </w:r>
            <w:r>
              <w:rPr>
                <w:sz w:val="24"/>
              </w:rPr>
              <w:t>2）因管理不善造成涉案车辆或涉案物品遗失或被盗。</w:t>
            </w:r>
          </w:p>
          <w:p>
            <w:pPr>
              <w:pStyle w:val="null3"/>
              <w:jc w:val="both"/>
            </w:pPr>
            <w:r>
              <w:rPr>
                <w:sz w:val="24"/>
              </w:rPr>
              <w:t>（</w:t>
            </w:r>
            <w:r>
              <w:rPr>
                <w:sz w:val="24"/>
              </w:rPr>
              <w:t>3）私自使用涉案车辆或涉案物品的（不含场内因摆放移库工作移动涉案车辆或涉案物品的情形）。</w:t>
            </w:r>
          </w:p>
          <w:p>
            <w:pPr>
              <w:pStyle w:val="null3"/>
              <w:jc w:val="both"/>
            </w:pPr>
            <w:r>
              <w:rPr>
                <w:sz w:val="24"/>
              </w:rPr>
              <w:t>（</w:t>
            </w:r>
            <w:r>
              <w:rPr>
                <w:sz w:val="24"/>
              </w:rPr>
              <w:t>4）向涉案车辆或涉案物品当事人以任何形式收取等费用的。</w:t>
            </w:r>
          </w:p>
          <w:p>
            <w:pPr>
              <w:pStyle w:val="null3"/>
              <w:jc w:val="both"/>
            </w:pPr>
            <w:r>
              <w:rPr>
                <w:sz w:val="24"/>
              </w:rPr>
              <w:t>（</w:t>
            </w:r>
            <w:r>
              <w:rPr>
                <w:sz w:val="24"/>
              </w:rPr>
              <w:t>5）与工作人员或其他人员勾结谋取不正当利益的。</w:t>
            </w:r>
          </w:p>
          <w:p>
            <w:pPr>
              <w:pStyle w:val="null3"/>
              <w:jc w:val="both"/>
            </w:pPr>
            <w:r>
              <w:rPr>
                <w:sz w:val="24"/>
              </w:rPr>
              <w:t>（</w:t>
            </w:r>
            <w:r>
              <w:rPr>
                <w:sz w:val="24"/>
              </w:rPr>
              <w:t>6）盗取随车物品或车辆零配件或涉案物品的。</w:t>
            </w:r>
          </w:p>
          <w:p>
            <w:pPr>
              <w:pStyle w:val="null3"/>
              <w:jc w:val="both"/>
            </w:pPr>
            <w:r>
              <w:rPr>
                <w:sz w:val="24"/>
              </w:rPr>
              <w:t>（</w:t>
            </w:r>
            <w:r>
              <w:rPr>
                <w:sz w:val="24"/>
              </w:rPr>
              <w:t>7）因以上6种情形其中引起媒体曝光、炒作且造成严重负面影响的。</w:t>
            </w:r>
          </w:p>
          <w:p>
            <w:pPr>
              <w:pStyle w:val="null3"/>
              <w:jc w:val="both"/>
            </w:pPr>
            <w:r>
              <w:rPr>
                <w:sz w:val="24"/>
              </w:rPr>
              <w:t>（</w:t>
            </w:r>
            <w:r>
              <w:rPr>
                <w:sz w:val="24"/>
              </w:rPr>
              <w:t>8）不按采购人交接要求接收或擅自转移涉案车辆或涉案物品的。</w:t>
            </w:r>
          </w:p>
          <w:p>
            <w:pPr>
              <w:pStyle w:val="null3"/>
              <w:jc w:val="both"/>
            </w:pPr>
            <w:r>
              <w:rPr>
                <w:sz w:val="24"/>
              </w:rPr>
              <w:t>（</w:t>
            </w:r>
            <w:r>
              <w:rPr>
                <w:sz w:val="24"/>
              </w:rPr>
              <w:t>9）不按规定建立涉案车辆及涉案物品档案或不按规定登记涉案车辆及涉案物品进、出场台帐的。</w:t>
            </w:r>
          </w:p>
          <w:p>
            <w:pPr>
              <w:pStyle w:val="null3"/>
              <w:jc w:val="both"/>
            </w:pPr>
            <w:r>
              <w:rPr>
                <w:sz w:val="24"/>
              </w:rPr>
              <w:t>（</w:t>
            </w:r>
            <w:r>
              <w:rPr>
                <w:sz w:val="24"/>
              </w:rPr>
              <w:t>10）因管理不善造成涉案车辆或涉案物品损坏的。</w:t>
            </w:r>
          </w:p>
          <w:p>
            <w:pPr>
              <w:pStyle w:val="null3"/>
            </w:pPr>
            <w:r>
              <w:rPr>
                <w:sz w:val="24"/>
              </w:rPr>
              <w:t>（</w:t>
            </w:r>
            <w:r>
              <w:rPr>
                <w:sz w:val="24"/>
              </w:rPr>
              <w:t>11）出现任何不利于本项目实施的或对采购人产生影响的。</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阳春市公安局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采购机构代理服务收费标准：采购代理人向中标人收取的中标服务费标准，参照国家计委[计价格[2002]1980号]文及国家发改委[2011]534号文服务类招标代理服务收费标准差额定率累进法计算收取。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供应商后，应打印纸质响应文件1正1副（内容同电子投标文件一致，不一致的以电子标书为准），并加盖中标供应商公章，在领取《中标通知书》前提交至招标代理处。2.对于《阳江市政府采购供应商资格信用承诺函》承诺内容，采购人有权在发放中标通知书前要求中标(成交)供应商提供证明材料，以备核实供应商承诺事项的真实性。3.投标人须在投标文件中的“各类证明材料”或供应商认为合适的其他地方，按照采购公告的附件格式要求提供《中标服务费承诺书》。</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020-37860699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政府采购监督管理机构名称：阳春市政府采购事务中心</w:t>
      </w:r>
    </w:p>
    <w:p>
      <w:pPr>
        <w:pStyle w:val="null3"/>
      </w:pPr>
      <w:r>
        <w:rPr/>
        <w:t>地 址：阳春市春城朝南路73号</w:t>
      </w:r>
    </w:p>
    <w:p>
      <w:pPr>
        <w:pStyle w:val="null3"/>
      </w:pPr>
      <w:r>
        <w:rPr/>
        <w:t>电 话：0662－7745980</w:t>
      </w:r>
    </w:p>
    <w:p>
      <w:pPr>
        <w:pStyle w:val="null3"/>
      </w:pPr>
      <w:r>
        <w:rPr/>
        <w:t>邮 编：529600</w:t>
      </w:r>
    </w:p>
    <w:p>
      <w:pPr>
        <w:pStyle w:val="null3"/>
      </w:pPr>
      <w:r>
        <w:rPr/>
        <w:t>传 真：0662－7745980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阳春市道路交通拯救及车辆、大宗涉案物品保管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采购包1（阳春市道路交通拯救及车辆、大宗涉案物品保管服务项目）：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采购包1（阳春市道路交通拯救及车辆、大宗涉案物品保管服务项目）：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不接受联合体投标</w:t>
            </w:r>
          </w:p>
        </w:tc>
        <w:tc>
          <w:tcPr>
            <w:tcW w:type="dxa" w:w="4238"/>
          </w:tcPr>
          <w:p>
            <w:pPr>
              <w:pStyle w:val="null3"/>
            </w:pPr>
            <w:r>
              <w:rPr/>
              <w:t>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整体专门面向中小微企业采购，参与的供应商（联合体）服务全部由符合政策要求的中小企业承接。监狱企业、残疾人福利单位视同小型、微型企业。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项目标的按照《中小企业划分标准规定》（工信部联企业[2011]300号）划分行业为：其他未列明行业。</w:t>
            </w:r>
          </w:p>
        </w:tc>
      </w:tr>
    </w:tbl>
    <w:p>
      <w:pPr>
        <w:pStyle w:val="null3"/>
        <w:ind w:firstLine="480"/>
      </w:pPr>
      <w:r>
        <w:rPr/>
        <w:t>表二符合性审查表：</w:t>
      </w:r>
    </w:p>
    <w:p>
      <w:pPr>
        <w:pStyle w:val="null3"/>
      </w:pPr>
      <w:r>
        <w:rPr/>
        <w:t>采购包1（阳春市道路交通拯救及车辆、大宗涉案物品保管服务项目）：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5</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6</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7</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8</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采购包1(阳春市道路交通拯救及车辆、大宗涉案物品保管服务项目):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技术部分54.0分</w:t>
            </w:r>
          </w:p>
          <w:p>
            <w:pPr>
              <w:pStyle w:val="null3"/>
            </w:pPr>
            <w:r>
              <w:rPr/>
              <w:t>报价得分16.0分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重要技术参数的响应情况 (18.0分)</w:t>
            </w:r>
          </w:p>
        </w:tc>
        <w:tc>
          <w:tcPr>
            <w:tcW w:type="dxa" w:w="5076"/>
          </w:tcPr>
          <w:p>
            <w:pPr>
              <w:pStyle w:val="null3"/>
              <w:jc w:val="left"/>
            </w:pPr>
            <w:r>
              <w:rPr/>
              <w:t>根据各供应商对《第二章采购需求》“技术标准与要求”中标注“▲”的重要技术参数的响应情况进行评审（共6项，最高得18分）：标注“▲”的重要技术参数完全满足或优于的，得18分，每有1项负偏离或不完全满足的扣3分，最低得0分。 注：对“第二章采购需求”中带“▲”号的条款，采购需求要求提供相关证明资料的，则投标文件须提供对应的证明资料以佐证符合参数要求，否则不得分。</w:t>
            </w:r>
          </w:p>
        </w:tc>
      </w:tr>
      <w:tr>
        <w:tc>
          <w:tcPr>
            <w:tcW w:type="dxa" w:w="922"/>
            <w:gridSpan w:val="2"/>
            <w:vMerge/>
          </w:tcPr>
          <w:p/>
        </w:tc>
        <w:tc>
          <w:tcPr>
            <w:tcW w:type="dxa" w:w="2307"/>
          </w:tcPr>
          <w:p>
            <w:pPr>
              <w:pStyle w:val="null3"/>
              <w:jc w:val="left"/>
            </w:pPr>
            <w:r>
              <w:rPr/>
              <w:t>管理制度和工作流程方案 (12.0分)</w:t>
            </w:r>
          </w:p>
        </w:tc>
        <w:tc>
          <w:tcPr>
            <w:tcW w:type="dxa" w:w="5076"/>
          </w:tcPr>
          <w:p>
            <w:pPr>
              <w:pStyle w:val="null3"/>
              <w:jc w:val="left"/>
            </w:pPr>
            <w:r>
              <w:rPr/>
              <w:t>对供应商根据采购文件“技术标准与要求”提供的管理制度和工作流程方案（包括但不限于：①车辆保管、②物品保管、③车辆接收和放行工作规程、④保管过程中的电子和纸质文件的保存与移交流程）进行综合评审： 1.方案内容涵盖以上4项内容，管理制度内容完善具体，工作流程清晰合理可操作性强，完全满足且优于采购需求的，得12分； 2.方案涵盖以上4项内容，管理制度内容齐全，工作流程合理具有可操作性，满足采购需求的，得8分； 3.方案存在部分缺漏（缺少1项内容），管理制度内容基本齐全，工作流程可操作性存在不足，部分满足采购需求的，得4分； 4.方案存在部分缺漏（缺少2项或以上内容），管理制度内容不完善，工作流程可操作性低，不能满足采购需求的，得1分； 5.未提供方案或方案内容与项目需求无实质关联的，得0分。</w:t>
            </w:r>
          </w:p>
        </w:tc>
      </w:tr>
      <w:tr>
        <w:tc>
          <w:tcPr>
            <w:tcW w:type="dxa" w:w="922"/>
            <w:gridSpan w:val="2"/>
            <w:vMerge/>
          </w:tcPr>
          <w:p/>
        </w:tc>
        <w:tc>
          <w:tcPr>
            <w:tcW w:type="dxa" w:w="2307"/>
          </w:tcPr>
          <w:p>
            <w:pPr>
              <w:pStyle w:val="null3"/>
              <w:jc w:val="left"/>
            </w:pPr>
            <w:r>
              <w:rPr/>
              <w:t>场地人员投入方案 (12.0分)</w:t>
            </w:r>
          </w:p>
        </w:tc>
        <w:tc>
          <w:tcPr>
            <w:tcW w:type="dxa" w:w="5076"/>
          </w:tcPr>
          <w:p>
            <w:pPr>
              <w:pStyle w:val="null3"/>
              <w:jc w:val="left"/>
            </w:pPr>
            <w:r>
              <w:rPr/>
              <w:t>对供应商根据采购文件“技术标准与要求”提供的场地人员投入方案（包括但不限于：①人员岗位配置、②人员培训、③人员管理制度）进行综合评审： 1.方案内容涵盖以上3项内容，岗位配置合理，定期开展人员培训，培训方案具体详细，人员管理制度内容完善具体，完全满足且优于采购需求的，得12分； 2.方案涵盖以上3项内容，岗位配置齐全，定期开展人员培训，培训方案详细，人员管理制度内容完善，满足采购需求的，得8分； 3.方案存在部分缺漏（缺少1项内容），岗位配置基本齐全，人员培训方案不够完善，人员管理制度内容存在不足，部分满足采购需求的，得4分； 4.方案存在部分缺漏（缺少2项或以上内容），岗位配置不齐全，人员培训方案存在欠缺，人员管理制度内容存在不足，不能满足采购需求的，得1分； 5.未提供方案或方案内容与项目需求无实质关联的，得0分。</w:t>
            </w:r>
          </w:p>
        </w:tc>
      </w:tr>
      <w:tr>
        <w:tc>
          <w:tcPr>
            <w:tcW w:type="dxa" w:w="922"/>
            <w:gridSpan w:val="2"/>
            <w:vMerge/>
          </w:tcPr>
          <w:p/>
        </w:tc>
        <w:tc>
          <w:tcPr>
            <w:tcW w:type="dxa" w:w="2307"/>
          </w:tcPr>
          <w:p>
            <w:pPr>
              <w:pStyle w:val="null3"/>
              <w:jc w:val="left"/>
            </w:pPr>
            <w:r>
              <w:rPr/>
              <w:t>拯救服务方案 (12.0分)</w:t>
            </w:r>
          </w:p>
        </w:tc>
        <w:tc>
          <w:tcPr>
            <w:tcW w:type="dxa" w:w="5076"/>
          </w:tcPr>
          <w:p>
            <w:pPr>
              <w:pStyle w:val="null3"/>
              <w:jc w:val="left"/>
            </w:pPr>
            <w:r>
              <w:rPr/>
              <w:t>对供应商根据采购文件“技术标准与要求”提供的拯救服务方案（包括但不限于①车辆投入情况、②清障作业人员投入情况、③交通违法车辆拖吊服务方案、④交通事故、故障车辆拖吊服务方案、⑤服务时间响应、⑥现场作业、车上物品的处理）进行综合评审： 1.方案内容涵盖以上6项内容，服务方案内容完善具体，人力物力投入充足，工作流程清晰合理可操作性强，完全满足且优于采购需求的，得12分； 2.方案内容涵盖以上6项内容，服务方案内容齐全，人力物力投入满足项目需求，工作流程合理具有可操作性，满足采购需求的，得8分； 3.方案存在部分缺漏（缺少1-2项内容），服务方案内容基本齐全，人力物力投入基本满足项目需求，工作流程可操作性存在欠缺，部分满足采购需求的，得4分； 4.方案存在部分缺漏（缺少3项或以上内容）服务方案内容不完善，工作流程可操作性低，不能满足采购需求的，得1分； 5.未提供方案或方案内容与项目需求无实质关联的，得0分。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(12.0分)</w:t>
            </w:r>
          </w:p>
        </w:tc>
        <w:tc>
          <w:tcPr>
            <w:tcW w:type="dxa" w:w="5076"/>
          </w:tcPr>
          <w:p>
            <w:pPr>
              <w:pStyle w:val="null3"/>
              <w:jc w:val="left"/>
            </w:pPr>
            <w:r>
              <w:rPr/>
              <w:t>供应商2022年1月1日（以合同签订时间为准）以来，承接同类项目业绩情况，每提供1个同类项目业绩得3分，满分12分。 注：提供同类项目合同关键页（合同关键页中应包括项目名称、单位名称、合同标的内容、合同签订日期页、签字盖章页等）扫描件并加盖供应商公章，不提供不得分。</w:t>
            </w:r>
          </w:p>
        </w:tc>
      </w:tr>
      <w:tr>
        <w:tc>
          <w:tcPr>
            <w:tcW w:type="dxa" w:w="922"/>
            <w:gridSpan w:val="2"/>
            <w:vMerge/>
          </w:tcPr>
          <w:p/>
        </w:tc>
        <w:tc>
          <w:tcPr>
            <w:tcW w:type="dxa" w:w="2307"/>
          </w:tcPr>
          <w:p>
            <w:pPr>
              <w:pStyle w:val="null3"/>
              <w:jc w:val="left"/>
            </w:pPr>
            <w:r>
              <w:rPr/>
              <w:t>用户评价 (8.0分)</w:t>
            </w:r>
          </w:p>
        </w:tc>
        <w:tc>
          <w:tcPr>
            <w:tcW w:type="dxa" w:w="5076"/>
          </w:tcPr>
          <w:p>
            <w:pPr>
              <w:pStyle w:val="null3"/>
              <w:jc w:val="left"/>
            </w:pPr>
            <w:r>
              <w:rPr/>
              <w:t>提供上述同类业绩的用户书面满意度评价或意见反馈情况进行评审：正面评价（业主书面优秀、满意或相当之类的正面评价），不含及格或合格等普通评价，每份得2分；本项最高得8分。 注：提供相关用户书面满意度评价或意见反馈情况（需用户单位盖章），扫描件并加盖供应商公章。同一用户提供多份材料的，只计算一份。不符合要求或不提供，不得分。</w:t>
            </w:r>
          </w:p>
        </w:tc>
      </w:tr>
      <w:tr>
        <w:tc>
          <w:tcPr>
            <w:tcW w:type="dxa" w:w="922"/>
            <w:gridSpan w:val="2"/>
            <w:vMerge/>
          </w:tcPr>
          <w:p/>
        </w:tc>
        <w:tc>
          <w:tcPr>
            <w:tcW w:type="dxa" w:w="2307"/>
          </w:tcPr>
          <w:p>
            <w:pPr>
              <w:pStyle w:val="null3"/>
              <w:jc w:val="left"/>
            </w:pPr>
            <w:r>
              <w:rPr/>
              <w:t>应急方案 (10.0分)</w:t>
            </w:r>
          </w:p>
        </w:tc>
        <w:tc>
          <w:tcPr>
            <w:tcW w:type="dxa" w:w="5076"/>
          </w:tcPr>
          <w:p>
            <w:pPr>
              <w:pStyle w:val="null3"/>
              <w:jc w:val="left"/>
            </w:pPr>
            <w:r>
              <w:rPr/>
              <w:t>对供应商根据采购文件“其他商务需求”提供的应急方案（包括但不限于①较大事故及复杂现场处理预案、②保管场地火警水灾等事件预案、③大型活动的应急清障预案等预警机制、④应急响应、现场处置、后期恢复等）进行评分： 1.方案内容涵盖以上4项内容，应急预案详细、完整，可行性强，包含上述所列全部内容，完全满足且优于采购需求的，得10分； 2.方案内容涵盖以上4项内容，应急预案完整，具有可行性，包含上述所列全部内容，满足采购需求的，得6分； 3.方案存在部分缺漏（缺少1项或以上内容），应急预案基本完整，包括上述所列部分内容，部分满足采购需求的，得2分； 4.未提供方案或方案内容与项目需求无实质关联的，得0分。</w:t>
            </w:r>
          </w:p>
        </w:tc>
      </w:tr>
      <w:tr>
        <w:tc>
          <w:tcPr>
            <w:tcW w:type="dxa" w:w="922"/>
            <w:gridSpan w:val="2"/>
          </w:tcPr>
          <w:p>
            <w:pPr>
              <w:pStyle w:val="null3"/>
              <w:jc w:val="center"/>
            </w:pPr>
            <w:r>
              <w:rPr/>
              <w:t>投标报价</w:t>
            </w:r>
          </w:p>
        </w:tc>
        <w:tc>
          <w:tcPr>
            <w:tcW w:type="dxa" w:w="2307"/>
          </w:tcPr>
          <w:p>
            <w:pPr>
              <w:pStyle w:val="null3"/>
              <w:jc w:val="left"/>
            </w:pPr>
            <w:r>
              <w:rPr/>
              <w:t>投标报价得分 (16.0分)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441781-2026-00054</w:t>
      </w:r>
    </w:p>
    <w:p>
      <w:pPr>
        <w:pStyle w:val="null3"/>
        <w:jc w:val="center"/>
        <w:outlineLvl w:val="3"/>
      </w:pPr>
      <w:r>
        <w:rPr>
          <w:sz w:val="24"/>
          <w:b/>
        </w:rPr>
        <w:t>采购项目编号：</w:t>
      </w:r>
      <w:r>
        <w:rPr>
          <w:sz w:val="24"/>
          <w:b/>
        </w:rPr>
        <w:t>0724-2631YJ010043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阳春市道路交通拯救及车辆、大宗涉案物品保管服务项目</w:t>
      </w:r>
      <w:r>
        <w:rPr>
          <w:u w:val="single"/>
        </w:rPr>
        <w:t>”</w:t>
      </w:r>
      <w:r>
        <w:rPr/>
        <w:t>项目的招标[采购项目编号为：</w:t>
      </w:r>
      <w:r>
        <w:rPr>
          <w:u w:val="single"/>
        </w:rPr>
        <w:t>0724-2631YJ010043</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阳春市道路交通拯救及车辆、大宗涉案物品保管服务项目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阳春市道路交通拯救及车辆、大宗涉案物品保管服务项目</w:t>
      </w:r>
      <w:r>
        <w:rPr/>
        <w:t>”项目采购[采购项目编号为</w:t>
      </w:r>
      <w:r>
        <w:rPr/>
        <w:t>0724-2631YJ010043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阳春市公安局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阳春市道路交通拯救及车辆、大宗涉案物品保管服务项目</w:t>
      </w:r>
      <w:r>
        <w:rPr/>
        <w:t>招标中获中标（采购项目编号：</w:t>
      </w:r>
      <w:r>
        <w:rPr/>
        <w:t>0724-2631YJ010043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阳春市道路交通拯救及车辆、大宗涉案物品保管服务项目</w:t>
      </w:r>
      <w:r>
        <w:rPr/>
        <w:t>”项目（采购项目编号：</w:t>
      </w:r>
      <w:r>
        <w:rPr/>
        <w:t>0724-2631YJ010043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