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441781-2025-01728</w:t>
      </w:r>
    </w:p>
    <w:p>
      <w:pPr>
        <w:pStyle w:val="null3"/>
        <w:jc w:val="center"/>
        <w:outlineLvl w:val="3"/>
      </w:pPr>
      <w:r>
        <w:rPr>
          <w:sz w:val="24"/>
          <w:b/>
        </w:rPr>
        <w:t>采购项目编号：</w:t>
      </w:r>
      <w:r>
        <w:rPr>
          <w:sz w:val="24"/>
          <w:b/>
        </w:rPr>
        <w:t>0724-2531YJ014102</w:t>
      </w:r>
    </w:p>
    <w:p>
      <w:pPr>
        <w:pStyle w:val="null3"/>
        <w:jc w:val="center"/>
        <w:outlineLvl w:val="3"/>
      </w:pPr>
      <w:r>
        <w:rPr>
          <w:sz w:val="24"/>
          <w:b/>
        </w:rPr>
        <w:t>项目名称：</w:t>
      </w:r>
      <w:r>
        <w:rPr>
          <w:sz w:val="24"/>
          <w:b/>
        </w:rPr>
        <w:t>掺铥光纤激光治疗系统采购</w:t>
      </w:r>
    </w:p>
    <w:p>
      <w:pPr>
        <w:pStyle w:val="null3"/>
        <w:jc w:val="center"/>
        <w:outlineLvl w:val="3"/>
      </w:pPr>
      <w:r>
        <w:rPr>
          <w:sz w:val="24"/>
          <w:b/>
        </w:rPr>
        <w:t>采购人：</w:t>
      </w:r>
      <w:r>
        <w:rPr>
          <w:sz w:val="24"/>
          <w:b/>
        </w:rPr>
        <w:t>阳春市人民医院</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阳春市人民医院</w:t>
      </w:r>
      <w:r>
        <w:rPr/>
        <w:t>的委托，采用</w:t>
      </w:r>
      <w:r>
        <w:rPr/>
        <w:t>公开招标</w:t>
      </w:r>
      <w:r>
        <w:rPr/>
        <w:t>方式组织采购</w:t>
      </w:r>
      <w:r>
        <w:rPr/>
        <w:t>掺铥光纤激光治疗系统采购</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掺铥光纤激光治疗系统采购</w:t>
      </w:r>
    </w:p>
    <w:p>
      <w:pPr>
        <w:pStyle w:val="null3"/>
        <w:ind w:firstLine="480"/>
      </w:pPr>
      <w:r>
        <w:rPr/>
        <w:t>采购计划编号：</w:t>
      </w:r>
      <w:r>
        <w:rPr/>
        <w:t>441781-2025-01728</w:t>
      </w:r>
    </w:p>
    <w:p>
      <w:pPr>
        <w:pStyle w:val="null3"/>
        <w:ind w:firstLine="480"/>
      </w:pPr>
      <w:r>
        <w:rPr/>
        <w:t>采购项目编号：</w:t>
      </w:r>
      <w:r>
        <w:rPr/>
        <w:t>0724-2531YJ014102</w:t>
      </w:r>
    </w:p>
    <w:p>
      <w:pPr>
        <w:pStyle w:val="null3"/>
        <w:ind w:firstLine="480"/>
      </w:pPr>
      <w:r>
        <w:rPr/>
        <w:t>采购方式：</w:t>
      </w:r>
      <w:r>
        <w:rPr/>
        <w:t>公开招标</w:t>
      </w:r>
    </w:p>
    <w:p>
      <w:pPr>
        <w:pStyle w:val="null3"/>
        <w:ind w:firstLine="480"/>
      </w:pPr>
      <w:r>
        <w:rPr/>
        <w:t>预算金额：</w:t>
      </w:r>
      <w:r>
        <w:rPr/>
        <w:t>2,502,000.00</w:t>
      </w:r>
      <w:r>
        <w:rPr/>
        <w:t>元</w:t>
      </w:r>
    </w:p>
    <w:p>
      <w:pPr>
        <w:pStyle w:val="null3"/>
        <w:outlineLvl w:val="3"/>
      </w:pPr>
      <w:r>
        <w:rPr>
          <w:sz w:val="24"/>
          <w:b/>
        </w:rPr>
        <w:t>2.项目内容及需求情况（采购项目技术规格、参数及要求）</w:t>
      </w:r>
    </w:p>
    <w:p>
      <w:pPr>
        <w:pStyle w:val="null3"/>
      </w:pPr>
      <w:r>
        <w:rPr/>
        <w:t>采购包1(掺铥光纤激光治疗系统):</w:t>
      </w:r>
    </w:p>
    <w:p>
      <w:pPr>
        <w:pStyle w:val="null3"/>
      </w:pPr>
      <w:r>
        <w:rPr/>
        <w:t>采购包预算金额：2,502,000.00元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医用激光仪器及设备</w:t>
            </w:r>
          </w:p>
        </w:tc>
        <w:tc>
          <w:tcPr>
            <w:tcW w:type="dxa" w:w="2052"/>
          </w:tcPr>
          <w:p>
            <w:pPr>
              <w:pStyle w:val="null3"/>
            </w:pPr>
            <w:r>
              <w:rPr/>
              <w:t>掺铥光纤激光治疗系统</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2,502,000.00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合同履行期限：自合同签订之日起至设备到货验收、安装调试、培训完成及质保期满之日止。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2）有依法缴纳税收和社会保障资金的良好记录：提供《阳江市政府采购供应商资格信用承诺函》（详见采购公告附件）。</w:t>
      </w:r>
    </w:p>
    <w:p>
      <w:pPr>
        <w:pStyle w:val="null3"/>
      </w:pPr>
      <w:r>
        <w:rPr/>
        <w:t>3）具有良好的商业信誉和健全的财务会计制度：提供《阳江市政府采购供应商资格信用承诺函》（详见采购公告附件）。</w:t>
      </w:r>
    </w:p>
    <w:p>
      <w:pPr>
        <w:pStyle w:val="null3"/>
      </w:pPr>
      <w:r>
        <w:rPr/>
        <w:t>4）履行合同所必需的设备和专业技术能力：提供《阳江市政府采购供应商资格信用承诺函》（详见采购公告附件）。</w:t>
      </w:r>
    </w:p>
    <w:p>
      <w:pPr>
        <w:pStyle w:val="null3"/>
      </w:pPr>
      <w:r>
        <w:rPr/>
        <w:t>5）参加采购活动前3年内，在经营活动中没有重大违法记录：提供《阳江市政府采购供应商资格信用承诺函》（详见采购公告附件）。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采购包1（掺铥光纤激光治疗系统）：</w:t>
      </w:r>
      <w:r>
        <w:rPr/>
        <w:t>本项目属于专门面向中小微企业采购的项目。制造商须符合本项目采购标的对应行业（工业）政策划分标准的中小微企业。监狱企业、残疾人福利单位视同小型、微型企业。 注：中小微企业以制造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采购包1（掺铥光纤激光治疗系统）：</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应具有有效的且与所投项目相适应的医疗器械生产许可或经营许可（如国家另有规定，则适用其规定，按要求提供证明文件）：①如投标人为所投产品的生产企业：所投产品为第二、三类医疗器械，提供监督管理部门签发的有效的《医疗器械生产许可证》扫描件；②如投标人为经营企业：所投产品为第三类医疗器械，提供监督管理部门签发的有效的《医疗器械经营许可证》扫描件；所投产品为第二类医疗器械，提供有效的《第二类医疗器械经营备案凭证》扫描件或承诺中标后办理医疗器械经营备案凭证的承诺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阳春市人民医院</w:t>
      </w:r>
    </w:p>
    <w:p>
      <w:pPr>
        <w:pStyle w:val="null3"/>
        <w:ind w:firstLine="480"/>
      </w:pPr>
      <w:r>
        <w:rPr/>
        <w:t xml:space="preserve"> 地址：</w:t>
      </w:r>
      <w:r>
        <w:rPr/>
        <w:t>广东省阳春市春城街道环城南路24号</w:t>
      </w:r>
    </w:p>
    <w:p>
      <w:pPr>
        <w:pStyle w:val="null3"/>
        <w:ind w:firstLine="480"/>
      </w:pPr>
      <w:r>
        <w:rPr/>
        <w:t xml:space="preserve"> 联系方式：</w:t>
      </w:r>
      <w:r>
        <w:rPr/>
        <w:t>06627768532</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0662-2222138</w:t>
      </w:r>
    </w:p>
    <w:p>
      <w:pPr>
        <w:pStyle w:val="null3"/>
        <w:outlineLvl w:val="3"/>
      </w:pPr>
      <w:r>
        <w:rPr>
          <w:sz w:val="24"/>
          <w:b/>
        </w:rPr>
        <w:t xml:space="preserve"> 3.项目联系方式</w:t>
      </w:r>
    </w:p>
    <w:p>
      <w:pPr>
        <w:pStyle w:val="null3"/>
        <w:ind w:firstLine="480"/>
      </w:pPr>
      <w:r>
        <w:rPr/>
        <w:t xml:space="preserve"> 项目联系人：</w:t>
      </w:r>
      <w:r>
        <w:rPr/>
        <w:t>刘金、李哲霖、李忠威</w:t>
      </w:r>
    </w:p>
    <w:p>
      <w:pPr>
        <w:pStyle w:val="null3"/>
        <w:ind w:firstLine="480"/>
      </w:pPr>
      <w:r>
        <w:rPr/>
        <w:t xml:space="preserve"> 电话：</w:t>
      </w:r>
      <w:r>
        <w:rPr/>
        <w:t>0662-2222138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w:t>
      </w:r>
    </w:p>
    <w:p>
      <w:pPr>
        <w:pStyle w:val="null3"/>
      </w:pPr>
      <w:r>
        <w:rPr/>
        <w:t>采购包1（掺铥光纤激光治疗系统）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合同签订后15个工作日内到货。</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1期：支付比例30%,合同签订后10个工作日内，采购人支付合同金额的30%给中标人，作为预付款</w:t>
            </w:r>
          </w:p>
          <w:p>
            <w:pPr>
              <w:pStyle w:val="null3"/>
            </w:pPr>
            <w:r>
              <w:rPr/>
              <w:t>2期：支付比例65%,设备完成到货验收、安装调试验收，且中标人提供《到货验收报告》《安装调试验收确认书》及等额发票后，采购人支付合同总价的65%</w:t>
            </w:r>
          </w:p>
          <w:p>
            <w:pPr>
              <w:pStyle w:val="null3"/>
            </w:pPr>
            <w:r>
              <w:rPr/>
              <w:t>3期：支付比例5%,项目通过最终验收且质保期满（自最终验收通过之日起计算36个月），中标人提供《最终验收证书》、质保期内无质量问题证明及等额发票后，采购人支付剩余5%尾款（无息）。 注：因政策调整或不可抗力导致付款延迟的，双方可协商签订补充协议，但不得免除中标人履约责任，付款前中标人需提供等额增值税专用发票及验收文件原件</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1期：本项目验收应严格按照采购合同、技术参数及国家相关标准执行，分阶段进行： 1.到货验收：设备送达后，采购人会同中标人查验外包装完整性、型号规格、数量及配件清单，确保与合同一致。 2.安装调试验收：中标人完成安装调试后，由医院技术部门、设备科及第三方（如有）对设备核心功能、技术指标（如分辨率、兼容性、稳定性等）进行现场测试，并签署调试确认书。 3.试运行验收：设备连续运行≥30天（具体周期可约定），期间无重大故障（指导致设备停机＞24小时）且性能达标，由使用科室出具试运行报告。 4.最终验收：试运行合格后，中标人需提供完整技术资料（含操作手册、合格证、保修凭证等），验收小组（由院方、专家等组成）签署最终验收证书。 5.验收不合格的，中标人须限期免费整改或更换；验收通过后进入质保期，质保期内出现非人为问题由中标人无偿解决。 注：验收文件需双方签字盖章，作为付款依据。</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报价包括</w:t>
            </w:r>
          </w:p>
        </w:tc>
        <w:tc>
          <w:tcPr>
            <w:tcW w:type="dxa" w:w="2076"/>
          </w:tcPr>
          <w:p>
            <w:pPr>
              <w:pStyle w:val="null3"/>
              <w:jc w:val="left"/>
            </w:pPr>
            <w:r>
              <w:rPr/>
              <w:t>本项目的报价应包含设备购置费、运输保险费、安装调试费、操作人员培训费、税费及售后服务费等全部费用，总报价应为人民币含税一次性包干价，供应商须承诺报价包含项目全周期内所有成本且不得在中标后追加任何费用，供应商漏报或不报，采购人将视为有关费用已包括在完成本项目中，不予支付，同时需附详细分项报价清单作为附件备查。</w:t>
            </w:r>
          </w:p>
        </w:tc>
      </w:tr>
      <w:tr>
        <w:tc>
          <w:tcPr>
            <w:tcW w:type="dxa" w:w="2076"/>
          </w:tcPr>
          <w:p/>
        </w:tc>
        <w:tc>
          <w:tcPr>
            <w:tcW w:type="dxa" w:w="2076"/>
          </w:tcPr>
          <w:p>
            <w:pPr>
              <w:pStyle w:val="null3"/>
              <w:jc w:val="center"/>
            </w:pPr>
            <w:r>
              <w:rPr/>
              <w:t>2</w:t>
            </w:r>
          </w:p>
        </w:tc>
        <w:tc>
          <w:tcPr>
            <w:tcW w:type="dxa" w:w="2076"/>
          </w:tcPr>
          <w:p>
            <w:pPr>
              <w:pStyle w:val="null3"/>
              <w:jc w:val="left"/>
            </w:pPr>
            <w:r>
              <w:rPr/>
              <w:t>供货及安装要求</w:t>
            </w:r>
          </w:p>
        </w:tc>
        <w:tc>
          <w:tcPr>
            <w:tcW w:type="dxa" w:w="2076"/>
          </w:tcPr>
          <w:p>
            <w:pPr>
              <w:pStyle w:val="null3"/>
              <w:jc w:val="left"/>
            </w:pPr>
            <w:r>
              <w:rPr/>
              <w:t>1.权利保证：中标人应保证出卖给采购人的产品或服务与技术等非他人所有或与他人共有，未设有抵押权、租赁权，未侵犯他人的专利权、版权、商标权等知识产权。一旦出现侵权，中标人应承担全部责任。 2.产品质量： ①　产品质量应符合中华人民共和国国家安全质量标准、环保标准、行业标准或货物来源国官方标准。 ②　产品所有技术性能规格及参数，应符合采购文件要求的技术标准及生产厂商公开的宣传资料和生产厂商官方网站宣传内容的标准要求。 ③　中标人应保证提供的产品是全新未使用过的原厂合格正品(包括零部件)，表面无划损、无任何缺陷隐患，在中国境内可依常规安全合法使用。 3.单证齐全：中标人应交付产品合格证（或质量证明）、使用说明（纸质版及电子版）、维保手册、维保证明、发票和其他应具有的单证及配备件、随机工具等。设备应为未启封原厂新品，出厂日期不早于投标截止日前12个月，并提供出厂质检报告，原厂商未启封全新包装，序列号、包装箱号与出厂批号一致，并可追索查阅。 4.供应商需从货物来源、质量控制、稳定性及运输环节严格把关，包括确保原材料来源合规透明(如提供供应链证明及批次追溯)、建立IS0认证的质量管理体系(关键工艺检测及第三方抽检)、验证长期稳定性(老化/振动测试报告及“首件封样”制度)、规范运输流程(防震防潮包装、冷链物流及应急预案)，并实施持续监督，以保障产品全生命周期合规可靠，同时控制不良品率(&lt;0.5%)和交货准时率(&gt;98%)，最大限度降低供应链风险。 5. 安装要求 ① 中标人须具备医疗器械安装资质，安装人员需持有厂商认证的工程师资格证书及医疗器械相关培训证明，并提供人员资质文件备查。 ② 设备安装需符合国家《医疗器械使用质量监督管理办法》及生产厂商技术规范，安装前提交详细的安装方案(含场地准备要求、水电接口标准、防震/防电磁干扰措施等)。安装过程需全程录像，关键节点(如设备通电测试、激光校准等)须由采购方签字确认。 ③ 中标人应在到货前5个工作日内完成安装环境勘查，确保手术室电力(电压波动≤±5%)、温湿度(22+3℃℃、湿度30%-60%)、净化等级(≥10万级)等符合设备运行要求。需提供安装环境检测报告(含接地电阻测试、电磁兼容性测试等)。 ④ 调试标准:安装完成后须进行72小时连续稳定性测试，出具调试报告(含激光输出功率校准数据、安全报警功能测试记录等)，并同步上传至厂商云端系统备档。 ⑤ 验收关联:安装调试未通过视为到货验收不合格，中标人须在3个工作日内免费整改完毕，否则按合司金额0.5%/日扣除违约金。</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质保期</w:t>
            </w:r>
          </w:p>
        </w:tc>
        <w:tc>
          <w:tcPr>
            <w:tcW w:type="dxa" w:w="2076"/>
          </w:tcPr>
          <w:p>
            <w:pPr>
              <w:pStyle w:val="null3"/>
              <w:jc w:val="left"/>
            </w:pPr>
            <w:r>
              <w:rPr/>
              <w:t>整机免费保修不少于3年(从验收合格签字之日起)，终身有偿维护。在保修期内对设备进行定期维护和保养，年度定期预防性维护保养次数不少于4次，并免费提供维修所需的配件及服务。（提供承诺函，格式自拟）</w:t>
            </w:r>
          </w:p>
        </w:tc>
      </w:tr>
      <w:tr>
        <w:tc>
          <w:tcPr>
            <w:tcW w:type="dxa" w:w="2076"/>
          </w:tcPr>
          <w:p/>
        </w:tc>
        <w:tc>
          <w:tcPr>
            <w:tcW w:type="dxa" w:w="2076"/>
          </w:tcPr>
          <w:p>
            <w:pPr>
              <w:pStyle w:val="null3"/>
              <w:jc w:val="center"/>
            </w:pPr>
            <w:r>
              <w:rPr/>
              <w:t>4</w:t>
            </w:r>
          </w:p>
        </w:tc>
        <w:tc>
          <w:tcPr>
            <w:tcW w:type="dxa" w:w="2076"/>
          </w:tcPr>
          <w:p>
            <w:pPr>
              <w:pStyle w:val="null3"/>
              <w:jc w:val="left"/>
            </w:pPr>
            <w:r>
              <w:rPr/>
              <w:t>售后服务专项条款</w:t>
            </w:r>
          </w:p>
        </w:tc>
        <w:tc>
          <w:tcPr>
            <w:tcW w:type="dxa" w:w="2076"/>
          </w:tcPr>
          <w:p>
            <w:pPr>
              <w:pStyle w:val="null3"/>
              <w:jc w:val="left"/>
            </w:pPr>
            <w:r>
              <w:rPr/>
              <w:t>1.中标人须在接到设备故障通知后1小时内电话响应，4小时内技术人员到达现场(阳江市内)处理，并提供7x24小时服务热线。 2.保修期内因故障导致维修时间超过2天的，按停机天数1:2比例延长保修期，且需免费提供同等性能备用设备。 3.设备年开机率须≥95%(按365天计算)，若因故障导致开机天数&lt;347天，保修期按不足天数1:2顺延。 4.中标人中标后，应在阳春市常驻至少1名厂商认证工程师，并在阳江市50公里半径内储备关键备件，确保8小时内应急到位。 5.提供售后服务团队名单(含技术资质证书)、培训记录及服务网点分布图(需覆盖广东省主要地市)。 6.投标时需提交关键配件清单(如激光模块、光纤接口)及储备方案，承诺配件供应周期≤24小时。 7.每季度进行用户满意度调查，满意度低于90%时需限期整改，整改不力按合同金额1%扣减服务费。 8.鼓励提供远程诊断、季度巡检、年度设备健康报告等增值服务，作为评标加分项。 注:以上售后服务专项条款投标人必须满足的最低服务标准，未达到视为无效投标，评分时将对增值服务(如远程监控、备用设备提供等)进行择优评审。</w:t>
            </w:r>
          </w:p>
        </w:tc>
      </w:tr>
      <w:tr>
        <w:tc>
          <w:tcPr>
            <w:tcW w:type="dxa" w:w="2076"/>
          </w:tcPr>
          <w:p/>
        </w:tc>
        <w:tc>
          <w:tcPr>
            <w:tcW w:type="dxa" w:w="2076"/>
          </w:tcPr>
          <w:p>
            <w:pPr>
              <w:pStyle w:val="null3"/>
              <w:jc w:val="center"/>
            </w:pPr>
            <w:r>
              <w:rPr/>
              <w:t>5</w:t>
            </w:r>
          </w:p>
        </w:tc>
        <w:tc>
          <w:tcPr>
            <w:tcW w:type="dxa" w:w="2076"/>
          </w:tcPr>
          <w:p>
            <w:pPr>
              <w:pStyle w:val="null3"/>
              <w:jc w:val="left"/>
            </w:pPr>
            <w:r>
              <w:rPr/>
              <w:t>其他商务条款</w:t>
            </w:r>
          </w:p>
        </w:tc>
        <w:tc>
          <w:tcPr>
            <w:tcW w:type="dxa" w:w="2076"/>
          </w:tcPr>
          <w:p>
            <w:pPr>
              <w:pStyle w:val="null3"/>
              <w:jc w:val="left"/>
            </w:pPr>
            <w:r>
              <w:rPr/>
              <w:t>1.设备原厂要求 投标产品必须为制造商原厂全新设备，序列号可追溯，出厂日期不早于投标截止日前12个月。 2.知识产权承诺 中标人须签署《知识产权承诺书》，保证设备不侵犯第三方专利、商标等权利，侵权责任由中标人全额承担。 3.临床培训要求 提供包含理论课程(设备原理、适应症)和实操培训(模拟操作或动物实验)的系统化方案，培训后通过率≥80%并颁发操作证书。 4.验收争议解决 验收争议由广东省医疗器械质量监督检验所仲裁，检测费用由责任方承担，仲裁期间不停止设备使用。 5.违约责任 未达到服务承诺(如响应超时、开机率不达标)的，按合同金额0.1%/日支付违约金，累计超5%可终止合同。</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医用激光仪器及设备</w:t>
            </w:r>
          </w:p>
        </w:tc>
        <w:tc>
          <w:tcPr>
            <w:tcW w:type="dxa" w:w="831"/>
          </w:tcPr>
          <w:p>
            <w:pPr>
              <w:pStyle w:val="null3"/>
              <w:jc w:val="left"/>
            </w:pPr>
            <w:r>
              <w:rPr/>
              <w:t>掺铥光纤激光治疗系统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2,502,000.00</w:t>
            </w:r>
          </w:p>
        </w:tc>
        <w:tc>
          <w:tcPr>
            <w:tcW w:type="dxa" w:w="831"/>
          </w:tcPr>
          <w:p>
            <w:pPr>
              <w:pStyle w:val="null3"/>
              <w:jc w:val="right"/>
            </w:pPr>
            <w:r>
              <w:rPr/>
              <w:t>2,502,000.00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掺铥光纤激光治疗系统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630"/>
            </w:pPr>
            <w:r>
              <w:rPr>
                <w:sz w:val="21"/>
              </w:rPr>
              <w:t>★</w:t>
            </w:r>
            <w:r>
              <w:rPr>
                <w:sz w:val="21"/>
              </w:rPr>
              <w:t>本项目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国家药品监督管理局受理的医疗器械注册延期通知书；涉及型号变更的须提供监督管理部门审核通过的变更文件）。第一类医疗器械产品，须提供产品《第一类医疗器械备案凭证》。</w:t>
            </w:r>
          </w:p>
          <w:p>
            <w:pPr>
              <w:pStyle w:val="null3"/>
              <w:ind w:firstLine="630"/>
            </w:pPr>
            <w:r>
              <w:rPr>
                <w:sz w:val="21"/>
                <w:b/>
              </w:rPr>
              <w:t>一、技术标准与要求</w:t>
            </w:r>
          </w:p>
          <w:p>
            <w:pPr>
              <w:pStyle w:val="null3"/>
              <w:ind w:firstLine="630"/>
            </w:pPr>
            <w:r>
              <w:rPr>
                <w:sz w:val="21"/>
                <w:b/>
              </w:rPr>
              <w:t>1.掺铥光纤激光治疗系统：</w:t>
            </w:r>
          </w:p>
          <w:p>
            <w:pPr>
              <w:pStyle w:val="null3"/>
              <w:ind w:firstLine="630"/>
            </w:pPr>
            <w:r>
              <w:rPr>
                <w:sz w:val="21"/>
              </w:rPr>
              <w:t>1）适用范围：用于良性前列腺增生、泌尿系肿瘤的汽化、凝固和全泌尿系结石的治疗。</w:t>
            </w:r>
          </w:p>
          <w:p>
            <w:pPr>
              <w:pStyle w:val="null3"/>
              <w:ind w:firstLine="630"/>
            </w:pPr>
            <w:r>
              <w:rPr>
                <w:sz w:val="21"/>
              </w:rPr>
              <w:t>2）激光工作模式：连续波和脉冲波。</w:t>
            </w:r>
          </w:p>
          <w:p>
            <w:pPr>
              <w:pStyle w:val="null3"/>
              <w:ind w:firstLine="630"/>
            </w:pPr>
            <w:r>
              <w:rPr>
                <w:sz w:val="21"/>
              </w:rPr>
              <w:t>3）设备注册单元内包含治疗光纤，保证设备与注册标准一致</w:t>
            </w:r>
            <w:r>
              <w:rPr>
                <w:sz w:val="21"/>
              </w:rPr>
              <w:t>。</w:t>
            </w:r>
            <w:r>
              <w:rPr>
                <w:sz w:val="21"/>
              </w:rPr>
              <w:t>（提供设备的《医疗器械注册证》或其他证明材料）。</w:t>
            </w:r>
          </w:p>
          <w:p>
            <w:pPr>
              <w:pStyle w:val="null3"/>
              <w:ind w:firstLine="630"/>
            </w:pPr>
            <w:r>
              <w:rPr>
                <w:sz w:val="21"/>
              </w:rPr>
              <w:t>4）▲</w:t>
            </w:r>
            <w:r>
              <w:rPr>
                <w:sz w:val="21"/>
              </w:rPr>
              <w:t>摻铥光纤激光</w:t>
            </w:r>
            <w:r>
              <w:rPr>
                <w:sz w:val="21"/>
              </w:rPr>
              <w:t>治疗机</w:t>
            </w:r>
            <w:r>
              <w:rPr>
                <w:sz w:val="21"/>
              </w:rPr>
              <w:t>主机治疗模式</w:t>
            </w:r>
            <w:r>
              <w:rPr>
                <w:sz w:val="21"/>
              </w:rPr>
              <w:t>≥4种以上治疗模式。（提供第三方检测机构出具的检验报告</w:t>
            </w:r>
            <w:r>
              <w:rPr>
                <w:sz w:val="21"/>
              </w:rPr>
              <w:t>或</w:t>
            </w:r>
            <w:r>
              <w:rPr>
                <w:sz w:val="21"/>
              </w:rPr>
              <w:t>产品彩页或</w:t>
            </w:r>
            <w:r>
              <w:rPr>
                <w:sz w:val="21"/>
              </w:rPr>
              <w:t>使用说明书</w:t>
            </w:r>
            <w:r>
              <w:rPr>
                <w:sz w:val="21"/>
              </w:rPr>
              <w:t>证明作为佐证材料）</w:t>
            </w:r>
          </w:p>
          <w:p>
            <w:pPr>
              <w:pStyle w:val="null3"/>
              <w:ind w:firstLine="630"/>
            </w:pPr>
            <w:r>
              <w:rPr>
                <w:sz w:val="21"/>
              </w:rPr>
              <w:t>5）软组织治疗工作时，同屏可设置两种或以上不同脉冲模式。（提供第三方检测机构出具的检验报告</w:t>
            </w:r>
            <w:r>
              <w:rPr>
                <w:sz w:val="21"/>
              </w:rPr>
              <w:t>或</w:t>
            </w:r>
            <w:r>
              <w:rPr>
                <w:sz w:val="21"/>
              </w:rPr>
              <w:t>产品彩页或原厂技术白皮书证明作为佐证材料）</w:t>
            </w:r>
          </w:p>
          <w:p>
            <w:pPr>
              <w:pStyle w:val="null3"/>
              <w:ind w:firstLine="630"/>
            </w:pPr>
            <w:r>
              <w:rPr>
                <w:sz w:val="21"/>
              </w:rPr>
              <w:t>6）光纤激光器模块</w:t>
            </w:r>
            <w:r>
              <w:rPr>
                <w:sz w:val="21"/>
              </w:rPr>
              <w:t>单模块</w:t>
            </w:r>
            <w:r>
              <w:rPr>
                <w:sz w:val="21"/>
              </w:rPr>
              <w:t>，设备结构简单，降低故障率。</w:t>
            </w:r>
          </w:p>
          <w:p>
            <w:pPr>
              <w:pStyle w:val="null3"/>
              <w:ind w:firstLine="630"/>
            </w:pPr>
            <w:r>
              <w:rPr>
                <w:sz w:val="21"/>
              </w:rPr>
              <w:t>7）激光波长1900-2100nm</w:t>
            </w:r>
            <w:r>
              <w:rPr>
                <w:sz w:val="21"/>
              </w:rPr>
              <w:t>。</w:t>
            </w:r>
          </w:p>
          <w:p>
            <w:pPr>
              <w:pStyle w:val="null3"/>
              <w:ind w:firstLine="630"/>
            </w:pPr>
            <w:r>
              <w:rPr>
                <w:sz w:val="21"/>
              </w:rPr>
              <w:t>8）单脉冲时间可变，可变范围：≥</w:t>
            </w:r>
            <w:r>
              <w:rPr>
                <w:sz w:val="21"/>
              </w:rPr>
              <w:t>3</w:t>
            </w:r>
            <w:r>
              <w:rPr>
                <w:sz w:val="21"/>
              </w:rPr>
              <w:t>0ms</w:t>
            </w:r>
            <w:r>
              <w:rPr>
                <w:sz w:val="21"/>
              </w:rPr>
              <w:t>。</w:t>
            </w:r>
          </w:p>
          <w:p>
            <w:pPr>
              <w:pStyle w:val="null3"/>
              <w:ind w:firstLine="630"/>
            </w:pPr>
            <w:r>
              <w:rPr>
                <w:sz w:val="21"/>
              </w:rPr>
              <w:t>9）单脉冲能量可调，最大单脉冲能量≥</w:t>
            </w:r>
            <w:r>
              <w:rPr>
                <w:sz w:val="21"/>
              </w:rPr>
              <w:t>6</w:t>
            </w:r>
            <w:r>
              <w:rPr>
                <w:sz w:val="21"/>
              </w:rPr>
              <w:t>.0J</w:t>
            </w:r>
            <w:r>
              <w:rPr>
                <w:sz w:val="21"/>
              </w:rPr>
              <w:t>。</w:t>
            </w:r>
          </w:p>
          <w:p>
            <w:pPr>
              <w:pStyle w:val="null3"/>
              <w:ind w:firstLine="630"/>
            </w:pPr>
            <w:r>
              <w:rPr>
                <w:sz w:val="21"/>
              </w:rPr>
              <w:t>10）</w:t>
            </w:r>
            <w:r>
              <w:rPr>
                <w:sz w:val="21"/>
              </w:rPr>
              <w:t>摻铥光纤激光治疗机</w:t>
            </w:r>
            <w:r>
              <w:rPr>
                <w:sz w:val="21"/>
              </w:rPr>
              <w:t>最大输出功率</w:t>
            </w:r>
            <w:r>
              <w:rPr>
                <w:sz w:val="21"/>
              </w:rPr>
              <w:t>≥100W</w:t>
            </w:r>
            <w:r>
              <w:rPr>
                <w:sz w:val="21"/>
              </w:rPr>
              <w:t>。</w:t>
            </w:r>
            <w:r>
              <w:rPr>
                <w:sz w:val="21"/>
              </w:rPr>
              <w:t>（提供第三方检测机构出具的检验报告</w:t>
            </w:r>
            <w:r>
              <w:rPr>
                <w:sz w:val="21"/>
              </w:rPr>
              <w:t>或</w:t>
            </w:r>
            <w:r>
              <w:rPr>
                <w:sz w:val="21"/>
              </w:rPr>
              <w:t>产品彩页或原厂技术白皮书证明作为佐证材料）</w:t>
            </w:r>
          </w:p>
          <w:p>
            <w:pPr>
              <w:pStyle w:val="null3"/>
              <w:ind w:firstLine="630"/>
            </w:pPr>
            <w:r>
              <w:rPr>
                <w:sz w:val="21"/>
              </w:rPr>
              <w:t>11）脉冲波最大输出功率：80W--95W</w:t>
            </w:r>
            <w:r>
              <w:rPr>
                <w:sz w:val="21"/>
              </w:rPr>
              <w:t>。</w:t>
            </w:r>
            <w:r>
              <w:rPr>
                <w:sz w:val="21"/>
              </w:rPr>
              <w:t>（提供第三方检测机构出具的检验报告</w:t>
            </w:r>
            <w:r>
              <w:rPr>
                <w:sz w:val="21"/>
              </w:rPr>
              <w:t>或</w:t>
            </w:r>
            <w:r>
              <w:rPr>
                <w:sz w:val="21"/>
              </w:rPr>
              <w:t>使用说明书作为佐证材料）</w:t>
            </w:r>
          </w:p>
          <w:p>
            <w:pPr>
              <w:pStyle w:val="null3"/>
              <w:ind w:firstLine="630"/>
            </w:pPr>
            <w:r>
              <w:rPr>
                <w:sz w:val="21"/>
              </w:rPr>
              <w:t>12）脉冲频率可调，最大脉冲频率≥1200Hz</w:t>
            </w:r>
            <w:r>
              <w:rPr>
                <w:sz w:val="21"/>
              </w:rPr>
              <w:t>。</w:t>
            </w:r>
          </w:p>
          <w:p>
            <w:pPr>
              <w:pStyle w:val="null3"/>
              <w:ind w:firstLine="630"/>
            </w:pPr>
            <w:r>
              <w:rPr>
                <w:sz w:val="21"/>
              </w:rPr>
              <w:t>13）单脉冲能量可调，最小单脉冲能量≤0.05J</w:t>
            </w:r>
            <w:r>
              <w:rPr>
                <w:sz w:val="21"/>
              </w:rPr>
              <w:t>。</w:t>
            </w:r>
          </w:p>
          <w:p>
            <w:pPr>
              <w:pStyle w:val="null3"/>
              <w:ind w:firstLine="630"/>
            </w:pPr>
            <w:r>
              <w:rPr>
                <w:sz w:val="21"/>
              </w:rPr>
              <w:t>14）组织穿透深度：0.1-0.4mm</w:t>
            </w:r>
            <w:r>
              <w:rPr>
                <w:sz w:val="21"/>
              </w:rPr>
              <w:t>。</w:t>
            </w:r>
          </w:p>
          <w:p>
            <w:pPr>
              <w:pStyle w:val="null3"/>
              <w:ind w:firstLine="630"/>
            </w:pPr>
            <w:r>
              <w:rPr>
                <w:sz w:val="21"/>
              </w:rPr>
              <w:t>15）▲</w:t>
            </w:r>
            <w:r>
              <w:rPr>
                <w:sz w:val="21"/>
              </w:rPr>
              <w:t>摻铥光纤治疗机</w:t>
            </w:r>
            <w:r>
              <w:rPr>
                <w:sz w:val="21"/>
              </w:rPr>
              <w:t>激光输出功率不稳定度：</w:t>
            </w:r>
            <w:r>
              <w:rPr>
                <w:sz w:val="21"/>
              </w:rPr>
              <w:t>≤±</w:t>
            </w:r>
            <w:r>
              <w:rPr>
                <w:sz w:val="21"/>
              </w:rPr>
              <w:t>5</w:t>
            </w:r>
            <w:r>
              <w:rPr>
                <w:sz w:val="21"/>
              </w:rPr>
              <w:t>%（提供第三方检测机构出具的检验报告</w:t>
            </w:r>
            <w:r>
              <w:rPr>
                <w:sz w:val="21"/>
              </w:rPr>
              <w:t>或</w:t>
            </w:r>
            <w:r>
              <w:rPr>
                <w:sz w:val="21"/>
              </w:rPr>
              <w:t>产品彩页或原厂技术白皮书证明作为佐证材料）</w:t>
            </w:r>
          </w:p>
          <w:p>
            <w:pPr>
              <w:pStyle w:val="null3"/>
              <w:ind w:firstLine="630"/>
            </w:pPr>
            <w:r>
              <w:rPr>
                <w:sz w:val="21"/>
              </w:rPr>
              <w:t>16）▲</w:t>
            </w:r>
            <w:r>
              <w:rPr>
                <w:sz w:val="21"/>
              </w:rPr>
              <w:t>摻铥光纤激光治疗机</w:t>
            </w:r>
            <w:r>
              <w:rPr>
                <w:sz w:val="21"/>
              </w:rPr>
              <w:t>激光输出功率复现性：</w:t>
            </w:r>
            <w:r>
              <w:rPr>
                <w:sz w:val="21"/>
              </w:rPr>
              <w:t>≤±</w:t>
            </w:r>
            <w:r>
              <w:rPr>
                <w:sz w:val="21"/>
              </w:rPr>
              <w:t>5</w:t>
            </w:r>
            <w:r>
              <w:rPr>
                <w:sz w:val="21"/>
              </w:rPr>
              <w:t>%（提供第三方检测机构出具的检验报告</w:t>
            </w:r>
            <w:r>
              <w:rPr>
                <w:sz w:val="21"/>
              </w:rPr>
              <w:t>或</w:t>
            </w:r>
            <w:r>
              <w:rPr>
                <w:sz w:val="21"/>
              </w:rPr>
              <w:t>产品彩页或原厂技术白皮书证明作为佐证材料）</w:t>
            </w:r>
          </w:p>
          <w:p>
            <w:pPr>
              <w:pStyle w:val="null3"/>
              <w:ind w:firstLine="630"/>
            </w:pPr>
            <w:r>
              <w:rPr>
                <w:sz w:val="21"/>
              </w:rPr>
              <w:t>17）激光输出接口：国际通用SMA905接口。</w:t>
            </w:r>
          </w:p>
          <w:p>
            <w:pPr>
              <w:pStyle w:val="null3"/>
              <w:ind w:firstLine="630"/>
            </w:pPr>
            <w:r>
              <w:rPr>
                <w:sz w:val="21"/>
              </w:rPr>
              <w:t>1</w:t>
            </w:r>
            <w:r>
              <w:rPr>
                <w:sz w:val="21"/>
              </w:rPr>
              <w:t>8</w:t>
            </w:r>
            <w:r>
              <w:rPr>
                <w:sz w:val="21"/>
              </w:rPr>
              <w:t>）脚踏开关：双键控制不同参数的激光输出，且具备待机</w:t>
            </w:r>
            <w:r>
              <w:rPr>
                <w:sz w:val="21"/>
              </w:rPr>
              <w:t>/准备切换键</w:t>
            </w:r>
            <w:r>
              <w:rPr>
                <w:sz w:val="21"/>
              </w:rPr>
              <w:t>。</w:t>
            </w:r>
          </w:p>
          <w:p>
            <w:pPr>
              <w:pStyle w:val="null3"/>
              <w:ind w:firstLine="630"/>
            </w:pPr>
            <w:r>
              <w:rPr>
                <w:sz w:val="21"/>
              </w:rPr>
              <w:t>19</w:t>
            </w:r>
            <w:r>
              <w:rPr>
                <w:sz w:val="21"/>
              </w:rPr>
              <w:t>）</w:t>
            </w:r>
            <w:r>
              <w:rPr>
                <w:sz w:val="21"/>
              </w:rPr>
              <w:t>摻铥光纤激光治疗机主机可适配</w:t>
            </w:r>
            <w:r>
              <w:rPr>
                <w:sz w:val="21"/>
              </w:rPr>
              <w:t>各种</w:t>
            </w:r>
            <w:r>
              <w:rPr>
                <w:sz w:val="21"/>
              </w:rPr>
              <w:t>光纤</w:t>
            </w:r>
            <w:r>
              <w:rPr>
                <w:sz w:val="21"/>
              </w:rPr>
              <w:t>，系统</w:t>
            </w:r>
            <w:r>
              <w:rPr>
                <w:sz w:val="21"/>
              </w:rPr>
              <w:t>具有</w:t>
            </w:r>
            <w:r>
              <w:rPr>
                <w:sz w:val="21"/>
              </w:rPr>
              <w:t>光纤</w:t>
            </w:r>
            <w:r>
              <w:rPr>
                <w:sz w:val="21"/>
              </w:rPr>
              <w:t>连接识别且自检正常使用</w:t>
            </w:r>
            <w:r>
              <w:rPr>
                <w:sz w:val="21"/>
              </w:rPr>
              <w:t>。</w:t>
            </w:r>
          </w:p>
          <w:p>
            <w:pPr>
              <w:pStyle w:val="null3"/>
              <w:ind w:firstLine="630"/>
            </w:pPr>
            <w:r>
              <w:rPr>
                <w:sz w:val="21"/>
              </w:rPr>
              <w:t>2</w:t>
            </w:r>
            <w:r>
              <w:rPr>
                <w:sz w:val="21"/>
              </w:rPr>
              <w:t>0</w:t>
            </w:r>
            <w:r>
              <w:rPr>
                <w:sz w:val="21"/>
              </w:rPr>
              <w:t>）激光发射功能：不同颜色的开关键可分别控制发射两组不同参数的激光</w:t>
            </w:r>
            <w:r>
              <w:rPr>
                <w:sz w:val="21"/>
              </w:rPr>
              <w:t>。</w:t>
            </w:r>
          </w:p>
          <w:p>
            <w:pPr>
              <w:pStyle w:val="null3"/>
              <w:ind w:firstLine="630"/>
            </w:pPr>
            <w:r>
              <w:rPr>
                <w:sz w:val="21"/>
              </w:rPr>
              <w:t>2</w:t>
            </w:r>
            <w:r>
              <w:rPr>
                <w:sz w:val="21"/>
              </w:rPr>
              <w:t>1</w:t>
            </w:r>
            <w:r>
              <w:rPr>
                <w:sz w:val="21"/>
              </w:rPr>
              <w:t>）激光控制功能：同屏显示和调整两组不同的脉冲能量与频率参数</w:t>
            </w:r>
            <w:r>
              <w:rPr>
                <w:sz w:val="21"/>
              </w:rPr>
              <w:t>。</w:t>
            </w:r>
          </w:p>
          <w:p>
            <w:pPr>
              <w:pStyle w:val="null3"/>
              <w:ind w:firstLine="630"/>
            </w:pPr>
            <w:r>
              <w:rPr>
                <w:sz w:val="21"/>
              </w:rPr>
              <w:t>2</w:t>
            </w:r>
            <w:r>
              <w:rPr>
                <w:sz w:val="21"/>
              </w:rPr>
              <w:t>2</w:t>
            </w:r>
            <w:r>
              <w:rPr>
                <w:sz w:val="21"/>
              </w:rPr>
              <w:t>）设备使用期限</w:t>
            </w:r>
            <w:r>
              <w:rPr>
                <w:sz w:val="21"/>
              </w:rPr>
              <w:t>≥9年。</w:t>
            </w:r>
          </w:p>
          <w:p>
            <w:pPr>
              <w:pStyle w:val="null3"/>
              <w:ind w:firstLine="630"/>
            </w:pPr>
            <w:r>
              <w:rPr>
                <w:sz w:val="21"/>
              </w:rPr>
              <w:t>2</w:t>
            </w:r>
            <w:r>
              <w:rPr>
                <w:sz w:val="21"/>
              </w:rPr>
              <w:t>3</w:t>
            </w:r>
            <w:r>
              <w:rPr>
                <w:sz w:val="21"/>
              </w:rPr>
              <w:t>）</w:t>
            </w:r>
            <w:r>
              <w:rPr>
                <w:sz w:val="21"/>
              </w:rPr>
              <w:t>HO:YAG激光治疗机</w:t>
            </w:r>
            <w:r>
              <w:rPr>
                <w:sz w:val="21"/>
              </w:rPr>
              <w:t>光纤终端最大平均输出功率：</w:t>
            </w:r>
            <w:r>
              <w:rPr>
                <w:sz w:val="21"/>
              </w:rPr>
              <w:t>≥80W。（提供第三方检测机构出具的检验报告</w:t>
            </w:r>
            <w:r>
              <w:rPr>
                <w:sz w:val="21"/>
              </w:rPr>
              <w:t>或</w:t>
            </w:r>
            <w:r>
              <w:rPr>
                <w:sz w:val="21"/>
              </w:rPr>
              <w:t>产品彩页或原厂技术白皮书证明作为佐证材料）</w:t>
            </w:r>
          </w:p>
          <w:p>
            <w:pPr>
              <w:pStyle w:val="null3"/>
              <w:ind w:firstLine="630"/>
            </w:pPr>
            <w:r>
              <w:rPr>
                <w:sz w:val="21"/>
              </w:rPr>
              <w:t>2</w:t>
            </w:r>
            <w:r>
              <w:rPr>
                <w:sz w:val="21"/>
              </w:rPr>
              <w:t>4</w:t>
            </w:r>
            <w:r>
              <w:rPr>
                <w:sz w:val="21"/>
              </w:rPr>
              <w:t>）脉宽可调，靶向碎石：宽窄脉宽间距</w:t>
            </w:r>
            <w:r>
              <w:rPr>
                <w:sz w:val="21"/>
              </w:rPr>
              <w:t>≥600μs。（提供第三方检测机构出具的检验报告</w:t>
            </w:r>
            <w:r>
              <w:rPr>
                <w:sz w:val="21"/>
              </w:rPr>
              <w:t>或</w:t>
            </w:r>
            <w:r>
              <w:rPr>
                <w:sz w:val="21"/>
              </w:rPr>
              <w:t>产品彩页或原厂技术白皮书证明作为佐证材料）</w:t>
            </w:r>
          </w:p>
          <w:p>
            <w:pPr>
              <w:pStyle w:val="null3"/>
              <w:ind w:firstLine="630"/>
            </w:pPr>
            <w:r>
              <w:rPr>
                <w:sz w:val="21"/>
              </w:rPr>
              <w:t>2</w:t>
            </w:r>
            <w:r>
              <w:rPr>
                <w:sz w:val="21"/>
              </w:rPr>
              <w:t>5</w:t>
            </w:r>
            <w:r>
              <w:rPr>
                <w:sz w:val="21"/>
              </w:rPr>
              <w:t>）窄脉宽：</w:t>
            </w:r>
            <w:r>
              <w:rPr>
                <w:sz w:val="21"/>
              </w:rPr>
              <w:t>≤200μs。（提供第三方检测机构出具的检验报告</w:t>
            </w:r>
            <w:r>
              <w:rPr>
                <w:sz w:val="21"/>
              </w:rPr>
              <w:t>或</w:t>
            </w:r>
            <w:r>
              <w:rPr>
                <w:sz w:val="21"/>
              </w:rPr>
              <w:t>产品彩页或原厂技术白皮书证明作为佐证材料）</w:t>
            </w:r>
          </w:p>
          <w:p>
            <w:pPr>
              <w:pStyle w:val="null3"/>
              <w:ind w:firstLine="630"/>
            </w:pPr>
            <w:r>
              <w:rPr>
                <w:sz w:val="21"/>
              </w:rPr>
              <w:t>2</w:t>
            </w:r>
            <w:r>
              <w:rPr>
                <w:sz w:val="21"/>
              </w:rPr>
              <w:t>6</w:t>
            </w:r>
            <w:r>
              <w:rPr>
                <w:sz w:val="21"/>
              </w:rPr>
              <w:t>）宽脉宽：</w:t>
            </w:r>
            <w:r>
              <w:rPr>
                <w:sz w:val="21"/>
              </w:rPr>
              <w:t>≥800μs，具备组织粉末化、弥散止血及同步切割止血功能。（提供第三方检测机构出具的检验报告</w:t>
            </w:r>
            <w:r>
              <w:rPr>
                <w:sz w:val="21"/>
              </w:rPr>
              <w:t>或</w:t>
            </w:r>
            <w:r>
              <w:rPr>
                <w:sz w:val="21"/>
              </w:rPr>
              <w:t>产品彩页或原厂技术白皮书证明作为佐证材料）</w:t>
            </w:r>
          </w:p>
          <w:p>
            <w:pPr>
              <w:pStyle w:val="null3"/>
              <w:ind w:firstLine="630"/>
            </w:pPr>
            <w:r>
              <w:rPr>
                <w:sz w:val="21"/>
              </w:rPr>
              <w:t>2</w:t>
            </w:r>
            <w:r>
              <w:rPr>
                <w:sz w:val="21"/>
              </w:rPr>
              <w:t>7</w:t>
            </w:r>
            <w:r>
              <w:rPr>
                <w:sz w:val="21"/>
              </w:rPr>
              <w:t>）</w:t>
            </w:r>
            <w:r>
              <w:rPr>
                <w:sz w:val="21"/>
              </w:rPr>
              <w:t>▲芯径为200μm光纤最大输出功率≥50W，最小弯曲半径：200μm光纤≤3.0cm （提供第三方检测机构出具的检验报告</w:t>
            </w:r>
            <w:r>
              <w:rPr>
                <w:sz w:val="21"/>
              </w:rPr>
              <w:t>或</w:t>
            </w:r>
            <w:r>
              <w:rPr>
                <w:sz w:val="21"/>
              </w:rPr>
              <w:t>产品彩页或原厂技术白皮书证明作为佐证材料）</w:t>
            </w:r>
          </w:p>
          <w:p>
            <w:pPr>
              <w:pStyle w:val="null3"/>
              <w:ind w:firstLine="630"/>
            </w:pPr>
            <w:r>
              <w:rPr>
                <w:sz w:val="21"/>
              </w:rPr>
              <w:t>2</w:t>
            </w:r>
            <w:r>
              <w:rPr>
                <w:sz w:val="21"/>
              </w:rPr>
              <w:t>8</w:t>
            </w:r>
            <w:r>
              <w:rPr>
                <w:sz w:val="21"/>
              </w:rPr>
              <w:t>）芯径为</w:t>
            </w:r>
            <w:r>
              <w:rPr>
                <w:sz w:val="21"/>
              </w:rPr>
              <w:t>272μm光纤末端输出功率≥69W，最小弯曲半径：272μm光纤≤4.1cm（提供第三方检测机构出具的检验报告</w:t>
            </w:r>
            <w:r>
              <w:rPr>
                <w:sz w:val="21"/>
              </w:rPr>
              <w:t>或</w:t>
            </w:r>
            <w:r>
              <w:rPr>
                <w:sz w:val="21"/>
              </w:rPr>
              <w:t>产品彩页或原厂技术白皮书证明作为佐证材料）</w:t>
            </w:r>
          </w:p>
          <w:p>
            <w:pPr>
              <w:pStyle w:val="null3"/>
              <w:ind w:firstLine="630"/>
            </w:pPr>
            <w:r>
              <w:rPr>
                <w:sz w:val="21"/>
              </w:rPr>
              <w:t>29</w:t>
            </w:r>
            <w:r>
              <w:rPr>
                <w:sz w:val="21"/>
              </w:rPr>
              <w:t>）激光治疗机可靠性高：连续工作</w:t>
            </w:r>
            <w:r>
              <w:rPr>
                <w:sz w:val="21"/>
              </w:rPr>
              <w:t>8小时，功率稳定性高无衰减（提供检验报告或其他证明材料）</w:t>
            </w:r>
          </w:p>
          <w:p>
            <w:pPr>
              <w:pStyle w:val="null3"/>
              <w:ind w:firstLine="630"/>
            </w:pPr>
            <w:r>
              <w:rPr>
                <w:sz w:val="21"/>
              </w:rPr>
              <w:t>3</w:t>
            </w:r>
            <w:r>
              <w:rPr>
                <w:sz w:val="21"/>
              </w:rPr>
              <w:t>0</w:t>
            </w:r>
            <w:r>
              <w:rPr>
                <w:sz w:val="21"/>
              </w:rPr>
              <w:t>）</w:t>
            </w:r>
            <w:r>
              <w:rPr>
                <w:sz w:val="21"/>
              </w:rPr>
              <w:t>▲指示光：波长≤520nm±20nm，功率≤5mW，＞8档可调</w:t>
            </w:r>
            <w:r>
              <w:rPr>
                <w:sz w:val="21"/>
              </w:rPr>
              <w:t>。</w:t>
            </w:r>
          </w:p>
          <w:p>
            <w:pPr>
              <w:pStyle w:val="null3"/>
              <w:ind w:firstLine="630"/>
            </w:pPr>
            <w:r>
              <w:rPr>
                <w:sz w:val="21"/>
              </w:rPr>
              <w:t>3</w:t>
            </w:r>
            <w:r>
              <w:rPr>
                <w:sz w:val="21"/>
              </w:rPr>
              <w:t>1</w:t>
            </w:r>
            <w:r>
              <w:rPr>
                <w:sz w:val="21"/>
              </w:rPr>
              <w:t>）设备配套的传输光纤应支持可重复使用和一次性使用两种类型</w:t>
            </w:r>
            <w:r>
              <w:rPr>
                <w:sz w:val="21"/>
              </w:rPr>
              <w:t>。</w:t>
            </w:r>
          </w:p>
          <w:p>
            <w:pPr>
              <w:pStyle w:val="null3"/>
              <w:ind w:firstLine="422"/>
            </w:pPr>
            <w:r>
              <w:rPr>
                <w:sz w:val="21"/>
                <w:b/>
              </w:rPr>
              <w:t>二、</w:t>
            </w:r>
            <w:r>
              <w:rPr>
                <w:sz w:val="21"/>
                <w:b/>
              </w:rPr>
              <w:t>掺铥光纤激光治疗系统</w:t>
            </w:r>
            <w:r>
              <w:rPr>
                <w:sz w:val="21"/>
                <w:b/>
              </w:rPr>
              <w:t>配置要求</w:t>
            </w:r>
            <w:r>
              <w:rPr>
                <w:sz w:val="21"/>
                <w:b/>
              </w:rPr>
              <w:t>：</w:t>
            </w:r>
          </w:p>
          <w:tbl>
            <w:tblPr>
              <w:tblBorders>
                <w:top w:val="none" w:color="000000" w:sz="4"/>
                <w:left w:val="none" w:color="000000" w:sz="4"/>
                <w:bottom w:val="none" w:color="000000" w:sz="4"/>
                <w:right w:val="none" w:color="000000" w:sz="4"/>
                <w:insideH w:val="none"/>
                <w:insideV w:val="none"/>
              </w:tblBorders>
            </w:tblPr>
            <w:tblGrid>
              <w:gridCol w:w="556"/>
              <w:gridCol w:w="2025"/>
              <w:gridCol w:w="1012"/>
              <w:gridCol w:w="734"/>
              <w:gridCol w:w="1270"/>
            </w:tblGrid>
            <w:tr>
              <w:tc>
                <w:tcPr>
                  <w:tcW w:type="dxa" w:w="5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0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品名</w:t>
                  </w:r>
                </w:p>
              </w:tc>
              <w:tc>
                <w:tcPr>
                  <w:tcW w:type="dxa" w:w="10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规格型号</w:t>
                  </w:r>
                </w:p>
              </w:tc>
              <w:tc>
                <w:tcPr>
                  <w:tcW w:type="dxa" w:w="7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12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掺铥光纤激光治疗</w:t>
                  </w:r>
                  <w:r>
                    <w:rPr>
                      <w:sz w:val="21"/>
                    </w:rPr>
                    <w:t>机</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HO:YAG</w:t>
                  </w:r>
                  <w:r>
                    <w:rPr>
                      <w:sz w:val="21"/>
                    </w:rPr>
                    <w:t>激光治疗机</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脚踏开关</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sz w:val="21"/>
                    </w:rPr>
                    <w:t>附件光纤</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ind w:firstLine="210"/>
                    <w:jc w:val="both"/>
                  </w:pPr>
                  <w:r>
                    <w:rPr>
                      <w:sz w:val="21"/>
                    </w:rPr>
                    <w:t>272μm</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sz w:val="21"/>
                    </w:rPr>
                    <w:t>1</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sz w:val="21"/>
                    </w:rPr>
                    <w:t>根</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sz w:val="21"/>
                    </w:rPr>
                    <w:t>附件光纤</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left"/>
                  </w:pPr>
                  <w:r>
                    <w:rPr>
                      <w:sz w:val="21"/>
                    </w:rPr>
                    <w:t xml:space="preserve">  </w:t>
                  </w:r>
                  <w:r>
                    <w:rPr>
                      <w:sz w:val="21"/>
                    </w:rPr>
                    <w:t>550μm</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sz w:val="21"/>
                    </w:rPr>
                    <w:t>3</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sz w:val="21"/>
                    </w:rPr>
                    <w:t>根</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光纤剥离器</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光纤切割器</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手持光纤端面检测仪</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激光防护镜</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内窥镜手术刨削器</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使用说明书（电子版）</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电源线</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保修卡</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合格证</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阳春市人民医院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采购机构代理服务收费标准：参照国家计委[计价格[2002]1980号]文及国家发改委[2011]534号文货物类招标代理服务收费标准差额定率累进法计算收取。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文件纸质资料要求，投标人在确定为中标（成交）供应商后，应打印纸质响应文件1正2副（内容同电子投标文件一致，不一致的以电子标书为准），并加盖中标（成交）供应商公章，在领取《中标（成交）通知书》前提交至招标代理处。 2.对于《阳江市政府采购供应商资格信用承诺函》承诺内容，采购人有权在发放《中标（成交）通知书》前要求中标（成交）供应商提供证明材料，以备核实供应商承诺事项的真实性。</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郭小姐、李小姐</w:t>
      </w:r>
    </w:p>
    <w:p>
      <w:pPr>
        <w:pStyle w:val="null3"/>
        <w:ind w:firstLine="480"/>
      </w:pPr>
      <w:r>
        <w:rPr/>
        <w:t>电话：</w:t>
      </w:r>
      <w:r>
        <w:rPr/>
        <w:t>020-37860713/715（工作时间：8：30-17：00）</w:t>
      </w:r>
    </w:p>
    <w:p>
      <w:pPr>
        <w:pStyle w:val="null3"/>
        <w:ind w:firstLine="480"/>
      </w:pPr>
      <w:r>
        <w:rPr/>
        <w:t>传真：</w:t>
      </w:r>
      <w:r>
        <w:rPr/>
        <w:t>37860699</w:t>
      </w:r>
    </w:p>
    <w:p>
      <w:pPr>
        <w:pStyle w:val="null3"/>
        <w:ind w:firstLine="480"/>
      </w:pPr>
      <w:r>
        <w:rPr/>
        <w:t>邮箱：</w:t>
      </w:r>
      <w:r>
        <w:rPr/>
        <w:t>guochunxi@ebidding.com</w:t>
      </w:r>
    </w:p>
    <w:p>
      <w:pPr>
        <w:pStyle w:val="null3"/>
        <w:ind w:firstLine="480"/>
      </w:pPr>
      <w:r>
        <w:rPr/>
        <w:t>地址：</w:t>
      </w:r>
      <w:r>
        <w:rPr/>
        <w:t>广州市越秀区东风东路726号9楼纪检审计部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政府采购监督管理机构名称：阳春市政府采购事务中心</w:t>
      </w:r>
    </w:p>
    <w:p>
      <w:pPr>
        <w:pStyle w:val="null3"/>
      </w:pPr>
      <w:r>
        <w:rPr/>
        <w:t>地 址：阳春市春城朝南路73号</w:t>
      </w:r>
    </w:p>
    <w:p>
      <w:pPr>
        <w:pStyle w:val="null3"/>
      </w:pPr>
      <w:r>
        <w:rPr/>
        <w:t>电 话：0662－7745980</w:t>
      </w:r>
    </w:p>
    <w:p>
      <w:pPr>
        <w:pStyle w:val="null3"/>
      </w:pPr>
      <w:r>
        <w:rPr/>
        <w:t>邮 编：529600</w:t>
      </w:r>
    </w:p>
    <w:p>
      <w:pPr>
        <w:pStyle w:val="null3"/>
      </w:pPr>
      <w:r>
        <w:rPr/>
        <w:t>传 真：0662－7745980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采购包1(掺铥光纤激光治疗系统)：综合评分法,是指投标文件满足招标文件全部实质性要求，且按照评审因素的量化指标评审得分最高的投标人为中标候选人的评标方法。（最低报价不是中标的唯一依据。）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采购包1（掺铥光纤激光治疗系统）：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采购包1（掺铥光纤激光治疗系统）：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提供《阳江市政府采购供应商资格信用承诺函》（详见采购公告附件）。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提供《阳江市政府采购供应商资格信用承诺函》（详见采购公告附件）。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提供《阳江市政府采购供应商资格信用承诺函》（详见采购公告附件）。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提供《阳江市政府采购供应商资格信用承诺函》（详见采购公告附件）。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供应商资质</w:t>
            </w:r>
          </w:p>
        </w:tc>
        <w:tc>
          <w:tcPr>
            <w:tcW w:type="dxa" w:w="4238"/>
          </w:tcPr>
          <w:p>
            <w:pPr>
              <w:pStyle w:val="null3"/>
            </w:pPr>
            <w:r>
              <w:rPr/>
              <w:t>投标人应具有有效的且与所投项目相适应的医疗器械生产许可或经营许可（如国家另有规定，则适用其规定，按要求提供证明文件）：①如投标人为所投产品的生产企业：所投产品为第二、三类医疗器械，提供监督管理部门签发的有效的《医疗器械生产许可证》扫描件；②如投标人为经营企业：所投产品为第三类医疗器械，提供监督管理部门签发的有效的《医疗器械经营许可证》扫描件；所投产品为第二类医疗器械，提供有效的《第二类医疗器械经营备案凭证》扫描件或承诺中标后办理医疗器械经营备案凭证的承诺函。</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本项目属于专门面向中小微企业采购的项目。制造商须符合本项目采购标的对应行业（工业）政策划分标准的中小微企业。监狱企业、残疾人福利单位视同小型、微型企业。 注：中小微企业以制造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采购包1（掺铥光纤激光治疗系统）：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法定代表人证明书及授权委 托书</w:t>
            </w:r>
          </w:p>
        </w:tc>
        <w:tc>
          <w:tcPr>
            <w:tcW w:type="dxa" w:w="4238"/>
          </w:tcPr>
          <w:p>
            <w:pPr>
              <w:pStyle w:val="null3"/>
            </w:pPr>
            <w:r>
              <w:rPr/>
              <w:t>按对应格式文件签署、盖章及附身份证扫描件。</w:t>
            </w:r>
          </w:p>
        </w:tc>
      </w:tr>
      <w:tr>
        <w:tc>
          <w:tcPr>
            <w:tcW w:type="dxa" w:w="890"/>
          </w:tcPr>
          <w:p>
            <w:pPr>
              <w:pStyle w:val="null3"/>
            </w:pPr>
            <w:r>
              <w:rPr/>
              <w:t>4</w:t>
            </w:r>
          </w:p>
        </w:tc>
        <w:tc>
          <w:tcPr>
            <w:tcW w:type="dxa" w:w="3178"/>
          </w:tcPr>
          <w:p>
            <w:pPr>
              <w:pStyle w:val="null3"/>
            </w:pPr>
            <w:r>
              <w:rPr/>
              <w:t>须满足★号条款</w:t>
            </w:r>
          </w:p>
        </w:tc>
        <w:tc>
          <w:tcPr>
            <w:tcW w:type="dxa" w:w="4238"/>
          </w:tcPr>
          <w:p>
            <w:pPr>
              <w:pStyle w:val="null3"/>
            </w:pPr>
            <w:r>
              <w:rPr/>
              <w:t>投标文件对招标文件的实质性技术与商务的（即标注★号条款）条款不产生偏离（招标文件中技术参数、功能或其他内容优于招标要求部分不视作偏离）</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6</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7</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8</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9</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采购包1(掺铥光纤激光治疗系统):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商务部分6.0分</w:t>
            </w:r>
          </w:p>
          <w:p>
            <w:pPr>
              <w:pStyle w:val="null3"/>
            </w:pPr>
            <w:r>
              <w:rPr/>
              <w:t>技术部分64.0分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采购需求附表一中带“▲”号的重要条款响应情况 (25.0分)</w:t>
            </w:r>
          </w:p>
        </w:tc>
        <w:tc>
          <w:tcPr>
            <w:tcW w:type="dxa" w:w="5076"/>
          </w:tcPr>
          <w:p>
            <w:pPr>
              <w:pStyle w:val="null3"/>
              <w:jc w:val="left"/>
            </w:pPr>
            <w:r>
              <w:rPr/>
              <w:t>根据投标人对采购文件《第二章采购需求》“2.技术标准与要求”中的具体技术（参数）要求标注“▲”号条款，共5项）的响应情况进行评审，全部满足最高得分25分，每偏离1项“▲”条款扣5分，最低得0分。 注： 如《第二章采购需求》“2.技术标准与要求”中有明确要求提供证明资料的，以用户需求书中的要求为准；如用户需求书中未明确证明材料的，以投标人在《技术和服务要求响应表》中的响应情况填写内容为准，未填写的或不按要求提供的或参数不满足的都视为负偏离。</w:t>
            </w:r>
          </w:p>
        </w:tc>
      </w:tr>
      <w:tr>
        <w:tc>
          <w:tcPr>
            <w:tcW w:type="dxa" w:w="922"/>
            <w:gridSpan w:val="2"/>
            <w:vMerge/>
          </w:tcPr>
          <w:p/>
        </w:tc>
        <w:tc>
          <w:tcPr>
            <w:tcW w:type="dxa" w:w="2307"/>
          </w:tcPr>
          <w:p>
            <w:pPr>
              <w:pStyle w:val="null3"/>
              <w:jc w:val="left"/>
            </w:pPr>
            <w:r>
              <w:rPr/>
              <w:t>采购需求附表一中非“▲”号的条款响应情况 (13.0分)</w:t>
            </w:r>
          </w:p>
        </w:tc>
        <w:tc>
          <w:tcPr>
            <w:tcW w:type="dxa" w:w="5076"/>
          </w:tcPr>
          <w:p>
            <w:pPr>
              <w:pStyle w:val="null3"/>
              <w:jc w:val="left"/>
            </w:pPr>
            <w:r>
              <w:rPr/>
              <w:t>根据投标人对采购文件《第二章采购需求》“2.技术标准与要求”中的具体技术（参数）要求中非“▲”号条款，共26项）的响应情况进行评审，全部满足最高得分13分，每偏离1项非“▲”条款扣0.5分，最低得0分。 注：如《第二章采购需求》“2.技术标准与要求”中有明确要求提供证明资料的，以用户需求书中的要求为准；如用户需求书中未明确证明材料的，以投标人在《技术和服务要求响应表》中的响应情况填写内容为准，未填写的或不按要求提供的或参数不满足的都视为负偏离。</w:t>
            </w:r>
          </w:p>
        </w:tc>
      </w:tr>
      <w:tr>
        <w:tc>
          <w:tcPr>
            <w:tcW w:type="dxa" w:w="922"/>
            <w:gridSpan w:val="2"/>
            <w:vMerge/>
          </w:tcPr>
          <w:p/>
        </w:tc>
        <w:tc>
          <w:tcPr>
            <w:tcW w:type="dxa" w:w="2307"/>
          </w:tcPr>
          <w:p>
            <w:pPr>
              <w:pStyle w:val="null3"/>
              <w:jc w:val="left"/>
            </w:pPr>
            <w:r>
              <w:rPr/>
              <w:t>项目实施方案 (9.0分)</w:t>
            </w:r>
          </w:p>
        </w:tc>
        <w:tc>
          <w:tcPr>
            <w:tcW w:type="dxa" w:w="5076"/>
          </w:tcPr>
          <w:p>
            <w:pPr>
              <w:pStyle w:val="null3"/>
              <w:jc w:val="left"/>
            </w:pPr>
            <w:r>
              <w:rPr/>
              <w:t>投标人根据采购需求中"供货及安装要求"提供的项目实施方案（内容包括但不限于：运输保障、到货流程、安装验证、风险预案）进行评审： 1）投标人提供的项目实施方案完整，包含以上全部内容，方案整体内容优于项目需求，得9分； 2）投标人提供的项目实施方案完整，包含以上全部内容，方案整体内容满足项目需求，得5分； 3）投标人提供的项目实施方案有缺漏，没有完全包含以上全部内容，方案整体内容部分满足项目采购需求，得2分； 4）投标人提供的项目实施方案有缺漏，没有完全包含以上全部内容，方案整体内容不满足项目采购需求，得1分； 5）其他情况或不响应，得0分。</w:t>
            </w:r>
          </w:p>
        </w:tc>
      </w:tr>
      <w:tr>
        <w:tc>
          <w:tcPr>
            <w:tcW w:type="dxa" w:w="922"/>
            <w:gridSpan w:val="2"/>
            <w:vMerge/>
          </w:tcPr>
          <w:p/>
        </w:tc>
        <w:tc>
          <w:tcPr>
            <w:tcW w:type="dxa" w:w="2307"/>
          </w:tcPr>
          <w:p>
            <w:pPr>
              <w:pStyle w:val="null3"/>
              <w:jc w:val="left"/>
            </w:pPr>
            <w:r>
              <w:rPr/>
              <w:t>培训方案 (8.0分)</w:t>
            </w:r>
          </w:p>
        </w:tc>
        <w:tc>
          <w:tcPr>
            <w:tcW w:type="dxa" w:w="5076"/>
          </w:tcPr>
          <w:p>
            <w:pPr>
              <w:pStyle w:val="null3"/>
              <w:jc w:val="left"/>
            </w:pPr>
            <w:r>
              <w:rPr/>
              <w:t>投标人根据采购需求中“临床培训服务”提供的培训方案（内容包括但不限于：课程体系、师资证明、教材规范、考核机制）进行评审： 1）投标人提供的培训方案完整，包含以上全部内容，方案整体内容优于项目需求，得 8分； 2）投标人提供的培训方案基本完整，包含主要内容，方案整体内容基本满足项目需求，得4分； 3）投标人提供的培训方案存在缺漏（缺少1项内容），方案整体内容部分满足需求，得2分； 4）投标人提供的培训方案存在重大缺漏（缺少≥2项内容），方案整体内容不满足基本需求，得1分； 5）其他情况或未提供方案，得0分。</w:t>
            </w:r>
          </w:p>
        </w:tc>
      </w:tr>
      <w:tr>
        <w:tc>
          <w:tcPr>
            <w:tcW w:type="dxa" w:w="922"/>
            <w:gridSpan w:val="2"/>
            <w:vMerge/>
          </w:tcPr>
          <w:p/>
        </w:tc>
        <w:tc>
          <w:tcPr>
            <w:tcW w:type="dxa" w:w="2307"/>
          </w:tcPr>
          <w:p>
            <w:pPr>
              <w:pStyle w:val="null3"/>
              <w:jc w:val="left"/>
            </w:pPr>
            <w:r>
              <w:rPr/>
              <w:t>售后服务承诺响应情况 (9.0分)</w:t>
            </w:r>
          </w:p>
        </w:tc>
        <w:tc>
          <w:tcPr>
            <w:tcW w:type="dxa" w:w="5076"/>
          </w:tcPr>
          <w:p>
            <w:pPr>
              <w:pStyle w:val="null3"/>
              <w:jc w:val="left"/>
            </w:pPr>
            <w:r>
              <w:rPr/>
              <w:t>投标人根据采购需求中“售后服务”要求提供的售后服务承诺方案（包括但不限于：响应时效、人员资质、备件保障、服务流程、质量保证措施、增值服务等）进行评审： 1）投标人提供的售后服务承诺方案完整，包含以上全部内容，方案整体内容优于项目需求，得9分； 2）投标人提供的售后服务承诺方案完整，包含以上全部内容，方案整体内容满足项目需求，得5分； 3）投标人提供的售后服务承诺方案有缺漏（缺少1项内容），方案整体内容部分满足需求，得2分； 4）投标人提供的售后服务承诺方案有缺漏（缺少≥2项内容），方案整体内容不满足基本需求，得1分； 5）其他情况或未提供方案，得0分。</w:t>
            </w:r>
          </w:p>
        </w:tc>
      </w:tr>
      <w:tr>
        <w:tc>
          <w:tcPr>
            <w:tcW w:type="dxa" w:w="922"/>
            <w:gridSpan w:val="2"/>
          </w:tcPr>
          <w:p>
            <w:pPr>
              <w:pStyle w:val="null3"/>
              <w:jc w:val="center"/>
            </w:pPr>
            <w:r>
              <w:rPr/>
              <w:t>商务部分</w:t>
            </w:r>
          </w:p>
        </w:tc>
        <w:tc>
          <w:tcPr>
            <w:tcW w:type="dxa" w:w="2307"/>
          </w:tcPr>
          <w:p>
            <w:pPr>
              <w:pStyle w:val="null3"/>
              <w:jc w:val="left"/>
            </w:pPr>
            <w:r>
              <w:rPr/>
              <w:t>同类业绩 (6.0分)</w:t>
            </w:r>
          </w:p>
        </w:tc>
        <w:tc>
          <w:tcPr>
            <w:tcW w:type="dxa" w:w="5076"/>
          </w:tcPr>
          <w:p>
            <w:pPr>
              <w:pStyle w:val="null3"/>
              <w:jc w:val="left"/>
            </w:pPr>
            <w:r>
              <w:rPr/>
              <w:t>提供所投产品相同品牌的同类产品业绩(仅针对产品的业绩，不限制供应商)自2022年1月1日至今成交的业绩：每具备一项同类项目业绩（同类业绩是指：含有本次采购内容的同类产品）得1分，以此类推，最高得6。 注：需提供合同关键页（合同关键页必须有用户单位名称、合同项目名称、合同标的主要采购内容、签订合同双方的落款盖章、合同签订日期）扫描件，以合同的签订日期为准，不提供或专家无法认定的不得分。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rPr>
        <w:t xml:space="preserve"> </w:t>
      </w:r>
    </w:p>
    <w:p>
      <w:pPr>
        <w:pStyle w:val="null3"/>
        <w:jc w:val="center"/>
      </w:pPr>
      <w:r>
        <w:rPr>
          <w:sz w:val="24"/>
          <w:b/>
        </w:rPr>
        <w:t xml:space="preserve"> </w:t>
      </w:r>
    </w:p>
    <w:p>
      <w:pPr>
        <w:pStyle w:val="null3"/>
        <w:jc w:val="center"/>
      </w:pPr>
      <w:r>
        <w:rPr>
          <w:sz w:val="48"/>
          <w:b/>
        </w:rPr>
        <w:t>广东省政府采购</w:t>
      </w:r>
    </w:p>
    <w:p>
      <w:pPr>
        <w:pStyle w:val="null3"/>
        <w:jc w:val="both"/>
      </w:pPr>
      <w:r>
        <w:rPr>
          <w:sz w:val="24"/>
          <w:b/>
        </w:rPr>
        <w:t xml:space="preserve"> </w:t>
      </w:r>
    </w:p>
    <w:p>
      <w:pPr>
        <w:pStyle w:val="null3"/>
        <w:jc w:val="center"/>
      </w:pPr>
      <w:r>
        <w:rPr>
          <w:sz w:val="48"/>
          <w:b/>
        </w:rPr>
        <w:t>合　同　书</w:t>
      </w:r>
    </w:p>
    <w:p>
      <w:pPr>
        <w:pStyle w:val="null3"/>
        <w:jc w:val="center"/>
      </w:pPr>
      <w:r>
        <w:br/>
      </w:r>
      <w:r>
        <w:br/>
      </w:r>
      <w:r>
        <w:br/>
      </w:r>
      <w:r>
        <w:br/>
      </w:r>
      <w:r>
        <w:br/>
      </w:r>
      <w:r>
        <w:rPr>
          <w:sz w:val="24"/>
        </w:rPr>
        <w:t xml:space="preserve">  </w:t>
      </w:r>
    </w:p>
    <w:p>
      <w:pPr>
        <w:pStyle w:val="null3"/>
        <w:jc w:val="center"/>
      </w:pPr>
      <w:r>
        <w:rPr>
          <w:sz w:val="28"/>
          <w:color w:val="222222"/>
        </w:rPr>
        <w:t>采购计划编号：</w:t>
      </w:r>
      <w:r>
        <w:rPr>
          <w:sz w:val="24"/>
          <w:u w:val="single"/>
        </w:rPr>
        <w:t xml:space="preserve">                               </w:t>
      </w:r>
    </w:p>
    <w:p>
      <w:pPr>
        <w:pStyle w:val="null3"/>
        <w:spacing w:before="150" w:after="150"/>
        <w:jc w:val="both"/>
      </w:pPr>
      <w:r>
        <w:rPr>
          <w:sz w:val="24"/>
        </w:rPr>
        <w:t xml:space="preserve"> </w:t>
      </w:r>
    </w:p>
    <w:p>
      <w:pPr>
        <w:pStyle w:val="null3"/>
        <w:jc w:val="center"/>
      </w:pPr>
      <w:r>
        <w:rPr>
          <w:sz w:val="28"/>
          <w:color w:val="222222"/>
        </w:rPr>
        <w:t>项目编号：</w:t>
      </w:r>
      <w:r>
        <w:rPr>
          <w:sz w:val="24"/>
          <w:u w:val="single"/>
        </w:rPr>
        <w:t xml:space="preserve">                               </w:t>
      </w:r>
      <w:r>
        <w:rPr>
          <w:sz w:val="24"/>
          <w:u w:val="single"/>
        </w:rPr>
        <w:t xml:space="preserve"> </w:t>
      </w:r>
      <w:r>
        <w:rPr>
          <w:sz w:val="24"/>
          <w:u w:val="single"/>
        </w:rPr>
        <w:t xml:space="preserve">     </w:t>
      </w:r>
    </w:p>
    <w:p>
      <w:pPr>
        <w:pStyle w:val="null3"/>
        <w:spacing w:before="150" w:after="150"/>
        <w:jc w:val="both"/>
      </w:pPr>
      <w:r>
        <w:rPr>
          <w:sz w:val="24"/>
        </w:rPr>
        <w:t xml:space="preserve"> </w:t>
      </w:r>
    </w:p>
    <w:p>
      <w:pPr>
        <w:pStyle w:val="null3"/>
        <w:jc w:val="center"/>
      </w:pPr>
      <w:r>
        <w:rPr>
          <w:sz w:val="28"/>
          <w:color w:val="222222"/>
        </w:rPr>
        <w:t>项目名称：</w:t>
      </w:r>
      <w:r>
        <w:rPr>
          <w:sz w:val="24"/>
          <w:u w:val="single"/>
        </w:rPr>
        <w:t xml:space="preserve">                                     </w:t>
      </w:r>
    </w:p>
    <w:p>
      <w:pPr>
        <w:pStyle w:val="null3"/>
        <w:jc w:val="center"/>
      </w:pPr>
      <w:r>
        <w:rPr>
          <w:sz w:val="21"/>
          <w:b/>
        </w:rPr>
        <w:t>甲　　方：</w:t>
      </w:r>
    </w:p>
    <w:p>
      <w:pPr>
        <w:pStyle w:val="null3"/>
        <w:jc w:val="left"/>
      </w:pPr>
      <w:r>
        <w:rPr>
          <w:sz w:val="21"/>
        </w:rPr>
        <w:t>电　　话：</w:t>
      </w:r>
      <w:r>
        <w:rPr>
          <w:sz w:val="21"/>
        </w:rPr>
        <w:t>　　传　　真：</w:t>
      </w:r>
      <w:r>
        <w:rPr>
          <w:sz w:val="21"/>
        </w:rPr>
        <w:t>　　地　　址：</w:t>
      </w:r>
    </w:p>
    <w:p>
      <w:pPr>
        <w:pStyle w:val="null3"/>
        <w:jc w:val="left"/>
      </w:pPr>
      <w:r>
        <w:rPr>
          <w:sz w:val="21"/>
          <w:b/>
        </w:rPr>
        <w:t>乙　　方：</w:t>
      </w:r>
    </w:p>
    <w:p>
      <w:pPr>
        <w:pStyle w:val="null3"/>
        <w:jc w:val="left"/>
      </w:pPr>
      <w:r>
        <w:rPr>
          <w:sz w:val="21"/>
        </w:rPr>
        <w:t>电　　话：</w:t>
      </w:r>
      <w:r>
        <w:rPr>
          <w:sz w:val="21"/>
        </w:rPr>
        <w:t>　　传　　真：</w:t>
      </w:r>
      <w:r>
        <w:rPr>
          <w:sz w:val="21"/>
        </w:rPr>
        <w:t>　　地　　址：</w:t>
      </w:r>
    </w:p>
    <w:p>
      <w:pPr>
        <w:pStyle w:val="null3"/>
        <w:jc w:val="left"/>
      </w:pPr>
      <w:r>
        <w:rPr>
          <w:sz w:val="24"/>
        </w:rPr>
        <w:t xml:space="preserve"> </w:t>
      </w:r>
    </w:p>
    <w:p>
      <w:pPr>
        <w:pStyle w:val="null3"/>
        <w:ind w:firstLine="404"/>
        <w:jc w:val="left"/>
      </w:pPr>
      <w:r>
        <w:rPr>
          <w:sz w:val="21"/>
        </w:rPr>
        <w:t>根据</w:t>
      </w:r>
      <w:r>
        <w:rPr>
          <w:sz w:val="21"/>
          <w:u w:val="single"/>
        </w:rPr>
        <w:t xml:space="preserve">              </w:t>
      </w:r>
      <w:r>
        <w:rPr>
          <w:sz w:val="21"/>
          <w:u w:val="single"/>
        </w:rPr>
        <w:t>项目</w:t>
      </w:r>
      <w:r>
        <w:rPr>
          <w:sz w:val="21"/>
        </w:rPr>
        <w:t>的采购结果，按照《中华人民共和国政府采购法》、《中华人民共和国民法典</w:t>
      </w:r>
      <w:r>
        <w:rPr>
          <w:sz w:val="21"/>
        </w:rPr>
        <w:t>(</w:t>
      </w:r>
      <w:r>
        <w:rPr>
          <w:sz w:val="21"/>
        </w:rPr>
        <w:t>合同编</w:t>
      </w:r>
      <w:r>
        <w:rPr>
          <w:sz w:val="21"/>
        </w:rPr>
        <w:t>)</w:t>
      </w:r>
      <w:r>
        <w:rPr>
          <w:sz w:val="21"/>
        </w:rPr>
        <w:t>》的规定，经双方协商，本着平等互利和诚实信用的原则，一致同意签订本合同如下。</w:t>
      </w:r>
    </w:p>
    <w:p>
      <w:pPr>
        <w:pStyle w:val="null3"/>
        <w:ind w:left="1095"/>
        <w:jc w:val="left"/>
      </w:pPr>
      <w:r>
        <w:rPr>
          <w:sz w:val="21"/>
          <w:b/>
        </w:rPr>
        <w:t>一、</w:t>
      </w:r>
      <w:r>
        <w:rPr>
          <w:sz w:val="24"/>
        </w:rPr>
        <w:t xml:space="preserve"> </w:t>
      </w:r>
      <w:r>
        <w:rPr>
          <w:sz w:val="21"/>
          <w:b/>
        </w:rPr>
        <w:t>货物内容</w:t>
      </w:r>
    </w:p>
    <w:tbl>
      <w:tblPr>
        <w:tblW w:w="0" w:type="auto"/>
        <w:tblBorders>
          <w:top w:val="none" w:color="000000" w:sz="4"/>
          <w:left w:val="none" w:color="000000" w:sz="4"/>
          <w:bottom w:val="none" w:color="000000" w:sz="4"/>
          <w:right w:val="none" w:color="000000" w:sz="4"/>
          <w:insideH w:val="none"/>
          <w:insideV w:val="none"/>
        </w:tblBorders>
      </w:tblPr>
      <w:tblGrid>
        <w:gridCol w:w="690"/>
        <w:gridCol w:w="3513"/>
        <w:gridCol w:w="690"/>
        <w:gridCol w:w="470"/>
        <w:gridCol w:w="470"/>
        <w:gridCol w:w="705"/>
        <w:gridCol w:w="705"/>
      </w:tblGrid>
      <w:tr>
        <w:tc>
          <w:tcPr>
            <w:tcW w:type="dxa" w:w="690"/>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left"/>
            </w:pPr>
            <w:r>
              <w:rPr>
                <w:sz w:val="21"/>
              </w:rPr>
              <w:t>名称</w:t>
            </w:r>
          </w:p>
        </w:tc>
        <w:tc>
          <w:tcPr>
            <w:tcW w:type="dxa" w:w="3513"/>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left"/>
            </w:pPr>
            <w:r>
              <w:rPr>
                <w:sz w:val="21"/>
              </w:rPr>
              <w:t>品牌、规格、标准</w:t>
            </w:r>
            <w:r>
              <w:rPr>
                <w:sz w:val="21"/>
              </w:rPr>
              <w:t>/</w:t>
            </w:r>
            <w:r>
              <w:rPr>
                <w:sz w:val="21"/>
              </w:rPr>
              <w:t>主要服务内容</w:t>
            </w:r>
            <w:r>
              <w:rPr>
                <w:sz w:val="21"/>
              </w:rPr>
              <w:t xml:space="preserve"> </w:t>
            </w:r>
          </w:p>
        </w:tc>
        <w:tc>
          <w:tcPr>
            <w:tcW w:type="dxa" w:w="690"/>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left"/>
            </w:pPr>
            <w:r>
              <w:rPr>
                <w:sz w:val="21"/>
              </w:rPr>
              <w:t>产地</w:t>
            </w:r>
          </w:p>
        </w:tc>
        <w:tc>
          <w:tcPr>
            <w:tcW w:type="dxa" w:w="470"/>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spacing w:before="150" w:after="150"/>
              <w:jc w:val="left"/>
            </w:pPr>
            <w:r>
              <w:rPr>
                <w:sz w:val="21"/>
              </w:rPr>
              <w:t>数量</w:t>
            </w:r>
          </w:p>
        </w:tc>
        <w:tc>
          <w:tcPr>
            <w:tcW w:type="dxa" w:w="470"/>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left"/>
            </w:pPr>
            <w:r>
              <w:rPr>
                <w:sz w:val="21"/>
              </w:rPr>
              <w:t>单位</w:t>
            </w:r>
          </w:p>
        </w:tc>
        <w:tc>
          <w:tcPr>
            <w:tcW w:type="dxa" w:w="705"/>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left"/>
            </w:pPr>
            <w:r>
              <w:rPr>
                <w:sz w:val="21"/>
              </w:rPr>
              <w:t>单价</w:t>
            </w:r>
          </w:p>
          <w:p>
            <w:pPr>
              <w:pStyle w:val="null3"/>
              <w:jc w:val="left"/>
            </w:pPr>
            <w:r>
              <w:rPr>
                <w:sz w:val="21"/>
              </w:rPr>
              <w:t>（元）</w:t>
            </w:r>
          </w:p>
        </w:tc>
        <w:tc>
          <w:tcPr>
            <w:tcW w:type="dxa" w:w="705"/>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left"/>
            </w:pPr>
            <w:r>
              <w:rPr>
                <w:sz w:val="21"/>
              </w:rPr>
              <w:t>金额</w:t>
            </w:r>
          </w:p>
          <w:p>
            <w:pPr>
              <w:pStyle w:val="null3"/>
              <w:jc w:val="left"/>
            </w:pPr>
            <w:r>
              <w:rPr>
                <w:sz w:val="21"/>
              </w:rPr>
              <w:t>（元）</w:t>
            </w:r>
          </w:p>
        </w:tc>
      </w:tr>
      <w:tr>
        <w:tc>
          <w:tcPr>
            <w:tcW w:type="dxa" w:w="69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1"/>
              </w:rPr>
              <w:t xml:space="preserve"> **</w:t>
            </w:r>
          </w:p>
        </w:tc>
        <w:tc>
          <w:tcPr>
            <w:tcW w:type="dxa" w:w="3513"/>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1"/>
              </w:rPr>
              <w:t xml:space="preserve">** </w:t>
            </w:r>
          </w:p>
        </w:tc>
        <w:tc>
          <w:tcPr>
            <w:tcW w:type="dxa" w:w="690"/>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1"/>
              </w:rPr>
              <w:t xml:space="preserve">** </w:t>
            </w:r>
          </w:p>
        </w:tc>
        <w:tc>
          <w:tcPr>
            <w:tcW w:type="dxa" w:w="470"/>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1"/>
              </w:rPr>
              <w:t xml:space="preserve">** </w:t>
            </w:r>
          </w:p>
        </w:tc>
        <w:tc>
          <w:tcPr>
            <w:tcW w:type="dxa" w:w="470"/>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1"/>
              </w:rPr>
              <w:t xml:space="preserve">** </w:t>
            </w:r>
          </w:p>
        </w:tc>
        <w:tc>
          <w:tcPr>
            <w:tcW w:type="dxa" w:w="70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1"/>
              </w:rPr>
              <w:t xml:space="preserve"> **</w:t>
            </w:r>
          </w:p>
        </w:tc>
        <w:tc>
          <w:tcPr>
            <w:tcW w:type="dxa" w:w="70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1"/>
              </w:rPr>
              <w:t xml:space="preserve">** </w:t>
            </w:r>
          </w:p>
        </w:tc>
      </w:tr>
      <w:tr>
        <w:tc>
          <w:tcPr>
            <w:tcW w:type="dxa" w:w="69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4"/>
              </w:rPr>
              <w:t xml:space="preserve"> </w:t>
            </w:r>
          </w:p>
        </w:tc>
        <w:tc>
          <w:tcPr>
            <w:tcW w:type="dxa" w:w="3513"/>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4"/>
              </w:rPr>
              <w:t xml:space="preserve"> </w:t>
            </w:r>
          </w:p>
        </w:tc>
        <w:tc>
          <w:tcPr>
            <w:tcW w:type="dxa" w:w="690"/>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4"/>
              </w:rPr>
              <w:t xml:space="preserve"> </w:t>
            </w:r>
          </w:p>
        </w:tc>
        <w:tc>
          <w:tcPr>
            <w:tcW w:type="dxa" w:w="470"/>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4"/>
              </w:rPr>
              <w:t xml:space="preserve"> </w:t>
            </w:r>
          </w:p>
        </w:tc>
        <w:tc>
          <w:tcPr>
            <w:tcW w:type="dxa" w:w="470"/>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4"/>
              </w:rPr>
              <w:t xml:space="preserve"> </w:t>
            </w:r>
          </w:p>
        </w:tc>
        <w:tc>
          <w:tcPr>
            <w:tcW w:type="dxa" w:w="70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4"/>
              </w:rPr>
              <w:t xml:space="preserve"> </w:t>
            </w:r>
          </w:p>
        </w:tc>
        <w:tc>
          <w:tcPr>
            <w:tcW w:type="dxa" w:w="70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4"/>
              </w:rPr>
              <w:t xml:space="preserve"> </w:t>
            </w:r>
          </w:p>
        </w:tc>
      </w:tr>
      <w:tr>
        <w:tc>
          <w:tcPr>
            <w:tcW w:type="dxa" w:w="69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4"/>
              </w:rPr>
              <w:t xml:space="preserve"> </w:t>
            </w:r>
          </w:p>
        </w:tc>
        <w:tc>
          <w:tcPr>
            <w:tcW w:type="dxa" w:w="3513"/>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4"/>
              </w:rPr>
              <w:t xml:space="preserve"> </w:t>
            </w:r>
          </w:p>
        </w:tc>
        <w:tc>
          <w:tcPr>
            <w:tcW w:type="dxa" w:w="690"/>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4"/>
              </w:rPr>
              <w:t xml:space="preserve"> </w:t>
            </w:r>
          </w:p>
        </w:tc>
        <w:tc>
          <w:tcPr>
            <w:tcW w:type="dxa" w:w="470"/>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4"/>
              </w:rPr>
              <w:t xml:space="preserve"> </w:t>
            </w:r>
          </w:p>
        </w:tc>
        <w:tc>
          <w:tcPr>
            <w:tcW w:type="dxa" w:w="470"/>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4"/>
              </w:rPr>
              <w:t xml:space="preserve"> </w:t>
            </w:r>
          </w:p>
        </w:tc>
        <w:tc>
          <w:tcPr>
            <w:tcW w:type="dxa" w:w="70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4"/>
              </w:rPr>
              <w:t xml:space="preserve"> </w:t>
            </w:r>
          </w:p>
        </w:tc>
        <w:tc>
          <w:tcPr>
            <w:tcW w:type="dxa" w:w="70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4"/>
              </w:rPr>
              <w:t xml:space="preserve"> </w:t>
            </w:r>
          </w:p>
        </w:tc>
      </w:tr>
      <w:tr>
        <w:tc>
          <w:tcPr>
            <w:tcW w:type="dxa" w:w="69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4"/>
              </w:rPr>
              <w:t xml:space="preserve"> </w:t>
            </w:r>
          </w:p>
        </w:tc>
        <w:tc>
          <w:tcPr>
            <w:tcW w:type="dxa" w:w="3513"/>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4"/>
              </w:rPr>
              <w:t xml:space="preserve"> </w:t>
            </w:r>
          </w:p>
        </w:tc>
        <w:tc>
          <w:tcPr>
            <w:tcW w:type="dxa" w:w="690"/>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4"/>
              </w:rPr>
              <w:t xml:space="preserve"> </w:t>
            </w:r>
          </w:p>
        </w:tc>
        <w:tc>
          <w:tcPr>
            <w:tcW w:type="dxa" w:w="470"/>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4"/>
              </w:rPr>
              <w:t xml:space="preserve"> </w:t>
            </w:r>
          </w:p>
        </w:tc>
        <w:tc>
          <w:tcPr>
            <w:tcW w:type="dxa" w:w="470"/>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4"/>
              </w:rPr>
              <w:t xml:space="preserve"> </w:t>
            </w:r>
          </w:p>
        </w:tc>
        <w:tc>
          <w:tcPr>
            <w:tcW w:type="dxa" w:w="70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4"/>
              </w:rPr>
              <w:t xml:space="preserve"> </w:t>
            </w:r>
          </w:p>
        </w:tc>
        <w:tc>
          <w:tcPr>
            <w:tcW w:type="dxa" w:w="70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4"/>
              </w:rPr>
              <w:t xml:space="preserve"> </w:t>
            </w:r>
          </w:p>
        </w:tc>
      </w:tr>
      <w:tr>
        <w:tc>
          <w:tcPr>
            <w:tcW w:type="dxa" w:w="69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4"/>
              </w:rPr>
              <w:t xml:space="preserve"> </w:t>
            </w:r>
          </w:p>
        </w:tc>
        <w:tc>
          <w:tcPr>
            <w:tcW w:type="dxa" w:w="3513"/>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4"/>
              </w:rPr>
              <w:t xml:space="preserve"> </w:t>
            </w:r>
          </w:p>
        </w:tc>
        <w:tc>
          <w:tcPr>
            <w:tcW w:type="dxa" w:w="690"/>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4"/>
              </w:rPr>
              <w:t xml:space="preserve"> </w:t>
            </w:r>
          </w:p>
        </w:tc>
        <w:tc>
          <w:tcPr>
            <w:tcW w:type="dxa" w:w="470"/>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4"/>
              </w:rPr>
              <w:t xml:space="preserve"> </w:t>
            </w:r>
          </w:p>
        </w:tc>
        <w:tc>
          <w:tcPr>
            <w:tcW w:type="dxa" w:w="470"/>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4"/>
              </w:rPr>
              <w:t xml:space="preserve"> </w:t>
            </w:r>
          </w:p>
        </w:tc>
        <w:tc>
          <w:tcPr>
            <w:tcW w:type="dxa" w:w="70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4"/>
              </w:rPr>
              <w:t xml:space="preserve"> </w:t>
            </w:r>
          </w:p>
        </w:tc>
        <w:tc>
          <w:tcPr>
            <w:tcW w:type="dxa" w:w="70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4"/>
              </w:rPr>
              <w:t xml:space="preserve"> </w:t>
            </w:r>
          </w:p>
        </w:tc>
      </w:tr>
      <w:tr>
        <w:tc>
          <w:tcPr>
            <w:tcW w:type="dxa" w:w="6538"/>
            <w:gridSpan w:val="6"/>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spacing w:before="150" w:after="150"/>
              <w:jc w:val="left"/>
            </w:pPr>
            <w:r>
              <w:rPr>
                <w:sz w:val="21"/>
              </w:rPr>
              <w:t>合计：人民币大写：</w:t>
            </w:r>
            <w:r>
              <w:rPr>
                <w:sz w:val="21"/>
              </w:rPr>
              <w:t>**</w:t>
            </w:r>
            <w:r>
              <w:rPr>
                <w:sz w:val="21"/>
              </w:rPr>
              <w:t>元整</w:t>
            </w:r>
          </w:p>
        </w:tc>
        <w:tc>
          <w:tcPr>
            <w:tcW w:type="dxa" w:w="70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left"/>
            </w:pPr>
            <w:r>
              <w:rPr>
                <w:sz w:val="21"/>
              </w:rPr>
              <w:t>￥：</w:t>
            </w:r>
            <w:r>
              <w:rPr>
                <w:sz w:val="21"/>
              </w:rPr>
              <w:t>**</w:t>
            </w:r>
          </w:p>
        </w:tc>
      </w:tr>
      <w:tr>
        <w:tc>
          <w:tcPr>
            <w:tcW w:type="dxa" w:w="690"/>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left"/>
            </w:pPr>
          </w:p>
        </w:tc>
        <w:tc>
          <w:tcPr>
            <w:tcW w:type="dxa" w:w="3513"/>
            <w:tcBorders>
              <w:top w:val="none" w:color="000000" w:sz="4"/>
              <w:left w:val="none" w:color="000000" w:sz="4"/>
              <w:bottom w:val="none" w:color="000000" w:sz="4"/>
              <w:right w:val="none" w:color="000000" w:sz="4"/>
            </w:tcBorders>
            <w:tcMar>
              <w:top w:type="dxa" w:w="0"/>
              <w:left w:type="dxa" w:w="0"/>
              <w:bottom w:type="dxa" w:w="0"/>
              <w:right w:type="dxa" w:w="0"/>
            </w:tcMar>
            <w:vAlign w:val="top"/>
          </w:tcPr>
          <w:p/>
        </w:tc>
        <w:tc>
          <w:tcPr>
            <w:tcW w:type="dxa" w:w="690"/>
            <w:tcBorders>
              <w:top w:val="single" w:color="000000" w:sz="4"/>
              <w:left w:val="none" w:color="000000" w:sz="4"/>
              <w:bottom w:val="none" w:color="000000" w:sz="4"/>
              <w:right w:val="none" w:color="000000" w:sz="4"/>
            </w:tcBorders>
            <w:tcMar>
              <w:top w:type="dxa" w:w="0"/>
              <w:left w:type="dxa" w:w="0"/>
              <w:bottom w:type="dxa" w:w="0"/>
              <w:right w:type="dxa" w:w="0"/>
            </w:tcMar>
            <w:vAlign w:val="top"/>
          </w:tcPr>
          <w:p/>
        </w:tc>
        <w:tc>
          <w:tcPr>
            <w:tcW w:type="dxa" w:w="470"/>
            <w:tcBorders>
              <w:top w:val="single" w:color="000000" w:sz="4"/>
              <w:left w:val="none" w:color="000000" w:sz="4"/>
              <w:bottom w:val="none" w:color="000000" w:sz="4"/>
              <w:right w:val="none" w:color="000000" w:sz="4"/>
            </w:tcBorders>
            <w:tcMar>
              <w:top w:type="dxa" w:w="0"/>
              <w:left w:type="dxa" w:w="0"/>
              <w:bottom w:type="dxa" w:w="0"/>
              <w:right w:type="dxa" w:w="0"/>
            </w:tcMar>
            <w:vAlign w:val="top"/>
          </w:tcPr>
          <w:p/>
        </w:tc>
        <w:tc>
          <w:tcPr>
            <w:tcW w:type="dxa" w:w="470"/>
            <w:tcBorders>
              <w:top w:val="single" w:color="000000" w:sz="4"/>
              <w:left w:val="none" w:color="000000" w:sz="4"/>
              <w:bottom w:val="none" w:color="000000" w:sz="4"/>
              <w:right w:val="none" w:color="000000" w:sz="4"/>
            </w:tcBorders>
            <w:tcMar>
              <w:top w:type="dxa" w:w="0"/>
              <w:left w:type="dxa" w:w="0"/>
              <w:bottom w:type="dxa" w:w="0"/>
              <w:right w:type="dxa" w:w="0"/>
            </w:tcMar>
            <w:vAlign w:val="top"/>
          </w:tcPr>
          <w:p/>
        </w:tc>
        <w:tc>
          <w:tcPr>
            <w:tcW w:type="dxa" w:w="705"/>
            <w:tcBorders>
              <w:top w:val="single" w:color="000000" w:sz="4"/>
              <w:left w:val="none" w:color="000000" w:sz="4"/>
              <w:bottom w:val="none" w:color="000000" w:sz="4"/>
              <w:right w:val="none" w:color="000000" w:sz="4"/>
            </w:tcBorders>
            <w:tcMar>
              <w:top w:type="dxa" w:w="0"/>
              <w:left w:type="dxa" w:w="0"/>
              <w:bottom w:type="dxa" w:w="0"/>
              <w:right w:type="dxa" w:w="0"/>
            </w:tcMar>
            <w:vAlign w:val="top"/>
          </w:tcPr>
          <w:p/>
        </w:tc>
        <w:tc>
          <w:tcPr>
            <w:tcW w:type="dxa" w:w="705"/>
            <w:tcBorders>
              <w:top w:val="single" w:color="000000" w:sz="4"/>
              <w:left w:val="none" w:color="000000" w:sz="4"/>
              <w:bottom w:val="none" w:color="000000" w:sz="4"/>
              <w:right w:val="none" w:color="000000" w:sz="4"/>
            </w:tcBorders>
            <w:tcMar>
              <w:top w:type="dxa" w:w="0"/>
              <w:left w:type="dxa" w:w="0"/>
              <w:bottom w:type="dxa" w:w="0"/>
              <w:right w:type="dxa" w:w="0"/>
            </w:tcMar>
            <w:vAlign w:val="top"/>
          </w:tcPr>
          <w:p/>
        </w:tc>
      </w:tr>
    </w:tbl>
    <w:p>
      <w:pPr>
        <w:pStyle w:val="null3"/>
        <w:jc w:val="left"/>
      </w:pPr>
      <w:r>
        <w:rPr>
          <w:sz w:val="24"/>
        </w:rPr>
        <w:t xml:space="preserve"> </w:t>
      </w:r>
    </w:p>
    <w:p>
      <w:pPr>
        <w:pStyle w:val="null3"/>
        <w:jc w:val="left"/>
      </w:pPr>
      <w:r>
        <w:rPr>
          <w:sz w:val="21"/>
        </w:rPr>
        <w:t>合同总额包括乙方设计、安装、随机零配件、标配工具、运输保险、调试、培训、质保期服务、各项税费及合同实施过程中不可预见费用等。</w:t>
      </w:r>
    </w:p>
    <w:p>
      <w:pPr>
        <w:pStyle w:val="null3"/>
        <w:jc w:val="left"/>
      </w:pPr>
      <w:r>
        <w:rPr>
          <w:sz w:val="21"/>
        </w:rPr>
        <w:t>注：货物名称内容必须与投标文件中货物名称内容一致。</w:t>
      </w:r>
    </w:p>
    <w:p>
      <w:pPr>
        <w:pStyle w:val="null3"/>
        <w:jc w:val="left"/>
      </w:pPr>
      <w:r>
        <w:rPr>
          <w:sz w:val="21"/>
          <w:b/>
        </w:rPr>
        <w:t>二、</w:t>
      </w:r>
      <w:r>
        <w:rPr>
          <w:sz w:val="24"/>
        </w:rPr>
        <w:t xml:space="preserve"> </w:t>
      </w:r>
      <w:r>
        <w:rPr>
          <w:sz w:val="21"/>
          <w:b/>
        </w:rPr>
        <w:t>合同金额</w:t>
      </w:r>
    </w:p>
    <w:p>
      <w:pPr>
        <w:pStyle w:val="null3"/>
        <w:jc w:val="left"/>
      </w:pPr>
      <w:r>
        <w:rPr>
          <w:sz w:val="21"/>
        </w:rPr>
        <w:t>合同金额为（大写）：</w:t>
      </w:r>
      <w:r>
        <w:rPr>
          <w:sz w:val="21"/>
        </w:rPr>
        <w:t>_________________</w:t>
      </w:r>
      <w:r>
        <w:rPr>
          <w:sz w:val="21"/>
        </w:rPr>
        <w:t>元（￥</w:t>
      </w:r>
      <w:r>
        <w:rPr>
          <w:sz w:val="21"/>
        </w:rPr>
        <w:t>_______________</w:t>
      </w:r>
      <w:r>
        <w:rPr>
          <w:sz w:val="21"/>
        </w:rPr>
        <w:t>元）人民币。</w:t>
      </w:r>
    </w:p>
    <w:p>
      <w:pPr>
        <w:pStyle w:val="null3"/>
        <w:jc w:val="left"/>
      </w:pPr>
      <w:r>
        <w:rPr>
          <w:sz w:val="21"/>
          <w:b/>
        </w:rPr>
        <w:t>三、</w:t>
      </w:r>
      <w:r>
        <w:rPr>
          <w:sz w:val="24"/>
        </w:rPr>
        <w:t xml:space="preserve"> </w:t>
      </w:r>
      <w:r>
        <w:rPr>
          <w:sz w:val="21"/>
          <w:b/>
        </w:rPr>
        <w:t>设备要求</w:t>
      </w:r>
    </w:p>
    <w:p>
      <w:pPr>
        <w:pStyle w:val="null3"/>
        <w:jc w:val="left"/>
      </w:pPr>
      <w:r>
        <w:rPr>
          <w:sz w:val="21"/>
        </w:rPr>
        <w:t>货物为原制造商制造的全新产品，整机无污染，无侵权行为、表面无划损、无任何缺陷隐患，在中国境内可依常规安全合法使用。</w:t>
      </w:r>
    </w:p>
    <w:p>
      <w:pPr>
        <w:pStyle w:val="null3"/>
        <w:jc w:val="left"/>
      </w:pPr>
      <w:r>
        <w:rPr>
          <w:sz w:val="21"/>
          <w:b/>
        </w:rPr>
        <w:t>四、</w:t>
      </w:r>
      <w:r>
        <w:rPr>
          <w:sz w:val="24"/>
        </w:rPr>
        <w:t xml:space="preserve"> </w:t>
      </w:r>
      <w:r>
        <w:rPr>
          <w:sz w:val="21"/>
          <w:b/>
        </w:rPr>
        <w:t>交货期、交货方式及交货地点</w:t>
      </w:r>
    </w:p>
    <w:p>
      <w:pPr>
        <w:pStyle w:val="null3"/>
        <w:jc w:val="left"/>
      </w:pPr>
      <w:r>
        <w:rPr>
          <w:sz w:val="21"/>
        </w:rPr>
        <w:t xml:space="preserve">  1.</w:t>
      </w:r>
      <w:r>
        <w:rPr>
          <w:sz w:val="21"/>
        </w:rPr>
        <w:t>交货期：合同签订后</w:t>
      </w:r>
      <w:r>
        <w:rPr>
          <w:sz w:val="21"/>
        </w:rPr>
        <w:t>15</w:t>
      </w:r>
      <w:r>
        <w:rPr>
          <w:sz w:val="21"/>
        </w:rPr>
        <w:t>个工作日内到货。</w:t>
      </w:r>
    </w:p>
    <w:p>
      <w:pPr>
        <w:pStyle w:val="null3"/>
        <w:jc w:val="left"/>
      </w:pPr>
      <w:r>
        <w:rPr>
          <w:sz w:val="21"/>
        </w:rPr>
        <w:t xml:space="preserve">  2.</w:t>
      </w:r>
      <w:r>
        <w:rPr>
          <w:sz w:val="21"/>
        </w:rPr>
        <w:t>交货方式：送货上门。</w:t>
      </w:r>
    </w:p>
    <w:p>
      <w:pPr>
        <w:pStyle w:val="null3"/>
        <w:jc w:val="left"/>
      </w:pPr>
      <w:r>
        <w:rPr>
          <w:sz w:val="21"/>
        </w:rPr>
        <w:t xml:space="preserve">  3.</w:t>
      </w:r>
      <w:r>
        <w:rPr>
          <w:sz w:val="21"/>
        </w:rPr>
        <w:t>交货地点：采购人指定地点。</w:t>
      </w:r>
    </w:p>
    <w:p>
      <w:pPr>
        <w:pStyle w:val="null3"/>
        <w:jc w:val="both"/>
      </w:pPr>
      <w:r>
        <w:rPr>
          <w:sz w:val="21"/>
          <w:b/>
        </w:rPr>
        <w:t>五、</w:t>
      </w:r>
      <w:r>
        <w:rPr>
          <w:sz w:val="21"/>
          <w:b/>
        </w:rPr>
        <w:t>付款方式</w:t>
      </w:r>
    </w:p>
    <w:p>
      <w:pPr>
        <w:pStyle w:val="null3"/>
        <w:jc w:val="both"/>
      </w:pPr>
      <w:r>
        <w:rPr>
          <w:sz w:val="21"/>
        </w:rPr>
        <w:t xml:space="preserve"> 1.</w:t>
      </w:r>
      <w:r>
        <w:rPr>
          <w:sz w:val="21"/>
        </w:rPr>
        <w:t>合同签订后</w:t>
      </w:r>
      <w:r>
        <w:rPr>
          <w:sz w:val="21"/>
        </w:rPr>
        <w:t>10</w:t>
      </w:r>
      <w:r>
        <w:rPr>
          <w:sz w:val="21"/>
        </w:rPr>
        <w:t>个工作日内，甲方支付合同金额的</w:t>
      </w:r>
      <w:r>
        <w:rPr>
          <w:sz w:val="21"/>
        </w:rPr>
        <w:t>30%</w:t>
      </w:r>
      <w:r>
        <w:rPr>
          <w:sz w:val="21"/>
        </w:rPr>
        <w:t>给乙方，作为预付款；</w:t>
      </w:r>
    </w:p>
    <w:p>
      <w:pPr>
        <w:pStyle w:val="null3"/>
        <w:jc w:val="both"/>
      </w:pPr>
      <w:r>
        <w:rPr>
          <w:sz w:val="21"/>
        </w:rPr>
        <w:t xml:space="preserve"> 2.</w:t>
      </w:r>
      <w:r>
        <w:rPr>
          <w:sz w:val="21"/>
        </w:rPr>
        <w:t>设备完成到货验收、安装调试验收，且乙方提供《到货验收报告》《安装调试验收确认书》及等额发票 后，甲方支付合同总价的</w:t>
      </w:r>
      <w:r>
        <w:rPr>
          <w:sz w:val="21"/>
        </w:rPr>
        <w:t>65%</w:t>
      </w:r>
      <w:r>
        <w:rPr>
          <w:sz w:val="21"/>
        </w:rPr>
        <w:t>。</w:t>
      </w:r>
    </w:p>
    <w:p>
      <w:pPr>
        <w:pStyle w:val="null3"/>
        <w:jc w:val="both"/>
      </w:pPr>
      <w:r>
        <w:rPr>
          <w:sz w:val="21"/>
        </w:rPr>
        <w:t xml:space="preserve"> 3.</w:t>
      </w:r>
      <w:r>
        <w:rPr>
          <w:sz w:val="21"/>
        </w:rPr>
        <w:t>项目通过最终验收且质保期满（自最终验收通过之日起计算</w:t>
      </w:r>
      <w:r>
        <w:rPr>
          <w:sz w:val="21"/>
        </w:rPr>
        <w:t>36</w:t>
      </w:r>
      <w:r>
        <w:rPr>
          <w:sz w:val="21"/>
        </w:rPr>
        <w:t>个月），乙方提供《最终验收证书》、质保期内无质量问题证明及等额发票后，甲方支付剩余</w:t>
      </w:r>
      <w:r>
        <w:rPr>
          <w:sz w:val="21"/>
        </w:rPr>
        <w:t>5%</w:t>
      </w:r>
      <w:r>
        <w:rPr>
          <w:sz w:val="21"/>
        </w:rPr>
        <w:t>尾款（无息）。</w:t>
      </w:r>
    </w:p>
    <w:p>
      <w:pPr>
        <w:pStyle w:val="null3"/>
        <w:jc w:val="both"/>
      </w:pPr>
      <w:r>
        <w:rPr>
          <w:sz w:val="21"/>
        </w:rPr>
        <w:t xml:space="preserve"> </w:t>
      </w:r>
      <w:r>
        <w:rPr>
          <w:sz w:val="21"/>
        </w:rPr>
        <w:t>注：因政策调整或不可抗力导致付款延迟的，双方可协商签订补充协议，但不得免除乙方履约责任，付款前乙方需提供等额增值税专用发票及验收文件原件。</w:t>
      </w:r>
    </w:p>
    <w:p>
      <w:pPr>
        <w:pStyle w:val="null3"/>
        <w:spacing w:before="105" w:after="105"/>
        <w:jc w:val="left"/>
      </w:pPr>
      <w:r>
        <w:rPr>
          <w:sz w:val="21"/>
          <w:b/>
        </w:rPr>
        <w:t>六、质保期及售后服务要求</w:t>
      </w:r>
    </w:p>
    <w:p>
      <w:pPr>
        <w:pStyle w:val="null3"/>
        <w:jc w:val="both"/>
      </w:pPr>
      <w:r>
        <w:rPr>
          <w:sz w:val="21"/>
        </w:rPr>
        <w:t>1.</w:t>
      </w:r>
      <w:r>
        <w:rPr>
          <w:sz w:val="21"/>
        </w:rPr>
        <w:t>质保期：整机免费保修不少于</w:t>
      </w:r>
      <w:r>
        <w:rPr>
          <w:sz w:val="21"/>
        </w:rPr>
        <w:t>3</w:t>
      </w:r>
      <w:r>
        <w:rPr>
          <w:sz w:val="21"/>
        </w:rPr>
        <w:t>年</w:t>
      </w:r>
      <w:r>
        <w:rPr>
          <w:sz w:val="21"/>
        </w:rPr>
        <w:t>(</w:t>
      </w:r>
      <w:r>
        <w:rPr>
          <w:sz w:val="21"/>
        </w:rPr>
        <w:t>从验收合格签字之日起</w:t>
      </w:r>
      <w:r>
        <w:rPr>
          <w:sz w:val="21"/>
        </w:rPr>
        <w:t>)</w:t>
      </w:r>
      <w:r>
        <w:rPr>
          <w:sz w:val="21"/>
        </w:rPr>
        <w:t>，终身有偿维护。在保修期内对设备进行定期维护和保养，年度定期预防性维护保养次数不少于</w:t>
      </w:r>
      <w:r>
        <w:rPr>
          <w:sz w:val="21"/>
        </w:rPr>
        <w:t>4</w:t>
      </w:r>
      <w:r>
        <w:rPr>
          <w:sz w:val="21"/>
        </w:rPr>
        <w:t>次，并免费提供维修所需的配件及服务。</w:t>
      </w:r>
    </w:p>
    <w:p>
      <w:pPr>
        <w:pStyle w:val="null3"/>
        <w:jc w:val="both"/>
      </w:pPr>
      <w:r>
        <w:rPr>
          <w:sz w:val="21"/>
        </w:rPr>
        <w:t xml:space="preserve">  2.</w:t>
      </w:r>
      <w:r>
        <w:rPr>
          <w:sz w:val="21"/>
        </w:rPr>
        <w:t>中标人须在接到设备故障通知后</w:t>
      </w:r>
      <w:r>
        <w:rPr>
          <w:sz w:val="21"/>
        </w:rPr>
        <w:t>1</w:t>
      </w:r>
      <w:r>
        <w:rPr>
          <w:sz w:val="21"/>
        </w:rPr>
        <w:t>小时内电话响应，</w:t>
      </w:r>
      <w:r>
        <w:rPr>
          <w:sz w:val="21"/>
        </w:rPr>
        <w:t>4</w:t>
      </w:r>
      <w:r>
        <w:rPr>
          <w:sz w:val="21"/>
        </w:rPr>
        <w:t>小时内技术人员到达现场</w:t>
      </w:r>
      <w:r>
        <w:rPr>
          <w:sz w:val="21"/>
        </w:rPr>
        <w:t>(</w:t>
      </w:r>
      <w:r>
        <w:rPr>
          <w:sz w:val="21"/>
        </w:rPr>
        <w:t>阳江市内</w:t>
      </w:r>
      <w:r>
        <w:rPr>
          <w:sz w:val="21"/>
        </w:rPr>
        <w:t>)</w:t>
      </w:r>
      <w:r>
        <w:rPr>
          <w:sz w:val="21"/>
        </w:rPr>
        <w:t>处理，并提供</w:t>
      </w:r>
      <w:r>
        <w:rPr>
          <w:sz w:val="21"/>
        </w:rPr>
        <w:t>7x24</w:t>
      </w:r>
      <w:r>
        <w:rPr>
          <w:sz w:val="21"/>
        </w:rPr>
        <w:t>小时服务热线。</w:t>
      </w:r>
    </w:p>
    <w:p>
      <w:pPr>
        <w:pStyle w:val="null3"/>
        <w:jc w:val="both"/>
      </w:pPr>
      <w:r>
        <w:rPr>
          <w:sz w:val="21"/>
        </w:rPr>
        <w:t xml:space="preserve">  3.</w:t>
      </w:r>
      <w:r>
        <w:rPr>
          <w:sz w:val="21"/>
        </w:rPr>
        <w:t>保修期内因故障导致维修时间超过</w:t>
      </w:r>
      <w:r>
        <w:rPr>
          <w:sz w:val="21"/>
        </w:rPr>
        <w:t>2</w:t>
      </w:r>
      <w:r>
        <w:rPr>
          <w:sz w:val="21"/>
        </w:rPr>
        <w:t>天的，按停机天数</w:t>
      </w:r>
      <w:r>
        <w:rPr>
          <w:sz w:val="21"/>
        </w:rPr>
        <w:t>1:2</w:t>
      </w:r>
      <w:r>
        <w:rPr>
          <w:sz w:val="21"/>
        </w:rPr>
        <w:t>比例延长保修期，且需免费提供同等性能备用设备。</w:t>
      </w:r>
    </w:p>
    <w:p>
      <w:pPr>
        <w:pStyle w:val="null3"/>
        <w:jc w:val="both"/>
      </w:pPr>
      <w:r>
        <w:rPr>
          <w:sz w:val="21"/>
        </w:rPr>
        <w:t xml:space="preserve">  4.</w:t>
      </w:r>
      <w:r>
        <w:rPr>
          <w:sz w:val="21"/>
        </w:rPr>
        <w:t>设备年开机率须</w:t>
      </w:r>
      <w:r>
        <w:rPr>
          <w:sz w:val="21"/>
        </w:rPr>
        <w:t>≥95%(</w:t>
      </w:r>
      <w:r>
        <w:rPr>
          <w:sz w:val="21"/>
        </w:rPr>
        <w:t>按</w:t>
      </w:r>
      <w:r>
        <w:rPr>
          <w:sz w:val="21"/>
        </w:rPr>
        <w:t>365</w:t>
      </w:r>
      <w:r>
        <w:rPr>
          <w:sz w:val="21"/>
        </w:rPr>
        <w:t>天计算</w:t>
      </w:r>
      <w:r>
        <w:rPr>
          <w:sz w:val="21"/>
        </w:rPr>
        <w:t>)</w:t>
      </w:r>
      <w:r>
        <w:rPr>
          <w:sz w:val="21"/>
        </w:rPr>
        <w:t>，若因故障导致开机天数</w:t>
      </w:r>
      <w:r>
        <w:rPr>
          <w:sz w:val="21"/>
        </w:rPr>
        <w:t>&lt;347</w:t>
      </w:r>
      <w:r>
        <w:rPr>
          <w:sz w:val="21"/>
        </w:rPr>
        <w:t>天，保修期按不足天数</w:t>
      </w:r>
      <w:r>
        <w:rPr>
          <w:sz w:val="21"/>
        </w:rPr>
        <w:t>1:2</w:t>
      </w:r>
      <w:r>
        <w:rPr>
          <w:sz w:val="21"/>
        </w:rPr>
        <w:t>顺延。</w:t>
      </w:r>
    </w:p>
    <w:p>
      <w:pPr>
        <w:pStyle w:val="null3"/>
        <w:jc w:val="both"/>
      </w:pPr>
      <w:r>
        <w:rPr>
          <w:sz w:val="21"/>
        </w:rPr>
        <w:t xml:space="preserve">  5.</w:t>
      </w:r>
      <w:r>
        <w:rPr>
          <w:sz w:val="21"/>
        </w:rPr>
        <w:t>中标人中标后，应在阳春市常驻至少</w:t>
      </w:r>
      <w:r>
        <w:rPr>
          <w:sz w:val="21"/>
        </w:rPr>
        <w:t>1</w:t>
      </w:r>
      <w:r>
        <w:rPr>
          <w:sz w:val="21"/>
        </w:rPr>
        <w:t>名厂商认证工程师，并在阳江市</w:t>
      </w:r>
      <w:r>
        <w:rPr>
          <w:sz w:val="21"/>
        </w:rPr>
        <w:t>50</w:t>
      </w:r>
      <w:r>
        <w:rPr>
          <w:sz w:val="21"/>
        </w:rPr>
        <w:t>公里半径内储备关键备件，确保</w:t>
      </w:r>
      <w:r>
        <w:rPr>
          <w:sz w:val="21"/>
        </w:rPr>
        <w:t>8</w:t>
      </w:r>
      <w:r>
        <w:rPr>
          <w:sz w:val="21"/>
        </w:rPr>
        <w:t>小时内应急到位。</w:t>
      </w:r>
    </w:p>
    <w:p>
      <w:pPr>
        <w:pStyle w:val="null3"/>
        <w:jc w:val="both"/>
      </w:pPr>
      <w:r>
        <w:rPr>
          <w:sz w:val="21"/>
        </w:rPr>
        <w:t xml:space="preserve">  6.</w:t>
      </w:r>
      <w:r>
        <w:rPr>
          <w:sz w:val="21"/>
        </w:rPr>
        <w:t>提供售后服务团队名单</w:t>
      </w:r>
      <w:r>
        <w:rPr>
          <w:sz w:val="21"/>
        </w:rPr>
        <w:t>(</w:t>
      </w:r>
      <w:r>
        <w:rPr>
          <w:sz w:val="21"/>
        </w:rPr>
        <w:t>含技术资质证书</w:t>
      </w:r>
      <w:r>
        <w:rPr>
          <w:sz w:val="21"/>
        </w:rPr>
        <w:t>)</w:t>
      </w:r>
      <w:r>
        <w:rPr>
          <w:sz w:val="21"/>
        </w:rPr>
        <w:t>、培训记录及服务网点分布图</w:t>
      </w:r>
      <w:r>
        <w:rPr>
          <w:sz w:val="21"/>
        </w:rPr>
        <w:t>(</w:t>
      </w:r>
      <w:r>
        <w:rPr>
          <w:sz w:val="21"/>
        </w:rPr>
        <w:t>需覆盖广东省主要地市</w:t>
      </w:r>
      <w:r>
        <w:rPr>
          <w:sz w:val="21"/>
        </w:rPr>
        <w:t>)</w:t>
      </w:r>
      <w:r>
        <w:rPr>
          <w:sz w:val="21"/>
        </w:rPr>
        <w:t>。</w:t>
      </w:r>
    </w:p>
    <w:p>
      <w:pPr>
        <w:pStyle w:val="null3"/>
        <w:jc w:val="both"/>
      </w:pPr>
      <w:r>
        <w:rPr>
          <w:sz w:val="21"/>
        </w:rPr>
        <w:t xml:space="preserve">  7.</w:t>
      </w:r>
      <w:r>
        <w:rPr>
          <w:sz w:val="21"/>
        </w:rPr>
        <w:t>投标时需提交关键配件清单</w:t>
      </w:r>
      <w:r>
        <w:rPr>
          <w:sz w:val="21"/>
        </w:rPr>
        <w:t>(</w:t>
      </w:r>
      <w:r>
        <w:rPr>
          <w:sz w:val="21"/>
        </w:rPr>
        <w:t>如激光模块、光纤接口</w:t>
      </w:r>
      <w:r>
        <w:rPr>
          <w:sz w:val="21"/>
        </w:rPr>
        <w:t>)</w:t>
      </w:r>
      <w:r>
        <w:rPr>
          <w:sz w:val="21"/>
        </w:rPr>
        <w:t>及储备方案，承诺配件供应周期</w:t>
      </w:r>
      <w:r>
        <w:rPr>
          <w:sz w:val="21"/>
        </w:rPr>
        <w:t>≤24</w:t>
      </w:r>
      <w:r>
        <w:rPr>
          <w:sz w:val="21"/>
        </w:rPr>
        <w:t>小时。</w:t>
      </w:r>
    </w:p>
    <w:p>
      <w:pPr>
        <w:pStyle w:val="null3"/>
        <w:jc w:val="both"/>
      </w:pPr>
      <w:r>
        <w:rPr>
          <w:sz w:val="21"/>
        </w:rPr>
        <w:t xml:space="preserve">  8.</w:t>
      </w:r>
      <w:r>
        <w:rPr>
          <w:sz w:val="21"/>
        </w:rPr>
        <w:t>每季度进行用户满意度调查，满意度低于</w:t>
      </w:r>
      <w:r>
        <w:rPr>
          <w:sz w:val="21"/>
        </w:rPr>
        <w:t>90%</w:t>
      </w:r>
      <w:r>
        <w:rPr>
          <w:sz w:val="21"/>
        </w:rPr>
        <w:t>时需限期整改，整改不力按合同金额</w:t>
      </w:r>
      <w:r>
        <w:rPr>
          <w:sz w:val="21"/>
        </w:rPr>
        <w:t>1%</w:t>
      </w:r>
      <w:r>
        <w:rPr>
          <w:sz w:val="21"/>
        </w:rPr>
        <w:t>扣减服务费。</w:t>
      </w:r>
    </w:p>
    <w:p>
      <w:pPr>
        <w:pStyle w:val="null3"/>
        <w:jc w:val="both"/>
      </w:pPr>
      <w:r>
        <w:rPr>
          <w:sz w:val="21"/>
        </w:rPr>
        <w:t xml:space="preserve">  9.</w:t>
      </w:r>
      <w:r>
        <w:rPr>
          <w:sz w:val="21"/>
        </w:rPr>
        <w:t>鼓励提供远程诊断、季度巡检、年度设备健康报告等增值服务。</w:t>
      </w:r>
      <w:r>
        <w:rPr>
          <w:sz w:val="21"/>
        </w:rPr>
        <w:t xml:space="preserve">  </w:t>
      </w:r>
    </w:p>
    <w:p>
      <w:pPr>
        <w:pStyle w:val="null3"/>
        <w:jc w:val="left"/>
      </w:pPr>
      <w:r>
        <w:rPr>
          <w:sz w:val="21"/>
          <w:b/>
        </w:rPr>
        <w:t>七、</w:t>
      </w:r>
      <w:r>
        <w:rPr>
          <w:sz w:val="24"/>
        </w:rPr>
        <w:t xml:space="preserve"> </w:t>
      </w:r>
      <w:r>
        <w:rPr>
          <w:sz w:val="21"/>
          <w:b/>
        </w:rPr>
        <w:t>安装与调试</w:t>
      </w:r>
    </w:p>
    <w:p>
      <w:pPr>
        <w:pStyle w:val="null3"/>
        <w:jc w:val="left"/>
      </w:pPr>
      <w:r>
        <w:rPr>
          <w:sz w:val="21"/>
        </w:rPr>
        <w:t>1.</w:t>
      </w:r>
      <w:r>
        <w:rPr>
          <w:sz w:val="21"/>
        </w:rPr>
        <w:t>乙方必须依照招标文件的要求和报价文件的承诺，将设备、系统安装并调试至正常运行的最佳状态。</w:t>
      </w:r>
    </w:p>
    <w:p>
      <w:pPr>
        <w:pStyle w:val="null3"/>
        <w:jc w:val="left"/>
      </w:pPr>
      <w:r>
        <w:rPr>
          <w:sz w:val="21"/>
          <w:b/>
        </w:rPr>
        <w:t>八、</w:t>
      </w:r>
      <w:r>
        <w:rPr>
          <w:sz w:val="24"/>
        </w:rPr>
        <w:t xml:space="preserve"> </w:t>
      </w:r>
      <w:r>
        <w:rPr>
          <w:sz w:val="21"/>
          <w:b/>
        </w:rPr>
        <w:t>验收：</w:t>
      </w:r>
    </w:p>
    <w:p>
      <w:pPr>
        <w:pStyle w:val="null3"/>
        <w:jc w:val="left"/>
      </w:pPr>
      <w:r>
        <w:rPr>
          <w:sz w:val="21"/>
        </w:rPr>
        <w:t>1.</w:t>
      </w:r>
      <w:r>
        <w:rPr>
          <w:sz w:val="21"/>
        </w:rPr>
        <w:t>交付验收标准依次序对照适用标准为：</w:t>
      </w:r>
      <w:r>
        <w:rPr>
          <w:sz w:val="21"/>
        </w:rPr>
        <w:t>①</w:t>
      </w:r>
      <w:r>
        <w:rPr>
          <w:sz w:val="21"/>
        </w:rPr>
        <w:t>符合中华人民共和国国家安全质量标准、环保标准或行业标准；</w:t>
      </w:r>
      <w:r>
        <w:rPr>
          <w:sz w:val="21"/>
        </w:rPr>
        <w:t>②</w:t>
      </w:r>
      <w:r>
        <w:rPr>
          <w:sz w:val="21"/>
        </w:rPr>
        <w:t>符合招标文件和响应承诺中甲方认可的合理最佳配置、参数及各项要求；</w:t>
      </w:r>
      <w:r>
        <w:rPr>
          <w:sz w:val="21"/>
        </w:rPr>
        <w:t>③</w:t>
      </w:r>
      <w:r>
        <w:rPr>
          <w:sz w:val="21"/>
        </w:rPr>
        <w:t>货物来源国官方标准。</w:t>
      </w:r>
    </w:p>
    <w:p>
      <w:pPr>
        <w:pStyle w:val="null3"/>
        <w:jc w:val="left"/>
      </w:pPr>
      <w:r>
        <w:rPr>
          <w:sz w:val="21"/>
        </w:rPr>
        <w:t>2.</w:t>
      </w:r>
      <w:r>
        <w:rPr>
          <w:sz w:val="21"/>
        </w:rPr>
        <w:t>进口产品必须具备原产地证明和商检局的检验证明及合法进货渠道证明。</w:t>
      </w:r>
    </w:p>
    <w:p>
      <w:pPr>
        <w:pStyle w:val="null3"/>
        <w:jc w:val="left"/>
      </w:pPr>
      <w:r>
        <w:rPr>
          <w:sz w:val="21"/>
        </w:rPr>
        <w:t>3.</w:t>
      </w:r>
      <w:r>
        <w:rPr>
          <w:sz w:val="21"/>
        </w:rPr>
        <w:t>货物为原厂商未启封全新包装，具出厂合格证，序列号、包装箱号与出厂批号一致，并可追索查阅。所有随设备的附件必须齐全。</w:t>
      </w:r>
    </w:p>
    <w:p>
      <w:pPr>
        <w:pStyle w:val="null3"/>
        <w:jc w:val="left"/>
      </w:pPr>
      <w:r>
        <w:rPr>
          <w:sz w:val="21"/>
        </w:rPr>
        <w:t>4.</w:t>
      </w:r>
      <w:r>
        <w:rPr>
          <w:sz w:val="21"/>
        </w:rPr>
        <w:t>乙方应将关键主机设备的用户手册、保修手册、有关单证资料及配备件、随机工具等交付给甲方，使用操作及安全须知等重要资料应附有中文说明。</w:t>
      </w:r>
    </w:p>
    <w:p>
      <w:pPr>
        <w:pStyle w:val="null3"/>
        <w:jc w:val="left"/>
      </w:pPr>
      <w:r>
        <w:rPr>
          <w:sz w:val="21"/>
        </w:rPr>
        <w:t>5.</w:t>
      </w:r>
      <w:r>
        <w:rPr>
          <w:sz w:val="21"/>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pStyle w:val="null3"/>
        <w:jc w:val="left"/>
      </w:pPr>
      <w:r>
        <w:rPr>
          <w:sz w:val="21"/>
          <w:b/>
        </w:rPr>
        <w:t>九、</w:t>
      </w:r>
      <w:r>
        <w:rPr>
          <w:sz w:val="24"/>
        </w:rPr>
        <w:t xml:space="preserve"> </w:t>
      </w:r>
      <w:r>
        <w:rPr>
          <w:sz w:val="21"/>
          <w:b/>
        </w:rPr>
        <w:t>违约责任与赔偿损失</w:t>
      </w:r>
    </w:p>
    <w:p>
      <w:pPr>
        <w:pStyle w:val="null3"/>
        <w:jc w:val="left"/>
      </w:pPr>
      <w:r>
        <w:rPr>
          <w:sz w:val="21"/>
        </w:rPr>
        <w:t>1.</w:t>
      </w:r>
      <w:r>
        <w:rPr>
          <w:sz w:val="21"/>
        </w:rPr>
        <w:t>乙方交付的货物、工程</w:t>
      </w:r>
      <w:r>
        <w:rPr>
          <w:sz w:val="21"/>
        </w:rPr>
        <w:t>/</w:t>
      </w:r>
      <w:r>
        <w:rPr>
          <w:sz w:val="21"/>
        </w:rPr>
        <w:t>提供的服务不符合本合同规定的，甲方有权拒收，并且乙方须向甲方支付本合同总价</w:t>
      </w:r>
      <w:r>
        <w:rPr>
          <w:sz w:val="21"/>
        </w:rPr>
        <w:t>5%</w:t>
      </w:r>
      <w:r>
        <w:rPr>
          <w:sz w:val="21"/>
        </w:rPr>
        <w:t>的违约金。</w:t>
      </w:r>
    </w:p>
    <w:p>
      <w:pPr>
        <w:pStyle w:val="null3"/>
        <w:jc w:val="left"/>
      </w:pPr>
      <w:r>
        <w:rPr>
          <w:sz w:val="21"/>
        </w:rPr>
        <w:t>2.</w:t>
      </w:r>
      <w:r>
        <w:rPr>
          <w:sz w:val="21"/>
        </w:rPr>
        <w:t>乙方未能按本合同规定的交货时间交付货物的</w:t>
      </w:r>
      <w:r>
        <w:rPr>
          <w:sz w:val="21"/>
        </w:rPr>
        <w:t>/</w:t>
      </w:r>
      <w:r>
        <w:rPr>
          <w:sz w:val="21"/>
        </w:rPr>
        <w:t>提供服务，从逾期之日起每日按本合同总价</w:t>
      </w:r>
      <w:r>
        <w:rPr>
          <w:sz w:val="21"/>
        </w:rPr>
        <w:t>3‰</w:t>
      </w:r>
      <w:r>
        <w:rPr>
          <w:sz w:val="21"/>
        </w:rPr>
        <w:t>的数额向甲方支付违约金；逾期半个月以上的，甲方有权终止合同，由此造成的甲方经济损失由乙方承担。</w:t>
      </w:r>
    </w:p>
    <w:p>
      <w:pPr>
        <w:pStyle w:val="null3"/>
        <w:jc w:val="left"/>
      </w:pPr>
      <w:r>
        <w:rPr>
          <w:sz w:val="21"/>
        </w:rPr>
        <w:t>3.</w:t>
      </w:r>
      <w:r>
        <w:rPr>
          <w:sz w:val="21"/>
        </w:rPr>
        <w:t>甲方无正当理由拒收货物</w:t>
      </w:r>
      <w:r>
        <w:rPr>
          <w:sz w:val="21"/>
        </w:rPr>
        <w:t>/</w:t>
      </w:r>
      <w:r>
        <w:rPr>
          <w:sz w:val="21"/>
        </w:rPr>
        <w:t>接受服务，到期拒付货物</w:t>
      </w:r>
      <w:r>
        <w:rPr>
          <w:sz w:val="21"/>
        </w:rPr>
        <w:t>/</w:t>
      </w:r>
      <w:r>
        <w:rPr>
          <w:sz w:val="21"/>
        </w:rPr>
        <w:t>服务款项的，甲方向乙方偿付本合同总的</w:t>
      </w:r>
      <w:r>
        <w:rPr>
          <w:sz w:val="21"/>
        </w:rPr>
        <w:t>5%</w:t>
      </w:r>
      <w:r>
        <w:rPr>
          <w:sz w:val="21"/>
        </w:rPr>
        <w:t>的违约金。甲方人逾期付款，则每日按本合同总价的</w:t>
      </w:r>
      <w:r>
        <w:rPr>
          <w:sz w:val="21"/>
        </w:rPr>
        <w:t>3‰</w:t>
      </w:r>
      <w:r>
        <w:rPr>
          <w:sz w:val="21"/>
        </w:rPr>
        <w:t>向乙方偿付违约金。</w:t>
      </w:r>
    </w:p>
    <w:p>
      <w:pPr>
        <w:pStyle w:val="null3"/>
        <w:jc w:val="left"/>
      </w:pPr>
      <w:r>
        <w:rPr>
          <w:sz w:val="21"/>
        </w:rPr>
        <w:t xml:space="preserve">4.   </w:t>
      </w:r>
      <w:r>
        <w:rPr>
          <w:sz w:val="21"/>
        </w:rPr>
        <w:t>对于因甲方原因导致变更、中止或者终止政府采购合同的，甲方应当依照以下合同约定对供应商受到的损失予以赔偿或者补偿：</w:t>
      </w:r>
    </w:p>
    <w:p>
      <w:pPr>
        <w:pStyle w:val="null3"/>
        <w:jc w:val="left"/>
      </w:pPr>
      <w:r>
        <w:rPr>
          <w:sz w:val="24"/>
        </w:rPr>
        <w:t xml:space="preserve">       </w:t>
      </w:r>
      <w:r>
        <w:rPr>
          <w:sz w:val="24"/>
          <w:u w:val="single"/>
        </w:rPr>
        <w:t xml:space="preserve">                                                </w:t>
      </w:r>
    </w:p>
    <w:p>
      <w:pPr>
        <w:pStyle w:val="null3"/>
        <w:jc w:val="left"/>
      </w:pPr>
      <w:r>
        <w:rPr>
          <w:sz w:val="21"/>
        </w:rPr>
        <w:t>5.</w:t>
      </w:r>
      <w:r>
        <w:rPr>
          <w:sz w:val="21"/>
        </w:rPr>
        <w:t>其它违约责任按《中华人民共和国民法典</w:t>
      </w:r>
      <w:r>
        <w:rPr>
          <w:sz w:val="21"/>
        </w:rPr>
        <w:t>(</w:t>
      </w:r>
      <w:r>
        <w:rPr>
          <w:sz w:val="21"/>
        </w:rPr>
        <w:t>合同编</w:t>
      </w:r>
      <w:r>
        <w:rPr>
          <w:sz w:val="21"/>
        </w:rPr>
        <w:t>)</w:t>
      </w:r>
      <w:r>
        <w:rPr>
          <w:sz w:val="21"/>
        </w:rPr>
        <w:t>》处理。</w:t>
      </w:r>
    </w:p>
    <w:p>
      <w:pPr>
        <w:pStyle w:val="null3"/>
        <w:jc w:val="left"/>
      </w:pPr>
      <w:r>
        <w:rPr>
          <w:sz w:val="21"/>
          <w:b/>
        </w:rPr>
        <w:t>十、</w:t>
      </w:r>
      <w:r>
        <w:rPr>
          <w:sz w:val="24"/>
        </w:rPr>
        <w:t xml:space="preserve"> </w:t>
      </w:r>
      <w:r>
        <w:rPr>
          <w:sz w:val="21"/>
          <w:b/>
        </w:rPr>
        <w:t>争议的解决</w:t>
      </w:r>
    </w:p>
    <w:p>
      <w:pPr>
        <w:pStyle w:val="null3"/>
        <w:spacing w:before="105" w:after="105"/>
        <w:jc w:val="left"/>
      </w:pPr>
      <w:r>
        <w:rPr>
          <w:sz w:val="21"/>
        </w:rPr>
        <w:t xml:space="preserve">   </w:t>
      </w:r>
      <w:r>
        <w:rPr>
          <w:sz w:val="21"/>
        </w:rPr>
        <w:t>合同执行过程中发生的任何争议，如双方不能通过友好协商解决，按相关法律法规处理。</w:t>
      </w:r>
    </w:p>
    <w:p>
      <w:pPr>
        <w:pStyle w:val="null3"/>
        <w:jc w:val="left"/>
      </w:pPr>
      <w:r>
        <w:rPr>
          <w:sz w:val="21"/>
          <w:b/>
        </w:rPr>
        <w:t>十一、不可抗力</w:t>
      </w:r>
    </w:p>
    <w:p>
      <w:pPr>
        <w:pStyle w:val="null3"/>
        <w:jc w:val="left"/>
      </w:pPr>
      <w:r>
        <w:rPr>
          <w:sz w:val="21"/>
        </w:rPr>
        <w:t>1.</w:t>
      </w: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pStyle w:val="null3"/>
        <w:jc w:val="left"/>
      </w:pPr>
      <w:r>
        <w:rPr>
          <w:sz w:val="21"/>
          <w:b/>
        </w:rPr>
        <w:t>十二、税费</w:t>
      </w:r>
    </w:p>
    <w:p>
      <w:pPr>
        <w:pStyle w:val="null3"/>
        <w:jc w:val="left"/>
      </w:pPr>
      <w:r>
        <w:rPr>
          <w:sz w:val="21"/>
        </w:rPr>
        <w:t>1.</w:t>
      </w:r>
      <w:r>
        <w:rPr>
          <w:sz w:val="21"/>
        </w:rPr>
        <w:t>在中国境内、外发生的与本合同执行有关的一切税费均由乙方负担。</w:t>
      </w:r>
    </w:p>
    <w:p>
      <w:pPr>
        <w:pStyle w:val="null3"/>
        <w:jc w:val="left"/>
      </w:pPr>
      <w:r>
        <w:rPr>
          <w:sz w:val="21"/>
          <w:b/>
        </w:rPr>
        <w:t>十三、</w:t>
      </w:r>
      <w:r>
        <w:rPr>
          <w:sz w:val="24"/>
        </w:rPr>
        <w:t xml:space="preserve"> </w:t>
      </w:r>
      <w:r>
        <w:rPr>
          <w:sz w:val="21"/>
          <w:b/>
        </w:rPr>
        <w:t>其它</w:t>
      </w:r>
    </w:p>
    <w:p>
      <w:pPr>
        <w:pStyle w:val="null3"/>
        <w:jc w:val="left"/>
      </w:pPr>
      <w:r>
        <w:rPr>
          <w:sz w:val="21"/>
        </w:rPr>
        <w:t>1.</w:t>
      </w:r>
      <w:r>
        <w:rPr>
          <w:sz w:val="21"/>
        </w:rPr>
        <w:t>本合同所有附件、招标文件、投标文件、中标通知书均为合同的有效组成部分，与本合同具有同等法律效力。</w:t>
      </w:r>
    </w:p>
    <w:p>
      <w:pPr>
        <w:pStyle w:val="null3"/>
        <w:jc w:val="left"/>
      </w:pPr>
      <w:r>
        <w:rPr>
          <w:sz w:val="21"/>
        </w:rPr>
        <w:t>2.</w:t>
      </w:r>
      <w:r>
        <w:rPr>
          <w:sz w:val="21"/>
        </w:rPr>
        <w:t>在执行本合同的过程中，所有经双方签署确认的文件（包括会议纪要、补充协议、往来信函）即成为本合同的有效组成部分。</w:t>
      </w:r>
    </w:p>
    <w:p>
      <w:pPr>
        <w:pStyle w:val="null3"/>
        <w:jc w:val="left"/>
      </w:pPr>
      <w:r>
        <w:rPr>
          <w:sz w:val="21"/>
        </w:rPr>
        <w:t>3.</w:t>
      </w:r>
      <w:r>
        <w:rPr>
          <w:sz w:val="21"/>
        </w:rPr>
        <w:t>如一方地址、电话、传真号码有变更，应在变更当日内书面通知对方，否则，应承担相应责任。</w:t>
      </w:r>
    </w:p>
    <w:p>
      <w:pPr>
        <w:pStyle w:val="null3"/>
        <w:jc w:val="left"/>
      </w:pPr>
      <w:r>
        <w:rPr>
          <w:sz w:val="21"/>
        </w:rPr>
        <w:t>4.</w:t>
      </w:r>
      <w:r>
        <w:rPr>
          <w:sz w:val="21"/>
        </w:rPr>
        <w:t>除甲方事先书面同意外，乙方不得部分或全部转让其应履行的合同项下的义务。</w:t>
      </w:r>
    </w:p>
    <w:p>
      <w:pPr>
        <w:pStyle w:val="null3"/>
        <w:jc w:val="left"/>
      </w:pPr>
      <w:r>
        <w:rPr>
          <w:sz w:val="21"/>
          <w:b/>
        </w:rPr>
        <w:t>十四、</w:t>
      </w:r>
      <w:r>
        <w:rPr>
          <w:sz w:val="24"/>
        </w:rPr>
        <w:t xml:space="preserve">      </w:t>
      </w:r>
      <w:r>
        <w:rPr>
          <w:sz w:val="21"/>
          <w:b/>
        </w:rPr>
        <w:t>合同生效</w:t>
      </w:r>
    </w:p>
    <w:p>
      <w:pPr>
        <w:pStyle w:val="null3"/>
        <w:jc w:val="left"/>
      </w:pPr>
      <w:r>
        <w:rPr>
          <w:sz w:val="21"/>
        </w:rPr>
        <w:t>1.</w:t>
      </w:r>
      <w:r>
        <w:rPr>
          <w:sz w:val="21"/>
        </w:rPr>
        <w:t>本合同在甲乙双方法人代表或其授权代表签字盖章后生效。</w:t>
      </w:r>
    </w:p>
    <w:p>
      <w:pPr>
        <w:pStyle w:val="null3"/>
        <w:jc w:val="left"/>
      </w:pPr>
      <w:r>
        <w:rPr>
          <w:sz w:val="21"/>
        </w:rPr>
        <w:t>2.</w:t>
      </w:r>
      <w:r>
        <w:rPr>
          <w:sz w:val="21"/>
        </w:rPr>
        <w:t>合同一式</w:t>
      </w:r>
      <w:r>
        <w:rPr>
          <w:sz w:val="24"/>
          <w:u w:val="single"/>
        </w:rPr>
        <w:t xml:space="preserve">    </w:t>
      </w:r>
      <w:r>
        <w:rPr>
          <w:sz w:val="21"/>
        </w:rPr>
        <w:t>份。</w:t>
      </w:r>
    </w:p>
    <w:p>
      <w:pPr>
        <w:pStyle w:val="null3"/>
        <w:jc w:val="left"/>
      </w:pPr>
      <w:r>
        <w:rPr>
          <w:sz w:val="24"/>
        </w:rPr>
        <w:t xml:space="preserve"> </w:t>
      </w:r>
    </w:p>
    <w:p>
      <w:pPr>
        <w:pStyle w:val="null3"/>
        <w:jc w:val="both"/>
      </w:pPr>
      <w:r>
        <w:rPr>
          <w:sz w:val="21"/>
          <w:b/>
        </w:rPr>
        <w:t>甲方（盖章）：乙方（盖章）：</w:t>
      </w:r>
    </w:p>
    <w:p>
      <w:pPr>
        <w:pStyle w:val="null3"/>
        <w:jc w:val="both"/>
      </w:pPr>
      <w:r>
        <w:rPr>
          <w:sz w:val="21"/>
          <w:b/>
        </w:rPr>
        <w:t>代表：代表：</w:t>
      </w:r>
    </w:p>
    <w:p>
      <w:pPr>
        <w:pStyle w:val="null3"/>
        <w:jc w:val="both"/>
      </w:pPr>
      <w:r>
        <w:rPr>
          <w:sz w:val="21"/>
        </w:rPr>
        <w:t>签订地点：</w:t>
      </w:r>
    </w:p>
    <w:p>
      <w:pPr>
        <w:pStyle w:val="null3"/>
        <w:jc w:val="both"/>
      </w:pPr>
      <w:r>
        <w:rPr>
          <w:sz w:val="21"/>
        </w:rPr>
        <w:t>签订日期：　　　年　　月　　日签订日期：　　　年　　月　　日</w:t>
      </w:r>
    </w:p>
    <w:p>
      <w:pPr>
        <w:pStyle w:val="null3"/>
        <w:jc w:val="both"/>
      </w:pPr>
      <w:r>
        <w:rPr>
          <w:sz w:val="21"/>
        </w:rPr>
        <w:t>开户名称：</w:t>
      </w:r>
    </w:p>
    <w:p>
      <w:pPr>
        <w:pStyle w:val="null3"/>
        <w:jc w:val="both"/>
      </w:pPr>
      <w:r>
        <w:rPr>
          <w:sz w:val="21"/>
        </w:rPr>
        <w:t>银行帐号：</w:t>
      </w:r>
    </w:p>
    <w:p>
      <w:pPr>
        <w:pStyle w:val="null3"/>
        <w:jc w:val="both"/>
      </w:pPr>
      <w:r>
        <w:rPr>
          <w:sz w:val="21"/>
        </w:rPr>
        <w:t>开</w:t>
      </w:r>
      <w:r>
        <w:rPr>
          <w:sz w:val="21"/>
        </w:rPr>
        <w:t>户</w:t>
      </w:r>
      <w:r>
        <w:rPr>
          <w:sz w:val="21"/>
        </w:rPr>
        <w:t>行：</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441781-2025-01728</w:t>
      </w:r>
    </w:p>
    <w:p>
      <w:pPr>
        <w:pStyle w:val="null3"/>
        <w:jc w:val="center"/>
        <w:outlineLvl w:val="3"/>
      </w:pPr>
      <w:r>
        <w:rPr>
          <w:sz w:val="24"/>
          <w:b/>
        </w:rPr>
        <w:t>采购项目编号：</w:t>
      </w:r>
      <w:r>
        <w:rPr>
          <w:sz w:val="24"/>
          <w:b/>
        </w:rPr>
        <w:t>0724-2531YJ014102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掺铥光纤激光治疗系统采购</w:t>
      </w:r>
      <w:r>
        <w:rPr>
          <w:u w:val="single"/>
        </w:rPr>
        <w:t>”</w:t>
      </w:r>
      <w:r>
        <w:rPr/>
        <w:t>项目的招标[采购项目编号为：</w:t>
      </w:r>
      <w:r>
        <w:rPr>
          <w:u w:val="single"/>
        </w:rPr>
        <w:t>0724-2531YJ014102</w:t>
      </w:r>
      <w:r>
        <w:rPr/>
        <w:t>]，我方愿参与投标。</w:t>
      </w:r>
    </w:p>
    <w:p>
      <w:pPr>
        <w:pStyle w:val="null3"/>
        <w:ind w:firstLine="480"/>
      </w:pPr>
      <w:r>
        <w:rPr/>
        <w:t>我方确认收到贵方提供的</w:t>
      </w:r>
      <w:r>
        <w:rPr>
          <w:u w:val="single"/>
        </w:rPr>
        <w:t>“</w:t>
      </w:r>
      <w:r>
        <w:rPr>
          <w:u w:val="single"/>
        </w:rPr>
        <w:t>掺铥光纤激光治疗系统采购</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掺铥光纤激光治疗系统采购</w:t>
      </w:r>
      <w:r>
        <w:rPr/>
        <w:t>”项目采购[采购项目编号为</w:t>
      </w:r>
      <w:r>
        <w:rPr/>
        <w:t>0724-2531YJ014102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阳春市人民医院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掺铥光纤激光治疗系统采购</w:t>
      </w:r>
      <w:r>
        <w:rPr/>
        <w:t>招标中获中标（采购项目编号：</w:t>
      </w:r>
      <w:r>
        <w:rPr/>
        <w:t>0724-2531YJ014102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掺铥光纤激光治疗系统采购</w:t>
      </w:r>
      <w:r>
        <w:rPr/>
        <w:t>”项目（采购项目编号：</w:t>
      </w:r>
      <w:r>
        <w:rPr/>
        <w:t>0724-2531YJ014102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