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AC97">
      <w:pPr>
        <w:pStyle w:val="17"/>
        <w:keepNext w:val="0"/>
        <w:keepLines w:val="0"/>
        <w:pageBreakBefore w:val="0"/>
        <w:kinsoku/>
        <w:wordWrap/>
        <w:overflowPunct/>
        <w:topLinePunct w:val="0"/>
        <w:autoSpaceDE/>
        <w:autoSpaceDN/>
        <w:bidi w:val="0"/>
        <w:snapToGrid/>
        <w:jc w:val="center"/>
        <w:outlineLvl w:val="9"/>
        <w:rPr>
          <w:color w:val="auto"/>
          <w:highlight w:val="none"/>
        </w:rPr>
      </w:pPr>
      <w:r>
        <w:rPr>
          <w:b/>
          <w:color w:val="auto"/>
          <w:sz w:val="36"/>
          <w:highlight w:val="none"/>
        </w:rPr>
        <w:t>第五章 合同文本</w:t>
      </w:r>
    </w:p>
    <w:p w14:paraId="2712CB9C">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宋体"/>
          <w:b/>
          <w:color w:val="auto"/>
          <w:kern w:val="0"/>
          <w:sz w:val="28"/>
          <w:szCs w:val="28"/>
          <w:highlight w:val="none"/>
          <w:lang w:val="en-US" w:eastAsia="zh-CN" w:bidi="ar-SA"/>
        </w:rPr>
      </w:pPr>
      <w:r>
        <w:rPr>
          <w:rFonts w:hint="eastAsia" w:ascii="仿宋_GB2312" w:hAnsi="宋体" w:eastAsia="仿宋_GB2312" w:cs="宋体"/>
          <w:b/>
          <w:color w:val="auto"/>
          <w:kern w:val="0"/>
          <w:sz w:val="28"/>
          <w:szCs w:val="28"/>
          <w:highlight w:val="none"/>
          <w:lang w:val="en-US" w:eastAsia="zh-CN" w:bidi="ar-SA"/>
        </w:rPr>
        <w:t>合同编号：</w:t>
      </w:r>
    </w:p>
    <w:p w14:paraId="7A4F1122">
      <w:pPr>
        <w:keepNext w:val="0"/>
        <w:keepLines w:val="0"/>
        <w:pageBreakBefore w:val="0"/>
        <w:kinsoku/>
        <w:wordWrap/>
        <w:overflowPunct/>
        <w:topLinePunct w:val="0"/>
        <w:autoSpaceDE/>
        <w:autoSpaceDN/>
        <w:bidi w:val="0"/>
        <w:snapToGrid/>
        <w:spacing w:line="360" w:lineRule="auto"/>
        <w:ind w:firstLine="482" w:firstLineChars="200"/>
        <w:outlineLvl w:val="9"/>
        <w:rPr>
          <w:rFonts w:hint="eastAsia" w:ascii="仿宋_GB2312" w:hAnsi="宋体" w:eastAsia="仿宋_GB2312" w:cs="宋体"/>
          <w:b/>
          <w:color w:val="auto"/>
          <w:kern w:val="0"/>
          <w:sz w:val="24"/>
          <w:szCs w:val="20"/>
          <w:highlight w:val="none"/>
          <w:lang w:val="en-US" w:eastAsia="zh-CN" w:bidi="ar-SA"/>
        </w:rPr>
      </w:pPr>
    </w:p>
    <w:p w14:paraId="21DB4127">
      <w:pPr>
        <w:keepNext w:val="0"/>
        <w:keepLines w:val="0"/>
        <w:pageBreakBefore w:val="0"/>
        <w:kinsoku/>
        <w:wordWrap/>
        <w:overflowPunct/>
        <w:topLinePunct w:val="0"/>
        <w:autoSpaceDE/>
        <w:autoSpaceDN/>
        <w:bidi w:val="0"/>
        <w:snapToGrid/>
        <w:spacing w:line="360" w:lineRule="auto"/>
        <w:ind w:firstLine="482" w:firstLineChars="200"/>
        <w:outlineLvl w:val="9"/>
        <w:rPr>
          <w:rFonts w:hint="eastAsia" w:ascii="仿宋_GB2312" w:hAnsi="宋体" w:eastAsia="仿宋_GB2312" w:cs="宋体"/>
          <w:b/>
          <w:color w:val="auto"/>
          <w:kern w:val="0"/>
          <w:sz w:val="24"/>
          <w:szCs w:val="20"/>
          <w:highlight w:val="none"/>
          <w:lang w:val="en-US" w:eastAsia="zh-CN" w:bidi="ar-SA"/>
        </w:rPr>
      </w:pPr>
    </w:p>
    <w:p w14:paraId="208CEA0C">
      <w:pPr>
        <w:keepNext w:val="0"/>
        <w:keepLines w:val="0"/>
        <w:pageBreakBefore w:val="0"/>
        <w:kinsoku/>
        <w:wordWrap/>
        <w:overflowPunct/>
        <w:topLinePunct w:val="0"/>
        <w:autoSpaceDE/>
        <w:autoSpaceDN/>
        <w:bidi w:val="0"/>
        <w:snapToGrid/>
        <w:spacing w:line="360" w:lineRule="auto"/>
        <w:ind w:firstLine="482" w:firstLineChars="200"/>
        <w:outlineLvl w:val="9"/>
        <w:rPr>
          <w:rFonts w:hint="eastAsia" w:ascii="仿宋_GB2312" w:hAnsi="宋体" w:eastAsia="仿宋_GB2312" w:cs="宋体"/>
          <w:b/>
          <w:color w:val="auto"/>
          <w:kern w:val="0"/>
          <w:sz w:val="24"/>
          <w:szCs w:val="20"/>
          <w:highlight w:val="none"/>
          <w:lang w:val="en-US" w:eastAsia="zh-CN" w:bidi="ar-SA"/>
        </w:rPr>
      </w:pPr>
    </w:p>
    <w:p w14:paraId="7F37B6CD">
      <w:pPr>
        <w:keepNext w:val="0"/>
        <w:keepLines w:val="0"/>
        <w:pageBreakBefore w:val="0"/>
        <w:kinsoku/>
        <w:wordWrap/>
        <w:overflowPunct/>
        <w:topLinePunct w:val="0"/>
        <w:autoSpaceDE/>
        <w:autoSpaceDN/>
        <w:bidi w:val="0"/>
        <w:snapToGrid/>
        <w:spacing w:line="360" w:lineRule="auto"/>
        <w:jc w:val="center"/>
        <w:outlineLvl w:val="9"/>
        <w:rPr>
          <w:rFonts w:hint="eastAsia" w:ascii="仿宋_GB2312" w:hAnsi="宋体" w:eastAsia="仿宋_GB2312" w:cs="宋体"/>
          <w:b/>
          <w:color w:val="auto"/>
          <w:kern w:val="0"/>
          <w:sz w:val="52"/>
          <w:szCs w:val="52"/>
          <w:highlight w:val="none"/>
          <w:lang w:val="en-US" w:eastAsia="zh-CN" w:bidi="ar-SA"/>
        </w:rPr>
      </w:pPr>
      <w:r>
        <w:rPr>
          <w:rFonts w:hint="eastAsia" w:ascii="仿宋_GB2312" w:hAnsi="宋体" w:eastAsia="仿宋_GB2312" w:cs="宋体"/>
          <w:b/>
          <w:color w:val="auto"/>
          <w:kern w:val="0"/>
          <w:sz w:val="52"/>
          <w:szCs w:val="52"/>
          <w:highlight w:val="none"/>
          <w:lang w:val="en-US" w:eastAsia="zh-CN" w:bidi="ar-SA"/>
        </w:rPr>
        <w:t>广州市电梯日常维护保养合同</w:t>
      </w:r>
    </w:p>
    <w:p w14:paraId="5C476D98">
      <w:pPr>
        <w:keepNext w:val="0"/>
        <w:keepLines w:val="0"/>
        <w:pageBreakBefore w:val="0"/>
        <w:kinsoku/>
        <w:wordWrap/>
        <w:overflowPunct/>
        <w:topLinePunct w:val="0"/>
        <w:autoSpaceDE/>
        <w:autoSpaceDN/>
        <w:bidi w:val="0"/>
        <w:snapToGrid/>
        <w:spacing w:line="360" w:lineRule="auto"/>
        <w:jc w:val="center"/>
        <w:outlineLvl w:val="9"/>
        <w:rPr>
          <w:rFonts w:hint="eastAsia" w:ascii="仿宋_GB2312" w:hAnsi="宋体" w:eastAsia="仿宋_GB2312" w:cs="宋体"/>
          <w:b/>
          <w:color w:val="auto"/>
          <w:kern w:val="0"/>
          <w:sz w:val="52"/>
          <w:szCs w:val="52"/>
          <w:highlight w:val="none"/>
          <w:lang w:val="en-US" w:eastAsia="zh-CN" w:bidi="ar-SA"/>
        </w:rPr>
      </w:pPr>
    </w:p>
    <w:p w14:paraId="005EE945">
      <w:pPr>
        <w:keepNext w:val="0"/>
        <w:keepLines w:val="0"/>
        <w:pageBreakBefore w:val="0"/>
        <w:kinsoku/>
        <w:wordWrap/>
        <w:overflowPunct/>
        <w:topLinePunct w:val="0"/>
        <w:autoSpaceDE/>
        <w:autoSpaceDN/>
        <w:bidi w:val="0"/>
        <w:snapToGrid/>
        <w:spacing w:line="360" w:lineRule="auto"/>
        <w:jc w:val="center"/>
        <w:outlineLvl w:val="9"/>
        <w:rPr>
          <w:rFonts w:hint="eastAsia" w:ascii="仿宋_GB2312" w:hAnsi="宋体" w:eastAsia="仿宋_GB2312" w:cs="宋体"/>
          <w:b/>
          <w:color w:val="auto"/>
          <w:kern w:val="0"/>
          <w:sz w:val="32"/>
          <w:szCs w:val="32"/>
          <w:highlight w:val="none"/>
          <w:lang w:val="en-US" w:eastAsia="zh-CN" w:bidi="ar-SA"/>
        </w:rPr>
      </w:pPr>
    </w:p>
    <w:p w14:paraId="2FCA8F82">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宋体"/>
          <w:b/>
          <w:color w:val="auto"/>
          <w:kern w:val="0"/>
          <w:sz w:val="24"/>
          <w:szCs w:val="20"/>
          <w:highlight w:val="none"/>
          <w:lang w:val="en-US" w:eastAsia="zh-CN" w:bidi="ar-SA"/>
        </w:rPr>
      </w:pPr>
    </w:p>
    <w:p w14:paraId="721C2751">
      <w:pPr>
        <w:keepNext w:val="0"/>
        <w:keepLines w:val="0"/>
        <w:pageBreakBefore w:val="0"/>
        <w:kinsoku/>
        <w:wordWrap/>
        <w:overflowPunct/>
        <w:topLinePunct w:val="0"/>
        <w:autoSpaceDE/>
        <w:autoSpaceDN/>
        <w:bidi w:val="0"/>
        <w:snapToGrid/>
        <w:spacing w:line="360" w:lineRule="auto"/>
        <w:ind w:firstLine="482" w:firstLineChars="200"/>
        <w:jc w:val="center"/>
        <w:outlineLvl w:val="9"/>
        <w:rPr>
          <w:rFonts w:hint="eastAsia" w:ascii="仿宋_GB2312" w:hAnsi="宋体" w:eastAsia="仿宋_GB2312" w:cs="宋体"/>
          <w:b/>
          <w:color w:val="auto"/>
          <w:kern w:val="0"/>
          <w:sz w:val="24"/>
          <w:szCs w:val="20"/>
          <w:highlight w:val="none"/>
          <w:lang w:val="en-US" w:eastAsia="zh-CN" w:bidi="ar-SA"/>
        </w:rPr>
      </w:pPr>
    </w:p>
    <w:p w14:paraId="56DD3C04">
      <w:pPr>
        <w:keepNext w:val="0"/>
        <w:keepLines w:val="0"/>
        <w:pageBreakBefore w:val="0"/>
        <w:kinsoku/>
        <w:wordWrap/>
        <w:overflowPunct/>
        <w:topLinePunct w:val="0"/>
        <w:autoSpaceDE/>
        <w:autoSpaceDN/>
        <w:bidi w:val="0"/>
        <w:snapToGrid/>
        <w:spacing w:line="360" w:lineRule="auto"/>
        <w:ind w:firstLine="1066" w:firstLineChars="295"/>
        <w:outlineLvl w:val="9"/>
        <w:rPr>
          <w:rFonts w:hint="eastAsia" w:ascii="仿宋_GB2312" w:hAnsi="宋体" w:eastAsia="仿宋_GB2312" w:cs="宋体"/>
          <w:b/>
          <w:color w:val="auto"/>
          <w:kern w:val="0"/>
          <w:sz w:val="36"/>
          <w:szCs w:val="36"/>
          <w:highlight w:val="none"/>
          <w:u w:val="single"/>
          <w:lang w:val="en-US" w:eastAsia="zh-CN" w:bidi="ar-SA"/>
        </w:rPr>
      </w:pPr>
      <w:r>
        <w:rPr>
          <w:rFonts w:hint="eastAsia" w:ascii="仿宋_GB2312" w:hAnsi="宋体" w:eastAsia="仿宋_GB2312" w:cs="宋体"/>
          <w:b/>
          <w:color w:val="auto"/>
          <w:kern w:val="0"/>
          <w:sz w:val="36"/>
          <w:szCs w:val="36"/>
          <w:highlight w:val="none"/>
          <w:lang w:val="en-US" w:eastAsia="zh-CN" w:bidi="ar-SA"/>
        </w:rPr>
        <w:t>使用单位：</w:t>
      </w:r>
      <w:r>
        <w:rPr>
          <w:rFonts w:hint="eastAsia" w:ascii="仿宋_GB2312" w:hAnsi="宋体" w:eastAsia="仿宋_GB2312" w:cs="宋体"/>
          <w:b/>
          <w:color w:val="auto"/>
          <w:kern w:val="0"/>
          <w:sz w:val="36"/>
          <w:szCs w:val="36"/>
          <w:highlight w:val="none"/>
          <w:u w:val="single"/>
          <w:lang w:val="en-US" w:eastAsia="zh-CN" w:bidi="ar-SA"/>
        </w:rPr>
        <w:t xml:space="preserve">                           </w:t>
      </w:r>
    </w:p>
    <w:p w14:paraId="06E66146">
      <w:pPr>
        <w:keepNext w:val="0"/>
        <w:keepLines w:val="0"/>
        <w:pageBreakBefore w:val="0"/>
        <w:kinsoku/>
        <w:wordWrap/>
        <w:overflowPunct/>
        <w:topLinePunct w:val="0"/>
        <w:autoSpaceDE/>
        <w:autoSpaceDN/>
        <w:bidi w:val="0"/>
        <w:snapToGrid/>
        <w:spacing w:line="360" w:lineRule="auto"/>
        <w:ind w:firstLine="1626" w:firstLineChars="450"/>
        <w:outlineLvl w:val="9"/>
        <w:rPr>
          <w:rFonts w:hint="eastAsia" w:ascii="仿宋_GB2312" w:hAnsi="宋体" w:eastAsia="仿宋_GB2312" w:cs="宋体"/>
          <w:b/>
          <w:color w:val="auto"/>
          <w:kern w:val="0"/>
          <w:sz w:val="36"/>
          <w:szCs w:val="36"/>
          <w:highlight w:val="none"/>
          <w:lang w:val="en-US" w:eastAsia="zh-CN" w:bidi="ar-SA"/>
        </w:rPr>
      </w:pPr>
    </w:p>
    <w:p w14:paraId="03308D70">
      <w:pPr>
        <w:keepNext w:val="0"/>
        <w:keepLines w:val="0"/>
        <w:pageBreakBefore w:val="0"/>
        <w:kinsoku/>
        <w:wordWrap/>
        <w:overflowPunct/>
        <w:topLinePunct w:val="0"/>
        <w:autoSpaceDE/>
        <w:autoSpaceDN/>
        <w:bidi w:val="0"/>
        <w:snapToGrid/>
        <w:spacing w:line="360" w:lineRule="auto"/>
        <w:ind w:firstLine="1066" w:firstLineChars="295"/>
        <w:outlineLvl w:val="9"/>
        <w:rPr>
          <w:rFonts w:hint="eastAsia" w:ascii="仿宋_GB2312" w:hAnsi="宋体" w:eastAsia="仿宋_GB2312" w:cs="宋体"/>
          <w:b/>
          <w:color w:val="auto"/>
          <w:kern w:val="0"/>
          <w:sz w:val="36"/>
          <w:szCs w:val="36"/>
          <w:highlight w:val="none"/>
          <w:u w:val="single"/>
          <w:lang w:val="en-US" w:eastAsia="zh-CN" w:bidi="ar-SA"/>
        </w:rPr>
      </w:pPr>
      <w:r>
        <w:rPr>
          <w:rFonts w:hint="eastAsia" w:ascii="仿宋_GB2312" w:hAnsi="宋体" w:eastAsia="仿宋_GB2312" w:cs="宋体"/>
          <w:b/>
          <w:color w:val="auto"/>
          <w:kern w:val="0"/>
          <w:sz w:val="36"/>
          <w:szCs w:val="36"/>
          <w:highlight w:val="none"/>
          <w:lang w:val="en-US" w:eastAsia="zh-CN" w:bidi="ar-SA"/>
        </w:rPr>
        <w:t>维保单位：</w:t>
      </w:r>
      <w:r>
        <w:rPr>
          <w:rFonts w:hint="eastAsia" w:ascii="仿宋_GB2312" w:hAnsi="宋体" w:eastAsia="仿宋_GB2312" w:cs="宋体"/>
          <w:b/>
          <w:color w:val="auto"/>
          <w:kern w:val="0"/>
          <w:sz w:val="36"/>
          <w:szCs w:val="36"/>
          <w:highlight w:val="none"/>
          <w:u w:val="single"/>
          <w:lang w:val="en-US" w:eastAsia="zh-CN" w:bidi="ar-SA"/>
        </w:rPr>
        <w:t xml:space="preserve">                           </w:t>
      </w:r>
    </w:p>
    <w:p w14:paraId="64AA3E01">
      <w:pPr>
        <w:keepNext w:val="0"/>
        <w:keepLines w:val="0"/>
        <w:pageBreakBefore w:val="0"/>
        <w:kinsoku/>
        <w:wordWrap/>
        <w:overflowPunct/>
        <w:topLinePunct w:val="0"/>
        <w:autoSpaceDE/>
        <w:autoSpaceDN/>
        <w:bidi w:val="0"/>
        <w:snapToGrid/>
        <w:spacing w:line="360" w:lineRule="auto"/>
        <w:ind w:firstLine="482" w:firstLineChars="200"/>
        <w:jc w:val="center"/>
        <w:outlineLvl w:val="9"/>
        <w:rPr>
          <w:rFonts w:hint="eastAsia" w:ascii="仿宋_GB2312" w:hAnsi="宋体" w:eastAsia="仿宋_GB2312" w:cs="宋体"/>
          <w:b/>
          <w:color w:val="auto"/>
          <w:kern w:val="0"/>
          <w:sz w:val="24"/>
          <w:szCs w:val="20"/>
          <w:highlight w:val="none"/>
          <w:lang w:val="en-US" w:eastAsia="zh-CN" w:bidi="ar-SA"/>
        </w:rPr>
      </w:pPr>
    </w:p>
    <w:p w14:paraId="09D1D577">
      <w:pPr>
        <w:keepNext w:val="0"/>
        <w:keepLines w:val="0"/>
        <w:pageBreakBefore w:val="0"/>
        <w:kinsoku/>
        <w:wordWrap/>
        <w:overflowPunct/>
        <w:topLinePunct w:val="0"/>
        <w:autoSpaceDE/>
        <w:autoSpaceDN/>
        <w:bidi w:val="0"/>
        <w:snapToGrid/>
        <w:spacing w:line="360" w:lineRule="auto"/>
        <w:ind w:firstLine="482" w:firstLineChars="200"/>
        <w:jc w:val="center"/>
        <w:outlineLvl w:val="9"/>
        <w:rPr>
          <w:rFonts w:hint="eastAsia" w:ascii="仿宋_GB2312" w:hAnsi="宋体" w:eastAsia="仿宋_GB2312" w:cs="宋体"/>
          <w:b/>
          <w:color w:val="auto"/>
          <w:kern w:val="0"/>
          <w:sz w:val="24"/>
          <w:szCs w:val="20"/>
          <w:highlight w:val="none"/>
          <w:lang w:val="en-US" w:eastAsia="zh-CN" w:bidi="ar-SA"/>
        </w:rPr>
      </w:pPr>
    </w:p>
    <w:p w14:paraId="6966D6A1">
      <w:pPr>
        <w:keepNext w:val="0"/>
        <w:keepLines w:val="0"/>
        <w:pageBreakBefore w:val="0"/>
        <w:kinsoku/>
        <w:wordWrap/>
        <w:overflowPunct/>
        <w:topLinePunct w:val="0"/>
        <w:autoSpaceDE/>
        <w:autoSpaceDN/>
        <w:bidi w:val="0"/>
        <w:snapToGrid/>
        <w:spacing w:line="360" w:lineRule="auto"/>
        <w:ind w:firstLine="3780" w:firstLineChars="1050"/>
        <w:outlineLvl w:val="9"/>
        <w:rPr>
          <w:rFonts w:hint="eastAsia" w:ascii="仿宋_GB2312" w:hAnsi="宋体" w:eastAsia="仿宋_GB2312" w:cs="宋体"/>
          <w:color w:val="auto"/>
          <w:kern w:val="0"/>
          <w:sz w:val="36"/>
          <w:szCs w:val="36"/>
          <w:highlight w:val="none"/>
          <w:lang w:val="en-US" w:eastAsia="zh-CN" w:bidi="ar-SA"/>
        </w:rPr>
      </w:pPr>
    </w:p>
    <w:p w14:paraId="5C092C0B">
      <w:pPr>
        <w:keepNext w:val="0"/>
        <w:keepLines w:val="0"/>
        <w:pageBreakBefore w:val="0"/>
        <w:kinsoku/>
        <w:wordWrap/>
        <w:overflowPunct/>
        <w:topLinePunct w:val="0"/>
        <w:autoSpaceDE/>
        <w:autoSpaceDN/>
        <w:bidi w:val="0"/>
        <w:snapToGrid/>
        <w:outlineLvl w:val="9"/>
        <w:rPr>
          <w:rFonts w:hint="eastAsia" w:ascii="仿宋_GB2312" w:hAnsi="宋体" w:eastAsia="仿宋_GB2312" w:cs="宋体"/>
          <w:color w:val="auto"/>
          <w:kern w:val="0"/>
          <w:sz w:val="36"/>
          <w:szCs w:val="36"/>
          <w:highlight w:val="none"/>
          <w:lang w:val="en-US" w:eastAsia="zh-CN" w:bidi="ar-SA"/>
        </w:rPr>
      </w:pPr>
      <w:r>
        <w:rPr>
          <w:rFonts w:hint="eastAsia" w:ascii="仿宋_GB2312" w:hAnsi="宋体" w:eastAsia="仿宋_GB2312" w:cs="宋体"/>
          <w:color w:val="auto"/>
          <w:kern w:val="0"/>
          <w:sz w:val="36"/>
          <w:szCs w:val="36"/>
          <w:highlight w:val="none"/>
          <w:lang w:val="en-US" w:eastAsia="zh-CN" w:bidi="ar-SA"/>
        </w:rPr>
        <w:br w:type="page"/>
      </w:r>
    </w:p>
    <w:p w14:paraId="49B6822A">
      <w:pPr>
        <w:keepNext w:val="0"/>
        <w:keepLines w:val="0"/>
        <w:pageBreakBefore w:val="0"/>
        <w:kinsoku/>
        <w:wordWrap/>
        <w:overflowPunct/>
        <w:topLinePunct w:val="0"/>
        <w:autoSpaceDE/>
        <w:autoSpaceDN/>
        <w:bidi w:val="0"/>
        <w:snapToGrid/>
        <w:spacing w:line="360" w:lineRule="auto"/>
        <w:jc w:val="center"/>
        <w:outlineLvl w:val="9"/>
        <w:rPr>
          <w:rFonts w:hint="eastAsia" w:ascii="仿宋_GB2312" w:hAnsi="宋体" w:eastAsia="仿宋_GB2312" w:cs="宋体"/>
          <w:color w:val="auto"/>
          <w:kern w:val="0"/>
          <w:sz w:val="36"/>
          <w:szCs w:val="36"/>
          <w:highlight w:val="none"/>
          <w:lang w:val="en-US" w:eastAsia="zh-CN" w:bidi="ar-SA"/>
        </w:rPr>
      </w:pPr>
      <w:r>
        <w:rPr>
          <w:rFonts w:hint="eastAsia" w:ascii="仿宋_GB2312" w:hAnsi="宋体" w:eastAsia="仿宋_GB2312" w:cs="宋体"/>
          <w:color w:val="auto"/>
          <w:kern w:val="0"/>
          <w:sz w:val="36"/>
          <w:szCs w:val="36"/>
          <w:highlight w:val="none"/>
          <w:lang w:val="en-US" w:eastAsia="zh-CN" w:bidi="ar-SA"/>
        </w:rPr>
        <w:t>广州市市场监督管理局编制</w:t>
      </w:r>
    </w:p>
    <w:p w14:paraId="1DFC1515">
      <w:pPr>
        <w:keepNext w:val="0"/>
        <w:keepLines w:val="0"/>
        <w:pageBreakBefore w:val="0"/>
        <w:kinsoku/>
        <w:wordWrap/>
        <w:overflowPunct/>
        <w:topLinePunct w:val="0"/>
        <w:autoSpaceDE/>
        <w:autoSpaceDN/>
        <w:bidi w:val="0"/>
        <w:snapToGrid/>
        <w:spacing w:beforeLines="0" w:afterLines="0" w:line="600" w:lineRule="exact"/>
        <w:ind w:firstLine="0" w:firstLineChars="0"/>
        <w:jc w:val="center"/>
        <w:outlineLvl w:val="9"/>
        <w:rPr>
          <w:rFonts w:hint="eastAsia" w:ascii="仿宋_GB2312" w:hAnsi="宋体" w:eastAsia="仿宋_GB2312" w:cs="宋体"/>
          <w:color w:val="auto"/>
          <w:kern w:val="0"/>
          <w:sz w:val="36"/>
          <w:szCs w:val="36"/>
          <w:highlight w:val="none"/>
          <w:lang w:val="en-US" w:eastAsia="zh-CN" w:bidi="ar-SA"/>
        </w:rPr>
      </w:pPr>
      <w:r>
        <w:rPr>
          <w:rFonts w:hint="eastAsia" w:ascii="仿宋_GB2312" w:hAnsi="宋体" w:eastAsia="仿宋_GB2312" w:cs="宋体"/>
          <w:color w:val="auto"/>
          <w:kern w:val="0"/>
          <w:sz w:val="36"/>
          <w:szCs w:val="36"/>
          <w:highlight w:val="none"/>
          <w:lang w:val="en-US" w:eastAsia="zh-CN" w:bidi="ar-SA"/>
        </w:rPr>
        <w:t>使用说明</w:t>
      </w:r>
    </w:p>
    <w:p w14:paraId="729F2DE0">
      <w:pPr>
        <w:keepNext w:val="0"/>
        <w:keepLines w:val="0"/>
        <w:pageBreakBefore w:val="0"/>
        <w:kinsoku/>
        <w:wordWrap/>
        <w:overflowPunct/>
        <w:topLinePunct w:val="0"/>
        <w:autoSpaceDE/>
        <w:autoSpaceDN/>
        <w:bidi w:val="0"/>
        <w:snapToGrid/>
        <w:spacing w:beforeLines="0" w:afterLines="0" w:line="600" w:lineRule="exact"/>
        <w:ind w:firstLine="0" w:firstLineChars="0"/>
        <w:jc w:val="center"/>
        <w:outlineLvl w:val="9"/>
        <w:rPr>
          <w:rFonts w:hint="eastAsia" w:ascii="仿宋_GB2312" w:hAnsi="宋体" w:eastAsia="仿宋_GB2312" w:cs="宋体"/>
          <w:color w:val="auto"/>
          <w:kern w:val="0"/>
          <w:sz w:val="24"/>
          <w:szCs w:val="20"/>
          <w:highlight w:val="none"/>
          <w:lang w:val="en-US" w:eastAsia="zh-CN" w:bidi="ar-SA"/>
        </w:rPr>
      </w:pPr>
    </w:p>
    <w:p w14:paraId="36AB193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1、适用范围：本合同适用于乘客电梯、载货电梯、自动扶梯与自动人行道的日常维护保养。</w:t>
      </w:r>
    </w:p>
    <w:p w14:paraId="56581CD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黑体"/>
          <w:color w:val="auto"/>
          <w:kern w:val="0"/>
          <w:sz w:val="24"/>
          <w:szCs w:val="24"/>
          <w:highlight w:val="none"/>
          <w:lang w:val="en-US" w:eastAsia="zh-CN" w:bidi="ar-SA"/>
        </w:rPr>
        <w:t>2、维保单位</w:t>
      </w:r>
      <w:r>
        <w:rPr>
          <w:rFonts w:hint="eastAsia" w:ascii="仿宋_GB2312" w:hAnsi="宋体" w:eastAsia="仿宋_GB2312" w:cs="ºúìå"/>
          <w:color w:val="auto"/>
          <w:kern w:val="0"/>
          <w:sz w:val="24"/>
          <w:szCs w:val="24"/>
          <w:highlight w:val="none"/>
          <w:lang w:val="en-US" w:eastAsia="zh-CN" w:bidi="ar-SA"/>
        </w:rPr>
        <w:t>：</w:t>
      </w:r>
      <w:r>
        <w:rPr>
          <w:rFonts w:hint="eastAsia" w:ascii="仿宋_GB2312" w:hAnsi="宋体" w:eastAsia="仿宋_GB2312" w:cs="宋体"/>
          <w:color w:val="auto"/>
          <w:kern w:val="0"/>
          <w:sz w:val="24"/>
          <w:szCs w:val="24"/>
          <w:highlight w:val="none"/>
          <w:lang w:val="en-US" w:eastAsia="zh-CN" w:bidi="ar-SA"/>
        </w:rPr>
        <w:t>具备特种设备安全监督管理部门核发的许可证，从事电梯制造、安装、改造、维修的单位。</w:t>
      </w:r>
    </w:p>
    <w:p w14:paraId="55F98D9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黑体"/>
          <w:color w:val="auto"/>
          <w:kern w:val="0"/>
          <w:sz w:val="24"/>
          <w:szCs w:val="24"/>
          <w:highlight w:val="none"/>
          <w:lang w:val="en-US" w:eastAsia="zh-CN" w:bidi="ar-SA"/>
        </w:rPr>
        <w:t>3、日常维护保养</w:t>
      </w:r>
      <w:r>
        <w:rPr>
          <w:rFonts w:hint="eastAsia" w:ascii="仿宋_GB2312" w:hAnsi="宋体" w:eastAsia="仿宋_GB2312" w:cs="ºúìå"/>
          <w:color w:val="auto"/>
          <w:kern w:val="0"/>
          <w:sz w:val="24"/>
          <w:szCs w:val="24"/>
          <w:highlight w:val="none"/>
          <w:lang w:val="en-US" w:eastAsia="zh-CN" w:bidi="ar-SA"/>
        </w:rPr>
        <w:t>：</w:t>
      </w:r>
      <w:r>
        <w:rPr>
          <w:rFonts w:hint="eastAsia" w:ascii="仿宋_GB2312" w:hAnsi="宋体" w:eastAsia="仿宋_GB2312" w:cs="宋体"/>
          <w:color w:val="auto"/>
          <w:kern w:val="0"/>
          <w:sz w:val="24"/>
          <w:szCs w:val="24"/>
          <w:highlight w:val="none"/>
          <w:lang w:val="en-US" w:eastAsia="zh-CN" w:bidi="ar-SA"/>
        </w:rPr>
        <w:t>对电梯进行清洁、润滑、调整和检查等日常维护或保养工作。其中清洁、润滑不包括部件的解体，调整只限于不会改变任何安全技术参数的调整。</w:t>
      </w:r>
    </w:p>
    <w:p w14:paraId="043AC7F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黑体"/>
          <w:color w:val="auto"/>
          <w:kern w:val="0"/>
          <w:sz w:val="24"/>
          <w:szCs w:val="24"/>
          <w:highlight w:val="none"/>
          <w:lang w:val="en-US" w:eastAsia="zh-CN" w:bidi="ar-SA"/>
        </w:rPr>
        <w:t>4、</w:t>
      </w:r>
      <w:r>
        <w:rPr>
          <w:rFonts w:hint="eastAsia" w:ascii="仿宋_GB2312" w:hAnsi="宋体" w:eastAsia="仿宋_GB2312" w:cs="宋体"/>
          <w:color w:val="auto"/>
          <w:kern w:val="0"/>
          <w:sz w:val="24"/>
          <w:szCs w:val="24"/>
          <w:highlight w:val="none"/>
          <w:lang w:val="en-US" w:eastAsia="zh-CN" w:bidi="ar-SA"/>
        </w:rPr>
        <w:t>清包：只提供劳务，不提供任何电梯零部件。</w:t>
      </w:r>
    </w:p>
    <w:p w14:paraId="61F9EDB3">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5、半包：既提供劳务，又免费提供部分电梯零部件。</w:t>
      </w:r>
    </w:p>
    <w:p w14:paraId="1ECB048B">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outlineLvl w:val="9"/>
        <w:rPr>
          <w:rFonts w:hint="eastAsia" w:ascii="仿宋_GB2312" w:hAnsi="Times New Roman" w:eastAsia="仿宋_GB2312" w:cs="Times New Roman"/>
          <w:color w:val="auto"/>
          <w:kern w:val="0"/>
          <w:sz w:val="24"/>
          <w:szCs w:val="24"/>
          <w:highlight w:val="none"/>
          <w:lang w:val="en-US" w:eastAsia="zh-CN" w:bidi="ar-SA"/>
        </w:rPr>
      </w:pPr>
      <w:r>
        <w:rPr>
          <w:rFonts w:hint="eastAsia" w:ascii="仿宋_GB2312" w:hAnsi="Times New Roman" w:eastAsia="仿宋_GB2312" w:cs="Times New Roman"/>
          <w:color w:val="auto"/>
          <w:kern w:val="0"/>
          <w:sz w:val="24"/>
          <w:szCs w:val="24"/>
          <w:highlight w:val="none"/>
          <w:lang w:val="en-US" w:eastAsia="zh-CN" w:bidi="ar-SA"/>
        </w:rPr>
        <w:t>6、大包：既提供劳务，又免费提供大多数电梯零部件（电梯：曳引机、控制柜主板、曳引钢丝绳、轿厢装饰除外；自动扶梯和自动人行道：扶手带、电机、控制柜主板除外）。</w:t>
      </w:r>
    </w:p>
    <w:p w14:paraId="4ACE6D9E">
      <w:pPr>
        <w:keepNext w:val="0"/>
        <w:keepLines w:val="0"/>
        <w:pageBreakBefore w:val="0"/>
        <w:widowControl w:val="0"/>
        <w:kinsoku/>
        <w:wordWrap/>
        <w:overflowPunct/>
        <w:topLinePunct w:val="0"/>
        <w:autoSpaceDE/>
        <w:autoSpaceDN/>
        <w:bidi w:val="0"/>
        <w:adjustRightInd/>
        <w:snapToGrid/>
        <w:spacing w:beforeLines="0" w:afterLines="0" w:line="360" w:lineRule="auto"/>
        <w:ind w:left="0" w:firstLine="480" w:firstLineChars="200"/>
        <w:textAlignment w:val="auto"/>
        <w:outlineLvl w:val="9"/>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宋体" w:eastAsia="仿宋_GB2312" w:cs="Arial"/>
          <w:color w:val="auto"/>
          <w:kern w:val="0"/>
          <w:sz w:val="24"/>
          <w:szCs w:val="24"/>
          <w:highlight w:val="none"/>
          <w:lang w:val="en-US" w:eastAsia="zh-CN" w:bidi="ar-SA"/>
        </w:rPr>
        <w:t>7、</w:t>
      </w:r>
      <w:r>
        <w:rPr>
          <w:rFonts w:hint="eastAsia" w:ascii="仿宋_GB2312" w:hAnsi="Times New Roman" w:eastAsia="仿宋_GB2312" w:cs="Times New Roman"/>
          <w:color w:val="auto"/>
          <w:kern w:val="2"/>
          <w:sz w:val="24"/>
          <w:szCs w:val="24"/>
          <w:highlight w:val="none"/>
          <w:lang w:val="en-US" w:eastAsia="zh-CN" w:bidi="ar-SA"/>
        </w:rPr>
        <w:t>电梯责任保险：指</w:t>
      </w:r>
      <w:r>
        <w:rPr>
          <w:rFonts w:hint="eastAsia" w:ascii="仿宋_GB2312" w:hAnsi="Times New Roman" w:eastAsia="仿宋_GB2312" w:cs="Times New Roman"/>
          <w:color w:val="auto"/>
          <w:kern w:val="2"/>
          <w:sz w:val="24"/>
          <w:szCs w:val="24"/>
          <w:highlight w:val="none"/>
          <w:lang w:val="en-US" w:eastAsia="zh-CN" w:bidi="ar-SA"/>
        </w:rPr>
        <w:fldChar w:fldCharType="begin"/>
      </w:r>
      <w:r>
        <w:rPr>
          <w:rFonts w:hint="eastAsia" w:ascii="仿宋_GB2312" w:hAnsi="Times New Roman" w:eastAsia="仿宋_GB2312" w:cs="Times New Roman"/>
          <w:color w:val="auto"/>
          <w:kern w:val="2"/>
          <w:sz w:val="24"/>
          <w:szCs w:val="24"/>
          <w:highlight w:val="none"/>
          <w:lang w:val="en-US" w:eastAsia="zh-CN" w:bidi="ar-SA"/>
        </w:rPr>
        <w:instrText xml:space="preserve"> HYPERLINK "http://wiki.mbalib.com/wiki/%E8%A2%AB%E4%BF%9D%E9%99%A9%E4%BA%BA" \o "被保险人" </w:instrText>
      </w:r>
      <w:r>
        <w:rPr>
          <w:rFonts w:hint="eastAsia" w:ascii="仿宋_GB2312" w:hAnsi="Times New Roman" w:eastAsia="仿宋_GB2312" w:cs="Times New Roman"/>
          <w:color w:val="auto"/>
          <w:kern w:val="2"/>
          <w:sz w:val="24"/>
          <w:szCs w:val="24"/>
          <w:highlight w:val="none"/>
          <w:lang w:val="en-US" w:eastAsia="zh-CN" w:bidi="ar-SA"/>
        </w:rPr>
        <w:fldChar w:fldCharType="separate"/>
      </w:r>
      <w:r>
        <w:rPr>
          <w:rFonts w:hint="eastAsia" w:ascii="仿宋_GB2312" w:hAnsi="Times New Roman" w:eastAsia="仿宋_GB2312" w:cs="Times New Roman"/>
          <w:color w:val="auto"/>
          <w:kern w:val="2"/>
          <w:sz w:val="24"/>
          <w:szCs w:val="24"/>
          <w:highlight w:val="none"/>
          <w:u w:val="none"/>
          <w:lang w:val="en-US" w:eastAsia="zh-CN" w:bidi="ar-SA"/>
        </w:rPr>
        <w:t>被保险人</w:t>
      </w:r>
      <w:r>
        <w:rPr>
          <w:rFonts w:hint="eastAsia" w:ascii="仿宋_GB2312" w:hAnsi="Times New Roman" w:eastAsia="仿宋_GB2312" w:cs="Times New Roman"/>
          <w:color w:val="auto"/>
          <w:kern w:val="2"/>
          <w:sz w:val="24"/>
          <w:szCs w:val="24"/>
          <w:highlight w:val="none"/>
          <w:lang w:val="en-US" w:eastAsia="zh-CN" w:bidi="ar-SA"/>
        </w:rPr>
        <w:fldChar w:fldCharType="end"/>
      </w:r>
      <w:r>
        <w:rPr>
          <w:rFonts w:hint="eastAsia" w:ascii="仿宋_GB2312" w:hAnsi="Times New Roman" w:eastAsia="仿宋_GB2312" w:cs="Times New Roman"/>
          <w:color w:val="auto"/>
          <w:kern w:val="2"/>
          <w:sz w:val="24"/>
          <w:szCs w:val="24"/>
          <w:highlight w:val="none"/>
          <w:lang w:val="en-US" w:eastAsia="zh-CN" w:bidi="ar-SA"/>
        </w:rPr>
        <w:t>所拥有或</w:t>
      </w:r>
      <w:r>
        <w:rPr>
          <w:rFonts w:hint="eastAsia" w:ascii="仿宋_GB2312" w:hAnsi="Times New Roman" w:eastAsia="仿宋_GB2312" w:cs="Times New Roman"/>
          <w:color w:val="auto"/>
          <w:kern w:val="2"/>
          <w:sz w:val="24"/>
          <w:szCs w:val="24"/>
          <w:highlight w:val="none"/>
          <w:lang w:val="en-US" w:eastAsia="zh-CN" w:bidi="ar-SA"/>
        </w:rPr>
        <w:fldChar w:fldCharType="begin"/>
      </w:r>
      <w:r>
        <w:rPr>
          <w:rFonts w:hint="eastAsia" w:ascii="仿宋_GB2312" w:hAnsi="Times New Roman" w:eastAsia="仿宋_GB2312" w:cs="Times New Roman"/>
          <w:color w:val="auto"/>
          <w:kern w:val="2"/>
          <w:sz w:val="24"/>
          <w:szCs w:val="24"/>
          <w:highlight w:val="none"/>
          <w:lang w:val="en-US" w:eastAsia="zh-CN" w:bidi="ar-SA"/>
        </w:rPr>
        <w:instrText xml:space="preserve"> HYPERLINK "http://wiki.mbalib.com/wiki/%E7%AE%A1%E7%90%86" \o "管理" </w:instrText>
      </w:r>
      <w:r>
        <w:rPr>
          <w:rFonts w:hint="eastAsia" w:ascii="仿宋_GB2312" w:hAnsi="Times New Roman" w:eastAsia="仿宋_GB2312" w:cs="Times New Roman"/>
          <w:color w:val="auto"/>
          <w:kern w:val="2"/>
          <w:sz w:val="24"/>
          <w:szCs w:val="24"/>
          <w:highlight w:val="none"/>
          <w:lang w:val="en-US" w:eastAsia="zh-CN" w:bidi="ar-SA"/>
        </w:rPr>
        <w:fldChar w:fldCharType="separate"/>
      </w:r>
      <w:r>
        <w:rPr>
          <w:rFonts w:hint="eastAsia" w:ascii="仿宋_GB2312" w:hAnsi="Times New Roman" w:eastAsia="仿宋_GB2312" w:cs="Times New Roman"/>
          <w:color w:val="auto"/>
          <w:kern w:val="2"/>
          <w:sz w:val="24"/>
          <w:szCs w:val="24"/>
          <w:highlight w:val="none"/>
          <w:u w:val="none"/>
          <w:lang w:val="en-US" w:eastAsia="zh-CN" w:bidi="ar-SA"/>
        </w:rPr>
        <w:t>管理</w:t>
      </w:r>
      <w:r>
        <w:rPr>
          <w:rFonts w:hint="eastAsia" w:ascii="仿宋_GB2312" w:hAnsi="Times New Roman" w:eastAsia="仿宋_GB2312" w:cs="Times New Roman"/>
          <w:color w:val="auto"/>
          <w:kern w:val="2"/>
          <w:sz w:val="24"/>
          <w:szCs w:val="24"/>
          <w:highlight w:val="none"/>
          <w:lang w:val="en-US" w:eastAsia="zh-CN" w:bidi="ar-SA"/>
        </w:rPr>
        <w:fldChar w:fldCharType="end"/>
      </w:r>
      <w:r>
        <w:rPr>
          <w:rFonts w:hint="eastAsia" w:ascii="仿宋_GB2312" w:hAnsi="Times New Roman" w:eastAsia="仿宋_GB2312" w:cs="Times New Roman"/>
          <w:color w:val="auto"/>
          <w:kern w:val="2"/>
          <w:sz w:val="24"/>
          <w:szCs w:val="24"/>
          <w:highlight w:val="none"/>
          <w:lang w:val="en-US" w:eastAsia="zh-CN" w:bidi="ar-SA"/>
        </w:rPr>
        <w:t>的电梯在运行期间造成乘客的人身伤亡和/或财产损失，依照中华人民共和国法律应由被保险人承担的经济赔偿责任的保险。本合同所指的被保险人，至少包括电梯使用单位和电梯维保单位。</w:t>
      </w:r>
    </w:p>
    <w:p w14:paraId="7EBCC6C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outlineLvl w:val="9"/>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宋体" w:eastAsia="仿宋_GB2312" w:cs="宋体"/>
          <w:color w:val="auto"/>
          <w:kern w:val="2"/>
          <w:sz w:val="24"/>
          <w:szCs w:val="24"/>
          <w:highlight w:val="none"/>
          <w:lang w:val="en-US" w:eastAsia="zh-CN" w:bidi="ar-SA"/>
        </w:rPr>
        <w:t>电梯责任保险应该选择符合广东省电梯安全监管改革方案的责任保险，即涵盖电梯使用、管理、维护保养等环节，涵盖乘客、管理、维护保养等人员，涵盖安全生产事故、意外事故等突发事件，具有快速理赔特征。</w:t>
      </w:r>
    </w:p>
    <w:p w14:paraId="22391637">
      <w:pPr>
        <w:keepNext w:val="0"/>
        <w:keepLines w:val="0"/>
        <w:pageBreakBefore w:val="0"/>
        <w:kinsoku/>
        <w:wordWrap/>
        <w:overflowPunct/>
        <w:topLinePunct w:val="0"/>
        <w:autoSpaceDE/>
        <w:autoSpaceDN/>
        <w:bidi w:val="0"/>
        <w:snapToGrid/>
        <w:spacing w:beforeLines="0" w:afterLines="0" w:line="600" w:lineRule="exact"/>
        <w:jc w:val="center"/>
        <w:outlineLvl w:val="9"/>
        <w:rPr>
          <w:rFonts w:hint="eastAsia" w:ascii="仿宋_GB2312" w:hAnsi="宋体" w:eastAsia="仿宋_GB2312" w:cs="宋体"/>
          <w:b/>
          <w:color w:val="auto"/>
          <w:kern w:val="0"/>
          <w:sz w:val="32"/>
          <w:szCs w:val="32"/>
          <w:highlight w:val="none"/>
          <w:lang w:val="en-US" w:eastAsia="zh-CN" w:bidi="ar-SA"/>
        </w:rPr>
      </w:pPr>
    </w:p>
    <w:p w14:paraId="470B57B5">
      <w:pPr>
        <w:keepNext w:val="0"/>
        <w:keepLines w:val="0"/>
        <w:pageBreakBefore w:val="0"/>
        <w:kinsoku/>
        <w:wordWrap/>
        <w:overflowPunct/>
        <w:topLinePunct w:val="0"/>
        <w:autoSpaceDE/>
        <w:autoSpaceDN/>
        <w:bidi w:val="0"/>
        <w:snapToGrid/>
        <w:outlineLvl w:val="9"/>
        <w:rPr>
          <w:rFonts w:hint="eastAsia" w:ascii="仿宋_GB2312" w:hAnsi="宋体" w:eastAsia="仿宋_GB2312" w:cs="宋体"/>
          <w:b/>
          <w:color w:val="auto"/>
          <w:kern w:val="0"/>
          <w:sz w:val="32"/>
          <w:szCs w:val="32"/>
          <w:highlight w:val="none"/>
          <w:lang w:val="en-US" w:eastAsia="zh-CN" w:bidi="ar-SA"/>
        </w:rPr>
      </w:pPr>
      <w:r>
        <w:rPr>
          <w:rFonts w:hint="eastAsia" w:ascii="仿宋_GB2312" w:hAnsi="宋体" w:eastAsia="仿宋_GB2312" w:cs="宋体"/>
          <w:b/>
          <w:color w:val="auto"/>
          <w:kern w:val="0"/>
          <w:sz w:val="32"/>
          <w:szCs w:val="32"/>
          <w:highlight w:val="none"/>
          <w:lang w:val="en-US" w:eastAsia="zh-CN" w:bidi="ar-SA"/>
        </w:rPr>
        <w:br w:type="page"/>
      </w:r>
    </w:p>
    <w:p w14:paraId="776DCD14">
      <w:pPr>
        <w:keepNext w:val="0"/>
        <w:keepLines w:val="0"/>
        <w:pageBreakBefore w:val="0"/>
        <w:kinsoku/>
        <w:wordWrap/>
        <w:overflowPunct/>
        <w:topLinePunct w:val="0"/>
        <w:autoSpaceDE/>
        <w:autoSpaceDN/>
        <w:bidi w:val="0"/>
        <w:snapToGrid/>
        <w:spacing w:beforeLines="0" w:afterLines="0" w:line="600" w:lineRule="exact"/>
        <w:jc w:val="center"/>
        <w:outlineLvl w:val="9"/>
        <w:rPr>
          <w:rFonts w:hint="eastAsia" w:ascii="仿宋_GB2312" w:hAnsi="宋体" w:eastAsia="仿宋_GB2312" w:cs="宋体"/>
          <w:b/>
          <w:color w:val="auto"/>
          <w:kern w:val="0"/>
          <w:sz w:val="32"/>
          <w:szCs w:val="32"/>
          <w:highlight w:val="none"/>
          <w:lang w:val="en-US" w:eastAsia="zh-CN" w:bidi="ar-SA"/>
        </w:rPr>
      </w:pPr>
      <w:r>
        <w:rPr>
          <w:rFonts w:hint="eastAsia" w:ascii="仿宋_GB2312" w:hAnsi="宋体" w:eastAsia="仿宋_GB2312" w:cs="宋体"/>
          <w:b/>
          <w:color w:val="auto"/>
          <w:kern w:val="0"/>
          <w:sz w:val="32"/>
          <w:szCs w:val="32"/>
          <w:highlight w:val="none"/>
          <w:lang w:val="en-US" w:eastAsia="zh-CN" w:bidi="ar-SA"/>
        </w:rPr>
        <w:t>广州市电梯日常维护保养合同</w:t>
      </w:r>
    </w:p>
    <w:p w14:paraId="184BEEA9">
      <w:pPr>
        <w:keepNext w:val="0"/>
        <w:keepLines w:val="0"/>
        <w:pageBreakBefore w:val="0"/>
        <w:kinsoku/>
        <w:wordWrap/>
        <w:overflowPunct/>
        <w:topLinePunct w:val="0"/>
        <w:autoSpaceDE/>
        <w:autoSpaceDN/>
        <w:bidi w:val="0"/>
        <w:snapToGrid/>
        <w:spacing w:beforeLines="0" w:afterLines="0" w:line="600" w:lineRule="exact"/>
        <w:jc w:val="center"/>
        <w:outlineLvl w:val="9"/>
        <w:rPr>
          <w:rFonts w:hint="eastAsia" w:ascii="仿宋_GB2312" w:hAnsi="宋体" w:eastAsia="仿宋_GB2312" w:cs="宋体"/>
          <w:color w:val="auto"/>
          <w:kern w:val="0"/>
          <w:sz w:val="24"/>
          <w:szCs w:val="20"/>
          <w:highlight w:val="none"/>
          <w:lang w:val="en-US" w:eastAsia="zh-CN" w:bidi="ar-SA"/>
        </w:rPr>
      </w:pPr>
    </w:p>
    <w:p w14:paraId="3661038A">
      <w:pPr>
        <w:keepNext w:val="0"/>
        <w:keepLines w:val="0"/>
        <w:pageBreakBefore w:val="0"/>
        <w:kinsoku/>
        <w:wordWrap/>
        <w:overflowPunct/>
        <w:topLinePunct w:val="0"/>
        <w:autoSpaceDE/>
        <w:autoSpaceDN/>
        <w:bidi w:val="0"/>
        <w:snapToGrid/>
        <w:spacing w:beforeLines="0" w:afterLines="0" w:line="600" w:lineRule="exact"/>
        <w:jc w:val="left"/>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使用单位（甲方）</w:t>
      </w:r>
      <w:r>
        <w:rPr>
          <w:rFonts w:hint="eastAsia" w:ascii="仿宋_GB2312" w:hAnsi="宋体" w:eastAsia="仿宋_GB2312" w:cs="宋体"/>
          <w:b/>
          <w:color w:val="auto"/>
          <w:kern w:val="0"/>
          <w:sz w:val="24"/>
          <w:szCs w:val="20"/>
          <w:highlight w:val="none"/>
          <w:u w:val="single"/>
          <w:lang w:val="en-US" w:eastAsia="zh-CN" w:bidi="ar-SA"/>
        </w:rPr>
        <w:t xml:space="preserve">                                                   </w:t>
      </w:r>
    </w:p>
    <w:p w14:paraId="6658493E">
      <w:pPr>
        <w:keepNext w:val="0"/>
        <w:keepLines w:val="0"/>
        <w:pageBreakBefore w:val="0"/>
        <w:kinsoku/>
        <w:wordWrap/>
        <w:overflowPunct/>
        <w:topLinePunct w:val="0"/>
        <w:autoSpaceDE/>
        <w:autoSpaceDN/>
        <w:bidi w:val="0"/>
        <w:snapToGrid/>
        <w:spacing w:beforeLines="0" w:afterLines="0" w:line="600" w:lineRule="exact"/>
        <w:jc w:val="left"/>
        <w:outlineLvl w:val="9"/>
        <w:rPr>
          <w:rFonts w:hint="eastAsia" w:ascii="仿宋_GB2312" w:hAnsi="宋体" w:eastAsia="仿宋_GB2312" w:cs="宋体"/>
          <w:color w:val="auto"/>
          <w:kern w:val="0"/>
          <w:sz w:val="24"/>
          <w:szCs w:val="20"/>
          <w:highlight w:val="none"/>
          <w:u w:val="single"/>
          <w:lang w:val="en-US" w:eastAsia="zh-CN" w:bidi="ar-SA"/>
        </w:rPr>
      </w:pPr>
      <w:r>
        <w:rPr>
          <w:rFonts w:hint="eastAsia" w:ascii="仿宋_GB2312" w:hAnsi="宋体" w:eastAsia="仿宋_GB2312" w:cs="宋体"/>
          <w:b/>
          <w:color w:val="auto"/>
          <w:kern w:val="0"/>
          <w:sz w:val="24"/>
          <w:szCs w:val="20"/>
          <w:highlight w:val="none"/>
          <w:lang w:val="en-US" w:eastAsia="zh-CN" w:bidi="ar-SA"/>
        </w:rPr>
        <w:t>维保单位（乙方）</w:t>
      </w:r>
      <w:r>
        <w:rPr>
          <w:rFonts w:hint="eastAsia" w:ascii="仿宋_GB2312" w:hAnsi="宋体" w:eastAsia="仿宋_GB2312" w:cs="宋体"/>
          <w:b/>
          <w:color w:val="auto"/>
          <w:kern w:val="0"/>
          <w:sz w:val="24"/>
          <w:szCs w:val="20"/>
          <w:highlight w:val="none"/>
          <w:u w:val="single"/>
          <w:lang w:val="en-US" w:eastAsia="zh-CN" w:bidi="ar-SA"/>
        </w:rPr>
        <w:t xml:space="preserve">                                                 </w:t>
      </w:r>
      <w:r>
        <w:rPr>
          <w:rFonts w:hint="eastAsia" w:ascii="仿宋_GB2312" w:hAnsi="宋体" w:eastAsia="仿宋_GB2312" w:cs="宋体"/>
          <w:color w:val="auto"/>
          <w:kern w:val="0"/>
          <w:sz w:val="24"/>
          <w:szCs w:val="20"/>
          <w:highlight w:val="none"/>
          <w:u w:val="single"/>
          <w:lang w:val="en-US" w:eastAsia="zh-CN" w:bidi="ar-SA"/>
        </w:rPr>
        <w:t xml:space="preserve">  </w:t>
      </w:r>
    </w:p>
    <w:p w14:paraId="450A9D0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依照《中华人民共和国民法典》《中华人民共和国特种设备安全法》《广东省电梯使用安全条例》《广州市电梯安全管理办法》及其他有关规定，甲乙双方遵循平等、自愿、公平和诚实信用的原则，就电梯日常维护保养和电梯责任保险的有关事宜协商订立本合同。</w:t>
      </w:r>
    </w:p>
    <w:p w14:paraId="281C50F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1"/>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第一条  日常维护保养的电梯</w:t>
      </w:r>
    </w:p>
    <w:p w14:paraId="514DD55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乙方为以下院区和地点中列明的甲方使用、管理的电梯提供日常的维护、保养、抢修服务。</w:t>
      </w:r>
    </w:p>
    <w:p w14:paraId="662F3586">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1.天河院区，地址：广州市天河区天坤三路95号，32台垂直梯、10台扶梯。</w:t>
      </w:r>
    </w:p>
    <w:p w14:paraId="7F369928">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2.珠玑院区，地址：广州市荔湾区珠玑路16号，9台垂直梯、4台扶梯。</w:t>
      </w:r>
    </w:p>
    <w:p w14:paraId="7838817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3.同德院区，地址：广州市白云区横滘二路81号，9台垂直梯、8台扶梯。</w:t>
      </w:r>
    </w:p>
    <w:p w14:paraId="77A2FBC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4.同德综合门诊部（地面4层），地址：广州市白云区横滘二路27号，1台垂直梯。</w:t>
      </w:r>
    </w:p>
    <w:p w14:paraId="2C33FF06">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5.潭岗制剂楼（地面5层），地址：广州市白云区大基路370号，1台垂直梯。</w:t>
      </w:r>
    </w:p>
    <w:p w14:paraId="7A12C97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1"/>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第二条  日常维护保养内容</w:t>
      </w:r>
    </w:p>
    <w:p w14:paraId="575376E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（一）乙方应当按照《电梯维护保养规则》（TSG T5002-2017）的规定完成半月、季度、半年、年度维保项目，并做好维护保养记录。</w:t>
      </w:r>
    </w:p>
    <w:p w14:paraId="70C429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1"/>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第三条  电梯责任保险</w:t>
      </w:r>
    </w:p>
    <w:p w14:paraId="668A3B5A">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default"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由乙方负责向保险公司购买符合广东省电梯安全监管改革方案的责任保险，且一次性事故最高赔偿金额不低于500万元（人民币），并将复印件作为附件附在本合同的后面。 电梯责任保险费用已包含在本合同总额之中，甲方不再另行支付保险费。</w:t>
      </w:r>
    </w:p>
    <w:p w14:paraId="00C3DA1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1"/>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 xml:space="preserve">第四条 </w:t>
      </w:r>
      <w:r>
        <w:rPr>
          <w:rFonts w:hint="eastAsia" w:ascii="仿宋_GB2312" w:hAnsi="宋体" w:eastAsia="仿宋_GB2312" w:cs="宋体"/>
          <w:b/>
          <w:color w:val="auto"/>
          <w:kern w:val="0"/>
          <w:sz w:val="24"/>
          <w:szCs w:val="20"/>
          <w:highlight w:val="none"/>
          <w:lang w:val="en-US" w:eastAsia="zh-CN" w:bidi="ar-SA"/>
        </w:rPr>
        <w:t xml:space="preserve"> 日常维护保养标准和内容</w:t>
      </w:r>
    </w:p>
    <w:p w14:paraId="6192FFB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一、维保服务需求</w:t>
      </w:r>
    </w:p>
    <w:p w14:paraId="2B332D16">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（一）保养范围、内容及要求：</w:t>
      </w:r>
    </w:p>
    <w:p w14:paraId="7C4E754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（1）自本电梯维修保养合同生效之日起，</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须按照要求对每台电梯承担半包维修保养服务。</w:t>
      </w:r>
    </w:p>
    <w:p w14:paraId="5CECEDC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（2）运行的电梯需确保至少每15天一次（即每月两次）按照规范进行保养。</w:t>
      </w:r>
    </w:p>
    <w:p w14:paraId="1474316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（3）</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应将广州医科大学附属中医医院列为电梯维修保养的重点单位，并委派维修保养人员在距离三个院区方圆500米内的区域租用场所（水电费自理）进行驻点保养，确保随叫随到。</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有权要求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更换不符合其要求的维保人员。</w:t>
      </w:r>
    </w:p>
    <w:p w14:paraId="4041B52F">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需严格按照《电梯维护保养规则》（TSG T5002-2017）和《特种设备使用管理规则》（TSG 08-2017） 的规定，完成半月、季度、半年及年度的维保项目，并向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报告电梯运行状况。若发生电梯故障，</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应在合同约定的期限内完成维修，同时立即向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报告，并认真填写《故障维修记录表》（附表2）。该表格将作为支付当月保养费用的依据之一。</w:t>
      </w:r>
    </w:p>
    <w:p w14:paraId="35B43314">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（4）</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应在每月底将《故障维修记录表》（附表2）整理装订完毕后，交予</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的电梯管理人员。</w:t>
      </w:r>
    </w:p>
    <w:p w14:paraId="4AAA298E">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5）电梯保养维修所需更换的设备、零部件，必须为原品牌厂家生产的、品质相同或更优的全新零配件。需提供书面承诺，确保所更换的电梯设备、零配件与现有设备兼容，且品质相同或更优，整体无污染、无侵权行为，表面无划痕、无任何缺陷隐患。在中国境内，这些零配件应能依常规安全合法使用，确保设备经维修后符合国家政府和有关部门对电梯的技术规定与规范要求，保障电梯安全运行，并保证供应充足。</w:t>
      </w:r>
    </w:p>
    <w:p w14:paraId="7C73D61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（6）在合同期内，确保电梯安全、正常使用所需更换的设备、单价不超过500元的零部（配）件含轿厢装饰件（轿厢地板除外）的费用全部由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承担，不受政府相关部门有关电梯日常维护保养合同范本中有关更换配件范围的限制，当</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发现需要更换重要设备、零部（配）件时，必须经</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同意。</w:t>
      </w:r>
    </w:p>
    <w:p w14:paraId="23F0098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（7）</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在接到电梯困人报告或救援报警后，天河院区、同德院区、珠玑院区的维修人员必须在30分钟内赶至现场。若未能按时到达，将依据月度考核标准进行扣分处理。为确保人员安全，</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派驻的维修保养人员</w:t>
      </w:r>
      <w:r>
        <w:rPr>
          <w:rFonts w:hint="eastAsia" w:ascii="仿宋_GB2312" w:hAnsi="宋体" w:eastAsia="仿宋_GB2312" w:cs="宋体"/>
          <w:b/>
          <w:color w:val="auto"/>
          <w:kern w:val="0"/>
          <w:sz w:val="24"/>
          <w:szCs w:val="20"/>
          <w:highlight w:val="none"/>
          <w:lang w:val="en-US" w:eastAsia="zh-CN" w:bidi="ar-SA"/>
        </w:rPr>
        <w:t>须</w:t>
      </w:r>
      <w:r>
        <w:rPr>
          <w:rFonts w:hint="default" w:ascii="仿宋_GB2312" w:hAnsi="宋体" w:eastAsia="仿宋_GB2312" w:cs="宋体"/>
          <w:b/>
          <w:color w:val="auto"/>
          <w:kern w:val="0"/>
          <w:sz w:val="24"/>
          <w:szCs w:val="20"/>
          <w:highlight w:val="none"/>
          <w:lang w:val="en-US" w:eastAsia="zh-CN" w:bidi="ar-SA"/>
        </w:rPr>
        <w:t>具备相应的急救与抢救知识。</w:t>
      </w:r>
    </w:p>
    <w:p w14:paraId="38D4A0B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（8）</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在保养期间，于天河院区随时提供以下配件以供检查和更换：20件外呼板、20件厅门锁、10件轿门锁、10件运行接触器、10件抱闸接触器、20件抱闸开关、5件液晶显示器及1个变频器。</w:t>
      </w:r>
    </w:p>
    <w:p w14:paraId="0544AAD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（9）发生电梯故障时，若</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在正常情况下未能按照上述第（7）点要求完成任务，累计次数达3次（含3次）以上，</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有权扣除相当于该台故障电梯当月保养费50%的违约金；若单次维修停梯时间超过48小时仍未修复，自停梯时间起，按每日200元的标准扣罚，直至电梯维修完成并恢复使用。同时，</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有权采取以下措施：引入第三方进行维修，</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需按第三方报价的两倍向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支付相关维修费用；或</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单方终止合同，视为</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违约，需向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支付合同总价30%的违约金，并赔偿因该台电梯维修保养超时所造成的损失（因</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或不可抗力原因除外）。同一个故障现象在一个星期内重复二次扣</w:t>
      </w:r>
      <w:r>
        <w:rPr>
          <w:rFonts w:hint="eastAsia" w:ascii="仿宋_GB2312" w:hAnsi="宋体" w:eastAsia="仿宋_GB2312" w:cs="宋体"/>
          <w:b/>
          <w:color w:val="auto"/>
          <w:kern w:val="0"/>
          <w:sz w:val="24"/>
          <w:szCs w:val="20"/>
          <w:highlight w:val="none"/>
          <w:lang w:val="en-US" w:eastAsia="zh-CN" w:bidi="ar-SA"/>
        </w:rPr>
        <w:t>1000</w:t>
      </w:r>
      <w:r>
        <w:rPr>
          <w:rFonts w:hint="default" w:ascii="仿宋_GB2312" w:hAnsi="宋体" w:eastAsia="仿宋_GB2312" w:cs="宋体"/>
          <w:b/>
          <w:color w:val="auto"/>
          <w:kern w:val="0"/>
          <w:sz w:val="24"/>
          <w:szCs w:val="20"/>
          <w:highlight w:val="none"/>
          <w:lang w:val="en-US" w:eastAsia="zh-CN" w:bidi="ar-SA"/>
        </w:rPr>
        <w:t>元。重复三次</w:t>
      </w:r>
      <w:r>
        <w:rPr>
          <w:rFonts w:hint="eastAsia" w:ascii="仿宋_GB2312" w:hAnsi="宋体" w:eastAsia="仿宋_GB2312" w:cs="宋体"/>
          <w:b/>
          <w:color w:val="auto"/>
          <w:kern w:val="0"/>
          <w:sz w:val="24"/>
          <w:szCs w:val="20"/>
          <w:highlight w:val="none"/>
          <w:lang w:val="en-US" w:eastAsia="zh-CN" w:bidi="ar-SA"/>
        </w:rPr>
        <w:t>及以上，</w:t>
      </w:r>
      <w:r>
        <w:rPr>
          <w:rFonts w:hint="default" w:ascii="仿宋_GB2312" w:hAnsi="宋体" w:eastAsia="仿宋_GB2312" w:cs="宋体"/>
          <w:b/>
          <w:color w:val="auto"/>
          <w:kern w:val="0"/>
          <w:sz w:val="24"/>
          <w:szCs w:val="20"/>
          <w:highlight w:val="none"/>
          <w:lang w:val="en-US" w:eastAsia="zh-CN" w:bidi="ar-SA"/>
        </w:rPr>
        <w:t>每次扣</w:t>
      </w:r>
      <w:r>
        <w:rPr>
          <w:rFonts w:hint="eastAsia" w:ascii="仿宋_GB2312" w:hAnsi="宋体" w:eastAsia="仿宋_GB2312" w:cs="宋体"/>
          <w:b/>
          <w:color w:val="auto"/>
          <w:kern w:val="0"/>
          <w:sz w:val="24"/>
          <w:szCs w:val="20"/>
          <w:highlight w:val="none"/>
          <w:lang w:val="en-US" w:eastAsia="zh-CN" w:bidi="ar-SA"/>
        </w:rPr>
        <w:t>2000</w:t>
      </w:r>
      <w:r>
        <w:rPr>
          <w:rFonts w:hint="default" w:ascii="仿宋_GB2312" w:hAnsi="宋体" w:eastAsia="仿宋_GB2312" w:cs="宋体"/>
          <w:b/>
          <w:color w:val="auto"/>
          <w:kern w:val="0"/>
          <w:sz w:val="24"/>
          <w:szCs w:val="20"/>
          <w:highlight w:val="none"/>
          <w:lang w:val="en-US" w:eastAsia="zh-CN" w:bidi="ar-SA"/>
        </w:rPr>
        <w:t>元。</w:t>
      </w:r>
    </w:p>
    <w:p w14:paraId="04F1DAE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此外，若</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电梯发生影响运行的故障，每台电梯每年的停梯故障（单次停梯超过24小时）超过3次，超出次数按每次500元扣款，扣款在支付维修保养费结算款中扣除。本条所述电梯故障，人为造成或不可抗力导致的故障除外。</w:t>
      </w:r>
    </w:p>
    <w:p w14:paraId="28BC7C7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（10）</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有权要求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对电梯进行安全载重检测，</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必须无条件执行，相关费用由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承担。</w:t>
      </w:r>
    </w:p>
    <w:p w14:paraId="2ABCE68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（11）</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需每月向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提交驻</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维修保养人员的正常值班表及保养计划安排时间表。此外，供应商还需提供工作计划，包括每月的当月工作报告和下月工作计划。若未能按时提交工作报告或计划，每次将扣除1000元，并需在10日内补充完毕。关于保养时间，供应商应按照</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的要求提供电梯维护服务，除紧急检修情况外，一般工作时间应避开</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的使用高峰时段，尽量安排在节假日或晚间进行。</w:t>
      </w:r>
    </w:p>
    <w:p w14:paraId="10E5460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（12）在合同期限内，若因采购方或其他电梯使用单位（以下简称“使用方”）操作不当导致的故障，将不纳入保修范围，但</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仍需及时提供有效的有偿维修保养服务。在此情况下，</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应主动提出维修方案，并依据市场价格进行报价，待采购方确认后，立即展开维修工作，以确保电梯尽快恢复正常运行。</w:t>
      </w:r>
    </w:p>
    <w:p w14:paraId="1521192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（13）如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未能切实履行合同，</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有权单方面终止合同。</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须退还</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已支付的维修保养费用中未实际保养的部分，并向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支付合同总价30%的违约金，同时赔偿</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因此遭受的一切损失。</w:t>
      </w:r>
    </w:p>
    <w:p w14:paraId="2DDF669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（14）在合同有效期内，</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购买电梯公众责任保险，并为合同所涵盖的每台电梯投保《广东省电梯责任保险统保示范项目》的电梯安全责任保险。此外，供应商需提供电梯责任保险合同书的复印件以及每台电梯的《广东省电梯责任保险统保示范项目》保险标志证件。相关费用已包含在投标报价之内。</w:t>
      </w:r>
    </w:p>
    <w:p w14:paraId="706F30B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（15）合同中规定的电梯维修保养服务，</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须在每台电梯年度审查前，提供该台电梯的自检报告书，并加盖公章后交予</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电梯管理部门存档。</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需承担向政府部门办理所承包保养电梯的年度检验工作，所有相关程序及费用均由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负责，直至电梯完全符合国家相关规定，并取得电梯的检验合格证和使用证后交予</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。电梯在维修或更换零配件后，若根据国家相关规定需进行报批、检验检测，则所有相关手续及费用亦由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承担。</w:t>
      </w:r>
    </w:p>
    <w:p w14:paraId="62A3A0E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（16）</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应具备一定的企业管理能力、技术水平、科研创新能力、安全管理能力、应急救援能力以及人员稳定性保障，以确保能为</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提供优质的电梯维修保养服务。若因</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的技术、工艺或配件材料存在瑕疵或缺陷，或因</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未能及时发现、处理故障等自身原因导致电梯事故，其事故责任及损失应由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承担，并需赔偿</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因此遭受的一切损失。此外，</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保留进一步追究法律责任的权利。</w:t>
      </w:r>
    </w:p>
    <w:p w14:paraId="1842328A">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（17）在合同有效期内，若因国家或省市相关管理部门颁布新的政策、法规，导致采购的电梯未能满足最新要求，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须立即依据最新法规向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提交整改方案及相应报价。该方案及报价经</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审核通过后，原则上应由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在同等条件下实施。若</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的报价高于具备相应资质的第三方报价，</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有权选择第三方</w:t>
      </w:r>
      <w:r>
        <w:rPr>
          <w:rFonts w:hint="eastAsia" w:ascii="仿宋_GB2312" w:hAnsi="宋体" w:eastAsia="仿宋_GB2312" w:cs="宋体"/>
          <w:b/>
          <w:color w:val="auto"/>
          <w:kern w:val="0"/>
          <w:sz w:val="24"/>
          <w:szCs w:val="20"/>
          <w:highlight w:val="none"/>
          <w:lang w:val="en-US" w:eastAsia="zh-CN" w:bidi="ar-SA"/>
        </w:rPr>
        <w:t>实施</w:t>
      </w:r>
      <w:r>
        <w:rPr>
          <w:rFonts w:hint="default" w:ascii="仿宋_GB2312" w:hAnsi="宋体" w:eastAsia="仿宋_GB2312" w:cs="宋体"/>
          <w:b/>
          <w:color w:val="auto"/>
          <w:kern w:val="0"/>
          <w:sz w:val="24"/>
          <w:szCs w:val="20"/>
          <w:highlight w:val="none"/>
          <w:lang w:val="en-US" w:eastAsia="zh-CN" w:bidi="ar-SA"/>
        </w:rPr>
        <w:t>，</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必须无条件配合。若</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在</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首次劝说后仍不能积极配合，</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需按合同总额的1%每日支付违约金。若违约金累计达到合同总额的10%，且</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仍未能积极配合，</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有权单方面解除电梯维保合同。</w:t>
      </w:r>
    </w:p>
    <w:p w14:paraId="3206F5A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（18）当</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在维修保养工作中整体未能满足</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的要求，包括但不限于反应速度、救援时限、技术能力、外观环境等方面，除依据第（7）条和第（9）条进行处罚外，若</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已发出三次以上书面整改通知，而</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仍未能达到要求，将被视为严重违约。在此情况下，</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有权单方面解除合同，并有权要求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支付合同总额30%的违约金，同时赔偿由此给</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造成的经济及名誉损失。</w:t>
      </w:r>
    </w:p>
    <w:p w14:paraId="76FB926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（19）配合</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进行电梯消毒。</w:t>
      </w:r>
    </w:p>
    <w:p w14:paraId="31EC65A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（20）合同期满后，</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须积极配合</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及新服务方，对电梯进行全面检查。若经</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确认，电梯维保质量未达到原合同要求，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须按照</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的要求进行电梯的维护和修复。如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无法按</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要求完成电梯的维护和修复工作，</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有权自行引入具备相应资质的第三方进行维护和维修。</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需根据第三方的报价，向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支付相关维护和维修费用（此项工作须在新合同期起始日之前完成）。</w:t>
      </w:r>
    </w:p>
    <w:p w14:paraId="6A1B79A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21）每月服务考核评价得分96分及以上者，不进行扣款；得分在90至95.9分之间者，扣除维保服务费1000元；得分在85至89.9分之间者，扣除维保服务费1500元；得分在80至84.9分之间者，扣除维保服务费2000元；得分在75至79.9分之间者，扣除维保服务费2500元；得分在70至74.9分之间者，扣除维保服务费3000元。若得分低于70分，则扣除当季度维保费用的10%；若连续两个月得分均低于70分，甲方有权单方面终止合同，并扣除年度维保费用的10%；若得分低于50分，甲方有权单方面立即终止合同，并扣除年度维保费用的20%。详见附件1《电梯维保质量总体考核评价表》。</w:t>
      </w:r>
    </w:p>
    <w:p w14:paraId="6388415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（22）</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完全遵循《中华人民共和国劳动合同法》的相关规定，并严格遵守《中华人民共和国妇女权益保障法》中关于“劳动和社会保障权益”的相应要求。</w:t>
      </w:r>
    </w:p>
    <w:p w14:paraId="0BC23D3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（23）在每个服务年度结束后的30天内，</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提交加盖公章的年度服务质量评估报告。</w:t>
      </w:r>
    </w:p>
    <w:p w14:paraId="38F335E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（24）三个院区的电梯机房标识维护工作（包括机房门警示标识、设备标识、安全警示标识、操作维护标识、管理制度及责任人标识上墙等）</w:t>
      </w:r>
    </w:p>
    <w:p w14:paraId="5A328A4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（二）电梯维修保养项目内容：</w:t>
      </w:r>
    </w:p>
    <w:p w14:paraId="4BDB503D">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（1）根据国家《电梯维护保养规则》（TSG T5002-2017）、《特种设备使用管理规则》（TSG 08-2017）、《电梯、自动扶梯和自动人行道维修规范》（GB/T 18775-2023）、《电梯监督检验和定期检验规则》（TSG T7001-2023）、《电梯、自动扶梯和自动人行道维修规范》（GB/T 18775）、《电梯制造与安装安全规范》（GB/T 7588）以及《自动扶梯和自动人行道的制造与安装安全规范》（GB 16899），并结合省、市政府对电梯的相关规定及电梯制造厂家的安装调试与使用维护要求，严格执行实施。上述规章和标准，无论是否标注年代号，除非另有特别说明，均以最新有效版本为准。</w:t>
      </w:r>
    </w:p>
    <w:p w14:paraId="31A317E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（2）电梯空调、风扇、光幕、五方通话、语音报站部分：</w:t>
      </w:r>
    </w:p>
    <w:p w14:paraId="261C285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1）电梯空调日常巡查维修、更换损坏零件、清洗空调及其尘网、通风口；</w:t>
      </w:r>
    </w:p>
    <w:p w14:paraId="3BA2E22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2）电梯风扇、光幕日常巡查维修、更换损坏零件、清洗空调及风扇更换。</w:t>
      </w:r>
    </w:p>
    <w:p w14:paraId="7A1D67F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3）五方通话系统的检查维修、更换失效元件、确保五方通话顺畅。</w:t>
      </w:r>
    </w:p>
    <w:p w14:paraId="3035FD6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（3）依据《电梯监督检验和定期检验规则》（TSG T7001—2023），在用的垂直电梯需每隔6年按照额定载荷的125%进行一次载重试验。若在维保期间需要进行载荷试验，相关试验费用由乙方承担，且该费用已包含在本合同的总价之中。</w:t>
      </w:r>
    </w:p>
    <w:p w14:paraId="1392F004">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（三）人员要求：</w:t>
      </w:r>
    </w:p>
    <w:p w14:paraId="1FB5A63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（1）广州医科大学附属中医医院天河院区、同德院区、珠玑院区，每个院区驻点服务人员</w:t>
      </w:r>
      <w:r>
        <w:rPr>
          <w:rFonts w:hint="eastAsia" w:ascii="仿宋_GB2312" w:hAnsi="宋体" w:eastAsia="仿宋_GB2312" w:cs="宋体"/>
          <w:b/>
          <w:color w:val="auto"/>
          <w:kern w:val="0"/>
          <w:sz w:val="24"/>
          <w:szCs w:val="20"/>
          <w:highlight w:val="none"/>
          <w:lang w:val="en-US" w:eastAsia="zh-CN" w:bidi="ar-SA"/>
        </w:rPr>
        <w:t>****</w:t>
      </w:r>
      <w:r>
        <w:rPr>
          <w:rFonts w:hint="default" w:ascii="仿宋_GB2312" w:hAnsi="宋体" w:eastAsia="仿宋_GB2312" w:cs="宋体"/>
          <w:b/>
          <w:color w:val="auto"/>
          <w:kern w:val="0"/>
          <w:sz w:val="24"/>
          <w:szCs w:val="20"/>
          <w:highlight w:val="none"/>
          <w:lang w:val="en-US" w:eastAsia="zh-CN" w:bidi="ar-SA"/>
        </w:rPr>
        <w:t>人，驻点人员必须持有特种设备作业人员证（作业项目：电梯修理）（T），身体健康，无犯罪记录。驻点人员的服务时间为全年每天24小时驻场值班。</w:t>
      </w:r>
    </w:p>
    <w:p w14:paraId="561F564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（2）项目负责人具备电气或机械等相关专业的专业技术职称；具备至少2个与本项目同类的电梯维修保养相关项目经验，其中，至少1个项目经验的单个项目涵盖电梯维修保养20台或以上。</w:t>
      </w:r>
    </w:p>
    <w:p w14:paraId="591815C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（3）项目负责人、驻点服务人员须为固定人员，投标供应商如获得中标资格，须在合同签订前向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书面提供项目负责人、驻点人员姓名、手机号码、有效的资格证书复印件（须加盖聘用单位印章）。所有服务人员未经</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同意不能更换，如发现未经</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同意自行更换驻点人员，</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有权单方面解除合约，并不予支付维保费用。</w:t>
      </w:r>
    </w:p>
    <w:p w14:paraId="14AA66F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二</w:t>
      </w:r>
      <w:r>
        <w:rPr>
          <w:rFonts w:hint="default" w:ascii="仿宋_GB2312" w:hAnsi="宋体" w:eastAsia="仿宋_GB2312" w:cs="宋体"/>
          <w:b/>
          <w:color w:val="auto"/>
          <w:kern w:val="0"/>
          <w:sz w:val="24"/>
          <w:szCs w:val="20"/>
          <w:highlight w:val="none"/>
          <w:lang w:val="en-US" w:eastAsia="zh-CN" w:bidi="ar-SA"/>
        </w:rPr>
        <w:t>、服务要求：</w:t>
      </w:r>
    </w:p>
    <w:p w14:paraId="41CBB2B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（一）按国家《电梯维护保养规则》（TSG T5002-2017）、《特种设备使用管理规则》（TSG 08-2017）、《电梯、自动扶梯和自动人行道维修规范》（GB/T 18775-2023）、《电梯监督检验和定期检验规则》（TSG T7001-2023）要求对电梯设备进行每月两次维保（每次保养不少于4人）。</w:t>
      </w:r>
    </w:p>
    <w:p w14:paraId="2B0D814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（二）提供全天24小时维修应急处理服务，电梯发生困人故障，必须在30分钟内到达现场（不分工作日、节假日）；电梯发生一般故障，60分钟内到达现场（不分工作日、节假日）。</w:t>
      </w:r>
    </w:p>
    <w:p w14:paraId="67EF79E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（三）免费更换在服务期内因保养不当而损坏的零部件，并承担由此产生的一切后果。</w:t>
      </w:r>
    </w:p>
    <w:p w14:paraId="3E9D921D">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（四）电梯损坏配件需经</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管理人员确认后方可报价更换，但单价</w:t>
      </w:r>
      <w:r>
        <w:rPr>
          <w:rFonts w:hint="eastAsia" w:ascii="仿宋_GB2312" w:hAnsi="宋体" w:eastAsia="仿宋_GB2312" w:cs="宋体"/>
          <w:b/>
          <w:color w:val="auto"/>
          <w:kern w:val="0"/>
          <w:sz w:val="24"/>
          <w:szCs w:val="20"/>
          <w:highlight w:val="none"/>
          <w:lang w:val="en-US" w:eastAsia="zh-CN" w:bidi="ar-SA"/>
        </w:rPr>
        <w:t>小于</w:t>
      </w:r>
      <w:r>
        <w:rPr>
          <w:rFonts w:hint="default" w:ascii="仿宋_GB2312" w:hAnsi="宋体" w:eastAsia="仿宋_GB2312" w:cs="宋体"/>
          <w:b/>
          <w:color w:val="auto"/>
          <w:kern w:val="0"/>
          <w:sz w:val="24"/>
          <w:szCs w:val="20"/>
          <w:highlight w:val="none"/>
          <w:lang w:val="en-US" w:eastAsia="zh-CN" w:bidi="ar-SA"/>
        </w:rPr>
        <w:t>等于人民币500元的低值易耗品由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承担。</w:t>
      </w:r>
    </w:p>
    <w:p w14:paraId="4AB4D9F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（五）保证电梯每年年检合格，年检如不合格，</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有权聘请第三方公司对不合格电梯进行关于年检的维保服务，由此产生的费用由中标人负责。</w:t>
      </w:r>
    </w:p>
    <w:p w14:paraId="5EE5195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（六）建立一份维护保养手册和档案，该手册和档案实行双方签字记录制度。</w:t>
      </w:r>
    </w:p>
    <w:p w14:paraId="2C5BE76F">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（七）提供电梯救援应急预案。</w:t>
      </w:r>
    </w:p>
    <w:p w14:paraId="5FD99F6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（八）作业中应当负责落实现场安全防护措施，保证作业安全。在电梯使用过程中发现故障或异常情况应当立即停止使用，并及时通知</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w:t>
      </w:r>
    </w:p>
    <w:p w14:paraId="55C453B4">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（九）向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提出合理化建议并每月向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书面报告所维护保养电梯的运行情况、零部件使用情况、易损零件的更换情况及电梯更换修理需求。</w:t>
      </w:r>
    </w:p>
    <w:p w14:paraId="6C69AB6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（十）对所维护保养电梯的安全运行负责，保证设备整机及零部件完整无损。</w:t>
      </w:r>
    </w:p>
    <w:p w14:paraId="32B2ACC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（十一）建立回访制度（包括工作人员服务态度、维修质量、是否按照规定实施维护保养等）。</w:t>
      </w:r>
    </w:p>
    <w:p w14:paraId="2552C63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（十二）负责每年对电梯进行年度检验检测和安全技术评价，以确保电梯安全运行和年审合格，并免费办理电梯“年度安全检查”有关证件。</w:t>
      </w:r>
    </w:p>
    <w:p w14:paraId="1C5D552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（十三）提供常用的电梯配件清单给</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审批，电梯配件更换必须符合电梯原厂或现状品牌要求。</w:t>
      </w:r>
    </w:p>
    <w:p w14:paraId="39B6F42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（十四）负责妥善保管电梯图纸及相关资料，并在合同终止后交给</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w:t>
      </w:r>
    </w:p>
    <w:p w14:paraId="5AE625D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（十五）遵守</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的管理规定，服从</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后勤管理部门的管理。</w:t>
      </w:r>
    </w:p>
    <w:p w14:paraId="575B7B0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（十六）因电梯使用、管理和维护保养原因导致人身伤亡或设备损坏、丢失的，由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承担全部责任。</w:t>
      </w:r>
    </w:p>
    <w:p w14:paraId="2E5E12CD">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（十七）</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没有按规定的时间和保养项目对电梯进行保养，因保养不良造成的电梯故障，由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免费修复。</w:t>
      </w:r>
    </w:p>
    <w:p w14:paraId="5FC61CCD">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（十八）如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维修保养工作整体未能达到</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要求，包括反应速度、救援时限、技术能力、外观环境、按时提交所有书面材料（清单）等，若</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发出二次或以上书面整改通告后仍不能达到要求的视为</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违约，</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有权单方面解除合同并要求</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支付合同总额的 30%作为违约金，及赔偿由此造成的其他损失。</w:t>
      </w:r>
    </w:p>
    <w:p w14:paraId="6690BD6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（十九）配备2名专人负责电梯设备外观及玻璃清洁，保证其干净整洁；</w:t>
      </w:r>
    </w:p>
    <w:p w14:paraId="690C86F4">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二十）电梯应急电话的使用与维护（包含应急电话费用）、应急服务、机械部件的维修、电气部件的维修、文明城市检查期间的电梯巡查人工费用、井道防锈处理与维护、井道内墙面的提升与维修、电梯抽水泵的维修与维护（包含抽水电机、继电器及接触器，排水管理及集水井道，确保出水口畅通等）。</w:t>
      </w:r>
    </w:p>
    <w:p w14:paraId="6DD1A04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（二十一）直梯空调维修及其所需材料、加注雪种、扶梯出入口防攀爬挡板、护板及边缘不锈钢接驳、电梯供电电缆的维护与保养（市供路灯电箱至电梯控制柜段）、空调维护、水泵维护；</w:t>
      </w:r>
    </w:p>
    <w:p w14:paraId="01EE5984">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（二十二）在遇到大修情况时，该项目的报价总价包含以更换或维修主机、钢丝绳、补偿链、变频器、轮、曳引轮等的人工费，无需另行支付额外人工费用</w:t>
      </w:r>
    </w:p>
    <w:p w14:paraId="2CEA9E9A">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（注：第十九至二十二款，根据投标响应情况增减）</w:t>
      </w:r>
    </w:p>
    <w:p w14:paraId="368A2AE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三</w:t>
      </w:r>
      <w:r>
        <w:rPr>
          <w:rFonts w:hint="default" w:ascii="仿宋_GB2312" w:hAnsi="宋体" w:eastAsia="仿宋_GB2312" w:cs="宋体"/>
          <w:b/>
          <w:color w:val="auto"/>
          <w:kern w:val="0"/>
          <w:sz w:val="24"/>
          <w:szCs w:val="20"/>
          <w:highlight w:val="none"/>
          <w:lang w:val="en-US" w:eastAsia="zh-CN" w:bidi="ar-SA"/>
        </w:rPr>
        <w:t>、电梯运行管理和维护保养工作内容：</w:t>
      </w:r>
    </w:p>
    <w:p w14:paraId="65F2F1D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（一）乙方</w:t>
      </w:r>
      <w:r>
        <w:rPr>
          <w:rFonts w:hint="default" w:ascii="仿宋_GB2312" w:hAnsi="宋体" w:eastAsia="仿宋_GB2312" w:cs="宋体"/>
          <w:b/>
          <w:color w:val="auto"/>
          <w:kern w:val="0"/>
          <w:sz w:val="24"/>
          <w:szCs w:val="20"/>
          <w:highlight w:val="none"/>
          <w:lang w:val="en-US" w:eastAsia="zh-CN" w:bidi="ar-SA"/>
        </w:rPr>
        <w:t>应当保证在用电梯处于安全适宜运行的状态，并履行以下电梯安全管理职责：</w:t>
      </w:r>
    </w:p>
    <w:p w14:paraId="6C38D04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1.建立电梯安全技术档案，负责电梯运行日常巡视，建立日常使用情况台账。</w:t>
      </w:r>
    </w:p>
    <w:p w14:paraId="4DE43D4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2.负责保管和按照规定使用电梯专用钥匙。</w:t>
      </w:r>
    </w:p>
    <w:p w14:paraId="6F7EA558">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3.负责保持电梯紧急报警装置能随时与值班人员实现有效联系。</w:t>
      </w:r>
    </w:p>
    <w:p w14:paraId="323726F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4.负责监督电梯的改造、维修、日常维护保养工作并提供必要帮助，签字确认维护保养记录和修理记录。</w:t>
      </w:r>
    </w:p>
    <w:p w14:paraId="52A80E6E">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5.负责在电梯轿厢内或者出入口显著位置张贴有效的登记标志、安全检验合格标志、维保标识、标明应急救援电话。</w:t>
      </w:r>
    </w:p>
    <w:p w14:paraId="72A5285F">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6.负责将电梯使用的安全注意事项、警示标志置于乘客易于注意的显著位置，确保齐全清晰。</w:t>
      </w:r>
    </w:p>
    <w:p w14:paraId="5152556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7.</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进行电梯日常维护保养，并订立日常维护保养合同，建立电梯日常维护保养档案。</w:t>
      </w:r>
    </w:p>
    <w:p w14:paraId="32A6D03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8.现场配合电梯检验检测机构对电梯的定期检验工作。</w:t>
      </w:r>
    </w:p>
    <w:p w14:paraId="64160CC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9.电梯出现故障或者存在其他安全隐患需要停止使用的，有权作出停止使用决定，并在乘客易于注意的显著位置张贴《电梯隐患标志》，并及时通知</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，在消除事故隐患后方可重新使用电梯。</w:t>
      </w:r>
    </w:p>
    <w:p w14:paraId="1795F88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（二）</w:t>
      </w:r>
      <w:r>
        <w:rPr>
          <w:rFonts w:hint="default" w:ascii="仿宋_GB2312" w:hAnsi="宋体" w:eastAsia="仿宋_GB2312" w:cs="宋体"/>
          <w:b/>
          <w:color w:val="auto"/>
          <w:kern w:val="0"/>
          <w:sz w:val="24"/>
          <w:szCs w:val="20"/>
          <w:highlight w:val="none"/>
          <w:lang w:val="en-US" w:eastAsia="zh-CN" w:bidi="ar-SA"/>
        </w:rPr>
        <w:t>法律法规、安全技术规范规定的其他安全管理职责。</w:t>
      </w:r>
    </w:p>
    <w:p w14:paraId="1D4F7DE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1.对电梯进行清洁、润滑、调整、检查和维修等日常维护或保养工作。</w:t>
      </w:r>
    </w:p>
    <w:p w14:paraId="0CD7244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2.接到故障通知后，值班人员应立即抵达故障电梯现场进行处理；发生电梯困人故障时值班人员应在30分钟内抵达现场实施救援。</w:t>
      </w:r>
    </w:p>
    <w:p w14:paraId="32781C18">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3.每月向</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书面报告所维护保养电梯的运行情况、零部件使用情况、易损件的更换情况及电梯更换修理需求。</w:t>
      </w:r>
    </w:p>
    <w:p w14:paraId="7CB5D1B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4.</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负责在电梯安全检验合格有效期届满前1个月，向电梯检验检测机构提出定期检验申请。</w:t>
      </w:r>
    </w:p>
    <w:p w14:paraId="081A279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5.</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如确认需要对电梯进行维修、改造、加装附件等项目时，须征得</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同意及双方签订相关的项目合同后，在</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允许的情况下施工。</w:t>
      </w:r>
    </w:p>
    <w:p w14:paraId="6E070A26">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6.对所维护保养电梯的安全运行负责，保障设备整机及零部件完整无损。每台电梯均应当建立独立的维护保养记录；普通维修、重大维修、改造协议与抢修记录均应当与维护保养记录一并保存。</w:t>
      </w:r>
    </w:p>
    <w:p w14:paraId="766825CF">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7.</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必须保证所有电梯的电梯技术、安全、卫生等方面达到技术监督局的检查要求，确保电梯通过技监部门的检测及取得电梯使用合格证。</w:t>
      </w:r>
    </w:p>
    <w:p w14:paraId="515FCD8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8.维护保养服务范围：</w:t>
      </w:r>
    </w:p>
    <w:p w14:paraId="1714B4D8">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（1）电梯机房、井道底坑、电梯空调等的清洁保养；</w:t>
      </w:r>
    </w:p>
    <w:p w14:paraId="307463C1">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（2）负责根据天气及时调整电梯空调温度和风量；</w:t>
      </w:r>
    </w:p>
    <w:p w14:paraId="528E5FA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（3）</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电梯内的视频播放内容如需更换，由</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提供视频素材，由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负责更换。</w:t>
      </w:r>
    </w:p>
    <w:p w14:paraId="0A44219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（4）电梯轿厢内安全检验标志、应急救援电话、保险投保标志等标识由</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负责张贴，要求整洁、规范，并定期清洁电梯内饰、外面门面等不规范或脱落标识并及时更换补充。</w:t>
      </w:r>
    </w:p>
    <w:p w14:paraId="126A422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（三）</w:t>
      </w:r>
      <w:r>
        <w:rPr>
          <w:rFonts w:hint="default" w:ascii="仿宋_GB2312" w:hAnsi="宋体" w:eastAsia="仿宋_GB2312" w:cs="宋体"/>
          <w:b/>
          <w:color w:val="auto"/>
          <w:kern w:val="0"/>
          <w:sz w:val="24"/>
          <w:szCs w:val="20"/>
          <w:highlight w:val="none"/>
          <w:lang w:val="en-US" w:eastAsia="zh-CN" w:bidi="ar-SA"/>
        </w:rPr>
        <w:t>应急响应服务要求</w:t>
      </w:r>
    </w:p>
    <w:p w14:paraId="1E1C7726">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1.</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提供24小时的应急响应服务（建立应急服务热线电话），且能在接到故障或事故报警后困人故障30分钟内、一般故障60分钟内到达现场，并能提供正常连续的服务直至故障或事故排除。对电梯困人事故要求在到达现场后10分钟内把乘客从轿厢中救出、对常见一般故障要求在到达现场后30分钟内排除，对其他及电子板原因的故障应在2天时间内解决。若非重大故障，</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须于12小时内维修完成并交付使用；如属重大故障，则</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需于2天内维修完成并调试完毕交付</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使用，在维修电梯期间做好标识安全告示及设置围栏围闭管理。</w:t>
      </w:r>
    </w:p>
    <w:p w14:paraId="7DF0FED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2.本项目</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须保证合同期内电梯符合所在地政府有关部门对电梯的有关技术规定与规范要求，必须保证电梯安全运行，及时更换已磨损、失效不符合要求的设备、零部（配）件及其它相关的材料，对于恒常设备、零部件及其他材料（详见配件清单）应在12小时内完成更换，非恒常的应在2天内完成更换。</w:t>
      </w:r>
    </w:p>
    <w:p w14:paraId="103F2C94">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default" w:ascii="仿宋_GB2312" w:hAnsi="宋体" w:eastAsia="仿宋_GB2312" w:cs="宋体"/>
          <w:b/>
          <w:color w:val="auto"/>
          <w:kern w:val="0"/>
          <w:sz w:val="24"/>
          <w:szCs w:val="20"/>
          <w:highlight w:val="none"/>
          <w:lang w:val="en-US" w:eastAsia="zh-CN" w:bidi="ar-SA"/>
        </w:rPr>
        <w:t>3.</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需根据电梯型号，提供最少1套垂直电梯易损配件（平常设备、零部件及其他材料），明细清单详见配件清单，放置于驻场人员办公场所内，双方建立配件使用台账，每次领料由</w:t>
      </w:r>
      <w:r>
        <w:rPr>
          <w:rFonts w:hint="eastAsia" w:ascii="仿宋_GB2312" w:hAnsi="宋体" w:eastAsia="仿宋_GB2312" w:cs="宋体"/>
          <w:b/>
          <w:color w:val="auto"/>
          <w:kern w:val="0"/>
          <w:sz w:val="24"/>
          <w:szCs w:val="20"/>
          <w:highlight w:val="none"/>
          <w:lang w:val="en-US" w:eastAsia="zh-CN" w:bidi="ar-SA"/>
        </w:rPr>
        <w:t>甲方</w:t>
      </w:r>
      <w:r>
        <w:rPr>
          <w:rFonts w:hint="default" w:ascii="仿宋_GB2312" w:hAnsi="宋体" w:eastAsia="仿宋_GB2312" w:cs="宋体"/>
          <w:b/>
          <w:color w:val="auto"/>
          <w:kern w:val="0"/>
          <w:sz w:val="24"/>
          <w:szCs w:val="20"/>
          <w:highlight w:val="none"/>
          <w:lang w:val="en-US" w:eastAsia="zh-CN" w:bidi="ar-SA"/>
        </w:rPr>
        <w:t>及</w:t>
      </w:r>
      <w:r>
        <w:rPr>
          <w:rFonts w:hint="eastAsia" w:ascii="仿宋_GB2312" w:hAnsi="宋体" w:eastAsia="仿宋_GB2312" w:cs="宋体"/>
          <w:b/>
          <w:color w:val="auto"/>
          <w:kern w:val="0"/>
          <w:sz w:val="24"/>
          <w:szCs w:val="20"/>
          <w:highlight w:val="none"/>
          <w:lang w:val="en-US" w:eastAsia="zh-CN" w:bidi="ar-SA"/>
        </w:rPr>
        <w:t>乙方</w:t>
      </w:r>
      <w:r>
        <w:rPr>
          <w:rFonts w:hint="default" w:ascii="仿宋_GB2312" w:hAnsi="宋体" w:eastAsia="仿宋_GB2312" w:cs="宋体"/>
          <w:b/>
          <w:color w:val="auto"/>
          <w:kern w:val="0"/>
          <w:sz w:val="24"/>
          <w:szCs w:val="20"/>
          <w:highlight w:val="none"/>
          <w:lang w:val="en-US" w:eastAsia="zh-CN" w:bidi="ar-SA"/>
        </w:rPr>
        <w:t>双方签字确定。</w:t>
      </w:r>
    </w:p>
    <w:p w14:paraId="2CBCCB4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1"/>
        <w:rPr>
          <w:rFonts w:hint="eastAsia" w:ascii="仿宋_GB2312" w:hAnsi="Times New Roman" w:eastAsia="仿宋_GB2312" w:cs="ËÎÌå"/>
          <w:b/>
          <w:color w:val="auto"/>
          <w:kern w:val="0"/>
          <w:sz w:val="24"/>
          <w:szCs w:val="20"/>
          <w:highlight w:val="none"/>
          <w:lang w:val="en-US" w:eastAsia="zh-CN" w:bidi="ar-SA"/>
        </w:rPr>
      </w:pPr>
      <w:r>
        <w:rPr>
          <w:rFonts w:hint="eastAsia" w:ascii="仿宋_GB2312" w:hAnsi="Times New Roman" w:eastAsia="仿宋_GB2312" w:cs="ËÎÌå"/>
          <w:b/>
          <w:color w:val="auto"/>
          <w:kern w:val="0"/>
          <w:sz w:val="24"/>
          <w:szCs w:val="20"/>
          <w:highlight w:val="none"/>
          <w:lang w:val="en-US" w:eastAsia="zh-CN" w:bidi="ar-SA"/>
        </w:rPr>
        <w:t>第五条  日常维护保养期限</w:t>
      </w:r>
    </w:p>
    <w:p w14:paraId="32419D7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0"/>
          <w:sz w:val="24"/>
          <w:szCs w:val="20"/>
          <w:highlight w:val="none"/>
          <w:lang w:val="en-US" w:eastAsia="zh-CN" w:bidi="ar-SA"/>
        </w:rPr>
      </w:pPr>
      <w:r>
        <w:rPr>
          <w:rFonts w:hint="eastAsia" w:ascii="仿宋_GB2312" w:hAnsi="Times New Roman" w:eastAsia="仿宋_GB2312" w:cs="Times New Roman"/>
          <w:color w:val="auto"/>
          <w:kern w:val="0"/>
          <w:sz w:val="24"/>
          <w:szCs w:val="20"/>
          <w:highlight w:val="none"/>
          <w:lang w:val="en-US" w:eastAsia="zh-CN" w:bidi="ar-SA"/>
        </w:rPr>
        <w:t>天河院区：2025年12月23日至2028年1月31日；珠玑院区：2026年2月1日至2028年1月31日；同德院区（含同德综合门诊部、潭岗制剂楼）2026年2月1日至2028年1月31日。每台电梯的实际维保时间，以甲方通知、确认的为准。</w:t>
      </w:r>
    </w:p>
    <w:p w14:paraId="25930D1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1"/>
        <w:rPr>
          <w:rFonts w:hint="eastAsia" w:ascii="仿宋_GB2312" w:hAnsi="Times New Roman" w:eastAsia="仿宋_GB2312" w:cs="ËÎÌå"/>
          <w:b/>
          <w:color w:val="auto"/>
          <w:kern w:val="0"/>
          <w:sz w:val="24"/>
          <w:szCs w:val="20"/>
          <w:highlight w:val="none"/>
          <w:lang w:val="en-US" w:eastAsia="zh-CN" w:bidi="ar-SA"/>
        </w:rPr>
      </w:pPr>
      <w:r>
        <w:rPr>
          <w:rFonts w:hint="eastAsia" w:ascii="仿宋_GB2312" w:hAnsi="Times New Roman" w:eastAsia="仿宋_GB2312" w:cs="ËÎÌå"/>
          <w:b/>
          <w:color w:val="auto"/>
          <w:kern w:val="0"/>
          <w:sz w:val="24"/>
          <w:szCs w:val="20"/>
          <w:highlight w:val="none"/>
          <w:lang w:val="en-US" w:eastAsia="zh-CN" w:bidi="ar-SA"/>
        </w:rPr>
        <w:t>第六条  日常维护保养费</w:t>
      </w:r>
    </w:p>
    <w:p w14:paraId="5C696E7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b/>
          <w:color w:val="auto"/>
          <w:kern w:val="0"/>
          <w:sz w:val="24"/>
          <w:szCs w:val="20"/>
          <w:highlight w:val="none"/>
          <w:lang w:val="en-US" w:eastAsia="zh-CN" w:bidi="ar-SA"/>
        </w:rPr>
        <w:t>按该电梯维护保养时间以及投标下浮率和投标限价结算，若该电梯当月维保时间大于15天少于1个月的，该电梯服务费费用按1个月结算，若少于等于15天的，按0.5个月结算。</w:t>
      </w:r>
    </w:p>
    <w:p w14:paraId="00D328A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1"/>
        <w:rPr>
          <w:rFonts w:hint="eastAsia" w:ascii="仿宋_GB2312" w:hAnsi="Times New Roman" w:eastAsia="仿宋_GB2312" w:cs="ËÎÌå"/>
          <w:b/>
          <w:color w:val="auto"/>
          <w:kern w:val="0"/>
          <w:sz w:val="24"/>
          <w:szCs w:val="20"/>
          <w:highlight w:val="none"/>
          <w:lang w:val="en" w:eastAsia="zh-CN" w:bidi="ar-SA"/>
        </w:rPr>
      </w:pPr>
      <w:r>
        <w:rPr>
          <w:rFonts w:hint="eastAsia" w:ascii="仿宋_GB2312" w:hAnsi="Times New Roman" w:eastAsia="仿宋_GB2312" w:cs="ËÎÌå"/>
          <w:b/>
          <w:color w:val="auto"/>
          <w:kern w:val="0"/>
          <w:sz w:val="24"/>
          <w:szCs w:val="20"/>
          <w:highlight w:val="none"/>
          <w:lang w:val="en" w:eastAsia="zh-CN" w:bidi="ar-SA"/>
        </w:rPr>
        <w:t>第七条</w:t>
      </w:r>
      <w:r>
        <w:rPr>
          <w:rFonts w:hint="eastAsia" w:ascii="仿宋_GB2312" w:hAnsi="Times New Roman" w:eastAsia="仿宋_GB2312" w:cs="ËÎÌå"/>
          <w:b/>
          <w:color w:val="auto"/>
          <w:kern w:val="0"/>
          <w:sz w:val="24"/>
          <w:szCs w:val="20"/>
          <w:highlight w:val="none"/>
          <w:lang w:val="en-US" w:eastAsia="zh-CN" w:bidi="ar-SA"/>
        </w:rPr>
        <w:t xml:space="preserve">  </w:t>
      </w:r>
      <w:r>
        <w:rPr>
          <w:rFonts w:hint="eastAsia" w:ascii="仿宋_GB2312" w:hAnsi="Times New Roman" w:eastAsia="仿宋_GB2312" w:cs="ËÎÌå"/>
          <w:b/>
          <w:color w:val="auto"/>
          <w:kern w:val="0"/>
          <w:sz w:val="24"/>
          <w:szCs w:val="20"/>
          <w:highlight w:val="none"/>
          <w:lang w:val="en" w:eastAsia="zh-CN" w:bidi="ar-SA"/>
        </w:rPr>
        <w:t>载荷试验</w:t>
      </w:r>
    </w:p>
    <w:p w14:paraId="24570B51">
      <w:pPr>
        <w:keepNext w:val="0"/>
        <w:keepLines w:val="0"/>
        <w:pageBreakBefore w:val="0"/>
        <w:widowControl w:val="0"/>
        <w:suppressLineNumbers w:val="0"/>
        <w:kinsoku/>
        <w:wordWrap/>
        <w:overflowPunct/>
        <w:topLinePunct w:val="0"/>
        <w:autoSpaceDE/>
        <w:autoSpaceDN/>
        <w:bidi w:val="0"/>
        <w:adjustRightInd/>
        <w:snapToGrid/>
        <w:spacing w:beforeLines="0" w:afterLines="0" w:line="360" w:lineRule="auto"/>
        <w:ind w:left="0" w:leftChars="0" w:firstLine="480" w:firstLineChars="200"/>
        <w:jc w:val="left"/>
        <w:textAlignment w:val="auto"/>
        <w:outlineLvl w:val="9"/>
        <w:rPr>
          <w:rFonts w:hint="default" w:ascii="仿宋_GB2312" w:hAnsi="宋体" w:eastAsia="仿宋_GB2312" w:cs="宋体"/>
          <w:b w:val="0"/>
          <w:bCs/>
          <w:color w:val="auto"/>
          <w:kern w:val="0"/>
          <w:sz w:val="24"/>
          <w:szCs w:val="20"/>
          <w:highlight w:val="none"/>
          <w:u w:val="none"/>
          <w:lang w:val="en" w:eastAsia="zh-CN" w:bidi="ar-SA"/>
        </w:rPr>
      </w:pPr>
      <w:r>
        <w:rPr>
          <w:rFonts w:hint="eastAsia" w:ascii="仿宋_GB2312" w:hAnsi="宋体" w:eastAsia="仿宋_GB2312" w:cs="宋体"/>
          <w:b w:val="0"/>
          <w:bCs/>
          <w:color w:val="auto"/>
          <w:kern w:val="0"/>
          <w:sz w:val="24"/>
          <w:szCs w:val="20"/>
          <w:highlight w:val="none"/>
          <w:u w:val="none"/>
          <w:lang w:val="en" w:eastAsia="zh-CN" w:bidi="ar-SA"/>
        </w:rPr>
        <w:t>依照《电梯监督检验和定期检验规则》（</w:t>
      </w:r>
      <w:r>
        <w:rPr>
          <w:rFonts w:hint="eastAsia" w:ascii="仿宋_GB2312" w:hAnsi="宋体" w:eastAsia="仿宋_GB2312" w:cs="宋体"/>
          <w:bCs/>
          <w:color w:val="auto"/>
          <w:kern w:val="0"/>
          <w:sz w:val="24"/>
          <w:szCs w:val="20"/>
          <w:highlight w:val="none"/>
          <w:lang w:val="en" w:eastAsia="zh-CN" w:bidi="ar-SA"/>
        </w:rPr>
        <w:t>TSG T7001—2023</w:t>
      </w:r>
      <w:r>
        <w:rPr>
          <w:rFonts w:hint="eastAsia" w:ascii="仿宋_GB2312" w:hAnsi="宋体" w:eastAsia="仿宋_GB2312" w:cs="宋体"/>
          <w:b w:val="0"/>
          <w:bCs/>
          <w:color w:val="auto"/>
          <w:kern w:val="0"/>
          <w:sz w:val="24"/>
          <w:szCs w:val="20"/>
          <w:highlight w:val="none"/>
          <w:u w:val="none"/>
          <w:lang w:val="en" w:eastAsia="zh-CN" w:bidi="ar-SA"/>
        </w:rPr>
        <w:t>），在用垂直电梯需每隔6年依照额定载荷的</w:t>
      </w:r>
      <w:r>
        <w:rPr>
          <w:rFonts w:hint="default" w:ascii="仿宋_GB2312" w:hAnsi="宋体" w:eastAsia="仿宋_GB2312" w:cs="宋体"/>
          <w:b w:val="0"/>
          <w:bCs/>
          <w:color w:val="auto"/>
          <w:kern w:val="0"/>
          <w:sz w:val="24"/>
          <w:szCs w:val="20"/>
          <w:highlight w:val="none"/>
          <w:u w:val="none"/>
          <w:lang w:val="en" w:eastAsia="zh-CN" w:bidi="ar-SA"/>
        </w:rPr>
        <w:t>125%</w:t>
      </w:r>
      <w:r>
        <w:rPr>
          <w:rFonts w:hint="eastAsia" w:ascii="仿宋_GB2312" w:hAnsi="宋体" w:eastAsia="仿宋_GB2312" w:cs="宋体"/>
          <w:b w:val="0"/>
          <w:bCs/>
          <w:color w:val="auto"/>
          <w:kern w:val="0"/>
          <w:sz w:val="24"/>
          <w:szCs w:val="20"/>
          <w:highlight w:val="none"/>
          <w:u w:val="none"/>
          <w:lang w:val="en" w:eastAsia="zh-CN" w:bidi="ar-SA"/>
        </w:rPr>
        <w:t>载重进行一次试验，如维保期间需要进行载荷试验，试验费用由乙方承担，该费用已包含在本合同总价中。</w:t>
      </w:r>
    </w:p>
    <w:p w14:paraId="3FFBF1D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1"/>
        <w:rPr>
          <w:rFonts w:hint="eastAsia" w:ascii="仿宋_GB2312" w:hAnsi="Times New Roman" w:eastAsia="仿宋_GB2312" w:cs="ËÎÌå"/>
          <w:b/>
          <w:color w:val="auto"/>
          <w:kern w:val="0"/>
          <w:sz w:val="24"/>
          <w:szCs w:val="20"/>
          <w:highlight w:val="none"/>
          <w:lang w:val="en-US" w:eastAsia="zh-CN" w:bidi="ar-SA"/>
        </w:rPr>
      </w:pPr>
      <w:r>
        <w:rPr>
          <w:rFonts w:hint="eastAsia" w:ascii="仿宋_GB2312" w:hAnsi="Times New Roman" w:eastAsia="仿宋_GB2312" w:cs="ËÎÌå"/>
          <w:b/>
          <w:color w:val="auto"/>
          <w:kern w:val="0"/>
          <w:sz w:val="24"/>
          <w:szCs w:val="20"/>
          <w:highlight w:val="none"/>
          <w:lang w:val="en-US" w:eastAsia="zh-CN" w:bidi="ar-SA"/>
        </w:rPr>
        <w:t>第八条  结算方式</w:t>
      </w:r>
    </w:p>
    <w:p w14:paraId="0E219AE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一）当月服务费用=∑当月保养的电梯×月维保费用限价×（1-下浮率）-扣款。若该电梯当月维保时间不足1个月，当月维保费用按照当月实际维保天数结算服务费用。即：该电梯当月维保费用=该电梯月维保费用限价×（1-下浮率）×（当月实际维保天数/当月总天数）</w:t>
      </w:r>
    </w:p>
    <w:p w14:paraId="7846259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b/>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 xml:space="preserve">（二）支付方式： </w:t>
      </w:r>
      <w:r>
        <w:rPr>
          <w:rFonts w:hint="eastAsia" w:ascii="仿宋_GB2312" w:hAnsi="宋体" w:eastAsia="仿宋_GB2312" w:cs="宋体"/>
          <w:b/>
          <w:color w:val="auto"/>
          <w:kern w:val="0"/>
          <w:sz w:val="24"/>
          <w:szCs w:val="20"/>
          <w:highlight w:val="none"/>
          <w:lang w:val="en-US" w:eastAsia="zh-CN" w:bidi="ar-SA"/>
        </w:rPr>
        <w:t>每三个月付款1次。乙方须在甲方办理支付手续前5个工作日内向甲方提供等额、合规的税务发票（遇节假日则相应顺延）。甲方以支票或转账方式支付应付服务费。若乙方提供的票据不符合要求，甲方有权拒绝支付该笔款项，直至收到符合要求的票据。在此期间，不视为甲方违约。因乙方票据问题引发的法律责任，由乙方承担，甲方由此造成的损失，可另行向乙方追偿。</w:t>
      </w:r>
    </w:p>
    <w:p w14:paraId="1F77D1E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b/>
          <w:bCs/>
          <w:color w:val="auto"/>
          <w:kern w:val="0"/>
          <w:sz w:val="24"/>
          <w:szCs w:val="20"/>
          <w:highlight w:val="none"/>
          <w:lang w:val="en-US" w:eastAsia="zh-CN" w:bidi="ar-SA"/>
        </w:rPr>
        <w:t>第九条  日常维护保养方式</w:t>
      </w:r>
      <w:r>
        <w:rPr>
          <w:rFonts w:hint="eastAsia" w:ascii="仿宋_GB2312" w:hAnsi="宋体" w:eastAsia="仿宋_GB2312" w:cs="宋体"/>
          <w:b/>
          <w:color w:val="auto"/>
          <w:kern w:val="0"/>
          <w:sz w:val="24"/>
          <w:szCs w:val="20"/>
          <w:highlight w:val="none"/>
          <w:lang w:val="en-US" w:eastAsia="zh-CN" w:bidi="ar-SA"/>
        </w:rPr>
        <w:t>：</w:t>
      </w:r>
      <w:r>
        <w:rPr>
          <w:rFonts w:hint="eastAsia" w:ascii="仿宋_GB2312" w:hAnsi="宋体" w:eastAsia="仿宋_GB2312" w:cs="宋体"/>
          <w:color w:val="auto"/>
          <w:kern w:val="0"/>
          <w:sz w:val="24"/>
          <w:szCs w:val="20"/>
          <w:highlight w:val="none"/>
          <w:lang w:val="en-US" w:eastAsia="zh-CN" w:bidi="ar-SA"/>
        </w:rPr>
        <w:t xml:space="preserve">   </w:t>
      </w:r>
      <w:r>
        <w:rPr>
          <w:rFonts w:hint="eastAsia" w:ascii="仿宋_GB2312" w:hAnsi="宋体" w:eastAsia="仿宋_GB2312" w:cs="宋体"/>
          <w:b/>
          <w:color w:val="auto"/>
          <w:kern w:val="0"/>
          <w:sz w:val="24"/>
          <w:szCs w:val="20"/>
          <w:highlight w:val="none"/>
          <w:lang w:val="en-US" w:eastAsia="zh-CN" w:bidi="ar-SA"/>
        </w:rPr>
        <w:t xml:space="preserve"> □清包     ☑半包    □大包</w:t>
      </w:r>
      <w:r>
        <w:rPr>
          <w:rFonts w:hint="eastAsia" w:ascii="仿宋_GB2312" w:hAnsi="宋体" w:eastAsia="仿宋_GB2312" w:cs="宋体"/>
          <w:color w:val="auto"/>
          <w:kern w:val="0"/>
          <w:sz w:val="24"/>
          <w:szCs w:val="20"/>
          <w:highlight w:val="none"/>
          <w:lang w:val="en-US" w:eastAsia="zh-CN" w:bidi="ar-SA"/>
        </w:rPr>
        <w:t>。</w:t>
      </w:r>
    </w:p>
    <w:p w14:paraId="5FF1B60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ËÎÌå"/>
          <w:color w:val="auto"/>
          <w:kern w:val="0"/>
          <w:sz w:val="24"/>
          <w:szCs w:val="20"/>
          <w:highlight w:val="none"/>
          <w:lang w:val="en-US" w:eastAsia="zh-CN" w:bidi="ar-SA"/>
        </w:rPr>
      </w:pPr>
      <w:r>
        <w:rPr>
          <w:rFonts w:hint="eastAsia" w:ascii="仿宋_GB2312" w:hAnsi="宋体" w:eastAsia="仿宋_GB2312" w:cs="ËÎÌå"/>
          <w:color w:val="auto"/>
          <w:kern w:val="0"/>
          <w:sz w:val="24"/>
          <w:szCs w:val="20"/>
          <w:highlight w:val="none"/>
          <w:lang w:val="en-US" w:eastAsia="zh-CN" w:bidi="ar-SA"/>
        </w:rPr>
        <w:t>如约定以半包为日常维护保养方式，半包维保中更换零部件单价在</w:t>
      </w:r>
      <w:r>
        <w:rPr>
          <w:rFonts w:hint="eastAsia" w:ascii="仿宋_GB2312" w:hAnsi="宋体" w:eastAsia="仿宋_GB2312" w:cs="ËÎÌå"/>
          <w:color w:val="auto"/>
          <w:kern w:val="0"/>
          <w:sz w:val="24"/>
          <w:szCs w:val="20"/>
          <w:highlight w:val="none"/>
          <w:u w:val="single"/>
          <w:lang w:val="en-US" w:eastAsia="zh-CN" w:bidi="ar-SA"/>
        </w:rPr>
        <w:t xml:space="preserve"> 500 </w:t>
      </w:r>
      <w:bookmarkStart w:id="0" w:name="_GoBack"/>
      <w:bookmarkEnd w:id="0"/>
      <w:r>
        <w:rPr>
          <w:rFonts w:hint="eastAsia" w:ascii="仿宋_GB2312" w:hAnsi="宋体" w:eastAsia="仿宋_GB2312" w:cs="ËÎÌå"/>
          <w:color w:val="auto"/>
          <w:kern w:val="0"/>
          <w:sz w:val="24"/>
          <w:szCs w:val="20"/>
          <w:highlight w:val="none"/>
          <w:lang w:val="en-US" w:eastAsia="zh-CN" w:bidi="ar-SA"/>
        </w:rPr>
        <w:t>元以内的，由乙方免费提供，并将免费提供零部件清单作为附件放在本合同后面。</w:t>
      </w:r>
    </w:p>
    <w:p w14:paraId="1345DC2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ËÎÌå"/>
          <w:color w:val="auto"/>
          <w:kern w:val="0"/>
          <w:sz w:val="24"/>
          <w:szCs w:val="20"/>
          <w:highlight w:val="none"/>
          <w:lang w:val="en-US" w:eastAsia="zh-CN" w:bidi="ar-SA"/>
        </w:rPr>
      </w:pPr>
      <w:r>
        <w:rPr>
          <w:rFonts w:hint="eastAsia" w:ascii="仿宋_GB2312" w:hAnsi="宋体" w:eastAsia="仿宋_GB2312" w:cs="ËÎÌå"/>
          <w:b/>
          <w:color w:val="auto"/>
          <w:kern w:val="0"/>
          <w:sz w:val="24"/>
          <w:szCs w:val="20"/>
          <w:highlight w:val="none"/>
          <w:lang w:val="en-US" w:eastAsia="zh-CN" w:bidi="ar-SA"/>
        </w:rPr>
        <w:t>第十条  乙方</w:t>
      </w:r>
      <w:r>
        <w:rPr>
          <w:rFonts w:hint="eastAsia" w:ascii="仿宋_GB2312" w:hAnsi="宋体" w:eastAsia="仿宋_GB2312" w:cs="宋体"/>
          <w:b/>
          <w:color w:val="auto"/>
          <w:kern w:val="0"/>
          <w:sz w:val="24"/>
          <w:szCs w:val="20"/>
          <w:highlight w:val="none"/>
          <w:lang w:val="en-US" w:eastAsia="zh-CN" w:bidi="ar-SA"/>
        </w:rPr>
        <w:t>抢修服务热线电话：</w:t>
      </w:r>
      <w:r>
        <w:rPr>
          <w:rFonts w:hint="eastAsia" w:ascii="仿宋_GB2312" w:hAnsi="宋体" w:eastAsia="仿宋_GB2312" w:cs="宋体"/>
          <w:color w:val="auto"/>
          <w:kern w:val="0"/>
          <w:sz w:val="24"/>
          <w:szCs w:val="20"/>
          <w:highlight w:val="none"/>
          <w:u w:val="single"/>
          <w:lang w:val="en-US" w:eastAsia="zh-CN" w:bidi="ar-SA"/>
        </w:rPr>
        <w:t xml:space="preserve">                                 </w:t>
      </w:r>
      <w:r>
        <w:rPr>
          <w:rFonts w:hint="eastAsia" w:ascii="仿宋_GB2312" w:hAnsi="宋体" w:eastAsia="仿宋_GB2312" w:cs="宋体"/>
          <w:color w:val="auto"/>
          <w:kern w:val="0"/>
          <w:sz w:val="24"/>
          <w:szCs w:val="20"/>
          <w:highlight w:val="none"/>
          <w:lang w:val="en-US" w:eastAsia="zh-CN" w:bidi="ar-SA"/>
        </w:rPr>
        <w:t>。</w:t>
      </w:r>
    </w:p>
    <w:p w14:paraId="31F5AF6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ËÎÌå"/>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抢修服务时间</w:t>
      </w:r>
      <w:r>
        <w:rPr>
          <w:rFonts w:hint="eastAsia" w:ascii="仿宋_GB2312" w:hAnsi="宋体" w:eastAsia="仿宋_GB2312" w:cs="宋体"/>
          <w:b/>
          <w:color w:val="auto"/>
          <w:kern w:val="0"/>
          <w:sz w:val="24"/>
          <w:szCs w:val="20"/>
          <w:highlight w:val="none"/>
          <w:lang w:val="en-US" w:eastAsia="zh-CN" w:bidi="ar-SA"/>
        </w:rPr>
        <w:t>（困人除外）：</w:t>
      </w:r>
      <w:r>
        <w:rPr>
          <w:rFonts w:hint="eastAsia" w:ascii="仿宋_GB2312" w:hAnsi="宋体" w:eastAsia="仿宋_GB2312" w:cs="宋体"/>
          <w:color w:val="auto"/>
          <w:kern w:val="0"/>
          <w:sz w:val="24"/>
          <w:szCs w:val="20"/>
          <w:highlight w:val="none"/>
          <w:u w:val="single"/>
          <w:lang w:val="en-US" w:eastAsia="zh-CN" w:bidi="ar-SA"/>
        </w:rPr>
        <w:t xml:space="preserve">                   60分钟     </w:t>
      </w:r>
      <w:r>
        <w:rPr>
          <w:rFonts w:hint="eastAsia" w:ascii="仿宋_GB2312" w:hAnsi="宋体" w:eastAsia="仿宋_GB2312" w:cs="宋体"/>
          <w:color w:val="auto"/>
          <w:kern w:val="0"/>
          <w:sz w:val="24"/>
          <w:szCs w:val="20"/>
          <w:highlight w:val="none"/>
          <w:lang w:val="en-US" w:eastAsia="zh-CN" w:bidi="ar-SA"/>
        </w:rPr>
        <w:t xml:space="preserve"> 。</w:t>
      </w:r>
    </w:p>
    <w:p w14:paraId="44B3F1B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宋体" w:eastAsia="仿宋_GB2312" w:cs="ËÎÌå"/>
          <w:color w:val="auto"/>
          <w:kern w:val="0"/>
          <w:sz w:val="24"/>
          <w:szCs w:val="20"/>
          <w:highlight w:val="none"/>
          <w:lang w:val="en-US" w:eastAsia="zh-CN" w:bidi="ar-SA"/>
        </w:rPr>
      </w:pPr>
      <w:r>
        <w:rPr>
          <w:rFonts w:hint="eastAsia" w:ascii="仿宋_GB2312" w:hAnsi="宋体" w:eastAsia="仿宋_GB2312" w:cs="ËÎÌå"/>
          <w:b/>
          <w:color w:val="auto"/>
          <w:kern w:val="0"/>
          <w:sz w:val="24"/>
          <w:szCs w:val="20"/>
          <w:highlight w:val="none"/>
          <w:lang w:val="en-US" w:eastAsia="zh-CN" w:bidi="ar-SA"/>
        </w:rPr>
        <w:t>第十一条  驻场：</w:t>
      </w:r>
      <w:r>
        <w:rPr>
          <w:rFonts w:hint="eastAsia" w:ascii="仿宋_GB2312" w:hAnsi="宋体" w:eastAsia="仿宋_GB2312" w:cs="ËÎÌå"/>
          <w:color w:val="auto"/>
          <w:kern w:val="0"/>
          <w:sz w:val="24"/>
          <w:szCs w:val="20"/>
          <w:highlight w:val="none"/>
          <w:lang w:val="en-US" w:eastAsia="zh-CN" w:bidi="ar-SA"/>
        </w:rPr>
        <w:t>乙方</w:t>
      </w:r>
      <w:r>
        <w:rPr>
          <w:rFonts w:hint="eastAsia" w:ascii="仿宋_GB2312" w:hAnsi="宋体" w:eastAsia="仿宋_GB2312" w:cs="ËÎÌå"/>
          <w:b/>
          <w:color w:val="auto"/>
          <w:kern w:val="0"/>
          <w:sz w:val="24"/>
          <w:szCs w:val="20"/>
          <w:highlight w:val="none"/>
          <w:lang w:val="en-US" w:eastAsia="zh-CN" w:bidi="ar-SA"/>
        </w:rPr>
        <w:t>（</w:t>
      </w:r>
      <w:r>
        <w:rPr>
          <w:rFonts w:hint="eastAsia" w:ascii="仿宋_GB2312" w:hAnsi="宋体" w:eastAsia="仿宋_GB2312" w:cs="宋体"/>
          <w:b/>
          <w:color w:val="auto"/>
          <w:kern w:val="0"/>
          <w:sz w:val="24"/>
          <w:szCs w:val="20"/>
          <w:highlight w:val="none"/>
          <w:lang w:val="en-US" w:eastAsia="zh-CN" w:bidi="ar-SA"/>
        </w:rPr>
        <w:t>□</w:t>
      </w:r>
      <w:r>
        <w:rPr>
          <w:rFonts w:hint="eastAsia" w:ascii="仿宋_GB2312" w:hAnsi="宋体" w:eastAsia="仿宋_GB2312" w:cs="ËÎÌå"/>
          <w:b/>
          <w:color w:val="auto"/>
          <w:kern w:val="0"/>
          <w:sz w:val="24"/>
          <w:szCs w:val="20"/>
          <w:highlight w:val="none"/>
          <w:lang w:val="en-US" w:eastAsia="zh-CN" w:bidi="ar-SA"/>
        </w:rPr>
        <w:t xml:space="preserve">是  </w:t>
      </w:r>
      <w:r>
        <w:rPr>
          <w:rFonts w:hint="eastAsia" w:ascii="仿宋_GB2312" w:hAnsi="宋体" w:eastAsia="仿宋_GB2312" w:cs="宋体"/>
          <w:b/>
          <w:color w:val="auto"/>
          <w:kern w:val="0"/>
          <w:sz w:val="24"/>
          <w:szCs w:val="20"/>
          <w:highlight w:val="none"/>
          <w:lang w:val="en-US" w:eastAsia="zh-CN" w:bidi="ar-SA"/>
        </w:rPr>
        <w:t>☑</w:t>
      </w:r>
      <w:r>
        <w:rPr>
          <w:rFonts w:hint="eastAsia" w:ascii="仿宋_GB2312" w:hAnsi="宋体" w:eastAsia="仿宋_GB2312" w:cs="ËÎÌå"/>
          <w:b/>
          <w:color w:val="auto"/>
          <w:kern w:val="0"/>
          <w:sz w:val="24"/>
          <w:szCs w:val="20"/>
          <w:highlight w:val="none"/>
          <w:lang w:val="en-US" w:eastAsia="zh-CN" w:bidi="ar-SA"/>
        </w:rPr>
        <w:t>否）</w:t>
      </w:r>
      <w:r>
        <w:rPr>
          <w:rFonts w:hint="eastAsia" w:ascii="仿宋_GB2312" w:hAnsi="宋体" w:eastAsia="仿宋_GB2312" w:cs="ËÎÌå"/>
          <w:color w:val="auto"/>
          <w:kern w:val="0"/>
          <w:sz w:val="24"/>
          <w:szCs w:val="20"/>
          <w:highlight w:val="none"/>
          <w:lang w:val="en-US" w:eastAsia="zh-CN" w:bidi="ar-SA"/>
        </w:rPr>
        <w:t>提供驻场作业服务</w:t>
      </w:r>
      <w:r>
        <w:rPr>
          <w:rFonts w:hint="eastAsia" w:ascii="仿宋_GB2312" w:hAnsi="宋体" w:eastAsia="仿宋_GB2312" w:cs="ËÎÌå"/>
          <w:b/>
          <w:color w:val="auto"/>
          <w:kern w:val="0"/>
          <w:sz w:val="24"/>
          <w:szCs w:val="20"/>
          <w:highlight w:val="none"/>
          <w:lang w:val="en-US" w:eastAsia="zh-CN" w:bidi="ar-SA"/>
        </w:rPr>
        <w:t>（驻场费用应当已经包含在日常维护保养费中）</w:t>
      </w:r>
      <w:r>
        <w:rPr>
          <w:rFonts w:hint="eastAsia" w:ascii="仿宋_GB2312" w:hAnsi="宋体" w:eastAsia="仿宋_GB2312" w:cs="ËÎÌå"/>
          <w:color w:val="auto"/>
          <w:kern w:val="0"/>
          <w:sz w:val="24"/>
          <w:szCs w:val="20"/>
          <w:highlight w:val="none"/>
          <w:lang w:val="en-US" w:eastAsia="zh-CN" w:bidi="ar-SA"/>
        </w:rPr>
        <w:t>。</w:t>
      </w:r>
    </w:p>
    <w:p w14:paraId="55797EB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ËÎÌå"/>
          <w:color w:val="auto"/>
          <w:kern w:val="0"/>
          <w:sz w:val="24"/>
          <w:szCs w:val="20"/>
          <w:highlight w:val="none"/>
          <w:u w:val="single"/>
          <w:lang w:val="en-US" w:eastAsia="zh-CN" w:bidi="ar-SA"/>
        </w:rPr>
      </w:pPr>
      <w:r>
        <w:rPr>
          <w:rFonts w:hint="eastAsia" w:ascii="仿宋_GB2312" w:hAnsi="宋体" w:eastAsia="仿宋_GB2312" w:cs="ËÎÌå"/>
          <w:color w:val="auto"/>
          <w:kern w:val="0"/>
          <w:sz w:val="24"/>
          <w:szCs w:val="20"/>
          <w:highlight w:val="none"/>
          <w:lang w:val="en-US" w:eastAsia="zh-CN" w:bidi="ar-SA"/>
        </w:rPr>
        <w:t>驻场作业人员职责：</w:t>
      </w:r>
      <w:r>
        <w:rPr>
          <w:rFonts w:hint="eastAsia" w:ascii="仿宋_GB2312" w:hAnsi="宋体" w:eastAsia="仿宋_GB2312" w:cs="ËÎÌå"/>
          <w:color w:val="auto"/>
          <w:kern w:val="0"/>
          <w:sz w:val="24"/>
          <w:szCs w:val="20"/>
          <w:highlight w:val="none"/>
          <w:u w:val="single"/>
          <w:lang w:val="en-US" w:eastAsia="zh-CN" w:bidi="ar-SA"/>
        </w:rPr>
        <w:t xml:space="preserve">                                               </w:t>
      </w:r>
    </w:p>
    <w:p w14:paraId="0F09391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ËÎÌå"/>
          <w:color w:val="auto"/>
          <w:kern w:val="0"/>
          <w:sz w:val="24"/>
          <w:szCs w:val="20"/>
          <w:highlight w:val="none"/>
          <w:u w:val="single"/>
          <w:lang w:val="en-US" w:eastAsia="zh-CN" w:bidi="ar-SA"/>
        </w:rPr>
      </w:pPr>
      <w:r>
        <w:rPr>
          <w:rFonts w:hint="eastAsia" w:ascii="仿宋_GB2312" w:hAnsi="宋体" w:eastAsia="仿宋_GB2312" w:cs="ËÎÌå"/>
          <w:color w:val="auto"/>
          <w:kern w:val="0"/>
          <w:sz w:val="24"/>
          <w:szCs w:val="20"/>
          <w:highlight w:val="none"/>
          <w:u w:val="single"/>
          <w:lang w:val="en-US" w:eastAsia="zh-CN" w:bidi="ar-SA"/>
        </w:rPr>
        <w:t xml:space="preserve">                                                                 </w:t>
      </w:r>
    </w:p>
    <w:p w14:paraId="79593BD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ËÎÌå"/>
          <w:color w:val="auto"/>
          <w:kern w:val="0"/>
          <w:sz w:val="24"/>
          <w:szCs w:val="20"/>
          <w:highlight w:val="none"/>
          <w:u w:val="single"/>
          <w:lang w:val="en-US" w:eastAsia="zh-CN" w:bidi="ar-SA"/>
        </w:rPr>
      </w:pPr>
      <w:r>
        <w:rPr>
          <w:rFonts w:hint="eastAsia" w:ascii="仿宋_GB2312" w:hAnsi="宋体" w:eastAsia="仿宋_GB2312" w:cs="ËÎÌå"/>
          <w:color w:val="auto"/>
          <w:kern w:val="0"/>
          <w:sz w:val="24"/>
          <w:szCs w:val="20"/>
          <w:highlight w:val="none"/>
          <w:u w:val="single"/>
          <w:lang w:val="en-US" w:eastAsia="zh-CN" w:bidi="ar-SA"/>
        </w:rPr>
        <w:t xml:space="preserve">                                                                 </w:t>
      </w:r>
    </w:p>
    <w:p w14:paraId="494F836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ËÎÌå"/>
          <w:b/>
          <w:color w:val="auto"/>
          <w:kern w:val="0"/>
          <w:sz w:val="24"/>
          <w:szCs w:val="20"/>
          <w:highlight w:val="none"/>
          <w:lang w:val="en-US" w:eastAsia="zh-CN" w:bidi="ar-SA"/>
        </w:rPr>
      </w:pPr>
      <w:r>
        <w:rPr>
          <w:rFonts w:hint="eastAsia" w:ascii="仿宋_GB2312" w:hAnsi="Times New Roman" w:eastAsia="仿宋_GB2312" w:cs="ËÎÌå"/>
          <w:b/>
          <w:color w:val="auto"/>
          <w:kern w:val="0"/>
          <w:sz w:val="24"/>
          <w:szCs w:val="20"/>
          <w:highlight w:val="none"/>
          <w:lang w:val="en-US" w:eastAsia="zh-CN" w:bidi="ar-SA"/>
        </w:rPr>
        <w:t>第十二条  甲方权利、义务</w:t>
      </w:r>
    </w:p>
    <w:p w14:paraId="1E47705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（一）权利</w:t>
      </w:r>
    </w:p>
    <w:p w14:paraId="224B7F6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1、有权监督乙方按照合同约定履行维护保养义务，发出故障通知或提出建议。</w:t>
      </w:r>
    </w:p>
    <w:p w14:paraId="5C83C40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2、有权要求乙方保障电梯的正常运行。乙方的维护保养达不到合同约定的维护保养标准或要求的，甲方有权拒绝在维护保养记录上签名，并责令乙方改正。</w:t>
      </w:r>
    </w:p>
    <w:p w14:paraId="504B138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（二）义务</w:t>
      </w:r>
    </w:p>
    <w:p w14:paraId="54EC17F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1、</w:t>
      </w:r>
      <w:r>
        <w:rPr>
          <w:rFonts w:hint="eastAsia" w:ascii="仿宋_GB2312" w:hAnsi="宋体" w:eastAsia="仿宋_GB2312" w:cs="宋体"/>
          <w:color w:val="auto"/>
          <w:kern w:val="0"/>
          <w:sz w:val="24"/>
          <w:szCs w:val="20"/>
          <w:highlight w:val="none"/>
          <w:lang w:val="en-US" w:eastAsia="zh-CN" w:bidi="ar-SA"/>
        </w:rPr>
        <w:t>应当对每台电梯建立完整的安全技术档案，并供乙方查询。签订合同前应当向乙方提供如下资料或复印件：</w:t>
      </w:r>
    </w:p>
    <w:p w14:paraId="1EC754B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ËÎÌå"/>
          <w:color w:val="auto"/>
          <w:kern w:val="0"/>
          <w:sz w:val="24"/>
          <w:szCs w:val="20"/>
          <w:highlight w:val="none"/>
          <w:lang w:val="en-US" w:eastAsia="zh-CN" w:bidi="ar-SA"/>
        </w:rPr>
        <w:t>（1）</w:t>
      </w:r>
      <w:r>
        <w:rPr>
          <w:rFonts w:hint="eastAsia" w:ascii="仿宋_GB2312" w:hAnsi="宋体" w:eastAsia="仿宋_GB2312" w:cs="宋体"/>
          <w:color w:val="auto"/>
          <w:kern w:val="0"/>
          <w:sz w:val="24"/>
          <w:szCs w:val="20"/>
          <w:highlight w:val="none"/>
          <w:lang w:val="en-US" w:eastAsia="zh-CN" w:bidi="ar-SA"/>
        </w:rPr>
        <w:t>产品合格证；</w:t>
      </w:r>
    </w:p>
    <w:p w14:paraId="6A9156C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ËÎÌå"/>
          <w:color w:val="auto"/>
          <w:kern w:val="0"/>
          <w:sz w:val="24"/>
          <w:szCs w:val="20"/>
          <w:highlight w:val="none"/>
          <w:lang w:val="en-US" w:eastAsia="zh-CN" w:bidi="ar-SA"/>
        </w:rPr>
        <w:t>（2）</w:t>
      </w:r>
      <w:r>
        <w:rPr>
          <w:rFonts w:hint="eastAsia" w:ascii="仿宋_GB2312" w:hAnsi="宋体" w:eastAsia="仿宋_GB2312" w:cs="宋体"/>
          <w:color w:val="auto"/>
          <w:kern w:val="0"/>
          <w:sz w:val="24"/>
          <w:szCs w:val="20"/>
          <w:highlight w:val="none"/>
          <w:lang w:val="en-US" w:eastAsia="zh-CN" w:bidi="ar-SA"/>
        </w:rPr>
        <w:t>电气原理图；</w:t>
      </w:r>
    </w:p>
    <w:p w14:paraId="38CC885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ËÎÌå"/>
          <w:color w:val="auto"/>
          <w:kern w:val="0"/>
          <w:sz w:val="24"/>
          <w:szCs w:val="20"/>
          <w:highlight w:val="none"/>
          <w:lang w:val="en-US" w:eastAsia="zh-CN" w:bidi="ar-SA"/>
        </w:rPr>
        <w:t>（3）</w:t>
      </w:r>
      <w:r>
        <w:rPr>
          <w:rFonts w:hint="eastAsia" w:ascii="仿宋_GB2312" w:hAnsi="宋体" w:eastAsia="仿宋_GB2312" w:cs="宋体"/>
          <w:color w:val="auto"/>
          <w:kern w:val="0"/>
          <w:sz w:val="24"/>
          <w:szCs w:val="20"/>
          <w:highlight w:val="none"/>
          <w:lang w:val="en-US" w:eastAsia="zh-CN" w:bidi="ar-SA"/>
        </w:rPr>
        <w:t>安装说明书；</w:t>
      </w:r>
    </w:p>
    <w:p w14:paraId="3EDB4A7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ËÎÌå"/>
          <w:color w:val="auto"/>
          <w:kern w:val="0"/>
          <w:sz w:val="24"/>
          <w:szCs w:val="20"/>
          <w:highlight w:val="none"/>
          <w:lang w:val="en-US" w:eastAsia="zh-CN" w:bidi="ar-SA"/>
        </w:rPr>
        <w:t>（4）</w:t>
      </w:r>
      <w:r>
        <w:rPr>
          <w:rFonts w:hint="eastAsia" w:ascii="仿宋_GB2312" w:hAnsi="宋体" w:eastAsia="仿宋_GB2312" w:cs="宋体"/>
          <w:color w:val="auto"/>
          <w:kern w:val="0"/>
          <w:sz w:val="24"/>
          <w:szCs w:val="20"/>
          <w:highlight w:val="none"/>
          <w:lang w:val="en-US" w:eastAsia="zh-CN" w:bidi="ar-SA"/>
        </w:rPr>
        <w:t>电梯整机、安全部件和主要部件型式试验报告结论副本或结论；</w:t>
      </w:r>
    </w:p>
    <w:p w14:paraId="6B2203C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ËÎÌå"/>
          <w:color w:val="auto"/>
          <w:kern w:val="0"/>
          <w:sz w:val="24"/>
          <w:szCs w:val="20"/>
          <w:highlight w:val="none"/>
          <w:lang w:val="en-US" w:eastAsia="zh-CN" w:bidi="ar-SA"/>
        </w:rPr>
        <w:t>（5）</w:t>
      </w:r>
      <w:r>
        <w:rPr>
          <w:rFonts w:hint="eastAsia" w:ascii="仿宋_GB2312" w:hAnsi="宋体" w:eastAsia="仿宋_GB2312" w:cs="宋体"/>
          <w:color w:val="auto"/>
          <w:kern w:val="0"/>
          <w:sz w:val="24"/>
          <w:szCs w:val="20"/>
          <w:highlight w:val="none"/>
          <w:lang w:val="en-US" w:eastAsia="zh-CN" w:bidi="ar-SA"/>
        </w:rPr>
        <w:t>故障及事故记录；</w:t>
      </w:r>
    </w:p>
    <w:p w14:paraId="1417EF4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（6）改造、重大维修原始记录；</w:t>
      </w:r>
    </w:p>
    <w:p w14:paraId="0514342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（7）广州市特种设备使用登记证；</w:t>
      </w:r>
    </w:p>
    <w:p w14:paraId="3BFB8D6A">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（8）上年度的检验报告；</w:t>
      </w:r>
    </w:p>
    <w:p w14:paraId="53B1F88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u w:val="none"/>
          <w:lang w:val="en-US" w:eastAsia="zh-CN" w:bidi="ar-SA"/>
        </w:rPr>
        <w:t>（9）</w:t>
      </w:r>
      <w:r>
        <w:rPr>
          <w:rFonts w:hint="eastAsia" w:ascii="仿宋_GB2312" w:hAnsi="宋体" w:eastAsia="仿宋_GB2312" w:cs="宋体"/>
          <w:color w:val="auto"/>
          <w:kern w:val="0"/>
          <w:sz w:val="24"/>
          <w:szCs w:val="20"/>
          <w:highlight w:val="none"/>
          <w:u w:val="single"/>
          <w:lang w:val="en-US" w:eastAsia="zh-CN" w:bidi="ar-SA"/>
        </w:rPr>
        <w:t xml:space="preserve">                                                           </w:t>
      </w:r>
      <w:r>
        <w:rPr>
          <w:rFonts w:hint="eastAsia" w:ascii="仿宋_GB2312" w:hAnsi="宋体" w:eastAsia="仿宋_GB2312" w:cs="宋体"/>
          <w:color w:val="auto"/>
          <w:kern w:val="0"/>
          <w:sz w:val="24"/>
          <w:szCs w:val="20"/>
          <w:highlight w:val="none"/>
          <w:lang w:val="en-US" w:eastAsia="zh-CN" w:bidi="ar-SA"/>
        </w:rPr>
        <w:t>。</w:t>
      </w:r>
    </w:p>
    <w:p w14:paraId="4EEC69B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2、</w:t>
      </w:r>
      <w:r>
        <w:rPr>
          <w:rFonts w:hint="eastAsia" w:ascii="仿宋_GB2312" w:hAnsi="宋体-18030" w:eastAsia="仿宋_GB2312" w:cs="宋体-18030"/>
          <w:color w:val="auto"/>
          <w:kern w:val="0"/>
          <w:sz w:val="24"/>
          <w:szCs w:val="20"/>
          <w:highlight w:val="none"/>
          <w:lang w:val="en-US" w:eastAsia="zh-CN" w:bidi="ar-SA"/>
        </w:rPr>
        <w:t>建立电梯安全运行管理制度，保证电梯的用电、消防、防雷、通风、通道、电话通信、监控摄像和报警装置等系统安全可靠；</w:t>
      </w:r>
      <w:r>
        <w:rPr>
          <w:rFonts w:hint="eastAsia" w:ascii="仿宋_GB2312" w:hAnsi="宋体" w:eastAsia="仿宋_GB2312" w:cs="宋体"/>
          <w:color w:val="auto"/>
          <w:kern w:val="0"/>
          <w:sz w:val="24"/>
          <w:szCs w:val="20"/>
          <w:highlight w:val="none"/>
          <w:lang w:val="en-US" w:eastAsia="zh-CN" w:bidi="ar-SA"/>
        </w:rPr>
        <w:t>并保证机房、井道、底坑无漏水、渗水现象，通往机房、底坑、滑轮间、井道安全门的通道畅通、照明充分。</w:t>
      </w:r>
    </w:p>
    <w:p w14:paraId="37B9F52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3、指派</w:t>
      </w:r>
      <w:r>
        <w:rPr>
          <w:rFonts w:hint="eastAsia" w:ascii="仿宋_GB2312" w:hAnsi="宋体" w:eastAsia="仿宋_GB2312" w:cs="宋体"/>
          <w:color w:val="auto"/>
          <w:kern w:val="0"/>
          <w:sz w:val="24"/>
          <w:szCs w:val="20"/>
          <w:highlight w:val="none"/>
          <w:u w:val="single"/>
          <w:lang w:val="en-US" w:eastAsia="zh-CN" w:bidi="ar-SA"/>
        </w:rPr>
        <w:t xml:space="preserve">       </w:t>
      </w:r>
      <w:r>
        <w:rPr>
          <w:rFonts w:hint="eastAsia" w:ascii="仿宋_GB2312" w:hAnsi="宋体" w:eastAsia="仿宋_GB2312" w:cs="宋体"/>
          <w:color w:val="auto"/>
          <w:kern w:val="0"/>
          <w:sz w:val="24"/>
          <w:szCs w:val="20"/>
          <w:highlight w:val="none"/>
          <w:lang w:val="en-US" w:eastAsia="zh-CN" w:bidi="ar-SA"/>
        </w:rPr>
        <w:t>同志为</w:t>
      </w:r>
      <w:r>
        <w:rPr>
          <w:rFonts w:hint="eastAsia" w:ascii="仿宋_GB2312" w:hAnsi="Times New Roman" w:eastAsia="仿宋_GB2312" w:cs="Times New Roman"/>
          <w:color w:val="auto"/>
          <w:kern w:val="2"/>
          <w:sz w:val="24"/>
          <w:szCs w:val="20"/>
          <w:highlight w:val="none"/>
          <w:lang w:val="en-US" w:eastAsia="zh-CN" w:bidi="ar-SA"/>
        </w:rPr>
        <w:t>电梯安全管理员，</w:t>
      </w:r>
      <w:r>
        <w:rPr>
          <w:rFonts w:hint="eastAsia" w:ascii="仿宋_GB2312" w:hAnsi="宋体-18030" w:eastAsia="仿宋_GB2312" w:cs="宋体-18030"/>
          <w:color w:val="auto"/>
          <w:kern w:val="0"/>
          <w:sz w:val="24"/>
          <w:szCs w:val="20"/>
          <w:highlight w:val="none"/>
          <w:lang w:val="en-US" w:eastAsia="zh-CN" w:bidi="ar-SA"/>
        </w:rPr>
        <w:t>负责电梯以下日常安全管理工作：</w:t>
      </w:r>
    </w:p>
    <w:p w14:paraId="721974D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ËÎÌå"/>
          <w:color w:val="auto"/>
          <w:kern w:val="0"/>
          <w:sz w:val="24"/>
          <w:szCs w:val="20"/>
          <w:highlight w:val="none"/>
          <w:lang w:val="en-US" w:eastAsia="zh-CN" w:bidi="ar-SA"/>
        </w:rPr>
        <w:t>（1）</w:t>
      </w:r>
      <w:r>
        <w:rPr>
          <w:rFonts w:hint="eastAsia" w:ascii="仿宋_GB2312" w:hAnsi="宋体" w:eastAsia="仿宋_GB2312" w:cs="宋体"/>
          <w:color w:val="auto"/>
          <w:kern w:val="0"/>
          <w:sz w:val="24"/>
          <w:szCs w:val="20"/>
          <w:highlight w:val="none"/>
          <w:lang w:val="en-US" w:eastAsia="zh-CN" w:bidi="ar-SA"/>
        </w:rPr>
        <w:t>负责电梯钥匙的使用管理；</w:t>
      </w:r>
    </w:p>
    <w:p w14:paraId="7FE5015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ËÎÌå"/>
          <w:color w:val="auto"/>
          <w:kern w:val="0"/>
          <w:sz w:val="24"/>
          <w:szCs w:val="20"/>
          <w:highlight w:val="none"/>
          <w:lang w:val="en-US" w:eastAsia="zh-CN" w:bidi="ar-SA"/>
        </w:rPr>
        <w:t>（2）负责</w:t>
      </w:r>
      <w:r>
        <w:rPr>
          <w:rFonts w:hint="eastAsia" w:ascii="仿宋_GB2312" w:hAnsi="宋体" w:eastAsia="仿宋_GB2312" w:cs="宋体"/>
          <w:color w:val="auto"/>
          <w:kern w:val="0"/>
          <w:sz w:val="24"/>
          <w:szCs w:val="20"/>
          <w:highlight w:val="none"/>
          <w:lang w:val="en-US" w:eastAsia="zh-CN" w:bidi="ar-SA"/>
        </w:rPr>
        <w:t>对乙方的维护保养记录、修理记录签名确认；</w:t>
      </w:r>
    </w:p>
    <w:p w14:paraId="2D60EDD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（3）负责对乙方提交的电梯安全隐患提示单签名确认。</w:t>
      </w:r>
    </w:p>
    <w:p w14:paraId="3D6C37E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如果更换电梯安全管理人员，应当及时通知乙方。</w:t>
      </w:r>
    </w:p>
    <w:p w14:paraId="7ADCF15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4、</w:t>
      </w:r>
      <w:r>
        <w:rPr>
          <w:rFonts w:hint="eastAsia" w:ascii="仿宋_GB2312" w:hAnsi="宋体" w:eastAsia="仿宋_GB2312" w:cs="宋体"/>
          <w:color w:val="auto"/>
          <w:kern w:val="0"/>
          <w:sz w:val="24"/>
          <w:szCs w:val="20"/>
          <w:highlight w:val="none"/>
          <w:lang w:val="en-US" w:eastAsia="zh-CN" w:bidi="ar-SA"/>
        </w:rPr>
        <w:t>应当制定电梯事故应急防范措施和救援预案并定期演练。</w:t>
      </w:r>
    </w:p>
    <w:p w14:paraId="167CBA8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5、</w:t>
      </w:r>
      <w:r>
        <w:rPr>
          <w:rFonts w:hint="eastAsia" w:ascii="仿宋_GB2312" w:hAnsi="宋体" w:eastAsia="仿宋_GB2312" w:cs="宋体"/>
          <w:color w:val="auto"/>
          <w:kern w:val="0"/>
          <w:sz w:val="24"/>
          <w:szCs w:val="20"/>
          <w:highlight w:val="none"/>
          <w:lang w:val="en-US" w:eastAsia="zh-CN" w:bidi="ar-SA"/>
        </w:rPr>
        <w:t>在电梯使用过程中发现故障或异常情况应当立即停止使用，并及时通知乙方。</w:t>
      </w:r>
    </w:p>
    <w:p w14:paraId="6D588D8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6、除乙方无法解决的情况外，未经</w:t>
      </w:r>
      <w:r>
        <w:rPr>
          <w:rFonts w:hint="eastAsia" w:ascii="仿宋_GB2312" w:hAnsi="宋体" w:eastAsia="仿宋_GB2312" w:cs="宋体"/>
          <w:color w:val="auto"/>
          <w:kern w:val="0"/>
          <w:sz w:val="24"/>
          <w:szCs w:val="20"/>
          <w:highlight w:val="none"/>
          <w:lang w:val="en-US" w:eastAsia="zh-CN" w:bidi="ar-SA"/>
        </w:rPr>
        <w:t>乙方书面许可不得允许非乙方人员从事与电梯维护保养有关的工作。</w:t>
      </w:r>
    </w:p>
    <w:p w14:paraId="69A6F7E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7、应当</w:t>
      </w:r>
      <w:r>
        <w:rPr>
          <w:rFonts w:hint="eastAsia" w:ascii="仿宋_GB2312" w:hAnsi="宋体" w:eastAsia="仿宋_GB2312" w:cs="宋体"/>
          <w:color w:val="auto"/>
          <w:kern w:val="0"/>
          <w:sz w:val="24"/>
          <w:szCs w:val="20"/>
          <w:highlight w:val="none"/>
          <w:lang w:val="en-US" w:eastAsia="zh-CN" w:bidi="ar-SA"/>
        </w:rPr>
        <w:t>为乙方提供维护保养所需的工作环境。</w:t>
      </w:r>
    </w:p>
    <w:p w14:paraId="1C2FCED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8、</w:t>
      </w:r>
      <w:r>
        <w:rPr>
          <w:rFonts w:hint="eastAsia" w:ascii="仿宋_GB2312" w:hAnsi="宋体" w:eastAsia="仿宋_GB2312" w:cs="宋体"/>
          <w:color w:val="auto"/>
          <w:kern w:val="0"/>
          <w:sz w:val="24"/>
          <w:szCs w:val="20"/>
          <w:highlight w:val="none"/>
          <w:lang w:val="en-US" w:eastAsia="zh-CN" w:bidi="ar-SA"/>
        </w:rPr>
        <w:t>应当在电梯安全检验合格有效期届满前</w:t>
      </w:r>
      <w:r>
        <w:rPr>
          <w:rFonts w:hint="eastAsia" w:ascii="仿宋_GB2312" w:hAnsi="宋体" w:eastAsia="仿宋_GB2312" w:cs="ËÎÌå"/>
          <w:color w:val="auto"/>
          <w:kern w:val="0"/>
          <w:sz w:val="24"/>
          <w:szCs w:val="20"/>
          <w:highlight w:val="none"/>
          <w:lang w:val="en-US" w:eastAsia="zh-CN" w:bidi="ar-SA"/>
        </w:rPr>
        <w:t xml:space="preserve">1 </w:t>
      </w:r>
      <w:r>
        <w:rPr>
          <w:rFonts w:hint="eastAsia" w:ascii="仿宋_GB2312" w:hAnsi="宋体" w:eastAsia="仿宋_GB2312" w:cs="宋体"/>
          <w:color w:val="auto"/>
          <w:kern w:val="0"/>
          <w:sz w:val="24"/>
          <w:szCs w:val="20"/>
          <w:highlight w:val="none"/>
          <w:lang w:val="en-US" w:eastAsia="zh-CN" w:bidi="ar-SA"/>
        </w:rPr>
        <w:t>个月，向电梯检验检测机构提出定期检验申请。</w:t>
      </w:r>
    </w:p>
    <w:p w14:paraId="679BDED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9、发现电梯安全隐患应及时予以消除。</w:t>
      </w:r>
    </w:p>
    <w:p w14:paraId="7C7590B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第十三条  乙方权利、义务</w:t>
      </w:r>
    </w:p>
    <w:p w14:paraId="61DBC391">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宋体" w:eastAsia="仿宋_GB2312" w:cs="黑体"/>
          <w:b/>
          <w:color w:val="auto"/>
          <w:kern w:val="0"/>
          <w:sz w:val="24"/>
          <w:szCs w:val="20"/>
          <w:highlight w:val="none"/>
          <w:lang w:val="en-US" w:eastAsia="zh-CN" w:bidi="ar-SA"/>
        </w:rPr>
        <w:t>（一）</w:t>
      </w:r>
      <w:r>
        <w:rPr>
          <w:rFonts w:hint="eastAsia" w:ascii="仿宋_GB2312" w:hAnsi="Times New Roman" w:eastAsia="仿宋_GB2312" w:cs="Times New Roman"/>
          <w:b/>
          <w:color w:val="auto"/>
          <w:kern w:val="2"/>
          <w:sz w:val="24"/>
          <w:szCs w:val="20"/>
          <w:highlight w:val="none"/>
          <w:lang w:val="en-US" w:eastAsia="zh-CN" w:bidi="ar-SA"/>
        </w:rPr>
        <w:t>权利</w:t>
      </w:r>
    </w:p>
    <w:p w14:paraId="6B1F3D7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1、有权要求甲方提供维护保养所需的工作环境及相关资料。</w:t>
      </w:r>
    </w:p>
    <w:p w14:paraId="0FEA2AB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2、有权拒绝甲方提出的影响电梯安全运行的要求。</w:t>
      </w:r>
    </w:p>
    <w:p w14:paraId="3A55563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（二）义务</w:t>
      </w:r>
    </w:p>
    <w:p w14:paraId="548B30A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1、</w:t>
      </w:r>
      <w:r>
        <w:rPr>
          <w:rFonts w:hint="eastAsia" w:ascii="仿宋_GB2312" w:hAnsi="宋体" w:eastAsia="仿宋_GB2312" w:cs="宋体"/>
          <w:color w:val="auto"/>
          <w:kern w:val="0"/>
          <w:sz w:val="24"/>
          <w:szCs w:val="20"/>
          <w:highlight w:val="none"/>
          <w:lang w:val="en-US" w:eastAsia="zh-CN" w:bidi="ar-SA"/>
        </w:rPr>
        <w:t>应当具备特种设备安全监督管理部门核发的相应许可证，并向甲方提交加盖公章的营业执照和《特种设备安装改造维修许可证》复印件作为本合同的附件。</w:t>
      </w:r>
    </w:p>
    <w:p w14:paraId="405637E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b/>
          <w:color w:val="auto"/>
          <w:kern w:val="0"/>
          <w:sz w:val="24"/>
          <w:szCs w:val="20"/>
          <w:highlight w:val="none"/>
          <w:u w:val="singl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2、</w:t>
      </w:r>
      <w:r>
        <w:rPr>
          <w:rFonts w:hint="eastAsia" w:ascii="仿宋_GB2312" w:hAnsi="宋体" w:eastAsia="仿宋_GB2312" w:cs="宋体"/>
          <w:color w:val="auto"/>
          <w:kern w:val="0"/>
          <w:sz w:val="24"/>
          <w:szCs w:val="20"/>
          <w:highlight w:val="none"/>
          <w:lang w:val="en-US" w:eastAsia="zh-CN" w:bidi="ar-SA"/>
        </w:rPr>
        <w:t>接到故障通知后，应当在</w:t>
      </w:r>
      <w:r>
        <w:rPr>
          <w:rFonts w:hint="eastAsia" w:ascii="仿宋_GB2312" w:hAnsi="宋体" w:eastAsia="仿宋_GB2312" w:cs="宋体"/>
          <w:color w:val="auto"/>
          <w:kern w:val="0"/>
          <w:sz w:val="24"/>
          <w:szCs w:val="20"/>
          <w:highlight w:val="none"/>
          <w:u w:val="single"/>
          <w:lang w:val="en-US" w:eastAsia="zh-CN" w:bidi="ar-SA"/>
        </w:rPr>
        <w:t xml:space="preserve">   1   </w:t>
      </w:r>
      <w:r>
        <w:rPr>
          <w:rFonts w:hint="eastAsia" w:ascii="仿宋_GB2312" w:hAnsi="宋体" w:eastAsia="仿宋_GB2312" w:cs="宋体"/>
          <w:color w:val="auto"/>
          <w:kern w:val="0"/>
          <w:sz w:val="24"/>
          <w:szCs w:val="20"/>
          <w:highlight w:val="none"/>
          <w:lang w:val="en-US" w:eastAsia="zh-CN" w:bidi="ar-SA"/>
        </w:rPr>
        <w:t>小时内抵达现场进行处理；</w:t>
      </w:r>
      <w:r>
        <w:rPr>
          <w:rFonts w:hint="eastAsia" w:ascii="仿宋_GB2312" w:hAnsi="宋体" w:eastAsia="仿宋_GB2312" w:cs="宋体"/>
          <w:b/>
          <w:color w:val="auto"/>
          <w:kern w:val="0"/>
          <w:sz w:val="24"/>
          <w:szCs w:val="20"/>
          <w:highlight w:val="none"/>
          <w:lang w:val="en-US" w:eastAsia="zh-CN" w:bidi="ar-SA"/>
        </w:rPr>
        <w:t>发生电梯困人故障时，由位于广州市</w:t>
      </w:r>
      <w:r>
        <w:rPr>
          <w:rFonts w:hint="eastAsia" w:ascii="仿宋_GB2312" w:hAnsi="宋体" w:eastAsia="仿宋_GB2312" w:cs="宋体"/>
          <w:b/>
          <w:color w:val="auto"/>
          <w:kern w:val="0"/>
          <w:sz w:val="24"/>
          <w:szCs w:val="20"/>
          <w:highlight w:val="none"/>
          <w:u w:val="single"/>
          <w:lang w:val="en-US" w:eastAsia="zh-CN" w:bidi="ar-SA"/>
        </w:rPr>
        <w:t xml:space="preserve">  天河、荔湾、白云 </w:t>
      </w:r>
      <w:r>
        <w:rPr>
          <w:rFonts w:hint="eastAsia" w:ascii="仿宋_GB2312" w:hAnsi="宋体" w:eastAsia="仿宋_GB2312" w:cs="宋体"/>
          <w:b/>
          <w:color w:val="auto"/>
          <w:kern w:val="0"/>
          <w:sz w:val="24"/>
          <w:szCs w:val="20"/>
          <w:highlight w:val="none"/>
          <w:lang w:val="en-US" w:eastAsia="zh-CN" w:bidi="ar-SA"/>
        </w:rPr>
        <w:t>区3个的服务网点派员在</w:t>
      </w:r>
      <w:r>
        <w:rPr>
          <w:rFonts w:hint="eastAsia" w:ascii="仿宋_GB2312" w:hAnsi="宋体" w:eastAsia="仿宋_GB2312" w:cs="宋体"/>
          <w:b/>
          <w:color w:val="auto"/>
          <w:kern w:val="0"/>
          <w:sz w:val="24"/>
          <w:szCs w:val="20"/>
          <w:highlight w:val="none"/>
          <w:u w:val="single"/>
          <w:lang w:val="en-US" w:eastAsia="zh-CN" w:bidi="ar-SA"/>
        </w:rPr>
        <w:t xml:space="preserve"> 30 </w:t>
      </w:r>
      <w:r>
        <w:rPr>
          <w:rFonts w:hint="eastAsia" w:ascii="仿宋_GB2312" w:hAnsi="宋体" w:eastAsia="仿宋_GB2312" w:cs="宋体"/>
          <w:b/>
          <w:color w:val="auto"/>
          <w:kern w:val="0"/>
          <w:sz w:val="24"/>
          <w:szCs w:val="20"/>
          <w:highlight w:val="none"/>
          <w:lang w:val="en-US" w:eastAsia="zh-CN" w:bidi="ar-SA"/>
        </w:rPr>
        <w:t>分钟内（此时间最长不得超过30分钟）抵达现场实施救援。</w:t>
      </w:r>
    </w:p>
    <w:p w14:paraId="1254AA1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3、</w:t>
      </w:r>
      <w:r>
        <w:rPr>
          <w:rFonts w:hint="eastAsia" w:ascii="仿宋_GB2312" w:hAnsi="宋体" w:eastAsia="仿宋_GB2312" w:cs="宋体"/>
          <w:color w:val="auto"/>
          <w:kern w:val="0"/>
          <w:sz w:val="24"/>
          <w:szCs w:val="20"/>
          <w:highlight w:val="none"/>
          <w:lang w:val="en-US" w:eastAsia="zh-CN" w:bidi="ar-SA"/>
        </w:rPr>
        <w:t>现场作业人员不得少于两人，且</w:t>
      </w:r>
      <w:r>
        <w:rPr>
          <w:rFonts w:hint="eastAsia" w:ascii="仿宋_GB2312" w:hAnsi="_x000B_" w:eastAsia="仿宋_GB2312" w:cs="宋体"/>
          <w:color w:val="auto"/>
          <w:kern w:val="0"/>
          <w:sz w:val="24"/>
          <w:szCs w:val="20"/>
          <w:highlight w:val="none"/>
          <w:lang w:val="en-US" w:eastAsia="zh-CN" w:bidi="ar-SA"/>
        </w:rPr>
        <w:t>应当取得相应的《特种设备作业人员证》</w:t>
      </w:r>
      <w:r>
        <w:rPr>
          <w:rFonts w:hint="eastAsia" w:ascii="仿宋_GB2312" w:hAnsi="Times New Roman" w:eastAsia="仿宋_GB2312" w:cs="Times New Roman"/>
          <w:color w:val="auto"/>
          <w:kern w:val="2"/>
          <w:sz w:val="24"/>
          <w:szCs w:val="20"/>
          <w:highlight w:val="none"/>
          <w:lang w:val="en-US" w:eastAsia="zh-CN" w:bidi="ar-SA"/>
        </w:rPr>
        <w:t>。</w:t>
      </w:r>
    </w:p>
    <w:p w14:paraId="5E0A014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4、作业中应当负责落实现场安全防护措施，保证作业安全。</w:t>
      </w:r>
    </w:p>
    <w:p w14:paraId="7DE0848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5、向甲方提出合理化建议并</w:t>
      </w:r>
      <w:r>
        <w:rPr>
          <w:rFonts w:hint="eastAsia" w:ascii="仿宋_GB2312" w:hAnsi="宋体" w:eastAsia="仿宋_GB2312" w:cs="宋体"/>
          <w:color w:val="auto"/>
          <w:kern w:val="0"/>
          <w:sz w:val="24"/>
          <w:szCs w:val="20"/>
          <w:highlight w:val="none"/>
          <w:lang w:val="en-US" w:eastAsia="zh-CN" w:bidi="ar-SA"/>
        </w:rPr>
        <w:t>每月向甲方书面报告所维护保养电梯的运行情况、零部件使用情况、易损件的更换情况及</w:t>
      </w:r>
      <w:r>
        <w:rPr>
          <w:rFonts w:hint="eastAsia" w:ascii="仿宋_GB2312" w:hAnsi="Times New Roman" w:eastAsia="仿宋_GB2312" w:cs="Times New Roman"/>
          <w:color w:val="auto"/>
          <w:kern w:val="2"/>
          <w:sz w:val="24"/>
          <w:szCs w:val="20"/>
          <w:highlight w:val="none"/>
          <w:lang w:val="en-US" w:eastAsia="zh-CN" w:bidi="ar-SA"/>
        </w:rPr>
        <w:t>电梯更换修理需求</w:t>
      </w:r>
      <w:r>
        <w:rPr>
          <w:rFonts w:hint="eastAsia" w:ascii="仿宋_GB2312" w:hAnsi="宋体" w:eastAsia="仿宋_GB2312" w:cs="宋体"/>
          <w:color w:val="auto"/>
          <w:kern w:val="0"/>
          <w:sz w:val="24"/>
          <w:szCs w:val="20"/>
          <w:highlight w:val="none"/>
          <w:lang w:val="en-US" w:eastAsia="zh-CN" w:bidi="ar-SA"/>
        </w:rPr>
        <w:t>。</w:t>
      </w:r>
    </w:p>
    <w:p w14:paraId="53333AA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6、</w:t>
      </w:r>
      <w:r>
        <w:rPr>
          <w:rFonts w:hint="eastAsia" w:ascii="仿宋_GB2312" w:hAnsi="宋体" w:eastAsia="仿宋_GB2312" w:cs="宋体"/>
          <w:color w:val="auto"/>
          <w:kern w:val="0"/>
          <w:sz w:val="24"/>
          <w:szCs w:val="20"/>
          <w:highlight w:val="none"/>
          <w:lang w:val="en-US" w:eastAsia="zh-CN" w:bidi="ar-SA"/>
        </w:rPr>
        <w:t>对所维护保养电梯的安全运行负责，保障设备整机及零部件完整无损，保证保养电梯符合安全技术规范和标准要求。</w:t>
      </w:r>
    </w:p>
    <w:p w14:paraId="697D128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7、建立回访制度（包括工作人员服务态度、维修质量、是否按照规定实施维护保养等）。</w:t>
      </w:r>
    </w:p>
    <w:p w14:paraId="09E1D0D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8、应当配合电梯检验检测机构对电梯的定期检验、检测，积极配合甲方开展电梯事故应急救援演练，并</w:t>
      </w:r>
      <w:r>
        <w:rPr>
          <w:rFonts w:hint="eastAsia" w:ascii="仿宋_GB2312" w:hAnsi="Times New Roman" w:eastAsia="仿宋_GB2312" w:cs="Times New Roman"/>
          <w:color w:val="auto"/>
          <w:kern w:val="2"/>
          <w:sz w:val="24"/>
          <w:szCs w:val="20"/>
          <w:highlight w:val="none"/>
          <w:lang w:val="en-US" w:eastAsia="zh-CN" w:bidi="ar-SA"/>
        </w:rPr>
        <w:t>参与电梯安全管理活动。</w:t>
      </w:r>
    </w:p>
    <w:p w14:paraId="210C049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9、应当妥善保管电梯图纸及相关资料，并在合同终止后交给甲方。</w:t>
      </w:r>
    </w:p>
    <w:p w14:paraId="7F68FBA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10、不得以任何形式分包、转包。</w:t>
      </w:r>
    </w:p>
    <w:p w14:paraId="6849AE5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 xml:space="preserve">第十四条 违约责任 </w:t>
      </w:r>
    </w:p>
    <w:p w14:paraId="1500DA5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（一）一方当事人未按约定履行义务给对方造成直接损失的，应当承担赔偿责任。</w:t>
      </w:r>
    </w:p>
    <w:p w14:paraId="40EA27D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（二）一方当事人无法继续履行合同的，应当提前30天通知另一方，并向对方支付合同总额20%的违约金。</w:t>
      </w:r>
    </w:p>
    <w:p w14:paraId="3EF6191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（三） 甲方无正当理由未按照约定期限支付费用的，每延误一日应当向乙方支付延误部分费用万分之三的违约金。</w:t>
      </w:r>
    </w:p>
    <w:p w14:paraId="5D96F31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宋体"/>
          <w:color w:val="auto"/>
          <w:kern w:val="0"/>
          <w:sz w:val="24"/>
          <w:szCs w:val="20"/>
          <w:highlight w:val="none"/>
          <w:u w:val="singl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（四）甲方违反约定</w:t>
      </w:r>
      <w:r>
        <w:rPr>
          <w:rFonts w:hint="eastAsia" w:ascii="仿宋_GB2312" w:hAnsi="宋体" w:eastAsia="仿宋_GB2312" w:cs="宋体"/>
          <w:color w:val="auto"/>
          <w:kern w:val="0"/>
          <w:sz w:val="24"/>
          <w:szCs w:val="20"/>
          <w:highlight w:val="none"/>
          <w:lang w:val="en-US" w:eastAsia="zh-CN" w:bidi="ar-SA"/>
        </w:rPr>
        <w:t>允许非乙方人员从事电梯维护保养工作的，应当按照</w:t>
      </w:r>
      <w:r>
        <w:rPr>
          <w:rFonts w:hint="eastAsia" w:ascii="仿宋_GB2312" w:hAnsi="宋体" w:eastAsia="仿宋_GB2312" w:cs="宋体"/>
          <w:color w:val="auto"/>
          <w:kern w:val="0"/>
          <w:sz w:val="24"/>
          <w:szCs w:val="20"/>
          <w:highlight w:val="none"/>
          <w:u w:val="single"/>
          <w:lang w:val="en-US" w:eastAsia="zh-CN" w:bidi="ar-SA"/>
        </w:rPr>
        <w:t xml:space="preserve"> </w:t>
      </w:r>
    </w:p>
    <w:p w14:paraId="209F466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宋体" w:eastAsia="仿宋_GB2312" w:cs="宋体"/>
          <w:color w:val="auto"/>
          <w:kern w:val="0"/>
          <w:sz w:val="24"/>
          <w:szCs w:val="20"/>
          <w:highlight w:val="none"/>
          <w:u w:val="single"/>
          <w:lang w:val="en-US" w:eastAsia="zh-CN" w:bidi="ar-SA"/>
        </w:rPr>
        <w:t xml:space="preserve">  </w:t>
      </w:r>
      <w:r>
        <w:rPr>
          <w:rFonts w:hint="eastAsia" w:ascii="仿宋_GB2312" w:hAnsi="Times New Roman" w:eastAsia="仿宋_GB2312" w:cs="Times New Roman"/>
          <w:color w:val="auto"/>
          <w:kern w:val="2"/>
          <w:sz w:val="24"/>
          <w:szCs w:val="20"/>
          <w:highlight w:val="none"/>
          <w:u w:val="single"/>
          <w:lang w:val="en-US" w:eastAsia="zh-CN" w:bidi="ar-SA"/>
        </w:rPr>
        <w:t xml:space="preserve">                               </w:t>
      </w:r>
      <w:r>
        <w:rPr>
          <w:rFonts w:hint="eastAsia" w:ascii="仿宋_GB2312" w:hAnsi="Times New Roman" w:eastAsia="仿宋_GB2312" w:cs="Times New Roman"/>
          <w:color w:val="auto"/>
          <w:kern w:val="2"/>
          <w:sz w:val="24"/>
          <w:szCs w:val="20"/>
          <w:highlight w:val="none"/>
          <w:lang w:val="en-US" w:eastAsia="zh-CN" w:bidi="ar-SA"/>
        </w:rPr>
        <w:t>标准支付违约金。</w:t>
      </w:r>
    </w:p>
    <w:p w14:paraId="5FBA726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（五）因电梯使用、管理原因导致人身伤亡或设备损坏、丢失的，由甲方自行承担全部责任。</w:t>
      </w:r>
    </w:p>
    <w:p w14:paraId="60D3ED7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（六）乙方的</w:t>
      </w:r>
      <w:r>
        <w:rPr>
          <w:rFonts w:hint="eastAsia" w:ascii="仿宋_GB2312" w:hAnsi="宋体" w:eastAsia="仿宋_GB2312" w:cs="宋体"/>
          <w:color w:val="auto"/>
          <w:kern w:val="0"/>
          <w:sz w:val="24"/>
          <w:szCs w:val="20"/>
          <w:highlight w:val="none"/>
          <w:lang w:val="en-US" w:eastAsia="zh-CN" w:bidi="ar-SA"/>
        </w:rPr>
        <w:t>维护保养工作不符合</w:t>
      </w:r>
      <w:r>
        <w:rPr>
          <w:rFonts w:hint="eastAsia" w:ascii="仿宋_GB2312" w:hAnsi="Times New Roman" w:eastAsia="仿宋_GB2312" w:cs="Times New Roman"/>
          <w:color w:val="auto"/>
          <w:kern w:val="2"/>
          <w:sz w:val="24"/>
          <w:szCs w:val="20"/>
          <w:highlight w:val="none"/>
          <w:lang w:val="en-US" w:eastAsia="zh-CN" w:bidi="ar-SA"/>
        </w:rPr>
        <w:t>合同约定的维护保养标准或要求的，乙方应当返工，并按照</w:t>
      </w:r>
      <w:r>
        <w:rPr>
          <w:rFonts w:hint="eastAsia" w:ascii="仿宋_GB2312" w:hAnsi="宋体" w:eastAsia="仿宋_GB2312" w:cs="宋体"/>
          <w:color w:val="auto"/>
          <w:kern w:val="0"/>
          <w:sz w:val="24"/>
          <w:szCs w:val="20"/>
          <w:highlight w:val="none"/>
          <w:u w:val="single"/>
          <w:lang w:val="en-US" w:eastAsia="zh-CN" w:bidi="ar-SA"/>
        </w:rPr>
        <w:t xml:space="preserve">  </w:t>
      </w:r>
      <w:r>
        <w:rPr>
          <w:rFonts w:hint="eastAsia" w:ascii="仿宋_GB2312" w:hAnsi="Times New Roman" w:eastAsia="仿宋_GB2312" w:cs="Times New Roman"/>
          <w:color w:val="auto"/>
          <w:kern w:val="2"/>
          <w:sz w:val="24"/>
          <w:szCs w:val="20"/>
          <w:highlight w:val="none"/>
          <w:u w:val="single"/>
          <w:lang w:val="en-US" w:eastAsia="zh-CN" w:bidi="ar-SA"/>
        </w:rPr>
        <w:t xml:space="preserve">                               </w:t>
      </w:r>
      <w:r>
        <w:rPr>
          <w:rFonts w:hint="eastAsia" w:ascii="仿宋_GB2312" w:hAnsi="Times New Roman" w:eastAsia="仿宋_GB2312" w:cs="Times New Roman"/>
          <w:color w:val="auto"/>
          <w:kern w:val="2"/>
          <w:sz w:val="24"/>
          <w:szCs w:val="20"/>
          <w:highlight w:val="none"/>
          <w:lang w:val="en-US" w:eastAsia="zh-CN" w:bidi="ar-SA"/>
        </w:rPr>
        <w:t>标准支付违约金。</w:t>
      </w:r>
    </w:p>
    <w:p w14:paraId="0249997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（七）因维护保养原因导致电梯检验检测不合格的，乙方还应当承担电梯复验费用，并</w:t>
      </w:r>
      <w:r>
        <w:rPr>
          <w:rFonts w:hint="eastAsia" w:ascii="仿宋_GB2312" w:hAnsi="宋体" w:eastAsia="仿宋_GB2312" w:cs="宋体"/>
          <w:color w:val="auto"/>
          <w:kern w:val="0"/>
          <w:sz w:val="24"/>
          <w:szCs w:val="20"/>
          <w:highlight w:val="none"/>
          <w:lang w:val="en-US" w:eastAsia="zh-CN" w:bidi="ar-SA"/>
        </w:rPr>
        <w:t>按照</w:t>
      </w:r>
      <w:r>
        <w:rPr>
          <w:rFonts w:hint="eastAsia" w:ascii="仿宋_GB2312" w:hAnsi="宋体" w:eastAsia="仿宋_GB2312" w:cs="宋体"/>
          <w:color w:val="auto"/>
          <w:kern w:val="0"/>
          <w:sz w:val="24"/>
          <w:szCs w:val="20"/>
          <w:highlight w:val="none"/>
          <w:u w:val="single"/>
          <w:lang w:val="en-US" w:eastAsia="zh-CN" w:bidi="ar-SA"/>
        </w:rPr>
        <w:t xml:space="preserve">                                     </w:t>
      </w:r>
      <w:r>
        <w:rPr>
          <w:rFonts w:hint="eastAsia" w:ascii="仿宋_GB2312" w:hAnsi="宋体" w:eastAsia="仿宋_GB2312" w:cs="宋体"/>
          <w:color w:val="auto"/>
          <w:kern w:val="0"/>
          <w:sz w:val="24"/>
          <w:szCs w:val="20"/>
          <w:highlight w:val="none"/>
          <w:lang w:val="en-US" w:eastAsia="zh-CN" w:bidi="ar-SA"/>
        </w:rPr>
        <w:t>标准支付违约金。</w:t>
      </w:r>
    </w:p>
    <w:p w14:paraId="55D1276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（八）因维护保养原因导致人身伤亡或设备损坏、丢失的，由乙方承担全部责任。</w:t>
      </w:r>
    </w:p>
    <w:p w14:paraId="39B10A3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u w:val="singl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（九）</w:t>
      </w:r>
      <w:r>
        <w:rPr>
          <w:rFonts w:hint="eastAsia" w:ascii="仿宋_GB2312" w:hAnsi="Times New Roman" w:eastAsia="仿宋_GB2312" w:cs="Times New Roman"/>
          <w:color w:val="auto"/>
          <w:kern w:val="2"/>
          <w:sz w:val="24"/>
          <w:szCs w:val="20"/>
          <w:highlight w:val="none"/>
          <w:u w:val="single"/>
          <w:lang w:val="en-US" w:eastAsia="zh-CN" w:bidi="ar-SA"/>
        </w:rPr>
        <w:t xml:space="preserve">                                       </w:t>
      </w:r>
    </w:p>
    <w:p w14:paraId="50FF58F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第十五条  合同的解除</w:t>
      </w:r>
    </w:p>
    <w:p w14:paraId="681CF07C">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（一）甲乙双方协商一致，可以解除合同。</w:t>
      </w:r>
    </w:p>
    <w:p w14:paraId="0EFA857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（二）</w:t>
      </w:r>
      <w:r>
        <w:rPr>
          <w:rFonts w:hint="eastAsia" w:ascii="仿宋_GB2312" w:hAnsi="宋体" w:eastAsia="仿宋_GB2312" w:cs="Times New Roman"/>
          <w:color w:val="auto"/>
          <w:kern w:val="2"/>
          <w:sz w:val="24"/>
          <w:szCs w:val="20"/>
          <w:highlight w:val="none"/>
          <w:lang w:val="en-US" w:eastAsia="zh-CN" w:bidi="ar-SA"/>
        </w:rPr>
        <w:t>任何一方严重违约导致合同无法继续履行的，另一方可以解除合同。除法律规定的事由外，任何一方不得单方解除合同。</w:t>
      </w:r>
    </w:p>
    <w:p w14:paraId="131E1A8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第十六条  争议解决方式</w:t>
      </w:r>
    </w:p>
    <w:p w14:paraId="43B5BC5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Times New Roman"/>
          <w:color w:val="auto"/>
          <w:kern w:val="2"/>
          <w:sz w:val="24"/>
          <w:szCs w:val="20"/>
          <w:highlight w:val="none"/>
          <w:lang w:val="en-US" w:eastAsia="zh-CN" w:bidi="ar-SA"/>
        </w:rPr>
      </w:pPr>
      <w:r>
        <w:rPr>
          <w:rFonts w:hint="eastAsia" w:ascii="仿宋_GB2312" w:hAnsi="宋体" w:eastAsia="仿宋_GB2312" w:cs="Times New Roman"/>
          <w:color w:val="auto"/>
          <w:kern w:val="2"/>
          <w:sz w:val="24"/>
          <w:szCs w:val="20"/>
          <w:highlight w:val="none"/>
          <w:lang w:val="en-US" w:eastAsia="zh-CN" w:bidi="ar-SA"/>
        </w:rPr>
        <w:t>本合同在履行过程中发生的争议，由双方当事人协商解决，协商不成的，按照下列第</w:t>
      </w:r>
      <w:r>
        <w:rPr>
          <w:rFonts w:hint="eastAsia" w:ascii="仿宋_GB2312" w:hAnsi="宋体" w:eastAsia="仿宋_GB2312" w:cs="Times New Roman"/>
          <w:color w:val="auto"/>
          <w:kern w:val="2"/>
          <w:sz w:val="24"/>
          <w:szCs w:val="20"/>
          <w:highlight w:val="none"/>
          <w:u w:val="single"/>
          <w:lang w:val="en-US" w:eastAsia="zh-CN" w:bidi="ar-SA"/>
        </w:rPr>
        <w:t xml:space="preserve">    </w:t>
      </w:r>
      <w:r>
        <w:rPr>
          <w:rFonts w:hint="eastAsia" w:ascii="仿宋_GB2312" w:hAnsi="宋体" w:eastAsia="仿宋_GB2312" w:cs="Times New Roman"/>
          <w:color w:val="auto"/>
          <w:kern w:val="2"/>
          <w:sz w:val="24"/>
          <w:szCs w:val="20"/>
          <w:highlight w:val="none"/>
          <w:lang w:val="en-US" w:eastAsia="zh-CN" w:bidi="ar-SA"/>
        </w:rPr>
        <w:t>种方式解决（任选一种）：</w:t>
      </w:r>
    </w:p>
    <w:p w14:paraId="763E7372">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Times New Roman"/>
          <w:color w:val="auto"/>
          <w:kern w:val="2"/>
          <w:sz w:val="24"/>
          <w:szCs w:val="20"/>
          <w:highlight w:val="none"/>
          <w:lang w:val="en-US" w:eastAsia="zh-CN" w:bidi="ar-SA"/>
        </w:rPr>
      </w:pPr>
      <w:r>
        <w:rPr>
          <w:rFonts w:hint="eastAsia" w:ascii="仿宋_GB2312" w:hAnsi="宋体" w:eastAsia="仿宋_GB2312" w:cs="Times New Roman"/>
          <w:color w:val="auto"/>
          <w:kern w:val="2"/>
          <w:sz w:val="24"/>
          <w:szCs w:val="20"/>
          <w:highlight w:val="none"/>
          <w:lang w:val="en-US" w:eastAsia="zh-CN" w:bidi="ar-SA"/>
        </w:rPr>
        <w:t>（一）提交中国广州仲裁委员会仲裁；</w:t>
      </w:r>
    </w:p>
    <w:p w14:paraId="3E7AD8B8">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Times New Roman"/>
          <w:color w:val="auto"/>
          <w:kern w:val="2"/>
          <w:sz w:val="24"/>
          <w:szCs w:val="20"/>
          <w:highlight w:val="none"/>
          <w:lang w:val="en-US" w:eastAsia="zh-CN" w:bidi="ar-SA"/>
        </w:rPr>
      </w:pPr>
      <w:r>
        <w:rPr>
          <w:rFonts w:hint="eastAsia" w:ascii="仿宋_GB2312" w:hAnsi="宋体" w:eastAsia="仿宋_GB2312" w:cs="Times New Roman"/>
          <w:color w:val="auto"/>
          <w:kern w:val="2"/>
          <w:sz w:val="24"/>
          <w:szCs w:val="20"/>
          <w:highlight w:val="none"/>
          <w:lang w:val="en-US" w:eastAsia="zh-CN" w:bidi="ar-SA"/>
        </w:rPr>
        <w:t>（二）依法向人民法院起诉。</w:t>
      </w:r>
    </w:p>
    <w:p w14:paraId="0F10683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第十七条  其他约定</w:t>
      </w:r>
    </w:p>
    <w:p w14:paraId="03359D7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（一）</w:t>
      </w:r>
      <w:r>
        <w:rPr>
          <w:rFonts w:hint="eastAsia" w:ascii="仿宋_GB2312" w:hAnsi="宋体" w:eastAsia="仿宋_GB2312" w:cs="ËÎÌå"/>
          <w:color w:val="auto"/>
          <w:kern w:val="0"/>
          <w:sz w:val="24"/>
          <w:szCs w:val="20"/>
          <w:highlight w:val="none"/>
          <w:lang w:val="en-US" w:eastAsia="zh-CN" w:bidi="ar-SA"/>
        </w:rPr>
        <w:t>普通维修、重大维修、改造或</w:t>
      </w:r>
      <w:r>
        <w:rPr>
          <w:rFonts w:hint="eastAsia" w:ascii="仿宋_GB2312" w:hAnsi="Times New Roman" w:eastAsia="仿宋_GB2312" w:cs="Times New Roman"/>
          <w:color w:val="auto"/>
          <w:kern w:val="2"/>
          <w:sz w:val="24"/>
          <w:szCs w:val="20"/>
          <w:highlight w:val="none"/>
          <w:lang w:val="en-US" w:eastAsia="zh-CN" w:bidi="ar-SA"/>
        </w:rPr>
        <w:t>甲方要求乙方提供本合同约定以外的增值服务的，双方均应当以书面形式另行约定。</w:t>
      </w:r>
    </w:p>
    <w:p w14:paraId="14679544">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Times New Roman"/>
          <w:color w:val="auto"/>
          <w:kern w:val="2"/>
          <w:sz w:val="24"/>
          <w:szCs w:val="20"/>
          <w:highlight w:val="none"/>
          <w:u w:val="single"/>
          <w:lang w:val="en-US" w:eastAsia="zh-CN" w:bidi="ar-SA"/>
        </w:rPr>
      </w:pPr>
      <w:r>
        <w:rPr>
          <w:rFonts w:hint="eastAsia" w:ascii="仿宋_GB2312" w:hAnsi="宋体" w:eastAsia="仿宋_GB2312" w:cs="Times New Roman"/>
          <w:color w:val="auto"/>
          <w:kern w:val="2"/>
          <w:sz w:val="24"/>
          <w:szCs w:val="20"/>
          <w:highlight w:val="none"/>
          <w:u w:val="single"/>
          <w:lang w:val="en-US" w:eastAsia="zh-CN" w:bidi="ar-SA"/>
        </w:rPr>
        <w:t xml:space="preserve">（二）                                                           </w:t>
      </w:r>
    </w:p>
    <w:p w14:paraId="3DD6246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宋体" w:eastAsia="仿宋_GB2312" w:cs="Times New Roman"/>
          <w:color w:val="auto"/>
          <w:kern w:val="2"/>
          <w:sz w:val="24"/>
          <w:szCs w:val="20"/>
          <w:highlight w:val="none"/>
          <w:u w:val="single"/>
          <w:lang w:val="en-US" w:eastAsia="zh-CN" w:bidi="ar-SA"/>
        </w:rPr>
      </w:pPr>
      <w:r>
        <w:rPr>
          <w:rFonts w:hint="eastAsia" w:ascii="仿宋_GB2312" w:hAnsi="宋体" w:eastAsia="仿宋_GB2312" w:cs="Times New Roman"/>
          <w:color w:val="auto"/>
          <w:kern w:val="2"/>
          <w:sz w:val="24"/>
          <w:szCs w:val="20"/>
          <w:highlight w:val="none"/>
          <w:u w:val="single"/>
          <w:lang w:val="en-US" w:eastAsia="zh-CN" w:bidi="ar-SA"/>
        </w:rPr>
        <w:t xml:space="preserve">                                                                 </w:t>
      </w:r>
    </w:p>
    <w:p w14:paraId="73F8ED1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u w:val="single"/>
          <w:lang w:val="en-US" w:eastAsia="zh-CN" w:bidi="ar-SA"/>
        </w:rPr>
      </w:pPr>
      <w:r>
        <w:rPr>
          <w:rFonts w:hint="eastAsia" w:ascii="仿宋_GB2312" w:hAnsi="Times New Roman" w:eastAsia="仿宋_GB2312" w:cs="Times New Roman"/>
          <w:color w:val="auto"/>
          <w:kern w:val="2"/>
          <w:sz w:val="24"/>
          <w:szCs w:val="20"/>
          <w:highlight w:val="none"/>
          <w:u w:val="single"/>
          <w:lang w:val="en-US" w:eastAsia="zh-CN" w:bidi="ar-SA"/>
        </w:rPr>
        <w:t xml:space="preserve">                                                                 </w:t>
      </w:r>
    </w:p>
    <w:p w14:paraId="21C451C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u w:val="single"/>
          <w:lang w:val="en-US" w:eastAsia="zh-CN" w:bidi="ar-SA"/>
        </w:rPr>
      </w:pPr>
      <w:r>
        <w:rPr>
          <w:rFonts w:hint="eastAsia" w:ascii="仿宋_GB2312" w:hAnsi="Times New Roman" w:eastAsia="仿宋_GB2312" w:cs="Times New Roman"/>
          <w:color w:val="auto"/>
          <w:kern w:val="2"/>
          <w:sz w:val="24"/>
          <w:szCs w:val="20"/>
          <w:highlight w:val="none"/>
          <w:u w:val="single"/>
          <w:lang w:val="en-US" w:eastAsia="zh-CN" w:bidi="ar-SA"/>
        </w:rPr>
        <w:t xml:space="preserve">                                                                 </w:t>
      </w:r>
    </w:p>
    <w:p w14:paraId="46E7FB66">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default"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第十八条 本合同附件、招标文件、投标文件构成本合同组成部分。</w:t>
      </w:r>
    </w:p>
    <w:p w14:paraId="2AF5D61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u w:val="singl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第十九条  附则</w:t>
      </w:r>
    </w:p>
    <w:p w14:paraId="75470D5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u w:val="single"/>
          <w:lang w:val="en-US" w:eastAsia="zh-CN" w:bidi="ar-SA"/>
        </w:rPr>
      </w:pPr>
      <w:r>
        <w:rPr>
          <w:rFonts w:hint="eastAsia" w:ascii="仿宋_GB2312" w:hAnsi="Times New Roman" w:eastAsia="仿宋_GB2312" w:cs="Times New Roman"/>
          <w:color w:val="auto"/>
          <w:kern w:val="2"/>
          <w:sz w:val="24"/>
          <w:szCs w:val="20"/>
          <w:highlight w:val="none"/>
          <w:lang w:val="en-US" w:eastAsia="zh-CN" w:bidi="ar-SA"/>
        </w:rPr>
        <w:t>本合同自双方法定代表人或授权代表签名并加盖公章生效。本合同生效后，双方对合同内容的变更或补充应当采取书面形式，并经双方法定代表人或授权代表签名并加盖公章确认，作为本合同的附件。附件与本合同具有同等的法律效力。</w:t>
      </w:r>
    </w:p>
    <w:p w14:paraId="5CD77CC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outlineLvl w:val="9"/>
        <w:rPr>
          <w:rFonts w:hint="eastAsia" w:ascii="仿宋_GB2312" w:hAnsi="Times New Roman" w:eastAsia="仿宋_GB2312" w:cs="Times New Roman"/>
          <w:color w:val="auto"/>
          <w:kern w:val="2"/>
          <w:sz w:val="24"/>
          <w:szCs w:val="20"/>
          <w:highlight w:val="none"/>
          <w:u w:val="single"/>
          <w:lang w:val="en-US" w:eastAsia="zh-CN" w:bidi="ar-SA"/>
        </w:rPr>
      </w:pPr>
      <w:r>
        <w:rPr>
          <w:rFonts w:hint="eastAsia" w:ascii="仿宋_GB2312" w:hAnsi="宋体" w:eastAsia="仿宋_GB2312" w:cs="Times New Roman"/>
          <w:color w:val="auto"/>
          <w:kern w:val="2"/>
          <w:sz w:val="24"/>
          <w:szCs w:val="20"/>
          <w:highlight w:val="none"/>
          <w:lang w:val="en-US" w:eastAsia="zh-CN" w:bidi="ar-SA"/>
        </w:rPr>
        <w:t>本合同一式</w:t>
      </w:r>
      <w:r>
        <w:rPr>
          <w:rFonts w:hint="eastAsia" w:ascii="仿宋_GB2312" w:hAnsi="宋体" w:eastAsia="仿宋_GB2312" w:cs="Times New Roman"/>
          <w:color w:val="auto"/>
          <w:kern w:val="2"/>
          <w:sz w:val="24"/>
          <w:szCs w:val="20"/>
          <w:highlight w:val="none"/>
          <w:u w:val="single"/>
          <w:lang w:val="en-US" w:eastAsia="zh-CN" w:bidi="ar-SA"/>
        </w:rPr>
        <w:t xml:space="preserve">     </w:t>
      </w:r>
      <w:r>
        <w:rPr>
          <w:rFonts w:hint="eastAsia" w:ascii="仿宋_GB2312" w:hAnsi="宋体" w:eastAsia="仿宋_GB2312" w:cs="Times New Roman"/>
          <w:color w:val="auto"/>
          <w:kern w:val="2"/>
          <w:sz w:val="24"/>
          <w:szCs w:val="20"/>
          <w:highlight w:val="none"/>
          <w:lang w:val="en-US" w:eastAsia="zh-CN" w:bidi="ar-SA"/>
        </w:rPr>
        <w:t>份，甲方执</w:t>
      </w:r>
      <w:r>
        <w:rPr>
          <w:rFonts w:hint="eastAsia" w:ascii="仿宋_GB2312" w:hAnsi="宋体" w:eastAsia="仿宋_GB2312" w:cs="Times New Roman"/>
          <w:color w:val="auto"/>
          <w:kern w:val="2"/>
          <w:sz w:val="24"/>
          <w:szCs w:val="20"/>
          <w:highlight w:val="none"/>
          <w:u w:val="single"/>
          <w:lang w:val="en-US" w:eastAsia="zh-CN" w:bidi="ar-SA"/>
        </w:rPr>
        <w:t xml:space="preserve">     </w:t>
      </w:r>
      <w:r>
        <w:rPr>
          <w:rFonts w:hint="eastAsia" w:ascii="仿宋_GB2312" w:hAnsi="宋体" w:eastAsia="仿宋_GB2312" w:cs="Times New Roman"/>
          <w:color w:val="auto"/>
          <w:kern w:val="2"/>
          <w:sz w:val="24"/>
          <w:szCs w:val="20"/>
          <w:highlight w:val="none"/>
          <w:lang w:val="en-US" w:eastAsia="zh-CN" w:bidi="ar-SA"/>
        </w:rPr>
        <w:t>份，乙方执</w:t>
      </w:r>
      <w:r>
        <w:rPr>
          <w:rFonts w:hint="eastAsia" w:ascii="仿宋_GB2312" w:hAnsi="宋体" w:eastAsia="仿宋_GB2312" w:cs="Times New Roman"/>
          <w:color w:val="auto"/>
          <w:kern w:val="2"/>
          <w:sz w:val="24"/>
          <w:szCs w:val="20"/>
          <w:highlight w:val="none"/>
          <w:u w:val="single"/>
          <w:lang w:val="en-US" w:eastAsia="zh-CN" w:bidi="ar-SA"/>
        </w:rPr>
        <w:t xml:space="preserve">     </w:t>
      </w:r>
      <w:r>
        <w:rPr>
          <w:rFonts w:hint="eastAsia" w:ascii="仿宋_GB2312" w:hAnsi="宋体" w:eastAsia="仿宋_GB2312" w:cs="Times New Roman"/>
          <w:color w:val="auto"/>
          <w:kern w:val="2"/>
          <w:sz w:val="24"/>
          <w:szCs w:val="20"/>
          <w:highlight w:val="none"/>
          <w:lang w:val="en-US" w:eastAsia="zh-CN" w:bidi="ar-SA"/>
        </w:rPr>
        <w:t>份，</w:t>
      </w:r>
      <w:r>
        <w:rPr>
          <w:rFonts w:hint="eastAsia" w:ascii="仿宋_GB2312" w:hAnsi="宋体" w:eastAsia="仿宋_GB2312" w:cs="Times New Roman"/>
          <w:color w:val="auto"/>
          <w:kern w:val="2"/>
          <w:sz w:val="24"/>
          <w:szCs w:val="20"/>
          <w:highlight w:val="none"/>
          <w:u w:val="single"/>
          <w:lang w:val="en-US" w:eastAsia="zh-CN" w:bidi="ar-SA"/>
        </w:rPr>
        <w:t xml:space="preserve">         </w:t>
      </w:r>
      <w:r>
        <w:rPr>
          <w:rFonts w:hint="eastAsia" w:ascii="仿宋_GB2312" w:hAnsi="宋体" w:eastAsia="仿宋_GB2312" w:cs="Times New Roman"/>
          <w:color w:val="auto"/>
          <w:kern w:val="2"/>
          <w:sz w:val="24"/>
          <w:szCs w:val="20"/>
          <w:highlight w:val="none"/>
          <w:lang w:val="en-US" w:eastAsia="zh-CN" w:bidi="ar-SA"/>
        </w:rPr>
        <w:t>执</w:t>
      </w:r>
      <w:r>
        <w:rPr>
          <w:rFonts w:hint="eastAsia" w:ascii="仿宋_GB2312" w:hAnsi="宋体" w:eastAsia="仿宋_GB2312" w:cs="Times New Roman"/>
          <w:color w:val="auto"/>
          <w:kern w:val="2"/>
          <w:sz w:val="24"/>
          <w:szCs w:val="20"/>
          <w:highlight w:val="none"/>
          <w:u w:val="single"/>
          <w:lang w:val="en-US" w:eastAsia="zh-CN" w:bidi="ar-SA"/>
        </w:rPr>
        <w:t xml:space="preserve">     </w:t>
      </w:r>
      <w:r>
        <w:rPr>
          <w:rFonts w:hint="eastAsia" w:ascii="仿宋_GB2312" w:hAnsi="宋体" w:eastAsia="仿宋_GB2312" w:cs="Times New Roman"/>
          <w:color w:val="auto"/>
          <w:kern w:val="2"/>
          <w:sz w:val="24"/>
          <w:szCs w:val="20"/>
          <w:highlight w:val="none"/>
          <w:lang w:val="en-US" w:eastAsia="zh-CN" w:bidi="ar-SA"/>
        </w:rPr>
        <w:t>份。</w:t>
      </w:r>
    </w:p>
    <w:p w14:paraId="1C255F30">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textAlignment w:val="auto"/>
        <w:outlineLvl w:val="9"/>
        <w:rPr>
          <w:rFonts w:hint="eastAsia" w:ascii="仿宋_GB2312" w:hAnsi="Times New Roman" w:eastAsia="仿宋_GB2312" w:cs="Times New Roman"/>
          <w:b/>
          <w:color w:val="auto"/>
          <w:kern w:val="2"/>
          <w:sz w:val="24"/>
          <w:szCs w:val="20"/>
          <w:highlight w:val="no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（以下无正文）</w:t>
      </w:r>
    </w:p>
    <w:p w14:paraId="26ACF3BD">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66A1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19A61EC9">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甲方：（盖章）</w:t>
            </w:r>
          </w:p>
        </w:tc>
        <w:tc>
          <w:tcPr>
            <w:tcW w:w="4261" w:type="dxa"/>
          </w:tcPr>
          <w:p w14:paraId="09517FB1">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Times New Roman" w:eastAsia="仿宋_GB2312" w:cs="Times New Roman"/>
                <w:b/>
                <w:color w:val="auto"/>
                <w:kern w:val="2"/>
                <w:sz w:val="24"/>
                <w:szCs w:val="20"/>
                <w:highlight w:val="none"/>
                <w:lang w:val="en-US" w:eastAsia="zh-CN" w:bidi="ar-SA"/>
              </w:rPr>
              <w:t>乙方：（盖章）</w:t>
            </w:r>
          </w:p>
        </w:tc>
      </w:tr>
      <w:tr w14:paraId="146C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46F648B6">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p>
        </w:tc>
        <w:tc>
          <w:tcPr>
            <w:tcW w:w="4261" w:type="dxa"/>
          </w:tcPr>
          <w:p w14:paraId="740894C9">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p>
        </w:tc>
      </w:tr>
      <w:tr w14:paraId="6B92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BB06E21">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法定代表人或</w:t>
            </w:r>
            <w:r>
              <w:rPr>
                <w:rFonts w:hint="eastAsia" w:ascii="仿宋_GB2312" w:hAnsi="Times New Roman" w:eastAsia="仿宋_GB2312" w:cs="Times New Roman"/>
                <w:color w:val="auto"/>
                <w:kern w:val="2"/>
                <w:sz w:val="24"/>
                <w:szCs w:val="20"/>
                <w:highlight w:val="none"/>
                <w:lang w:val="en-US" w:eastAsia="zh-CN" w:bidi="ar-SA"/>
              </w:rPr>
              <w:t>授权代表</w:t>
            </w:r>
            <w:r>
              <w:rPr>
                <w:rFonts w:hint="eastAsia" w:ascii="仿宋_GB2312" w:hAnsi="宋体" w:eastAsia="仿宋_GB2312" w:cs="宋体"/>
                <w:color w:val="auto"/>
                <w:kern w:val="0"/>
                <w:sz w:val="24"/>
                <w:szCs w:val="20"/>
                <w:highlight w:val="none"/>
                <w:lang w:val="en-US" w:eastAsia="zh-CN" w:bidi="ar-SA"/>
              </w:rPr>
              <w:t>（签名）：</w:t>
            </w:r>
          </w:p>
        </w:tc>
        <w:tc>
          <w:tcPr>
            <w:tcW w:w="4261" w:type="dxa"/>
          </w:tcPr>
          <w:p w14:paraId="6B760668">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法定代表人或</w:t>
            </w:r>
            <w:r>
              <w:rPr>
                <w:rFonts w:hint="eastAsia" w:ascii="仿宋_GB2312" w:hAnsi="Times New Roman" w:eastAsia="仿宋_GB2312" w:cs="Times New Roman"/>
                <w:color w:val="auto"/>
                <w:kern w:val="2"/>
                <w:sz w:val="24"/>
                <w:szCs w:val="20"/>
                <w:highlight w:val="none"/>
                <w:lang w:val="en-US" w:eastAsia="zh-CN" w:bidi="ar-SA"/>
              </w:rPr>
              <w:t>授权代表</w:t>
            </w:r>
            <w:r>
              <w:rPr>
                <w:rFonts w:hint="eastAsia" w:ascii="仿宋_GB2312" w:hAnsi="宋体" w:eastAsia="仿宋_GB2312" w:cs="宋体"/>
                <w:color w:val="auto"/>
                <w:kern w:val="0"/>
                <w:sz w:val="24"/>
                <w:szCs w:val="20"/>
                <w:highlight w:val="none"/>
                <w:lang w:val="en-US" w:eastAsia="zh-CN" w:bidi="ar-SA"/>
              </w:rPr>
              <w:t>（签名）：</w:t>
            </w:r>
          </w:p>
        </w:tc>
      </w:tr>
      <w:tr w14:paraId="2D40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7B5246D8">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住所地：</w:t>
            </w:r>
          </w:p>
        </w:tc>
        <w:tc>
          <w:tcPr>
            <w:tcW w:w="4261" w:type="dxa"/>
          </w:tcPr>
          <w:p w14:paraId="7AF96511">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住所地：</w:t>
            </w:r>
          </w:p>
        </w:tc>
      </w:tr>
      <w:tr w14:paraId="54D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B24B00B">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邮政编码：</w:t>
            </w:r>
          </w:p>
        </w:tc>
        <w:tc>
          <w:tcPr>
            <w:tcW w:w="4261" w:type="dxa"/>
          </w:tcPr>
          <w:p w14:paraId="0CB9A3F7">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邮政编码：</w:t>
            </w:r>
          </w:p>
        </w:tc>
      </w:tr>
      <w:tr w14:paraId="70F2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29E1B9A2">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邮箱：</w:t>
            </w:r>
          </w:p>
        </w:tc>
        <w:tc>
          <w:tcPr>
            <w:tcW w:w="4261" w:type="dxa"/>
          </w:tcPr>
          <w:p w14:paraId="42678F39">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邮箱：</w:t>
            </w:r>
          </w:p>
        </w:tc>
      </w:tr>
      <w:tr w14:paraId="032A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60549190">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联系电话：</w:t>
            </w:r>
          </w:p>
        </w:tc>
        <w:tc>
          <w:tcPr>
            <w:tcW w:w="4261" w:type="dxa"/>
          </w:tcPr>
          <w:p w14:paraId="097391C9">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联系电话：</w:t>
            </w:r>
          </w:p>
        </w:tc>
      </w:tr>
      <w:tr w14:paraId="71B8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12F2162A">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传真电话：</w:t>
            </w:r>
          </w:p>
        </w:tc>
        <w:tc>
          <w:tcPr>
            <w:tcW w:w="4261" w:type="dxa"/>
          </w:tcPr>
          <w:p w14:paraId="640574A4">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传真电话：</w:t>
            </w:r>
          </w:p>
        </w:tc>
      </w:tr>
      <w:tr w14:paraId="3B37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385704BF">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开户银行：</w:t>
            </w:r>
          </w:p>
        </w:tc>
        <w:tc>
          <w:tcPr>
            <w:tcW w:w="4261" w:type="dxa"/>
          </w:tcPr>
          <w:p w14:paraId="3EF2588E">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开户银行：</w:t>
            </w:r>
          </w:p>
        </w:tc>
      </w:tr>
      <w:tr w14:paraId="541E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17C33B98">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账号：</w:t>
            </w:r>
          </w:p>
        </w:tc>
        <w:tc>
          <w:tcPr>
            <w:tcW w:w="4261" w:type="dxa"/>
          </w:tcPr>
          <w:p w14:paraId="3954488A">
            <w:pPr>
              <w:keepNext w:val="0"/>
              <w:keepLines w:val="0"/>
              <w:pageBreakBefore w:val="0"/>
              <w:kinsoku/>
              <w:wordWrap/>
              <w:overflowPunct/>
              <w:topLinePunct w:val="0"/>
              <w:autoSpaceDE/>
              <w:autoSpaceDN/>
              <w:bidi w:val="0"/>
              <w:snapToGrid/>
              <w:spacing w:line="360" w:lineRule="auto"/>
              <w:outlineLvl w:val="9"/>
              <w:rPr>
                <w:rFonts w:hint="eastAsia" w:ascii="仿宋_GB2312" w:hAnsi="Times New Roman" w:eastAsia="仿宋_GB2312" w:cs="Times New Roman"/>
                <w:b/>
                <w:color w:val="auto"/>
                <w:kern w:val="2"/>
                <w:sz w:val="24"/>
                <w:szCs w:val="20"/>
                <w:highlight w:val="none"/>
                <w:vertAlign w:val="baseline"/>
                <w:lang w:val="en-US" w:eastAsia="zh-CN" w:bidi="ar-SA"/>
              </w:rPr>
            </w:pPr>
            <w:r>
              <w:rPr>
                <w:rFonts w:hint="eastAsia" w:ascii="仿宋_GB2312" w:hAnsi="宋体" w:eastAsia="仿宋_GB2312" w:cs="宋体"/>
                <w:color w:val="auto"/>
                <w:kern w:val="0"/>
                <w:sz w:val="24"/>
                <w:szCs w:val="20"/>
                <w:highlight w:val="none"/>
                <w:lang w:val="en-US" w:eastAsia="zh-CN" w:bidi="ar-SA"/>
              </w:rPr>
              <w:t>账号：</w:t>
            </w:r>
          </w:p>
        </w:tc>
      </w:tr>
      <w:tr w14:paraId="7159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62A7EB4F">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 xml:space="preserve">     年    月    日</w:t>
            </w:r>
          </w:p>
        </w:tc>
        <w:tc>
          <w:tcPr>
            <w:tcW w:w="4261" w:type="dxa"/>
          </w:tcPr>
          <w:p w14:paraId="2F27ACEA">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宋体"/>
                <w:color w:val="auto"/>
                <w:kern w:val="0"/>
                <w:sz w:val="24"/>
                <w:szCs w:val="20"/>
                <w:highlight w:val="none"/>
                <w:lang w:val="en-US" w:eastAsia="zh-CN" w:bidi="ar-SA"/>
              </w:rPr>
            </w:pPr>
            <w:r>
              <w:rPr>
                <w:rFonts w:hint="eastAsia" w:ascii="仿宋_GB2312" w:hAnsi="宋体" w:eastAsia="仿宋_GB2312" w:cs="宋体"/>
                <w:color w:val="auto"/>
                <w:kern w:val="0"/>
                <w:sz w:val="24"/>
                <w:szCs w:val="20"/>
                <w:highlight w:val="none"/>
                <w:lang w:val="en-US" w:eastAsia="zh-CN" w:bidi="ar-SA"/>
              </w:rPr>
              <w:t xml:space="preserve">     年    月    日</w:t>
            </w:r>
          </w:p>
        </w:tc>
      </w:tr>
    </w:tbl>
    <w:p w14:paraId="2F18DDC0">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Times New Roman"/>
          <w:color w:val="auto"/>
          <w:kern w:val="2"/>
          <w:sz w:val="24"/>
          <w:szCs w:val="20"/>
          <w:highlight w:val="none"/>
          <w:lang w:val="en-US" w:eastAsia="zh-CN" w:bidi="ar-SA"/>
        </w:rPr>
      </w:pPr>
    </w:p>
    <w:p w14:paraId="09879DDA">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Times New Roman"/>
          <w:color w:val="auto"/>
          <w:kern w:val="2"/>
          <w:sz w:val="24"/>
          <w:szCs w:val="20"/>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79144EC">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Times New Roman"/>
          <w:color w:val="auto"/>
          <w:kern w:val="2"/>
          <w:sz w:val="24"/>
          <w:szCs w:val="20"/>
          <w:highlight w:val="none"/>
          <w:lang w:val="en-US" w:eastAsia="zh-CN" w:bidi="ar-SA"/>
        </w:rPr>
      </w:pPr>
      <w:r>
        <w:rPr>
          <w:rFonts w:hint="eastAsia" w:ascii="仿宋_GB2312" w:hAnsi="宋体" w:eastAsia="仿宋_GB2312" w:cs="Times New Roman"/>
          <w:color w:val="auto"/>
          <w:kern w:val="2"/>
          <w:sz w:val="24"/>
          <w:szCs w:val="20"/>
          <w:highlight w:val="none"/>
          <w:lang w:val="en-US" w:eastAsia="zh-CN" w:bidi="ar-SA"/>
        </w:rPr>
        <w:t>附件1：设备清单及维保费用限价</w:t>
      </w:r>
    </w:p>
    <w:p w14:paraId="05FF5319">
      <w:pPr>
        <w:keepNext w:val="0"/>
        <w:keepLines w:val="0"/>
        <w:pageBreakBefore w:val="0"/>
        <w:widowControl w:val="0"/>
        <w:kinsoku/>
        <w:wordWrap/>
        <w:overflowPunct/>
        <w:topLinePunct w:val="0"/>
        <w:autoSpaceDE/>
        <w:autoSpaceDN/>
        <w:bidi w:val="0"/>
        <w:adjustRightInd/>
        <w:snapToGrid/>
        <w:spacing w:before="0" w:after="0" w:afterLines="0" w:afterAutospacing="0" w:line="360" w:lineRule="auto"/>
        <w:ind w:firstLine="420" w:firstLineChars="200"/>
        <w:jc w:val="both"/>
        <w:textAlignment w:val="auto"/>
        <w:outlineLvl w:val="9"/>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1.天河院区设备清单及维保费用限价</w:t>
      </w:r>
    </w:p>
    <w:tbl>
      <w:tblPr>
        <w:tblStyle w:val="12"/>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1405"/>
        <w:gridCol w:w="1982"/>
        <w:gridCol w:w="2554"/>
        <w:gridCol w:w="1127"/>
        <w:gridCol w:w="1694"/>
        <w:gridCol w:w="1405"/>
        <w:gridCol w:w="1180"/>
        <w:gridCol w:w="1699"/>
      </w:tblGrid>
      <w:tr w14:paraId="1FD5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F0C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序号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8BC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设备编号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1C8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使用证号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63B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注册代码</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D4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生产商</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FF0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设备型号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F11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层/站数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8ED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设备名称</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2A9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color w:val="auto"/>
                <w:kern w:val="2"/>
                <w:sz w:val="20"/>
                <w:szCs w:val="20"/>
                <w:highlight w:val="none"/>
                <w:u w:val="none"/>
                <w:lang w:val="en-US" w:eastAsia="zh-CN" w:bidi="ar"/>
              </w:rPr>
              <w:t>维保费用限价（元/月）</w:t>
            </w:r>
          </w:p>
        </w:tc>
      </w:tr>
      <w:tr w14:paraId="1C2C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3E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F5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A6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CAA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3E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A23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1996">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9E7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CA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1308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B71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410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C50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04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0F6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75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8F66">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8B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513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7B87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DA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95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9CA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C0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649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87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452B">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C3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5F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5E3D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2D0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8E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CE1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241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824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AE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F8C6">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E6B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7D1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2F95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E57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51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E68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3B1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BBE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7E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58E9">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94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E6E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2CDF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5E0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746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NO.6</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9D3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D42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79B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38A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5E05">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CEE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408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7AAE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C12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38D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NO.7</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7DA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6B3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674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53F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128B">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A02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F5A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7387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38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81A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NO.8</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8BD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A7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E4D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155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DB92">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D61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9A1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23F8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5D1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717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08B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63E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84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3F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2125">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507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10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54ED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B2F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5C1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76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梯粤A500166359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379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598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BB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C857">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32F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6A7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1106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003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0C0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C7B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621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31104401062022120082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E58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2DB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C5C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06-6-6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3B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937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6CF3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B46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45A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D25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2E8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31104401062022120081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CB3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856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C6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64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08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23E8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EDC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27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DE4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29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F88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E79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D5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8F6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71B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62FA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60D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29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门诊楼4号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990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689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78D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5D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33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06-6-6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7E8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35A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1AD0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202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D1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门诊楼5号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2D5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0E7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31104401062022120078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729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7D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171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97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E2D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72E5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D8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82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门诊楼6号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A7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3FA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31104401062021120077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C3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C70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51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245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5EF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1749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A3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62F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门诊楼7号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FF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梯粤A500171420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4DB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FB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47B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035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05-5-5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D08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CF8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3EAE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26B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AF4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门诊楼8号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84A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梯粤A500171421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19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E6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88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2C5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309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1FD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0ED1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51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FC0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门诊楼9号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08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梯粤A500171425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3C4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E37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B8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93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91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FE3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33E6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A2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731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门诊楼10号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350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梯粤A500159239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73A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2E2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B5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6C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F7A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8B4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6CC0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2A7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8A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门诊楼11号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0E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梯粤A500171419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02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57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E3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341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02-2-2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C73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6B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54E7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60B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4C9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门诊楼12号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242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梯粤A500171418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230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817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15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540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02-2-2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3D5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32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1250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C97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AF0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CB8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梯粤A500168409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FBD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31104401062023050038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0BF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79C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EA1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47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F43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0911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642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AE7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CFB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98B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31104401062023050039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FB8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37B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27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ADF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55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579F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EB9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4C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00A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77E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31104401062023050040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84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20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568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64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9A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28DA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1A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47C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医技楼4号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2B8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54C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31104401062023050041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DE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819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A9E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4C4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A30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28D2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E0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78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医技楼5号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51F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梯粤A500159240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D9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E6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A5D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68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5E4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CF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13AD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874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2D7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640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CE4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31104401062022090062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A0B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4A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9A2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16/16/16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07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8A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6F38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774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549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25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1DA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31104401062022090063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423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EF0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1BB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16/16/16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582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DC6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09E4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F6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4AF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住院楼7号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F8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AFF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31104401062022090064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93F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874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DC3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16/16/16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2FD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2F3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3497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A34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12C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住院楼8号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3AD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C2A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31104401062022090065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972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94F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561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16/16/16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D9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684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05F0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117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6A7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住院楼11号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327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梯粤A500159241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3FC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034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A7C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52A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AC9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C90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2370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95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68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住院楼12号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1B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梯粤A500159242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CD1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D77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7A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35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16B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7C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2530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60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E7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住院楼5号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1E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梯粤A500159242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37E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31104401062022070031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970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4A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B13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3F4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29B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046B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775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7F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住院楼6号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59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梯粤A500163078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0CE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748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04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5A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71B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F21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08FB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B66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3DF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住院楼9号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8E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梯粤A500163084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3DB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BC8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2F8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CDD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22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35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7C30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20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D4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住院楼10号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A0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FC4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424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AE1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82B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310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23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3E53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CF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3E1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A0D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梯粤A500163083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C75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DCF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ECC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456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24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231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420A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D8F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627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住院楼4号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FB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3EB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5E5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A80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2B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BC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E7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76AF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E2C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F5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行政楼13号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901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梯粤A500163082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D3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FBF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8D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5A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11-11-11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C5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73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0B1B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DC9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4F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行政楼14号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0DC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梯粤A500163081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1E1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9F6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6E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57D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11-11-11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70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06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0908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CE2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C44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厨房</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724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梯粤A500171417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0BA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34004401062022120005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5C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69D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TWJ</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B18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02-2-2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DF5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餐梯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4FC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5A92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3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08E6F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小计</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621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37,150.00</w:t>
            </w:r>
          </w:p>
        </w:tc>
      </w:tr>
    </w:tbl>
    <w:p w14:paraId="76BA0921">
      <w:pPr>
        <w:keepNext w:val="0"/>
        <w:keepLines w:val="0"/>
        <w:pageBreakBefore w:val="0"/>
        <w:widowControl w:val="0"/>
        <w:kinsoku/>
        <w:wordWrap/>
        <w:overflowPunct/>
        <w:topLinePunct w:val="0"/>
        <w:autoSpaceDE/>
        <w:autoSpaceDN/>
        <w:bidi w:val="0"/>
        <w:adjustRightInd w:val="0"/>
        <w:snapToGrid/>
        <w:spacing w:before="100" w:after="100" w:afterLines="0" w:afterAutospacing="0" w:line="300" w:lineRule="auto"/>
        <w:ind w:firstLine="420" w:firstLineChars="200"/>
        <w:jc w:val="both"/>
        <w:outlineLvl w:val="9"/>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2.珠玑院区1设备清单及维保费用限价</w:t>
      </w:r>
    </w:p>
    <w:tbl>
      <w:tblPr>
        <w:tblStyle w:val="12"/>
        <w:tblW w:w="48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404"/>
        <w:gridCol w:w="1979"/>
        <w:gridCol w:w="2559"/>
        <w:gridCol w:w="1125"/>
        <w:gridCol w:w="1697"/>
        <w:gridCol w:w="1415"/>
        <w:gridCol w:w="1144"/>
        <w:gridCol w:w="1699"/>
      </w:tblGrid>
      <w:tr w14:paraId="6A32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2F4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CEB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设备编号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EF2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使用证号</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03C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注册代码</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E08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生产商</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FDD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设备型号</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459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层/站数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E85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设备名称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8CD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维保费用限价（元/月）</w:t>
            </w:r>
          </w:p>
        </w:tc>
      </w:tr>
      <w:tr w14:paraId="471E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AC3E">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CAFA">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教学楼9号梯</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95D6">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梯粤A500151363</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9CDB">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31104401032022070035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774B">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杭州西奥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3D35">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XO-REZ0II</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B09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4/4/5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02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A7A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35C7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9C7A">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4FC9">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住院楼1号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6D47">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梯粤A5000136830</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2F6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31704401032021090001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7FC5">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广日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C076">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G.Wiz-B1600-CO  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FBE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16/16/16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D2F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497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62E2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99DE">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0A68">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住院楼2号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2826">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梯粤A5000138950</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646C">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31704401032021110010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0391">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广日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051F">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G.Wiz-B1600-CO  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925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16/16/16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45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885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6E05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C088">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940A">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住院楼3号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A485">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梯粤A5000147372</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38C9">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31704401032022050001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5853">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广日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E1E1">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G.Wiz-B1600-CO  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191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16/16/16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1A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FBB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A25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587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E8E7">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住院楼4号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0B45">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梯粤A5000143737</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F34E">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317044010320220100001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710D">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广日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4D5F">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G.Wiz-B1600-CO  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861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16/16/16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B77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960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1CB5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3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BAED2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小计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B13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4,800.00</w:t>
            </w:r>
          </w:p>
        </w:tc>
      </w:tr>
    </w:tbl>
    <w:p w14:paraId="36A57B35">
      <w:pPr>
        <w:keepNext w:val="0"/>
        <w:keepLines w:val="0"/>
        <w:pageBreakBefore w:val="0"/>
        <w:widowControl w:val="0"/>
        <w:kinsoku/>
        <w:wordWrap/>
        <w:overflowPunct/>
        <w:topLinePunct w:val="0"/>
        <w:autoSpaceDE/>
        <w:autoSpaceDN/>
        <w:bidi w:val="0"/>
        <w:adjustRightInd w:val="0"/>
        <w:snapToGrid/>
        <w:spacing w:before="100" w:after="100" w:afterLines="0" w:afterAutospacing="0" w:line="300" w:lineRule="auto"/>
        <w:ind w:firstLine="420" w:firstLineChars="200"/>
        <w:jc w:val="both"/>
        <w:outlineLvl w:val="9"/>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3.珠玑院区2设备清单及维保费用限价</w:t>
      </w:r>
    </w:p>
    <w:tbl>
      <w:tblPr>
        <w:tblStyle w:val="12"/>
        <w:tblW w:w="48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1416"/>
        <w:gridCol w:w="1981"/>
        <w:gridCol w:w="2566"/>
        <w:gridCol w:w="1111"/>
        <w:gridCol w:w="1712"/>
        <w:gridCol w:w="1416"/>
        <w:gridCol w:w="1142"/>
        <w:gridCol w:w="1696"/>
      </w:tblGrid>
      <w:tr w14:paraId="5F9A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87A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537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设备编号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A3E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使用证号</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B9A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注册代码</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EE8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生产商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BC2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设备型号</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282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层/站数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CF5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设备名称</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ED7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维保费用限价（元/月）</w:t>
            </w:r>
          </w:p>
        </w:tc>
      </w:tr>
      <w:tr w14:paraId="0C66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911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0949">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门诊楼1号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2904">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梯粤A014610553</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49AC">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31704401032025080001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DE8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日立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82A5">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MCA-B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589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12/12/12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5CC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5F4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0B1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817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E383">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门诊楼2号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146A">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梯粤A014610554</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DB17">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3170440103200610002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F42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31A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3000B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3D3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12/12/12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906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54A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045E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BF6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DAD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门诊楼3号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229F">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梯粤A014610555</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FF6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3170440103200610003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798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554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3000B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0E15">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12/12/12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1CD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34B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0B28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E51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C749">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门诊楼4号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7D26">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梯粤A014610556</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0A71">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3170440103200610004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643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CB8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3000B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B14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12/12/12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35E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C00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4813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671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F304">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门诊扶梯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2B2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梯粤A014650571</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43CA">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35004401032007020009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791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AC15">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D6NF</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66A0">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82B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C7B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63E8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71A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1BAC">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门诊扶梯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541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梯粤A014650572</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1ECC">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35004401032007020010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F63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E64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D6NF</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9FDC">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3C4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6E8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7683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62C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7</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7DE4">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门诊扶梯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8397">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梯粤A014650573</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9619">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35004401032007020011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C3B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874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D6NF</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B708">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016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D5F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70E9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12C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3436">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门诊扶梯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BB22">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梯粤A014650574</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2E74">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35004401032007020012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82A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B13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D6NF</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0ECC">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36E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D20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11E1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3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1B5DD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小计</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5D8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7,200.00</w:t>
            </w:r>
          </w:p>
        </w:tc>
      </w:tr>
    </w:tbl>
    <w:p w14:paraId="53798499">
      <w:pPr>
        <w:keepNext w:val="0"/>
        <w:keepLines w:val="0"/>
        <w:pageBreakBefore w:val="0"/>
        <w:widowControl w:val="0"/>
        <w:kinsoku/>
        <w:wordWrap/>
        <w:overflowPunct/>
        <w:topLinePunct w:val="0"/>
        <w:autoSpaceDE/>
        <w:autoSpaceDN/>
        <w:bidi w:val="0"/>
        <w:adjustRightInd w:val="0"/>
        <w:snapToGrid/>
        <w:spacing w:before="100" w:after="100" w:afterLines="0" w:afterAutospacing="0" w:line="300" w:lineRule="auto"/>
        <w:ind w:firstLine="420" w:firstLineChars="200"/>
        <w:jc w:val="both"/>
        <w:outlineLvl w:val="9"/>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bidi="ar-SA"/>
        </w:rPr>
        <w:t>注：上述8台电梯处于更新状态</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更新后电梯不计入本次维保范围。</w:t>
      </w:r>
    </w:p>
    <w:p w14:paraId="4D6878FA">
      <w:pPr>
        <w:keepNext w:val="0"/>
        <w:keepLines w:val="0"/>
        <w:pageBreakBefore w:val="0"/>
        <w:widowControl w:val="0"/>
        <w:kinsoku/>
        <w:wordWrap/>
        <w:overflowPunct/>
        <w:topLinePunct w:val="0"/>
        <w:autoSpaceDE/>
        <w:autoSpaceDN/>
        <w:bidi w:val="0"/>
        <w:adjustRightInd w:val="0"/>
        <w:snapToGrid/>
        <w:spacing w:before="100" w:after="100" w:afterLines="0" w:afterAutospacing="0" w:line="300" w:lineRule="auto"/>
        <w:ind w:firstLine="420" w:firstLineChars="200"/>
        <w:jc w:val="both"/>
        <w:outlineLvl w:val="9"/>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4.同德院区</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含同德综合门诊部、潭岗制剂楼</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bidi="ar-SA"/>
        </w:rPr>
        <w:t>设备清单及维保费用限价</w:t>
      </w:r>
    </w:p>
    <w:tbl>
      <w:tblPr>
        <w:tblStyle w:val="12"/>
        <w:tblW w:w="48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397"/>
        <w:gridCol w:w="1979"/>
        <w:gridCol w:w="2506"/>
        <w:gridCol w:w="1106"/>
        <w:gridCol w:w="1688"/>
        <w:gridCol w:w="1414"/>
        <w:gridCol w:w="1140"/>
        <w:gridCol w:w="1700"/>
      </w:tblGrid>
      <w:tr w14:paraId="3438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5D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FCD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设备编号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476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使用证号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9AD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注册代码</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F1C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生产商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06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设备型号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67D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层/站数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A5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设备名称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CF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维保费用限价（元</w:t>
            </w:r>
            <w:r>
              <w:rPr>
                <w:rFonts w:hint="eastAsia" w:ascii="仿宋" w:hAnsi="仿宋" w:eastAsia="仿宋" w:cs="仿宋"/>
                <w:color w:val="auto"/>
                <w:kern w:val="2"/>
                <w:sz w:val="21"/>
                <w:szCs w:val="21"/>
                <w:highlight w:val="none"/>
                <w:u w:val="none"/>
                <w:lang w:val="en-US" w:eastAsia="zh-CN" w:bidi="ar"/>
              </w:rPr>
              <w:t>/月）</w:t>
            </w:r>
          </w:p>
        </w:tc>
      </w:tr>
      <w:tr w14:paraId="4A76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0D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color w:val="auto"/>
                <w:kern w:val="2"/>
                <w:sz w:val="21"/>
                <w:szCs w:val="21"/>
                <w:highlight w:val="none"/>
                <w:u w:val="none"/>
                <w:lang w:val="en-US" w:eastAsia="zh-CN" w:bidi="ar"/>
              </w:rPr>
            </w:pPr>
            <w:r>
              <w:rPr>
                <w:rFonts w:hint="eastAsia" w:ascii="仿宋" w:hAnsi="仿宋" w:eastAsia="仿宋" w:cs="仿宋"/>
                <w:color w:val="auto"/>
                <w:kern w:val="2"/>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916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54F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梯粤A500087111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CA9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C65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DF3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48BD">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9E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EC3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0FF1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CDD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C9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2号扶梯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82D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EF0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5DC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9D0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269F">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6DA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A0E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5603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228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BC3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007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D8E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02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14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69D7">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9A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BE7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2DB8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F5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7BD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4号扶梯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9D2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01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BE6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870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AAB4">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111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58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455F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3E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35F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5号扶梯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A7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B6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529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999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14D4">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ED9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A33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423A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F7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D8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6号扶梯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720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0F7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D89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9F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1E67">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E5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880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32F8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BDA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56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7号扶梯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E7A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CD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03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EBD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2990">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828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063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7FF5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82C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D54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8号扶梯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34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66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7E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04F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68EA">
            <w:pPr>
              <w:keepNext w:val="0"/>
              <w:keepLines w:val="0"/>
              <w:pageBreakBefore w:val="0"/>
              <w:kinsoku/>
              <w:wordWrap/>
              <w:overflowPunct/>
              <w:topLinePunct w:val="0"/>
              <w:autoSpaceDE/>
              <w:autoSpaceDN/>
              <w:bidi w:val="0"/>
              <w:adjustRightInd/>
              <w:snapToGrid/>
              <w:ind w:firstLineChars="0"/>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75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419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6CE8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AF4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9</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595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门诊楼1号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33E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梯粤A500090533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AF9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3F8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25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192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06-6-6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20D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D98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850.00</w:t>
            </w:r>
          </w:p>
        </w:tc>
      </w:tr>
      <w:tr w14:paraId="3BD4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29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777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门诊楼2号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F56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梯粤A500090531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49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DA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739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92D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06-6-6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8C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CF6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850.00</w:t>
            </w:r>
          </w:p>
        </w:tc>
      </w:tr>
      <w:tr w14:paraId="6270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983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181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门诊楼3号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1D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梯粤A500090526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268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311104401112015120093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65A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FD8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HGP-1050-C090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56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06-6-6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82B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86C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850.00</w:t>
            </w:r>
          </w:p>
        </w:tc>
      </w:tr>
      <w:tr w14:paraId="7B0F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56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79D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药库1号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842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梯粤A500088483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ADE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34004401112016090001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8D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德奥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DBF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TWJ100/0.4-ASW</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32A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3FE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杂物梯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1D3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636B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A1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AF9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住院楼4号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A5E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B08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CDF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1B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A63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99A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E7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2910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65B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21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住院楼5号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3C2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梯粤A500090529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9F2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B7A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6F0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99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268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DDB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61C3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43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7AE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住院楼6号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AB2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梯粤A500090528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A3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5B0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104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FE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326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45D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3CDE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40F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5D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住院楼7号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80E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梯粤A500090527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7DF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31104401112015120092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8AC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495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HGP-1150-C090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96E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A28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4A1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D7D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1AC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613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住院楼8号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323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梯粤A500090532</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E17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79E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B18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09A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12D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B8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696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F8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BCB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门诊部1号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196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梯粤A500188311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088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31304401112024060004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47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广日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F31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ESW</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6D5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03-3-3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951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客梯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64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1FB2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513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19</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B3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谭岗制剂楼</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C41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梯粤A500029899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DC0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31704401112012050001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02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江南快速</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F6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SUPEXII-B</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865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05-5-5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9DF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客梯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83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850.00</w:t>
            </w:r>
          </w:p>
        </w:tc>
      </w:tr>
      <w:tr w14:paraId="4836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3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8F15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color w:val="auto"/>
                <w:kern w:val="2"/>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小计</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AED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outlineLvl w:val="9"/>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16,400.00</w:t>
            </w:r>
          </w:p>
        </w:tc>
      </w:tr>
    </w:tbl>
    <w:p w14:paraId="41E841EB">
      <w:pPr>
        <w:keepNext w:val="0"/>
        <w:keepLines w:val="0"/>
        <w:pageBreakBefore w:val="0"/>
        <w:numPr>
          <w:ilvl w:val="-1"/>
          <w:numId w:val="0"/>
        </w:numPr>
        <w:kinsoku/>
        <w:wordWrap/>
        <w:overflowPunct/>
        <w:topLinePunct w:val="0"/>
        <w:autoSpaceDE/>
        <w:autoSpaceDN/>
        <w:bidi w:val="0"/>
        <w:snapToGrid/>
        <w:spacing w:line="360" w:lineRule="auto"/>
        <w:outlineLvl w:val="9"/>
        <w:rPr>
          <w:rFonts w:hint="eastAsia" w:ascii="仿宋_GB2312" w:hAnsi="宋体" w:eastAsia="仿宋_GB2312" w:cs="Times New Roman"/>
          <w:color w:val="auto"/>
          <w:kern w:val="2"/>
          <w:sz w:val="24"/>
          <w:szCs w:val="20"/>
          <w:highlight w:val="none"/>
          <w:lang w:val="en-US" w:eastAsia="zh-CN" w:bidi="ar-SA"/>
        </w:rPr>
      </w:pPr>
    </w:p>
    <w:p w14:paraId="6CFCCC32">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Times New Roman"/>
          <w:color w:val="auto"/>
          <w:kern w:val="2"/>
          <w:sz w:val="24"/>
          <w:szCs w:val="20"/>
          <w:highlight w:val="none"/>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07807A2E">
      <w:pPr>
        <w:keepNext w:val="0"/>
        <w:keepLines w:val="0"/>
        <w:pageBreakBefore w:val="0"/>
        <w:kinsoku/>
        <w:wordWrap/>
        <w:overflowPunct/>
        <w:topLinePunct w:val="0"/>
        <w:autoSpaceDE/>
        <w:autoSpaceDN/>
        <w:bidi w:val="0"/>
        <w:snapToGrid/>
        <w:spacing w:line="360" w:lineRule="auto"/>
        <w:outlineLvl w:val="9"/>
        <w:rPr>
          <w:rFonts w:hint="eastAsia" w:ascii="仿宋_GB2312" w:hAnsi="宋体" w:eastAsia="仿宋_GB2312" w:cs="Times New Roman"/>
          <w:color w:val="auto"/>
          <w:kern w:val="2"/>
          <w:sz w:val="24"/>
          <w:szCs w:val="20"/>
          <w:highlight w:val="none"/>
          <w:lang w:val="en-US" w:eastAsia="zh-CN" w:bidi="ar-SA"/>
        </w:rPr>
      </w:pPr>
      <w:r>
        <w:rPr>
          <w:rFonts w:hint="eastAsia" w:ascii="仿宋_GB2312" w:hAnsi="宋体" w:eastAsia="仿宋_GB2312" w:cs="Times New Roman"/>
          <w:color w:val="auto"/>
          <w:kern w:val="2"/>
          <w:sz w:val="24"/>
          <w:szCs w:val="20"/>
          <w:highlight w:val="none"/>
          <w:lang w:val="en-US" w:eastAsia="zh-CN" w:bidi="ar-SA"/>
        </w:rPr>
        <w:t>附件2：配件及备件</w:t>
      </w:r>
    </w:p>
    <w:p w14:paraId="7C6EE420">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0" w:firstLineChars="200"/>
        <w:jc w:val="both"/>
        <w:textAlignment w:val="auto"/>
        <w:outlineLvl w:val="9"/>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（一）</w:t>
      </w:r>
      <w:r>
        <w:rPr>
          <w:rFonts w:hint="eastAsia" w:ascii="仿宋" w:hAnsi="仿宋" w:eastAsia="仿宋" w:cs="仿宋"/>
          <w:color w:val="auto"/>
          <w:kern w:val="2"/>
          <w:sz w:val="21"/>
          <w:szCs w:val="21"/>
          <w:highlight w:val="none"/>
          <w:lang w:bidi="ar-SA"/>
        </w:rPr>
        <w:t>部分500元（含500元）以下的配件</w:t>
      </w:r>
    </w:p>
    <w:tbl>
      <w:tblPr>
        <w:tblStyle w:val="1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2597"/>
        <w:gridCol w:w="3720"/>
        <w:gridCol w:w="1113"/>
      </w:tblGrid>
      <w:tr w14:paraId="11BC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FBD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FE1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项目</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72E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型号</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0FE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单位</w:t>
            </w:r>
          </w:p>
        </w:tc>
      </w:tr>
      <w:tr w14:paraId="338B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CCC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8D26227">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门锁触点</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6FF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S200左旁开/中分</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C4D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r>
      <w:tr w14:paraId="4255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C22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E414FE3">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辅助触头</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838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DN11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DE1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153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EED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229F821">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除锈剂</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5EE7">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D47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支</w:t>
            </w:r>
          </w:p>
        </w:tc>
      </w:tr>
      <w:tr w14:paraId="2377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CB6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CFA9D19">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门挂轮</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EFB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D56/D75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3B2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4089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CB4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9D28EDC">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轿厢靴衬</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DA0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K16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3C7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305D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205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2F639AE">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对重靴衬</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43F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K10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A86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49F0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29A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34115AA">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门刀弹簧</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D62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K200 L=120MM</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D17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E2C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C1C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7E9F08F">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调节垫片</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C323">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2FB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r>
      <w:tr w14:paraId="4FFE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7FB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F3C6E48">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急停开关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AC5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LA39-B-Z9/r</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7AB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529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7D5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C210D14">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轴用挡圈</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60A0">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36E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584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261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1A995FE">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消防玻璃</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F601">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CAA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r>
      <w:tr w14:paraId="65AE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837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9470B95">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安全开关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5BB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LX26-UKS</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D4D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4E28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CB4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492CD03E">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限位开关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C23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LX26-UKT</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94B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D8D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C24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8B5AB59">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灭弧器</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FCC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LAD4TUDL</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CDB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2AA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6C1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4106E99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行程开关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B43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LX26-1375B</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8E7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3804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D11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84BA83C">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触点开关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E1C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RX07 S200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244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1E72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CBA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DEF6952">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钢丝绳夹</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6F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 GB/T5976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80F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CAE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F5C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12B64EF">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复位弹簧</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FB91">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B9C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A39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7E0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2BB5587">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应急灯</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BE09">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4995">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18F8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6FA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E74342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开关电源</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B1C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RS-50-5 10A</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2AD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3887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615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D5E68D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手动复位行程开关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8DA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LX26-UKS</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C46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2F8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E3B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44DC6981">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断路器锁定装置</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7514">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A4F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7F1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3C0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BA6EDC4">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桥门锁轮垫圈</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A5CB">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4F4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4657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AA0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AF5B485">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门刀弹簧</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EDB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K200 L=120mm</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ABF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4E2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013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8349579">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钥匙开关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40D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AN180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2F3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3CC1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56D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61630D1">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熔断体</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EC8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R015 2A</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F83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7C6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EBC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1F89278">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调节垫片</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FE26">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83C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r>
      <w:tr w14:paraId="5CE7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FB3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5D63FCA">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轴用挡圈</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02BD">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0AE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036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022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6D86113">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平垫圈</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A26C">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862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088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10F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5AD8630">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缓冲器开关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38AF">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144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942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2BC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43A1FF8">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应急电源</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CB2B">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9B4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662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594C">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32</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F5B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压敏电阻</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7310">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MYG20G20K431 Zine Oxide</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412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A94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2E2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33</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0BA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钢丝绳夹</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AB7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 GB/T5976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D75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090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4375">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8070E34">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门闭震胶条</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F2D6">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125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条</w:t>
            </w:r>
          </w:p>
        </w:tc>
      </w:tr>
      <w:tr w14:paraId="487F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E6C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408F461C">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门机可调电阻</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D634">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892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D0A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B01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210E886">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机械救援锁</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BB48">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FA8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把</w:t>
            </w:r>
          </w:p>
        </w:tc>
      </w:tr>
      <w:tr w14:paraId="3267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D61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CA53326">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检修箱锁</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4BCD">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5C45">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DAF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DEB5">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CE3D701">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副导靴</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D445">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CD5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w:t>
            </w:r>
          </w:p>
        </w:tc>
      </w:tr>
      <w:tr w14:paraId="7151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DC2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E69C494">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主导靴衬垫</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2A8B">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64A3">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w:t>
            </w:r>
          </w:p>
        </w:tc>
      </w:tr>
      <w:tr w14:paraId="3AD5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DB84">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D548DE6">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井道照明灯</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1750">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3DA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378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727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CEBFE82">
            <w:pPr>
              <w:keepNext w:val="0"/>
              <w:keepLines w:val="0"/>
              <w:pageBreakBefore w:val="0"/>
              <w:widowControl/>
              <w:suppressLineNumbers w:val="0"/>
              <w:kinsoku/>
              <w:wordWrap/>
              <w:overflowPunct/>
              <w:topLinePunct w:val="0"/>
              <w:autoSpaceDE/>
              <w:autoSpaceDN/>
              <w:bidi w:val="0"/>
              <w:adjustRightInd/>
              <w:snapToGrid/>
              <w:jc w:val="center"/>
              <w:textAlignment w:val="top"/>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门机保险丝</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F736">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D9CB">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1FA3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C6BA">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42</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8B1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靴衬</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CBE3">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95E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FC7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691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43</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059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涨紧轮轴承</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859C">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7DA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C24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411F">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44</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C941">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文字片</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B2A9">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E85E">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r>
      <w:tr w14:paraId="23B4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CEB2">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45</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987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底坑爬梯</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192E">
            <w:pPr>
              <w:keepNext w:val="0"/>
              <w:keepLines w:val="0"/>
              <w:pageBreakBefore w:val="0"/>
              <w:kinsoku/>
              <w:wordWrap/>
              <w:overflowPunct/>
              <w:topLinePunct w:val="0"/>
              <w:autoSpaceDE/>
              <w:autoSpaceDN/>
              <w:bidi w:val="0"/>
              <w:adjustRightInd/>
              <w:snapToGrid/>
              <w:jc w:val="center"/>
              <w:outlineLvl w:val="9"/>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857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bl>
    <w:p w14:paraId="759434B5">
      <w:pPr>
        <w:keepNext w:val="0"/>
        <w:keepLines w:val="0"/>
        <w:pageBreakBefore w:val="0"/>
        <w:widowControl w:val="0"/>
        <w:kinsoku/>
        <w:wordWrap/>
        <w:overflowPunct/>
        <w:topLinePunct w:val="0"/>
        <w:autoSpaceDE/>
        <w:autoSpaceDN/>
        <w:bidi w:val="0"/>
        <w:adjustRightInd w:val="0"/>
        <w:snapToGrid/>
        <w:spacing w:before="0" w:after="0" w:afterLines="0" w:afterAutospacing="0" w:line="240" w:lineRule="auto"/>
        <w:ind w:firstLine="420" w:firstLineChars="200"/>
        <w:jc w:val="both"/>
        <w:textAlignment w:val="auto"/>
        <w:outlineLvl w:val="9"/>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上表仅列出了部分价格在500元及以下的配件，未在本表列出的配件、附件或辅材，若单价不高于500元，仍属于免费更换范围。</w:t>
      </w:r>
    </w:p>
    <w:p w14:paraId="0E755855">
      <w:pPr>
        <w:keepNext w:val="0"/>
        <w:keepLines w:val="0"/>
        <w:pageBreakBefore w:val="0"/>
        <w:widowControl w:val="0"/>
        <w:numPr>
          <w:ilvl w:val="0"/>
          <w:numId w:val="0"/>
        </w:numPr>
        <w:kinsoku/>
        <w:wordWrap/>
        <w:overflowPunct/>
        <w:topLinePunct w:val="0"/>
        <w:autoSpaceDE/>
        <w:autoSpaceDN/>
        <w:bidi w:val="0"/>
        <w:adjustRightInd w:val="0"/>
        <w:snapToGrid/>
        <w:spacing w:before="0" w:after="0" w:afterLines="0" w:line="240" w:lineRule="auto"/>
        <w:ind w:left="0" w:leftChars="0" w:firstLine="420" w:firstLineChars="200"/>
        <w:jc w:val="both"/>
        <w:textAlignment w:val="auto"/>
        <w:outlineLvl w:val="9"/>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（二）</w:t>
      </w:r>
      <w:r>
        <w:rPr>
          <w:rFonts w:hint="eastAsia" w:ascii="仿宋" w:hAnsi="仿宋" w:eastAsia="仿宋" w:cs="仿宋"/>
          <w:color w:val="auto"/>
          <w:kern w:val="2"/>
          <w:sz w:val="21"/>
          <w:szCs w:val="21"/>
          <w:highlight w:val="none"/>
          <w:lang w:bidi="ar-SA"/>
        </w:rPr>
        <w:t>天河院区备件清单</w:t>
      </w:r>
    </w:p>
    <w:tbl>
      <w:tblPr>
        <w:tblStyle w:val="12"/>
        <w:tblW w:w="51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1700"/>
        <w:gridCol w:w="2269"/>
        <w:gridCol w:w="849"/>
        <w:gridCol w:w="849"/>
        <w:gridCol w:w="2269"/>
      </w:tblGrid>
      <w:tr w14:paraId="7E6C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B5A6BFE">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96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76DC2DC">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名称</w:t>
            </w:r>
          </w:p>
        </w:tc>
        <w:tc>
          <w:tcPr>
            <w:tcW w:w="129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3A36D53">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品牌、规格、型号</w:t>
            </w:r>
          </w:p>
        </w:tc>
        <w:tc>
          <w:tcPr>
            <w:tcW w:w="48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2822C22">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数量</w:t>
            </w:r>
          </w:p>
        </w:tc>
        <w:tc>
          <w:tcPr>
            <w:tcW w:w="48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7B4A479">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单位</w:t>
            </w:r>
          </w:p>
        </w:tc>
        <w:tc>
          <w:tcPr>
            <w:tcW w:w="129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7AACE82">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限价（元/件）</w:t>
            </w:r>
          </w:p>
        </w:tc>
      </w:tr>
      <w:tr w14:paraId="2C3D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7A5FC0">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25B2">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外呼板</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7521">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1465">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C7F4">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15CDD3">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2400</w:t>
            </w:r>
          </w:p>
        </w:tc>
      </w:tr>
      <w:tr w14:paraId="7AE4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DD3B6B">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5062">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厅门锁</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152D">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66DD">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6A10">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904AFA">
            <w:pPr>
              <w:keepNext w:val="0"/>
              <w:keepLines w:val="0"/>
              <w:pageBreakBefore w:val="0"/>
              <w:widowControl/>
              <w:suppressLineNumbers w:val="0"/>
              <w:kinsoku/>
              <w:wordWrap/>
              <w:overflowPunct/>
              <w:topLinePunct w:val="0"/>
              <w:autoSpaceDE/>
              <w:autoSpaceDN/>
              <w:bidi w:val="0"/>
              <w:snapToGrid/>
              <w:jc w:val="left"/>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属于本文件约定的“单价≤500元配件”范围，按免费更换规则执行。</w:t>
            </w:r>
          </w:p>
        </w:tc>
      </w:tr>
      <w:tr w14:paraId="2DD2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713CFE">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C8E8">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轿门锁</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8B99">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FEBC">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144C">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EAD00B">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属于本文件约定的“单价≤500元配件”范围，按免费更换规则执行。</w:t>
            </w:r>
          </w:p>
        </w:tc>
      </w:tr>
      <w:tr w14:paraId="5874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F77679">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391C">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运行接触器</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D9A0">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13F">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DE04">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8CB403">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w:t>
            </w:r>
          </w:p>
        </w:tc>
      </w:tr>
      <w:tr w14:paraId="4C66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E97E4E">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ED2A">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抱闸接触器</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734E">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4295">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CA28">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389030">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w:t>
            </w:r>
          </w:p>
        </w:tc>
      </w:tr>
      <w:tr w14:paraId="7825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DF7471">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6</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FA63">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抱闸开关</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1D2A">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8634">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C1CE">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8AF1E7">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属于本文件约定的“单价≤500元配件”范围，按免费更换规则执行。</w:t>
            </w:r>
          </w:p>
        </w:tc>
      </w:tr>
      <w:tr w14:paraId="5094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E73C2F">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7</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413B">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液晶显示器</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7368">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6A28">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6B26">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9F81B0">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3100</w:t>
            </w:r>
          </w:p>
        </w:tc>
      </w:tr>
      <w:tr w14:paraId="36D8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D41A07D">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w:t>
            </w:r>
          </w:p>
        </w:tc>
        <w:tc>
          <w:tcPr>
            <w:tcW w:w="96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A2EE2BB">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变频器</w:t>
            </w:r>
          </w:p>
        </w:tc>
        <w:tc>
          <w:tcPr>
            <w:tcW w:w="129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9F6A1BE">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38CBF33">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48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BF93720">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A50DF80">
            <w:pPr>
              <w:keepNext w:val="0"/>
              <w:keepLines w:val="0"/>
              <w:pageBreakBefore w:val="0"/>
              <w:widowControl/>
              <w:suppressLineNumbers w:val="0"/>
              <w:kinsoku/>
              <w:wordWrap/>
              <w:overflowPunct/>
              <w:topLinePunct w:val="0"/>
              <w:autoSpaceDE/>
              <w:autoSpaceDN/>
              <w:bidi w:val="0"/>
              <w:snapToGrid/>
              <w:jc w:val="center"/>
              <w:textAlignment w:val="center"/>
              <w:outlineLvl w:val="9"/>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18000</w:t>
            </w:r>
          </w:p>
        </w:tc>
      </w:tr>
    </w:tbl>
    <w:p w14:paraId="37067D1B">
      <w:pPr>
        <w:keepNext w:val="0"/>
        <w:keepLines w:val="0"/>
        <w:pageBreakBefore w:val="0"/>
        <w:widowControl w:val="0"/>
        <w:kinsoku/>
        <w:wordWrap/>
        <w:overflowPunct/>
        <w:topLinePunct w:val="0"/>
        <w:autoSpaceDE/>
        <w:autoSpaceDN/>
        <w:bidi w:val="0"/>
        <w:adjustRightInd w:val="0"/>
        <w:snapToGrid/>
        <w:spacing w:before="100" w:after="100" w:afterLines="0" w:afterAutospacing="0" w:line="300" w:lineRule="auto"/>
        <w:ind w:firstLine="420" w:firstLineChars="200"/>
        <w:jc w:val="both"/>
        <w:outlineLvl w:val="9"/>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注：天河院区备件为供应商为履行合同而自行准备的应急周转库存储备，其所有权归乙方。在发生更换时，按该备件限价×（1-中标下浮率）计价。</w:t>
      </w:r>
    </w:p>
    <w:p w14:paraId="24B3B7C7">
      <w:pPr>
        <w:keepNext w:val="0"/>
        <w:keepLines w:val="0"/>
        <w:pageBreakBefore w:val="0"/>
        <w:kinsoku/>
        <w:wordWrap/>
        <w:overflowPunct/>
        <w:topLinePunct w:val="0"/>
        <w:autoSpaceDE/>
        <w:autoSpaceDN/>
        <w:bidi w:val="0"/>
        <w:snapToGrid/>
        <w:spacing w:line="360" w:lineRule="auto"/>
        <w:outlineLvl w:val="9"/>
        <w:rPr>
          <w:rFonts w:hint="default" w:ascii="仿宋_GB2312" w:hAnsi="宋体" w:eastAsia="仿宋_GB2312" w:cs="Times New Roman"/>
          <w:color w:val="auto"/>
          <w:kern w:val="2"/>
          <w:sz w:val="24"/>
          <w:szCs w:val="20"/>
          <w:highlight w:val="none"/>
          <w:lang w:val="en-US" w:eastAsia="zh-CN" w:bidi="ar-SA"/>
        </w:rPr>
      </w:pPr>
    </w:p>
    <w:p w14:paraId="56E83B3A">
      <w:pPr>
        <w:keepNext w:val="0"/>
        <w:keepLines w:val="0"/>
        <w:pageBreakBefore w:val="0"/>
        <w:kinsoku/>
        <w:wordWrap/>
        <w:overflowPunct/>
        <w:topLinePunct w:val="0"/>
        <w:autoSpaceDE/>
        <w:autoSpaceDN/>
        <w:bidi w:val="0"/>
        <w:snapToGrid/>
        <w:outlineLvl w:val="9"/>
        <w:rPr>
          <w:rFonts w:hint="default" w:ascii="仿宋_GB2312" w:hAnsi="宋体" w:eastAsia="仿宋_GB2312" w:cs="Times New Roman"/>
          <w:color w:val="auto"/>
          <w:kern w:val="2"/>
          <w:sz w:val="24"/>
          <w:szCs w:val="20"/>
          <w:highlight w:val="none"/>
          <w:lang w:val="en-US" w:eastAsia="zh-CN" w:bidi="ar-SA"/>
        </w:rPr>
      </w:pPr>
      <w:r>
        <w:rPr>
          <w:rFonts w:hint="default" w:ascii="仿宋_GB2312" w:hAnsi="宋体" w:eastAsia="仿宋_GB2312" w:cs="Times New Roman"/>
          <w:color w:val="auto"/>
          <w:kern w:val="2"/>
          <w:sz w:val="24"/>
          <w:szCs w:val="20"/>
          <w:highlight w:val="none"/>
          <w:lang w:val="en-US" w:eastAsia="zh-CN" w:bidi="ar-SA"/>
        </w:rPr>
        <w:br w:type="page"/>
      </w:r>
    </w:p>
    <w:p w14:paraId="3019A871">
      <w:pPr>
        <w:keepNext w:val="0"/>
        <w:keepLines w:val="0"/>
        <w:pageBreakBefore w:val="0"/>
        <w:kinsoku/>
        <w:wordWrap/>
        <w:overflowPunct/>
        <w:topLinePunct w:val="0"/>
        <w:autoSpaceDE/>
        <w:autoSpaceDN/>
        <w:bidi w:val="0"/>
        <w:snapToGrid/>
        <w:spacing w:line="360" w:lineRule="auto"/>
        <w:outlineLvl w:val="9"/>
        <w:rPr>
          <w:rFonts w:hint="default" w:ascii="仿宋_GB2312" w:hAnsi="宋体" w:eastAsia="仿宋_GB2312" w:cs="Times New Roman"/>
          <w:color w:val="auto"/>
          <w:kern w:val="2"/>
          <w:sz w:val="24"/>
          <w:szCs w:val="20"/>
          <w:highlight w:val="none"/>
          <w:lang w:val="en-US" w:eastAsia="zh-CN" w:bidi="ar-SA"/>
        </w:rPr>
      </w:pPr>
      <w:r>
        <w:rPr>
          <w:rFonts w:hint="default" w:ascii="仿宋_GB2312" w:hAnsi="宋体" w:eastAsia="仿宋_GB2312" w:cs="Times New Roman"/>
          <w:color w:val="auto"/>
          <w:kern w:val="2"/>
          <w:sz w:val="24"/>
          <w:szCs w:val="20"/>
          <w:highlight w:val="none"/>
          <w:lang w:val="en-US" w:eastAsia="zh-CN" w:bidi="ar-SA"/>
        </w:rPr>
        <w:t>附件</w:t>
      </w:r>
      <w:r>
        <w:rPr>
          <w:rFonts w:hint="eastAsia" w:ascii="仿宋_GB2312" w:hAnsi="宋体" w:eastAsia="仿宋_GB2312" w:cs="Times New Roman"/>
          <w:color w:val="auto"/>
          <w:kern w:val="2"/>
          <w:sz w:val="24"/>
          <w:szCs w:val="20"/>
          <w:highlight w:val="none"/>
          <w:lang w:val="en-US" w:eastAsia="zh-CN" w:bidi="ar-SA"/>
        </w:rPr>
        <w:t>3</w:t>
      </w:r>
      <w:r>
        <w:rPr>
          <w:rFonts w:hint="default" w:ascii="仿宋_GB2312" w:hAnsi="宋体" w:eastAsia="仿宋_GB2312" w:cs="Times New Roman"/>
          <w:color w:val="auto"/>
          <w:kern w:val="2"/>
          <w:sz w:val="24"/>
          <w:szCs w:val="20"/>
          <w:highlight w:val="none"/>
          <w:lang w:val="en-US" w:eastAsia="zh-CN" w:bidi="ar-SA"/>
        </w:rPr>
        <w:t>：《电梯维保质量总体考核评价表》</w:t>
      </w:r>
    </w:p>
    <w:tbl>
      <w:tblPr>
        <w:tblStyle w:val="1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9"/>
        <w:gridCol w:w="4215"/>
        <w:gridCol w:w="1613"/>
        <w:gridCol w:w="1109"/>
        <w:gridCol w:w="1070"/>
      </w:tblGrid>
      <w:tr w14:paraId="14C883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000" w:type="pct"/>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56B526">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b/>
                <w:color w:val="auto"/>
                <w:sz w:val="21"/>
                <w:szCs w:val="21"/>
                <w:highlight w:val="none"/>
                <w:lang w:val="en-US" w:eastAsia="zh-Hans"/>
              </w:rPr>
              <w:t>广州</w:t>
            </w:r>
            <w:r>
              <w:rPr>
                <w:rFonts w:hint="eastAsia" w:ascii="仿宋" w:hAnsi="仿宋" w:eastAsia="仿宋" w:cs="仿宋"/>
                <w:b/>
                <w:color w:val="auto"/>
                <w:sz w:val="21"/>
                <w:szCs w:val="21"/>
                <w:highlight w:val="none"/>
                <w:lang w:val="en-US" w:eastAsia="zh-CN"/>
              </w:rPr>
              <w:t>医科大学附属中医</w:t>
            </w:r>
            <w:r>
              <w:rPr>
                <w:rFonts w:hint="eastAsia" w:ascii="仿宋" w:hAnsi="仿宋" w:eastAsia="仿宋" w:cs="仿宋"/>
                <w:b/>
                <w:color w:val="auto"/>
                <w:sz w:val="21"/>
                <w:szCs w:val="21"/>
                <w:highlight w:val="none"/>
                <w:lang w:val="en-US" w:eastAsia="zh-Hans"/>
              </w:rPr>
              <w:t>医院电梯维保质量总体考核评价表</w:t>
            </w:r>
          </w:p>
        </w:tc>
      </w:tr>
      <w:tr w14:paraId="6724F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51A05">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序号</w:t>
            </w:r>
          </w:p>
        </w:tc>
        <w:tc>
          <w:tcPr>
            <w:tcW w:w="2475"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11D5B0">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内容</w:t>
            </w:r>
          </w:p>
        </w:tc>
        <w:tc>
          <w:tcPr>
            <w:tcW w:w="94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15EC93">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扣罚标准</w:t>
            </w:r>
          </w:p>
        </w:tc>
        <w:tc>
          <w:tcPr>
            <w:tcW w:w="651"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1A6041">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扣分（罚）</w:t>
            </w:r>
          </w:p>
        </w:tc>
        <w:tc>
          <w:tcPr>
            <w:tcW w:w="625"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CEDC32">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备注（情况说明）</w:t>
            </w:r>
          </w:p>
        </w:tc>
      </w:tr>
      <w:tr w14:paraId="23AA19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vMerge w:val="continue"/>
            <w:tcBorders>
              <w:top w:val="nil"/>
              <w:left w:val="single" w:color="000000" w:sz="4" w:space="0"/>
              <w:bottom w:val="single" w:color="000000" w:sz="4" w:space="0"/>
              <w:right w:val="single" w:color="000000" w:sz="4" w:space="0"/>
            </w:tcBorders>
          </w:tcPr>
          <w:p w14:paraId="15393BD8">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c>
          <w:tcPr>
            <w:tcW w:w="2475" w:type="pct"/>
            <w:vMerge w:val="continue"/>
            <w:tcBorders>
              <w:top w:val="single" w:color="000000" w:sz="4" w:space="0"/>
              <w:left w:val="single" w:color="000000" w:sz="4" w:space="0"/>
              <w:bottom w:val="single" w:color="000000" w:sz="4" w:space="0"/>
              <w:right w:val="single" w:color="000000" w:sz="4" w:space="0"/>
            </w:tcBorders>
          </w:tcPr>
          <w:p w14:paraId="2CE04885">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A1C7A">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每月统计</w:t>
            </w:r>
          </w:p>
        </w:tc>
        <w:tc>
          <w:tcPr>
            <w:tcW w:w="651" w:type="pct"/>
            <w:vMerge w:val="continue"/>
            <w:tcBorders>
              <w:top w:val="single" w:color="000000" w:sz="4" w:space="0"/>
              <w:left w:val="single" w:color="000000" w:sz="4" w:space="0"/>
              <w:bottom w:val="single" w:color="000000" w:sz="4" w:space="0"/>
              <w:right w:val="single" w:color="000000" w:sz="4" w:space="0"/>
            </w:tcBorders>
          </w:tcPr>
          <w:p w14:paraId="0FB7A026">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c>
          <w:tcPr>
            <w:tcW w:w="625" w:type="pct"/>
            <w:vMerge w:val="continue"/>
            <w:tcBorders>
              <w:top w:val="single" w:color="000000" w:sz="4" w:space="0"/>
              <w:left w:val="single" w:color="000000" w:sz="4" w:space="0"/>
              <w:bottom w:val="single" w:color="000000" w:sz="4" w:space="0"/>
              <w:right w:val="single" w:color="000000" w:sz="4" w:space="0"/>
            </w:tcBorders>
          </w:tcPr>
          <w:p w14:paraId="135CC8CC">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7E87E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A5D0B">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u w:val="none"/>
                <w:lang w:val="en-US" w:eastAsia="zh-Hans"/>
              </w:rPr>
              <w:t>1</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19519">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损坏/破坏医院之设施，须赔偿医院损失</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243C03">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每次扣2分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496C7">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4C8DD">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61B0E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49C93">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i w:val="0"/>
                <w:iCs w:val="0"/>
                <w:color w:val="auto"/>
                <w:sz w:val="21"/>
                <w:szCs w:val="21"/>
                <w:highlight w:val="none"/>
                <w:lang w:val="en-US" w:eastAsia="zh-Hans"/>
              </w:rPr>
              <w:t>2</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1086B">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维修人员没有按照规定着装、佩戴胸卡</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9C9A5">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2B154">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A1142">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380D7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34F5B">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strike w:val="0"/>
                <w:dstrike w:val="0"/>
                <w:color w:val="auto"/>
                <w:sz w:val="21"/>
                <w:szCs w:val="21"/>
                <w:highlight w:val="none"/>
                <w:lang w:val="en-US" w:eastAsia="zh-Hans"/>
              </w:rPr>
              <w:t>3</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E7E0F">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服务态度粗暴，维修质量差，引起投诉</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BEBCE">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每次扣5分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3523E">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DE3B1">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16AB2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27206">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4</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146C6">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维保维修时未设置围栏围闭或工作完毕20分钟内未清理遗留垃圾</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20613">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F312E">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BAB26">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4DFB05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AE63B">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5</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67FE3">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甲方要求提供协助工作（在合同条款内容需协助工作范围内），但未能于30分</w:t>
            </w:r>
            <w:r>
              <w:rPr>
                <w:rFonts w:hint="eastAsia" w:ascii="仿宋" w:hAnsi="仿宋" w:eastAsia="仿宋" w:cs="仿宋"/>
                <w:color w:val="auto"/>
                <w:sz w:val="21"/>
                <w:szCs w:val="21"/>
                <w:highlight w:val="none"/>
                <w:lang w:val="en-US" w:eastAsia="zh-CN"/>
              </w:rPr>
              <w:t>钟内</w:t>
            </w:r>
            <w:r>
              <w:rPr>
                <w:rFonts w:hint="eastAsia" w:ascii="仿宋" w:hAnsi="仿宋" w:eastAsia="仿宋" w:cs="仿宋"/>
                <w:color w:val="auto"/>
                <w:sz w:val="21"/>
                <w:szCs w:val="21"/>
                <w:highlight w:val="none"/>
                <w:lang w:val="en-US" w:eastAsia="zh-Hans"/>
              </w:rPr>
              <w:t>安排人员到场；</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232B2">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每次扣10分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74E22">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A10FD">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4B1C2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7C571">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6</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1C9785">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电梯相关标识不规范（要求清晰、无脱落、美观）；</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536FE">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B19BB">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EE7C2">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4A3031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48DB2">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7</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2C33A5">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接获困人故障通知后，</w:t>
            </w:r>
            <w:r>
              <w:rPr>
                <w:rFonts w:hint="eastAsia" w:ascii="仿宋" w:hAnsi="仿宋" w:eastAsia="仿宋" w:cs="仿宋"/>
                <w:color w:val="auto"/>
                <w:sz w:val="21"/>
                <w:szCs w:val="21"/>
                <w:highlight w:val="none"/>
                <w:lang w:val="en-US" w:eastAsia="zh-CN"/>
              </w:rPr>
              <w:t>天河院区、同德院区</w:t>
            </w:r>
            <w:r>
              <w:rPr>
                <w:rFonts w:hint="eastAsia" w:ascii="仿宋" w:hAnsi="仿宋" w:eastAsia="仿宋" w:cs="仿宋"/>
                <w:color w:val="auto"/>
                <w:sz w:val="21"/>
                <w:szCs w:val="21"/>
                <w:highlight w:val="none"/>
                <w:lang w:val="en-US" w:eastAsia="zh-Hans"/>
              </w:rPr>
              <w:t>、</w:t>
            </w:r>
            <w:r>
              <w:rPr>
                <w:rFonts w:hint="eastAsia" w:ascii="仿宋" w:hAnsi="仿宋" w:eastAsia="仿宋" w:cs="仿宋"/>
                <w:color w:val="auto"/>
                <w:sz w:val="21"/>
                <w:szCs w:val="21"/>
                <w:highlight w:val="none"/>
                <w:lang w:val="en-US" w:eastAsia="zh-CN"/>
              </w:rPr>
              <w:t>珠玑</w:t>
            </w:r>
            <w:r>
              <w:rPr>
                <w:rFonts w:hint="eastAsia" w:ascii="仿宋" w:hAnsi="仿宋" w:eastAsia="仿宋" w:cs="仿宋"/>
                <w:color w:val="auto"/>
                <w:sz w:val="21"/>
                <w:szCs w:val="21"/>
                <w:highlight w:val="none"/>
                <w:lang w:val="en-US" w:eastAsia="zh-Hans"/>
              </w:rPr>
              <w:t>院区未能在</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val="en-US" w:eastAsia="zh-Hans"/>
              </w:rPr>
              <w:t>分钟内到达故障现场</w:t>
            </w:r>
            <w:r>
              <w:rPr>
                <w:rFonts w:hint="eastAsia" w:ascii="仿宋" w:hAnsi="仿宋" w:eastAsia="仿宋" w:cs="仿宋"/>
                <w:color w:val="auto"/>
                <w:sz w:val="21"/>
                <w:szCs w:val="21"/>
                <w:highlight w:val="none"/>
                <w:lang w:val="en-US" w:eastAsia="zh-CN"/>
              </w:rPr>
              <w:t>；</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9239A">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每次扣5分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388BA">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CEC05">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7AC4E3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CC52C">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8</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230BC">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Hans"/>
              </w:rPr>
              <w:t>接获一般故障（非困人）通知后，未能在</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lang w:val="en-US" w:eastAsia="zh-Hans"/>
              </w:rPr>
              <w:t>分钟内到达故障现场；</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0E0D2">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每次扣5分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D4BB5">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5C578">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3D0D4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0F4D0">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7530E">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抽查电梯空调、风扇、风幕机、五方通话，不能正常使用的</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1000E">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F11D2">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03BC6">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7DB3A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B4A44">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备注1</w:t>
            </w:r>
          </w:p>
        </w:tc>
        <w:tc>
          <w:tcPr>
            <w:tcW w:w="4700" w:type="pct"/>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D1A80">
            <w:pPr>
              <w:keepNext w:val="0"/>
              <w:keepLines w:val="0"/>
              <w:pageBreakBefore w:val="0"/>
              <w:kinsoku/>
              <w:wordWrap/>
              <w:overflowPunct/>
              <w:topLinePunct w:val="0"/>
              <w:autoSpaceDE/>
              <w:autoSpaceDN/>
              <w:bidi w:val="0"/>
              <w:snapToGrid/>
              <w:jc w:val="center"/>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每月服务考核评价96分及以上，不扣款；90</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Hans"/>
              </w:rPr>
              <w:t>9</w:t>
            </w:r>
            <w:r>
              <w:rPr>
                <w:rFonts w:hint="eastAsia" w:ascii="仿宋" w:hAnsi="仿宋" w:eastAsia="仿宋" w:cs="仿宋"/>
                <w:color w:val="auto"/>
                <w:sz w:val="21"/>
                <w:szCs w:val="21"/>
                <w:highlight w:val="none"/>
                <w:lang w:val="en-US" w:eastAsia="zh-CN"/>
              </w:rPr>
              <w:t>6（不含）</w:t>
            </w:r>
            <w:r>
              <w:rPr>
                <w:rFonts w:hint="eastAsia" w:ascii="仿宋" w:hAnsi="仿宋" w:eastAsia="仿宋" w:cs="仿宋"/>
                <w:color w:val="auto"/>
                <w:sz w:val="21"/>
                <w:szCs w:val="21"/>
                <w:highlight w:val="none"/>
                <w:lang w:val="en-US" w:eastAsia="zh-Hans"/>
              </w:rPr>
              <w:t>分扣维保服务费</w:t>
            </w:r>
            <w:r>
              <w:rPr>
                <w:rFonts w:hint="eastAsia" w:ascii="仿宋" w:hAnsi="仿宋" w:eastAsia="仿宋" w:cs="仿宋"/>
                <w:color w:val="auto"/>
                <w:sz w:val="21"/>
                <w:szCs w:val="21"/>
                <w:highlight w:val="none"/>
                <w:lang w:val="en-US" w:eastAsia="zh-CN"/>
              </w:rPr>
              <w:t>1000</w:t>
            </w:r>
            <w:r>
              <w:rPr>
                <w:rFonts w:hint="eastAsia" w:ascii="仿宋" w:hAnsi="仿宋" w:eastAsia="仿宋" w:cs="仿宋"/>
                <w:color w:val="auto"/>
                <w:sz w:val="21"/>
                <w:szCs w:val="21"/>
                <w:highlight w:val="none"/>
                <w:lang w:val="en-US" w:eastAsia="zh-Hans"/>
              </w:rPr>
              <w:t>元；85</w:t>
            </w:r>
            <w:r>
              <w:rPr>
                <w:rFonts w:hint="eastAsia" w:ascii="仿宋" w:hAnsi="仿宋" w:eastAsia="仿宋" w:cs="仿宋"/>
                <w:color w:val="auto"/>
                <w:sz w:val="21"/>
                <w:szCs w:val="21"/>
                <w:highlight w:val="none"/>
                <w:lang w:val="en-US" w:eastAsia="zh-CN"/>
              </w:rPr>
              <w:t>～90（不含）</w:t>
            </w:r>
            <w:r>
              <w:rPr>
                <w:rFonts w:hint="eastAsia" w:ascii="仿宋" w:hAnsi="仿宋" w:eastAsia="仿宋" w:cs="仿宋"/>
                <w:color w:val="auto"/>
                <w:sz w:val="21"/>
                <w:szCs w:val="21"/>
                <w:highlight w:val="none"/>
                <w:lang w:val="en-US" w:eastAsia="zh-Hans"/>
              </w:rPr>
              <w:t>分扣维保服务费</w:t>
            </w:r>
            <w:r>
              <w:rPr>
                <w:rFonts w:hint="eastAsia" w:ascii="仿宋" w:hAnsi="仿宋" w:eastAsia="仿宋" w:cs="仿宋"/>
                <w:color w:val="auto"/>
                <w:sz w:val="21"/>
                <w:szCs w:val="21"/>
                <w:highlight w:val="none"/>
                <w:lang w:val="en-US" w:eastAsia="zh-CN"/>
              </w:rPr>
              <w:t>1500</w:t>
            </w:r>
            <w:r>
              <w:rPr>
                <w:rFonts w:hint="eastAsia" w:ascii="仿宋" w:hAnsi="仿宋" w:eastAsia="仿宋" w:cs="仿宋"/>
                <w:color w:val="auto"/>
                <w:sz w:val="21"/>
                <w:szCs w:val="21"/>
                <w:highlight w:val="none"/>
                <w:lang w:val="en-US" w:eastAsia="zh-Hans"/>
              </w:rPr>
              <w:t>元；80</w:t>
            </w:r>
            <w:r>
              <w:rPr>
                <w:rFonts w:hint="eastAsia" w:ascii="仿宋" w:hAnsi="仿宋" w:eastAsia="仿宋" w:cs="仿宋"/>
                <w:color w:val="auto"/>
                <w:sz w:val="21"/>
                <w:szCs w:val="21"/>
                <w:highlight w:val="none"/>
                <w:lang w:val="en-US" w:eastAsia="zh-CN"/>
              </w:rPr>
              <w:t>～85（不含）</w:t>
            </w:r>
            <w:r>
              <w:rPr>
                <w:rFonts w:hint="eastAsia" w:ascii="仿宋" w:hAnsi="仿宋" w:eastAsia="仿宋" w:cs="仿宋"/>
                <w:color w:val="auto"/>
                <w:sz w:val="21"/>
                <w:szCs w:val="21"/>
                <w:highlight w:val="none"/>
                <w:lang w:val="en-US" w:eastAsia="zh-Hans"/>
              </w:rPr>
              <w:t>分扣维保服务费</w:t>
            </w:r>
            <w:r>
              <w:rPr>
                <w:rFonts w:hint="eastAsia" w:ascii="仿宋" w:hAnsi="仿宋" w:eastAsia="仿宋" w:cs="仿宋"/>
                <w:color w:val="auto"/>
                <w:sz w:val="21"/>
                <w:szCs w:val="21"/>
                <w:highlight w:val="none"/>
                <w:lang w:val="en-US" w:eastAsia="zh-CN"/>
              </w:rPr>
              <w:t>2000</w:t>
            </w:r>
            <w:r>
              <w:rPr>
                <w:rFonts w:hint="eastAsia" w:ascii="仿宋" w:hAnsi="仿宋" w:eastAsia="仿宋" w:cs="仿宋"/>
                <w:color w:val="auto"/>
                <w:sz w:val="21"/>
                <w:szCs w:val="21"/>
                <w:highlight w:val="none"/>
                <w:lang w:val="en-US" w:eastAsia="zh-Hans"/>
              </w:rPr>
              <w:t>元；75</w:t>
            </w:r>
            <w:r>
              <w:rPr>
                <w:rFonts w:hint="eastAsia" w:ascii="仿宋" w:hAnsi="仿宋" w:eastAsia="仿宋" w:cs="仿宋"/>
                <w:color w:val="auto"/>
                <w:sz w:val="21"/>
                <w:szCs w:val="21"/>
                <w:highlight w:val="none"/>
                <w:lang w:val="en-US" w:eastAsia="zh-CN"/>
              </w:rPr>
              <w:t>～80（不含）</w:t>
            </w:r>
            <w:r>
              <w:rPr>
                <w:rFonts w:hint="eastAsia" w:ascii="仿宋" w:hAnsi="仿宋" w:eastAsia="仿宋" w:cs="仿宋"/>
                <w:color w:val="auto"/>
                <w:sz w:val="21"/>
                <w:szCs w:val="21"/>
                <w:highlight w:val="none"/>
                <w:lang w:val="en-US" w:eastAsia="zh-Hans"/>
              </w:rPr>
              <w:t>分，扣维保服务费2</w:t>
            </w:r>
            <w:r>
              <w:rPr>
                <w:rFonts w:hint="eastAsia" w:ascii="仿宋" w:hAnsi="仿宋" w:eastAsia="仿宋" w:cs="仿宋"/>
                <w:color w:val="auto"/>
                <w:sz w:val="21"/>
                <w:szCs w:val="21"/>
                <w:highlight w:val="none"/>
                <w:lang w:val="en-US" w:eastAsia="zh-CN"/>
              </w:rPr>
              <w:t>500</w:t>
            </w:r>
            <w:r>
              <w:rPr>
                <w:rFonts w:hint="eastAsia" w:ascii="仿宋" w:hAnsi="仿宋" w:eastAsia="仿宋" w:cs="仿宋"/>
                <w:color w:val="auto"/>
                <w:sz w:val="21"/>
                <w:szCs w:val="21"/>
                <w:highlight w:val="none"/>
                <w:lang w:val="en-US" w:eastAsia="zh-Hans"/>
              </w:rPr>
              <w:t>元；70</w:t>
            </w:r>
            <w:r>
              <w:rPr>
                <w:rFonts w:hint="eastAsia" w:ascii="仿宋" w:hAnsi="仿宋" w:eastAsia="仿宋" w:cs="仿宋"/>
                <w:color w:val="auto"/>
                <w:sz w:val="21"/>
                <w:szCs w:val="21"/>
                <w:highlight w:val="none"/>
                <w:lang w:val="en-US" w:eastAsia="zh-CN"/>
              </w:rPr>
              <w:t>～75（不含）</w:t>
            </w:r>
            <w:r>
              <w:rPr>
                <w:rFonts w:hint="eastAsia" w:ascii="仿宋" w:hAnsi="仿宋" w:eastAsia="仿宋" w:cs="仿宋"/>
                <w:color w:val="auto"/>
                <w:sz w:val="21"/>
                <w:szCs w:val="21"/>
                <w:highlight w:val="none"/>
                <w:lang w:val="en-US" w:eastAsia="zh-Hans"/>
              </w:rPr>
              <w:t>分扣维保费</w:t>
            </w:r>
            <w:r>
              <w:rPr>
                <w:rFonts w:hint="eastAsia" w:ascii="仿宋" w:hAnsi="仿宋" w:eastAsia="仿宋" w:cs="仿宋"/>
                <w:color w:val="auto"/>
                <w:sz w:val="21"/>
                <w:szCs w:val="21"/>
                <w:highlight w:val="none"/>
                <w:lang w:val="en-US" w:eastAsia="zh-CN"/>
              </w:rPr>
              <w:t>3000</w:t>
            </w:r>
            <w:r>
              <w:rPr>
                <w:rFonts w:hint="eastAsia" w:ascii="仿宋" w:hAnsi="仿宋" w:eastAsia="仿宋" w:cs="仿宋"/>
                <w:color w:val="auto"/>
                <w:sz w:val="21"/>
                <w:szCs w:val="21"/>
                <w:highlight w:val="none"/>
                <w:lang w:val="en-US" w:eastAsia="zh-Hans"/>
              </w:rPr>
              <w:t>元。70分以下</w:t>
            </w:r>
            <w:r>
              <w:rPr>
                <w:rFonts w:hint="eastAsia" w:ascii="仿宋" w:hAnsi="仿宋" w:eastAsia="仿宋" w:cs="仿宋"/>
                <w:color w:val="auto"/>
                <w:sz w:val="21"/>
                <w:szCs w:val="21"/>
                <w:highlight w:val="none"/>
                <w:lang w:val="en-US" w:eastAsia="zh-CN"/>
              </w:rPr>
              <w:t>，50分以上</w:t>
            </w:r>
            <w:r>
              <w:rPr>
                <w:rFonts w:hint="eastAsia" w:ascii="仿宋" w:hAnsi="仿宋" w:eastAsia="仿宋" w:cs="仿宋"/>
                <w:color w:val="auto"/>
                <w:sz w:val="21"/>
                <w:szCs w:val="21"/>
                <w:highlight w:val="none"/>
                <w:lang w:val="en-US" w:eastAsia="zh-Hans"/>
              </w:rPr>
              <w:t>扣除当季度维保费的10%，如果两个月得分70分以下</w:t>
            </w:r>
            <w:r>
              <w:rPr>
                <w:rFonts w:hint="eastAsia" w:ascii="仿宋" w:hAnsi="仿宋" w:eastAsia="仿宋" w:cs="仿宋"/>
                <w:color w:val="auto"/>
                <w:sz w:val="21"/>
                <w:szCs w:val="21"/>
                <w:highlight w:val="none"/>
                <w:lang w:val="en-US" w:eastAsia="zh-CN"/>
              </w:rPr>
              <w:t>，50分以上</w:t>
            </w:r>
            <w:r>
              <w:rPr>
                <w:rFonts w:hint="eastAsia" w:ascii="仿宋" w:hAnsi="仿宋" w:eastAsia="仿宋" w:cs="仿宋"/>
                <w:color w:val="auto"/>
                <w:sz w:val="21"/>
                <w:szCs w:val="21"/>
                <w:highlight w:val="none"/>
                <w:lang w:val="en-US" w:eastAsia="zh-Hans"/>
              </w:rPr>
              <w:t>，甲方有权单方面终止合同，并扣除年度维保费用10%；50分以下，甲方有权单方面立即终止合同，并扣除年度维保费用20%。</w:t>
            </w:r>
          </w:p>
        </w:tc>
      </w:tr>
      <w:tr w14:paraId="29C1A7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vMerge w:val="continue"/>
            <w:tcBorders>
              <w:top w:val="nil"/>
              <w:left w:val="single" w:color="000000" w:sz="4" w:space="0"/>
              <w:bottom w:val="single" w:color="000000" w:sz="4" w:space="0"/>
              <w:right w:val="single" w:color="000000" w:sz="4" w:space="0"/>
            </w:tcBorders>
          </w:tcPr>
          <w:p w14:paraId="5B6A6184">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c>
          <w:tcPr>
            <w:tcW w:w="4700" w:type="pct"/>
            <w:gridSpan w:val="4"/>
            <w:vMerge w:val="continue"/>
            <w:tcBorders>
              <w:top w:val="nil"/>
              <w:left w:val="single" w:color="000000" w:sz="4" w:space="0"/>
              <w:bottom w:val="single" w:color="000000" w:sz="4" w:space="0"/>
              <w:right w:val="single" w:color="000000" w:sz="4" w:space="0"/>
            </w:tcBorders>
          </w:tcPr>
          <w:p w14:paraId="2C490EAB">
            <w:pPr>
              <w:keepNext w:val="0"/>
              <w:keepLines w:val="0"/>
              <w:pageBreakBefore w:val="0"/>
              <w:kinsoku/>
              <w:wordWrap/>
              <w:overflowPunct/>
              <w:topLinePunct w:val="0"/>
              <w:autoSpaceDE/>
              <w:autoSpaceDN/>
              <w:bidi w:val="0"/>
              <w:snapToGrid/>
              <w:outlineLvl w:val="9"/>
              <w:rPr>
                <w:rFonts w:hint="eastAsia" w:ascii="仿宋" w:hAnsi="仿宋" w:eastAsia="仿宋" w:cs="仿宋"/>
                <w:color w:val="auto"/>
                <w:kern w:val="2"/>
                <w:sz w:val="21"/>
                <w:szCs w:val="21"/>
                <w:highlight w:val="none"/>
                <w:lang w:val="en-US" w:eastAsia="zh-CN" w:bidi="ar-SA"/>
              </w:rPr>
            </w:pPr>
          </w:p>
        </w:tc>
      </w:tr>
      <w:tr w14:paraId="710B7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FF6E4">
            <w:pPr>
              <w:keepNext w:val="0"/>
              <w:keepLines w:val="0"/>
              <w:pageBreakBefore w:val="0"/>
              <w:kinsoku/>
              <w:wordWrap/>
              <w:overflowPunct/>
              <w:topLinePunct w:val="0"/>
              <w:autoSpaceDE/>
              <w:autoSpaceDN/>
              <w:bidi w:val="0"/>
              <w:snapToGrid/>
              <w:jc w:val="left"/>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评价月份：</w:t>
            </w:r>
            <w:r>
              <w:rPr>
                <w:rFonts w:hint="eastAsia" w:ascii="仿宋" w:hAnsi="仿宋" w:eastAsia="仿宋" w:cs="仿宋"/>
                <w:color w:val="auto"/>
                <w:sz w:val="21"/>
                <w:szCs w:val="21"/>
                <w:highlight w:val="none"/>
                <w:u w:val="single"/>
                <w:lang w:val="en-US" w:eastAsia="zh-Hans"/>
              </w:rPr>
              <w:t xml:space="preserve">      </w:t>
            </w:r>
            <w:r>
              <w:rPr>
                <w:rFonts w:hint="eastAsia" w:ascii="仿宋" w:hAnsi="仿宋" w:eastAsia="仿宋" w:cs="仿宋"/>
                <w:color w:val="auto"/>
                <w:sz w:val="21"/>
                <w:szCs w:val="21"/>
                <w:highlight w:val="none"/>
                <w:lang w:val="en-US" w:eastAsia="zh-Hans"/>
              </w:rPr>
              <w:t>年</w:t>
            </w:r>
            <w:r>
              <w:rPr>
                <w:rFonts w:hint="eastAsia" w:ascii="仿宋" w:hAnsi="仿宋" w:eastAsia="仿宋" w:cs="仿宋"/>
                <w:color w:val="auto"/>
                <w:sz w:val="21"/>
                <w:szCs w:val="21"/>
                <w:highlight w:val="none"/>
                <w:u w:val="single"/>
                <w:lang w:val="en-US" w:eastAsia="zh-Hans"/>
              </w:rPr>
              <w:t xml:space="preserve">    </w:t>
            </w:r>
            <w:r>
              <w:rPr>
                <w:rFonts w:hint="eastAsia" w:ascii="仿宋" w:hAnsi="仿宋" w:eastAsia="仿宋" w:cs="仿宋"/>
                <w:color w:val="auto"/>
                <w:sz w:val="21"/>
                <w:szCs w:val="21"/>
                <w:highlight w:val="none"/>
                <w:lang w:val="en-US" w:eastAsia="zh-Hans"/>
              </w:rPr>
              <w:t>月；最终分数</w:t>
            </w:r>
            <w:r>
              <w:rPr>
                <w:rFonts w:hint="eastAsia" w:ascii="仿宋" w:hAnsi="仿宋" w:eastAsia="仿宋" w:cs="仿宋"/>
                <w:color w:val="auto"/>
                <w:sz w:val="21"/>
                <w:szCs w:val="21"/>
                <w:highlight w:val="none"/>
                <w:u w:val="single"/>
                <w:lang w:val="en-US" w:eastAsia="zh-Hans"/>
              </w:rPr>
              <w:t xml:space="preserve">      </w:t>
            </w:r>
            <w:r>
              <w:rPr>
                <w:rFonts w:hint="eastAsia" w:ascii="仿宋" w:hAnsi="仿宋" w:eastAsia="仿宋" w:cs="仿宋"/>
                <w:color w:val="auto"/>
                <w:sz w:val="21"/>
                <w:szCs w:val="21"/>
                <w:highlight w:val="none"/>
                <w:lang w:val="en-US" w:eastAsia="zh-Hans"/>
              </w:rPr>
              <w:t>分；扣罚金额</w:t>
            </w:r>
            <w:r>
              <w:rPr>
                <w:rFonts w:hint="eastAsia" w:ascii="仿宋" w:hAnsi="仿宋" w:eastAsia="仿宋" w:cs="仿宋"/>
                <w:color w:val="auto"/>
                <w:sz w:val="21"/>
                <w:szCs w:val="21"/>
                <w:highlight w:val="none"/>
                <w:u w:val="single"/>
                <w:lang w:val="en-US" w:eastAsia="zh-Hans"/>
              </w:rPr>
              <w:t xml:space="preserve">         </w:t>
            </w:r>
            <w:r>
              <w:rPr>
                <w:rFonts w:hint="eastAsia" w:ascii="仿宋" w:hAnsi="仿宋" w:eastAsia="仿宋" w:cs="仿宋"/>
                <w:color w:val="auto"/>
                <w:sz w:val="21"/>
                <w:szCs w:val="21"/>
                <w:highlight w:val="none"/>
                <w:lang w:val="en-US" w:eastAsia="zh-Hans"/>
              </w:rPr>
              <w:t>元。</w:t>
            </w:r>
          </w:p>
        </w:tc>
      </w:tr>
      <w:tr w14:paraId="1336F0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2D236">
            <w:pPr>
              <w:keepNext w:val="0"/>
              <w:keepLines w:val="0"/>
              <w:pageBreakBefore w:val="0"/>
              <w:kinsoku/>
              <w:wordWrap/>
              <w:overflowPunct/>
              <w:topLinePunct w:val="0"/>
              <w:autoSpaceDE/>
              <w:autoSpaceDN/>
              <w:bidi w:val="0"/>
              <w:snapToGrid/>
              <w:jc w:val="left"/>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甲方：</w:t>
            </w:r>
            <w:r>
              <w:rPr>
                <w:rFonts w:hint="eastAsia" w:ascii="仿宋" w:hAnsi="仿宋" w:eastAsia="仿宋" w:cs="仿宋"/>
                <w:color w:val="auto"/>
                <w:sz w:val="21"/>
                <w:szCs w:val="21"/>
                <w:highlight w:val="none"/>
                <w:lang w:val="en-US" w:eastAsia="zh-CN"/>
              </w:rPr>
              <w:t>广州医科大学附属中医医院</w:t>
            </w:r>
            <w:r>
              <w:rPr>
                <w:rFonts w:hint="eastAsia" w:ascii="仿宋" w:hAnsi="仿宋" w:eastAsia="仿宋" w:cs="仿宋"/>
                <w:color w:val="auto"/>
                <w:sz w:val="21"/>
                <w:szCs w:val="21"/>
                <w:highlight w:val="none"/>
                <w:lang w:val="en-US" w:eastAsia="zh-Hans"/>
              </w:rPr>
              <w:t xml:space="preserve">         乙方：</w:t>
            </w:r>
          </w:p>
        </w:tc>
      </w:tr>
      <w:tr w14:paraId="0D8B3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56AAB">
            <w:pPr>
              <w:keepNext w:val="0"/>
              <w:keepLines w:val="0"/>
              <w:pageBreakBefore w:val="0"/>
              <w:kinsoku/>
              <w:wordWrap/>
              <w:overflowPunct/>
              <w:topLinePunct w:val="0"/>
              <w:autoSpaceDE/>
              <w:autoSpaceDN/>
              <w:bidi w:val="0"/>
              <w:snapToGrid/>
              <w:jc w:val="left"/>
              <w:outlineLvl w:val="9"/>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签名确认：                         签名确认：</w:t>
            </w:r>
          </w:p>
        </w:tc>
      </w:tr>
    </w:tbl>
    <w:p w14:paraId="2B870A68">
      <w:pPr>
        <w:keepNext w:val="0"/>
        <w:keepLines w:val="0"/>
        <w:pageBreakBefore w:val="0"/>
        <w:kinsoku/>
        <w:wordWrap/>
        <w:overflowPunct/>
        <w:topLinePunct w:val="0"/>
        <w:autoSpaceDE/>
        <w:autoSpaceDN/>
        <w:bidi w:val="0"/>
        <w:snapToGrid/>
        <w:spacing w:line="360" w:lineRule="auto"/>
        <w:outlineLvl w:val="9"/>
        <w:rPr>
          <w:rFonts w:hint="default" w:ascii="仿宋_GB2312" w:hAnsi="宋体" w:eastAsia="仿宋_GB2312" w:cs="Times New Roman"/>
          <w:color w:val="auto"/>
          <w:kern w:val="2"/>
          <w:sz w:val="24"/>
          <w:szCs w:val="20"/>
          <w:highlight w:val="none"/>
          <w:lang w:val="en-US" w:eastAsia="zh-CN" w:bidi="ar-SA"/>
        </w:rPr>
      </w:pPr>
    </w:p>
    <w:p w14:paraId="75FD33DC">
      <w:pPr>
        <w:keepNext w:val="0"/>
        <w:keepLines w:val="0"/>
        <w:pageBreakBefore w:val="0"/>
        <w:kinsoku/>
        <w:wordWrap/>
        <w:overflowPunct/>
        <w:topLinePunct w:val="0"/>
        <w:autoSpaceDE/>
        <w:autoSpaceDN/>
        <w:bidi w:val="0"/>
        <w:snapToGrid/>
        <w:outlineLvl w:val="9"/>
        <w:rPr>
          <w:rFonts w:hint="default" w:ascii="仿宋_GB2312" w:hAnsi="宋体" w:eastAsia="仿宋_GB2312" w:cs="Times New Roman"/>
          <w:color w:val="auto"/>
          <w:kern w:val="2"/>
          <w:sz w:val="24"/>
          <w:szCs w:val="20"/>
          <w:highlight w:val="none"/>
          <w:lang w:val="en-US" w:eastAsia="zh-CN" w:bidi="ar-SA"/>
        </w:rPr>
      </w:pPr>
      <w:r>
        <w:rPr>
          <w:rFonts w:hint="default" w:ascii="仿宋_GB2312" w:hAnsi="宋体" w:eastAsia="仿宋_GB2312" w:cs="Times New Roman"/>
          <w:color w:val="auto"/>
          <w:kern w:val="2"/>
          <w:sz w:val="24"/>
          <w:szCs w:val="20"/>
          <w:highlight w:val="none"/>
          <w:lang w:val="en-US" w:eastAsia="zh-CN" w:bidi="ar-SA"/>
        </w:rPr>
        <w:br w:type="page"/>
      </w:r>
    </w:p>
    <w:p w14:paraId="4985A639">
      <w:pPr>
        <w:keepNext w:val="0"/>
        <w:keepLines w:val="0"/>
        <w:pageBreakBefore w:val="0"/>
        <w:kinsoku/>
        <w:wordWrap/>
        <w:overflowPunct/>
        <w:topLinePunct w:val="0"/>
        <w:autoSpaceDE/>
        <w:autoSpaceDN/>
        <w:bidi w:val="0"/>
        <w:snapToGrid/>
        <w:spacing w:line="360" w:lineRule="auto"/>
        <w:outlineLvl w:val="9"/>
        <w:rPr>
          <w:rFonts w:hint="default" w:ascii="仿宋_GB2312" w:hAnsi="宋体" w:eastAsia="仿宋_GB2312" w:cs="Times New Roman"/>
          <w:color w:val="auto"/>
          <w:kern w:val="2"/>
          <w:sz w:val="24"/>
          <w:szCs w:val="20"/>
          <w:highlight w:val="none"/>
          <w:lang w:val="en-US" w:eastAsia="zh-CN" w:bidi="ar-SA"/>
        </w:rPr>
      </w:pPr>
      <w:r>
        <w:rPr>
          <w:rFonts w:hint="default" w:ascii="仿宋_GB2312" w:hAnsi="宋体" w:eastAsia="仿宋_GB2312" w:cs="Times New Roman"/>
          <w:color w:val="auto"/>
          <w:kern w:val="2"/>
          <w:sz w:val="24"/>
          <w:szCs w:val="20"/>
          <w:highlight w:val="none"/>
          <w:lang w:val="en-US" w:eastAsia="zh-CN" w:bidi="ar-SA"/>
        </w:rPr>
        <w:t>附件</w:t>
      </w:r>
      <w:r>
        <w:rPr>
          <w:rFonts w:hint="eastAsia" w:ascii="仿宋_GB2312" w:hAnsi="宋体" w:eastAsia="仿宋_GB2312" w:cs="Times New Roman"/>
          <w:color w:val="auto"/>
          <w:kern w:val="2"/>
          <w:sz w:val="24"/>
          <w:szCs w:val="20"/>
          <w:highlight w:val="none"/>
          <w:lang w:val="en-US" w:eastAsia="zh-CN" w:bidi="ar-SA"/>
        </w:rPr>
        <w:t>4</w:t>
      </w:r>
      <w:r>
        <w:rPr>
          <w:rFonts w:hint="default" w:ascii="仿宋_GB2312" w:hAnsi="宋体" w:eastAsia="仿宋_GB2312" w:cs="Times New Roman"/>
          <w:color w:val="auto"/>
          <w:kern w:val="2"/>
          <w:sz w:val="24"/>
          <w:szCs w:val="20"/>
          <w:highlight w:val="none"/>
          <w:lang w:val="en-US" w:eastAsia="zh-CN" w:bidi="ar-SA"/>
        </w:rPr>
        <w:t>：电梯故障维修记录表</w:t>
      </w:r>
    </w:p>
    <w:tbl>
      <w:tblPr>
        <w:tblStyle w:val="19"/>
        <w:tblW w:w="50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4"/>
        <w:gridCol w:w="999"/>
        <w:gridCol w:w="42"/>
        <w:gridCol w:w="999"/>
        <w:gridCol w:w="7"/>
        <w:gridCol w:w="1034"/>
        <w:gridCol w:w="1041"/>
        <w:gridCol w:w="1041"/>
        <w:gridCol w:w="1043"/>
        <w:gridCol w:w="1063"/>
      </w:tblGrid>
      <w:tr w14:paraId="08C06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649" w:type="pct"/>
            <w:vAlign w:val="center"/>
          </w:tcPr>
          <w:p w14:paraId="7766CA8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梯号</w:t>
            </w:r>
          </w:p>
        </w:tc>
        <w:tc>
          <w:tcPr>
            <w:tcW w:w="623" w:type="pct"/>
            <w:gridSpan w:val="2"/>
            <w:vAlign w:val="center"/>
          </w:tcPr>
          <w:p w14:paraId="71EF0CD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时间</w:t>
            </w:r>
          </w:p>
        </w:tc>
        <w:tc>
          <w:tcPr>
            <w:tcW w:w="602" w:type="pct"/>
            <w:gridSpan w:val="2"/>
            <w:vMerge w:val="restart"/>
            <w:tcBorders>
              <w:bottom w:val="nil"/>
            </w:tcBorders>
            <w:textDirection w:val="tbRlV"/>
            <w:vAlign w:val="center"/>
          </w:tcPr>
          <w:p w14:paraId="76512A8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故障现象</w:t>
            </w:r>
          </w:p>
        </w:tc>
        <w:tc>
          <w:tcPr>
            <w:tcW w:w="3124" w:type="pct"/>
            <w:gridSpan w:val="5"/>
            <w:vMerge w:val="restart"/>
            <w:tcBorders>
              <w:bottom w:val="nil"/>
            </w:tcBorders>
            <w:vAlign w:val="center"/>
          </w:tcPr>
          <w:p w14:paraId="4FA1896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r>
      <w:tr w14:paraId="4FE7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649" w:type="pct"/>
            <w:vAlign w:val="center"/>
          </w:tcPr>
          <w:p w14:paraId="152CF3A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623" w:type="pct"/>
            <w:gridSpan w:val="2"/>
            <w:vAlign w:val="center"/>
          </w:tcPr>
          <w:p w14:paraId="21CDF9F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602" w:type="pct"/>
            <w:gridSpan w:val="2"/>
            <w:vMerge w:val="continue"/>
            <w:tcBorders>
              <w:top w:val="nil"/>
            </w:tcBorders>
            <w:textDirection w:val="tbRlV"/>
            <w:vAlign w:val="center"/>
          </w:tcPr>
          <w:p w14:paraId="4F87006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3124" w:type="pct"/>
            <w:gridSpan w:val="5"/>
            <w:vMerge w:val="continue"/>
            <w:tcBorders>
              <w:top w:val="nil"/>
            </w:tcBorders>
            <w:vAlign w:val="center"/>
          </w:tcPr>
          <w:p w14:paraId="10FC72D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r>
      <w:tr w14:paraId="17F28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649" w:type="pct"/>
            <w:textDirection w:val="tbLrV"/>
            <w:vAlign w:val="center"/>
          </w:tcPr>
          <w:p w14:paraId="52C9BC6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维修记录</w:t>
            </w:r>
          </w:p>
        </w:tc>
        <w:tc>
          <w:tcPr>
            <w:tcW w:w="4350" w:type="pct"/>
            <w:gridSpan w:val="9"/>
            <w:vAlign w:val="center"/>
          </w:tcPr>
          <w:p w14:paraId="2558A53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r>
      <w:tr w14:paraId="62E0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649" w:type="pct"/>
            <w:textDirection w:val="tbLrV"/>
            <w:vAlign w:val="center"/>
          </w:tcPr>
          <w:p w14:paraId="3E430DC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故障处理过程</w:t>
            </w:r>
          </w:p>
        </w:tc>
        <w:tc>
          <w:tcPr>
            <w:tcW w:w="4350" w:type="pct"/>
            <w:gridSpan w:val="9"/>
            <w:vAlign w:val="center"/>
          </w:tcPr>
          <w:p w14:paraId="665AB78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r>
      <w:tr w14:paraId="4CCD5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649" w:type="pct"/>
            <w:textDirection w:val="tbLrV"/>
            <w:vAlign w:val="center"/>
          </w:tcPr>
          <w:p w14:paraId="2A6016C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更换配件名称及规格</w:t>
            </w:r>
          </w:p>
        </w:tc>
        <w:tc>
          <w:tcPr>
            <w:tcW w:w="598" w:type="pct"/>
            <w:vAlign w:val="center"/>
          </w:tcPr>
          <w:p w14:paraId="5C73AA7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623" w:type="pct"/>
            <w:gridSpan w:val="2"/>
            <w:textDirection w:val="tbRlV"/>
            <w:vAlign w:val="center"/>
          </w:tcPr>
          <w:p w14:paraId="7019E68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623" w:type="pct"/>
            <w:gridSpan w:val="2"/>
            <w:textDirection w:val="tbRlV"/>
            <w:vAlign w:val="center"/>
          </w:tcPr>
          <w:p w14:paraId="7690131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623" w:type="pct"/>
            <w:textDirection w:val="tbRlV"/>
            <w:vAlign w:val="center"/>
          </w:tcPr>
          <w:p w14:paraId="00B20A7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623" w:type="pct"/>
            <w:textDirection w:val="tbRlV"/>
            <w:vAlign w:val="center"/>
          </w:tcPr>
          <w:p w14:paraId="3412861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624" w:type="pct"/>
            <w:textDirection w:val="tbRlV"/>
            <w:vAlign w:val="center"/>
          </w:tcPr>
          <w:p w14:paraId="288A657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c>
          <w:tcPr>
            <w:tcW w:w="632" w:type="pct"/>
            <w:textDirection w:val="tbRlV"/>
            <w:vAlign w:val="center"/>
          </w:tcPr>
          <w:p w14:paraId="229D2A1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r>
      <w:tr w14:paraId="1DE1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649" w:type="pct"/>
            <w:textDirection w:val="tbRlV"/>
            <w:vAlign w:val="center"/>
          </w:tcPr>
          <w:p w14:paraId="419755A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签名</w:t>
            </w:r>
          </w:p>
        </w:tc>
        <w:tc>
          <w:tcPr>
            <w:tcW w:w="4350" w:type="pct"/>
            <w:gridSpan w:val="9"/>
            <w:vAlign w:val="center"/>
          </w:tcPr>
          <w:p w14:paraId="7248A6E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仿宋" w:hAnsi="仿宋" w:eastAsia="仿宋" w:cs="仿宋"/>
                <w:color w:val="auto"/>
                <w:spacing w:val="0"/>
                <w:kern w:val="2"/>
                <w:sz w:val="21"/>
                <w:szCs w:val="21"/>
                <w:highlight w:val="none"/>
                <w:lang w:val="en-US" w:eastAsia="zh-CN" w:bidi="ar-SA"/>
              </w:rPr>
            </w:pPr>
          </w:p>
        </w:tc>
      </w:tr>
    </w:tbl>
    <w:p w14:paraId="15DD3943">
      <w:pPr>
        <w:keepNext w:val="0"/>
        <w:keepLines w:val="0"/>
        <w:pageBreakBefore w:val="0"/>
        <w:kinsoku/>
        <w:wordWrap/>
        <w:overflowPunct/>
        <w:topLinePunct w:val="0"/>
        <w:autoSpaceDE/>
        <w:autoSpaceDN/>
        <w:bidi w:val="0"/>
        <w:snapToGrid/>
        <w:spacing w:line="360" w:lineRule="auto"/>
        <w:outlineLvl w:val="9"/>
        <w:rPr>
          <w:rFonts w:hint="default" w:ascii="仿宋_GB2312" w:hAnsi="宋体" w:eastAsia="仿宋_GB2312" w:cs="Times New Roman"/>
          <w:color w:val="auto"/>
          <w:kern w:val="2"/>
          <w:sz w:val="24"/>
          <w:szCs w:val="20"/>
          <w:highlight w:val="none"/>
          <w:lang w:val="en-US" w:eastAsia="zh-CN" w:bidi="ar-SA"/>
        </w:rPr>
      </w:pPr>
    </w:p>
    <w:p w14:paraId="0D1BAAD4">
      <w:pPr>
        <w:keepNext w:val="0"/>
        <w:keepLines w:val="0"/>
        <w:pageBreakBefore w:val="0"/>
        <w:kinsoku/>
        <w:wordWrap/>
        <w:overflowPunct/>
        <w:topLinePunct w:val="0"/>
        <w:autoSpaceDE/>
        <w:autoSpaceDN/>
        <w:bidi w:val="0"/>
        <w:snapToGrid/>
        <w:outlineLvl w:val="9"/>
        <w:rPr>
          <w:rFonts w:ascii="Times New Roman" w:hAnsi="Times New Roman" w:eastAsia="仿宋_GB2312" w:cs="Times New Roman"/>
          <w:color w:val="auto"/>
          <w:kern w:val="2"/>
          <w:sz w:val="32"/>
          <w:szCs w:val="20"/>
          <w:highlight w:val="none"/>
          <w:lang w:val="en-US" w:eastAsia="zh-CN" w:bidi="ar-SA"/>
        </w:rPr>
      </w:pPr>
    </w:p>
    <w:p w14:paraId="52D1D560">
      <w:pPr>
        <w:keepNext w:val="0"/>
        <w:keepLines w:val="0"/>
        <w:pageBreakBefore w:val="0"/>
        <w:kinsoku/>
        <w:wordWrap/>
        <w:overflowPunct/>
        <w:topLinePunct w:val="0"/>
        <w:autoSpaceDE/>
        <w:autoSpaceDN/>
        <w:bidi w:val="0"/>
        <w:snapToGrid/>
        <w:outlineLvl w:val="9"/>
        <w:rPr>
          <w:b/>
          <w:color w:val="auto"/>
          <w:sz w:val="36"/>
          <w:highlight w:val="none"/>
        </w:rPr>
      </w:pPr>
      <w:r>
        <w:rPr>
          <w:b/>
          <w:color w:val="auto"/>
          <w:sz w:val="36"/>
          <w:highlight w:val="none"/>
        </w:rPr>
        <w:br w:type="page"/>
      </w:r>
    </w:p>
    <w:p w14:paraId="20E066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公文小标宋" w:hAnsi="方正公文小标宋" w:eastAsia="方正公文小标宋" w:cs="方正公文小标宋"/>
          <w:b w:val="0"/>
          <w:bCs/>
          <w:color w:val="auto"/>
          <w:kern w:val="2"/>
          <w:sz w:val="40"/>
          <w:szCs w:val="40"/>
          <w:highlight w:val="none"/>
          <w:lang w:val="en-US" w:eastAsia="zh-CN" w:bidi="ar-SA"/>
        </w:rPr>
      </w:pPr>
      <w:r>
        <w:rPr>
          <w:rFonts w:hint="eastAsia" w:ascii="方正公文小标宋" w:hAnsi="方正公文小标宋" w:eastAsia="方正公文小标宋" w:cs="方正公文小标宋"/>
          <w:b w:val="0"/>
          <w:bCs/>
          <w:color w:val="auto"/>
          <w:kern w:val="2"/>
          <w:sz w:val="40"/>
          <w:szCs w:val="40"/>
          <w:highlight w:val="none"/>
          <w:lang w:val="en-US" w:eastAsia="zh-CN" w:bidi="ar-SA"/>
        </w:rPr>
        <w:t>广州医科大学附属中医医院医院与</w:t>
      </w:r>
    </w:p>
    <w:p w14:paraId="22474E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公文小标宋" w:hAnsi="方正公文小标宋" w:eastAsia="方正公文小标宋" w:cs="方正公文小标宋"/>
          <w:b w:val="0"/>
          <w:bCs/>
          <w:color w:val="auto"/>
          <w:kern w:val="2"/>
          <w:sz w:val="40"/>
          <w:szCs w:val="40"/>
          <w:highlight w:val="none"/>
          <w:lang w:val="en-US" w:eastAsia="zh-CN" w:bidi="ar-SA"/>
        </w:rPr>
      </w:pPr>
      <w:r>
        <w:rPr>
          <w:rFonts w:hint="eastAsia" w:ascii="方正公文小标宋" w:hAnsi="方正公文小标宋" w:eastAsia="方正公文小标宋" w:cs="方正公文小标宋"/>
          <w:b w:val="0"/>
          <w:bCs/>
          <w:color w:val="auto"/>
          <w:kern w:val="2"/>
          <w:sz w:val="40"/>
          <w:szCs w:val="40"/>
          <w:highlight w:val="none"/>
          <w:lang w:val="en-US" w:eastAsia="zh-CN" w:bidi="ar-SA"/>
        </w:rPr>
        <w:t>第三方单位安全生产责任书</w:t>
      </w:r>
    </w:p>
    <w:p w14:paraId="3CC15AE3">
      <w:pPr>
        <w:keepNext w:val="0"/>
        <w:keepLines w:val="0"/>
        <w:pageBreakBefore w:val="0"/>
        <w:kinsoku/>
        <w:wordWrap/>
        <w:overflowPunct/>
        <w:topLinePunct w:val="0"/>
        <w:autoSpaceDE/>
        <w:autoSpaceDN/>
        <w:bidi w:val="0"/>
        <w:snapToGrid/>
        <w:spacing w:line="560" w:lineRule="exact"/>
        <w:ind w:firstLine="640" w:firstLineChars="200"/>
        <w:outlineLvl w:val="9"/>
        <w:rPr>
          <w:rFonts w:ascii="Calibri" w:hAnsi="Calibri" w:eastAsia="宋体" w:cs="Times New Roman"/>
          <w:color w:val="auto"/>
          <w:kern w:val="2"/>
          <w:sz w:val="32"/>
          <w:szCs w:val="32"/>
          <w:highlight w:val="none"/>
          <w:lang w:val="en-US" w:eastAsia="zh-CN" w:bidi="ar-SA"/>
        </w:rPr>
      </w:pPr>
    </w:p>
    <w:p w14:paraId="0E966E50">
      <w:pPr>
        <w:keepNext w:val="0"/>
        <w:keepLines w:val="0"/>
        <w:pageBreakBefore w:val="0"/>
        <w:kinsoku/>
        <w:wordWrap/>
        <w:overflowPunct/>
        <w:topLinePunct w:val="0"/>
        <w:autoSpaceDE/>
        <w:autoSpaceDN/>
        <w:bidi w:val="0"/>
        <w:snapToGrid/>
        <w:spacing w:line="560" w:lineRule="exact"/>
        <w:ind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甲方：广州医科大学附属中医医院</w:t>
      </w:r>
    </w:p>
    <w:p w14:paraId="04281EDD">
      <w:pPr>
        <w:keepNext w:val="0"/>
        <w:keepLines w:val="0"/>
        <w:pageBreakBefore w:val="0"/>
        <w:kinsoku/>
        <w:wordWrap/>
        <w:overflowPunct/>
        <w:topLinePunct w:val="0"/>
        <w:autoSpaceDE/>
        <w:autoSpaceDN/>
        <w:bidi w:val="0"/>
        <w:snapToGrid/>
        <w:spacing w:line="560" w:lineRule="exact"/>
        <w:ind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地址：广州市天河区天坤三路95号</w:t>
      </w:r>
    </w:p>
    <w:p w14:paraId="622A1CD2">
      <w:pPr>
        <w:keepNext w:val="0"/>
        <w:keepLines w:val="0"/>
        <w:pageBreakBefore w:val="0"/>
        <w:kinsoku/>
        <w:wordWrap/>
        <w:overflowPunct/>
        <w:topLinePunct w:val="0"/>
        <w:autoSpaceDE/>
        <w:autoSpaceDN/>
        <w:bidi w:val="0"/>
        <w:snapToGrid/>
        <w:spacing w:line="560" w:lineRule="exact"/>
        <w:ind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法定代表人：于林</w:t>
      </w:r>
    </w:p>
    <w:p w14:paraId="16622B93">
      <w:pPr>
        <w:keepNext w:val="0"/>
        <w:keepLines w:val="0"/>
        <w:pageBreakBefore w:val="0"/>
        <w:kinsoku/>
        <w:wordWrap/>
        <w:overflowPunct/>
        <w:topLinePunct w:val="0"/>
        <w:autoSpaceDE/>
        <w:autoSpaceDN/>
        <w:bidi w:val="0"/>
        <w:snapToGrid/>
        <w:spacing w:line="560" w:lineRule="exact"/>
        <w:ind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乙方：</w:t>
      </w:r>
    </w:p>
    <w:p w14:paraId="07ED8DE4">
      <w:pPr>
        <w:keepNext w:val="0"/>
        <w:keepLines w:val="0"/>
        <w:pageBreakBefore w:val="0"/>
        <w:kinsoku/>
        <w:wordWrap/>
        <w:overflowPunct/>
        <w:topLinePunct w:val="0"/>
        <w:autoSpaceDE/>
        <w:autoSpaceDN/>
        <w:bidi w:val="0"/>
        <w:snapToGrid/>
        <w:spacing w:line="560" w:lineRule="exact"/>
        <w:ind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地址：</w:t>
      </w:r>
    </w:p>
    <w:p w14:paraId="58D060FC">
      <w:pPr>
        <w:keepNext w:val="0"/>
        <w:keepLines w:val="0"/>
        <w:pageBreakBefore w:val="0"/>
        <w:kinsoku/>
        <w:wordWrap/>
        <w:overflowPunct/>
        <w:topLinePunct w:val="0"/>
        <w:autoSpaceDE/>
        <w:autoSpaceDN/>
        <w:bidi w:val="0"/>
        <w:snapToGrid/>
        <w:spacing w:line="560" w:lineRule="exact"/>
        <w:ind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法定代表人：</w:t>
      </w:r>
    </w:p>
    <w:p w14:paraId="78C10DEB">
      <w:pPr>
        <w:keepNext w:val="0"/>
        <w:keepLines w:val="0"/>
        <w:pageBreakBefore w:val="0"/>
        <w:kinsoku/>
        <w:wordWrap/>
        <w:overflowPunct/>
        <w:topLinePunct w:val="0"/>
        <w:autoSpaceDE/>
        <w:autoSpaceDN/>
        <w:bidi w:val="0"/>
        <w:snapToGrid/>
        <w:spacing w:line="560" w:lineRule="exact"/>
        <w:ind w:firstLine="0" w:firstLineChars="0"/>
        <w:outlineLvl w:val="9"/>
        <w:rPr>
          <w:rFonts w:hint="eastAsia" w:ascii="宋体" w:hAnsi="宋体" w:eastAsia="宋体" w:cs="宋体"/>
          <w:color w:val="auto"/>
          <w:kern w:val="2"/>
          <w:sz w:val="28"/>
          <w:szCs w:val="28"/>
          <w:highlight w:val="none"/>
          <w:lang w:val="en-US" w:eastAsia="zh-CN" w:bidi="ar-SA"/>
        </w:rPr>
      </w:pPr>
    </w:p>
    <w:p w14:paraId="483439AA">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为了加强医院的安全生产管理，保障医院的正常运营和患者、员工的生命财产安全，根据国家相关法律法规和医院的安全生产管理制度，经甲乙双方商议，就乙方在甲方内的服务活动中的安全生产责任达成如下协议：</w:t>
      </w:r>
    </w:p>
    <w:p w14:paraId="248C5452">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一、责任目标</w:t>
      </w:r>
    </w:p>
    <w:p w14:paraId="3794164A">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1.乙方在服务期间内，杜绝发生因自身原因导致的重伤及以上人身伤亡事故、重大设备事故、重大火灾事故、重大环境污染事故和重大公共卫生事件。轻伤及未遂事故小于等于1起。</w:t>
      </w:r>
    </w:p>
    <w:p w14:paraId="0018DB2B">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2.乙方应确保其服务活动符合国家和地方有关安全生产的法律法规、标准规范以及医院的安全生产管理制度。</w:t>
      </w:r>
    </w:p>
    <w:p w14:paraId="119318E8">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3.乙方应建立健全安全生产管理体系，配备足够的安全生产管理人员，制定并落实安全生产责任制和各项安全生产规章制度、操作规程。</w:t>
      </w:r>
    </w:p>
    <w:p w14:paraId="1C60036E">
      <w:pPr>
        <w:keepNext w:val="0"/>
        <w:keepLines w:val="0"/>
        <w:pageBreakBefore w:val="0"/>
        <w:kinsoku/>
        <w:wordWrap/>
        <w:overflowPunct/>
        <w:topLinePunct w:val="0"/>
        <w:autoSpaceDE/>
        <w:autoSpaceDN/>
        <w:bidi w:val="0"/>
        <w:snapToGrid/>
        <w:spacing w:line="560" w:lineRule="exact"/>
        <w:ind w:firstLine="560" w:firstLineChars="200"/>
        <w:jc w:val="left"/>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4.乙方应确保其服务工作人员和服务活动符合</w:t>
      </w:r>
      <w:r>
        <w:rPr>
          <w:rFonts w:hint="eastAsia" w:ascii="宋体" w:hAnsi="宋体" w:eastAsia="宋体" w:cs="宋体"/>
          <w:b w:val="0"/>
          <w:bCs w:val="0"/>
          <w:color w:val="auto"/>
          <w:kern w:val="2"/>
          <w:sz w:val="28"/>
          <w:szCs w:val="28"/>
          <w:highlight w:val="none"/>
          <w:lang w:val="en-US" w:eastAsia="zh-CN" w:bidi="ar-SA"/>
        </w:rPr>
        <w:t>医院综治维稳、消防安全和安全生产管理办法及有关安全生产的各项制度规定，服从相应管理。</w:t>
      </w:r>
    </w:p>
    <w:p w14:paraId="5A1D120F">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二、甲方的权利和义务</w:t>
      </w:r>
    </w:p>
    <w:p w14:paraId="38A86954">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1.有权对乙方的安全生产工作进行监督、检查和指导，对乙方存在的安全隐患提出整改要求，并督促乙方及时整改。</w:t>
      </w:r>
    </w:p>
    <w:p w14:paraId="7F325001">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2.向乙方提供与安全生产相关的信息和资料，协助乙方了解医院的安全生产环境和要求。</w:t>
      </w:r>
    </w:p>
    <w:p w14:paraId="48FA4E7A">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3.对乙方在安全生产工作中表现突出的，给予表彰和奖励；对乙方违反安全生产规定的行为，按照医院的相关制度进行处理。</w:t>
      </w:r>
    </w:p>
    <w:p w14:paraId="4CA4EAA6">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三、乙方的权利和义务</w:t>
      </w:r>
    </w:p>
    <w:p w14:paraId="2B99AB58">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1.有权要求甲方提供必要的安全生产工作条件和支持。</w:t>
      </w:r>
    </w:p>
    <w:p w14:paraId="1D9B7C1D">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2.严格遵守国家和地方有关安全生产的法律法规、标准规范以及医院的安全生产管理制度，接受甲方的监督、检查和指导。</w:t>
      </w:r>
    </w:p>
    <w:p w14:paraId="25AD9545">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3.制定并实施本单位的安全生产工作计划和措施，定期组织安全生产培训和演练，提高员工的安全意识和应急处置能力。</w:t>
      </w:r>
    </w:p>
    <w:p w14:paraId="7D1669EE">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4.对本单位的安全生产工作进行全面自查，及时发现并消除安全隐患。对甲方提出的整改要求，应按时完成整改，并将整改情况书面报告甲方。</w:t>
      </w:r>
    </w:p>
    <w:p w14:paraId="53D99AD0">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5.负责本单位员工的劳动保护，为员工提供符合国家标准的劳动防护用品，并督促员工正确使用。</w:t>
      </w:r>
    </w:p>
    <w:p w14:paraId="64CEE6FE">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6.发生安全生产事故时，应立即启动应急预案，采取有效措施组织救援，防止事故扩大，并及时报告甲方。同时，应按照“四不放过”原则，对事故进行调查处理，分析原因，总结教训，落实整改措施。</w:t>
      </w:r>
    </w:p>
    <w:p w14:paraId="5FA326FC">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四、违约责任</w:t>
      </w:r>
    </w:p>
    <w:p w14:paraId="314EE2DD">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1.若乙方未履行本责任书规定的安全生产责任，导致发生安全生产事故，应承担相应的法律责任和经济赔偿责任。</w:t>
      </w:r>
    </w:p>
    <w:p w14:paraId="5EAD7A5D">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2.若乙方违反本责任书的约定，甲方有权终止与乙方的合作合同，并要求乙方承担由此给甲方造成的损失。</w:t>
      </w:r>
    </w:p>
    <w:p w14:paraId="298F1623">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3.发生一般安全事故，乙方除承担事故的全部损失外，需向甲方支付合同标的的5%作为违约金。</w:t>
      </w:r>
    </w:p>
    <w:p w14:paraId="75D72238">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4.发生较大安全事故，乙方除承担事故的全部损失外，需向甲方支付合同标的的10%作为违约金。</w:t>
      </w:r>
    </w:p>
    <w:p w14:paraId="03AEE90A">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5.发生重大及以上安全事故，乙方除承担事故的全部损失外，需向甲方支付合同标的的20%作为违约金，同时甲方有权永久终止合作合同。</w:t>
      </w:r>
    </w:p>
    <w:p w14:paraId="3CACA982">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6.就乙方提供的服务内容，若甲方、政府部门等组织安全检查中发现任一起违规、违法现象，乙方需承担甲方由此遭受的相应损失，且乙方需向甲方支付合同标的的5%作为违约金。</w:t>
      </w:r>
    </w:p>
    <w:p w14:paraId="5A29ADC0">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7.发生轻伤或恶性未遂事故，不按规定处理的或隐瞒不报、事后补报的,乙方除承担事故的全部损失外，需向甲方支付合同标的的5%作为违约金。</w:t>
      </w:r>
    </w:p>
    <w:p w14:paraId="1DAED0BF">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8.经甲方核查并提出整改意见后，乙方仍未按要求整改的，乙方应向甲方支付合同标的的5%作为违约金，同时甲方有权永久终止合作合同。</w:t>
      </w:r>
    </w:p>
    <w:p w14:paraId="149932DF">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五、附则</w:t>
      </w:r>
    </w:p>
    <w:p w14:paraId="07EC24F6">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1.本责任书自双方签字（盖章）之日起生效，有效期自乙方与本院签订施工、服务合同之日起至乙方履行完毕相关合同、协议约定的所有责任和义务止。</w:t>
      </w:r>
    </w:p>
    <w:p w14:paraId="39F84D91">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2.本责任书一式两份，甲乙双方各执一份。</w:t>
      </w:r>
    </w:p>
    <w:p w14:paraId="7880A948">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p>
    <w:p w14:paraId="15504A94">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甲方（盖章）：____________________</w:t>
      </w:r>
    </w:p>
    <w:p w14:paraId="13C17826">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法定代表人（签字）：____________________</w:t>
      </w:r>
    </w:p>
    <w:p w14:paraId="7FDB0818">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签订日期：______年____月____日</w:t>
      </w:r>
    </w:p>
    <w:p w14:paraId="751698C0">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p>
    <w:p w14:paraId="7291A188">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乙方（盖章）：____________________</w:t>
      </w:r>
    </w:p>
    <w:p w14:paraId="05F046A7">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法定代表人（签字）：____________________</w:t>
      </w:r>
    </w:p>
    <w:p w14:paraId="32B883D4">
      <w:pPr>
        <w:keepNext w:val="0"/>
        <w:keepLines w:val="0"/>
        <w:pageBreakBefore w:val="0"/>
        <w:kinsoku/>
        <w:wordWrap/>
        <w:overflowPunct/>
        <w:topLinePunct w:val="0"/>
        <w:autoSpaceDE/>
        <w:autoSpaceDN/>
        <w:bidi w:val="0"/>
        <w:snapToGrid/>
        <w:spacing w:line="560" w:lineRule="exact"/>
        <w:ind w:firstLine="560" w:firstLineChars="20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签订日期：______年____月____日</w:t>
      </w:r>
    </w:p>
    <w:p w14:paraId="7125DE4C">
      <w:pPr>
        <w:keepNext w:val="0"/>
        <w:keepLines w:val="0"/>
        <w:pageBreakBefore w:val="0"/>
        <w:kinsoku/>
        <w:wordWrap/>
        <w:overflowPunct/>
        <w:topLinePunct w:val="0"/>
        <w:autoSpaceDE/>
        <w:autoSpaceDN/>
        <w:bidi w:val="0"/>
        <w:snapToGrid/>
        <w:spacing w:line="560" w:lineRule="exact"/>
        <w:ind w:firstLine="640" w:firstLineChars="200"/>
        <w:outlineLvl w:val="9"/>
        <w:rPr>
          <w:rFonts w:ascii="Calibri" w:hAnsi="Calibri" w:eastAsia="宋体" w:cs="Times New Roman"/>
          <w:color w:val="auto"/>
          <w:kern w:val="2"/>
          <w:sz w:val="32"/>
          <w:szCs w:val="32"/>
          <w:highlight w:val="none"/>
          <w:lang w:val="en-US" w:eastAsia="zh-CN" w:bidi="ar-SA"/>
        </w:rPr>
      </w:pPr>
    </w:p>
    <w:p w14:paraId="152B573D">
      <w:pPr>
        <w:keepNext w:val="0"/>
        <w:keepLines w:val="0"/>
        <w:pageBreakBefore w:val="0"/>
        <w:kinsoku/>
        <w:wordWrap/>
        <w:overflowPunct/>
        <w:topLinePunct w:val="0"/>
        <w:autoSpaceDE/>
        <w:autoSpaceDN/>
        <w:bidi w:val="0"/>
        <w:snapToGrid/>
        <w:spacing w:line="560" w:lineRule="exact"/>
        <w:ind w:firstLine="640" w:firstLineChars="200"/>
        <w:outlineLvl w:val="9"/>
        <w:rPr>
          <w:rFonts w:ascii="Calibri" w:hAnsi="Calibri" w:eastAsia="宋体" w:cs="Times New Roman"/>
          <w:color w:val="auto"/>
          <w:kern w:val="2"/>
          <w:sz w:val="32"/>
          <w:szCs w:val="32"/>
          <w:highlight w:val="none"/>
          <w:lang w:val="en-US" w:eastAsia="zh-CN" w:bidi="ar-SA"/>
        </w:rPr>
      </w:pPr>
    </w:p>
    <w:p w14:paraId="3F810DB0">
      <w:pPr>
        <w:keepNext w:val="0"/>
        <w:keepLines w:val="0"/>
        <w:pageBreakBefore w:val="0"/>
        <w:kinsoku/>
        <w:wordWrap/>
        <w:overflowPunct/>
        <w:topLinePunct w:val="0"/>
        <w:autoSpaceDE/>
        <w:autoSpaceDN/>
        <w:bidi w:val="0"/>
        <w:snapToGrid/>
        <w:spacing w:line="560" w:lineRule="exact"/>
        <w:ind w:firstLine="640" w:firstLineChars="200"/>
        <w:outlineLvl w:val="9"/>
        <w:rPr>
          <w:rFonts w:ascii="Calibri" w:hAnsi="Calibri" w:eastAsia="宋体" w:cs="Times New Roman"/>
          <w:color w:val="auto"/>
          <w:kern w:val="2"/>
          <w:sz w:val="32"/>
          <w:szCs w:val="32"/>
          <w:highlight w:val="none"/>
          <w:lang w:val="en-US" w:eastAsia="zh-CN" w:bidi="ar-SA"/>
        </w:rPr>
      </w:pPr>
    </w:p>
    <w:p w14:paraId="33D70654">
      <w:pPr>
        <w:keepNext w:val="0"/>
        <w:keepLines w:val="0"/>
        <w:pageBreakBefore w:val="0"/>
        <w:kinsoku/>
        <w:wordWrap/>
        <w:overflowPunct/>
        <w:topLinePunct w:val="0"/>
        <w:autoSpaceDE/>
        <w:autoSpaceDN/>
        <w:bidi w:val="0"/>
        <w:snapToGrid/>
        <w:spacing w:line="560" w:lineRule="exact"/>
        <w:ind w:firstLine="640" w:firstLineChars="200"/>
        <w:outlineLvl w:val="9"/>
        <w:rPr>
          <w:rFonts w:ascii="Calibri" w:hAnsi="Calibri" w:eastAsia="宋体" w:cs="Times New Roman"/>
          <w:color w:val="auto"/>
          <w:kern w:val="2"/>
          <w:sz w:val="32"/>
          <w:szCs w:val="32"/>
          <w:highlight w:val="none"/>
          <w:lang w:val="en-US" w:eastAsia="zh-CN" w:bidi="ar-SA"/>
        </w:rPr>
      </w:pPr>
    </w:p>
    <w:p w14:paraId="2ED6874C">
      <w:pPr>
        <w:keepNext w:val="0"/>
        <w:keepLines w:val="0"/>
        <w:pageBreakBefore w:val="0"/>
        <w:kinsoku/>
        <w:wordWrap/>
        <w:overflowPunct/>
        <w:topLinePunct w:val="0"/>
        <w:autoSpaceDE/>
        <w:autoSpaceDN/>
        <w:bidi w:val="0"/>
        <w:snapToGrid/>
        <w:outlineLvl w:val="9"/>
        <w:rPr>
          <w:rFonts w:hint="eastAsia" w:ascii="宋体" w:hAnsi="宋体" w:eastAsia="宋体" w:cs="宋体"/>
          <w:b w:val="0"/>
          <w:bCs/>
          <w:color w:val="auto"/>
          <w:kern w:val="2"/>
          <w:sz w:val="44"/>
          <w:szCs w:val="44"/>
          <w:highlight w:val="none"/>
          <w:lang w:val="en-US" w:eastAsia="zh-CN" w:bidi="ar-SA"/>
        </w:rPr>
      </w:pPr>
      <w:r>
        <w:rPr>
          <w:rFonts w:hint="eastAsia" w:ascii="宋体" w:hAnsi="宋体" w:eastAsia="宋体" w:cs="宋体"/>
          <w:b w:val="0"/>
          <w:bCs/>
          <w:color w:val="auto"/>
          <w:kern w:val="2"/>
          <w:sz w:val="44"/>
          <w:szCs w:val="44"/>
          <w:highlight w:val="none"/>
          <w:lang w:val="en-US" w:eastAsia="zh-CN" w:bidi="ar-SA"/>
        </w:rPr>
        <w:br w:type="page"/>
      </w:r>
    </w:p>
    <w:p w14:paraId="6B638B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公文小标宋" w:hAnsi="方正公文小标宋" w:eastAsia="方正公文小标宋" w:cs="方正公文小标宋"/>
          <w:b w:val="0"/>
          <w:bCs/>
          <w:color w:val="auto"/>
          <w:kern w:val="2"/>
          <w:sz w:val="40"/>
          <w:szCs w:val="40"/>
          <w:highlight w:val="none"/>
          <w:lang w:val="en-US" w:eastAsia="zh-CN" w:bidi="ar-SA"/>
        </w:rPr>
      </w:pPr>
      <w:r>
        <w:rPr>
          <w:rFonts w:hint="eastAsia" w:ascii="方正公文小标宋" w:hAnsi="方正公文小标宋" w:eastAsia="方正公文小标宋" w:cs="方正公文小标宋"/>
          <w:b w:val="0"/>
          <w:bCs/>
          <w:color w:val="auto"/>
          <w:kern w:val="2"/>
          <w:sz w:val="40"/>
          <w:szCs w:val="40"/>
          <w:highlight w:val="none"/>
          <w:lang w:val="en-US" w:eastAsia="zh-CN" w:bidi="ar-SA"/>
        </w:rPr>
        <w:t>廉洁协议书</w:t>
      </w:r>
    </w:p>
    <w:p w14:paraId="2CD8C528">
      <w:pPr>
        <w:keepNext w:val="0"/>
        <w:keepLines w:val="0"/>
        <w:pageBreakBefore w:val="0"/>
        <w:widowControl/>
        <w:kinsoku/>
        <w:wordWrap/>
        <w:overflowPunct/>
        <w:topLinePunct w:val="0"/>
        <w:autoSpaceDE/>
        <w:autoSpaceDN/>
        <w:bidi w:val="0"/>
        <w:snapToGrid/>
        <w:spacing w:line="500" w:lineRule="exact"/>
        <w:ind w:firstLine="560" w:firstLineChars="200"/>
        <w:jc w:val="left"/>
        <w:outlineLvl w:val="9"/>
        <w:rPr>
          <w:rFonts w:ascii="华文楷体" w:hAnsi="华文楷体" w:eastAsia="华文楷体" w:cs="Times New Roman"/>
          <w:color w:val="auto"/>
          <w:sz w:val="28"/>
          <w:szCs w:val="28"/>
          <w:highlight w:val="none"/>
          <w:lang w:val="en-US" w:eastAsia="zh-CN" w:bidi="ar-SA"/>
        </w:rPr>
      </w:pPr>
    </w:p>
    <w:p w14:paraId="05DDE23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116207EB">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第一条  甲、乙双方的共同责任</w:t>
      </w:r>
    </w:p>
    <w:p w14:paraId="05D86039">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（一）严格遵守国家关于市场准入、招标投标、工程建设、物资采购等市场经济活动的法律法规、政策以及廉洁建设规定。</w:t>
      </w:r>
    </w:p>
    <w:p w14:paraId="7D91BAA7">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（二）严格履行合同约定，自觉承担合同义务。</w:t>
      </w:r>
    </w:p>
    <w:p w14:paraId="685B816E">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（三）业务活动必须坚持公平、公正、公开和诚实守信的原则（除法律法规另有规定者外），不得为获取不正当利益，损害国家、集体和对方利益，不违反招标投标、工程建设管理、物资采购等方面的规章制度。</w:t>
      </w:r>
    </w:p>
    <w:p w14:paraId="42D3358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（四）建立健全自我制约制度，开展廉洁教育，公布举报电话，监督并认真查处违法违纪行为。</w:t>
      </w:r>
    </w:p>
    <w:p w14:paraId="0E6342FF">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（五）发现对方在业务活动中有违规、违纪、违法行为的，应及时提醒对方，情节严重的，应向有关纪检部门举报。</w:t>
      </w:r>
    </w:p>
    <w:p w14:paraId="7E757A68">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第二条  甲方的责任</w:t>
      </w:r>
    </w:p>
    <w:p w14:paraId="4DA7C171">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甲方相关工作人员，在业务活动的事前、事中、事后，应遵守以下规定：</w:t>
      </w:r>
    </w:p>
    <w:p w14:paraId="3373E459">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（一）贯彻落实广州医科大学附属中医医院有关党风廉政建设责任制及廉洁从业的规定，建立企业诚信档案； </w:t>
      </w:r>
    </w:p>
    <w:p w14:paraId="2ECDA7C4">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（二）按照公平、公正、公开和诚实守信的原则开展各项业务活动，为乙方提供公平的竞争环境与平台； </w:t>
      </w:r>
    </w:p>
    <w:p w14:paraId="29F9EF6C">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（三）不准向乙方泄露涉及有关业务活动的秘密；</w:t>
      </w:r>
    </w:p>
    <w:p w14:paraId="7B734258">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（四）不准向乙方和相关单位索要或接受回扣、红包、礼金、购物卡、有价证券、贵重物品和好处费、感谢费等； </w:t>
      </w:r>
    </w:p>
    <w:p w14:paraId="77755A1C">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（五）不准在乙方和相关单位报销任何应由甲方或个人支付的费用；</w:t>
      </w:r>
    </w:p>
    <w:p w14:paraId="6D9963D1">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（六）不准要求、暗示或接受乙方和相关单位为个人装修住房、婚丧嫁娶、配偶子女的工作安排以及境内外旅游等提供方便；</w:t>
      </w:r>
    </w:p>
    <w:p w14:paraId="578EC80A">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（七）不准向乙方介绍配偶、子女、亲属参与与甲方有关的经济活动，不得以任何理由向乙方和相关单位推荐第三方单位；</w:t>
      </w:r>
    </w:p>
    <w:p w14:paraId="2FDB56FF">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（八）不准参与影响相关工作正常和公正开展的其他活动；</w:t>
      </w:r>
    </w:p>
    <w:p w14:paraId="12145A14">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（九）不准违反《中共中央纪委关于严格禁止利用职务上的便利谋取不正当利益的若干规定》的内容。</w:t>
      </w:r>
    </w:p>
    <w:p w14:paraId="0CEEAF1A">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第三条  乙方的责任</w:t>
      </w:r>
    </w:p>
    <w:p w14:paraId="5734A6F7">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在与甲方业务交往过程中，按照有关法律法规和程序开展工作，严格执行国家的有关方针、政策，并遵守以下规定：</w:t>
      </w:r>
    </w:p>
    <w:p w14:paraId="55FF0D74">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（一）不准以任何理由为甲方和相关单位报销应由对方或个人支付的费用；</w:t>
      </w:r>
    </w:p>
    <w:p w14:paraId="04C50C04">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（二）不准以任何理由向甲方负责人及其工作人员赠送回扣、红包、礼金、购物卡、有价证券、贵重物品和好处费、感谢费等；</w:t>
      </w:r>
    </w:p>
    <w:p w14:paraId="04D4CC5D">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（三）不准以任何理由为甲方、与甲方相关的单位或个人提供高消费宴请及娱乐活动；</w:t>
      </w:r>
    </w:p>
    <w:p w14:paraId="104F2742">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（四）不准以任何理由为甲方、与甲方相关的单位或个人购置或提供通信工具、交通工具和高档办公用品；</w:t>
      </w:r>
    </w:p>
    <w:p w14:paraId="22F463B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（五）不准接受或暗示为甲方、与甲方相关的单位或个人装修住房、婚丧嫁娶、配偶子女的工作安排以及境内外旅游等提供方便；</w:t>
      </w:r>
    </w:p>
    <w:p w14:paraId="084C883E">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（六）不准以谋取非正当利益为目的，擅自与甲方工作人员就业务问题进行私下商谈或者达成利益默契；</w:t>
      </w:r>
    </w:p>
    <w:p w14:paraId="54130333">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（七）发现甲方工作人员有违反本廉洁协议书规定的，应向甲方单位举报。</w:t>
      </w:r>
    </w:p>
    <w:p w14:paraId="544B88BE">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第四条  相关责任</w:t>
      </w:r>
    </w:p>
    <w:p w14:paraId="41ED0982">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46B75F6E">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二）乙方违反本廉洁协议书第一、三条规定的，根据国家和广州医科大学附属中医医院招投标等有关规定，对乙方进行处理。涉嫌犯罪的，移送司法机关依法追究刑事责任；给甲方单位造成经济损失的，应依法予以赔偿。</w:t>
      </w:r>
    </w:p>
    <w:p w14:paraId="475C8D4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三）乙方违反本廉洁协议书第一、三条规定，发生行贿行为，经政府有关执纪执法部门或甲方纪检机构查证属实，甲方根据国家和广州医科大学附属中医医院有关规定，视情节轻重对乙方实施一定期限的市场禁入。</w:t>
      </w:r>
    </w:p>
    <w:p w14:paraId="3CC9547C">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第五条  协议书生效及法律效力</w:t>
      </w:r>
    </w:p>
    <w:p w14:paraId="072E38F9">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（一）本廉洁协议书作为合同的附件，与合同具有同等法律效力，经双方签字盖章后立即生效。</w:t>
      </w:r>
    </w:p>
    <w:p w14:paraId="2E7F32DF">
      <w:pPr>
        <w:keepNext w:val="0"/>
        <w:keepLines w:val="0"/>
        <w:pageBreakBefore w:val="0"/>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（二）除非甲乙双方另行签订新的廉洁协议书，否则本廉洁协议书在甲方与乙方存在业务关系期间均对双方产生约束力。</w:t>
      </w:r>
    </w:p>
    <w:p w14:paraId="16D49150">
      <w:pPr>
        <w:keepNext w:val="0"/>
        <w:keepLines w:val="0"/>
        <w:pageBreakBefore w:val="0"/>
        <w:tabs>
          <w:tab w:val="left" w:pos="3465"/>
        </w:tabs>
        <w:kinsoku/>
        <w:wordWrap/>
        <w:overflowPunct/>
        <w:topLinePunct w:val="0"/>
        <w:autoSpaceDE/>
        <w:autoSpaceDN/>
        <w:bidi w:val="0"/>
        <w:adjustRightInd/>
        <w:snapToGrid/>
        <w:spacing w:line="360" w:lineRule="auto"/>
        <w:ind w:left="0" w:leftChars="0" w:firstLine="560" w:firstLineChars="200"/>
        <w:jc w:val="both"/>
        <w:textAlignment w:val="auto"/>
        <w:outlineLvl w:val="9"/>
        <w:rPr>
          <w:rFonts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甲乙双方确认在签订本廉洁协议书前已仔细阅读条款内容，甲乙双方对本廉洁协议书所产生的法律责任已清楚知悉并承诺遵守。</w:t>
      </w:r>
    </w:p>
    <w:p w14:paraId="3755AA31">
      <w:pPr>
        <w:keepNext w:val="0"/>
        <w:keepLines w:val="0"/>
        <w:pageBreakBefore w:val="0"/>
        <w:tabs>
          <w:tab w:val="left" w:pos="3465"/>
        </w:tabs>
        <w:kinsoku/>
        <w:wordWrap/>
        <w:overflowPunct/>
        <w:topLinePunct w:val="0"/>
        <w:autoSpaceDE/>
        <w:autoSpaceDN/>
        <w:bidi w:val="0"/>
        <w:snapToGrid/>
        <w:spacing w:after="120" w:line="560" w:lineRule="exact"/>
        <w:ind w:left="0" w:leftChars="0" w:firstLine="0" w:firstLineChars="0"/>
        <w:outlineLvl w:val="9"/>
        <w:rPr>
          <w:rFonts w:ascii="仿宋" w:hAnsi="仿宋" w:eastAsia="仿宋" w:cs="仿宋"/>
          <w:color w:val="auto"/>
          <w:sz w:val="32"/>
          <w:szCs w:val="32"/>
          <w:highlight w:val="none"/>
          <w:lang w:val="en-US" w:eastAsia="zh-CN" w:bidi="ar-SA"/>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261"/>
        <w:gridCol w:w="4261"/>
      </w:tblGrid>
      <w:tr w14:paraId="1B5E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61" w:type="dxa"/>
            <w:tcBorders>
              <w:tl2br w:val="nil"/>
              <w:tr2bl w:val="nil"/>
            </w:tcBorders>
          </w:tcPr>
          <w:p w14:paraId="03CF48EC">
            <w:pPr>
              <w:keepNext w:val="0"/>
              <w:keepLines w:val="0"/>
              <w:pageBreakBefore w:val="0"/>
              <w:tabs>
                <w:tab w:val="left" w:pos="3465"/>
              </w:tabs>
              <w:kinsoku/>
              <w:wordWrap/>
              <w:overflowPunct/>
              <w:topLinePunct w:val="0"/>
              <w:autoSpaceDE/>
              <w:autoSpaceDN/>
              <w:bidi w:val="0"/>
              <w:snapToGrid/>
              <w:spacing w:after="120" w:line="560" w:lineRule="exact"/>
              <w:outlineLvl w:val="9"/>
              <w:rPr>
                <w:rFonts w:ascii="仿宋" w:hAnsi="仿宋" w:eastAsia="仿宋" w:cs="仿宋"/>
                <w:color w:val="auto"/>
                <w:sz w:val="32"/>
                <w:szCs w:val="32"/>
                <w:highlight w:val="none"/>
                <w:vertAlign w:val="baseline"/>
                <w:lang w:val="en-US" w:eastAsia="zh-CN" w:bidi="ar-SA"/>
              </w:rPr>
            </w:pPr>
            <w:r>
              <w:rPr>
                <w:rFonts w:hint="eastAsia" w:ascii="仿宋" w:hAnsi="仿宋" w:eastAsia="仿宋" w:cs="仿宋"/>
                <w:color w:val="auto"/>
                <w:sz w:val="28"/>
                <w:szCs w:val="28"/>
                <w:highlight w:val="none"/>
                <w:lang w:val="en-US" w:eastAsia="zh-CN" w:bidi="ar-SA"/>
              </w:rPr>
              <w:t>甲方：</w:t>
            </w:r>
          </w:p>
        </w:tc>
        <w:tc>
          <w:tcPr>
            <w:tcW w:w="4261" w:type="dxa"/>
            <w:tcBorders>
              <w:tl2br w:val="nil"/>
              <w:tr2bl w:val="nil"/>
            </w:tcBorders>
          </w:tcPr>
          <w:p w14:paraId="3842FB4A">
            <w:pPr>
              <w:keepNext w:val="0"/>
              <w:keepLines w:val="0"/>
              <w:pageBreakBefore w:val="0"/>
              <w:tabs>
                <w:tab w:val="left" w:pos="3465"/>
              </w:tabs>
              <w:kinsoku/>
              <w:wordWrap/>
              <w:overflowPunct/>
              <w:topLinePunct w:val="0"/>
              <w:autoSpaceDE/>
              <w:autoSpaceDN/>
              <w:bidi w:val="0"/>
              <w:snapToGrid/>
              <w:spacing w:after="120" w:line="560" w:lineRule="exact"/>
              <w:outlineLvl w:val="9"/>
              <w:rPr>
                <w:rFonts w:ascii="仿宋" w:hAnsi="仿宋" w:eastAsia="仿宋" w:cs="仿宋"/>
                <w:color w:val="auto"/>
                <w:sz w:val="32"/>
                <w:szCs w:val="32"/>
                <w:highlight w:val="none"/>
                <w:vertAlign w:val="baseline"/>
                <w:lang w:val="en-US" w:eastAsia="zh-CN" w:bidi="ar-SA"/>
              </w:rPr>
            </w:pPr>
            <w:r>
              <w:rPr>
                <w:rFonts w:hint="eastAsia" w:ascii="仿宋" w:hAnsi="仿宋" w:eastAsia="仿宋" w:cs="仿宋"/>
                <w:color w:val="auto"/>
                <w:sz w:val="28"/>
                <w:szCs w:val="28"/>
                <w:highlight w:val="none"/>
                <w:lang w:val="en-US" w:eastAsia="zh-CN" w:bidi="ar-SA"/>
              </w:rPr>
              <w:t>乙方：</w:t>
            </w:r>
          </w:p>
        </w:tc>
      </w:tr>
      <w:tr w14:paraId="15F5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61" w:type="dxa"/>
            <w:tcBorders>
              <w:tl2br w:val="nil"/>
              <w:tr2bl w:val="nil"/>
            </w:tcBorders>
          </w:tcPr>
          <w:p w14:paraId="354477C7">
            <w:pPr>
              <w:keepNext w:val="0"/>
              <w:keepLines w:val="0"/>
              <w:pageBreakBefore w:val="0"/>
              <w:tabs>
                <w:tab w:val="left" w:pos="3465"/>
              </w:tabs>
              <w:kinsoku/>
              <w:wordWrap/>
              <w:overflowPunct/>
              <w:topLinePunct w:val="0"/>
              <w:autoSpaceDE/>
              <w:autoSpaceDN/>
              <w:bidi w:val="0"/>
              <w:snapToGrid/>
              <w:spacing w:after="120" w:line="560" w:lineRule="exact"/>
              <w:outlineLvl w:val="9"/>
              <w:rPr>
                <w:rFonts w:ascii="仿宋" w:hAnsi="仿宋" w:eastAsia="仿宋" w:cs="仿宋"/>
                <w:color w:val="auto"/>
                <w:sz w:val="32"/>
                <w:szCs w:val="32"/>
                <w:highlight w:val="none"/>
                <w:vertAlign w:val="baseline"/>
                <w:lang w:val="en-US" w:eastAsia="zh-CN" w:bidi="ar-SA"/>
              </w:rPr>
            </w:pPr>
            <w:r>
              <w:rPr>
                <w:rFonts w:hint="eastAsia" w:ascii="仿宋" w:hAnsi="仿宋" w:eastAsia="仿宋" w:cs="仿宋"/>
                <w:color w:val="auto"/>
                <w:sz w:val="28"/>
                <w:szCs w:val="28"/>
                <w:highlight w:val="none"/>
                <w:lang w:val="en-US" w:eastAsia="zh-CN" w:bidi="ar-SA"/>
              </w:rPr>
              <w:t>法定代表人：</w:t>
            </w:r>
          </w:p>
        </w:tc>
        <w:tc>
          <w:tcPr>
            <w:tcW w:w="4261" w:type="dxa"/>
            <w:tcBorders>
              <w:tl2br w:val="nil"/>
              <w:tr2bl w:val="nil"/>
            </w:tcBorders>
          </w:tcPr>
          <w:p w14:paraId="67E258B8">
            <w:pPr>
              <w:keepNext w:val="0"/>
              <w:keepLines w:val="0"/>
              <w:pageBreakBefore w:val="0"/>
              <w:tabs>
                <w:tab w:val="left" w:pos="3465"/>
              </w:tabs>
              <w:kinsoku/>
              <w:wordWrap/>
              <w:overflowPunct/>
              <w:topLinePunct w:val="0"/>
              <w:autoSpaceDE/>
              <w:autoSpaceDN/>
              <w:bidi w:val="0"/>
              <w:snapToGrid/>
              <w:spacing w:after="120" w:line="560" w:lineRule="exact"/>
              <w:outlineLvl w:val="9"/>
              <w:rPr>
                <w:rFonts w:ascii="仿宋" w:hAnsi="仿宋" w:eastAsia="仿宋" w:cs="仿宋"/>
                <w:color w:val="auto"/>
                <w:sz w:val="32"/>
                <w:szCs w:val="32"/>
                <w:highlight w:val="none"/>
                <w:vertAlign w:val="baseline"/>
                <w:lang w:val="en-US" w:eastAsia="zh-CN" w:bidi="ar-SA"/>
              </w:rPr>
            </w:pPr>
            <w:r>
              <w:rPr>
                <w:rFonts w:hint="eastAsia" w:ascii="仿宋" w:hAnsi="仿宋" w:eastAsia="仿宋" w:cs="仿宋"/>
                <w:color w:val="auto"/>
                <w:sz w:val="28"/>
                <w:szCs w:val="28"/>
                <w:highlight w:val="none"/>
                <w:lang w:val="en-US" w:eastAsia="zh-CN" w:bidi="ar-SA"/>
              </w:rPr>
              <w:t>乙方：</w:t>
            </w:r>
          </w:p>
        </w:tc>
      </w:tr>
      <w:tr w14:paraId="0137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61" w:type="dxa"/>
            <w:tcBorders>
              <w:tl2br w:val="nil"/>
              <w:tr2bl w:val="nil"/>
            </w:tcBorders>
          </w:tcPr>
          <w:p w14:paraId="660A6D5B">
            <w:pPr>
              <w:keepNext w:val="0"/>
              <w:keepLines w:val="0"/>
              <w:pageBreakBefore w:val="0"/>
              <w:tabs>
                <w:tab w:val="left" w:pos="3465"/>
              </w:tabs>
              <w:kinsoku/>
              <w:wordWrap/>
              <w:overflowPunct/>
              <w:topLinePunct w:val="0"/>
              <w:autoSpaceDE/>
              <w:autoSpaceDN/>
              <w:bidi w:val="0"/>
              <w:snapToGrid/>
              <w:spacing w:after="120" w:line="560" w:lineRule="exact"/>
              <w:outlineLvl w:val="9"/>
              <w:rPr>
                <w:rFonts w:ascii="仿宋" w:hAnsi="仿宋" w:eastAsia="仿宋" w:cs="仿宋"/>
                <w:color w:val="auto"/>
                <w:sz w:val="32"/>
                <w:szCs w:val="32"/>
                <w:highlight w:val="none"/>
                <w:vertAlign w:val="baseline"/>
                <w:lang w:val="en-US" w:eastAsia="zh-CN" w:bidi="ar-SA"/>
              </w:rPr>
            </w:pPr>
            <w:r>
              <w:rPr>
                <w:rFonts w:hint="eastAsia" w:ascii="仿宋" w:hAnsi="仿宋" w:eastAsia="仿宋" w:cs="仿宋"/>
                <w:color w:val="auto"/>
                <w:sz w:val="28"/>
                <w:szCs w:val="28"/>
                <w:highlight w:val="none"/>
                <w:lang w:val="en-US" w:eastAsia="zh-CN" w:bidi="ar-SA"/>
              </w:rPr>
              <w:t xml:space="preserve">   年   月   日</w:t>
            </w:r>
          </w:p>
        </w:tc>
        <w:tc>
          <w:tcPr>
            <w:tcW w:w="4261" w:type="dxa"/>
            <w:tcBorders>
              <w:tl2br w:val="nil"/>
              <w:tr2bl w:val="nil"/>
            </w:tcBorders>
          </w:tcPr>
          <w:p w14:paraId="19FA7865">
            <w:pPr>
              <w:keepNext w:val="0"/>
              <w:keepLines w:val="0"/>
              <w:pageBreakBefore w:val="0"/>
              <w:tabs>
                <w:tab w:val="left" w:pos="3465"/>
              </w:tabs>
              <w:kinsoku/>
              <w:wordWrap/>
              <w:overflowPunct/>
              <w:topLinePunct w:val="0"/>
              <w:autoSpaceDE/>
              <w:autoSpaceDN/>
              <w:bidi w:val="0"/>
              <w:snapToGrid/>
              <w:spacing w:after="120" w:line="560" w:lineRule="exact"/>
              <w:outlineLvl w:val="9"/>
              <w:rPr>
                <w:rFonts w:ascii="仿宋" w:hAnsi="仿宋" w:eastAsia="仿宋" w:cs="仿宋"/>
                <w:color w:val="auto"/>
                <w:sz w:val="32"/>
                <w:szCs w:val="32"/>
                <w:highlight w:val="none"/>
                <w:vertAlign w:val="baseline"/>
                <w:lang w:val="en-US" w:eastAsia="zh-CN" w:bidi="ar-SA"/>
              </w:rPr>
            </w:pPr>
            <w:r>
              <w:rPr>
                <w:rFonts w:hint="eastAsia" w:ascii="仿宋" w:hAnsi="仿宋" w:eastAsia="仿宋" w:cs="仿宋"/>
                <w:color w:val="auto"/>
                <w:sz w:val="28"/>
                <w:szCs w:val="28"/>
                <w:highlight w:val="none"/>
                <w:lang w:val="en-US" w:eastAsia="zh-CN" w:bidi="ar-SA"/>
              </w:rPr>
              <w:t xml:space="preserve">   年   月   日</w:t>
            </w:r>
          </w:p>
        </w:tc>
      </w:tr>
    </w:tbl>
    <w:p w14:paraId="72BE112D">
      <w:pPr>
        <w:keepNext w:val="0"/>
        <w:keepLines w:val="0"/>
        <w:pageBreakBefore w:val="0"/>
        <w:widowControl/>
        <w:kinsoku/>
        <w:wordWrap/>
        <w:overflowPunct/>
        <w:topLinePunct w:val="0"/>
        <w:autoSpaceDE/>
        <w:autoSpaceDN/>
        <w:bidi w:val="0"/>
        <w:snapToGrid/>
        <w:jc w:val="left"/>
        <w:outlineLvl w:val="9"/>
        <w:rPr>
          <w:rFonts w:hint="eastAsia"/>
          <w:color w:val="auto"/>
          <w:highlight w:val="none"/>
          <w:lang w:val="en-US" w:eastAsia="zh-Han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D9D7FA-40FC-4FEE-8B83-4AC6ACF84A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77FDCD-6E37-48DC-A5EB-40FEB592603F}"/>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3D613B62-2179-4DE5-8699-4037D6791092}"/>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ºúìå">
    <w:altName w:val="微软雅黑"/>
    <w:panose1 w:val="00000000000000000000"/>
    <w:charset w:val="00"/>
    <w:family w:val="auto"/>
    <w:pitch w:val="default"/>
    <w:sig w:usb0="00000000" w:usb1="00000000" w:usb2="00000000" w:usb3="00000000" w:csb0="00040001" w:csb1="00000000"/>
  </w:font>
  <w:font w:name="ËÎÌå">
    <w:altName w:val="Times New Roman"/>
    <w:panose1 w:val="00000000000000000000"/>
    <w:charset w:val="00"/>
    <w:family w:val="auto"/>
    <w:pitch w:val="default"/>
    <w:sig w:usb0="00000000" w:usb1="00000000" w:usb2="00000000" w:usb3="00000000" w:csb0="00040001" w:csb1="00000000"/>
  </w:font>
  <w:font w:name="宋体-18030">
    <w:altName w:val="微软雅黑"/>
    <w:panose1 w:val="00000000000000000000"/>
    <w:charset w:val="00"/>
    <w:family w:val="roman"/>
    <w:pitch w:val="default"/>
    <w:sig w:usb0="00000000" w:usb1="00000000" w:usb2="00000000" w:usb3="00000000" w:csb0="00040001" w:csb1="00000000"/>
  </w:font>
  <w:font w:name="_x000B_">
    <w:altName w:val="微软雅黑"/>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1055DB15-21D7-4776-A1D4-2A21415F276A}"/>
  </w:font>
  <w:font w:name="华文楷体">
    <w:altName w:val="宋体"/>
    <w:panose1 w:val="02010600040101010101"/>
    <w:charset w:val="86"/>
    <w:family w:val="auto"/>
    <w:pitch w:val="default"/>
    <w:sig w:usb0="00000000" w:usb1="00000000" w:usb2="00000000" w:usb3="00000000" w:csb0="0004009F" w:csb1="DFD70000"/>
    <w:embedRegular r:id="rId5" w:fontKey="{A43CBD71-1A58-4422-92B2-877A113E8F06}"/>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NDc4NTk1MWYzYjc4ODQ5NmRkMmIxOTkzYjkxYmYifQ=="/>
  </w:docVars>
  <w:rsids>
    <w:rsidRoot w:val="53B52B8D"/>
    <w:rsid w:val="004C15E4"/>
    <w:rsid w:val="011C626C"/>
    <w:rsid w:val="02052CB3"/>
    <w:rsid w:val="050D4849"/>
    <w:rsid w:val="054134AD"/>
    <w:rsid w:val="06F91096"/>
    <w:rsid w:val="072B0FB7"/>
    <w:rsid w:val="09183192"/>
    <w:rsid w:val="0EA6126D"/>
    <w:rsid w:val="0EB954EF"/>
    <w:rsid w:val="11252F1A"/>
    <w:rsid w:val="12D024C3"/>
    <w:rsid w:val="14603C2A"/>
    <w:rsid w:val="177F50ED"/>
    <w:rsid w:val="18BF4AE3"/>
    <w:rsid w:val="1AC83294"/>
    <w:rsid w:val="1B57312E"/>
    <w:rsid w:val="1BCD0437"/>
    <w:rsid w:val="1D261354"/>
    <w:rsid w:val="1D912BF4"/>
    <w:rsid w:val="1DED098F"/>
    <w:rsid w:val="1F3930F1"/>
    <w:rsid w:val="1F97497D"/>
    <w:rsid w:val="1FE31D23"/>
    <w:rsid w:val="22C545DC"/>
    <w:rsid w:val="23706277"/>
    <w:rsid w:val="23D36A5D"/>
    <w:rsid w:val="24A26904"/>
    <w:rsid w:val="27E47234"/>
    <w:rsid w:val="27FF17D0"/>
    <w:rsid w:val="292C49EE"/>
    <w:rsid w:val="29310A1E"/>
    <w:rsid w:val="2AA135B9"/>
    <w:rsid w:val="2BE07F1E"/>
    <w:rsid w:val="2FFF01BD"/>
    <w:rsid w:val="312E32CE"/>
    <w:rsid w:val="327E65C2"/>
    <w:rsid w:val="33694A91"/>
    <w:rsid w:val="34346425"/>
    <w:rsid w:val="352C5D76"/>
    <w:rsid w:val="360762D6"/>
    <w:rsid w:val="36B97ADD"/>
    <w:rsid w:val="38804D57"/>
    <w:rsid w:val="3A9F4499"/>
    <w:rsid w:val="3D520F49"/>
    <w:rsid w:val="3D9942F2"/>
    <w:rsid w:val="3DFF3C2D"/>
    <w:rsid w:val="3E4949D0"/>
    <w:rsid w:val="3E7B2EDB"/>
    <w:rsid w:val="3F0A13A8"/>
    <w:rsid w:val="476D46F8"/>
    <w:rsid w:val="4A070E34"/>
    <w:rsid w:val="4A7302EA"/>
    <w:rsid w:val="4B5D6832"/>
    <w:rsid w:val="4B755458"/>
    <w:rsid w:val="4B7A73E4"/>
    <w:rsid w:val="4B9C1A50"/>
    <w:rsid w:val="4CA37E85"/>
    <w:rsid w:val="4CA64BF6"/>
    <w:rsid w:val="4CE10030"/>
    <w:rsid w:val="4D626B15"/>
    <w:rsid w:val="50711FDD"/>
    <w:rsid w:val="50F87581"/>
    <w:rsid w:val="51F577C4"/>
    <w:rsid w:val="523A58EB"/>
    <w:rsid w:val="53B52B8D"/>
    <w:rsid w:val="54A37966"/>
    <w:rsid w:val="550F4D1E"/>
    <w:rsid w:val="55225C55"/>
    <w:rsid w:val="55A07087"/>
    <w:rsid w:val="55EF286D"/>
    <w:rsid w:val="56CA5D86"/>
    <w:rsid w:val="58E42D1D"/>
    <w:rsid w:val="58E912B8"/>
    <w:rsid w:val="59890D66"/>
    <w:rsid w:val="5ADA7E9F"/>
    <w:rsid w:val="5B2B24A8"/>
    <w:rsid w:val="5B2D7FCE"/>
    <w:rsid w:val="5C9C18B0"/>
    <w:rsid w:val="5DB91684"/>
    <w:rsid w:val="5F01547F"/>
    <w:rsid w:val="609F6996"/>
    <w:rsid w:val="64D8451F"/>
    <w:rsid w:val="66B540A5"/>
    <w:rsid w:val="6753313D"/>
    <w:rsid w:val="67C43A69"/>
    <w:rsid w:val="68262975"/>
    <w:rsid w:val="686314D3"/>
    <w:rsid w:val="68F24605"/>
    <w:rsid w:val="6A4E17FE"/>
    <w:rsid w:val="6C3E2E1D"/>
    <w:rsid w:val="6D2D3E5E"/>
    <w:rsid w:val="6D4D4BB1"/>
    <w:rsid w:val="6D745F31"/>
    <w:rsid w:val="6ECF16BF"/>
    <w:rsid w:val="6FA6433B"/>
    <w:rsid w:val="6FF95298"/>
    <w:rsid w:val="70D435E9"/>
    <w:rsid w:val="716F6ACD"/>
    <w:rsid w:val="724C3766"/>
    <w:rsid w:val="72CC6117"/>
    <w:rsid w:val="73E334C8"/>
    <w:rsid w:val="74744A68"/>
    <w:rsid w:val="74CD7CDC"/>
    <w:rsid w:val="76602D57"/>
    <w:rsid w:val="76EE0376"/>
    <w:rsid w:val="77456AE1"/>
    <w:rsid w:val="778E5E41"/>
    <w:rsid w:val="77F79321"/>
    <w:rsid w:val="79484868"/>
    <w:rsid w:val="7A895E2A"/>
    <w:rsid w:val="7B4D4FB6"/>
    <w:rsid w:val="7B6365BF"/>
    <w:rsid w:val="7C5B753B"/>
    <w:rsid w:val="7E10135E"/>
    <w:rsid w:val="7E2D0162"/>
    <w:rsid w:val="7F1D255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18"/>
      <w:szCs w:val="18"/>
      <w:lang w:val="en-US" w:eastAsia="en-US" w:bidi="ar-SA"/>
    </w:rPr>
  </w:style>
  <w:style w:type="paragraph" w:styleId="7">
    <w:name w:val="Body Text Indent"/>
    <w:basedOn w:val="1"/>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1">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0"/>
    <w:rPr>
      <w:color w:val="0000FF"/>
      <w:u w:val="single"/>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31"/>
    <w:basedOn w:val="14"/>
    <w:qFormat/>
    <w:uiPriority w:val="0"/>
    <w:rPr>
      <w:rFonts w:hint="eastAsia" w:ascii="仿宋" w:hAnsi="仿宋" w:eastAsia="仿宋" w:cs="仿宋"/>
      <w:color w:val="000000"/>
      <w:sz w:val="20"/>
      <w:szCs w:val="20"/>
      <w:u w:val="none"/>
    </w:rPr>
  </w:style>
  <w:style w:type="character" w:customStyle="1" w:styleId="22">
    <w:name w:val="font41"/>
    <w:basedOn w:val="14"/>
    <w:qFormat/>
    <w:uiPriority w:val="0"/>
    <w:rPr>
      <w:rFonts w:hint="eastAsia" w:ascii="仿宋" w:hAnsi="仿宋" w:eastAsia="仿宋" w:cs="仿宋"/>
      <w:color w:val="000000"/>
      <w:sz w:val="22"/>
      <w:szCs w:val="22"/>
      <w:u w:val="none"/>
    </w:rPr>
  </w:style>
  <w:style w:type="character" w:customStyle="1" w:styleId="23">
    <w:name w:val="font61"/>
    <w:basedOn w:val="14"/>
    <w:qFormat/>
    <w:uiPriority w:val="0"/>
    <w:rPr>
      <w:rFonts w:hint="eastAsia" w:ascii="仿宋" w:hAnsi="仿宋" w:eastAsia="仿宋" w:cs="仿宋"/>
      <w:color w:val="000000"/>
      <w:sz w:val="22"/>
      <w:szCs w:val="22"/>
      <w:u w:val="none"/>
    </w:rPr>
  </w:style>
  <w:style w:type="character" w:customStyle="1" w:styleId="24">
    <w:name w:val="font51"/>
    <w:basedOn w:val="14"/>
    <w:qFormat/>
    <w:uiPriority w:val="0"/>
    <w:rPr>
      <w:rFonts w:hint="eastAsia" w:ascii="仿宋" w:hAnsi="仿宋" w:eastAsia="仿宋" w:cs="仿宋"/>
      <w:color w:val="000000"/>
      <w:sz w:val="24"/>
      <w:szCs w:val="24"/>
      <w:u w:val="none"/>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2648</Words>
  <Characters>3170</Characters>
  <Lines>0</Lines>
  <Paragraphs>0</Paragraphs>
  <TotalTime>16</TotalTime>
  <ScaleCrop>false</ScaleCrop>
  <LinksUpToDate>false</LinksUpToDate>
  <CharactersWithSpaces>3203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xys</cp:lastModifiedBy>
  <dcterms:modified xsi:type="dcterms:W3CDTF">2025-11-27T10:12:41Z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eyJoZGlkIjoiOWE1ZmRiZWM5NWM4NjU3Yzc5YWE3OGQzOTQzNDhmMGEiLCJ1c2VySWQiOiIxNDExODc1ODE1In0=</vt:lpwstr>
  </property>
  <property fmtid="{D5CDD505-2E9C-101B-9397-08002B2CF9AE}" pid="4" name="ICV">
    <vt:lpwstr>87C79562D4E342DF8F9EF3A5E5B1956E_13</vt:lpwstr>
  </property>
</Properties>
</file>