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440701-2026-00130</w:t>
      </w:r>
    </w:p>
    <w:p>
      <w:pPr>
        <w:pStyle w:val="null3"/>
        <w:jc w:val="center"/>
        <w:outlineLvl w:val="3"/>
      </w:pPr>
      <w:r>
        <w:rPr>
          <w:sz w:val="24"/>
          <w:b/>
        </w:rPr>
        <w:t>采购项目编号：</w:t>
      </w:r>
      <w:r>
        <w:rPr>
          <w:sz w:val="24"/>
          <w:b/>
        </w:rPr>
        <w:t>0724-2631Z1970809</w:t>
      </w:r>
    </w:p>
    <w:p>
      <w:pPr>
        <w:pStyle w:val="null3"/>
        <w:jc w:val="center"/>
        <w:outlineLvl w:val="3"/>
      </w:pPr>
      <w:r>
        <w:rPr>
          <w:sz w:val="24"/>
          <w:b/>
        </w:rPr>
        <w:t>项目名称：</w:t>
      </w:r>
      <w:r>
        <w:rPr>
          <w:sz w:val="24"/>
          <w:b/>
        </w:rPr>
        <w:t>江门市中心医院三重四极杆液相色谱串联质谱系统采购项目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江门市中心医院三重四极杆液相色谱串联质谱系统采购项目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江门市中心医院三重四极杆液相色谱串联质谱系统采购项目</w:t>
      </w:r>
    </w:p>
    <w:p>
      <w:pPr>
        <w:pStyle w:val="null3"/>
        <w:ind w:firstLine="480"/>
      </w:pPr>
      <w:r>
        <w:rPr/>
        <w:t>采购计划编号：</w:t>
      </w:r>
      <w:r>
        <w:rPr/>
        <w:t>440701-2026-00130</w:t>
      </w:r>
    </w:p>
    <w:p>
      <w:pPr>
        <w:pStyle w:val="null3"/>
        <w:ind w:firstLine="480"/>
      </w:pPr>
      <w:r>
        <w:rPr/>
        <w:t>采购项目编号：</w:t>
      </w:r>
      <w:r>
        <w:rPr/>
        <w:t>0724-2631Z1970809</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采购包1(三重四极杆液相色谱串联质谱系统):</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质谱仪</w:t>
            </w:r>
          </w:p>
        </w:tc>
        <w:tc>
          <w:tcPr>
            <w:tcW w:type="dxa" w:w="2136"/>
          </w:tcPr>
          <w:p>
            <w:pPr>
              <w:pStyle w:val="null3"/>
            </w:pPr>
            <w:r>
              <w:rPr/>
              <w:t>三重四极杆液相色谱串联质谱系统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3）具有良好的商业信誉和健全的财务会计制度：提供2024-2025年任意一年的财务状况报告或基本开户行出具的资信证明或《资格条件承诺函》（详见招标公告附件）。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采购包1（三重四极杆液相色谱串联质谱系统）：</w:t>
      </w:r>
      <w:r>
        <w:rPr/>
        <w:t>本采购包不专门面向中小企业采购。</w:t>
      </w:r>
    </w:p>
    <w:p>
      <w:pPr>
        <w:pStyle w:val="null3"/>
        <w:outlineLvl w:val="3"/>
      </w:pPr>
      <w:r>
        <w:rPr>
          <w:sz w:val="24"/>
          <w:b/>
        </w:rPr>
        <w:t>3.本项目特定的资格要求：</w:t>
      </w:r>
    </w:p>
    <w:p>
      <w:pPr>
        <w:pStyle w:val="null3"/>
      </w:pPr>
      <w:r>
        <w:rPr/>
        <w:t>采购包1（三重四极杆液相色谱串联质谱系统）：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p>
      <w:pPr>
        <w:pStyle w:val="null3"/>
      </w:pPr>
      <w:r>
        <w:rPr/>
        <w:t>3)（满足以下任一条件即可）：【适用于投标人为所投产品经营企业】①所投产品为第三类医疗器械，须具有《医疗器械经营许可证》；②所投产品为第二类医疗器械，须具有《第二类医疗器械经营备案凭证》或承诺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w:t>
      </w:r>
    </w:p>
    <w:p>
      <w:pPr>
        <w:pStyle w:val="null3"/>
        <w:outlineLvl w:val="3"/>
      </w:pPr>
      <w:r>
        <w:rPr>
          <w:sz w:val="24"/>
          <w:b/>
        </w:rPr>
        <w:t xml:space="preserve"> 3.项目联系方式</w:t>
      </w:r>
    </w:p>
    <w:p>
      <w:pPr>
        <w:pStyle w:val="null3"/>
        <w:ind w:firstLine="480"/>
      </w:pPr>
      <w:r>
        <w:rPr/>
        <w:t xml:space="preserve"> 项目联系人：</w:t>
      </w:r>
      <w:r>
        <w:rPr/>
        <w:t>黎安翘、薛业生</w:t>
      </w:r>
    </w:p>
    <w:p>
      <w:pPr>
        <w:pStyle w:val="null3"/>
        <w:ind w:firstLine="480"/>
      </w:pPr>
      <w:r>
        <w:rPr/>
        <w:t xml:space="preserve"> 电话：</w:t>
      </w:r>
      <w:r>
        <w:rPr/>
        <w:t>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540"/>
        <w:tblBorders>
          <w:top w:val="none" w:color="000000" w:sz="4"/>
          <w:left w:val="none" w:color="000000" w:sz="4"/>
          <w:bottom w:val="none" w:color="000000" w:sz="4"/>
          <w:right w:val="none" w:color="000000" w:sz="4"/>
          <w:insideH w:val="none"/>
          <w:insideV w:val="none"/>
        </w:tblBorders>
      </w:tblPr>
      <w:tblGrid>
        <w:gridCol w:w="4851"/>
        <w:gridCol w:w="1029"/>
        <w:gridCol w:w="2426"/>
      </w:tblGrid>
      <w:tr>
        <w:tc>
          <w:tcPr>
            <w:tcW w:type="dxa" w:w="4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4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三重四极杆液相色谱串联质谱系统</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1,700,000.00</w:t>
            </w:r>
          </w:p>
        </w:tc>
      </w:tr>
    </w:tbl>
    <w:p>
      <w:pPr>
        <w:pStyle w:val="null3"/>
        <w:ind w:firstLine="402"/>
        <w:jc w:val="both"/>
      </w:pPr>
      <w:r>
        <w:rPr/>
        <w:t xml:space="preserve"> </w:t>
      </w:r>
    </w:p>
    <w:p>
      <w:pPr>
        <w:pStyle w:val="null3"/>
      </w:pPr>
      <w:r>
        <w:rPr/>
        <w:t>采购包1（三重四极杆液相色谱串联质谱系统）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合同签订后的60个日历日内交货</w:t>
            </w:r>
          </w:p>
        </w:tc>
      </w:tr>
      <w:tr>
        <w:tc>
          <w:tcPr>
            <w:tcW w:type="dxa" w:w="4153"/>
          </w:tcPr>
          <w:p>
            <w:pPr>
              <w:pStyle w:val="null3"/>
            </w:pPr>
            <w:r>
              <w:rPr/>
              <w:t>标的提供的地点</w:t>
            </w:r>
          </w:p>
        </w:tc>
        <w:tc>
          <w:tcPr>
            <w:tcW w:type="dxa" w:w="4153"/>
          </w:tcPr>
          <w:p>
            <w:pPr>
              <w:pStyle w:val="null3"/>
            </w:pPr>
            <w:r>
              <w:rPr/>
              <w:t>江门市中心医院指定地点</w:t>
            </w:r>
          </w:p>
        </w:tc>
      </w:tr>
      <w:tr>
        <w:tc>
          <w:tcPr>
            <w:tcW w:type="dxa" w:w="4153"/>
          </w:tcPr>
          <w:p>
            <w:pPr>
              <w:pStyle w:val="null3"/>
            </w:pPr>
            <w:r>
              <w:rPr/>
              <w:t>付款方式</w:t>
            </w:r>
          </w:p>
        </w:tc>
        <w:tc>
          <w:tcPr>
            <w:tcW w:type="dxa" w:w="4153"/>
          </w:tcPr>
          <w:p>
            <w:pPr>
              <w:pStyle w:val="null3"/>
            </w:pPr>
            <w:r>
              <w:rPr/>
              <w:t>1期：支付比例30%,合同签订生效后的30个工作日内，将合同总金额的30%支付给中标人。</w:t>
            </w:r>
          </w:p>
          <w:p>
            <w:pPr>
              <w:pStyle w:val="null3"/>
            </w:pPr>
            <w:r>
              <w:rPr/>
              <w:t>2期：支付比例70%,设备运到指定地点，安装调试完毕并验收合格入库后且中标人完成履约保证金相关手续后的30个工作日内将合同总金额的70%支付给中标人。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2）验收方法：采购人派遣有经验有能力的人员检验产品和工程的质量和指标。（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账号：2012002309024902351</w:t>
            </w:r>
          </w:p>
          <w:p>
            <w:pPr>
              <w:pStyle w:val="null3"/>
            </w:pPr>
            <w:r>
              <w:rPr/>
              <w:t>户名：江门市中心医院</w:t>
            </w:r>
          </w:p>
          <w:p>
            <w:pPr>
              <w:pStyle w:val="null3"/>
            </w:pPr>
            <w:r>
              <w:rPr/>
              <w:t>开户行：中国工商银行江门江海支行</w:t>
            </w:r>
          </w:p>
          <w:p>
            <w:pPr>
              <w:pStyle w:val="null3"/>
            </w:pPr>
            <w:r>
              <w:rPr/>
              <w:t>支票提交方式：中标后按要求提交</w:t>
            </w:r>
          </w:p>
          <w:p>
            <w:pPr>
              <w:pStyle w:val="null3"/>
            </w:pPr>
            <w:r>
              <w:rPr/>
              <w:t>汇票、本票提交方式：中标后按要求提交</w:t>
            </w:r>
          </w:p>
          <w:p>
            <w:pPr>
              <w:pStyle w:val="null3"/>
            </w:pPr>
            <w:r>
              <w:rPr/>
              <w:t>说明：中标人须在收到第一期货款后的5个工作日内向采购人支付合同总金额的5%作为履约保证金，可转账或采取银行保函形式，银行保函有效期至合同履约结束；如转账支付履约保证金的，2年保修期满后的60日内由采购人不计利息退还履约保证金，保修期依然生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其他，供应商在投标（响应）文件中加入《中标（成交）服务费承诺书及开票要求》（格式见招标公告附件），便于代理机构开具服务费发票。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试剂耗材</w:t>
            </w:r>
          </w:p>
        </w:tc>
        <w:tc>
          <w:tcPr>
            <w:tcW w:type="dxa" w:w="2076"/>
          </w:tcPr>
          <w:p>
            <w:pPr>
              <w:pStyle w:val="null3"/>
              <w:jc w:val="left"/>
            </w:pPr>
            <w:r>
              <w:rPr/>
              <w:t>为方便采购人后续工作安排，如所投产品需有耗材，需投标人在投标文件中提供所投设备的试剂耗材信息，包括但不限于耗材名称、规格型号、单价、注册证编号（如有），但不纳入本项目采购范围，提供《耗材报价表》。如所投产品无需耗材，投标人需提供所投产品无耗材的说明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w:t>
            </w:r>
          </w:p>
        </w:tc>
        <w:tc>
          <w:tcPr>
            <w:tcW w:type="dxa" w:w="2076"/>
          </w:tcPr>
          <w:p>
            <w:pPr>
              <w:pStyle w:val="null3"/>
              <w:jc w:val="left"/>
            </w:pPr>
            <w:r>
              <w:rPr/>
              <w:t>保修期自本项目设备经双方验收合格之日起计算不少于3年，保修费用已含在投标报价中。</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保修范围</w:t>
            </w:r>
          </w:p>
        </w:tc>
        <w:tc>
          <w:tcPr>
            <w:tcW w:type="dxa" w:w="2076"/>
          </w:tcPr>
          <w:p>
            <w:pPr>
              <w:pStyle w:val="null3"/>
              <w:jc w:val="left"/>
            </w:pPr>
            <w:r>
              <w:rPr/>
              <w:t>保修范围包括但不限于更换零件费用及维修工时费等。保修期内，投标人须提供7*24小时服务。</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数据接口</w:t>
            </w:r>
          </w:p>
        </w:tc>
        <w:tc>
          <w:tcPr>
            <w:tcW w:type="dxa" w:w="2076"/>
          </w:tcPr>
          <w:p>
            <w:pPr>
              <w:pStyle w:val="null3"/>
              <w:jc w:val="left"/>
            </w:pPr>
            <w:r>
              <w:rPr/>
              <w:t>投标人无偿开放所有数据接口，后期不再另行收取采购人或第三方任何接口费用。投标人在项目实施过程中与第三方对接产生的改造和接口费用全部由投标人承担，此费用已包含在报价内，采购人不另外支付。若本项目后续由投标人继续维护的，采购人所支付的年维护费已经包含本项目所有接口费。</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生产日期</w:t>
            </w:r>
          </w:p>
        </w:tc>
        <w:tc>
          <w:tcPr>
            <w:tcW w:type="dxa" w:w="2076"/>
          </w:tcPr>
          <w:p>
            <w:pPr>
              <w:pStyle w:val="null3"/>
              <w:jc w:val="left"/>
            </w:pPr>
            <w:r>
              <w:rPr/>
              <w:t>因使用年限方面的要求，故投标人承诺供给招标人的货物的生产日期需在投标人交货日期起前18个月内，招标人将结合设备出厂铭牌等材料进行验收。</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医疗器械管理要求</w:t>
            </w:r>
          </w:p>
        </w:tc>
        <w:tc>
          <w:tcPr>
            <w:tcW w:type="dxa" w:w="2076"/>
          </w:tcPr>
          <w:p>
            <w:pPr>
              <w:pStyle w:val="null3"/>
              <w:jc w:val="left"/>
            </w:pPr>
            <w:r>
              <w:rPr/>
              <w:t>所投产品具有《中华人民共和国医疗器械注册证》。</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配置清单</w:t>
            </w:r>
          </w:p>
        </w:tc>
        <w:tc>
          <w:tcPr>
            <w:tcW w:type="dxa" w:w="2076"/>
          </w:tcPr>
          <w:p>
            <w:pPr>
              <w:pStyle w:val="null3"/>
              <w:jc w:val="left"/>
            </w:pPr>
            <w:r>
              <w:rPr/>
              <w:t>提供所投产品完整的配置清单。</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付款方式</w:t>
            </w:r>
          </w:p>
        </w:tc>
        <w:tc>
          <w:tcPr>
            <w:tcW w:type="dxa" w:w="2076"/>
          </w:tcPr>
          <w:p>
            <w:pPr>
              <w:pStyle w:val="null3"/>
              <w:jc w:val="left"/>
            </w:pPr>
            <w:r>
              <w:rPr/>
              <w:t>具体支付比例详见“主要商务要求-付款方式”。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质谱仪</w:t>
            </w:r>
          </w:p>
        </w:tc>
        <w:tc>
          <w:tcPr>
            <w:tcW w:type="dxa" w:w="831"/>
          </w:tcPr>
          <w:p>
            <w:pPr>
              <w:pStyle w:val="null3"/>
              <w:jc w:val="left"/>
            </w:pPr>
            <w:r>
              <w:rPr/>
              <w:t>三重四极杆液相色谱串联质谱系统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三重四极杆液相色谱串联质谱系统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一、用途</w:t>
            </w:r>
          </w:p>
        </w:tc>
      </w:tr>
      <w:tr>
        <w:tc>
          <w:tcPr>
            <w:tcW w:type="dxa" w:w="2076"/>
          </w:tcPr>
          <w:p/>
        </w:tc>
        <w:tc>
          <w:tcPr>
            <w:tcW w:type="dxa" w:w="415"/>
          </w:tcPr>
          <w:p>
            <w:pPr>
              <w:pStyle w:val="null3"/>
            </w:pPr>
            <w:r>
              <w:rPr/>
              <w:t>2</w:t>
            </w:r>
          </w:p>
        </w:tc>
        <w:tc>
          <w:tcPr>
            <w:tcW w:type="dxa" w:w="5814"/>
          </w:tcPr>
          <w:p>
            <w:pPr>
              <w:pStyle w:val="null3"/>
            </w:pPr>
            <w:r>
              <w:rPr/>
              <w:t>用于高效检测生物样本（如血液、尿液、乳汁、唾液、组织等）中的有机化合物，包括外源性化合物（如临床药物浓度监测、药代动力学研究及毒物快速筛查分析）、内源性化合物（如维生素、激素、脂肪酸、神经递质等）及生物标志物的体内检测，同时具备对生物大分子（如肽类和蛋白质）的定量与定性分析能力。</w:t>
            </w:r>
          </w:p>
        </w:tc>
      </w:tr>
      <w:tr>
        <w:tc>
          <w:tcPr>
            <w:tcW w:type="dxa" w:w="2076"/>
          </w:tcPr>
          <w:p/>
        </w:tc>
        <w:tc>
          <w:tcPr>
            <w:tcW w:type="dxa" w:w="415"/>
          </w:tcPr>
          <w:p>
            <w:pPr>
              <w:pStyle w:val="null3"/>
            </w:pPr>
            <w:r>
              <w:rPr/>
              <w:t>3</w:t>
            </w:r>
          </w:p>
        </w:tc>
        <w:tc>
          <w:tcPr>
            <w:tcW w:type="dxa" w:w="5814"/>
          </w:tcPr>
          <w:p>
            <w:pPr>
              <w:pStyle w:val="null3"/>
            </w:pPr>
            <w:r>
              <w:rPr/>
              <w:t>二、主要技术和性能规格要求</w:t>
            </w:r>
          </w:p>
        </w:tc>
      </w:tr>
      <w:tr>
        <w:tc>
          <w:tcPr>
            <w:tcW w:type="dxa" w:w="2076"/>
          </w:tcPr>
          <w:p/>
        </w:tc>
        <w:tc>
          <w:tcPr>
            <w:tcW w:type="dxa" w:w="415"/>
          </w:tcPr>
          <w:p>
            <w:pPr>
              <w:pStyle w:val="null3"/>
            </w:pPr>
            <w:r>
              <w:rPr/>
              <w:t>4</w:t>
            </w:r>
          </w:p>
        </w:tc>
        <w:tc>
          <w:tcPr>
            <w:tcW w:type="dxa" w:w="5814"/>
          </w:tcPr>
          <w:p>
            <w:pPr>
              <w:pStyle w:val="null3"/>
            </w:pPr>
            <w:r>
              <w:rPr/>
              <w:t>1.设备组成</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★1.1设备包括超高效液相色谱系统、三重四极杆质谱仪两部分。</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★1.2配置包括但不限于以下清单：质谱系统、超高效液相系统（包括二元泵、带温控自动进样器、柱温箱等）、仪器控制和数据处理自动化软件、品牌电脑、路由器、UPS、氮气发生器等。</w:t>
            </w:r>
          </w:p>
        </w:tc>
      </w:tr>
      <w:tr>
        <w:tc>
          <w:tcPr>
            <w:tcW w:type="dxa" w:w="2076"/>
          </w:tcPr>
          <w:p/>
        </w:tc>
        <w:tc>
          <w:tcPr>
            <w:tcW w:type="dxa" w:w="415"/>
          </w:tcPr>
          <w:p>
            <w:pPr>
              <w:pStyle w:val="null3"/>
            </w:pPr>
            <w:r>
              <w:rPr/>
              <w:t>7</w:t>
            </w:r>
          </w:p>
        </w:tc>
        <w:tc>
          <w:tcPr>
            <w:tcW w:type="dxa" w:w="5814"/>
          </w:tcPr>
          <w:p>
            <w:pPr>
              <w:pStyle w:val="null3"/>
            </w:pPr>
            <w:r>
              <w:rPr/>
              <w:t>1.3使用寿命：≥7年</w:t>
            </w:r>
          </w:p>
        </w:tc>
      </w:tr>
      <w:tr>
        <w:tc>
          <w:tcPr>
            <w:tcW w:type="dxa" w:w="2076"/>
          </w:tcPr>
          <w:p/>
        </w:tc>
        <w:tc>
          <w:tcPr>
            <w:tcW w:type="dxa" w:w="415"/>
          </w:tcPr>
          <w:p>
            <w:pPr>
              <w:pStyle w:val="null3"/>
            </w:pPr>
            <w:r>
              <w:rPr/>
              <w:t>8</w:t>
            </w:r>
          </w:p>
        </w:tc>
        <w:tc>
          <w:tcPr>
            <w:tcW w:type="dxa" w:w="5814"/>
          </w:tcPr>
          <w:p>
            <w:pPr>
              <w:pStyle w:val="null3"/>
            </w:pPr>
            <w:r>
              <w:rPr/>
              <w:t>2.工作条件：</w:t>
            </w:r>
          </w:p>
        </w:tc>
      </w:tr>
      <w:tr>
        <w:tc>
          <w:tcPr>
            <w:tcW w:type="dxa" w:w="2076"/>
          </w:tcPr>
          <w:p/>
        </w:tc>
        <w:tc>
          <w:tcPr>
            <w:tcW w:type="dxa" w:w="415"/>
          </w:tcPr>
          <w:p>
            <w:pPr>
              <w:pStyle w:val="null3"/>
            </w:pPr>
            <w:r>
              <w:rPr/>
              <w:t>9</w:t>
            </w:r>
          </w:p>
        </w:tc>
        <w:tc>
          <w:tcPr>
            <w:tcW w:type="dxa" w:w="5814"/>
          </w:tcPr>
          <w:p>
            <w:pPr>
              <w:pStyle w:val="null3"/>
            </w:pPr>
            <w:r>
              <w:rPr/>
              <w:t>2.1电源电压：三相电，220±10%V，电流≥16A；环境温度：15-27℃，最佳工作温度为18-21℃。</w:t>
            </w:r>
          </w:p>
        </w:tc>
      </w:tr>
      <w:tr>
        <w:tc>
          <w:tcPr>
            <w:tcW w:type="dxa" w:w="2076"/>
          </w:tcPr>
          <w:p/>
        </w:tc>
        <w:tc>
          <w:tcPr>
            <w:tcW w:type="dxa" w:w="415"/>
          </w:tcPr>
          <w:p>
            <w:pPr>
              <w:pStyle w:val="null3"/>
            </w:pPr>
            <w:r>
              <w:rPr/>
              <w:t>10</w:t>
            </w:r>
          </w:p>
        </w:tc>
        <w:tc>
          <w:tcPr>
            <w:tcW w:type="dxa" w:w="5814"/>
          </w:tcPr>
          <w:p>
            <w:pPr>
              <w:pStyle w:val="null3"/>
            </w:pPr>
            <w:r>
              <w:rPr/>
              <w:t>3.串联质谱部分</w:t>
            </w:r>
          </w:p>
        </w:tc>
      </w:tr>
      <w:tr>
        <w:tc>
          <w:tcPr>
            <w:tcW w:type="dxa" w:w="2076"/>
          </w:tcPr>
          <w:p/>
        </w:tc>
        <w:tc>
          <w:tcPr>
            <w:tcW w:type="dxa" w:w="415"/>
          </w:tcPr>
          <w:p>
            <w:pPr>
              <w:pStyle w:val="null3"/>
            </w:pPr>
            <w:r>
              <w:rPr/>
              <w:t>11</w:t>
            </w:r>
          </w:p>
        </w:tc>
        <w:tc>
          <w:tcPr>
            <w:tcW w:type="dxa" w:w="5814"/>
          </w:tcPr>
          <w:p>
            <w:pPr>
              <w:pStyle w:val="null3"/>
            </w:pPr>
            <w:r>
              <w:rPr/>
              <w:t>3.1原理：液相色谱－三重四极杆串联质谱联用仪</w:t>
            </w:r>
          </w:p>
        </w:tc>
      </w:tr>
      <w:tr>
        <w:tc>
          <w:tcPr>
            <w:tcW w:type="dxa" w:w="2076"/>
          </w:tcPr>
          <w:p/>
        </w:tc>
        <w:tc>
          <w:tcPr>
            <w:tcW w:type="dxa" w:w="415"/>
          </w:tcPr>
          <w:p>
            <w:pPr>
              <w:pStyle w:val="null3"/>
            </w:pPr>
            <w:r>
              <w:rPr/>
              <w:t>12</w:t>
            </w:r>
          </w:p>
        </w:tc>
        <w:tc>
          <w:tcPr>
            <w:tcW w:type="dxa" w:w="5814"/>
          </w:tcPr>
          <w:p>
            <w:pPr>
              <w:pStyle w:val="null3"/>
            </w:pPr>
            <w:r>
              <w:rPr/>
              <w:t>3.2离子源</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▲3.2.1离子源至少包含电喷雾离子源和大气压化学离子源各一个；</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▲3.2.2离子源接口采用毛细管结构设计，以保证良好的抗污染性能。（需提供质谱内部结构图并加盖公章）</w:t>
            </w:r>
          </w:p>
        </w:tc>
      </w:tr>
      <w:tr>
        <w:tc>
          <w:tcPr>
            <w:tcW w:type="dxa" w:w="2076"/>
          </w:tcPr>
          <w:p/>
        </w:tc>
        <w:tc>
          <w:tcPr>
            <w:tcW w:type="dxa" w:w="415"/>
          </w:tcPr>
          <w:p>
            <w:pPr>
              <w:pStyle w:val="null3"/>
            </w:pPr>
            <w:r>
              <w:rPr/>
              <w:t>15</w:t>
            </w:r>
          </w:p>
        </w:tc>
        <w:tc>
          <w:tcPr>
            <w:tcW w:type="dxa" w:w="5814"/>
          </w:tcPr>
          <w:p>
            <w:pPr>
              <w:pStyle w:val="null3"/>
            </w:pPr>
            <w:r>
              <w:rPr/>
              <w:t>3.2.3离子源接口适用于100%有机相到100%水相，耐用一定浓度的缓冲液。</w:t>
            </w:r>
          </w:p>
        </w:tc>
      </w:tr>
      <w:tr>
        <w:tc>
          <w:tcPr>
            <w:tcW w:type="dxa" w:w="2076"/>
          </w:tcPr>
          <w:p/>
        </w:tc>
        <w:tc>
          <w:tcPr>
            <w:tcW w:type="dxa" w:w="415"/>
          </w:tcPr>
          <w:p>
            <w:pPr>
              <w:pStyle w:val="null3"/>
            </w:pPr>
            <w:r>
              <w:rPr/>
              <w:t>16</w:t>
            </w:r>
          </w:p>
        </w:tc>
        <w:tc>
          <w:tcPr>
            <w:tcW w:type="dxa" w:w="5814"/>
          </w:tcPr>
          <w:p>
            <w:pPr>
              <w:pStyle w:val="null3"/>
            </w:pPr>
            <w:r>
              <w:rPr/>
              <w:t>3.2.4离子源内配主动废气排放装置，消除废气涡流，降低化学噪音，不锈钢排废管路，实现离子源腔体高温自洁净。</w:t>
            </w:r>
          </w:p>
        </w:tc>
      </w:tr>
      <w:tr>
        <w:tc>
          <w:tcPr>
            <w:tcW w:type="dxa" w:w="2076"/>
          </w:tcPr>
          <w:p/>
        </w:tc>
        <w:tc>
          <w:tcPr>
            <w:tcW w:type="dxa" w:w="415"/>
          </w:tcPr>
          <w:p>
            <w:pPr>
              <w:pStyle w:val="null3"/>
            </w:pPr>
            <w:r>
              <w:rPr/>
              <w:t>17</w:t>
            </w:r>
          </w:p>
        </w:tc>
        <w:tc>
          <w:tcPr>
            <w:tcW w:type="dxa" w:w="5814"/>
          </w:tcPr>
          <w:p>
            <w:pPr>
              <w:pStyle w:val="null3"/>
            </w:pPr>
            <w:r>
              <w:rPr/>
              <w:t>3.3质量分析器</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▲3.3.1Q1和Q3四极杆采用全金属钼材质，稳定性高，抗污染能力强。</w:t>
            </w:r>
          </w:p>
        </w:tc>
      </w:tr>
      <w:tr>
        <w:tc>
          <w:tcPr>
            <w:tcW w:type="dxa" w:w="2076"/>
          </w:tcPr>
          <w:p/>
        </w:tc>
        <w:tc>
          <w:tcPr>
            <w:tcW w:type="dxa" w:w="415"/>
          </w:tcPr>
          <w:p>
            <w:pPr>
              <w:pStyle w:val="null3"/>
            </w:pPr>
            <w:r>
              <w:rPr/>
              <w:t>19</w:t>
            </w:r>
          </w:p>
        </w:tc>
        <w:tc>
          <w:tcPr>
            <w:tcW w:type="dxa" w:w="5814"/>
          </w:tcPr>
          <w:p>
            <w:pPr>
              <w:pStyle w:val="null3"/>
            </w:pPr>
            <w:r>
              <w:rPr/>
              <w:t>3.3.2Q1和Q3均采用双曲面设计四极杆，保证在0.4amu（FWMH）时仍有很高的离子传输效率，长度不小于24cm，实现高选择性。</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3.3.3碰撞池：弯曲碰撞池设计，加有轴向加速电场，能够有效消除中性粒子干扰，实现快速碰撞，提高离子传输效率以及碰撞反应稳定性，弯曲碰撞池能有效消除“记忆效应”，防止“交叉污染”。（需提供质谱内部结构图并加盖公章）</w:t>
            </w:r>
          </w:p>
        </w:tc>
      </w:tr>
      <w:tr>
        <w:tc>
          <w:tcPr>
            <w:tcW w:type="dxa" w:w="2076"/>
          </w:tcPr>
          <w:p/>
        </w:tc>
        <w:tc>
          <w:tcPr>
            <w:tcW w:type="dxa" w:w="415"/>
          </w:tcPr>
          <w:p>
            <w:pPr>
              <w:pStyle w:val="null3"/>
            </w:pPr>
            <w:r>
              <w:rPr/>
              <w:t>21</w:t>
            </w:r>
          </w:p>
        </w:tc>
        <w:tc>
          <w:tcPr>
            <w:tcW w:type="dxa" w:w="5814"/>
          </w:tcPr>
          <w:p>
            <w:pPr>
              <w:pStyle w:val="null3"/>
            </w:pPr>
            <w:r>
              <w:rPr/>
              <w:t>3.4检测器</w:t>
            </w:r>
          </w:p>
        </w:tc>
      </w:tr>
      <w:tr>
        <w:tc>
          <w:tcPr>
            <w:tcW w:type="dxa" w:w="2076"/>
          </w:tcPr>
          <w:p/>
        </w:tc>
        <w:tc>
          <w:tcPr>
            <w:tcW w:type="dxa" w:w="415"/>
          </w:tcPr>
          <w:p>
            <w:pPr>
              <w:pStyle w:val="null3"/>
            </w:pPr>
            <w:r>
              <w:rPr/>
              <w:t>22</w:t>
            </w:r>
          </w:p>
        </w:tc>
        <w:tc>
          <w:tcPr>
            <w:tcW w:type="dxa" w:w="5814"/>
          </w:tcPr>
          <w:p>
            <w:pPr>
              <w:pStyle w:val="null3"/>
            </w:pPr>
            <w:r>
              <w:rPr/>
              <w:t>3.4.1类型：电子倍增器检测器。</w:t>
            </w:r>
          </w:p>
        </w:tc>
      </w:tr>
      <w:tr>
        <w:tc>
          <w:tcPr>
            <w:tcW w:type="dxa" w:w="2076"/>
          </w:tcPr>
          <w:p/>
        </w:tc>
        <w:tc>
          <w:tcPr>
            <w:tcW w:type="dxa" w:w="415"/>
          </w:tcPr>
          <w:p>
            <w:pPr>
              <w:pStyle w:val="null3"/>
            </w:pPr>
            <w:r>
              <w:rPr/>
              <w:t>23</w:t>
            </w:r>
          </w:p>
        </w:tc>
        <w:tc>
          <w:tcPr>
            <w:tcW w:type="dxa" w:w="5814"/>
          </w:tcPr>
          <w:p>
            <w:pPr>
              <w:pStyle w:val="null3"/>
            </w:pPr>
            <w:r>
              <w:rPr/>
              <w:t>3.4.2具备脉冲计数模式和数字模拟模式两种检测器模式，以提高灵敏度（脉冲计数模式，离子通量低；数字模拟模式，离子通量高）和动态线性范围。</w:t>
            </w:r>
          </w:p>
        </w:tc>
      </w:tr>
      <w:tr>
        <w:tc>
          <w:tcPr>
            <w:tcW w:type="dxa" w:w="2076"/>
          </w:tcPr>
          <w:p/>
        </w:tc>
        <w:tc>
          <w:tcPr>
            <w:tcW w:type="dxa" w:w="415"/>
          </w:tcPr>
          <w:p>
            <w:pPr>
              <w:pStyle w:val="null3"/>
            </w:pPr>
            <w:r>
              <w:rPr/>
              <w:t>24</w:t>
            </w:r>
          </w:p>
        </w:tc>
        <w:tc>
          <w:tcPr>
            <w:tcW w:type="dxa" w:w="5814"/>
          </w:tcPr>
          <w:p>
            <w:pPr>
              <w:pStyle w:val="null3"/>
            </w:pPr>
            <w:r>
              <w:rPr/>
              <w:t>3.5检测性能</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▲3.5.1质量数范围m/z：2-3000amu。</w:t>
            </w:r>
          </w:p>
        </w:tc>
      </w:tr>
      <w:tr>
        <w:tc>
          <w:tcPr>
            <w:tcW w:type="dxa" w:w="2076"/>
          </w:tcPr>
          <w:p/>
        </w:tc>
        <w:tc>
          <w:tcPr>
            <w:tcW w:type="dxa" w:w="415"/>
          </w:tcPr>
          <w:p>
            <w:pPr>
              <w:pStyle w:val="null3"/>
            </w:pPr>
            <w:r>
              <w:rPr/>
              <w:t>26</w:t>
            </w:r>
          </w:p>
        </w:tc>
        <w:tc>
          <w:tcPr>
            <w:tcW w:type="dxa" w:w="5814"/>
          </w:tcPr>
          <w:p>
            <w:pPr>
              <w:pStyle w:val="null3"/>
            </w:pPr>
            <w:r>
              <w:rPr/>
              <w:t>3.5.2扫描功能：具有全扫描、子离子扫描、母离子扫描、中性丢失扫描、中性获得扫描、多反应监测扫描、选择离子扫描模式、混合扫描、正负离子快速切换扫描。</w:t>
            </w:r>
          </w:p>
        </w:tc>
      </w:tr>
      <w:tr>
        <w:tc>
          <w:tcPr>
            <w:tcW w:type="dxa" w:w="2076"/>
          </w:tcPr>
          <w:p/>
        </w:tc>
        <w:tc>
          <w:tcPr>
            <w:tcW w:type="dxa" w:w="415"/>
          </w:tcPr>
          <w:p>
            <w:pPr>
              <w:pStyle w:val="null3"/>
            </w:pPr>
            <w:r>
              <w:rPr/>
              <w:t>27</w:t>
            </w:r>
          </w:p>
        </w:tc>
        <w:tc>
          <w:tcPr>
            <w:tcW w:type="dxa" w:w="5814"/>
          </w:tcPr>
          <w:p>
            <w:pPr>
              <w:pStyle w:val="null3"/>
            </w:pPr>
            <w:r>
              <w:rPr/>
              <w:t>3.5.3灵敏度：</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▲①ESI(+)：1pg利血平，过柱检测，MRM离子对为m/z609＞195，信噪比S/N＞750,000:1，连续10针进样，峰面积CV＜3%；</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▲②ESI(-)：1pg氯霉素，过柱检测，MRM离子对为m/z321＞152，信噪比为S/N＞750,000:1，连续10针进样，峰面积CV＜3%。</w:t>
            </w:r>
          </w:p>
        </w:tc>
      </w:tr>
      <w:tr>
        <w:tc>
          <w:tcPr>
            <w:tcW w:type="dxa" w:w="2076"/>
          </w:tcPr>
          <w:p/>
        </w:tc>
        <w:tc>
          <w:tcPr>
            <w:tcW w:type="dxa" w:w="415"/>
          </w:tcPr>
          <w:p>
            <w:pPr>
              <w:pStyle w:val="null3"/>
            </w:pPr>
            <w:r>
              <w:rPr/>
              <w:t>30</w:t>
            </w:r>
          </w:p>
        </w:tc>
        <w:tc>
          <w:tcPr>
            <w:tcW w:type="dxa" w:w="5814"/>
          </w:tcPr>
          <w:p>
            <w:pPr>
              <w:pStyle w:val="null3"/>
            </w:pPr>
            <w:r>
              <w:rPr/>
              <w:t>3.5.4扫描速率：≥15000amu/s。</w:t>
            </w:r>
          </w:p>
        </w:tc>
      </w:tr>
      <w:tr>
        <w:tc>
          <w:tcPr>
            <w:tcW w:type="dxa" w:w="2076"/>
          </w:tcPr>
          <w:p/>
        </w:tc>
        <w:tc>
          <w:tcPr>
            <w:tcW w:type="dxa" w:w="415"/>
          </w:tcPr>
          <w:p>
            <w:pPr>
              <w:pStyle w:val="null3"/>
            </w:pPr>
            <w:r>
              <w:rPr/>
              <w:t>31</w:t>
            </w:r>
          </w:p>
        </w:tc>
        <w:tc>
          <w:tcPr>
            <w:tcW w:type="dxa" w:w="5814"/>
          </w:tcPr>
          <w:p>
            <w:pPr>
              <w:pStyle w:val="null3"/>
            </w:pPr>
            <w:r>
              <w:rPr/>
              <w:t>3.5.5分辨率:质谱半峰宽可到0.4amu（FWMH）,分辨率可调,只需在方法设定界面简单选择即可。（需提供软件设置截图并加盖公章）</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▲3.5.6正负离子切换时间：≤5ms。</w:t>
            </w:r>
          </w:p>
        </w:tc>
      </w:tr>
      <w:tr>
        <w:tc>
          <w:tcPr>
            <w:tcW w:type="dxa" w:w="2076"/>
          </w:tcPr>
          <w:p/>
        </w:tc>
        <w:tc>
          <w:tcPr>
            <w:tcW w:type="dxa" w:w="415"/>
          </w:tcPr>
          <w:p>
            <w:pPr>
              <w:pStyle w:val="null3"/>
            </w:pPr>
            <w:r>
              <w:rPr/>
              <w:t>33</w:t>
            </w:r>
          </w:p>
        </w:tc>
        <w:tc>
          <w:tcPr>
            <w:tcW w:type="dxa" w:w="5814"/>
          </w:tcPr>
          <w:p>
            <w:pPr>
              <w:pStyle w:val="null3"/>
            </w:pPr>
            <w:r>
              <w:rPr/>
              <w:t>3.5.7SRM扫描速度：≥600SRMs/秒，并确保无交叉污染。</w:t>
            </w:r>
          </w:p>
        </w:tc>
      </w:tr>
      <w:tr>
        <w:tc>
          <w:tcPr>
            <w:tcW w:type="dxa" w:w="2076"/>
          </w:tcPr>
          <w:p/>
        </w:tc>
        <w:tc>
          <w:tcPr>
            <w:tcW w:type="dxa" w:w="415"/>
          </w:tcPr>
          <w:p>
            <w:pPr>
              <w:pStyle w:val="null3"/>
            </w:pPr>
            <w:r>
              <w:rPr/>
              <w:t>34</w:t>
            </w:r>
          </w:p>
        </w:tc>
        <w:tc>
          <w:tcPr>
            <w:tcW w:type="dxa" w:w="5814"/>
          </w:tcPr>
          <w:p>
            <w:pPr>
              <w:pStyle w:val="null3"/>
            </w:pPr>
            <w:r>
              <w:rPr/>
              <w:t>3.5.8动态线性范围：不少于6个数量级。</w:t>
            </w:r>
          </w:p>
        </w:tc>
      </w:tr>
      <w:tr>
        <w:tc>
          <w:tcPr>
            <w:tcW w:type="dxa" w:w="2076"/>
          </w:tcPr>
          <w:p/>
        </w:tc>
        <w:tc>
          <w:tcPr>
            <w:tcW w:type="dxa" w:w="415"/>
          </w:tcPr>
          <w:p>
            <w:pPr>
              <w:pStyle w:val="null3"/>
            </w:pPr>
            <w:r>
              <w:rPr/>
              <w:t>35</w:t>
            </w:r>
          </w:p>
        </w:tc>
        <w:tc>
          <w:tcPr>
            <w:tcW w:type="dxa" w:w="5814"/>
          </w:tcPr>
          <w:p>
            <w:pPr>
              <w:pStyle w:val="null3"/>
            </w:pPr>
            <w:r>
              <w:rPr/>
              <w:t>4.超高效液相色谱部分：</w:t>
            </w:r>
          </w:p>
        </w:tc>
      </w:tr>
      <w:tr>
        <w:tc>
          <w:tcPr>
            <w:tcW w:type="dxa" w:w="2076"/>
          </w:tcPr>
          <w:p/>
        </w:tc>
        <w:tc>
          <w:tcPr>
            <w:tcW w:type="dxa" w:w="415"/>
          </w:tcPr>
          <w:p>
            <w:pPr>
              <w:pStyle w:val="null3"/>
            </w:pPr>
            <w:r>
              <w:rPr/>
              <w:t>36</w:t>
            </w:r>
          </w:p>
        </w:tc>
        <w:tc>
          <w:tcPr>
            <w:tcW w:type="dxa" w:w="5814"/>
          </w:tcPr>
          <w:p>
            <w:pPr>
              <w:pStyle w:val="null3"/>
            </w:pPr>
            <w:r>
              <w:rPr/>
              <w:t>4.1二元高压梯度泵</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▲4.1.1溶剂通道：溶剂通道≥6路。</w:t>
            </w:r>
          </w:p>
        </w:tc>
      </w:tr>
      <w:tr>
        <w:tc>
          <w:tcPr>
            <w:tcW w:type="dxa" w:w="2076"/>
          </w:tcPr>
          <w:p/>
        </w:tc>
        <w:tc>
          <w:tcPr>
            <w:tcW w:type="dxa" w:w="415"/>
          </w:tcPr>
          <w:p>
            <w:pPr>
              <w:pStyle w:val="null3"/>
            </w:pPr>
            <w:r>
              <w:rPr/>
              <w:t>38</w:t>
            </w:r>
          </w:p>
        </w:tc>
        <w:tc>
          <w:tcPr>
            <w:tcW w:type="dxa" w:w="5814"/>
          </w:tcPr>
          <w:p>
            <w:pPr>
              <w:pStyle w:val="null3"/>
            </w:pPr>
            <w:r>
              <w:rPr/>
              <w:t>4.1.2流量范围：0.001-8.000mL/min，增量0.001mL。</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▲4.1.3最大输液压力：≥1000bar。</w:t>
            </w:r>
          </w:p>
        </w:tc>
      </w:tr>
      <w:tr>
        <w:tc>
          <w:tcPr>
            <w:tcW w:type="dxa" w:w="2076"/>
          </w:tcPr>
          <w:p/>
        </w:tc>
        <w:tc>
          <w:tcPr>
            <w:tcW w:type="dxa" w:w="415"/>
          </w:tcPr>
          <w:p>
            <w:pPr>
              <w:pStyle w:val="null3"/>
            </w:pPr>
            <w:r>
              <w:rPr/>
              <w:t>40</w:t>
            </w:r>
          </w:p>
        </w:tc>
        <w:tc>
          <w:tcPr>
            <w:tcW w:type="dxa" w:w="5814"/>
          </w:tcPr>
          <w:p>
            <w:pPr>
              <w:pStyle w:val="null3"/>
            </w:pPr>
            <w:r>
              <w:rPr/>
              <w:t>4.1.4流速精密度：≤0.1%RSD；</w:t>
            </w:r>
          </w:p>
        </w:tc>
      </w:tr>
      <w:tr>
        <w:tc>
          <w:tcPr>
            <w:tcW w:type="dxa" w:w="2076"/>
          </w:tcPr>
          <w:p/>
        </w:tc>
        <w:tc>
          <w:tcPr>
            <w:tcW w:type="dxa" w:w="415"/>
          </w:tcPr>
          <w:p>
            <w:pPr>
              <w:pStyle w:val="null3"/>
            </w:pPr>
            <w:r>
              <w:rPr/>
              <w:t>41</w:t>
            </w:r>
          </w:p>
        </w:tc>
        <w:tc>
          <w:tcPr>
            <w:tcW w:type="dxa" w:w="5814"/>
          </w:tcPr>
          <w:p>
            <w:pPr>
              <w:pStyle w:val="null3"/>
            </w:pPr>
            <w:r>
              <w:rPr/>
              <w:t>4.1.5流速准确度：≤±0.1%。</w:t>
            </w:r>
          </w:p>
        </w:tc>
      </w:tr>
      <w:tr>
        <w:tc>
          <w:tcPr>
            <w:tcW w:type="dxa" w:w="2076"/>
          </w:tcPr>
          <w:p/>
        </w:tc>
        <w:tc>
          <w:tcPr>
            <w:tcW w:type="dxa" w:w="415"/>
          </w:tcPr>
          <w:p>
            <w:pPr>
              <w:pStyle w:val="null3"/>
            </w:pPr>
            <w:r>
              <w:rPr/>
              <w:t>42</w:t>
            </w:r>
          </w:p>
        </w:tc>
        <w:tc>
          <w:tcPr>
            <w:tcW w:type="dxa" w:w="5814"/>
          </w:tcPr>
          <w:p>
            <w:pPr>
              <w:pStyle w:val="null3"/>
            </w:pPr>
            <w:r>
              <w:rPr/>
              <w:t>4.2自动进样器</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▲4.2.1样品盘：可放置216位2mL样品瓶，兼容4块96孔板模式进样，满足高通量进样需求。</w:t>
            </w:r>
          </w:p>
        </w:tc>
      </w:tr>
      <w:tr>
        <w:tc>
          <w:tcPr>
            <w:tcW w:type="dxa" w:w="2076"/>
          </w:tcPr>
          <w:p/>
        </w:tc>
        <w:tc>
          <w:tcPr>
            <w:tcW w:type="dxa" w:w="415"/>
          </w:tcPr>
          <w:p>
            <w:pPr>
              <w:pStyle w:val="null3"/>
            </w:pPr>
            <w:r>
              <w:rPr/>
              <w:t>44</w:t>
            </w:r>
          </w:p>
        </w:tc>
        <w:tc>
          <w:tcPr>
            <w:tcW w:type="dxa" w:w="5814"/>
          </w:tcPr>
          <w:p>
            <w:pPr>
              <w:pStyle w:val="null3"/>
            </w:pPr>
            <w:r>
              <w:rPr/>
              <w:t>4.2.2进样范围：0.1-100μL，步进0.01μL。</w:t>
            </w:r>
          </w:p>
        </w:tc>
      </w:tr>
      <w:tr>
        <w:tc>
          <w:tcPr>
            <w:tcW w:type="dxa" w:w="2076"/>
          </w:tcPr>
          <w:p/>
        </w:tc>
        <w:tc>
          <w:tcPr>
            <w:tcW w:type="dxa" w:w="415"/>
          </w:tcPr>
          <w:p>
            <w:pPr>
              <w:pStyle w:val="null3"/>
            </w:pPr>
            <w:r>
              <w:rPr/>
              <w:t>45</w:t>
            </w:r>
          </w:p>
        </w:tc>
        <w:tc>
          <w:tcPr>
            <w:tcW w:type="dxa" w:w="5814"/>
          </w:tcPr>
          <w:p>
            <w:pPr>
              <w:pStyle w:val="null3"/>
            </w:pPr>
            <w:r>
              <w:rPr/>
              <w:t>4.2.3进样精度：5-100μL进样体积精度RSD＜0.25%，1-5μL进样体积精度RSD＜1%。</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▲4.2.4温度设置范围：4℃~40℃，步进为1℃。</w:t>
            </w:r>
          </w:p>
        </w:tc>
      </w:tr>
      <w:tr>
        <w:tc>
          <w:tcPr>
            <w:tcW w:type="dxa" w:w="2076"/>
          </w:tcPr>
          <w:p/>
        </w:tc>
        <w:tc>
          <w:tcPr>
            <w:tcW w:type="dxa" w:w="415"/>
          </w:tcPr>
          <w:p>
            <w:pPr>
              <w:pStyle w:val="null3"/>
            </w:pPr>
            <w:r>
              <w:rPr/>
              <w:t>47</w:t>
            </w:r>
          </w:p>
        </w:tc>
        <w:tc>
          <w:tcPr>
            <w:tcW w:type="dxa" w:w="5814"/>
          </w:tcPr>
          <w:p>
            <w:pPr>
              <w:pStyle w:val="null3"/>
            </w:pPr>
            <w:r>
              <w:rPr/>
              <w:t>4.3柱温箱</w:t>
            </w:r>
          </w:p>
        </w:tc>
      </w:tr>
      <w:tr>
        <w:tc>
          <w:tcPr>
            <w:tcW w:type="dxa" w:w="2076"/>
          </w:tcPr>
          <w:p/>
        </w:tc>
        <w:tc>
          <w:tcPr>
            <w:tcW w:type="dxa" w:w="415"/>
          </w:tcPr>
          <w:p>
            <w:pPr>
              <w:pStyle w:val="null3"/>
            </w:pPr>
            <w:r>
              <w:rPr/>
              <w:t>48</w:t>
            </w:r>
          </w:p>
        </w:tc>
        <w:tc>
          <w:tcPr>
            <w:tcW w:type="dxa" w:w="5814"/>
          </w:tcPr>
          <w:p>
            <w:pPr>
              <w:pStyle w:val="null3"/>
            </w:pPr>
            <w:r>
              <w:rPr/>
              <w:t>4.3.1温度设置范围：5℃～120℃。</w:t>
            </w:r>
          </w:p>
        </w:tc>
      </w:tr>
      <w:tr>
        <w:tc>
          <w:tcPr>
            <w:tcW w:type="dxa" w:w="2076"/>
          </w:tcPr>
          <w:p/>
        </w:tc>
        <w:tc>
          <w:tcPr>
            <w:tcW w:type="dxa" w:w="415"/>
          </w:tcPr>
          <w:p>
            <w:pPr>
              <w:pStyle w:val="null3"/>
            </w:pPr>
            <w:r>
              <w:rPr/>
              <w:t>49</w:t>
            </w:r>
          </w:p>
        </w:tc>
        <w:tc>
          <w:tcPr>
            <w:tcW w:type="dxa" w:w="5814"/>
          </w:tcPr>
          <w:p>
            <w:pPr>
              <w:pStyle w:val="null3"/>
            </w:pPr>
            <w:r>
              <w:rPr/>
              <w:t>4.3.2可选安装柱前预加热，柱后冷却，兼容5cm、10cm、15cm、25cm等各种规格色谱柱。</w:t>
            </w:r>
          </w:p>
        </w:tc>
      </w:tr>
      <w:tr>
        <w:tc>
          <w:tcPr>
            <w:tcW w:type="dxa" w:w="2076"/>
          </w:tcPr>
          <w:p/>
        </w:tc>
        <w:tc>
          <w:tcPr>
            <w:tcW w:type="dxa" w:w="415"/>
          </w:tcPr>
          <w:p>
            <w:pPr>
              <w:pStyle w:val="null3"/>
            </w:pPr>
            <w:r>
              <w:rPr/>
              <w:t>50</w:t>
            </w:r>
          </w:p>
        </w:tc>
        <w:tc>
          <w:tcPr>
            <w:tcW w:type="dxa" w:w="5814"/>
          </w:tcPr>
          <w:p>
            <w:pPr>
              <w:pStyle w:val="null3"/>
            </w:pPr>
            <w:r>
              <w:rPr/>
              <w:t>4.3.3柱温箱可同时放置2根25cm色谱柱。</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▲4.4色谱柱：型号规格≥6种，适配各项目开展（提供单独色谱柱相关的证明材料）</w:t>
            </w:r>
          </w:p>
        </w:tc>
      </w:tr>
      <w:tr>
        <w:tc>
          <w:tcPr>
            <w:tcW w:type="dxa" w:w="2076"/>
          </w:tcPr>
          <w:p/>
        </w:tc>
        <w:tc>
          <w:tcPr>
            <w:tcW w:type="dxa" w:w="415"/>
          </w:tcPr>
          <w:p>
            <w:pPr>
              <w:pStyle w:val="null3"/>
            </w:pPr>
            <w:r>
              <w:rPr/>
              <w:t>52</w:t>
            </w:r>
          </w:p>
        </w:tc>
        <w:tc>
          <w:tcPr>
            <w:tcW w:type="dxa" w:w="5814"/>
          </w:tcPr>
          <w:p>
            <w:pPr>
              <w:pStyle w:val="null3"/>
            </w:pPr>
            <w:r>
              <w:rPr/>
              <w:t>4.5其他仪器配置：外置独立双槽位自动注射泵，实现直接连续进样；独立切换进样阀，切换流路至质谱检测系统或废液，有效减少质谱污染，进样阀支持手动进样；机械泵；相关维护备件。</w:t>
            </w:r>
          </w:p>
        </w:tc>
      </w:tr>
      <w:tr>
        <w:tc>
          <w:tcPr>
            <w:tcW w:type="dxa" w:w="2076"/>
          </w:tcPr>
          <w:p/>
        </w:tc>
        <w:tc>
          <w:tcPr>
            <w:tcW w:type="dxa" w:w="415"/>
          </w:tcPr>
          <w:p>
            <w:pPr>
              <w:pStyle w:val="null3"/>
            </w:pPr>
            <w:r>
              <w:rPr/>
              <w:t>53</w:t>
            </w:r>
          </w:p>
        </w:tc>
        <w:tc>
          <w:tcPr>
            <w:tcW w:type="dxa" w:w="5814"/>
          </w:tcPr>
          <w:p>
            <w:pPr>
              <w:pStyle w:val="null3"/>
            </w:pPr>
            <w:r>
              <w:rPr/>
              <w:t>5.数据处理系统</w:t>
            </w:r>
          </w:p>
        </w:tc>
      </w:tr>
      <w:tr>
        <w:tc>
          <w:tcPr>
            <w:tcW w:type="dxa" w:w="2076"/>
          </w:tcPr>
          <w:p/>
        </w:tc>
        <w:tc>
          <w:tcPr>
            <w:tcW w:type="dxa" w:w="415"/>
          </w:tcPr>
          <w:p>
            <w:pPr>
              <w:pStyle w:val="null3"/>
            </w:pPr>
            <w:r>
              <w:rPr/>
              <w:t>54</w:t>
            </w:r>
          </w:p>
        </w:tc>
        <w:tc>
          <w:tcPr>
            <w:tcW w:type="dxa" w:w="5814"/>
          </w:tcPr>
          <w:p>
            <w:pPr>
              <w:pStyle w:val="null3"/>
            </w:pPr>
            <w:r>
              <w:rPr/>
              <w:t>5.1主流品牌级别电脑配备正版Win7或Win10或以上级别英文操作系统（64bit）及质谱工作软件。</w:t>
            </w:r>
          </w:p>
        </w:tc>
      </w:tr>
      <w:tr>
        <w:tc>
          <w:tcPr>
            <w:tcW w:type="dxa" w:w="2076"/>
          </w:tcPr>
          <w:p/>
        </w:tc>
        <w:tc>
          <w:tcPr>
            <w:tcW w:type="dxa" w:w="415"/>
          </w:tcPr>
          <w:p>
            <w:pPr>
              <w:pStyle w:val="null3"/>
            </w:pPr>
            <w:r>
              <w:rPr/>
              <w:t>55</w:t>
            </w:r>
          </w:p>
        </w:tc>
        <w:tc>
          <w:tcPr>
            <w:tcW w:type="dxa" w:w="5814"/>
          </w:tcPr>
          <w:p>
            <w:pPr>
              <w:pStyle w:val="null3"/>
            </w:pPr>
            <w:r>
              <w:rPr/>
              <w:t>5.2同一软件平台实现对液相色谱和质谱的控制，能够充分保证系统的整体性能以及应用、培训、维护等的简易性。</w:t>
            </w:r>
          </w:p>
        </w:tc>
      </w:tr>
      <w:tr>
        <w:tc>
          <w:tcPr>
            <w:tcW w:type="dxa" w:w="2076"/>
          </w:tcPr>
          <w:p/>
        </w:tc>
        <w:tc>
          <w:tcPr>
            <w:tcW w:type="dxa" w:w="415"/>
          </w:tcPr>
          <w:p>
            <w:pPr>
              <w:pStyle w:val="null3"/>
            </w:pPr>
            <w:r>
              <w:rPr/>
              <w:t>56</w:t>
            </w:r>
          </w:p>
        </w:tc>
        <w:tc>
          <w:tcPr>
            <w:tcW w:type="dxa" w:w="5814"/>
          </w:tcPr>
          <w:p>
            <w:pPr>
              <w:pStyle w:val="null3"/>
            </w:pPr>
            <w:r>
              <w:rPr/>
              <w:t>5.3工作软件具备数据采集、数据处理、定性定量分析、建立数据库、谱库检索等功能，具备一键式触发全自动定量数据处理和报告能力。</w:t>
            </w:r>
          </w:p>
        </w:tc>
      </w:tr>
      <w:tr>
        <w:tc>
          <w:tcPr>
            <w:tcW w:type="dxa" w:w="2076"/>
          </w:tcPr>
          <w:p/>
        </w:tc>
        <w:tc>
          <w:tcPr>
            <w:tcW w:type="dxa" w:w="415"/>
          </w:tcPr>
          <w:p>
            <w:pPr>
              <w:pStyle w:val="null3"/>
            </w:pPr>
            <w:r>
              <w:rPr/>
              <w:t>57</w:t>
            </w:r>
          </w:p>
        </w:tc>
        <w:tc>
          <w:tcPr>
            <w:tcW w:type="dxa" w:w="5814"/>
          </w:tcPr>
          <w:p>
            <w:pPr>
              <w:pStyle w:val="null3"/>
            </w:pPr>
            <w:r>
              <w:rPr/>
              <w:t>5.4可支持全中文应用软件，分析菜单灵活，操作方便（需提供中文软件界面截图并加盖公章）。</w:t>
            </w:r>
          </w:p>
        </w:tc>
      </w:tr>
      <w:tr>
        <w:tc>
          <w:tcPr>
            <w:tcW w:type="dxa" w:w="2076"/>
          </w:tcPr>
          <w:p/>
        </w:tc>
        <w:tc>
          <w:tcPr>
            <w:tcW w:type="dxa" w:w="415"/>
          </w:tcPr>
          <w:p>
            <w:pPr>
              <w:pStyle w:val="null3"/>
            </w:pPr>
            <w:r>
              <w:rPr/>
              <w:t>58</w:t>
            </w:r>
          </w:p>
        </w:tc>
        <w:tc>
          <w:tcPr>
            <w:tcW w:type="dxa" w:w="5814"/>
          </w:tcPr>
          <w:p>
            <w:pPr>
              <w:pStyle w:val="null3"/>
            </w:pPr>
            <w:r>
              <w:rPr/>
              <w:t>6.售后服务</w:t>
            </w:r>
          </w:p>
        </w:tc>
      </w:tr>
      <w:tr>
        <w:tc>
          <w:tcPr>
            <w:tcW w:type="dxa" w:w="2076"/>
          </w:tcPr>
          <w:p/>
        </w:tc>
        <w:tc>
          <w:tcPr>
            <w:tcW w:type="dxa" w:w="415"/>
          </w:tcPr>
          <w:p>
            <w:pPr>
              <w:pStyle w:val="null3"/>
            </w:pPr>
            <w:r>
              <w:rPr/>
              <w:t>59</w:t>
            </w:r>
          </w:p>
        </w:tc>
        <w:tc>
          <w:tcPr>
            <w:tcW w:type="dxa" w:w="5814"/>
          </w:tcPr>
          <w:p>
            <w:pPr>
              <w:pStyle w:val="null3"/>
            </w:pPr>
            <w:r>
              <w:rPr/>
              <w:t>6.1仪器厂家协助采购人进行安装前的准备工作，提供相关的布局图和设计要求，提供实验室建设安装资料并作相应的指导，仪器到货后，并由仪器工程师免费安装并为使用人员进行现场培训。</w:t>
            </w:r>
          </w:p>
        </w:tc>
      </w:tr>
      <w:tr>
        <w:tc>
          <w:tcPr>
            <w:tcW w:type="dxa" w:w="2076"/>
          </w:tcPr>
          <w:p/>
        </w:tc>
        <w:tc>
          <w:tcPr>
            <w:tcW w:type="dxa" w:w="415"/>
          </w:tcPr>
          <w:p>
            <w:pPr>
              <w:pStyle w:val="null3"/>
            </w:pPr>
            <w:r>
              <w:rPr/>
              <w:t>60</w:t>
            </w:r>
          </w:p>
        </w:tc>
        <w:tc>
          <w:tcPr>
            <w:tcW w:type="dxa" w:w="5814"/>
          </w:tcPr>
          <w:p>
            <w:pPr>
              <w:pStyle w:val="null3"/>
            </w:pPr>
            <w:r>
              <w:rPr/>
              <w:t>6.2安装完成后，专职应用工程师上门进行培训，包括仪器和软件操作、数据处理进行系统培训，教会使用人员能够独立完成该项目，方可认定验收完毕。</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▲6.3为便于后期药物浓度项目开展，要求仪器厂家提供免疫抑制剂、抗感染类药物、抗癫痫药、平喘药物、抗肿瘤药物、心理科药物、抗痴呆药物、抗结核药物等的校准品和质控品（提供相关的证明材料）。</w:t>
            </w:r>
          </w:p>
        </w:tc>
      </w:tr>
      <w:tr>
        <w:tc>
          <w:tcPr>
            <w:tcW w:type="dxa" w:w="2076"/>
          </w:tcPr>
          <w:p>
            <w:pPr>
              <w:pStyle w:val="null3"/>
            </w:pPr>
            <w:r>
              <w:rPr/>
              <w:t>▲</w:t>
            </w:r>
          </w:p>
        </w:tc>
        <w:tc>
          <w:tcPr>
            <w:tcW w:type="dxa" w:w="415"/>
          </w:tcPr>
          <w:p>
            <w:pPr>
              <w:pStyle w:val="null3"/>
            </w:pPr>
            <w:r>
              <w:rPr/>
              <w:t>62</w:t>
            </w:r>
          </w:p>
        </w:tc>
        <w:tc>
          <w:tcPr>
            <w:tcW w:type="dxa" w:w="5814"/>
          </w:tcPr>
          <w:p>
            <w:pPr>
              <w:pStyle w:val="null3"/>
            </w:pPr>
            <w:r>
              <w:rPr/>
              <w:t>▲6.4为保证设备的合理使用，要求设备厂家提供脂溶性维生素（≥5项）、水溶性维生素检测试剂盒（≥9项）、类固醇激素检测试剂盒（涵盖硫酸脱氢表雄酮、皮质醇、雄烯二酮、睾酮等指标）（提供相关的证明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计算基数，参照原国家计委计价格〔2002〕1980号文《招标代理服务收费管理暂行办法》及国家发展改革委原发改价格〔2011〕534号文《国家发展改革委关于降低部分建设项目收费标准规范收费行为等有关问题的通知》的有关规定执行（货物类），按差额定率累进法计算并下浮20%收取（按前述收费标准计算不足5000元人民币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其他，供应商在投标（响应）文件中加入《中标（成交）服务费承诺书及开票要求》（格式见招标公告附件），便于代理机构开具服务费发票。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广东省广州市越秀区东风东路726号9楼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三重四极杆液相色谱串联质谱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采购包1（三重四极杆液相色谱串联质谱系统）：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采购包1（三重四极杆液相色谱串联质谱系统）：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特定要求</w:t>
            </w:r>
          </w:p>
        </w:tc>
        <w:tc>
          <w:tcPr>
            <w:tcW w:type="dxa" w:w="4238"/>
          </w:tcPr>
          <w:p>
            <w:pPr>
              <w:pStyle w:val="null3"/>
            </w:pPr>
            <w:r>
              <w:rPr/>
              <w:t>（满足以下任一条件即可）：【适用于投标人为所投产品经营企业】①所投产品为第三类医疗器械，须具有《医疗器械经营许可证》；②所投产品为第二类医疗器械，须具有《第二类医疗器械经营备案凭证》或承诺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采购包1（三重四极杆液相色谱串联质谱系统）：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（1）对本采购包全部内容进行报价；（2）投标报价是唯一确定的；（3）投标报价不超过采购预算和最高限价（如有）。</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若采购包不允许采购进口产品，投标人不得以进口产品参与投标。</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采购包1(三重四极杆液相色谱串联质谱系统):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用户需求书中“2.技术标准与要求-附表一”带“▲”的重要技术条款（15条，以最低一级编号的条款为1条，标题不计入）的响应情况进行评审：带“▲”号的重要技术条款每有一条满足得2分，最高得30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(24.0分)</w:t>
            </w:r>
          </w:p>
        </w:tc>
        <w:tc>
          <w:tcPr>
            <w:tcW w:type="dxa" w:w="5076"/>
          </w:tcPr>
          <w:p>
            <w:pPr>
              <w:pStyle w:val="null3"/>
              <w:jc w:val="left"/>
            </w:pPr>
            <w:r>
              <w:rPr/>
              <w:t>根据投标人所投产品对用户需求书中“2.技术标准与要求-附表一”不带“▲”“★”号的一般技术条款（30条，以最低一级编号的条款为1条，标题不计入）的响应情况进行评审：不带“▲”“★”号的一般技术条款每有一条满足得0.8分，最高得24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投标人提供详细的售后服务方案，方案包括交货及安装内容、服务响应时间、零配件供应情况、维保服务内容、培训内容等，对各方案进行综合评审：具有完善具体可行的售后服务方案，响应快速、便捷，各阶段服务方案详尽，满足或优于采购人需求，得6分；有提供售后服务方案，且有可行性，响应及时，各阶段服务方案完整但不够详尽，仍能满足采购人需求，得4分；有提供售后服务方案，但可行性不强，售后服务内容及各阶段服务计划完整性有缺漏，响应速度有待提高，得2分；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投标人医疗设备的供货能力 (8.0分)</w:t>
            </w:r>
          </w:p>
        </w:tc>
        <w:tc>
          <w:tcPr>
            <w:tcW w:type="dxa" w:w="5076"/>
          </w:tcPr>
          <w:p>
            <w:pPr>
              <w:pStyle w:val="null3"/>
              <w:jc w:val="left"/>
            </w:pPr>
            <w:r>
              <w:rPr/>
              <w:t>投标人2022年1月1日以来具有医疗设备供货的业绩，每个得2分，最高得8分。【注：提供以投标人名义签订的合同复印件作为评价证明资料，日期以签订合同的时间为准，无签订时间或签订时间不明确不予计分】</w:t>
            </w:r>
          </w:p>
        </w:tc>
      </w:tr>
      <w:tr>
        <w:tc>
          <w:tcPr>
            <w:tcW w:type="dxa" w:w="922"/>
            <w:gridSpan w:val="2"/>
            <w:vMerge/>
          </w:tcPr>
          <w:p/>
        </w:tc>
        <w:tc>
          <w:tcPr>
            <w:tcW w:type="dxa" w:w="2307"/>
          </w:tcPr>
          <w:p>
            <w:pPr>
              <w:pStyle w:val="null3"/>
              <w:jc w:val="left"/>
            </w:pPr>
            <w:r>
              <w:rPr/>
              <w:t>投标人服务满意度情况 (2.0分)</w:t>
            </w:r>
          </w:p>
        </w:tc>
        <w:tc>
          <w:tcPr>
            <w:tcW w:type="dxa" w:w="5076"/>
          </w:tcPr>
          <w:p>
            <w:pPr>
              <w:pStyle w:val="null3"/>
              <w:jc w:val="left"/>
            </w:pPr>
            <w:r>
              <w:rPr/>
              <w:t>投标人具有用户满意度调查表或用户评价（评价需为正面），得2分，无提供不得分。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rPr>
        <w:t xml:space="preserve"> </w:t>
      </w:r>
    </w:p>
    <w:p>
      <w:pPr>
        <w:pStyle w:val="null3"/>
        <w:jc w:val="center"/>
      </w:pPr>
      <w:r>
        <w:rPr>
          <w:sz w:val="32"/>
          <w:b/>
        </w:rPr>
        <w:t>江门市中心医院医疗设备采购</w:t>
      </w:r>
      <w:r>
        <w:rPr>
          <w:sz w:val="32"/>
          <w:b/>
        </w:rPr>
        <w:t>合同</w:t>
      </w:r>
    </w:p>
    <w:p>
      <w:pPr>
        <w:pStyle w:val="null3"/>
        <w:jc w:val="center"/>
      </w:pPr>
      <w:r>
        <w:rPr/>
        <w:t xml:space="preserve"> </w:t>
      </w:r>
    </w:p>
    <w:p>
      <w:pPr>
        <w:pStyle w:val="null3"/>
        <w:jc w:val="center"/>
      </w:pPr>
      <w:r>
        <w:rPr>
          <w:sz w:val="24"/>
        </w:rPr>
        <w:t>购货单位：</w:t>
      </w:r>
      <w:r>
        <w:rPr>
          <w:sz w:val="24"/>
        </w:rPr>
        <w:t>江门市中心医院</w:t>
      </w:r>
      <w:r>
        <w:rPr>
          <w:sz w:val="24"/>
        </w:rPr>
        <w:t>（以下简称甲方）</w:t>
      </w:r>
    </w:p>
    <w:p>
      <w:pPr>
        <w:pStyle w:val="null3"/>
        <w:jc w:val="both"/>
      </w:pPr>
      <w:r>
        <w:rPr>
          <w:sz w:val="24"/>
        </w:rPr>
        <w:t>供货单位：</w:t>
      </w:r>
      <w:r>
        <w:rPr>
          <w:sz w:val="21"/>
          <w:u w:val="single"/>
        </w:rPr>
        <w:t xml:space="preserve">              </w:t>
      </w:r>
      <w:r>
        <w:rPr>
          <w:sz w:val="24"/>
        </w:rPr>
        <w:t>（以下简称乙方）</w:t>
      </w:r>
    </w:p>
    <w:p>
      <w:pPr>
        <w:pStyle w:val="null3"/>
        <w:jc w:val="both"/>
      </w:pPr>
      <w:r>
        <w:rPr/>
        <w:t xml:space="preserve"> </w:t>
      </w:r>
    </w:p>
    <w:p>
      <w:pPr>
        <w:pStyle w:val="null3"/>
        <w:ind w:firstLine="480"/>
        <w:jc w:val="both"/>
      </w:pPr>
      <w:r>
        <w:rPr>
          <w:sz w:val="24"/>
        </w:rPr>
        <w:t>甲乙双方根据《中华人民共和国民法典》、《中华人民共和国政府采购法》等有关法律法规的规定，按照</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日江门市中心医院医疗设备采购项目</w:t>
      </w:r>
      <w:r>
        <w:rPr>
          <w:sz w:val="21"/>
          <w:u w:val="single"/>
        </w:rPr>
        <w:t xml:space="preserve">                     </w:t>
      </w:r>
      <w:r>
        <w:rPr>
          <w:sz w:val="24"/>
        </w:rPr>
        <w:t>的</w:t>
      </w:r>
      <w:r>
        <w:rPr>
          <w:sz w:val="24"/>
        </w:rPr>
        <w:t>采购结果、</w:t>
      </w:r>
      <w:r>
        <w:rPr>
          <w:sz w:val="24"/>
        </w:rPr>
        <w:t>招标文件、乙方的投标文件</w:t>
      </w:r>
      <w:r>
        <w:rPr>
          <w:sz w:val="24"/>
        </w:rPr>
        <w:t>及澄清文件和中标通知书</w:t>
      </w:r>
      <w:r>
        <w:rPr>
          <w:sz w:val="24"/>
        </w:rPr>
        <w:t>（以上文件发生冲突时以较高标准为准）</w:t>
      </w:r>
      <w:r>
        <w:rPr>
          <w:sz w:val="24"/>
        </w:rPr>
        <w:t>的要求，</w:t>
      </w:r>
      <w:r>
        <w:rPr>
          <w:sz w:val="24"/>
        </w:rPr>
        <w:t>经双方协商一致，订立合同如下：</w:t>
      </w:r>
    </w:p>
    <w:p>
      <w:pPr>
        <w:pStyle w:val="null3"/>
        <w:ind w:firstLine="482"/>
        <w:jc w:val="left"/>
      </w:pPr>
      <w:r>
        <w:rPr>
          <w:sz w:val="24"/>
          <w:b/>
        </w:rPr>
        <w:t>第一条</w:t>
      </w:r>
      <w:r>
        <w:rPr>
          <w:sz w:val="24"/>
          <w:b/>
        </w:rPr>
        <w:t xml:space="preserve">  </w:t>
      </w:r>
      <w:r>
        <w:rPr>
          <w:sz w:val="24"/>
          <w:b/>
        </w:rPr>
        <w:t>项目的名称、项目总价和项目货物的清单（如名称、数量、规格、单价、型号、品牌和技术指标等）</w:t>
      </w:r>
    </w:p>
    <w:p>
      <w:pPr>
        <w:pStyle w:val="null3"/>
        <w:ind w:firstLine="480"/>
        <w:jc w:val="both"/>
      </w:pPr>
      <w:r>
        <w:rPr>
          <w:sz w:val="24"/>
        </w:rPr>
        <w:t>（一）项目名称：</w:t>
      </w:r>
      <w:r>
        <w:rPr>
          <w:sz w:val="21"/>
          <w:u w:val="single"/>
        </w:rPr>
        <w:t xml:space="preserve">                      </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69"/>
        <w:gridCol w:w="1002"/>
        <w:gridCol w:w="1200"/>
        <w:gridCol w:w="1770"/>
        <w:gridCol w:w="1114"/>
        <w:gridCol w:w="618"/>
        <w:gridCol w:w="990"/>
        <w:gridCol w:w="1002"/>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注册证名称</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产地和制造商名称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合同金额</w:t>
            </w:r>
            <w:r>
              <w:rPr>
                <w:sz w:val="21"/>
              </w:rPr>
              <w:t>：人民币（大写）：</w:t>
            </w:r>
            <w:r>
              <w:rPr>
                <w:sz w:val="21"/>
                <w:u w:val="single"/>
              </w:rPr>
              <w:t xml:space="preserve">              </w:t>
            </w:r>
            <w:r>
              <w:rPr>
                <w:sz w:val="21"/>
                <w:u w:val="single"/>
              </w:rPr>
              <w:t xml:space="preserve"> </w:t>
            </w:r>
            <w:r>
              <w:rPr>
                <w:sz w:val="21"/>
              </w:rPr>
              <w:t>；（小写）</w:t>
            </w:r>
            <w:r>
              <w:rPr>
                <w:sz w:val="21"/>
                <w:u w:val="single"/>
              </w:rPr>
              <w:t>¥</w:t>
            </w:r>
            <w:r>
              <w:rPr>
                <w:sz w:val="21"/>
                <w:u w:val="single"/>
              </w:rPr>
              <w:t xml:space="preserve">             </w:t>
            </w:r>
            <w:r>
              <w:rPr>
                <w:sz w:val="21"/>
              </w:rPr>
              <w:t>。</w:t>
            </w:r>
          </w:p>
          <w:p>
            <w:pPr>
              <w:pStyle w:val="null3"/>
              <w:jc w:val="both"/>
            </w:pPr>
            <w:r>
              <w:rPr>
                <w:sz w:val="21"/>
              </w:rPr>
              <w:t>其中增值税税款为</w:t>
            </w:r>
            <w:r>
              <w:rPr>
                <w:sz w:val="32"/>
                <w:u w:val="single"/>
              </w:rPr>
              <w:t xml:space="preserve">       </w:t>
            </w:r>
            <w:r>
              <w:rPr>
                <w:sz w:val="21"/>
              </w:rPr>
              <w:t>元，税率为</w:t>
            </w:r>
            <w:r>
              <w:rPr>
                <w:sz w:val="32"/>
                <w:u w:val="single"/>
              </w:rPr>
              <w:t xml:space="preserve">     </w:t>
            </w:r>
            <w:r>
              <w:rPr>
                <w:sz w:val="21"/>
              </w:rPr>
              <w:t>%</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rPr>
                <w:sz w:val="21"/>
              </w:rPr>
              <w:t>注册证编号：</w:t>
            </w:r>
            <w:r>
              <w:rPr>
                <w:sz w:val="21"/>
                <w:u w:val="single"/>
              </w:rPr>
              <w:t xml:space="preserve">                </w:t>
            </w:r>
            <w:r>
              <w:rPr>
                <w:sz w:val="21"/>
              </w:rPr>
              <w:t>。</w:t>
            </w:r>
          </w:p>
        </w:tc>
      </w:tr>
    </w:tbl>
    <w:p>
      <w:pPr>
        <w:pStyle w:val="null3"/>
        <w:ind w:firstLine="480"/>
        <w:jc w:val="both"/>
      </w:pPr>
      <w:r>
        <w:rPr>
          <w:sz w:val="24"/>
        </w:rPr>
        <w:t>（二）项目总价是完成项目的含税全包价，</w:t>
      </w:r>
      <w:r>
        <w:rPr>
          <w:sz w:val="24"/>
        </w:rPr>
        <w:t>乙方需无偿开放所有数据接口，后期不再另行收取甲方或第三方任何接口费用</w:t>
      </w:r>
      <w:r>
        <w:rPr>
          <w:sz w:val="24"/>
        </w:rPr>
        <w:t>。</w:t>
      </w:r>
      <w:r>
        <w:rPr>
          <w:sz w:val="24"/>
        </w:rPr>
        <w:t>所有价格变动的风险均由乙方承担</w:t>
      </w:r>
      <w:r>
        <w:rPr>
          <w:sz w:val="24"/>
        </w:rPr>
        <w:t>，甲方不需再向乙方支付任何其他费用。</w:t>
      </w:r>
    </w:p>
    <w:p>
      <w:pPr>
        <w:pStyle w:val="null3"/>
        <w:ind w:firstLine="480"/>
        <w:jc w:val="both"/>
      </w:pPr>
      <w:r>
        <w:rPr>
          <w:sz w:val="24"/>
        </w:rPr>
        <w:t>（三）货物清单：</w:t>
      </w:r>
      <w:r>
        <w:rPr>
          <w:sz w:val="24"/>
        </w:rPr>
        <w:t>详见合同附后配置清单。</w:t>
      </w:r>
    </w:p>
    <w:p>
      <w:pPr>
        <w:pStyle w:val="null3"/>
        <w:ind w:firstLine="480"/>
        <w:jc w:val="both"/>
      </w:pPr>
      <w:r>
        <w:rPr>
          <w:sz w:val="24"/>
        </w:rPr>
        <w:t>（四）服务内容：</w:t>
      </w:r>
      <w:r>
        <w:rPr>
          <w:sz w:val="24"/>
        </w:rPr>
        <w:t>按</w:t>
      </w:r>
      <w:r>
        <w:rPr>
          <w:sz w:val="24"/>
        </w:rPr>
        <w:t>照</w:t>
      </w:r>
      <w:r>
        <w:rPr>
          <w:sz w:val="24"/>
        </w:rPr>
        <w:t>本合同约定、</w:t>
      </w:r>
      <w:r>
        <w:rPr>
          <w:sz w:val="24"/>
        </w:rPr>
        <w:t>招标文件</w:t>
      </w:r>
      <w:r>
        <w:rPr>
          <w:sz w:val="24"/>
        </w:rPr>
        <w:t>、</w:t>
      </w:r>
      <w:r>
        <w:rPr>
          <w:sz w:val="24"/>
        </w:rPr>
        <w:t>乙方</w:t>
      </w:r>
      <w:r>
        <w:rPr>
          <w:sz w:val="24"/>
        </w:rPr>
        <w:t>的</w:t>
      </w:r>
      <w:r>
        <w:rPr>
          <w:sz w:val="24"/>
        </w:rPr>
        <w:t>投标文件</w:t>
      </w:r>
      <w:r>
        <w:rPr>
          <w:sz w:val="24"/>
        </w:rPr>
        <w:t>（以上文件发生冲突时以较高标准为准）</w:t>
      </w:r>
      <w:r>
        <w:rPr>
          <w:sz w:val="24"/>
        </w:rPr>
        <w:t>执行。</w:t>
      </w:r>
    </w:p>
    <w:p>
      <w:pPr>
        <w:pStyle w:val="null3"/>
        <w:ind w:firstLine="482"/>
        <w:jc w:val="both"/>
      </w:pPr>
      <w:r>
        <w:rPr>
          <w:sz w:val="24"/>
          <w:b/>
        </w:rPr>
        <w:t>第二条</w:t>
      </w:r>
      <w:r>
        <w:rPr>
          <w:sz w:val="24"/>
          <w:b/>
        </w:rPr>
        <w:t xml:space="preserve">  </w:t>
      </w:r>
      <w:r>
        <w:rPr>
          <w:sz w:val="24"/>
          <w:b/>
        </w:rPr>
        <w:t>货物的质量要求、售后服务及损害赔偿</w:t>
      </w:r>
    </w:p>
    <w:p>
      <w:pPr>
        <w:pStyle w:val="null3"/>
        <w:ind w:firstLine="480"/>
        <w:jc w:val="both"/>
      </w:pPr>
      <w:r>
        <w:rPr>
          <w:sz w:val="24"/>
        </w:rPr>
        <w:t>（一）货物的质量要求：符合国家有关标准、制造厂家标准，</w:t>
      </w:r>
      <w:r>
        <w:rPr>
          <w:sz w:val="24"/>
        </w:rPr>
        <w:t>按照</w:t>
      </w:r>
      <w:r>
        <w:rPr>
          <w:sz w:val="24"/>
        </w:rPr>
        <w:t>本合同约定、</w:t>
      </w:r>
      <w:r>
        <w:rPr>
          <w:sz w:val="24"/>
        </w:rPr>
        <w:t>招标文件、乙方的投标文件、</w:t>
      </w:r>
      <w:r>
        <w:rPr>
          <w:sz w:val="24"/>
        </w:rPr>
        <w:t>澄清文件和中标通知书</w:t>
      </w:r>
      <w:r>
        <w:rPr>
          <w:sz w:val="24"/>
        </w:rPr>
        <w:t>（以上文件发生冲突时以较高标准为准）</w:t>
      </w:r>
      <w:r>
        <w:rPr>
          <w:sz w:val="24"/>
        </w:rPr>
        <w:t>的要求执行。</w:t>
      </w:r>
    </w:p>
    <w:p>
      <w:pPr>
        <w:pStyle w:val="null3"/>
        <w:ind w:firstLine="480"/>
        <w:jc w:val="both"/>
      </w:pPr>
      <w:r>
        <w:rPr>
          <w:sz w:val="24"/>
        </w:rPr>
        <w:t>（二）售后服务要求：</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1、乙方须有属本公司的可随时上门作维修及检测的工程师，设备出现故障时能在</w:t>
      </w:r>
      <w:r>
        <w:rPr>
          <w:sz w:val="21"/>
          <w:u w:val="single"/>
        </w:rPr>
        <w:t xml:space="preserve">     </w:t>
      </w:r>
      <w:r>
        <w:rPr>
          <w:sz w:val="24"/>
        </w:rPr>
        <w:t>小时内响应，</w:t>
      </w:r>
      <w:r>
        <w:rPr>
          <w:sz w:val="21"/>
          <w:u w:val="single"/>
        </w:rPr>
        <w:t xml:space="preserve">     </w:t>
      </w:r>
      <w:r>
        <w:rPr>
          <w:sz w:val="24"/>
        </w:rPr>
        <w:t>小时内上门维修</w:t>
      </w:r>
      <w:r>
        <w:rPr>
          <w:sz w:val="24"/>
        </w:rPr>
        <w:t>，</w:t>
      </w:r>
      <w:r>
        <w:rPr>
          <w:sz w:val="21"/>
          <w:u w:val="single"/>
        </w:rPr>
        <w:t xml:space="preserve">     </w:t>
      </w:r>
      <w:r>
        <w:rPr>
          <w:sz w:val="24"/>
        </w:rPr>
        <w:t>小时内处理完毕。若在规定时间内，乙方仍未能有效解决，甲方有权另行委托第三方提供服务或要求乙方免费提供同</w:t>
      </w:r>
      <w:r>
        <w:rPr>
          <w:sz w:val="24"/>
        </w:rPr>
        <w:t>品级</w:t>
      </w:r>
      <w:r>
        <w:rPr>
          <w:sz w:val="24"/>
        </w:rPr>
        <w:t>的设备或零部件予甲方临时使用，由此产生的相关费用由乙方承担。</w:t>
      </w:r>
    </w:p>
    <w:p>
      <w:pPr>
        <w:pStyle w:val="null3"/>
        <w:ind w:firstLine="480"/>
        <w:jc w:val="both"/>
      </w:pPr>
      <w:r>
        <w:rPr>
          <w:sz w:val="24"/>
        </w:rPr>
        <w:t>2、</w:t>
      </w:r>
      <w:r>
        <w:rPr>
          <w:sz w:val="24"/>
        </w:rPr>
        <w:t>乙方须负责本合同下所有设备免费保修</w:t>
      </w:r>
      <w:r>
        <w:rPr>
          <w:sz w:val="21"/>
          <w:u w:val="single"/>
        </w:rPr>
        <w:t xml:space="preserve">     </w:t>
      </w:r>
      <w:r>
        <w:rPr>
          <w:sz w:val="24"/>
        </w:rPr>
        <w:t>年，免费维修的范围包括但不限于更换零件费用及维修工时费等；保修期自本合同项下的设备经甲乙双方验收合格之日起计算。保修期内，乙方须提供</w:t>
      </w:r>
      <w:r>
        <w:rPr>
          <w:sz w:val="24"/>
        </w:rPr>
        <w:t>7</w:t>
      </w:r>
      <w:r>
        <w:rPr>
          <w:sz w:val="24"/>
        </w:rPr>
        <w:t>*24</w:t>
      </w:r>
      <w:r>
        <w:rPr>
          <w:sz w:val="24"/>
        </w:rPr>
        <w:t>小时服务。</w:t>
      </w:r>
      <w:r>
        <w:rPr>
          <w:sz w:val="24"/>
        </w:rPr>
        <w:t>乙方维修热线：</w:t>
      </w:r>
      <w:r>
        <w:rPr>
          <w:sz w:val="21"/>
          <w:u w:val="single"/>
        </w:rPr>
        <w:t xml:space="preserve">           </w:t>
      </w:r>
      <w:r>
        <w:rPr>
          <w:sz w:val="24"/>
        </w:rPr>
        <w:t>。本合同期内乙方不得擅自变更或取消服务热线，如须变更或取消的，应提前</w:t>
      </w:r>
      <w:r>
        <w:rPr>
          <w:sz w:val="24"/>
        </w:rPr>
        <w:t>5</w:t>
      </w:r>
      <w:r>
        <w:rPr>
          <w:sz w:val="24"/>
        </w:rPr>
        <w:t>个工作日以书面形式通知甲方，否则乙方应承担因服务热线变更或取消造成的一切不利后果。</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（三）如因乙方货物质量或设计原因，导致甲方损失，乙方应予以赔偿。</w:t>
      </w:r>
    </w:p>
    <w:p>
      <w:pPr>
        <w:pStyle w:val="null3"/>
        <w:ind w:firstLine="482"/>
        <w:jc w:val="both"/>
      </w:pPr>
      <w:r>
        <w:rPr>
          <w:sz w:val="24"/>
          <w:b/>
        </w:rPr>
        <w:t>第三条</w:t>
      </w:r>
      <w:r>
        <w:rPr>
          <w:sz w:val="24"/>
          <w:b/>
        </w:rPr>
        <w:t xml:space="preserve">  </w:t>
      </w:r>
      <w:r>
        <w:rPr>
          <w:sz w:val="24"/>
          <w:b/>
        </w:rPr>
        <w:t>交货和安装</w:t>
      </w:r>
    </w:p>
    <w:p>
      <w:pPr>
        <w:pStyle w:val="null3"/>
        <w:ind w:firstLine="480"/>
        <w:jc w:val="both"/>
      </w:pPr>
      <w:r>
        <w:rPr>
          <w:sz w:val="24"/>
        </w:rPr>
        <w:t>（一）</w:t>
      </w:r>
      <w:r>
        <w:rPr>
          <w:sz w:val="24"/>
        </w:rPr>
        <w:t>生产日期要求；</w:t>
      </w:r>
      <w:r>
        <w:rPr>
          <w:sz w:val="24"/>
        </w:rPr>
        <w:t>因使用年限方面的要求，故乙方供给甲方的货物的生产日期需在乙方交货日期起前</w:t>
      </w:r>
      <w:r>
        <w:rPr>
          <w:sz w:val="24"/>
        </w:rPr>
        <w:t>18</w:t>
      </w:r>
      <w:r>
        <w:rPr>
          <w:sz w:val="24"/>
        </w:rPr>
        <w:t>个月内，甲方将结合设备出厂铭牌等材料进行验收。</w:t>
      </w:r>
    </w:p>
    <w:p>
      <w:pPr>
        <w:pStyle w:val="null3"/>
        <w:ind w:firstLine="480"/>
        <w:jc w:val="both"/>
      </w:pPr>
      <w:r>
        <w:rPr>
          <w:sz w:val="24"/>
        </w:rPr>
        <w:t>（</w:t>
      </w:r>
      <w:r>
        <w:rPr>
          <w:sz w:val="24"/>
        </w:rPr>
        <w:t>二</w:t>
      </w:r>
      <w:r>
        <w:rPr>
          <w:sz w:val="24"/>
        </w:rPr>
        <w:t>）</w:t>
      </w:r>
      <w:r>
        <w:rPr>
          <w:sz w:val="24"/>
        </w:rPr>
        <w:t>交货期：</w:t>
      </w:r>
      <w:r>
        <w:rPr>
          <w:sz w:val="24"/>
        </w:rPr>
        <w:t>所有货物须在</w:t>
      </w:r>
      <w:r>
        <w:rPr>
          <w:sz w:val="24"/>
        </w:rPr>
        <w:t>合同签订后</w:t>
      </w:r>
      <w:r>
        <w:rPr>
          <w:sz w:val="21"/>
          <w:u w:val="single"/>
        </w:rPr>
        <w:t xml:space="preserve">     </w:t>
      </w:r>
      <w:r>
        <w:rPr>
          <w:sz w:val="24"/>
        </w:rPr>
        <w:t>内</w:t>
      </w:r>
      <w:r>
        <w:rPr>
          <w:sz w:val="24"/>
        </w:rPr>
        <w:t>安装、调试完毕，能够投入使用并且通过验收</w:t>
      </w:r>
      <w:r>
        <w:rPr>
          <w:sz w:val="24"/>
        </w:rPr>
        <w:t>。</w:t>
      </w:r>
    </w:p>
    <w:p>
      <w:pPr>
        <w:pStyle w:val="null3"/>
        <w:ind w:firstLine="480"/>
        <w:jc w:val="both"/>
      </w:pPr>
      <w:r>
        <w:rPr>
          <w:sz w:val="24"/>
        </w:rPr>
        <w:t>（</w:t>
      </w:r>
      <w:r>
        <w:rPr>
          <w:sz w:val="24"/>
        </w:rPr>
        <w:t>三</w:t>
      </w:r>
      <w:r>
        <w:rPr>
          <w:sz w:val="24"/>
        </w:rPr>
        <w:t>）交货方式：乙方负责将货物送至江门市中心医院指定地点。</w:t>
      </w:r>
    </w:p>
    <w:p>
      <w:pPr>
        <w:pStyle w:val="null3"/>
        <w:ind w:firstLine="480"/>
        <w:jc w:val="both"/>
      </w:pPr>
      <w:r>
        <w:rPr>
          <w:sz w:val="24"/>
        </w:rPr>
        <w:t>（</w:t>
      </w:r>
      <w:r>
        <w:rPr>
          <w:sz w:val="24"/>
        </w:rPr>
        <w:t>四</w:t>
      </w:r>
      <w:r>
        <w:rPr>
          <w:sz w:val="24"/>
        </w:rPr>
        <w:t>）设备的安装：由乙方负责。</w:t>
      </w:r>
    </w:p>
    <w:p>
      <w:pPr>
        <w:pStyle w:val="null3"/>
        <w:ind w:firstLine="482"/>
        <w:jc w:val="both"/>
      </w:pPr>
      <w:r>
        <w:rPr>
          <w:sz w:val="24"/>
          <w:b/>
        </w:rPr>
        <w:t>第四条</w:t>
      </w:r>
      <w:r>
        <w:rPr>
          <w:sz w:val="24"/>
          <w:b/>
        </w:rPr>
        <w:t xml:space="preserve">  </w:t>
      </w:r>
      <w:r>
        <w:rPr>
          <w:sz w:val="24"/>
          <w:b/>
        </w:rPr>
        <w:t>货款的结算</w:t>
      </w:r>
    </w:p>
    <w:p>
      <w:pPr>
        <w:pStyle w:val="null3"/>
        <w:ind w:firstLine="480"/>
        <w:jc w:val="both"/>
      </w:pPr>
      <w:r>
        <w:rPr>
          <w:sz w:val="24"/>
        </w:rPr>
        <w:t>（</w:t>
      </w:r>
      <w:r>
        <w:rPr>
          <w:sz w:val="24"/>
        </w:rPr>
        <w:t>一</w:t>
      </w:r>
      <w:r>
        <w:rPr>
          <w:sz w:val="24"/>
        </w:rPr>
        <w:t>）</w:t>
      </w:r>
      <w:r>
        <w:rPr>
          <w:sz w:val="24"/>
        </w:rPr>
        <w:t>具体结算</w:t>
      </w:r>
      <w:r>
        <w:rPr>
          <w:sz w:val="24"/>
        </w:rPr>
        <w:t>方</w:t>
      </w:r>
      <w:r>
        <w:rPr>
          <w:sz w:val="24"/>
        </w:rPr>
        <w:t>式：</w:t>
      </w:r>
    </w:p>
    <w:p>
      <w:pPr>
        <w:pStyle w:val="null3"/>
        <w:ind w:firstLine="480"/>
        <w:jc w:val="both"/>
      </w:pPr>
      <w:r>
        <w:rPr>
          <w:sz w:val="24"/>
        </w:rPr>
        <w:t>1.</w:t>
      </w:r>
      <w:r>
        <w:rPr>
          <w:sz w:val="24"/>
        </w:rPr>
        <w:t>第一期：合同签订生效后的</w:t>
      </w:r>
      <w:r>
        <w:rPr>
          <w:sz w:val="24"/>
        </w:rPr>
        <w:t>30个工作日内，将合同总金额的</w:t>
      </w:r>
      <w:r>
        <w:rPr>
          <w:sz w:val="24"/>
        </w:rPr>
        <w:t>3</w:t>
      </w:r>
      <w:r>
        <w:rPr>
          <w:sz w:val="24"/>
        </w:rPr>
        <w:t>0%</w:t>
      </w:r>
      <w:r>
        <w:rPr>
          <w:sz w:val="24"/>
        </w:rPr>
        <w:t>（</w:t>
      </w:r>
      <w:r>
        <w:rPr>
          <w:sz w:val="24"/>
        </w:rPr>
        <w:t>即</w:t>
      </w:r>
      <w:r>
        <w:rPr>
          <w:sz w:val="24"/>
        </w:rPr>
        <w:t>¥</w:t>
      </w:r>
      <w:r>
        <w:rPr>
          <w:sz w:val="21"/>
          <w:u w:val="single"/>
        </w:rPr>
        <w:t xml:space="preserve">      </w:t>
      </w:r>
      <w:r>
        <w:rPr>
          <w:sz w:val="24"/>
        </w:rPr>
        <w:t>）</w:t>
      </w:r>
      <w:r>
        <w:rPr>
          <w:sz w:val="24"/>
        </w:rPr>
        <w:t>支付给乙方。</w:t>
      </w:r>
    </w:p>
    <w:p>
      <w:pPr>
        <w:pStyle w:val="null3"/>
        <w:ind w:firstLine="480"/>
        <w:jc w:val="both"/>
      </w:pPr>
      <w:r>
        <w:rPr>
          <w:sz w:val="24"/>
        </w:rPr>
        <w:t>2.</w:t>
      </w:r>
      <w:r>
        <w:rPr>
          <w:sz w:val="24"/>
        </w:rPr>
        <w:t>乙方须在收到第一期货款后的</w:t>
      </w:r>
      <w:r>
        <w:rPr>
          <w:sz w:val="24"/>
        </w:rPr>
        <w:t>5个工作日内</w:t>
      </w:r>
      <w:r>
        <w:rPr>
          <w:sz w:val="24"/>
        </w:rPr>
        <w:t>向甲方支付</w:t>
      </w:r>
      <w:r>
        <w:rPr>
          <w:sz w:val="24"/>
        </w:rPr>
        <w:t>合同总金额</w:t>
      </w:r>
      <w:r>
        <w:rPr>
          <w:sz w:val="24"/>
        </w:rPr>
        <w:t>的</w:t>
      </w:r>
      <w:r>
        <w:rPr>
          <w:sz w:val="24"/>
        </w:rPr>
        <w:t>5%</w:t>
      </w:r>
      <w:r>
        <w:rPr>
          <w:sz w:val="24"/>
        </w:rPr>
        <w:t>（</w:t>
      </w:r>
      <w:r>
        <w:rPr>
          <w:sz w:val="24"/>
        </w:rPr>
        <w:t>即</w:t>
      </w:r>
      <w:r>
        <w:rPr>
          <w:sz w:val="24"/>
        </w:rPr>
        <w:t>¥</w:t>
      </w:r>
      <w:r>
        <w:rPr>
          <w:sz w:val="21"/>
          <w:u w:val="single"/>
        </w:rPr>
        <w:t xml:space="preserve">      </w:t>
      </w:r>
      <w:r>
        <w:rPr>
          <w:sz w:val="24"/>
        </w:rPr>
        <w:t>）</w:t>
      </w:r>
      <w:r>
        <w:rPr>
          <w:sz w:val="24"/>
        </w:rPr>
        <w:t>作为履约保证金，可转账或采取</w:t>
      </w:r>
      <w:r>
        <w:rPr>
          <w:sz w:val="24"/>
        </w:rPr>
        <w:t>银行保函</w:t>
      </w:r>
      <w:r>
        <w:rPr>
          <w:sz w:val="24"/>
        </w:rPr>
        <w:t>形式</w:t>
      </w:r>
      <w:r>
        <w:rPr>
          <w:sz w:val="24"/>
        </w:rPr>
        <w:t>，银行保函有效期至合同履约结束；</w:t>
      </w:r>
      <w:r>
        <w:rPr>
          <w:sz w:val="24"/>
        </w:rPr>
        <w:t>如转账支付履约保证金的，</w:t>
      </w:r>
      <w:r>
        <w:rPr>
          <w:sz w:val="24"/>
        </w:rPr>
        <w:t>2年免费保修期满后的60日内由甲方不计利息退还履约保证金，</w:t>
      </w:r>
      <w:r>
        <w:rPr>
          <w:sz w:val="24"/>
        </w:rPr>
        <w:t>免费保修期依然生效。</w:t>
      </w:r>
    </w:p>
    <w:p>
      <w:pPr>
        <w:pStyle w:val="null3"/>
        <w:ind w:firstLine="480"/>
        <w:jc w:val="both"/>
      </w:pPr>
      <w:r>
        <w:rPr>
          <w:sz w:val="24"/>
        </w:rPr>
        <w:t>3.第二期：设备运到指定地点，安装调试完毕并验收合格入库后且乙方完成履约保证金相关手续后30个工作日内将合同总金额的70%（即¥</w:t>
      </w:r>
      <w:r>
        <w:rPr>
          <w:sz w:val="21"/>
          <w:u w:val="single"/>
        </w:rPr>
        <w:t xml:space="preserve">      </w:t>
      </w:r>
      <w:r>
        <w:rPr>
          <w:sz w:val="24"/>
        </w:rPr>
        <w:t>）支付给乙方。</w:t>
      </w:r>
    </w:p>
    <w:p>
      <w:pPr>
        <w:pStyle w:val="null3"/>
        <w:ind w:firstLine="480"/>
        <w:jc w:val="both"/>
      </w:pPr>
      <w:r>
        <w:rPr>
          <w:sz w:val="24"/>
        </w:rPr>
        <w:t>4.</w:t>
      </w:r>
      <w:r>
        <w:rPr>
          <w:sz w:val="24"/>
        </w:rPr>
        <w:t>乙方</w:t>
      </w:r>
      <w:r>
        <w:rPr>
          <w:sz w:val="24"/>
        </w:rPr>
        <w:t>保修</w:t>
      </w:r>
      <w:r>
        <w:rPr>
          <w:sz w:val="24"/>
        </w:rPr>
        <w:t>期违反合同及其附件约定的任何义务，甲方有权在履约保证金中直接扣除乙方应向甲方支付的违约金或损失赔偿额，如有不足的，乙方应按照甲方要求对超过的部分予以赔偿。甲方扣除履约保证金后，乙方应按照甲方要求补足履约保证金。</w:t>
      </w:r>
    </w:p>
    <w:p>
      <w:pPr>
        <w:pStyle w:val="null3"/>
        <w:ind w:firstLine="480"/>
        <w:jc w:val="both"/>
      </w:pPr>
      <w:r>
        <w:rPr>
          <w:sz w:val="24"/>
        </w:rPr>
        <w:t>（</w:t>
      </w:r>
      <w:r>
        <w:rPr>
          <w:sz w:val="24"/>
        </w:rPr>
        <w:t>二</w:t>
      </w:r>
      <w:r>
        <w:rPr>
          <w:sz w:val="24"/>
        </w:rPr>
        <w:t>）乙方须在第二期付款时间前</w:t>
      </w:r>
      <w:r>
        <w:rPr>
          <w:sz w:val="24"/>
        </w:rPr>
        <w:t>30日提供合法有效的全额发票给甲方。</w:t>
      </w:r>
    </w:p>
    <w:p>
      <w:pPr>
        <w:pStyle w:val="null3"/>
        <w:ind w:firstLine="482"/>
        <w:jc w:val="both"/>
      </w:pPr>
      <w:r>
        <w:rPr>
          <w:sz w:val="24"/>
          <w:b/>
        </w:rPr>
        <w:t>第五条</w:t>
      </w:r>
      <w:r>
        <w:rPr>
          <w:sz w:val="24"/>
          <w:b/>
        </w:rPr>
        <w:t xml:space="preserve">  </w:t>
      </w:r>
      <w:r>
        <w:rPr>
          <w:sz w:val="24"/>
          <w:b/>
        </w:rPr>
        <w:t>验收方式</w:t>
      </w:r>
    </w:p>
    <w:p>
      <w:pPr>
        <w:pStyle w:val="null3"/>
        <w:ind w:firstLine="480"/>
        <w:jc w:val="both"/>
      </w:pPr>
      <w:r>
        <w:rPr>
          <w:sz w:val="24"/>
        </w:rPr>
        <w:t>（一）验收时间：</w:t>
      </w:r>
      <w:r>
        <w:rPr>
          <w:sz w:val="24"/>
        </w:rPr>
        <w:t>设备安装调试完毕正常运行后</w:t>
      </w:r>
      <w:r>
        <w:rPr>
          <w:sz w:val="24"/>
        </w:rPr>
        <w:t>1个月内。</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w:t>
      </w:r>
      <w:r>
        <w:rPr>
          <w:sz w:val="24"/>
        </w:rPr>
        <w:t>符合本合同约定、</w:t>
      </w:r>
      <w:r>
        <w:rPr>
          <w:sz w:val="24"/>
        </w:rPr>
        <w:t>招标文件、乙方的投标文件</w:t>
      </w:r>
      <w:r>
        <w:rPr>
          <w:sz w:val="24"/>
        </w:rPr>
        <w:t>、澄清文件和中标通知书</w:t>
      </w:r>
      <w:r>
        <w:rPr>
          <w:sz w:val="24"/>
        </w:rPr>
        <w:t>（以上文件发生冲突时以较高标准为准）</w:t>
      </w:r>
      <w:r>
        <w:rPr>
          <w:sz w:val="24"/>
        </w:rPr>
        <w:t>的要求；</w:t>
      </w:r>
      <w:r>
        <w:rPr>
          <w:sz w:val="24"/>
        </w:rPr>
        <w:t>单证齐全，有产品合格证（或质量保证书）、发票和其它应当具有单证文件。</w:t>
      </w:r>
    </w:p>
    <w:p>
      <w:pPr>
        <w:pStyle w:val="null3"/>
        <w:ind w:firstLine="482"/>
        <w:jc w:val="both"/>
      </w:pPr>
      <w:r>
        <w:rPr>
          <w:sz w:val="24"/>
          <w:b/>
        </w:rPr>
        <w:t>第六条</w:t>
      </w:r>
      <w:r>
        <w:rPr>
          <w:sz w:val="24"/>
          <w:b/>
        </w:rPr>
        <w:t xml:space="preserve">  </w:t>
      </w:r>
      <w:r>
        <w:rPr>
          <w:sz w:val="24"/>
          <w:b/>
        </w:rPr>
        <w:t>对产品异议的时间和办法</w:t>
      </w:r>
    </w:p>
    <w:p>
      <w:pPr>
        <w:pStyle w:val="null3"/>
        <w:ind w:firstLine="480"/>
        <w:jc w:val="both"/>
      </w:pPr>
      <w:r>
        <w:rPr>
          <w:sz w:val="24"/>
        </w:rPr>
        <w:t>（一）甲方在验收中，如果发现货物的品种、型号、数量、规格、质量或有关</w:t>
      </w:r>
      <w:r>
        <w:rPr>
          <w:sz w:val="24"/>
        </w:rPr>
        <w:t>服务、</w:t>
      </w:r>
      <w:r>
        <w:rPr>
          <w:sz w:val="24"/>
        </w:rPr>
        <w:t>软件及有关工程不合规定的，应妥为保管，并在三十日内向乙方提出书面异议。甲方怠于通知或者自货物收到之日起三个月内未通知乙方的，视为货物合乎规定。</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2"/>
        <w:jc w:val="both"/>
      </w:pPr>
      <w:r>
        <w:rPr>
          <w:sz w:val="24"/>
          <w:b/>
        </w:rPr>
        <w:t>第七条</w:t>
      </w:r>
      <w:r>
        <w:rPr>
          <w:sz w:val="24"/>
          <w:b/>
        </w:rPr>
        <w:t xml:space="preserve">  </w:t>
      </w:r>
      <w:r>
        <w:rPr>
          <w:sz w:val="24"/>
          <w:b/>
        </w:rPr>
        <w:t>乙方的违约责任</w:t>
      </w:r>
    </w:p>
    <w:p>
      <w:pPr>
        <w:pStyle w:val="null3"/>
        <w:ind w:firstLine="480"/>
        <w:jc w:val="both"/>
      </w:pPr>
      <w:r>
        <w:rPr>
          <w:sz w:val="24"/>
        </w:rPr>
        <w:t>（一）乙方不能交货的，甲方不向乙方付款。甲方有权解除本合同，乙方应向甲方偿付合同总价的百分之</w:t>
      </w:r>
      <w:r>
        <w:rPr>
          <w:sz w:val="24"/>
        </w:rPr>
        <w:t>1</w:t>
      </w:r>
      <w:r>
        <w:rPr>
          <w:sz w:val="24"/>
        </w:rPr>
        <w:t>5</w:t>
      </w:r>
      <w:r>
        <w:rPr>
          <w:sz w:val="24"/>
        </w:rPr>
        <w:t>作为违约金，违约金不足以弥补甲方损失的，乙方应赔偿甲方实际损失。</w:t>
      </w:r>
    </w:p>
    <w:p>
      <w:pPr>
        <w:pStyle w:val="null3"/>
        <w:ind w:firstLine="480"/>
        <w:jc w:val="both"/>
      </w:pPr>
      <w:r>
        <w:rPr>
          <w:sz w:val="24"/>
        </w:rPr>
        <w:t>（二）乙方所交设备种类、数量、规格、质量和技术性能等不符合合同规定的，由乙方负责包换或包修，并承担修理、调换或退货而支付的实际费用，并向甲方偿付合同总价的百分之</w:t>
      </w:r>
      <w:r>
        <w:rPr>
          <w:sz w:val="24"/>
        </w:rPr>
        <w:t>10作为违约金。如乙方换货或修理后，设备仍不能达到合同约定</w:t>
      </w:r>
      <w:r>
        <w:rPr>
          <w:sz w:val="24"/>
        </w:rPr>
        <w:t>或乙方不按上述规定整改</w:t>
      </w:r>
      <w:r>
        <w:rPr>
          <w:sz w:val="24"/>
        </w:rPr>
        <w:t>的，甲方有权解除本合同，甲方解除本合同的，乙方应当退还甲方已经支付的款项，乙方还应向甲方支付合同总价</w:t>
      </w:r>
      <w:r>
        <w:rPr>
          <w:sz w:val="24"/>
        </w:rPr>
        <w:t>的百分</w:t>
      </w:r>
      <w:r>
        <w:rPr>
          <w:sz w:val="24"/>
        </w:rPr>
        <w:t>之</w:t>
      </w:r>
      <w:r>
        <w:rPr>
          <w:sz w:val="24"/>
        </w:rPr>
        <w:t>20作为违约金，违约金不足以弥补甲方损失的，乙方应赔偿甲方实际损失。</w:t>
      </w:r>
    </w:p>
    <w:p>
      <w:pPr>
        <w:pStyle w:val="null3"/>
        <w:ind w:firstLine="480"/>
        <w:jc w:val="both"/>
      </w:pPr>
      <w:r>
        <w:rPr>
          <w:sz w:val="24"/>
        </w:rPr>
        <w:t>（三）乙方逾期交货的，每日应向甲方偿付合同总额的百分之</w:t>
      </w:r>
      <w:r>
        <w:rPr>
          <w:sz w:val="24"/>
        </w:rPr>
        <w:t>0.1作为违约金，逾期达到</w:t>
      </w:r>
      <w:r>
        <w:rPr>
          <w:sz w:val="24"/>
        </w:rPr>
        <w:t>30</w:t>
      </w:r>
      <w:r>
        <w:rPr>
          <w:sz w:val="24"/>
        </w:rPr>
        <w:t>天及以上的，视为不能交货。</w:t>
      </w:r>
    </w:p>
    <w:p>
      <w:pPr>
        <w:pStyle w:val="null3"/>
        <w:ind w:firstLine="480"/>
        <w:jc w:val="both"/>
      </w:pPr>
      <w:r>
        <w:rPr>
          <w:sz w:val="24"/>
        </w:rPr>
        <w:t>（四）除本合同另有约定外，乙方每次违反本合同约定的，须按照合同总价的</w:t>
      </w:r>
      <w:r>
        <w:rPr>
          <w:sz w:val="24"/>
        </w:rPr>
        <w:t>3</w:t>
      </w:r>
      <w:r>
        <w:rPr>
          <w:sz w:val="24"/>
        </w:rPr>
        <w:t>%向甲方支付违约金，违约金不足以弥补甲方损失的，乙方应赔偿甲方实际损失。</w:t>
      </w:r>
    </w:p>
    <w:p>
      <w:pPr>
        <w:pStyle w:val="null3"/>
        <w:ind w:firstLine="482"/>
        <w:jc w:val="both"/>
      </w:pPr>
      <w:r>
        <w:rPr>
          <w:sz w:val="24"/>
          <w:b/>
        </w:rPr>
        <w:t>第八条</w:t>
      </w:r>
      <w:r>
        <w:rPr>
          <w:sz w:val="24"/>
          <w:b/>
        </w:rPr>
        <w:t xml:space="preserve">  </w:t>
      </w:r>
      <w:r>
        <w:rPr>
          <w:sz w:val="24"/>
          <w:b/>
        </w:rPr>
        <w:t>甲方的违约责任</w:t>
      </w:r>
    </w:p>
    <w:p>
      <w:pPr>
        <w:pStyle w:val="null3"/>
        <w:ind w:firstLine="480"/>
        <w:jc w:val="both"/>
      </w:pPr>
      <w:r>
        <w:rPr>
          <w:sz w:val="24"/>
        </w:rPr>
        <w:t>（一）甲</w:t>
      </w:r>
      <w:r>
        <w:rPr>
          <w:sz w:val="24"/>
        </w:rPr>
        <w:t>方逾期付款的，每日应向乙方偿付</w:t>
      </w:r>
      <w:r>
        <w:rPr>
          <w:sz w:val="24"/>
        </w:rPr>
        <w:t>逾期</w:t>
      </w:r>
      <w:r>
        <w:rPr>
          <w:sz w:val="24"/>
        </w:rPr>
        <w:t>总额的百分之</w:t>
      </w:r>
      <w:r>
        <w:rPr>
          <w:sz w:val="24"/>
        </w:rPr>
        <w:t>0.1作为违约金</w:t>
      </w:r>
      <w:r>
        <w:rPr>
          <w:sz w:val="24"/>
        </w:rPr>
        <w:t>，违约金上限不超过合同总金额的</w:t>
      </w:r>
      <w:r>
        <w:rPr>
          <w:sz w:val="24"/>
        </w:rPr>
        <w:t>10%</w:t>
      </w:r>
      <w:r>
        <w:rPr>
          <w:sz w:val="24"/>
        </w:rPr>
        <w:t>。</w:t>
      </w:r>
    </w:p>
    <w:p>
      <w:pPr>
        <w:pStyle w:val="null3"/>
        <w:ind w:firstLine="480"/>
        <w:jc w:val="both"/>
      </w:pPr>
      <w:r>
        <w:rPr>
          <w:sz w:val="24"/>
        </w:rPr>
        <w:t>（二）甲方违反合同规定拒绝接受货物的，应当承担由此而对乙方造成的损失</w:t>
      </w:r>
      <w:r>
        <w:rPr>
          <w:sz w:val="24"/>
        </w:rPr>
        <w:t>，违约金上限不超过合同总金额的</w:t>
      </w:r>
      <w:r>
        <w:rPr>
          <w:sz w:val="24"/>
        </w:rPr>
        <w:t>10%</w:t>
      </w:r>
      <w:r>
        <w:rPr>
          <w:sz w:val="24"/>
        </w:rPr>
        <w:t>。</w:t>
      </w:r>
    </w:p>
    <w:p>
      <w:pPr>
        <w:pStyle w:val="null3"/>
        <w:ind w:firstLine="482"/>
        <w:jc w:val="both"/>
      </w:pPr>
      <w:r>
        <w:rPr>
          <w:sz w:val="24"/>
          <w:b/>
        </w:rPr>
        <w:t>第九条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第十条</w:t>
      </w:r>
      <w:r>
        <w:rPr>
          <w:sz w:val="24"/>
          <w:b/>
        </w:rPr>
        <w:t xml:space="preserve">  </w:t>
      </w:r>
      <w:r>
        <w:rPr>
          <w:sz w:val="24"/>
          <w:b/>
        </w:rPr>
        <w:t>争议的解决</w:t>
      </w:r>
    </w:p>
    <w:p>
      <w:pPr>
        <w:pStyle w:val="null3"/>
        <w:ind w:firstLine="480"/>
        <w:jc w:val="both"/>
      </w:pPr>
      <w:r>
        <w:rPr>
          <w:sz w:val="24"/>
        </w:rPr>
        <w:t>（一）如因货物的质量问题发生争议，由法定的质量技术鉴定机构进行质量鉴定，双方应当服从该鉴定的结论。</w:t>
      </w:r>
    </w:p>
    <w:p>
      <w:pPr>
        <w:pStyle w:val="null3"/>
        <w:ind w:firstLine="480"/>
        <w:jc w:val="both"/>
      </w:pPr>
      <w:r>
        <w:rPr>
          <w:sz w:val="24"/>
        </w:rPr>
        <w:t>（二）若执行本合同的过程中发生纠纷，双方当事人应当及时协商解决；协商不成时，可向江门市蓬江区人民法院提起诉讼。</w:t>
      </w:r>
    </w:p>
    <w:p>
      <w:pPr>
        <w:pStyle w:val="null3"/>
        <w:ind w:firstLine="482"/>
        <w:jc w:val="both"/>
      </w:pPr>
      <w:r>
        <w:rPr>
          <w:sz w:val="24"/>
          <w:b/>
        </w:rPr>
        <w:t>第十一条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第十二条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第十三条</w:t>
      </w:r>
      <w:r>
        <w:rPr>
          <w:sz w:val="24"/>
          <w:b/>
        </w:rPr>
        <w:t xml:space="preserve">  </w:t>
      </w:r>
      <w:r>
        <w:rPr>
          <w:sz w:val="24"/>
          <w:b/>
        </w:rPr>
        <w:t>投诉</w:t>
      </w:r>
    </w:p>
    <w:p>
      <w:pPr>
        <w:pStyle w:val="null3"/>
        <w:ind w:firstLine="480"/>
        <w:jc w:val="both"/>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both"/>
      </w:pPr>
      <w:r>
        <w:rPr>
          <w:sz w:val="24"/>
          <w:b/>
        </w:rPr>
        <w:t>第十四条</w:t>
      </w:r>
      <w:r>
        <w:rPr>
          <w:sz w:val="24"/>
          <w:b/>
        </w:rPr>
        <w:t xml:space="preserve">  </w:t>
      </w:r>
      <w:r>
        <w:rPr>
          <w:sz w:val="24"/>
          <w:b/>
        </w:rPr>
        <w:t>附则</w:t>
      </w:r>
    </w:p>
    <w:p>
      <w:pPr>
        <w:pStyle w:val="null3"/>
        <w:ind w:firstLine="480"/>
        <w:jc w:val="both"/>
      </w:pPr>
      <w:r>
        <w:rPr>
          <w:sz w:val="24"/>
        </w:rPr>
        <w:t>（一）本合同一式四份，甲方执两份，乙方执一份，一份</w:t>
      </w:r>
      <w:r>
        <w:rPr>
          <w:sz w:val="21"/>
          <w:u w:val="single"/>
        </w:rPr>
        <w:t xml:space="preserve">           </w:t>
      </w:r>
      <w:r>
        <w:rPr>
          <w:sz w:val="24"/>
        </w:rPr>
        <w:t>招标公司存档</w:t>
      </w:r>
      <w:r>
        <w:rPr>
          <w:sz w:val="24"/>
        </w:rPr>
        <w:t>，具有同等法律效力</w:t>
      </w:r>
      <w:r>
        <w:rPr>
          <w:sz w:val="24"/>
        </w:rPr>
        <w:t>。合</w:t>
      </w:r>
      <w:r>
        <w:rPr>
          <w:sz w:val="24"/>
        </w:rPr>
        <w:t>同附件为本合同的组成部分，与本合同正文具有同等法律效力。</w:t>
      </w:r>
    </w:p>
    <w:p>
      <w:pPr>
        <w:pStyle w:val="null3"/>
        <w:ind w:firstLine="480"/>
        <w:jc w:val="both"/>
      </w:pPr>
      <w:r>
        <w:rPr>
          <w:sz w:val="24"/>
        </w:rPr>
        <w:t>（二）本合同自甲乙双方签字盖章后生效。</w:t>
      </w:r>
    </w:p>
    <w:p>
      <w:pPr>
        <w:pStyle w:val="null3"/>
        <w:ind w:firstLine="4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购货单位（甲方）：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供货单位（乙方）：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19"/>
              </w:rPr>
              <w:t xml:space="preserve"> </w:t>
            </w:r>
            <w:r>
              <w:rPr>
                <w:sz w:val="24"/>
              </w:rPr>
              <w:t xml:space="preserve"> </w:t>
            </w:r>
            <w:r>
              <w:rPr>
                <w:sz w:val="24"/>
              </w:rPr>
              <w:t>月</w:t>
            </w:r>
            <w:r>
              <w:rPr>
                <w:sz w:val="19"/>
              </w:rPr>
              <w:t xml:space="preserve"> </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sz w:val="24"/>
        </w:rPr>
        <w:t>以下为配置清单：</w:t>
      </w:r>
    </w:p>
    <w:p>
      <w:pPr>
        <w:pStyle w:val="null3"/>
        <w:jc w:val="both"/>
      </w:pPr>
      <w:r>
        <w:rPr>
          <w:sz w:val="24"/>
        </w:rPr>
        <w:t>项目名称：</w:t>
      </w:r>
      <w:r>
        <w:rPr>
          <w:sz w:val="21"/>
          <w:u w:val="single"/>
        </w:rPr>
        <w:t xml:space="preserve">                 </w:t>
      </w:r>
      <w:r>
        <w:rPr>
          <w:sz w:val="24"/>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440701-2026-00130</w:t>
      </w:r>
    </w:p>
    <w:p>
      <w:pPr>
        <w:pStyle w:val="null3"/>
        <w:jc w:val="center"/>
        <w:outlineLvl w:val="3"/>
      </w:pPr>
      <w:r>
        <w:rPr>
          <w:sz w:val="24"/>
          <w:b/>
        </w:rPr>
        <w:t>采购项目编号：</w:t>
      </w:r>
      <w:r>
        <w:rPr>
          <w:sz w:val="24"/>
          <w:b/>
        </w:rPr>
        <w:t>0724-2631Z1970809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江门市中心医院三重四极杆液相色谱串联质谱系统采购项目</w:t>
      </w:r>
      <w:r>
        <w:rPr>
          <w:u w:val="single"/>
        </w:rPr>
        <w:t>”</w:t>
      </w:r>
      <w:r>
        <w:rPr/>
        <w:t>项目的招标[采购项目编号为：</w:t>
      </w:r>
      <w:r>
        <w:rPr>
          <w:u w:val="single"/>
        </w:rPr>
        <w:t>0724-2631Z1970809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江门市中心医院三重四极杆液相色谱串联质谱系统采购项目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江门市中心医院三重四极杆液相色谱串联质谱系统采购项目</w:t>
      </w:r>
      <w:r>
        <w:rPr/>
        <w:t>”项目采购[采购项目编号为</w:t>
      </w:r>
      <w:r>
        <w:rPr/>
        <w:t>0724-2631Z1970809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江门市中心医院三重四极杆液相色谱串联质谱系统采购项目</w:t>
      </w:r>
      <w:r>
        <w:rPr/>
        <w:t>招标中获中标（采购项目编号：</w:t>
      </w:r>
      <w:r>
        <w:rPr/>
        <w:t>0724-2631Z1970809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江门市中心医院三重四极杆液相色谱串联质谱系统采购项目</w:t>
      </w:r>
      <w:r>
        <w:rPr/>
        <w:t>”项目（采购项目编号：</w:t>
      </w:r>
      <w:r>
        <w:rPr/>
        <w:t>0724-2631Z1970809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