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ascii="宋体" w:hAnsi="宋体"/>
          <w:b/>
          <w:color w:val="auto"/>
          <w:sz w:val="48"/>
          <w:szCs w:val="48"/>
          <w:highlight w:val="none"/>
        </w:rPr>
      </w:pPr>
      <w:r>
        <w:rPr>
          <w:rFonts w:hint="eastAsia" w:ascii="宋体" w:hAnsi="宋体"/>
          <w:b/>
          <w:color w:val="auto"/>
          <w:sz w:val="48"/>
          <w:szCs w:val="48"/>
          <w:highlight w:val="none"/>
          <w:lang w:val="en-US" w:eastAsia="zh-CN"/>
        </w:rPr>
        <w:t>第一部分</w:t>
      </w:r>
      <w:r>
        <w:rPr>
          <w:rFonts w:hint="eastAsia" w:ascii="宋体" w:hAnsi="宋体"/>
          <w:b/>
          <w:color w:val="auto"/>
          <w:sz w:val="48"/>
          <w:szCs w:val="48"/>
          <w:highlight w:val="none"/>
        </w:rPr>
        <w:t>、用户需求书</w:t>
      </w:r>
    </w:p>
    <w:p>
      <w:pPr>
        <w:tabs>
          <w:tab w:val="left" w:pos="720"/>
        </w:tabs>
        <w:spacing w:line="360" w:lineRule="auto"/>
        <w:rPr>
          <w:rFonts w:ascii="宋体" w:hAnsi="宋体"/>
          <w:b/>
          <w:color w:val="auto"/>
          <w:sz w:val="48"/>
          <w:szCs w:val="48"/>
          <w:highlight w:val="none"/>
        </w:rPr>
      </w:pPr>
    </w:p>
    <w:p>
      <w:pPr>
        <w:spacing w:line="300" w:lineRule="auto"/>
        <w:rPr>
          <w:rFonts w:ascii="宋体" w:hAnsi="宋体"/>
          <w:b/>
          <w:color w:val="auto"/>
          <w:sz w:val="24"/>
          <w:szCs w:val="24"/>
          <w:highlight w:val="none"/>
        </w:rPr>
      </w:pPr>
      <w:r>
        <w:rPr>
          <w:rFonts w:ascii="宋体" w:hAnsi="宋体"/>
          <w:b/>
          <w:color w:val="auto"/>
          <w:sz w:val="24"/>
          <w:szCs w:val="24"/>
          <w:highlight w:val="none"/>
        </w:rPr>
        <w:br w:type="page"/>
      </w:r>
    </w:p>
    <w:p>
      <w:pPr>
        <w:numPr>
          <w:ilvl w:val="0"/>
          <w:numId w:val="0"/>
        </w:numPr>
        <w:spacing w:line="300" w:lineRule="auto"/>
        <w:jc w:val="center"/>
        <w:rPr>
          <w:rFonts w:hint="eastAsia" w:ascii="宋体" w:hAnsi="宋体"/>
          <w:b/>
          <w:bCs/>
          <w:color w:val="auto"/>
          <w:spacing w:val="10"/>
          <w:kern w:val="0"/>
          <w:sz w:val="28"/>
          <w:szCs w:val="28"/>
          <w:highlight w:val="none"/>
          <w:lang w:val="en-US" w:eastAsia="zh-CN"/>
        </w:rPr>
      </w:pPr>
      <w:r>
        <w:rPr>
          <w:rFonts w:hint="eastAsia" w:ascii="宋体" w:hAnsi="宋体"/>
          <w:b/>
          <w:bCs/>
          <w:color w:val="auto"/>
          <w:spacing w:val="10"/>
          <w:kern w:val="0"/>
          <w:sz w:val="28"/>
          <w:szCs w:val="28"/>
          <w:highlight w:val="none"/>
          <w:lang w:val="en-US" w:eastAsia="zh-CN"/>
        </w:rPr>
        <w:t>用户需求书</w:t>
      </w:r>
    </w:p>
    <w:p>
      <w:pPr>
        <w:widowControl w:val="0"/>
        <w:kinsoku w:val="0"/>
        <w:overflowPunct w:val="0"/>
        <w:autoSpaceDE w:val="0"/>
        <w:autoSpaceDN w:val="0"/>
        <w:adjustRightInd w:val="0"/>
        <w:ind w:left="0" w:firstLine="0"/>
        <w:outlineLvl w:val="4"/>
        <w:rPr>
          <w:rFonts w:hint="eastAsia" w:ascii="宋体" w:hAnsi="宋体" w:eastAsia="宋体" w:cs="Times New Roman"/>
          <w:b/>
          <w:bCs/>
          <w:color w:val="auto"/>
          <w:sz w:val="21"/>
          <w:szCs w:val="21"/>
          <w:highlight w:val="none"/>
          <w:lang w:val="en-US" w:eastAsia="zh-CN" w:bidi="ar-SA"/>
        </w:rPr>
      </w:pPr>
      <w:r>
        <w:rPr>
          <w:rFonts w:hint="eastAsia" w:ascii="宋体" w:hAnsi="宋体" w:eastAsia="宋体" w:cs="Times New Roman"/>
          <w:b/>
          <w:bCs/>
          <w:color w:val="auto"/>
          <w:sz w:val="21"/>
          <w:szCs w:val="21"/>
          <w:highlight w:val="none"/>
          <w:lang w:val="en-US" w:eastAsia="zh-CN" w:bidi="ar-SA"/>
        </w:rPr>
        <w:t>附表一：能源托管服务</w:t>
      </w:r>
    </w:p>
    <w:p>
      <w:pPr>
        <w:spacing w:line="300" w:lineRule="auto"/>
        <w:ind w:firstLine="602" w:firstLineChars="200"/>
        <w:rPr>
          <w:rFonts w:hint="eastAsia" w:ascii="宋体" w:hAnsi="宋体" w:eastAsia="宋体" w:cs="宋体"/>
          <w:color w:val="auto"/>
          <w:spacing w:val="10"/>
          <w:sz w:val="21"/>
          <w:szCs w:val="21"/>
          <w:highlight w:val="yellow"/>
        </w:rPr>
      </w:pPr>
      <w:r>
        <w:rPr>
          <w:rFonts w:hint="eastAsia" w:ascii="宋体" w:hAnsi="宋体" w:eastAsia="宋体" w:cs="宋体"/>
          <w:b/>
          <w:bCs/>
          <w:color w:val="auto"/>
          <w:spacing w:val="10"/>
          <w:sz w:val="28"/>
          <w:szCs w:val="28"/>
          <w:highlight w:val="yellow"/>
        </w:rPr>
        <w:t>说明：投标人应对以下《用户需求书》的全部内容，逐条响应并填写《格式十五：技术和服务要求响应表》，仅对其中部分技术或服务内容的响应都被视为无效投标。</w:t>
      </w:r>
    </w:p>
    <w:p>
      <w:pPr>
        <w:widowControl w:val="0"/>
        <w:autoSpaceDE w:val="0"/>
        <w:autoSpaceDN w:val="0"/>
        <w:adjustRightInd w:val="0"/>
        <w:ind w:firstLine="0"/>
        <w:rPr>
          <w:rFonts w:ascii="宋体" w:hAnsi="Times New Roman" w:eastAsia="宋体" w:cs="宋体"/>
          <w:color w:val="auto"/>
          <w:sz w:val="22"/>
          <w:szCs w:val="21"/>
          <w:highlight w:val="none"/>
          <w:lang w:val="en-US" w:eastAsia="zh-CN" w:bidi="ar-SA"/>
        </w:rPr>
      </w:pPr>
      <w:bookmarkStart w:id="67" w:name="_GoBack"/>
      <w:bookmarkEnd w:id="67"/>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一、项目概况</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kern w:val="0"/>
          <w:sz w:val="21"/>
          <w:szCs w:val="21"/>
          <w:highlight w:val="none"/>
        </w:rPr>
        <w:t>★</w:t>
      </w:r>
      <w:r>
        <w:rPr>
          <w:rFonts w:hint="eastAsia" w:ascii="宋体" w:hAnsi="宋体" w:eastAsia="宋体" w:cs="宋体"/>
          <w:b/>
          <w:bCs/>
          <w:color w:val="auto"/>
          <w:kern w:val="2"/>
          <w:sz w:val="21"/>
          <w:szCs w:val="21"/>
          <w:highlight w:val="none"/>
          <w:lang w:val="en-US" w:eastAsia="zh-CN"/>
        </w:rPr>
        <w:t>项目基本信息</w:t>
      </w:r>
    </w:p>
    <w:tbl>
      <w:tblPr>
        <w:tblStyle w:val="23"/>
        <w:tblpPr w:leftFromText="180" w:rightFromText="180" w:vertAnchor="text" w:horzAnchor="margin" w:tblpY="1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153"/>
        <w:gridCol w:w="2203"/>
        <w:gridCol w:w="1938"/>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50" w:type="pct"/>
            <w:noWrap w:val="0"/>
            <w:vAlign w:val="center"/>
          </w:tcPr>
          <w:p>
            <w:pPr>
              <w:autoSpaceDE/>
              <w:autoSpaceDN/>
              <w:adjustRightInd/>
              <w:spacing w:line="240" w:lineRule="auto"/>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序号</w:t>
            </w:r>
          </w:p>
        </w:tc>
        <w:tc>
          <w:tcPr>
            <w:tcW w:w="1474"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采购项目名称</w:t>
            </w:r>
          </w:p>
        </w:tc>
        <w:tc>
          <w:tcPr>
            <w:tcW w:w="1030"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t>托管基准</w:t>
            </w:r>
          </w:p>
          <w:p>
            <w:pPr>
              <w:autoSpaceDE/>
              <w:autoSpaceDN/>
              <w:adjustRightInd/>
              <w:spacing w:line="240" w:lineRule="auto"/>
              <w:jc w:val="center"/>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t>费用限价</w:t>
            </w:r>
          </w:p>
        </w:tc>
        <w:tc>
          <w:tcPr>
            <w:tcW w:w="906"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lang w:eastAsia="zh-CN"/>
              </w:rPr>
              <w:t>托管期限</w:t>
            </w:r>
          </w:p>
        </w:tc>
        <w:tc>
          <w:tcPr>
            <w:tcW w:w="1338"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t>托管范围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noWrap w:val="0"/>
            <w:vAlign w:val="center"/>
          </w:tcPr>
          <w:p>
            <w:pPr>
              <w:autoSpaceDE/>
              <w:autoSpaceDN/>
              <w:adjustRightInd/>
              <w:spacing w:line="240" w:lineRule="auto"/>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w:t>
            </w:r>
          </w:p>
        </w:tc>
        <w:tc>
          <w:tcPr>
            <w:tcW w:w="1474"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t>广州市第一人民医院南沙医院能源托管项目</w:t>
            </w:r>
          </w:p>
        </w:tc>
        <w:tc>
          <w:tcPr>
            <w:tcW w:w="1030"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1581.72万元/年</w:t>
            </w:r>
          </w:p>
        </w:tc>
        <w:tc>
          <w:tcPr>
            <w:tcW w:w="906"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10年</w:t>
            </w:r>
          </w:p>
        </w:tc>
        <w:tc>
          <w:tcPr>
            <w:tcW w:w="1338" w:type="pct"/>
            <w:noWrap w:val="0"/>
            <w:vAlign w:val="center"/>
          </w:tcPr>
          <w:p>
            <w:pPr>
              <w:autoSpaceDE/>
              <w:autoSpaceDN/>
              <w:adjustRightInd/>
              <w:spacing w:line="240" w:lineRule="auto"/>
              <w:jc w:val="center"/>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南沙医院全院</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本项目10年招标最高限价约15817.2万元（费用为暂估费，结算费用以中标价格及实际合同约定的费用调整机制为准。）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本项目托管主要内容：水量、电量托管，指标控制托管，节能、安全及智能化改造托管，南沙医院全院机电相关设备系统运维托管，制度建设、落实及示范创建工作托管，项目衍生无形资产和有形资金/资产托管，政策托管，</w:t>
      </w:r>
      <w:r>
        <w:rPr>
          <w:rFonts w:hint="eastAsia" w:ascii="宋体" w:hAnsi="宋体" w:eastAsia="宋体" w:cs="宋体"/>
          <w:color w:val="auto"/>
          <w:kern w:val="2"/>
          <w:sz w:val="21"/>
          <w:szCs w:val="21"/>
          <w:highlight w:val="none"/>
          <w:lang w:val="en-US" w:eastAsia="zh-CN" w:bidi="ar-SA"/>
        </w:rPr>
        <w:t>调整内容托管</w:t>
      </w:r>
      <w:r>
        <w:rPr>
          <w:rFonts w:hint="eastAsia" w:ascii="宋体" w:hAnsi="宋体" w:eastAsia="宋体" w:cs="宋体"/>
          <w:kern w:val="2"/>
          <w:sz w:val="21"/>
          <w:szCs w:val="21"/>
          <w:highlight w:val="none"/>
          <w:lang w:val="en-US" w:eastAsia="zh-CN" w:bidi="ar-SA"/>
        </w:rPr>
        <w:t>。具体内容见需求书对应章节。</w:t>
      </w:r>
    </w:p>
    <w:p>
      <w:pPr>
        <w:autoSpaceDE/>
        <w:autoSpaceDN/>
        <w:adjustRightInd/>
        <w:spacing w:line="240" w:lineRule="auto"/>
        <w:ind w:firstLine="420" w:firstLineChars="200"/>
        <w:jc w:val="both"/>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rPr>
        <w:t>本项目</w:t>
      </w:r>
      <w:r>
        <w:rPr>
          <w:rFonts w:hint="eastAsia" w:ascii="宋体" w:hAnsi="宋体" w:eastAsia="宋体" w:cs="宋体"/>
          <w:kern w:val="2"/>
          <w:sz w:val="21"/>
          <w:szCs w:val="21"/>
          <w:highlight w:val="none"/>
          <w:lang w:eastAsia="zh-CN"/>
        </w:rPr>
        <w:t>涉及的改造</w:t>
      </w:r>
      <w:r>
        <w:rPr>
          <w:rFonts w:hint="eastAsia" w:ascii="宋体" w:hAnsi="宋体" w:eastAsia="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运维管理风险、</w:t>
      </w:r>
      <w:r>
        <w:rPr>
          <w:rFonts w:hint="eastAsia" w:ascii="宋体" w:hAnsi="宋体" w:eastAsia="宋体" w:cs="宋体"/>
          <w:kern w:val="2"/>
          <w:sz w:val="21"/>
          <w:szCs w:val="21"/>
          <w:highlight w:val="none"/>
        </w:rPr>
        <w:t>投资风险由中标单位自行承担</w:t>
      </w:r>
      <w:r>
        <w:rPr>
          <w:rFonts w:hint="eastAsia" w:ascii="宋体" w:hAnsi="宋体" w:eastAsia="宋体" w:cs="宋体"/>
          <w:kern w:val="2"/>
          <w:sz w:val="21"/>
          <w:szCs w:val="21"/>
          <w:highlight w:val="none"/>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项目概况及目标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en-US" w:eastAsia="zh-CN" w:bidi="ar-SA"/>
        </w:rPr>
        <w:t>根据国管局 国家发展改革委 财政部关于印发《关于鼓励和支持公共机构采用能源费用托管服务的意见》的通知，以及国家节能降碳相关政策和管理要求（包括但不限于需求书内政策相关章节），鼓励创新节能管理模式，支持公共机构委托开展能源费用托管服务的引导，拟委托专业节能服务公司，采用能源费用托管型合同能源管理方式，利用国内外最新能源及信息技术发展成果，统筹推进广州市第一人民医院南沙医院实现能源利用高效化、清洁化、智能化、数字化。</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本项目采用合同能源管理--能源费用托管型方式，托管费用包含</w:t>
      </w:r>
      <w:r>
        <w:rPr>
          <w:rFonts w:hint="eastAsia" w:ascii="宋体" w:hAnsi="宋体" w:eastAsia="宋体" w:cs="宋体"/>
          <w:b w:val="0"/>
          <w:bCs w:val="0"/>
          <w:kern w:val="0"/>
          <w:sz w:val="21"/>
          <w:szCs w:val="21"/>
          <w:highlight w:val="none"/>
          <w:lang w:val="en-US" w:eastAsia="zh-CN" w:bidi="ar-SA"/>
        </w:rPr>
        <w:t>水量、电量托管</w:t>
      </w:r>
      <w:r>
        <w:rPr>
          <w:rFonts w:hint="eastAsia" w:ascii="宋体" w:hAnsi="宋体" w:eastAsia="宋体" w:cs="宋体"/>
          <w:kern w:val="2"/>
          <w:sz w:val="21"/>
          <w:szCs w:val="21"/>
          <w:highlight w:val="none"/>
          <w:lang w:val="en-US" w:eastAsia="zh-CN" w:bidi="ar-SA"/>
        </w:rPr>
        <w:t>，</w:t>
      </w:r>
      <w:r>
        <w:rPr>
          <w:rFonts w:hint="eastAsia" w:ascii="宋体" w:hAnsi="宋体" w:eastAsia="宋体" w:cs="宋体"/>
          <w:b w:val="0"/>
          <w:bCs w:val="0"/>
          <w:kern w:val="0"/>
          <w:sz w:val="21"/>
          <w:szCs w:val="21"/>
          <w:highlight w:val="none"/>
          <w:lang w:val="en-US" w:eastAsia="zh-CN" w:bidi="ar-SA"/>
        </w:rPr>
        <w:t>指标控制托管，</w:t>
      </w:r>
      <w:r>
        <w:rPr>
          <w:rFonts w:hint="eastAsia" w:ascii="宋体" w:hAnsi="宋体" w:eastAsia="宋体" w:cs="宋体"/>
          <w:kern w:val="2"/>
          <w:sz w:val="21"/>
          <w:szCs w:val="21"/>
          <w:highlight w:val="none"/>
          <w:lang w:val="en-US" w:eastAsia="zh-CN" w:bidi="ar-SA"/>
        </w:rPr>
        <w:t>节能、安全及智能化改造托管，全院机电相关设备系统运维托管，</w:t>
      </w:r>
      <w:r>
        <w:rPr>
          <w:rFonts w:hint="eastAsia" w:ascii="宋体" w:hAnsi="宋体" w:eastAsia="宋体" w:cs="宋体"/>
          <w:color w:val="auto"/>
          <w:kern w:val="2"/>
          <w:sz w:val="21"/>
          <w:szCs w:val="21"/>
          <w:highlight w:val="none"/>
          <w:lang w:val="en-US" w:eastAsia="zh-CN" w:bidi="ar-SA"/>
        </w:rPr>
        <w:t>制度建设、落实及示范创建工作托管，项目衍生无形资产和有形资金/资产托管，政策托管，调整内容托管等产生的费用。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本项目</w:t>
      </w:r>
      <w:r>
        <w:rPr>
          <w:rFonts w:hint="eastAsia" w:ascii="宋体" w:hAnsi="宋体" w:eastAsia="宋体" w:cs="宋体"/>
          <w:kern w:val="2"/>
          <w:sz w:val="21"/>
          <w:szCs w:val="21"/>
          <w:highlight w:val="none"/>
          <w:lang w:val="en-US" w:eastAsia="zh-CN" w:bidi="ar-SA"/>
        </w:rPr>
        <w:t>节能、安全及智能化改造</w:t>
      </w:r>
      <w:r>
        <w:rPr>
          <w:rFonts w:hint="eastAsia" w:ascii="宋体" w:hAnsi="宋体" w:eastAsia="宋体" w:cs="宋体"/>
          <w:color w:val="auto"/>
          <w:kern w:val="2"/>
          <w:sz w:val="21"/>
          <w:szCs w:val="21"/>
          <w:highlight w:val="none"/>
          <w:lang w:val="en-US" w:eastAsia="zh-CN" w:bidi="ar-SA"/>
        </w:rPr>
        <w:t>内容，主要有完善计量器具配置、剥离外供高耗能区域计量、建设能源资源在线管理平台及智慧化后勤平台一体化管控中心、建设配置电力集控站/监控中心的电能管理系统、推动实施中央空调改造、多能互补形式热水系统建设、可再生能源利用、节水新工艺及节水管理、水资源循环利用完善及建设、发电机系统及快速接入箱完善、电梯能量回收系统建设、既有建筑围护结构保温/隔热改造、照明节能改造、</w:t>
      </w:r>
      <w:r>
        <w:rPr>
          <w:rFonts w:hint="eastAsia" w:ascii="宋体" w:hAnsi="宋体" w:eastAsia="宋体" w:cs="宋体"/>
          <w:kern w:val="2"/>
          <w:sz w:val="21"/>
          <w:szCs w:val="21"/>
          <w:highlight w:val="none"/>
          <w:u w:val="none"/>
          <w:lang w:val="en-US" w:eastAsia="zh-CN" w:bidi="ar-SA"/>
        </w:rPr>
        <w:t>医院温室气体排放监测及统计系统建设</w:t>
      </w:r>
      <w:r>
        <w:rPr>
          <w:rFonts w:hint="eastAsia" w:ascii="宋体" w:hAnsi="宋体" w:eastAsia="宋体" w:cs="宋体"/>
          <w:color w:val="auto"/>
          <w:kern w:val="2"/>
          <w:sz w:val="21"/>
          <w:szCs w:val="21"/>
          <w:highlight w:val="none"/>
          <w:u w:val="none"/>
          <w:lang w:val="en-US" w:eastAsia="zh-CN" w:bidi="ar-SA"/>
        </w:rPr>
        <w:t>、超低能耗和近零能耗建筑建设目标实现等内容。</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运维内容，分两部分，第一部分为既有运维内容，主要有高低压维护（维修）保养、检测服务，柴油发电机组运维，物业管理机电工程运维，日常维修材料定点供应，空调维护保养服务，洁净系统及配套设备设施维修保养，洁净空调过滤器更换项目等内容，第二部分为本项目改造新增的软硬件系统的日常运维工作内容，包括运维人员值守和日常维修费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次项目目标是，积极响应公共机构节能降耗政策要求，助力国家“30.60”双碳目标，通过实施包括技术、管理专业化能源一揽子解决方案，实现医院能耗费用、改造费用和运维费用降低，提升能源与设备运维的安全性、精细化/标准化、信息化、智慧化管理水平，打造低碳智慧医院，打造行业节能管理的标杆示范引领单位，实现首批挂牌碳中和医院。</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3、公共机构基本情况</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广州市第一人民医院南沙医院（</w:t>
      </w:r>
      <w:r>
        <w:rPr>
          <w:rFonts w:hint="eastAsia" w:ascii="宋体" w:hAnsi="宋体" w:eastAsia="宋体" w:cs="宋体"/>
          <w:color w:val="auto"/>
          <w:kern w:val="2"/>
          <w:sz w:val="21"/>
          <w:szCs w:val="21"/>
          <w:highlight w:val="none"/>
          <w:lang w:val="en-US" w:eastAsia="zh-CN"/>
        </w:rPr>
        <w:t>以下简称“医院”</w:t>
      </w:r>
      <w:r>
        <w:rPr>
          <w:rFonts w:hint="eastAsia" w:ascii="宋体" w:hAnsi="宋体" w:eastAsia="宋体" w:cs="宋体"/>
          <w:color w:val="auto"/>
          <w:kern w:val="2"/>
          <w:sz w:val="21"/>
          <w:szCs w:val="21"/>
          <w:highlight w:val="none"/>
        </w:rPr>
        <w:t>）位于广州市南沙区丰泽东路105号</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地处粤港澳大湾区几何中心的广州南沙新区</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医院西临蕉门河，紧靠环市大道，北邻地铁4号线金洲站，东面群山环绕，依山近水，环境优美，空气清新，交通便利</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见图2-1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由广州市人民政府与南沙区人民政府按照公立医院三级甲等医院标准共同投资兴建，并于2008年7月15日顺利开业，2014年3月经广州市机构编制委员会批准，更名为广州市第一人民医院南沙医院（挂广州市南沙中心医院牌子），调整为广州市第一人民医院（华南理工大学附属第二医院）直接管理，为国家双一流大学的附属医院和南沙自贸区唯一的三甲医院。经过十余年的建设发展，南沙中心医院已成为南沙及周边的区域诊疗中心、疑难病诊治中心、重症救治中心和紧密型医联体牵头单位，实现了“重病疑难病不出区”的建设目标。</w:t>
      </w:r>
    </w:p>
    <w:p>
      <w:pPr>
        <w:autoSpaceDE w:val="0"/>
        <w:autoSpaceDN w:val="0"/>
        <w:adjustRightInd w:val="0"/>
        <w:snapToGrid w:val="0"/>
        <w:spacing w:line="360" w:lineRule="auto"/>
        <w:ind w:left="0" w:lef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drawing>
          <wp:inline distT="0" distB="0" distL="114300" distR="114300">
            <wp:extent cx="5087620" cy="3462020"/>
            <wp:effectExtent l="0" t="0" r="17780" b="5080"/>
            <wp:docPr id="128" name="图片 1"/>
            <wp:cNvGraphicFramePr/>
            <a:graphic xmlns:a="http://schemas.openxmlformats.org/drawingml/2006/main">
              <a:graphicData uri="http://schemas.openxmlformats.org/drawingml/2006/picture">
                <pic:pic xmlns:pic="http://schemas.openxmlformats.org/drawingml/2006/picture">
                  <pic:nvPicPr>
                    <pic:cNvPr id="128" name="图片 1"/>
                    <pic:cNvPicPr/>
                  </pic:nvPicPr>
                  <pic:blipFill>
                    <a:blip r:embed="rId5"/>
                    <a:stretch>
                      <a:fillRect/>
                    </a:stretch>
                  </pic:blipFill>
                  <pic:spPr>
                    <a:xfrm>
                      <a:off x="0" y="0"/>
                      <a:ext cx="5087620" cy="3462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 xml:space="preserve"> </w:t>
      </w:r>
      <w:r>
        <w:rPr>
          <w:rFonts w:hint="eastAsia" w:ascii="宋体" w:hAnsi="宋体" w:eastAsia="宋体" w:cs="宋体"/>
          <w:b/>
          <w:bCs/>
          <w:color w:val="auto"/>
          <w:kern w:val="2"/>
          <w:sz w:val="21"/>
          <w:szCs w:val="21"/>
          <w:highlight w:val="none"/>
        </w:rPr>
        <w:t>医院地理位置图</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医院现已开设内科、外科、妇科、产科、儿科、急诊科、危重医学科、麻醉科、中医科、康复科、眼科、耳鼻喉科、口腔科、皮肤科、医学影像科、医学检验科、临床药学科等17个专业科室</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目前医院配备价值近1.1亿元的先进医疗设备和精密仪器，其中包括64排螺旋CT、数字化X线摄影系统（DR）、高清胃肠镜（NBI）、全自动生化分析仪、全自动免疫分析仪、高端彩超、各类腔镜手术系统等，拥有世界先进水平的数字一体化手术室。</w:t>
      </w:r>
      <w:r>
        <w:rPr>
          <w:rFonts w:hint="eastAsia" w:ascii="宋体" w:hAnsi="宋体" w:eastAsia="宋体" w:cs="宋体"/>
          <w:color w:val="auto"/>
          <w:kern w:val="2"/>
          <w:sz w:val="21"/>
          <w:szCs w:val="21"/>
          <w:highlight w:val="none"/>
          <w:lang w:val="en-US" w:eastAsia="zh-CN"/>
        </w:rPr>
        <w:t>目前</w:t>
      </w:r>
      <w:r>
        <w:rPr>
          <w:rFonts w:hint="eastAsia" w:ascii="宋体" w:hAnsi="宋体" w:eastAsia="宋体" w:cs="宋体"/>
          <w:color w:val="auto"/>
          <w:kern w:val="2"/>
          <w:sz w:val="21"/>
          <w:szCs w:val="21"/>
          <w:highlight w:val="none"/>
        </w:rPr>
        <w:t>全院开放病床</w:t>
      </w:r>
      <w:r>
        <w:rPr>
          <w:rFonts w:hint="eastAsia" w:ascii="宋体" w:hAnsi="宋体" w:eastAsia="宋体" w:cs="宋体"/>
          <w:color w:val="auto"/>
          <w:kern w:val="2"/>
          <w:sz w:val="21"/>
          <w:szCs w:val="21"/>
          <w:highlight w:val="none"/>
          <w:lang w:val="en-US" w:eastAsia="zh-CN"/>
        </w:rPr>
        <w:t>551</w:t>
      </w:r>
      <w:r>
        <w:rPr>
          <w:rFonts w:hint="eastAsia" w:ascii="宋体" w:hAnsi="宋体" w:eastAsia="宋体" w:cs="宋体"/>
          <w:color w:val="auto"/>
          <w:kern w:val="2"/>
          <w:sz w:val="21"/>
          <w:szCs w:val="21"/>
          <w:highlight w:val="none"/>
        </w:rPr>
        <w:t>张，批准编制床位980张、日均门急诊量超</w:t>
      </w:r>
      <w:r>
        <w:rPr>
          <w:rFonts w:hint="eastAsia" w:ascii="宋体" w:hAnsi="宋体" w:eastAsia="宋体" w:cs="宋体"/>
          <w:color w:val="auto"/>
          <w:kern w:val="2"/>
          <w:sz w:val="21"/>
          <w:szCs w:val="21"/>
          <w:highlight w:val="none"/>
          <w:lang w:val="en-US" w:eastAsia="zh-CN"/>
        </w:rPr>
        <w:t>24</w:t>
      </w:r>
      <w:r>
        <w:rPr>
          <w:rFonts w:hint="eastAsia" w:ascii="宋体" w:hAnsi="宋体" w:eastAsia="宋体" w:cs="宋体"/>
          <w:color w:val="auto"/>
          <w:kern w:val="2"/>
          <w:sz w:val="21"/>
          <w:szCs w:val="21"/>
          <w:highlight w:val="none"/>
        </w:rPr>
        <w:t>00人次。医院拥有世界先进水平的数字一体化手术室</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自开业以来，开展了各类高难度手术，成功抢救无数的复杂疑难和危重症患者，业务量增长迅速。医院目前特色专科有：创伤外科、消化内科、皮肤科、儿科、中医科、影像科、检验科、体检中心等。医院秉持着</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仁心仁术</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方便为怀</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的市一院训，充分发扬“创业、创新、服务、奉献”的南沙中心医院精神，以真诚的服务、精湛的医术赢得了人民群众的认可。</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院区现有办公用能用水人员约1135人，其中在编人员549人，编外人员361人，外包服务单位人员225人。2019年~2023年医院运营情况见表2-1。由表中可以看出，由于新冠肺炎疫情原因影响，2020年门诊病人数量下降明显，但2021年基本恢复到了2019年的情况，近三年全院病人数逐年上升。医院</w:t>
      </w:r>
      <w:r>
        <w:rPr>
          <w:rFonts w:hint="eastAsia" w:ascii="宋体" w:hAnsi="宋体" w:eastAsia="宋体" w:cs="宋体"/>
          <w:color w:val="auto"/>
          <w:kern w:val="2"/>
          <w:sz w:val="21"/>
          <w:szCs w:val="21"/>
          <w:highlight w:val="none"/>
        </w:rPr>
        <w:t>为配合分期建设，多次进行建筑功能和科室分区调整、搬迁，</w:t>
      </w:r>
      <w:r>
        <w:rPr>
          <w:rFonts w:hint="eastAsia" w:ascii="宋体" w:hAnsi="宋体" w:eastAsia="宋体" w:cs="宋体"/>
          <w:color w:val="auto"/>
          <w:kern w:val="2"/>
          <w:sz w:val="21"/>
          <w:szCs w:val="21"/>
          <w:highlight w:val="none"/>
          <w:lang w:val="en-US" w:eastAsia="zh-CN"/>
        </w:rPr>
        <w:t>造成审计期内的医院实际使用面积、重要医用设备、用能设备投入一直处于动态变化过程中。</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 xml:space="preserve"> 2019年~2023年医院运营情况</w:t>
      </w:r>
    </w:p>
    <w:tbl>
      <w:tblPr>
        <w:tblStyle w:val="23"/>
        <w:tblW w:w="91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
        <w:gridCol w:w="1345"/>
        <w:gridCol w:w="1056"/>
        <w:gridCol w:w="1056"/>
        <w:gridCol w:w="1235"/>
        <w:gridCol w:w="1190"/>
        <w:gridCol w:w="1160"/>
        <w:gridCol w:w="1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936" w:type="dxa"/>
            <w:vMerge w:val="restart"/>
            <w:tcBorders>
              <w:top w:val="single" w:color="000000" w:sz="8" w:space="0"/>
              <w:left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序号</w:t>
            </w:r>
          </w:p>
        </w:tc>
        <w:tc>
          <w:tcPr>
            <w:tcW w:w="1345" w:type="dxa"/>
            <w:vMerge w:val="restart"/>
            <w:tcBorders>
              <w:top w:val="single" w:color="000000" w:sz="8" w:space="0"/>
              <w:left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类别</w:t>
            </w:r>
          </w:p>
        </w:tc>
        <w:tc>
          <w:tcPr>
            <w:tcW w:w="1056" w:type="dxa"/>
            <w:vMerge w:val="restart"/>
            <w:tcBorders>
              <w:top w:val="single" w:color="000000" w:sz="8" w:space="0"/>
              <w:left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单位</w:t>
            </w:r>
          </w:p>
        </w:tc>
        <w:tc>
          <w:tcPr>
            <w:tcW w:w="5819" w:type="dxa"/>
            <w:gridSpan w:val="5"/>
            <w:tcBorders>
              <w:top w:val="single" w:color="000000" w:sz="8" w:space="0"/>
              <w:left w:val="single" w:color="000000" w:sz="8" w:space="0"/>
              <w:bottom w:val="single" w:color="000000" w:sz="8" w:space="0"/>
              <w:right w:val="single" w:color="000000" w:sz="8" w:space="0"/>
            </w:tcBorders>
            <w:noWrap w:val="0"/>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年份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936" w:type="dxa"/>
            <w:vMerge w:val="continue"/>
            <w:tcBorders>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highlight w:val="none"/>
                <w:u w:val="none"/>
                <w:lang w:val="en-US" w:eastAsia="zh-CN"/>
              </w:rPr>
            </w:pPr>
          </w:p>
        </w:tc>
        <w:tc>
          <w:tcPr>
            <w:tcW w:w="1345" w:type="dxa"/>
            <w:vMerge w:val="continue"/>
            <w:tcBorders>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2"/>
                <w:sz w:val="21"/>
                <w:szCs w:val="21"/>
                <w:highlight w:val="none"/>
                <w:u w:val="none"/>
              </w:rPr>
            </w:pPr>
          </w:p>
        </w:tc>
        <w:tc>
          <w:tcPr>
            <w:tcW w:w="1056" w:type="dxa"/>
            <w:vMerge w:val="continue"/>
            <w:tcBorders>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highlight w:val="none"/>
                <w:u w:val="none"/>
                <w:lang w:val="en-US" w:eastAsia="zh-CN"/>
              </w:rPr>
            </w:pPr>
          </w:p>
        </w:tc>
        <w:tc>
          <w:tcPr>
            <w:tcW w:w="105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2019</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2020</w:t>
            </w:r>
          </w:p>
        </w:tc>
        <w:tc>
          <w:tcPr>
            <w:tcW w:w="119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2021</w:t>
            </w:r>
          </w:p>
        </w:tc>
        <w:tc>
          <w:tcPr>
            <w:tcW w:w="116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2022</w:t>
            </w:r>
          </w:p>
        </w:tc>
        <w:tc>
          <w:tcPr>
            <w:tcW w:w="1178"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93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1</w:t>
            </w:r>
          </w:p>
        </w:tc>
        <w:tc>
          <w:tcPr>
            <w:tcW w:w="134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在编人数</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人</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431</w:t>
            </w:r>
          </w:p>
        </w:tc>
        <w:tc>
          <w:tcPr>
            <w:tcW w:w="12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480</w:t>
            </w:r>
          </w:p>
        </w:tc>
        <w:tc>
          <w:tcPr>
            <w:tcW w:w="119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501</w:t>
            </w:r>
          </w:p>
        </w:tc>
        <w:tc>
          <w:tcPr>
            <w:tcW w:w="116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506</w:t>
            </w:r>
          </w:p>
        </w:tc>
        <w:tc>
          <w:tcPr>
            <w:tcW w:w="1178"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3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w:t>
            </w:r>
          </w:p>
        </w:tc>
        <w:tc>
          <w:tcPr>
            <w:tcW w:w="134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编外人数</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人</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321</w:t>
            </w:r>
          </w:p>
        </w:tc>
        <w:tc>
          <w:tcPr>
            <w:tcW w:w="12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301</w:t>
            </w:r>
          </w:p>
        </w:tc>
        <w:tc>
          <w:tcPr>
            <w:tcW w:w="119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317</w:t>
            </w:r>
          </w:p>
        </w:tc>
        <w:tc>
          <w:tcPr>
            <w:tcW w:w="116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353</w:t>
            </w:r>
          </w:p>
        </w:tc>
        <w:tc>
          <w:tcPr>
            <w:tcW w:w="1178"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93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w:t>
            </w:r>
          </w:p>
        </w:tc>
        <w:tc>
          <w:tcPr>
            <w:tcW w:w="134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床位数</w:t>
            </w:r>
          </w:p>
        </w:tc>
        <w:tc>
          <w:tcPr>
            <w:tcW w:w="105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张</w:t>
            </w:r>
          </w:p>
        </w:tc>
        <w:tc>
          <w:tcPr>
            <w:tcW w:w="105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417</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437</w:t>
            </w:r>
          </w:p>
        </w:tc>
        <w:tc>
          <w:tcPr>
            <w:tcW w:w="119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455</w:t>
            </w:r>
          </w:p>
        </w:tc>
        <w:tc>
          <w:tcPr>
            <w:tcW w:w="116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329</w:t>
            </w:r>
          </w:p>
        </w:tc>
        <w:tc>
          <w:tcPr>
            <w:tcW w:w="1178"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3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4</w:t>
            </w:r>
          </w:p>
        </w:tc>
        <w:tc>
          <w:tcPr>
            <w:tcW w:w="134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门诊病人</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人</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796767</w:t>
            </w:r>
          </w:p>
        </w:tc>
        <w:tc>
          <w:tcPr>
            <w:tcW w:w="12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648524</w:t>
            </w:r>
          </w:p>
        </w:tc>
        <w:tc>
          <w:tcPr>
            <w:tcW w:w="119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792172</w:t>
            </w:r>
          </w:p>
        </w:tc>
        <w:tc>
          <w:tcPr>
            <w:tcW w:w="116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801173</w:t>
            </w:r>
          </w:p>
        </w:tc>
        <w:tc>
          <w:tcPr>
            <w:tcW w:w="1178"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866938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93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w:t>
            </w:r>
          </w:p>
        </w:tc>
        <w:tc>
          <w:tcPr>
            <w:tcW w:w="134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rPr>
            </w:pPr>
            <w:r>
              <w:rPr>
                <w:rFonts w:hint="eastAsia" w:ascii="宋体" w:hAnsi="宋体" w:eastAsia="宋体" w:cs="宋体"/>
                <w:i w:val="0"/>
                <w:iCs w:val="0"/>
                <w:color w:val="auto"/>
                <w:kern w:val="2"/>
                <w:sz w:val="21"/>
                <w:szCs w:val="21"/>
                <w:highlight w:val="none"/>
                <w:u w:val="none"/>
                <w:lang w:val="en-US" w:eastAsia="zh-CN"/>
              </w:rPr>
              <w:t>外包服务单位人数</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人</w:t>
            </w:r>
          </w:p>
        </w:tc>
        <w:tc>
          <w:tcPr>
            <w:tcW w:w="105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200</w:t>
            </w:r>
          </w:p>
        </w:tc>
        <w:tc>
          <w:tcPr>
            <w:tcW w:w="12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200</w:t>
            </w:r>
          </w:p>
        </w:tc>
        <w:tc>
          <w:tcPr>
            <w:tcW w:w="119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210</w:t>
            </w:r>
          </w:p>
        </w:tc>
        <w:tc>
          <w:tcPr>
            <w:tcW w:w="116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220</w:t>
            </w:r>
          </w:p>
        </w:tc>
        <w:tc>
          <w:tcPr>
            <w:tcW w:w="1178"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225</w:t>
            </w:r>
          </w:p>
        </w:tc>
      </w:tr>
    </w:tbl>
    <w:p>
      <w:pPr>
        <w:autoSpaceDE/>
        <w:autoSpaceDN/>
        <w:adjustRightInd w:val="0"/>
        <w:snapToGrid w:val="0"/>
        <w:spacing w:line="360" w:lineRule="auto"/>
        <w:jc w:val="center"/>
        <w:rPr>
          <w:rFonts w:hint="eastAsia" w:ascii="宋体" w:hAnsi="宋体" w:eastAsia="宋体" w:cs="宋体"/>
          <w:b/>
          <w:bCs/>
          <w:color w:val="auto"/>
          <w:kern w:val="2"/>
          <w:sz w:val="21"/>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2019年~2023年医院年度用电情况</w:t>
      </w:r>
    </w:p>
    <w:tbl>
      <w:tblPr>
        <w:tblStyle w:val="23"/>
        <w:tblW w:w="95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7"/>
        <w:gridCol w:w="994"/>
        <w:gridCol w:w="1669"/>
        <w:gridCol w:w="1012"/>
        <w:gridCol w:w="1725"/>
        <w:gridCol w:w="1031"/>
        <w:gridCol w:w="1342"/>
        <w:gridCol w:w="1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7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序号</w:t>
            </w:r>
          </w:p>
        </w:tc>
        <w:tc>
          <w:tcPr>
            <w:tcW w:w="99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年度</w:t>
            </w:r>
          </w:p>
        </w:tc>
        <w:tc>
          <w:tcPr>
            <w:tcW w:w="268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电量</w:t>
            </w:r>
          </w:p>
        </w:tc>
        <w:tc>
          <w:tcPr>
            <w:tcW w:w="275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年平均电价</w:t>
            </w:r>
          </w:p>
        </w:tc>
        <w:tc>
          <w:tcPr>
            <w:tcW w:w="237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电费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27" w:type="dxa"/>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b/>
                <w:bCs/>
                <w:i w:val="0"/>
                <w:iCs w:val="0"/>
                <w:color w:val="auto"/>
                <w:kern w:val="2"/>
                <w:sz w:val="21"/>
                <w:szCs w:val="21"/>
                <w:highlight w:val="none"/>
                <w:u w:val="none"/>
              </w:rPr>
            </w:pPr>
          </w:p>
        </w:tc>
        <w:tc>
          <w:tcPr>
            <w:tcW w:w="994" w:type="dxa"/>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b/>
                <w:bCs/>
                <w:i w:val="0"/>
                <w:iCs w:val="0"/>
                <w:color w:val="auto"/>
                <w:kern w:val="2"/>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数量(万kWh)</w:t>
            </w:r>
          </w:p>
        </w:tc>
        <w:tc>
          <w:tcPr>
            <w:tcW w:w="10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变化率</w:t>
            </w:r>
          </w:p>
        </w:tc>
        <w:tc>
          <w:tcPr>
            <w:tcW w:w="1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数量(元/kWh)</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变化率</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数量(万元)</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变化率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9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2019年</w:t>
            </w:r>
          </w:p>
        </w:tc>
        <w:tc>
          <w:tcPr>
            <w:tcW w:w="1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1038.45</w:t>
            </w:r>
          </w:p>
        </w:tc>
        <w:tc>
          <w:tcPr>
            <w:tcW w:w="1012"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lang w:val="en-US" w:eastAsia="zh-CN"/>
              </w:rPr>
            </w:pPr>
            <w:r>
              <w:rPr>
                <w:rFonts w:hint="eastAsia" w:ascii="宋体" w:hAnsi="宋体" w:eastAsia="宋体" w:cs="宋体"/>
                <w:i w:val="0"/>
                <w:iCs w:val="0"/>
                <w:color w:val="auto"/>
                <w:kern w:val="2"/>
                <w:sz w:val="21"/>
                <w:szCs w:val="21"/>
                <w:highlight w:val="none"/>
                <w:u w:val="none"/>
                <w:lang w:val="en-US" w:eastAsia="zh-CN"/>
              </w:rPr>
              <w:t>/</w:t>
            </w:r>
          </w:p>
        </w:tc>
        <w:tc>
          <w:tcPr>
            <w:tcW w:w="1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0.6960</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lang w:val="en-US" w:eastAsia="zh-CN"/>
              </w:rPr>
            </w:pPr>
            <w:r>
              <w:rPr>
                <w:rFonts w:hint="eastAsia" w:ascii="宋体" w:hAnsi="宋体" w:eastAsia="宋体" w:cs="宋体"/>
                <w:i w:val="0"/>
                <w:iCs w:val="0"/>
                <w:color w:val="auto"/>
                <w:kern w:val="2"/>
                <w:sz w:val="21"/>
                <w:szCs w:val="21"/>
                <w:highlight w:val="none"/>
                <w:u w:val="none"/>
                <w:lang w:val="en-US" w:eastAsia="zh-CN"/>
              </w:rPr>
              <w:t>/</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722.73</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lang w:val="en-US" w:eastAsia="zh-CN"/>
              </w:rPr>
            </w:pPr>
            <w:r>
              <w:rPr>
                <w:rFonts w:hint="eastAsia" w:ascii="宋体" w:hAnsi="宋体" w:eastAsia="宋体" w:cs="宋体"/>
                <w:i w:val="0"/>
                <w:iCs w:val="0"/>
                <w:color w:val="auto"/>
                <w:kern w:val="2"/>
                <w:sz w:val="21"/>
                <w:szCs w:val="21"/>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w:t>
            </w:r>
          </w:p>
        </w:tc>
        <w:tc>
          <w:tcPr>
            <w:tcW w:w="9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2020年</w:t>
            </w:r>
          </w:p>
        </w:tc>
        <w:tc>
          <w:tcPr>
            <w:tcW w:w="1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1074.88</w:t>
            </w:r>
          </w:p>
        </w:tc>
        <w:tc>
          <w:tcPr>
            <w:tcW w:w="10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3.51%</w:t>
            </w:r>
          </w:p>
        </w:tc>
        <w:tc>
          <w:tcPr>
            <w:tcW w:w="1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0.6367</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-8.52%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684.37</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w:t>
            </w:r>
          </w:p>
        </w:tc>
        <w:tc>
          <w:tcPr>
            <w:tcW w:w="9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2021年</w:t>
            </w:r>
          </w:p>
        </w:tc>
        <w:tc>
          <w:tcPr>
            <w:tcW w:w="1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1218.74</w:t>
            </w:r>
          </w:p>
        </w:tc>
        <w:tc>
          <w:tcPr>
            <w:tcW w:w="10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13.38%</w:t>
            </w:r>
          </w:p>
        </w:tc>
        <w:tc>
          <w:tcPr>
            <w:tcW w:w="1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0.6712</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5.42%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817.13</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jc w:val="center"/>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w:t>
            </w:r>
          </w:p>
        </w:tc>
        <w:tc>
          <w:tcPr>
            <w:tcW w:w="9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2022年</w:t>
            </w:r>
          </w:p>
        </w:tc>
        <w:tc>
          <w:tcPr>
            <w:tcW w:w="1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1271.43</w:t>
            </w:r>
          </w:p>
        </w:tc>
        <w:tc>
          <w:tcPr>
            <w:tcW w:w="10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4.32%</w:t>
            </w:r>
          </w:p>
        </w:tc>
        <w:tc>
          <w:tcPr>
            <w:tcW w:w="1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0.7486</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11.53%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952.65</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jc w:val="center"/>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w:t>
            </w:r>
          </w:p>
        </w:tc>
        <w:tc>
          <w:tcPr>
            <w:tcW w:w="9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2023年</w:t>
            </w:r>
          </w:p>
        </w:tc>
        <w:tc>
          <w:tcPr>
            <w:tcW w:w="1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1311.12</w:t>
            </w:r>
          </w:p>
        </w:tc>
        <w:tc>
          <w:tcPr>
            <w:tcW w:w="10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4.77%</w:t>
            </w:r>
          </w:p>
        </w:tc>
        <w:tc>
          <w:tcPr>
            <w:tcW w:w="1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0.7958</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6.27%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1043.43</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11.24%</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auto"/>
          <w:kern w:val="2"/>
          <w:sz w:val="21"/>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2019年~2023年医院年用水情况</w:t>
      </w:r>
    </w:p>
    <w:tbl>
      <w:tblPr>
        <w:tblStyle w:val="23"/>
        <w:tblW w:w="95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7"/>
        <w:gridCol w:w="1001"/>
        <w:gridCol w:w="1388"/>
        <w:gridCol w:w="1088"/>
        <w:gridCol w:w="1345"/>
        <w:gridCol w:w="1383"/>
        <w:gridCol w:w="1417"/>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8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序号</w:t>
            </w:r>
          </w:p>
        </w:tc>
        <w:tc>
          <w:tcPr>
            <w:tcW w:w="100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年度</w:t>
            </w:r>
          </w:p>
        </w:tc>
        <w:tc>
          <w:tcPr>
            <w:tcW w:w="247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用水量</w:t>
            </w:r>
          </w:p>
        </w:tc>
        <w:tc>
          <w:tcPr>
            <w:tcW w:w="134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水费(元)</w:t>
            </w:r>
          </w:p>
        </w:tc>
        <w:tc>
          <w:tcPr>
            <w:tcW w:w="138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污水费(元)</w:t>
            </w:r>
          </w:p>
        </w:tc>
        <w:tc>
          <w:tcPr>
            <w:tcW w:w="251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总水费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b/>
                <w:bCs/>
                <w:i w:val="0"/>
                <w:iCs w:val="0"/>
                <w:color w:val="auto"/>
                <w:kern w:val="2"/>
                <w:sz w:val="21"/>
                <w:szCs w:val="21"/>
                <w:highlight w:val="none"/>
                <w:u w:val="none"/>
              </w:rPr>
            </w:pPr>
          </w:p>
        </w:tc>
        <w:tc>
          <w:tcPr>
            <w:tcW w:w="1001" w:type="dxa"/>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b/>
                <w:bCs/>
                <w:i w:val="0"/>
                <w:iCs w:val="0"/>
                <w:color w:val="auto"/>
                <w:kern w:val="2"/>
                <w:sz w:val="21"/>
                <w:szCs w:val="21"/>
                <w:highlight w:val="none"/>
                <w:u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数量(m³)</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变化率</w:t>
            </w:r>
          </w:p>
        </w:tc>
        <w:tc>
          <w:tcPr>
            <w:tcW w:w="1345" w:type="dxa"/>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rPr>
            </w:pPr>
          </w:p>
        </w:tc>
        <w:tc>
          <w:tcPr>
            <w:tcW w:w="1383" w:type="dxa"/>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rPr>
            </w:pPr>
          </w:p>
        </w:tc>
        <w:tc>
          <w:tcPr>
            <w:tcW w:w="1417"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数量(元)</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变化率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10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2019年</w:t>
            </w:r>
          </w:p>
        </w:tc>
        <w:tc>
          <w:tcPr>
            <w:tcW w:w="13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145840</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b/>
                <w:bCs/>
                <w:i w:val="0"/>
                <w:iCs w:val="0"/>
                <w:color w:val="auto"/>
                <w:kern w:val="2"/>
                <w:sz w:val="21"/>
                <w:szCs w:val="21"/>
                <w:highlight w:val="none"/>
                <w:u w:val="none"/>
                <w:lang w:val="en-US" w:eastAsia="zh-CN"/>
              </w:rPr>
            </w:pPr>
            <w:r>
              <w:rPr>
                <w:rFonts w:hint="eastAsia" w:ascii="宋体" w:hAnsi="宋体" w:eastAsia="宋体" w:cs="宋体"/>
                <w:b/>
                <w:bCs/>
                <w:i w:val="0"/>
                <w:iCs w:val="0"/>
                <w:color w:val="auto"/>
                <w:kern w:val="2"/>
                <w:sz w:val="21"/>
                <w:szCs w:val="21"/>
                <w:highlight w:val="none"/>
                <w:u w:val="none"/>
                <w:lang w:val="en-US" w:eastAsia="zh-CN"/>
              </w:rPr>
              <w:t>/</w:t>
            </w:r>
          </w:p>
        </w:tc>
        <w:tc>
          <w:tcPr>
            <w:tcW w:w="13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504608.00</w:t>
            </w:r>
          </w:p>
        </w:tc>
        <w:tc>
          <w:tcPr>
            <w:tcW w:w="13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204176.00</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708784.00</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autoSpaceDE/>
              <w:autoSpaceDN/>
              <w:adjustRightInd/>
              <w:spacing w:line="240" w:lineRule="auto"/>
              <w:jc w:val="center"/>
              <w:rPr>
                <w:rFonts w:hint="eastAsia" w:ascii="宋体" w:hAnsi="宋体" w:eastAsia="宋体" w:cs="宋体"/>
                <w:i w:val="0"/>
                <w:iCs w:val="0"/>
                <w:color w:val="auto"/>
                <w:kern w:val="2"/>
                <w:sz w:val="21"/>
                <w:szCs w:val="21"/>
                <w:highlight w:val="none"/>
                <w:u w:val="none"/>
                <w:lang w:val="en-US" w:eastAsia="zh-CN"/>
              </w:rPr>
            </w:pPr>
            <w:r>
              <w:rPr>
                <w:rFonts w:hint="eastAsia" w:ascii="宋体" w:hAnsi="宋体" w:eastAsia="宋体" w:cs="宋体"/>
                <w:i w:val="0"/>
                <w:iCs w:val="0"/>
                <w:color w:val="auto"/>
                <w:kern w:val="2"/>
                <w:sz w:val="21"/>
                <w:szCs w:val="21"/>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w:t>
            </w:r>
          </w:p>
        </w:tc>
        <w:tc>
          <w:tcPr>
            <w:tcW w:w="10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2020年</w:t>
            </w:r>
          </w:p>
        </w:tc>
        <w:tc>
          <w:tcPr>
            <w:tcW w:w="13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192475</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31.98%</w:t>
            </w:r>
          </w:p>
        </w:tc>
        <w:tc>
          <w:tcPr>
            <w:tcW w:w="13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664797.63</w:t>
            </w:r>
          </w:p>
        </w:tc>
        <w:tc>
          <w:tcPr>
            <w:tcW w:w="13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270656.40</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935454.03</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w:t>
            </w:r>
          </w:p>
        </w:tc>
        <w:tc>
          <w:tcPr>
            <w:tcW w:w="10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2021年</w:t>
            </w:r>
          </w:p>
        </w:tc>
        <w:tc>
          <w:tcPr>
            <w:tcW w:w="13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181475</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-5.72%</w:t>
            </w:r>
          </w:p>
        </w:tc>
        <w:tc>
          <w:tcPr>
            <w:tcW w:w="13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604647.69</w:t>
            </w:r>
          </w:p>
        </w:tc>
        <w:tc>
          <w:tcPr>
            <w:tcW w:w="13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266793.80</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871441.49</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w:t>
            </w:r>
          </w:p>
        </w:tc>
        <w:tc>
          <w:tcPr>
            <w:tcW w:w="10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2022年</w:t>
            </w:r>
          </w:p>
        </w:tc>
        <w:tc>
          <w:tcPr>
            <w:tcW w:w="13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177277</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-2.31%</w:t>
            </w:r>
          </w:p>
        </w:tc>
        <w:tc>
          <w:tcPr>
            <w:tcW w:w="13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591286.53</w:t>
            </w:r>
          </w:p>
        </w:tc>
        <w:tc>
          <w:tcPr>
            <w:tcW w:w="13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260929.20</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852215.73</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2"/>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w:t>
            </w:r>
          </w:p>
        </w:tc>
        <w:tc>
          <w:tcPr>
            <w:tcW w:w="10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2023年</w:t>
            </w:r>
          </w:p>
        </w:tc>
        <w:tc>
          <w:tcPr>
            <w:tcW w:w="13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180548</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3.72%</w:t>
            </w:r>
          </w:p>
        </w:tc>
        <w:tc>
          <w:tcPr>
            <w:tcW w:w="13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626163.28</w:t>
            </w:r>
          </w:p>
        </w:tc>
        <w:tc>
          <w:tcPr>
            <w:tcW w:w="13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260631.60</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866147.56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4.06%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公共机构其余情况，如组织构架、建筑物概况、能源资源利用总体情况等，具体见《广州市第一人民医院南沙医院能源审计报告》及《能源审计报告修订情况说明》（附件1）。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bCs/>
          <w:color w:val="00B0F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t>能源设备清单，详见《</w:t>
      </w:r>
      <w:r>
        <w:rPr>
          <w:rFonts w:hint="eastAsia" w:ascii="宋体" w:hAnsi="宋体" w:eastAsia="宋体" w:cs="宋体"/>
          <w:kern w:val="2"/>
          <w:sz w:val="21"/>
          <w:szCs w:val="21"/>
          <w:highlight w:val="none"/>
          <w:lang w:val="en-US" w:eastAsia="zh-CN"/>
        </w:rPr>
        <w:t>广州市第一人民医院南沙医院能源审计报告》（附件1）及附件3既有运维项目合同/招文/管理资料等文件。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rPr>
      </w:pPr>
    </w:p>
    <w:p>
      <w:pPr>
        <w:widowControl w:val="0"/>
        <w:autoSpaceDE/>
        <w:autoSpaceDN/>
        <w:adjustRightInd w:val="0"/>
        <w:spacing w:before="120" w:beforeLines="50" w:after="120" w:afterLines="50" w:line="360" w:lineRule="auto"/>
        <w:jc w:val="both"/>
        <w:textAlignment w:val="baseline"/>
        <w:outlineLvl w:val="1"/>
        <w:rPr>
          <w:rFonts w:hint="eastAsia" w:ascii="宋体" w:hAnsi="宋体" w:eastAsia="宋体" w:cs="宋体"/>
          <w:b/>
          <w:bCs/>
          <w:kern w:val="0"/>
          <w:sz w:val="21"/>
          <w:szCs w:val="21"/>
          <w:highlight w:val="none"/>
          <w:lang w:val="en-US" w:eastAsia="zh-CN" w:bidi="ar-SA"/>
        </w:rPr>
      </w:pPr>
      <w:bookmarkStart w:id="0" w:name="_Toc22757"/>
      <w:r>
        <w:rPr>
          <w:rFonts w:hint="eastAsia" w:ascii="宋体" w:hAnsi="宋体" w:eastAsia="宋体" w:cs="宋体"/>
          <w:b/>
          <w:bCs/>
          <w:kern w:val="0"/>
          <w:sz w:val="21"/>
          <w:szCs w:val="21"/>
          <w:highlight w:val="none"/>
          <w:lang w:val="en-US" w:eastAsia="zh-CN" w:bidi="ar-SA"/>
        </w:rPr>
        <w:t>二、实质性条款</w:t>
      </w:r>
      <w:bookmarkEnd w:id="0"/>
      <w:r>
        <w:rPr>
          <w:rFonts w:hint="eastAsia" w:ascii="宋体" w:hAnsi="宋体" w:eastAsia="宋体" w:cs="宋体"/>
          <w:b/>
          <w:bCs/>
          <w:kern w:val="0"/>
          <w:sz w:val="21"/>
          <w:szCs w:val="21"/>
          <w:highlight w:val="none"/>
          <w:lang w:val="en-US" w:eastAsia="zh-CN" w:bidi="ar-SA"/>
        </w:rPr>
        <w:t>及重要条款</w:t>
      </w:r>
    </w:p>
    <w:tbl>
      <w:tblPr>
        <w:tblStyle w:val="2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utoSpaceDE/>
              <w:autoSpaceDN/>
              <w:adjustRightInd w:val="0"/>
              <w:snapToGrid w:val="0"/>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7795" w:type="dxa"/>
            <w:noWrap w:val="0"/>
            <w:vAlign w:val="top"/>
          </w:tcPr>
          <w:p>
            <w:pPr>
              <w:autoSpaceDE/>
              <w:autoSpaceDN/>
              <w:adjustRightInd w:val="0"/>
              <w:snapToGrid w:val="0"/>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utoSpaceDE/>
              <w:autoSpaceDN/>
              <w:adjustRightInd w:val="0"/>
              <w:snapToGrid w:val="0"/>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7795" w:type="dxa"/>
            <w:noWrap w:val="0"/>
            <w:vAlign w:val="center"/>
          </w:tcPr>
          <w:p>
            <w:pPr>
              <w:autoSpaceDE/>
              <w:autoSpaceDN/>
              <w:adjustRightInd/>
              <w:spacing w:line="240" w:lineRule="auto"/>
              <w:jc w:val="both"/>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本项目“★”标明的条款为实质性条款，</w:t>
            </w:r>
            <w:r>
              <w:rPr>
                <w:rFonts w:hint="eastAsia" w:ascii="宋体" w:hAnsi="宋体" w:eastAsia="宋体" w:cs="宋体"/>
                <w:kern w:val="0"/>
                <w:sz w:val="21"/>
                <w:szCs w:val="21"/>
                <w:highlight w:val="none"/>
                <w:lang w:eastAsia="zh-CN"/>
              </w:rPr>
              <w:t>相应</w:t>
            </w:r>
            <w:r>
              <w:rPr>
                <w:rFonts w:hint="eastAsia" w:ascii="宋体" w:hAnsi="宋体" w:eastAsia="宋体" w:cs="宋体"/>
                <w:b w:val="0"/>
                <w:kern w:val="0"/>
                <w:sz w:val="21"/>
                <w:szCs w:val="21"/>
                <w:highlight w:val="none"/>
              </w:rPr>
              <w:t>内容为不可负偏离条款</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任何一条负偏离则导致</w:t>
            </w:r>
            <w:r>
              <w:rPr>
                <w:rFonts w:hint="eastAsia" w:ascii="宋体" w:hAnsi="宋体" w:eastAsia="宋体" w:cs="宋体"/>
                <w:kern w:val="0"/>
                <w:sz w:val="21"/>
                <w:szCs w:val="21"/>
                <w:highlight w:val="none"/>
                <w:lang w:eastAsia="zh-CN"/>
              </w:rPr>
              <w:t>响应</w:t>
            </w:r>
            <w:r>
              <w:rPr>
                <w:rFonts w:hint="eastAsia" w:ascii="宋体" w:hAnsi="宋体" w:eastAsia="宋体" w:cs="宋体"/>
                <w:kern w:val="0"/>
                <w:sz w:val="21"/>
                <w:szCs w:val="21"/>
                <w:highlight w:val="none"/>
              </w:rPr>
              <w:t>无效</w:t>
            </w:r>
            <w:r>
              <w:rPr>
                <w:rFonts w:hint="eastAsia" w:ascii="宋体" w:hAnsi="宋体" w:eastAsia="宋体" w:cs="宋体"/>
                <w:kern w:val="0"/>
                <w:sz w:val="21"/>
                <w:szCs w:val="21"/>
                <w:highlight w:val="none"/>
                <w:lang w:eastAsia="zh-CN"/>
              </w:rPr>
              <w:t>，作投标无效处理</w:t>
            </w:r>
            <w:r>
              <w:rPr>
                <w:rFonts w:hint="eastAsia" w:ascii="宋体" w:hAnsi="宋体" w:eastAsia="宋体" w:cs="宋体"/>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utoSpaceDE/>
              <w:autoSpaceDN/>
              <w:adjustRightInd w:val="0"/>
              <w:snapToGrid w:val="0"/>
              <w:spacing w:line="360" w:lineRule="auto"/>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7795" w:type="dxa"/>
            <w:noWrap w:val="0"/>
            <w:vAlign w:val="center"/>
          </w:tcPr>
          <w:p>
            <w:pPr>
              <w:autoSpaceDE/>
              <w:autoSpaceDN/>
              <w:adjustRightInd/>
              <w:spacing w:line="240" w:lineRule="auto"/>
              <w:jc w:val="both"/>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本项目</w:t>
            </w:r>
            <w:r>
              <w:rPr>
                <w:rFonts w:hint="eastAsia" w:ascii="宋体" w:hAnsi="宋体" w:eastAsia="宋体" w:cs="宋体"/>
                <w:kern w:val="0"/>
                <w:sz w:val="21"/>
                <w:szCs w:val="21"/>
                <w:highlight w:val="none"/>
                <w:lang w:eastAsia="zh-CN"/>
              </w:rPr>
              <w:t>标</w:t>
            </w:r>
            <w:r>
              <w:rPr>
                <w:rFonts w:hint="eastAsia" w:ascii="宋体" w:hAnsi="宋体" w:eastAsia="宋体" w:cs="宋体"/>
                <w:kern w:val="0"/>
                <w:sz w:val="21"/>
                <w:szCs w:val="21"/>
                <w:highlight w:val="none"/>
              </w:rPr>
              <w:t>“▲”号条款作为评审时的重要</w:t>
            </w:r>
            <w:r>
              <w:rPr>
                <w:rFonts w:hint="eastAsia" w:ascii="宋体" w:hAnsi="宋体" w:eastAsia="宋体" w:cs="宋体"/>
                <w:kern w:val="0"/>
                <w:sz w:val="21"/>
                <w:szCs w:val="21"/>
                <w:highlight w:val="none"/>
                <w:lang w:eastAsia="zh-CN"/>
              </w:rPr>
              <w:t>条款</w:t>
            </w:r>
            <w:r>
              <w:rPr>
                <w:rFonts w:hint="eastAsia" w:ascii="宋体" w:hAnsi="宋体" w:eastAsia="宋体" w:cs="宋体"/>
                <w:kern w:val="0"/>
                <w:sz w:val="21"/>
                <w:szCs w:val="21"/>
                <w:highlight w:val="none"/>
              </w:rPr>
              <w:t>，不作为★号实质性条款</w:t>
            </w:r>
            <w:r>
              <w:rPr>
                <w:rFonts w:hint="eastAsia" w:ascii="宋体" w:hAnsi="宋体" w:eastAsia="宋体" w:cs="宋体"/>
                <w:kern w:val="0"/>
                <w:sz w:val="21"/>
                <w:szCs w:val="21"/>
                <w:highlight w:val="none"/>
                <w:lang w:eastAsia="zh-CN"/>
              </w:rPr>
              <w:t>。</w:t>
            </w:r>
          </w:p>
        </w:tc>
      </w:tr>
    </w:tbl>
    <w:p>
      <w:pPr>
        <w:widowControl/>
        <w:autoSpaceDE/>
        <w:autoSpaceDN/>
        <w:adjustRightInd w:val="0"/>
        <w:snapToGrid w:val="0"/>
        <w:spacing w:line="360" w:lineRule="auto"/>
        <w:ind w:left="440" w:leftChars="200"/>
        <w:jc w:val="left"/>
        <w:outlineLvl w:val="1"/>
        <w:rPr>
          <w:rFonts w:hint="eastAsia" w:ascii="宋体" w:hAnsi="宋体" w:eastAsia="宋体" w:cs="宋体"/>
          <w:b/>
          <w:bCs/>
          <w:kern w:val="0"/>
          <w:sz w:val="21"/>
          <w:szCs w:val="21"/>
          <w:highlight w:val="none"/>
          <w:lang w:val="en-US" w:eastAsia="zh-CN" w:bidi="ar-SA"/>
        </w:rPr>
      </w:pPr>
    </w:p>
    <w:p>
      <w:pPr>
        <w:widowControl/>
        <w:autoSpaceDE/>
        <w:autoSpaceDN/>
        <w:adjustRightInd w:val="0"/>
        <w:snapToGrid w:val="0"/>
        <w:spacing w:line="360" w:lineRule="auto"/>
        <w:jc w:val="left"/>
        <w:outlineLvl w:val="1"/>
        <w:rPr>
          <w:rFonts w:hint="eastAsia" w:ascii="宋体" w:hAnsi="宋体" w:eastAsia="宋体" w:cs="宋体"/>
          <w:b/>
          <w:bCs/>
          <w:kern w:val="0"/>
          <w:sz w:val="21"/>
          <w:szCs w:val="21"/>
          <w:highlight w:val="none"/>
          <w:lang w:val="en-US" w:eastAsia="zh-CN" w:bidi="ar-SA"/>
        </w:rPr>
      </w:pPr>
      <w:r>
        <w:rPr>
          <w:rFonts w:hint="eastAsia" w:ascii="宋体" w:hAnsi="宋体" w:eastAsia="宋体" w:cs="宋体"/>
          <w:b/>
          <w:bCs/>
          <w:kern w:val="0"/>
          <w:sz w:val="21"/>
          <w:szCs w:val="21"/>
          <w:highlight w:val="none"/>
          <w:lang w:val="en-US" w:eastAsia="zh-CN" w:bidi="ar-SA"/>
        </w:rPr>
        <w:t>三、本项目术语和定义</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1、公共机构（甲方、采购人） ：全部或者部分使用财政性资金的国家机关、事业单位和团体组织。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2、节能服务公司/托管服务单位（中标人）：提供用能状况诊断、节能项目设计、融资、改造（施工、设备安装、调试）、运行管理等服务的专业化公司。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3、能源费用托管：用能单位委托节能服务公司，进行电、气、煤、油、市政热力、水等能源资源系统的运行、管理、维护和改造，用能单位将根据能源基准确定的费用支付给节能服务公司作为托管费用，节能服务公司通过科学的管理运行和节能技术的应用达到节约能源资源、减少费用支出等目的，获取合理的利润的一种合同能源管理形式。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4、项目边界：项目托管的水电费用，</w:t>
      </w:r>
      <w:r>
        <w:rPr>
          <w:rFonts w:hint="eastAsia" w:ascii="宋体" w:hAnsi="宋体" w:eastAsia="宋体" w:cs="宋体"/>
          <w:kern w:val="2"/>
          <w:sz w:val="21"/>
          <w:szCs w:val="21"/>
          <w:highlight w:val="none"/>
          <w:lang w:eastAsia="zh-CN"/>
        </w:rPr>
        <w:t>节能、</w:t>
      </w:r>
      <w:r>
        <w:rPr>
          <w:rFonts w:hint="eastAsia" w:ascii="宋体" w:hAnsi="宋体" w:eastAsia="宋体" w:cs="宋体"/>
          <w:kern w:val="2"/>
          <w:sz w:val="21"/>
          <w:szCs w:val="21"/>
          <w:highlight w:val="none"/>
          <w:lang w:val="en-US" w:eastAsia="zh-CN"/>
        </w:rPr>
        <w:t>安全及智能化改造，全院机电相关设备系统运维内容（含</w:t>
      </w:r>
      <w:r>
        <w:rPr>
          <w:rFonts w:hint="eastAsia" w:ascii="宋体" w:hAnsi="宋体" w:eastAsia="宋体" w:cs="宋体"/>
          <w:color w:val="auto"/>
          <w:kern w:val="2"/>
          <w:sz w:val="21"/>
          <w:szCs w:val="21"/>
          <w:highlight w:val="none"/>
          <w:lang w:val="en-US" w:eastAsia="zh-CN" w:bidi="ar-SA"/>
        </w:rPr>
        <w:t>改造新增的软硬件系统</w:t>
      </w:r>
      <w:r>
        <w:rPr>
          <w:rFonts w:hint="eastAsia" w:ascii="宋体" w:hAnsi="宋体" w:eastAsia="宋体" w:cs="宋体"/>
          <w:kern w:val="2"/>
          <w:sz w:val="21"/>
          <w:szCs w:val="21"/>
          <w:highlight w:val="none"/>
          <w:lang w:val="en-US" w:eastAsia="zh-CN"/>
        </w:rPr>
        <w:t>）等边界。包含但不限于</w:t>
      </w:r>
      <w:r>
        <w:rPr>
          <w:rFonts w:hint="eastAsia" w:ascii="宋体" w:hAnsi="宋体" w:eastAsia="宋体" w:cs="宋体"/>
          <w:color w:val="auto"/>
          <w:kern w:val="2"/>
          <w:sz w:val="21"/>
          <w:szCs w:val="21"/>
          <w:highlight w:val="none"/>
          <w:lang w:val="en-US" w:eastAsia="zh-CN"/>
        </w:rPr>
        <w:t>运行时间、范围、地理位置和服务内容界线。</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5、基准期：客观反映用能单位现有边界内用能设备和系统运行规律的时间段。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6、能源基准：用作比较能源绩效的定量参考依据，反映了特定时间段的能源利用状况，用能单位在基准期内的能源资源消耗量或能源资源使用费用。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7、能源托管费用：公共机构在能源费用托管项目中支付给节能服务公司的费用。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注：</w:t>
      </w:r>
      <w:r>
        <w:rPr>
          <w:rFonts w:hint="eastAsia" w:ascii="宋体" w:hAnsi="宋体" w:eastAsia="宋体" w:cs="宋体"/>
          <w:color w:val="auto"/>
          <w:kern w:val="2"/>
          <w:sz w:val="21"/>
          <w:szCs w:val="21"/>
          <w:highlight w:val="none"/>
          <w:lang w:val="en-US" w:eastAsia="zh-CN"/>
        </w:rPr>
        <w:t xml:space="preserve">由能源资源费用、改造费用和运行维护费用等组成。能源资源费用根据能源基准和相应能源资源单价相乘计算得出，改造费用包括节能、安全、智慧化改造内容所产生的费用，运行维护费用包括对托管范围内能源资源系统的运行管理、维修维护等费用，由公共机构与节能服务公司，在托管服务招文及合同内约定。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8、 能源托管费用基数：能源费用托管项目根据能源基准、改造内容和服务范围确定的年度能源托管费用。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注：包括能源费用基数、改造费用和运行管理及维护费用基数等。能源费用基数指公共机构在基准期内实际支出的年度能源费用。改造费用包括节能、安全、智慧化改造内容所产生的费用。运行管理及维护费用基数，指依据托管范围内涉及的能源资源系统，日常运行、专业管理、维护保养及必要维修工作所确定的年度必要费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9、建设期：托管服务单位完成改造（施工、设备安装、调试）并通过用能单位验收的期限。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10、托管期：指托管服务单位向用能单位提供能源托管服务，用能单位向托管服务单位支付托管费用（含能源费用和运行维护服务费用）的期限。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11、节能设备及系统：指本项目下所有由托管服务单位采购并安装的设备、设施、仪器和系统等财产（含软件、硬件）。</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12、甲方现有设备：指与项目建设或运行相关的，甲方自有的除乙方节能设备之外的其他所有设备设施及仪器等财产。</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13、</w:t>
      </w:r>
      <w:r>
        <w:rPr>
          <w:rFonts w:hint="eastAsia" w:ascii="宋体" w:hAnsi="宋体" w:eastAsia="宋体" w:cs="宋体"/>
          <w:b/>
          <w:bCs/>
          <w:color w:val="auto"/>
          <w:kern w:val="2"/>
          <w:sz w:val="21"/>
          <w:szCs w:val="21"/>
          <w:highlight w:val="none"/>
          <w:lang w:val="en-US" w:eastAsia="zh-CN"/>
        </w:rPr>
        <w:t>技术节能率：</w:t>
      </w:r>
      <w:r>
        <w:rPr>
          <w:rFonts w:hint="eastAsia" w:ascii="宋体" w:hAnsi="宋体" w:eastAsia="宋体" w:cs="宋体"/>
          <w:color w:val="auto"/>
          <w:kern w:val="2"/>
          <w:sz w:val="21"/>
          <w:szCs w:val="21"/>
          <w:highlight w:val="none"/>
          <w:lang w:val="en-US" w:eastAsia="zh-CN"/>
        </w:rPr>
        <w:t>节能服务公司通过本项目所有一系列</w:t>
      </w:r>
      <w:r>
        <w:rPr>
          <w:rFonts w:hint="eastAsia" w:ascii="宋体" w:hAnsi="宋体" w:eastAsia="宋体" w:cs="宋体"/>
          <w:kern w:val="2"/>
          <w:sz w:val="21"/>
          <w:szCs w:val="21"/>
          <w:highlight w:val="none"/>
          <w:lang w:eastAsia="zh-CN"/>
        </w:rPr>
        <w:t>节能、</w:t>
      </w:r>
      <w:r>
        <w:rPr>
          <w:rFonts w:hint="eastAsia" w:ascii="宋体" w:hAnsi="宋体" w:eastAsia="宋体" w:cs="宋体"/>
          <w:kern w:val="2"/>
          <w:sz w:val="21"/>
          <w:szCs w:val="21"/>
          <w:highlight w:val="none"/>
          <w:lang w:val="en-US" w:eastAsia="zh-CN"/>
        </w:rPr>
        <w:t>安全及智能化改造后，甲方设备系统的实际节能率，即单位建筑面积能耗下降比例。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14、</w:t>
      </w:r>
      <w:r>
        <w:rPr>
          <w:rFonts w:hint="eastAsia" w:ascii="宋体" w:hAnsi="宋体" w:eastAsia="宋体" w:cs="宋体"/>
          <w:b/>
          <w:bCs/>
          <w:color w:val="auto"/>
          <w:kern w:val="2"/>
          <w:sz w:val="21"/>
          <w:szCs w:val="21"/>
          <w:highlight w:val="none"/>
          <w:lang w:val="en-US" w:eastAsia="zh-CN"/>
        </w:rPr>
        <w:t>甲方享受节能率：</w:t>
      </w:r>
      <w:r>
        <w:rPr>
          <w:rFonts w:hint="eastAsia" w:ascii="宋体" w:hAnsi="宋体" w:eastAsia="宋体" w:cs="宋体"/>
          <w:color w:val="auto"/>
          <w:kern w:val="2"/>
          <w:sz w:val="21"/>
          <w:szCs w:val="21"/>
          <w:highlight w:val="none"/>
          <w:lang w:val="en-US" w:eastAsia="zh-CN"/>
        </w:rPr>
        <w:t>节能服务公司向甲方承诺享受的节能率，甲方享受节能率≤技术节能率。甲方享受节能率，即为本项目服务公司针对能源基准及指标的下浮率。</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宋体" w:hAnsi="宋体" w:eastAsia="宋体" w:cs="宋体"/>
          <w:color w:val="auto"/>
          <w:kern w:val="2"/>
          <w:sz w:val="21"/>
          <w:szCs w:val="21"/>
          <w:highlight w:val="none"/>
          <w:u w:val="single"/>
          <w:lang w:val="en-US" w:eastAsia="zh-CN"/>
        </w:rPr>
      </w:pPr>
      <w:r>
        <w:rPr>
          <w:rFonts w:hint="eastAsia" w:ascii="宋体" w:hAnsi="宋体" w:eastAsia="宋体" w:cs="宋体"/>
          <w:color w:val="auto"/>
          <w:kern w:val="2"/>
          <w:sz w:val="21"/>
          <w:szCs w:val="21"/>
          <w:highlight w:val="none"/>
          <w:lang w:val="en-US" w:eastAsia="zh-CN"/>
        </w:rPr>
        <w:t>15、其他：</w:t>
      </w:r>
      <w:r>
        <w:rPr>
          <w:rFonts w:hint="eastAsia" w:ascii="宋体" w:hAnsi="宋体" w:eastAsia="宋体" w:cs="宋体"/>
          <w:color w:val="auto"/>
          <w:kern w:val="2"/>
          <w:sz w:val="21"/>
          <w:szCs w:val="21"/>
          <w:highlight w:val="none"/>
          <w:u w:val="none"/>
          <w:lang w:val="en-US" w:eastAsia="zh-CN"/>
        </w:rPr>
        <w:t>上述未尽术语和定义，参照相关法规定义或公共机构与服务单位约定。</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outlineLvl w:val="1"/>
        <w:rPr>
          <w:rFonts w:hint="eastAsia" w:ascii="宋体" w:hAnsi="宋体" w:eastAsia="宋体" w:cs="宋体"/>
          <w:b/>
          <w:bCs/>
          <w:kern w:val="0"/>
          <w:sz w:val="21"/>
          <w:szCs w:val="21"/>
          <w:highlight w:val="no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outlineLvl w:val="1"/>
        <w:rPr>
          <w:rFonts w:hint="eastAsia" w:ascii="宋体" w:hAnsi="宋体" w:eastAsia="宋体" w:cs="宋体"/>
          <w:kern w:val="2"/>
          <w:sz w:val="21"/>
          <w:szCs w:val="21"/>
          <w:highlight w:val="none"/>
          <w:lang w:val="en-US" w:eastAsia="zh-CN"/>
        </w:rPr>
      </w:pPr>
      <w:r>
        <w:rPr>
          <w:rFonts w:hint="eastAsia" w:ascii="宋体" w:hAnsi="宋体" w:eastAsia="宋体" w:cs="宋体"/>
          <w:b/>
          <w:bCs/>
          <w:kern w:val="0"/>
          <w:sz w:val="21"/>
          <w:szCs w:val="21"/>
          <w:highlight w:val="none"/>
          <w:lang w:val="en-US" w:eastAsia="zh-CN" w:bidi="ar-SA"/>
        </w:rPr>
        <w:t>四、托管内容及基准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本项目托管内容共八个部分：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1. 第一部分：水量、电量托管及基准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根据能源审计报告及修订说明，以2023年为水量、电量基准期，其中：</w:t>
      </w:r>
    </w:p>
    <w:p>
      <w:pPr>
        <w:keepNext w:val="0"/>
        <w:keepLines w:val="0"/>
        <w:pageBreakBefore w:val="0"/>
        <w:widowControl w:val="0"/>
        <w:numPr>
          <w:ilvl w:val="0"/>
          <w:numId w:val="2"/>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基准面积：全年核定实际使用建筑面积为93339.67㎡，</w:t>
      </w:r>
    </w:p>
    <w:p>
      <w:pPr>
        <w:keepNext w:val="0"/>
        <w:keepLines w:val="0"/>
        <w:pageBreakBefore w:val="0"/>
        <w:widowControl w:val="0"/>
        <w:numPr>
          <w:ilvl w:val="0"/>
          <w:numId w:val="2"/>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基准水量：全年用水量为180548m³，</w:t>
      </w:r>
    </w:p>
    <w:p>
      <w:pPr>
        <w:keepNext w:val="0"/>
        <w:keepLines w:val="0"/>
        <w:pageBreakBefore w:val="0"/>
        <w:widowControl w:val="0"/>
        <w:numPr>
          <w:ilvl w:val="0"/>
          <w:numId w:val="2"/>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基准电量：全年用电量1311.12万Kw.h。</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根据2023年平均水价（水费和污水处理费单价）为4.86元，平均电价为0.7958元，计算出2023年水量托管基准费用为</w:t>
      </w:r>
      <w:r>
        <w:rPr>
          <w:rFonts w:hint="eastAsia" w:ascii="宋体" w:hAnsi="宋体" w:eastAsia="宋体" w:cs="宋体"/>
          <w:i w:val="0"/>
          <w:iCs w:val="0"/>
          <w:color w:val="auto"/>
          <w:kern w:val="0"/>
          <w:sz w:val="21"/>
          <w:szCs w:val="21"/>
          <w:highlight w:val="none"/>
          <w:u w:val="none"/>
          <w:lang w:val="en-US" w:eastAsia="zh-CN" w:bidi="ar-SA"/>
        </w:rPr>
        <w:t>866147.56</w:t>
      </w:r>
      <w:r>
        <w:rPr>
          <w:rFonts w:hint="eastAsia" w:ascii="宋体" w:hAnsi="宋体" w:eastAsia="宋体" w:cs="宋体"/>
          <w:b w:val="0"/>
          <w:bCs w:val="0"/>
          <w:kern w:val="0"/>
          <w:sz w:val="21"/>
          <w:szCs w:val="21"/>
          <w:highlight w:val="none"/>
          <w:lang w:val="en-US" w:eastAsia="zh-CN" w:bidi="ar-SA"/>
        </w:rPr>
        <w:t>元，2023年电量托管基准费用为1043.43万元。</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注：此项为水量、电量基准，以基准期面积所使用的水量、电量为基准。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2. 第二部分：指标控制托管及基准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根据能源审计报告及修订说明，以2023年为指标基准期，则：</w:t>
      </w:r>
    </w:p>
    <w:p>
      <w:pPr>
        <w:keepNext w:val="0"/>
        <w:keepLines w:val="0"/>
        <w:pageBreakBefore w:val="0"/>
        <w:widowControl w:val="0"/>
        <w:numPr>
          <w:ilvl w:val="0"/>
          <w:numId w:val="3"/>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u w:val="none"/>
          <w:lang w:val="en-US" w:eastAsia="zh-CN" w:bidi="ar-SA"/>
        </w:rPr>
        <w:t>“单位建筑面积能耗”指标基准为140.47</w:t>
      </w:r>
      <w:r>
        <w:rPr>
          <w:rFonts w:hint="eastAsia" w:ascii="宋体" w:hAnsi="宋体" w:eastAsia="宋体" w:cs="宋体"/>
          <w:b w:val="0"/>
          <w:bCs w:val="0"/>
          <w:kern w:val="0"/>
          <w:sz w:val="21"/>
          <w:szCs w:val="21"/>
          <w:highlight w:val="none"/>
          <w:lang w:val="en-US" w:eastAsia="zh-CN" w:bidi="ar-SA"/>
        </w:rPr>
        <w:t>，</w:t>
      </w:r>
    </w:p>
    <w:p>
      <w:pPr>
        <w:keepNext w:val="0"/>
        <w:keepLines w:val="0"/>
        <w:pageBreakBefore w:val="0"/>
        <w:widowControl w:val="0"/>
        <w:numPr>
          <w:ilvl w:val="0"/>
          <w:numId w:val="3"/>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“人均综合能耗”指标基准为3295.10，</w:t>
      </w:r>
    </w:p>
    <w:p>
      <w:pPr>
        <w:keepNext w:val="0"/>
        <w:keepLines w:val="0"/>
        <w:pageBreakBefore w:val="0"/>
        <w:widowControl w:val="0"/>
        <w:numPr>
          <w:ilvl w:val="0"/>
          <w:numId w:val="3"/>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“人均用水量”指标基准为45.38，</w:t>
      </w:r>
    </w:p>
    <w:p>
      <w:pPr>
        <w:keepNext w:val="0"/>
        <w:keepLines w:val="0"/>
        <w:pageBreakBefore w:val="0"/>
        <w:widowControl w:val="0"/>
        <w:numPr>
          <w:ilvl w:val="0"/>
          <w:numId w:val="3"/>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“万元收入能耗支出”指标基准为158元/万元，</w:t>
      </w:r>
    </w:p>
    <w:p>
      <w:pPr>
        <w:keepNext w:val="0"/>
        <w:keepLines w:val="0"/>
        <w:pageBreakBefore w:val="0"/>
        <w:widowControl w:val="0"/>
        <w:numPr>
          <w:ilvl w:val="0"/>
          <w:numId w:val="3"/>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“单位建筑面积碳排放”指标未明确基准，</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注：此项为指标基准，指标1）为强制性基准，为必须统一响应指标；指标2）~5）为选择性要求指标基准，各项指标响应要求，具体以</w:t>
      </w:r>
      <w:r>
        <w:rPr>
          <w:rFonts w:hint="eastAsia" w:ascii="宋体" w:hAnsi="宋体" w:eastAsia="宋体" w:cs="宋体"/>
          <w:color w:val="auto"/>
          <w:kern w:val="2"/>
          <w:sz w:val="21"/>
          <w:szCs w:val="21"/>
          <w:highlight w:val="none"/>
          <w:lang w:val="en-US" w:eastAsia="zh-CN" w:bidi="ar-SA"/>
        </w:rPr>
        <w:t>需求书相应章节要求为准</w:t>
      </w:r>
      <w:r>
        <w:rPr>
          <w:rFonts w:hint="eastAsia" w:ascii="宋体" w:hAnsi="宋体" w:eastAsia="宋体" w:cs="宋体"/>
          <w:b w:val="0"/>
          <w:bCs w:val="0"/>
          <w:kern w:val="0"/>
          <w:sz w:val="21"/>
          <w:szCs w:val="21"/>
          <w:highlight w:val="none"/>
          <w:lang w:val="en-US" w:eastAsia="zh-CN" w:bidi="ar-SA"/>
        </w:rPr>
        <w:t>。</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kern w:val="0"/>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3.第三部分：</w:t>
      </w:r>
      <w:r>
        <w:rPr>
          <w:rFonts w:hint="eastAsia" w:ascii="宋体" w:hAnsi="宋体" w:eastAsia="宋体" w:cs="宋体"/>
          <w:kern w:val="2"/>
          <w:sz w:val="21"/>
          <w:szCs w:val="21"/>
          <w:highlight w:val="none"/>
          <w:lang w:val="en-US" w:eastAsia="zh-CN" w:bidi="ar-SA"/>
        </w:rPr>
        <w:t>改造费用托管及基准</w:t>
      </w:r>
    </w:p>
    <w:p>
      <w:pPr>
        <w:keepNext w:val="0"/>
        <w:keepLines w:val="0"/>
        <w:pageBreakBefore w:val="0"/>
        <w:widowControl w:val="0"/>
        <w:numPr>
          <w:ilvl w:val="0"/>
          <w:numId w:val="0"/>
        </w:numPr>
        <w:kinsoku/>
        <w:wordWrap/>
        <w:overflowPunct/>
        <w:topLinePunct w:val="0"/>
        <w:bidi w:val="0"/>
        <w:snapToGrid/>
        <w:spacing w:line="24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主要涉及节能、安全、智慧化等方面的改造内容，主要为：</w:t>
      </w:r>
    </w:p>
    <w:p>
      <w:pPr>
        <w:keepNext w:val="0"/>
        <w:keepLines w:val="0"/>
        <w:pageBreakBefore w:val="0"/>
        <w:widowControl w:val="0"/>
        <w:kinsoku/>
        <w:wordWrap/>
        <w:overflowPunct/>
        <w:topLinePunct w:val="0"/>
        <w:bidi w:val="0"/>
        <w:snapToGrid/>
        <w:spacing w:line="240" w:lineRule="auto"/>
        <w:ind w:firstLine="561"/>
        <w:jc w:val="both"/>
        <w:textAlignment w:val="auto"/>
        <w:rPr>
          <w:rFonts w:hint="eastAsia" w:ascii="Calibri" w:hAnsi="Calibri" w:eastAsia="宋体" w:cs="Times New Roman"/>
          <w:kern w:val="2"/>
          <w:sz w:val="28"/>
          <w:szCs w:val="28"/>
          <w:highlight w:val="none"/>
          <w:lang w:val="en-US" w:eastAsia="zh-CN" w:bidi="ar-SA"/>
        </w:rPr>
      </w:pPr>
      <w:r>
        <w:rPr>
          <w:rFonts w:hint="eastAsia" w:ascii="宋体" w:hAnsi="宋体" w:eastAsia="宋体" w:cs="宋体"/>
          <w:kern w:val="2"/>
          <w:sz w:val="21"/>
          <w:szCs w:val="21"/>
          <w:highlight w:val="none"/>
          <w:lang w:val="en-US" w:eastAsia="zh-CN" w:bidi="ar-SA"/>
        </w:rPr>
        <w:t>【节能低碳改造要求】</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highlight w:val="none"/>
          <w:lang w:val="en-US" w:eastAsia="zh-CN"/>
        </w:rPr>
      </w:pPr>
      <w:r>
        <w:rPr>
          <w:rFonts w:hint="eastAsia" w:hAnsi="宋体" w:cs="宋体"/>
          <w:kern w:val="2"/>
          <w:sz w:val="21"/>
          <w:szCs w:val="21"/>
          <w:highlight w:val="none"/>
          <w:lang w:val="en-US" w:eastAsia="zh-CN" w:bidi="ar-SA"/>
        </w:rPr>
        <w:t>推动实施</w:t>
      </w:r>
      <w:r>
        <w:rPr>
          <w:rFonts w:hint="eastAsia" w:hAnsi="宋体" w:cs="宋体"/>
          <w:kern w:val="2"/>
          <w:sz w:val="21"/>
          <w:szCs w:val="21"/>
          <w:highlight w:val="none"/>
          <w:lang w:val="en-US" w:eastAsia="zh-CN" w:bidi="ar-SA"/>
        </w:rPr>
        <w:t>全院</w:t>
      </w:r>
      <w:r>
        <w:rPr>
          <w:rFonts w:hint="eastAsia" w:hAnsi="宋体" w:cs="宋体"/>
          <w:kern w:val="2"/>
          <w:sz w:val="21"/>
          <w:szCs w:val="21"/>
          <w:highlight w:val="none"/>
          <w:lang w:val="en-US" w:eastAsia="zh-CN" w:bidi="ar-SA"/>
        </w:rPr>
        <w:t>空调改造，</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实施照明节能改造，</w:t>
      </w:r>
    </w:p>
    <w:p>
      <w:pPr>
        <w:keepNext w:val="0"/>
        <w:keepLines w:val="0"/>
        <w:pageBreakBefore w:val="0"/>
        <w:widowControl w:val="0"/>
        <w:numPr>
          <w:ilvl w:val="0"/>
          <w:numId w:val="4"/>
        </w:numPr>
        <w:kinsoku/>
        <w:wordWrap/>
        <w:overflowPunct/>
        <w:topLinePunct w:val="0"/>
        <w:bidi w:val="0"/>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color w:val="auto"/>
          <w:kern w:val="2"/>
          <w:sz w:val="21"/>
          <w:szCs w:val="21"/>
          <w:highlight w:val="none"/>
          <w:lang w:val="en-US" w:eastAsia="zh-CN" w:bidi="ar-SA"/>
        </w:rPr>
        <w:t>建设</w:t>
      </w:r>
      <w:r>
        <w:rPr>
          <w:rFonts w:hint="eastAsia" w:ascii="宋体" w:hAnsi="宋体" w:eastAsia="宋体" w:cs="宋体"/>
          <w:color w:val="auto"/>
          <w:kern w:val="2"/>
          <w:sz w:val="21"/>
          <w:szCs w:val="21"/>
          <w:highlight w:val="none"/>
          <w:lang w:val="en-US" w:eastAsia="zh-CN" w:bidi="ar-SA"/>
        </w:rPr>
        <w:t>电梯能量回收系统</w:t>
      </w:r>
      <w:r>
        <w:rPr>
          <w:rFonts w:hint="eastAsia" w:hAnsi="宋体" w:cs="宋体"/>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节水新工艺及节水管理</w:t>
      </w:r>
      <w:r>
        <w:rPr>
          <w:rFonts w:hint="eastAsia" w:hAnsi="宋体" w:cs="宋体"/>
          <w:color w:val="auto"/>
          <w:kern w:val="2"/>
          <w:sz w:val="21"/>
          <w:szCs w:val="21"/>
          <w:highlight w:val="none"/>
          <w:lang w:val="en-US" w:eastAsia="zh-CN" w:bidi="ar-SA"/>
        </w:rPr>
        <w:t>、水资源循环利用完善</w:t>
      </w:r>
      <w:r>
        <w:rPr>
          <w:rFonts w:hint="eastAsia" w:hAnsi="宋体" w:cs="宋体"/>
          <w:color w:val="auto"/>
          <w:kern w:val="2"/>
          <w:sz w:val="21"/>
          <w:szCs w:val="21"/>
          <w:highlight w:val="none"/>
          <w:lang w:val="en-US" w:eastAsia="zh-CN" w:bidi="ar-SA"/>
        </w:rPr>
        <w:t>与</w:t>
      </w:r>
      <w:r>
        <w:rPr>
          <w:rFonts w:hint="eastAsia" w:hAnsi="宋体" w:cs="宋体"/>
          <w:color w:val="auto"/>
          <w:kern w:val="2"/>
          <w:sz w:val="21"/>
          <w:szCs w:val="21"/>
          <w:highlight w:val="none"/>
          <w:lang w:val="en-US" w:eastAsia="zh-CN" w:bidi="ar-SA"/>
        </w:rPr>
        <w:t>建设，</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既有建筑围护结构保温/隔热改造</w:t>
      </w:r>
      <w:r>
        <w:rPr>
          <w:rFonts w:hint="eastAsia" w:hAnsi="宋体" w:cs="宋体"/>
          <w:color w:val="auto"/>
          <w:kern w:val="2"/>
          <w:sz w:val="21"/>
          <w:szCs w:val="21"/>
          <w:highlight w:val="none"/>
          <w:lang w:val="en-US" w:eastAsia="zh-CN" w:bidi="ar-SA"/>
        </w:rPr>
        <w:t>，</w:t>
      </w:r>
    </w:p>
    <w:p>
      <w:pPr>
        <w:keepNext w:val="0"/>
        <w:keepLines w:val="0"/>
        <w:pageBreakBefore w:val="0"/>
        <w:widowControl w:val="0"/>
        <w:kinsoku/>
        <w:wordWrap/>
        <w:overflowPunct/>
        <w:topLinePunct w:val="0"/>
        <w:bidi w:val="0"/>
        <w:snapToGrid/>
        <w:spacing w:line="240" w:lineRule="auto"/>
        <w:ind w:firstLine="561"/>
        <w:jc w:val="both"/>
        <w:textAlignment w:val="auto"/>
        <w:rPr>
          <w:rFonts w:hint="eastAsia" w:ascii="Calibri" w:hAnsi="Calibri" w:eastAsia="宋体" w:cs="Times New Roman"/>
          <w:kern w:val="2"/>
          <w:sz w:val="28"/>
          <w:szCs w:val="28"/>
          <w:highlight w:val="none"/>
          <w:lang w:val="en-US" w:eastAsia="zh-CN" w:bidi="ar-SA"/>
        </w:rPr>
      </w:pPr>
      <w:r>
        <w:rPr>
          <w:rFonts w:hint="eastAsia" w:ascii="宋体" w:hAnsi="宋体" w:eastAsia="宋体" w:cs="宋体"/>
          <w:kern w:val="2"/>
          <w:sz w:val="21"/>
          <w:szCs w:val="21"/>
          <w:highlight w:val="none"/>
          <w:lang w:val="en-US" w:eastAsia="zh-CN" w:bidi="ar-SA"/>
        </w:rPr>
        <w:t>【可再生能源利用】</w:t>
      </w:r>
    </w:p>
    <w:p>
      <w:pPr>
        <w:keepNext w:val="0"/>
        <w:keepLines w:val="0"/>
        <w:pageBreakBefore w:val="0"/>
        <w:widowControl w:val="0"/>
        <w:numPr>
          <w:ilvl w:val="0"/>
          <w:numId w:val="4"/>
        </w:numPr>
        <w:kinsoku/>
        <w:wordWrap/>
        <w:overflowPunct/>
        <w:topLinePunct w:val="0"/>
        <w:bidi w:val="0"/>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光伏发电项目建设，</w:t>
      </w:r>
    </w:p>
    <w:p>
      <w:pPr>
        <w:keepNext w:val="0"/>
        <w:keepLines w:val="0"/>
        <w:pageBreakBefore w:val="0"/>
        <w:widowControl w:val="0"/>
        <w:numPr>
          <w:ilvl w:val="0"/>
          <w:numId w:val="4"/>
        </w:numPr>
        <w:kinsoku/>
        <w:wordWrap/>
        <w:overflowPunct/>
        <w:topLinePunct w:val="0"/>
        <w:bidi w:val="0"/>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color w:val="auto"/>
          <w:kern w:val="2"/>
          <w:sz w:val="21"/>
          <w:szCs w:val="21"/>
          <w:highlight w:val="none"/>
          <w:lang w:val="en-US" w:eastAsia="zh-CN" w:bidi="ar-SA"/>
        </w:rPr>
        <w:t>热水系统完善及</w:t>
      </w:r>
      <w:r>
        <w:rPr>
          <w:rFonts w:hint="eastAsia" w:ascii="宋体" w:hAnsi="宋体" w:eastAsia="宋体" w:cs="宋体"/>
          <w:color w:val="auto"/>
          <w:kern w:val="2"/>
          <w:sz w:val="21"/>
          <w:szCs w:val="21"/>
          <w:highlight w:val="none"/>
          <w:lang w:val="en-US" w:eastAsia="zh-CN" w:bidi="ar-SA"/>
        </w:rPr>
        <w:t>多能互补形式热水系统建设</w:t>
      </w:r>
      <w:r>
        <w:rPr>
          <w:rFonts w:hint="eastAsia" w:hAnsi="宋体" w:cs="宋体"/>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太阳能智慧高杆路灯改造</w:t>
      </w:r>
      <w:r>
        <w:rPr>
          <w:rFonts w:hint="eastAsia" w:hAnsi="宋体" w:cs="宋体"/>
          <w:kern w:val="2"/>
          <w:sz w:val="21"/>
          <w:szCs w:val="21"/>
          <w:highlight w:val="none"/>
          <w:lang w:val="en-US" w:eastAsia="zh-CN" w:bidi="ar-SA"/>
        </w:rPr>
        <w:t>及建设</w:t>
      </w:r>
      <w:r>
        <w:rPr>
          <w:rFonts w:hint="eastAsia" w:hAnsi="宋体" w:cs="宋体"/>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充电基础设施建设，</w:t>
      </w:r>
    </w:p>
    <w:p>
      <w:pPr>
        <w:keepNext w:val="0"/>
        <w:keepLines w:val="0"/>
        <w:pageBreakBefore w:val="0"/>
        <w:widowControl w:val="0"/>
        <w:kinsoku/>
        <w:wordWrap/>
        <w:overflowPunct/>
        <w:topLinePunct w:val="0"/>
        <w:bidi w:val="0"/>
        <w:snapToGrid/>
        <w:spacing w:line="240" w:lineRule="auto"/>
        <w:ind w:firstLine="561"/>
        <w:jc w:val="both"/>
        <w:textAlignment w:val="auto"/>
        <w:rPr>
          <w:rFonts w:hint="eastAsia" w:ascii="Calibri" w:hAnsi="Calibri" w:eastAsia="宋体" w:cs="Times New Roman"/>
          <w:kern w:val="2"/>
          <w:sz w:val="28"/>
          <w:szCs w:val="28"/>
          <w:highlight w:val="none"/>
          <w:lang w:val="en-US" w:eastAsia="zh-CN" w:bidi="ar-SA"/>
        </w:rPr>
      </w:pPr>
      <w:r>
        <w:rPr>
          <w:rFonts w:hint="eastAsia" w:ascii="Calibri" w:hAnsi="宋体" w:eastAsia="宋体" w:cs="宋体"/>
          <w:kern w:val="2"/>
          <w:sz w:val="21"/>
          <w:szCs w:val="21"/>
          <w:highlight w:val="none"/>
          <w:lang w:val="en-US" w:eastAsia="zh-CN" w:bidi="ar-SA"/>
        </w:rPr>
        <w:t>【智慧化运营改造要求】</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完善计量器具配置，</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建设智慧能源服务中心/能源应急指挥中心（主要含能源管理平台、设备监控平台、智慧化运维平台、服务中心</w:t>
      </w:r>
      <w:r>
        <w:rPr>
          <w:rFonts w:hint="eastAsia" w:hAnsi="宋体" w:cs="宋体"/>
          <w:kern w:val="2"/>
          <w:sz w:val="21"/>
          <w:szCs w:val="21"/>
          <w:highlight w:val="none"/>
          <w:lang w:val="en-US" w:eastAsia="zh-CN" w:bidi="ar-SA"/>
        </w:rPr>
        <w:t>建设</w:t>
      </w:r>
      <w:r>
        <w:rPr>
          <w:rFonts w:hint="eastAsia" w:hAnsi="宋体" w:cs="宋体"/>
          <w:kern w:val="2"/>
          <w:sz w:val="21"/>
          <w:szCs w:val="21"/>
          <w:highlight w:val="none"/>
          <w:lang w:val="en-US" w:eastAsia="zh-CN" w:bidi="ar-SA"/>
        </w:rPr>
        <w:t>等内容），</w:t>
      </w:r>
    </w:p>
    <w:p>
      <w:pPr>
        <w:keepNext w:val="0"/>
        <w:keepLines w:val="0"/>
        <w:pageBreakBefore w:val="0"/>
        <w:widowControl w:val="0"/>
        <w:kinsoku/>
        <w:wordWrap/>
        <w:overflowPunct/>
        <w:topLinePunct w:val="0"/>
        <w:bidi w:val="0"/>
        <w:snapToGrid/>
        <w:spacing w:line="240" w:lineRule="auto"/>
        <w:ind w:firstLine="561"/>
        <w:jc w:val="both"/>
        <w:textAlignment w:val="auto"/>
        <w:rPr>
          <w:rFonts w:hint="eastAsia" w:ascii="Calibri" w:hAnsi="宋体" w:eastAsia="宋体" w:cs="宋体"/>
          <w:kern w:val="2"/>
          <w:sz w:val="21"/>
          <w:szCs w:val="21"/>
          <w:highlight w:val="none"/>
          <w:lang w:val="en-US" w:eastAsia="zh-CN" w:bidi="ar-SA"/>
        </w:rPr>
      </w:pPr>
      <w:r>
        <w:rPr>
          <w:rFonts w:hint="eastAsia" w:ascii="Calibri" w:hAnsi="宋体" w:eastAsia="宋体" w:cs="宋体"/>
          <w:kern w:val="2"/>
          <w:sz w:val="21"/>
          <w:szCs w:val="21"/>
          <w:highlight w:val="none"/>
          <w:lang w:val="en-US" w:eastAsia="zh-CN" w:bidi="ar-SA"/>
        </w:rPr>
        <w:t>【运营安全改造要求】</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供配电安全完善建设</w:t>
      </w:r>
      <w:r>
        <w:rPr>
          <w:rFonts w:hint="eastAsia" w:ascii="宋体" w:hAnsi="宋体" w:eastAsia="宋体" w:cs="宋体"/>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bidi w:val="0"/>
        <w:snapToGrid/>
        <w:spacing w:line="240" w:lineRule="auto"/>
        <w:ind w:left="48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hAnsi="宋体" w:cs="宋体"/>
          <w:color w:val="auto"/>
          <w:kern w:val="2"/>
          <w:sz w:val="21"/>
          <w:szCs w:val="21"/>
          <w:highlight w:val="none"/>
          <w:lang w:val="en-US" w:eastAsia="zh-CN" w:bidi="ar-SA"/>
        </w:rPr>
        <w:t>设备设施保养及标准化提升改造</w:t>
      </w:r>
      <w:r>
        <w:rPr>
          <w:rFonts w:hint="eastAsia" w:ascii="宋体" w:hAnsi="宋体" w:eastAsia="宋体" w:cs="宋体"/>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以上内容具体要求，具体见需求书对应章节。根据能源审计报告</w:t>
      </w:r>
      <w:r>
        <w:rPr>
          <w:rFonts w:hint="eastAsia" w:ascii="宋体" w:hAnsi="宋体" w:eastAsia="宋体" w:cs="宋体"/>
          <w:b w:val="0"/>
          <w:bCs w:val="0"/>
          <w:kern w:val="0"/>
          <w:sz w:val="21"/>
          <w:szCs w:val="21"/>
          <w:highlight w:val="none"/>
          <w:lang w:val="en-US" w:eastAsia="zh-CN" w:bidi="ar-SA"/>
        </w:rPr>
        <w:t>及修订说明</w:t>
      </w:r>
      <w:r>
        <w:rPr>
          <w:rFonts w:hint="eastAsia" w:ascii="宋体" w:hAnsi="宋体" w:eastAsia="宋体" w:cs="宋体"/>
          <w:kern w:val="2"/>
          <w:sz w:val="21"/>
          <w:szCs w:val="21"/>
          <w:highlight w:val="none"/>
          <w:lang w:val="en-US" w:eastAsia="zh-CN" w:bidi="ar-SA"/>
        </w:rPr>
        <w:t>，以上改造内容费用基准为1996万元/10年，折合199.6万元/年，该费用基准为改造内容估算费用。</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注：</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1）因以上为估算费用，此项为包干费用基准，即</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如改造结算审核费用*（1-下浮率）＞1996万元，以1996万元包干结算；</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如改造结算审核费用*（1-下浮率）≤1996万元，结合审核和下浮率后据实结算。</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2）改造审核由医院对应年度内的定点第三方审核单位，或其余双方均认可的第三方审核单位实施。</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default"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3）估算费用1996万元，为包含以上16项等所有改造内容、改造新增系统运维、制度建设及落实、示范创建、政策响应等的相关费用。</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 第四部分：运维托管及基准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运维内容，分两部分，第1部分为既有运维内容，主要有高低压维护（维修）保养、检测服务，柴油发电机组运维，物业管理机电工程运维，日常维修材料定点供应，空调维护保养服务，洁净系统及配套设备设施维修保养，洁净空调过滤器更换项目等内容，第2部分为本项目改造新增的软硬件系统的日常运维工作内容，包括运维人员值守和日常维修费用，具体要求另见需求书相应章节。以上内容运维年费用基准为299.58万元。</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注：此项为费用基准。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 第五部分：制度建设、落实及示范创建工作托管及基准</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制度建设、落实，托管内容包括但不限于，南沙医院节能降碳、能源资源消费统计调查、能耗定额及用能预算管理等一系列制度及体系建设，并主导相关制度、体系在院区的日常落实工作，具体要求另见需求书相应章节。</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示范创建工作，托管内容包括但不限于，响应国家“30.60”双碳目标，节约型公共机构示范单位、能效领跑者单位、绿色低碳试点公共机构/医院、可再生能源利用示范点、建筑用能管理智能化示范点等一系列示范机构的创建工作主导，具体要求另见需求书相应章节。</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此项相关内容工作，由医院统筹，服务公司具体实施。</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注：此项为工作内容基准，相关费用已包含在托管整体费用里，按要求完成相关内容工作，即为达到基准要求。</w:t>
      </w:r>
      <w:r>
        <w:rPr>
          <w:rFonts w:hint="eastAsia" w:ascii="宋体" w:hAnsi="宋体" w:eastAsia="宋体" w:cs="宋体"/>
          <w:color w:val="auto"/>
          <w:kern w:val="2"/>
          <w:sz w:val="21"/>
          <w:szCs w:val="21"/>
          <w:highlight w:val="none"/>
          <w:u w:val="none"/>
          <w:lang w:val="en-US" w:eastAsia="zh-CN" w:bidi="ar-SA"/>
        </w:rPr>
        <w:t>此项工作的完成情况，构成整体托管费用支付的必要条件</w:t>
      </w:r>
      <w:r>
        <w:rPr>
          <w:rFonts w:hint="eastAsia" w:ascii="宋体" w:hAnsi="宋体" w:eastAsia="宋体" w:cs="宋体"/>
          <w:color w:val="auto"/>
          <w:kern w:val="2"/>
          <w:sz w:val="21"/>
          <w:szCs w:val="21"/>
          <w:highlight w:val="none"/>
          <w:lang w:val="en-US" w:eastAsia="zh-CN" w:bidi="ar-SA"/>
        </w:rPr>
        <w:t>，即如未按要求完成基准工作，院方将做出相应考核或影响托管费用的支付。</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 第六部分：项目衍生无形资产和有形资金/资产托管及基准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因本项目衍生的知识产权（包含但不限于专利、专著、论文、科研项目、技术规范、标准等）、碳排放交易权等无形资产，由医院与节能服务公司共有。</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以上无形资产产生的效益，以及本项目产生的政策补贴、示范奖励等一系列有形资金/资产托管，产生的一切收益，医院与节能服务公司各占50%，其中节能服务公司享受收益50%作为托管基准。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参与电力市场交易购电，电价低于供电局当期同类型电价，则当月因电价节省的差额电费，由医院和服务单位共享，其中节能服务公司享受收益60%作为托管基准；如电价高于供电局当期同类型电价，则当月因电价增加的差额电费，由服务单位自行承担。</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相关资产获取工作托管，由医院统筹，服务公司具体实施。</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注：此项为服务公司收益基准。如服务公司未按要求完成相关工作，或出现超比例享受收益，院方将做出相应考核或影响托管费用的支付，以及追索远方的一切损失及合理赔偿。</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7. 第七部分：政策托管</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本项目实施托管期间，需无条件满足国家、省、市及行业的相关政策要求和标准、法规要求，包括但不限于需求书相应章节要求政策、标准、法规文件。涉及到相应费用的，托管期开始前已有相应文件要求的，相应费用已包含在托管服务费用中，托管期开始后文件新增要求的，按照相应基准要求及需求书调整规则进行费用调整。</w:t>
      </w:r>
    </w:p>
    <w:p>
      <w:pPr>
        <w:keepNext w:val="0"/>
        <w:keepLines w:val="0"/>
        <w:pageBreakBefore w:val="0"/>
        <w:widowControl w:val="0"/>
        <w:numPr>
          <w:ilvl w:val="0"/>
          <w:numId w:val="0"/>
        </w:numPr>
        <w:kinsoku/>
        <w:wordWrap/>
        <w:overflowPunct/>
        <w:topLinePunct w:val="0"/>
        <w:bidi w:val="0"/>
        <w:spacing w:line="240" w:lineRule="auto"/>
        <w:ind w:firstLine="210" w:firstLineChars="1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 第八部分：调整内容托管及基准</w:t>
      </w:r>
    </w:p>
    <w:p>
      <w:pPr>
        <w:keepNext w:val="0"/>
        <w:keepLines w:val="0"/>
        <w:pageBreakBefore w:val="0"/>
        <w:widowControl w:val="0"/>
        <w:numPr>
          <w:ilvl w:val="0"/>
          <w:numId w:val="0"/>
        </w:numPr>
        <w:kinsoku/>
        <w:wordWrap/>
        <w:overflowPunct/>
        <w:topLinePunct w:val="0"/>
        <w:bidi w:val="0"/>
        <w:spacing w:line="240" w:lineRule="auto"/>
        <w:ind w:firstLine="561"/>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因医院处于发展期，全院仍有未投入使用的已建设区域及可能出现的新建设区域</w:t>
      </w:r>
      <w:r>
        <w:rPr>
          <w:rFonts w:hint="eastAsia" w:hAnsi="宋体" w:cs="宋体"/>
          <w:color w:val="auto"/>
          <w:kern w:val="2"/>
          <w:sz w:val="21"/>
          <w:szCs w:val="21"/>
          <w:highlight w:val="none"/>
          <w:lang w:val="en-US" w:eastAsia="zh-CN" w:bidi="ar-SA"/>
        </w:rPr>
        <w:t>（托管期限不超出项目合同托管期截止时间）</w:t>
      </w:r>
      <w:r>
        <w:rPr>
          <w:rFonts w:hint="eastAsia" w:ascii="宋体" w:hAnsi="宋体" w:eastAsia="宋体" w:cs="宋体"/>
          <w:color w:val="auto"/>
          <w:kern w:val="2"/>
          <w:sz w:val="21"/>
          <w:szCs w:val="21"/>
          <w:highlight w:val="none"/>
          <w:lang w:val="en-US" w:eastAsia="zh-CN" w:bidi="ar-SA"/>
        </w:rPr>
        <w:t>，</w:t>
      </w:r>
      <w:r>
        <w:rPr>
          <w:rFonts w:hint="eastAsia" w:hAnsi="宋体" w:cs="宋体"/>
          <w:color w:val="auto"/>
          <w:kern w:val="2"/>
          <w:sz w:val="21"/>
          <w:szCs w:val="21"/>
          <w:highlight w:val="none"/>
          <w:lang w:val="en-US" w:eastAsia="zh-CN" w:bidi="ar-SA"/>
        </w:rPr>
        <w:t>且项目整体</w:t>
      </w:r>
      <w:r>
        <w:rPr>
          <w:rFonts w:hint="eastAsia" w:ascii="宋体" w:hAnsi="宋体" w:eastAsia="宋体" w:cs="宋体"/>
          <w:color w:val="auto"/>
          <w:kern w:val="2"/>
          <w:sz w:val="21"/>
          <w:szCs w:val="21"/>
          <w:highlight w:val="none"/>
          <w:lang w:val="en-US" w:eastAsia="zh-CN" w:bidi="ar-SA"/>
        </w:rPr>
        <w:t>托管期为10年，</w:t>
      </w:r>
      <w:r>
        <w:rPr>
          <w:rFonts w:hint="eastAsia" w:ascii="宋体" w:hAnsi="宋体" w:eastAsia="宋体" w:cs="宋体"/>
          <w:color w:val="auto"/>
          <w:kern w:val="2"/>
          <w:sz w:val="21"/>
          <w:szCs w:val="21"/>
          <w:highlight w:val="none"/>
          <w:lang w:val="en-US" w:eastAsia="zh-CN" w:bidi="ar-SA"/>
        </w:rPr>
        <w:t>相关政策法规也处于完善和发展期等因素，如涉及以上7个部分类型内容及费用调整（增加/减少），将对应相应基准要求及需求书调整规则，进行相关费用调整。</w:t>
      </w:r>
    </w:p>
    <w:p>
      <w:pPr>
        <w:keepNext w:val="0"/>
        <w:keepLines w:val="0"/>
        <w:pageBreakBefore w:val="0"/>
        <w:widowControl w:val="0"/>
        <w:numPr>
          <w:ilvl w:val="0"/>
          <w:numId w:val="0"/>
        </w:numPr>
        <w:kinsoku/>
        <w:wordWrap/>
        <w:overflowPunct/>
        <w:topLinePunct w:val="0"/>
        <w:bidi w:val="0"/>
        <w:spacing w:line="240" w:lineRule="auto"/>
        <w:ind w:firstLine="561"/>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jc w:val="both"/>
        <w:textAlignment w:val="auto"/>
        <w:rPr>
          <w:rFonts w:hint="eastAsia" w:ascii="宋体" w:hAnsi="宋体" w:eastAsia="宋体" w:cs="宋体"/>
          <w:b/>
          <w:bCs/>
          <w:kern w:val="0"/>
          <w:sz w:val="21"/>
          <w:szCs w:val="21"/>
          <w:highlight w:val="none"/>
          <w:lang w:val="en-US" w:eastAsia="zh-CN" w:bidi="ar-SA"/>
        </w:rPr>
      </w:pPr>
      <w:r>
        <w:rPr>
          <w:rFonts w:hint="eastAsia" w:ascii="宋体" w:hAnsi="宋体" w:eastAsia="宋体" w:cs="宋体"/>
          <w:b/>
          <w:bCs/>
          <w:kern w:val="0"/>
          <w:sz w:val="21"/>
          <w:szCs w:val="21"/>
          <w:highlight w:val="none"/>
          <w:lang w:val="en-US" w:eastAsia="zh-CN" w:bidi="ar-SA"/>
        </w:rPr>
        <w:t>五、★报价要求</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本项目报价，采取服务公司针对“托管基准费用限价”进行</w:t>
      </w:r>
      <w:r>
        <w:rPr>
          <w:rFonts w:hint="eastAsia" w:ascii="宋体" w:hAnsi="宋体" w:eastAsia="宋体" w:cs="宋体"/>
          <w:color w:val="auto"/>
          <w:kern w:val="2"/>
          <w:sz w:val="21"/>
          <w:szCs w:val="21"/>
          <w:highlight w:val="none"/>
          <w:u w:val="none"/>
          <w:lang w:val="en-US" w:eastAsia="zh-CN" w:bidi="ar-SA"/>
        </w:rPr>
        <w:t>“甲方享受节能率”和“下浮率”报价结合的形式</w:t>
      </w:r>
      <w:r>
        <w:rPr>
          <w:rFonts w:hint="eastAsia" w:ascii="宋体" w:hAnsi="宋体" w:eastAsia="宋体" w:cs="宋体"/>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 “甲方享受节能率”报价，为针对托管第一部分“水量、电量托管及基准”中的电量和第二部分“指标控制托管及基准”的主指标“单位面积能耗”下浮响应；即对应执行基准*（1-甲方享受节能率）。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1.2 “下浮率”</w:t>
      </w:r>
      <w:r>
        <w:rPr>
          <w:rFonts w:hint="eastAsia" w:ascii="宋体" w:hAnsi="宋体" w:eastAsia="宋体" w:cs="宋体"/>
          <w:color w:val="auto"/>
          <w:kern w:val="2"/>
          <w:sz w:val="21"/>
          <w:szCs w:val="21"/>
          <w:highlight w:val="none"/>
          <w:lang w:val="en-US" w:eastAsia="zh-CN" w:bidi="ar-SA"/>
        </w:rPr>
        <w:t>报价，为针对托管内容及基准第三至第八部分的费用或基准下浮响应；即托管内容第三至第二部分，执行基准*（1-下浮率）。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1.3“甲方享受节能率”和“下浮率”确定后，基准面积及基准范围内，以下计算费用为实际年度执行费用：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1）年度能源执行费用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 xml:space="preserve">  = 电基准量*基准单价*（1-甲方享受节能率）+水基准量*基准单价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 1043.43</w:t>
      </w:r>
      <w:r>
        <w:rPr>
          <w:rFonts w:hint="eastAsia" w:ascii="宋体" w:hAnsi="宋体" w:eastAsia="宋体" w:cs="宋体"/>
          <w:b w:val="0"/>
          <w:bCs w:val="0"/>
          <w:kern w:val="0"/>
          <w:sz w:val="21"/>
          <w:szCs w:val="21"/>
          <w:highlight w:val="none"/>
          <w:lang w:val="en-US" w:eastAsia="zh-CN" w:bidi="ar-SA"/>
        </w:rPr>
        <w:t>万元*</w:t>
      </w:r>
      <w:r>
        <w:rPr>
          <w:rFonts w:hint="eastAsia" w:ascii="宋体" w:hAnsi="宋体" w:eastAsia="宋体" w:cs="宋体"/>
          <w:color w:val="auto"/>
          <w:kern w:val="2"/>
          <w:sz w:val="21"/>
          <w:szCs w:val="21"/>
          <w:highlight w:val="none"/>
          <w:u w:val="none"/>
          <w:lang w:val="en-US" w:eastAsia="zh-CN" w:bidi="ar-SA"/>
        </w:rPr>
        <w:t xml:space="preserve">（1-甲方享受节能率）+86.61万元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2）改造执行费用 = 改造基准费用*（1-下浮率）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 xml:space="preserve">            = 1996万元*（1-下浮率）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3）年度运维执行费用= 年度运维基准费用*（1-下浮率）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 xml:space="preserve">               = </w:t>
      </w:r>
      <w:r>
        <w:rPr>
          <w:rFonts w:hint="eastAsia" w:ascii="宋体" w:hAnsi="宋体" w:eastAsia="宋体" w:cs="宋体"/>
          <w:color w:val="auto"/>
          <w:kern w:val="2"/>
          <w:sz w:val="21"/>
          <w:szCs w:val="21"/>
          <w:highlight w:val="none"/>
          <w:lang w:val="en-US" w:eastAsia="zh-CN" w:bidi="ar-SA"/>
        </w:rPr>
        <w:t>299.58万</w:t>
      </w:r>
      <w:r>
        <w:rPr>
          <w:rFonts w:hint="eastAsia" w:ascii="宋体" w:hAnsi="宋体" w:eastAsia="宋体" w:cs="宋体"/>
          <w:color w:val="auto"/>
          <w:kern w:val="2"/>
          <w:sz w:val="21"/>
          <w:szCs w:val="21"/>
          <w:highlight w:val="none"/>
          <w:u w:val="none"/>
          <w:lang w:val="en-US" w:eastAsia="zh-CN" w:bidi="ar-SA"/>
        </w:rPr>
        <w:t>*（1-下浮率）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4）年度执行费用=年度能源执行费用+改造执行费用/10+年度运维执行费用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1890" w:firstLineChars="9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Calibri" w:hAnsi="Calibri" w:eastAsia="宋体" w:cs="Times New Roman"/>
          <w:kern w:val="2"/>
          <w:sz w:val="21"/>
          <w:szCs w:val="21"/>
          <w:highlight w:val="none"/>
          <w:lang w:val="en-US" w:eastAsia="zh-CN" w:bidi="ar-SA"/>
        </w:rPr>
        <w:t>=</w:t>
      </w:r>
      <w:r>
        <w:rPr>
          <w:rFonts w:hint="eastAsia" w:ascii="宋体" w:hAnsi="宋体" w:eastAsia="宋体" w:cs="宋体"/>
          <w:color w:val="auto"/>
          <w:kern w:val="2"/>
          <w:sz w:val="21"/>
          <w:szCs w:val="21"/>
          <w:highlight w:val="none"/>
          <w:u w:val="none"/>
          <w:lang w:val="en-US" w:eastAsia="zh-CN" w:bidi="ar-SA"/>
        </w:rPr>
        <w:t>1043.43</w:t>
      </w:r>
      <w:r>
        <w:rPr>
          <w:rFonts w:hint="eastAsia" w:ascii="宋体" w:hAnsi="宋体" w:eastAsia="宋体" w:cs="宋体"/>
          <w:b w:val="0"/>
          <w:bCs w:val="0"/>
          <w:kern w:val="0"/>
          <w:sz w:val="21"/>
          <w:szCs w:val="21"/>
          <w:highlight w:val="none"/>
          <w:lang w:val="en-US" w:eastAsia="zh-CN" w:bidi="ar-SA"/>
        </w:rPr>
        <w:t>万元*</w:t>
      </w:r>
      <w:r>
        <w:rPr>
          <w:rFonts w:hint="eastAsia" w:ascii="宋体" w:hAnsi="宋体" w:eastAsia="宋体" w:cs="宋体"/>
          <w:color w:val="auto"/>
          <w:kern w:val="2"/>
          <w:sz w:val="21"/>
          <w:szCs w:val="21"/>
          <w:highlight w:val="none"/>
          <w:u w:val="none"/>
          <w:lang w:val="en-US" w:eastAsia="zh-CN" w:bidi="ar-SA"/>
        </w:rPr>
        <w:t>（1-甲方享受节能率）+86.61万元+（199.6+299.58）万元*（1-下浮率）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=1043.43</w:t>
      </w:r>
      <w:r>
        <w:rPr>
          <w:rFonts w:hint="eastAsia" w:ascii="宋体" w:hAnsi="宋体" w:eastAsia="宋体" w:cs="宋体"/>
          <w:b w:val="0"/>
          <w:bCs w:val="0"/>
          <w:kern w:val="0"/>
          <w:sz w:val="21"/>
          <w:szCs w:val="21"/>
          <w:highlight w:val="none"/>
          <w:lang w:val="en-US" w:eastAsia="zh-CN" w:bidi="ar-SA"/>
        </w:rPr>
        <w:t>万元*</w:t>
      </w:r>
      <w:r>
        <w:rPr>
          <w:rFonts w:hint="eastAsia" w:ascii="宋体" w:hAnsi="宋体" w:eastAsia="宋体" w:cs="宋体"/>
          <w:color w:val="auto"/>
          <w:kern w:val="2"/>
          <w:sz w:val="21"/>
          <w:szCs w:val="21"/>
          <w:highlight w:val="none"/>
          <w:u w:val="none"/>
          <w:lang w:val="en-US" w:eastAsia="zh-CN" w:bidi="ar-SA"/>
        </w:rPr>
        <w:t>（1-甲方享受节能率）+86.61万元+499.18万元*（1-下浮率）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ascii="宋体" w:eastAsia="宋体" w:cs="宋体"/>
          <w:highlight w:val="none"/>
        </w:rPr>
      </w:pPr>
      <w:r>
        <w:rPr>
          <w:rFonts w:hint="eastAsia" w:ascii="宋体" w:hAnsi="宋体" w:eastAsia="宋体" w:cs="宋体"/>
          <w:color w:val="auto"/>
          <w:kern w:val="2"/>
          <w:sz w:val="21"/>
          <w:szCs w:val="21"/>
          <w:highlight w:val="none"/>
          <w:u w:val="none"/>
          <w:lang w:val="en-US" w:eastAsia="zh-CN" w:bidi="ar-SA"/>
        </w:rPr>
        <w:t>5）基准面积及基准范围以外的调整服务内容，按类型分别执行对应的“甲方享受节能率”和“下浮率”。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6）投标人需在投标文件中填报以下表格，并按照报价要求格式列明公式计算投标总价，投标人以投标总价在广东政府采购智慧云平台填报本项目的投标报价，仅作为投标报价价格评审。实际合同结算，以中标人填报的“甲方享受节能率”和“下浮率”为基础，并结合需求书内价格计算办法和各部分结算要求计算。如有漏报报价或投标报价计算错误的，将导致投标无效。</w:t>
      </w:r>
    </w:p>
    <w:tbl>
      <w:tblPr>
        <w:tblStyle w:val="23"/>
        <w:tblW w:w="32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2431"/>
        <w:gridCol w:w="1836"/>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7"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序号</w:t>
            </w:r>
          </w:p>
        </w:tc>
        <w:tc>
          <w:tcPr>
            <w:tcW w:w="1737"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报价类别</w:t>
            </w:r>
          </w:p>
        </w:tc>
        <w:tc>
          <w:tcPr>
            <w:tcW w:w="1312"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报价限制</w:t>
            </w:r>
          </w:p>
        </w:tc>
        <w:tc>
          <w:tcPr>
            <w:tcW w:w="1313"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单项报价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7"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w:t>
            </w:r>
          </w:p>
        </w:tc>
        <w:tc>
          <w:tcPr>
            <w:tcW w:w="1737"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u w:val="none"/>
                <w:lang w:val="en-US" w:eastAsia="zh-CN" w:bidi="ar-SA"/>
              </w:rPr>
              <w:t>甲方享受节能率</w:t>
            </w:r>
          </w:p>
        </w:tc>
        <w:tc>
          <w:tcPr>
            <w:tcW w:w="1312"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w:t>
            </w:r>
          </w:p>
        </w:tc>
        <w:tc>
          <w:tcPr>
            <w:tcW w:w="1313" w:type="pct"/>
            <w:noWrap w:val="0"/>
            <w:vAlign w:val="center"/>
          </w:tcPr>
          <w:p>
            <w:pPr>
              <w:autoSpaceDE/>
              <w:autoSpaceDN/>
              <w:adjustRightInd/>
              <w:spacing w:line="240" w:lineRule="auto"/>
              <w:jc w:val="left"/>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大写：百分之</w:t>
            </w:r>
            <w:r>
              <w:rPr>
                <w:rFonts w:hint="eastAsia" w:ascii="宋体" w:hAnsi="宋体" w:eastAsia="宋体" w:cs="宋体"/>
                <w:b w:val="0"/>
                <w:bCs w:val="0"/>
                <w:color w:val="auto"/>
                <w:kern w:val="2"/>
                <w:sz w:val="21"/>
                <w:szCs w:val="21"/>
                <w:highlight w:val="none"/>
                <w:u w:val="single"/>
                <w:lang w:val="en-US" w:eastAsia="zh-CN"/>
              </w:rPr>
              <w:t xml:space="preserve">           </w:t>
            </w:r>
          </w:p>
          <w:p>
            <w:pPr>
              <w:autoSpaceDE/>
              <w:autoSpaceDN/>
              <w:adjustRightInd/>
              <w:spacing w:line="240" w:lineRule="auto"/>
              <w:jc w:val="left"/>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小写：</w:t>
            </w:r>
            <w:r>
              <w:rPr>
                <w:rFonts w:hint="eastAsia" w:ascii="宋体" w:hAnsi="宋体" w:eastAsia="宋体" w:cs="宋体"/>
                <w:b w:val="0"/>
                <w:bCs w:val="0"/>
                <w:color w:val="auto"/>
                <w:kern w:val="2"/>
                <w:sz w:val="21"/>
                <w:szCs w:val="21"/>
                <w:highlight w:val="none"/>
                <w:u w:val="single"/>
                <w:lang w:val="en-US" w:eastAsia="zh-CN"/>
              </w:rPr>
              <w:t xml:space="preserve">    </w:t>
            </w:r>
            <w:r>
              <w:rPr>
                <w:rFonts w:hint="eastAsia" w:ascii="宋体" w:hAnsi="宋体" w:eastAsia="宋体" w:cs="宋体"/>
                <w:b w:val="0"/>
                <w:bCs w:val="0"/>
                <w:color w:val="auto"/>
                <w:kern w:val="2"/>
                <w:sz w:val="21"/>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7"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w:t>
            </w:r>
          </w:p>
        </w:tc>
        <w:tc>
          <w:tcPr>
            <w:tcW w:w="1737"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u w:val="none"/>
                <w:lang w:val="en-US" w:eastAsia="zh-CN" w:bidi="ar-SA"/>
              </w:rPr>
              <w:t>下浮率</w:t>
            </w:r>
          </w:p>
        </w:tc>
        <w:tc>
          <w:tcPr>
            <w:tcW w:w="1312" w:type="pct"/>
            <w:noWrap w:val="0"/>
            <w:vAlign w:val="center"/>
          </w:tcPr>
          <w:p>
            <w:pPr>
              <w:autoSpaceDE/>
              <w:autoSpaceDN/>
              <w:adjustRightInd/>
              <w:spacing w:line="240" w:lineRule="auto"/>
              <w:jc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＞0</w:t>
            </w:r>
          </w:p>
        </w:tc>
        <w:tc>
          <w:tcPr>
            <w:tcW w:w="1313" w:type="pct"/>
            <w:noWrap w:val="0"/>
            <w:vAlign w:val="center"/>
          </w:tcPr>
          <w:p>
            <w:pPr>
              <w:autoSpaceDE/>
              <w:autoSpaceDN/>
              <w:adjustRightInd/>
              <w:spacing w:line="240" w:lineRule="auto"/>
              <w:jc w:val="left"/>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大写：百分之</w:t>
            </w:r>
            <w:r>
              <w:rPr>
                <w:rFonts w:hint="eastAsia" w:ascii="宋体" w:hAnsi="宋体" w:eastAsia="宋体" w:cs="宋体"/>
                <w:b w:val="0"/>
                <w:bCs w:val="0"/>
                <w:color w:val="auto"/>
                <w:kern w:val="2"/>
                <w:sz w:val="21"/>
                <w:szCs w:val="21"/>
                <w:highlight w:val="none"/>
                <w:u w:val="single"/>
                <w:lang w:val="en-US" w:eastAsia="zh-CN"/>
              </w:rPr>
              <w:t xml:space="preserve">           </w:t>
            </w:r>
          </w:p>
          <w:p>
            <w:pPr>
              <w:autoSpaceDE/>
              <w:autoSpaceDN/>
              <w:adjustRightInd/>
              <w:spacing w:line="240" w:lineRule="auto"/>
              <w:jc w:val="left"/>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小写：</w:t>
            </w:r>
            <w:r>
              <w:rPr>
                <w:rFonts w:hint="eastAsia" w:ascii="宋体" w:hAnsi="宋体" w:eastAsia="宋体" w:cs="宋体"/>
                <w:b w:val="0"/>
                <w:bCs w:val="0"/>
                <w:color w:val="auto"/>
                <w:kern w:val="2"/>
                <w:sz w:val="21"/>
                <w:szCs w:val="21"/>
                <w:highlight w:val="none"/>
                <w:u w:val="single"/>
                <w:lang w:val="en-US" w:eastAsia="zh-CN"/>
              </w:rPr>
              <w:t xml:space="preserve">    </w:t>
            </w:r>
            <w:r>
              <w:rPr>
                <w:rFonts w:hint="eastAsia" w:ascii="宋体" w:hAnsi="宋体" w:eastAsia="宋体" w:cs="宋体"/>
                <w:b w:val="0"/>
                <w:bCs w:val="0"/>
                <w:color w:val="auto"/>
                <w:kern w:val="2"/>
                <w:sz w:val="21"/>
                <w:szCs w:val="21"/>
                <w:highlight w:val="none"/>
                <w:lang w:val="en-US" w:eastAsia="zh-CN"/>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7）投标总价=年度能源执行费用*10年 + 改造执行费用 + 年度运维执行费用*10年</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both"/>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u w:val="none"/>
          <w:lang w:val="en-US" w:eastAsia="zh-CN" w:bidi="ar-SA"/>
        </w:rPr>
        <w:t>1043.43</w:t>
      </w:r>
      <w:r>
        <w:rPr>
          <w:rFonts w:hint="eastAsia" w:ascii="宋体" w:hAnsi="宋体" w:eastAsia="宋体" w:cs="宋体"/>
          <w:b w:val="0"/>
          <w:bCs w:val="0"/>
          <w:kern w:val="0"/>
          <w:sz w:val="21"/>
          <w:szCs w:val="21"/>
          <w:highlight w:val="none"/>
          <w:lang w:val="en-US" w:eastAsia="zh-CN" w:bidi="ar-SA"/>
        </w:rPr>
        <w:t>*</w:t>
      </w:r>
      <w:r>
        <w:rPr>
          <w:rFonts w:hint="eastAsia" w:ascii="宋体" w:hAnsi="宋体" w:eastAsia="宋体" w:cs="宋体"/>
          <w:b w:val="0"/>
          <w:bCs w:val="0"/>
          <w:color w:val="auto"/>
          <w:kern w:val="2"/>
          <w:sz w:val="21"/>
          <w:szCs w:val="21"/>
          <w:highlight w:val="none"/>
          <w:u w:val="none"/>
          <w:lang w:val="en-US" w:eastAsia="zh-CN" w:bidi="ar-SA"/>
        </w:rPr>
        <w:t>（1-甲方享受节能率）+86.61</w:t>
      </w:r>
      <w:r>
        <w:rPr>
          <w:rFonts w:hint="eastAsia" w:ascii="宋体" w:hAnsi="宋体" w:eastAsia="宋体" w:cs="宋体"/>
          <w:b w:val="0"/>
          <w:bCs w:val="0"/>
          <w:kern w:val="2"/>
          <w:sz w:val="21"/>
          <w:szCs w:val="21"/>
          <w:highlight w:val="none"/>
          <w:lang w:val="en-US" w:eastAsia="zh-CN" w:bidi="ar-SA"/>
        </w:rPr>
        <w:t xml:space="preserve">】*10年  </w:t>
      </w:r>
      <w:r>
        <w:rPr>
          <w:rFonts w:hint="eastAsia" w:ascii="宋体" w:hAnsi="宋体" w:eastAsia="宋体" w:cs="宋体"/>
          <w:b w:val="0"/>
          <w:bCs w:val="0"/>
          <w:color w:val="auto"/>
          <w:kern w:val="2"/>
          <w:sz w:val="21"/>
          <w:szCs w:val="21"/>
          <w:highlight w:val="none"/>
          <w:u w:val="none"/>
          <w:lang w:val="en-US" w:eastAsia="zh-CN" w:bidi="ar-SA"/>
        </w:rPr>
        <w:t>+ 1996*（1-下浮率） + 299.58*（1-下浮率）*10年</w:t>
      </w:r>
    </w:p>
    <w:p>
      <w:pPr>
        <w:keepNext w:val="0"/>
        <w:keepLines w:val="0"/>
        <w:pageBreakBefore w:val="0"/>
        <w:widowControl w:val="0"/>
        <w:kinsoku/>
        <w:wordWrap/>
        <w:overflowPunct/>
        <w:topLinePunct w:val="0"/>
        <w:autoSpaceDE/>
        <w:autoSpaceDN/>
        <w:bidi w:val="0"/>
        <w:adjustRightInd/>
        <w:snapToGrid/>
        <w:spacing w:line="240" w:lineRule="auto"/>
        <w:ind w:firstLine="561"/>
        <w:jc w:val="both"/>
        <w:textAlignment w:val="auto"/>
        <w:rPr>
          <w:rFonts w:hint="eastAsia" w:ascii="Calibri" w:hAnsi="Calibri" w:eastAsia="宋体" w:cs="Times New Roman"/>
          <w:kern w:val="2"/>
          <w:sz w:val="28"/>
          <w:szCs w:val="28"/>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注：投标总价及各部分价格，单位为万元。</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2、控标限制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2.1 </w:t>
      </w:r>
      <w:r>
        <w:rPr>
          <w:rFonts w:hint="eastAsia" w:ascii="宋体" w:hAnsi="宋体" w:eastAsia="宋体" w:cs="宋体"/>
          <w:color w:val="auto"/>
          <w:kern w:val="2"/>
          <w:sz w:val="21"/>
          <w:szCs w:val="21"/>
          <w:highlight w:val="none"/>
          <w:u w:val="none"/>
          <w:lang w:val="en-US" w:eastAsia="zh-CN" w:bidi="ar-SA"/>
        </w:rPr>
        <w:t>甲方享受节能率限制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另根据2021年6月国家机关事务管理局国家发展和改革委员会《关于印发“十四五”公共机构节约能源资源工作规划的通知》，要求“2025年公共机构单位建筑面积能耗下降5%，人均综合能耗下降6%，人均用水量下降6%，单位建筑面积碳排放下降7%”，因“单位建筑面积能耗”为首要强制考量指标，本项目报价应满足：</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color w:val="auto"/>
          <w:kern w:val="2"/>
          <w:sz w:val="21"/>
          <w:szCs w:val="21"/>
          <w:highlight w:val="none"/>
          <w:lang w:val="en-US" w:eastAsia="zh-CN" w:bidi="ar-SA"/>
        </w:rPr>
        <w:t>≥5% ，下浮率＞0。</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 基准面积及基准范围内年度执行费用限制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投标报价必须满足基准面积及基准范围内年度执行费用，即</w:t>
      </w:r>
      <w:r>
        <w:rPr>
          <w:rFonts w:hint="eastAsia" w:ascii="宋体" w:hAnsi="宋体" w:eastAsia="宋体" w:cs="宋体"/>
          <w:color w:val="auto"/>
          <w:kern w:val="2"/>
          <w:sz w:val="21"/>
          <w:szCs w:val="21"/>
          <w:highlight w:val="none"/>
          <w:u w:val="none"/>
          <w:lang w:val="en-US" w:eastAsia="zh-CN" w:bidi="ar-SA"/>
        </w:rPr>
        <w:t>1043.43</w:t>
      </w:r>
      <w:r>
        <w:rPr>
          <w:rFonts w:hint="eastAsia" w:ascii="宋体" w:hAnsi="宋体" w:eastAsia="宋体" w:cs="宋体"/>
          <w:b w:val="0"/>
          <w:bCs w:val="0"/>
          <w:kern w:val="0"/>
          <w:sz w:val="21"/>
          <w:szCs w:val="21"/>
          <w:highlight w:val="none"/>
          <w:lang w:val="en-US" w:eastAsia="zh-CN" w:bidi="ar-SA"/>
        </w:rPr>
        <w:t>万元*</w:t>
      </w:r>
      <w:r>
        <w:rPr>
          <w:rFonts w:hint="eastAsia" w:ascii="宋体" w:hAnsi="宋体" w:eastAsia="宋体" w:cs="宋体"/>
          <w:color w:val="auto"/>
          <w:kern w:val="2"/>
          <w:sz w:val="21"/>
          <w:szCs w:val="21"/>
          <w:highlight w:val="none"/>
          <w:u w:val="none"/>
          <w:lang w:val="en-US" w:eastAsia="zh-CN" w:bidi="ar-SA"/>
        </w:rPr>
        <w:t>（1-甲方享受节能率）+86.61万元+499.18万元*（1-下浮率）</w:t>
      </w:r>
      <w:r>
        <w:rPr>
          <w:rFonts w:hint="eastAsia" w:ascii="宋体" w:hAnsi="宋体" w:eastAsia="宋体" w:cs="宋体"/>
          <w:color w:val="auto"/>
          <w:kern w:val="2"/>
          <w:sz w:val="21"/>
          <w:szCs w:val="21"/>
          <w:highlight w:val="none"/>
          <w:lang w:val="en-US" w:eastAsia="zh-CN" w:bidi="ar-SA"/>
        </w:rPr>
        <w:t>≤托管基准费用限价1581.72万元/年。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 xml:space="preserve">2.3 </w:t>
      </w:r>
      <w:r>
        <w:rPr>
          <w:rFonts w:hint="eastAsia" w:ascii="宋体" w:hAnsi="宋体" w:eastAsia="宋体" w:cs="宋体"/>
          <w:color w:val="auto"/>
          <w:kern w:val="2"/>
          <w:sz w:val="21"/>
          <w:szCs w:val="21"/>
          <w:highlight w:val="none"/>
          <w:u w:val="none"/>
          <w:lang w:val="en-US" w:eastAsia="zh-CN" w:bidi="ar-SA"/>
        </w:rPr>
        <w:t>甲方享受节能率限制，及</w:t>
      </w:r>
      <w:r>
        <w:rPr>
          <w:rFonts w:hint="eastAsia" w:ascii="宋体" w:hAnsi="宋体" w:eastAsia="宋体" w:cs="宋体"/>
          <w:color w:val="auto"/>
          <w:kern w:val="2"/>
          <w:sz w:val="21"/>
          <w:szCs w:val="21"/>
          <w:highlight w:val="none"/>
          <w:lang w:val="en-US" w:eastAsia="zh-CN" w:bidi="ar-SA"/>
        </w:rPr>
        <w:t>基准面积及基准范围内年度执行费用限制</w:t>
      </w:r>
      <w:r>
        <w:rPr>
          <w:rFonts w:hint="eastAsia" w:ascii="宋体" w:hAnsi="宋体" w:eastAsia="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lang w:val="en-US" w:eastAsia="zh-CN" w:bidi="ar-SA"/>
        </w:rPr>
        <w:t>本项目托管年限10年必须完全响应。</w:t>
      </w:r>
    </w:p>
    <w:p>
      <w:pPr>
        <w:keepNext w:val="0"/>
        <w:keepLines w:val="0"/>
        <w:pageBreakBefore w:val="0"/>
        <w:widowControl w:val="0"/>
        <w:numPr>
          <w:ilvl w:val="0"/>
          <w:numId w:val="0"/>
        </w:numPr>
        <w:kinsoku/>
        <w:wordWrap/>
        <w:overflowPunct/>
        <w:topLinePunct w:val="0"/>
        <w:bidi w:val="0"/>
        <w:spacing w:line="240" w:lineRule="auto"/>
        <w:ind w:leftChars="200" w:firstLine="561"/>
        <w:jc w:val="both"/>
        <w:textAlignment w:val="auto"/>
        <w:rPr>
          <w:rFonts w:hint="eastAsia" w:ascii="宋体" w:hAnsi="宋体" w:eastAsia="宋体" w:cs="宋体"/>
          <w:b/>
          <w:bCs/>
          <w:kern w:val="0"/>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jc w:val="both"/>
        <w:textAlignment w:val="auto"/>
        <w:rPr>
          <w:rFonts w:hint="eastAsia" w:ascii="宋体" w:hAnsi="宋体" w:eastAsia="宋体" w:cs="宋体"/>
          <w:b/>
          <w:bCs/>
          <w:kern w:val="0"/>
          <w:sz w:val="21"/>
          <w:szCs w:val="21"/>
          <w:highlight w:val="none"/>
          <w:lang w:val="en-US" w:eastAsia="zh-CN" w:bidi="ar-SA"/>
        </w:rPr>
      </w:pPr>
      <w:r>
        <w:rPr>
          <w:rFonts w:hint="eastAsia" w:ascii="宋体" w:hAnsi="宋体" w:eastAsia="宋体" w:cs="宋体"/>
          <w:b/>
          <w:bCs/>
          <w:kern w:val="0"/>
          <w:sz w:val="21"/>
          <w:szCs w:val="21"/>
          <w:highlight w:val="none"/>
          <w:lang w:val="en-US" w:eastAsia="zh-CN" w:bidi="ar-SA"/>
        </w:rPr>
        <w:t>六、</w:t>
      </w:r>
      <w:r>
        <w:rPr>
          <w:rFonts w:hint="eastAsia" w:ascii="宋体" w:hAnsi="宋体" w:eastAsia="宋体" w:cs="宋体"/>
          <w:kern w:val="0"/>
          <w:sz w:val="21"/>
          <w:szCs w:val="21"/>
          <w:highlight w:val="none"/>
          <w:lang w:val="en-US" w:eastAsia="zh-CN" w:bidi="ar-SA"/>
        </w:rPr>
        <w:t>★</w:t>
      </w:r>
      <w:r>
        <w:rPr>
          <w:rFonts w:hint="eastAsia" w:ascii="宋体" w:hAnsi="宋体" w:eastAsia="宋体" w:cs="宋体"/>
          <w:b/>
          <w:bCs/>
          <w:kern w:val="0"/>
          <w:sz w:val="21"/>
          <w:szCs w:val="21"/>
          <w:highlight w:val="none"/>
          <w:lang w:val="en-US" w:eastAsia="zh-CN" w:bidi="ar-SA"/>
        </w:rPr>
        <w:t>托管形式及原则</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1、本项目托管内容，按照以下形式，进行托管和共同组成托管费用：</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1.1 第一部分：按照水量、电量基准进行托管，水量、电量乘以当期水费及污水处理费单价、电费单价，即得到实际应支付的托管水电费用。</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1.2 第二部分：指标控制托管</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b w:val="0"/>
          <w:bCs w:val="0"/>
          <w:kern w:val="0"/>
          <w:sz w:val="21"/>
          <w:szCs w:val="21"/>
          <w:highlight w:val="none"/>
          <w:lang w:val="en-US" w:eastAsia="zh-CN" w:bidi="ar-SA"/>
        </w:rPr>
        <w:t>“</w:t>
      </w:r>
      <w:r>
        <w:rPr>
          <w:rFonts w:hint="eastAsia" w:ascii="宋体" w:hAnsi="宋体" w:eastAsia="宋体" w:cs="宋体"/>
          <w:b w:val="0"/>
          <w:bCs w:val="0"/>
          <w:kern w:val="0"/>
          <w:sz w:val="21"/>
          <w:szCs w:val="21"/>
          <w:highlight w:val="none"/>
          <w:u w:val="none"/>
          <w:lang w:val="en-US" w:eastAsia="zh-CN" w:bidi="ar-SA"/>
        </w:rPr>
        <w:t>单位建筑面积能耗</w:t>
      </w:r>
      <w:r>
        <w:rPr>
          <w:rFonts w:hint="eastAsia" w:ascii="宋体" w:hAnsi="宋体" w:eastAsia="宋体" w:cs="宋体"/>
          <w:b w:val="0"/>
          <w:bCs w:val="0"/>
          <w:kern w:val="0"/>
          <w:sz w:val="21"/>
          <w:szCs w:val="21"/>
          <w:highlight w:val="none"/>
          <w:lang w:val="en-US" w:eastAsia="zh-CN" w:bidi="ar-SA"/>
        </w:rPr>
        <w:t>”为强制性响应指标，</w:t>
      </w:r>
      <w:r>
        <w:rPr>
          <w:rFonts w:hint="eastAsia" w:ascii="宋体" w:hAnsi="宋体" w:eastAsia="宋体" w:cs="宋体"/>
          <w:b w:val="0"/>
          <w:bCs w:val="0"/>
          <w:kern w:val="0"/>
          <w:sz w:val="21"/>
          <w:szCs w:val="21"/>
          <w:highlight w:val="none"/>
          <w:u w:val="none"/>
          <w:lang w:val="en-US" w:eastAsia="zh-CN" w:bidi="ar-SA"/>
        </w:rPr>
        <w:t>基准期内指标140.47乘以（1-</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b w:val="0"/>
          <w:bCs w:val="0"/>
          <w:kern w:val="0"/>
          <w:sz w:val="21"/>
          <w:szCs w:val="21"/>
          <w:highlight w:val="none"/>
          <w:u w:val="none"/>
          <w:lang w:val="en-US" w:eastAsia="zh-CN" w:bidi="ar-SA"/>
        </w:rPr>
        <w:t>），即为托管合同期内实际执行基准指标。</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其余为选择性要求指标基准，各项指标响应要求，具体以</w:t>
      </w:r>
      <w:r>
        <w:rPr>
          <w:rFonts w:hint="eastAsia" w:ascii="宋体" w:hAnsi="宋体" w:eastAsia="宋体" w:cs="宋体"/>
          <w:color w:val="auto"/>
          <w:kern w:val="2"/>
          <w:sz w:val="21"/>
          <w:szCs w:val="21"/>
          <w:highlight w:val="none"/>
          <w:lang w:val="en-US" w:eastAsia="zh-CN" w:bidi="ar-SA"/>
        </w:rPr>
        <w:t>需求书相应章节要求为准</w:t>
      </w:r>
      <w:r>
        <w:rPr>
          <w:rFonts w:hint="eastAsia" w:ascii="宋体" w:hAnsi="宋体" w:eastAsia="宋体" w:cs="宋体"/>
          <w:b w:val="0"/>
          <w:bCs w:val="0"/>
          <w:kern w:val="0"/>
          <w:sz w:val="21"/>
          <w:szCs w:val="21"/>
          <w:highlight w:val="none"/>
          <w:lang w:val="en-US" w:eastAsia="zh-CN" w:bidi="ar-SA"/>
        </w:rPr>
        <w:t>。</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1.3 第三部分：</w:t>
      </w:r>
      <w:r>
        <w:rPr>
          <w:rFonts w:hint="eastAsia" w:ascii="宋体" w:hAnsi="宋体" w:eastAsia="宋体" w:cs="宋体"/>
          <w:kern w:val="2"/>
          <w:sz w:val="21"/>
          <w:szCs w:val="21"/>
          <w:highlight w:val="none"/>
          <w:lang w:val="en-US" w:eastAsia="zh-CN" w:bidi="ar-SA"/>
        </w:rPr>
        <w:t>改造费用形式托管</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该费用基准199.6万元/年为改造内容估算费用，</w:t>
      </w:r>
      <w:r>
        <w:rPr>
          <w:rFonts w:hint="eastAsia" w:ascii="宋体" w:hAnsi="宋体" w:eastAsia="宋体" w:cs="宋体"/>
          <w:color w:val="auto"/>
          <w:kern w:val="2"/>
          <w:sz w:val="21"/>
          <w:szCs w:val="21"/>
          <w:highlight w:val="none"/>
          <w:lang w:val="en-US" w:eastAsia="zh-CN" w:bidi="ar-SA"/>
        </w:rPr>
        <w:t>此项为包干费用基准，即：</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如改造结算审核费用*（1-下浮率）＞1996万元，以1996万元包干结算；</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如改造结算审核费用*（1-下浮率）≤1996万元，结合审核和下浮率后据实结算。</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 第四部分：运维托管</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此项</w:t>
      </w:r>
      <w:r>
        <w:rPr>
          <w:rFonts w:hint="eastAsia" w:ascii="宋体" w:hAnsi="宋体" w:eastAsia="宋体" w:cs="宋体"/>
          <w:b w:val="0"/>
          <w:bCs w:val="0"/>
          <w:kern w:val="0"/>
          <w:sz w:val="21"/>
          <w:szCs w:val="21"/>
          <w:highlight w:val="none"/>
          <w:u w:val="none"/>
          <w:lang w:val="en-US" w:eastAsia="zh-CN" w:bidi="ar-SA"/>
        </w:rPr>
        <w:t>托管合同期内实际执行基准费用为299.58万元乘以（1-下浮率），除总价外，所有托管内容单价及单项合价，均按照乘以（1-下浮率）后执行。</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1.5 第五部分：制度建设、落实及示范创建工作托管</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此项相关内容工作，由医院统筹，</w:t>
      </w:r>
      <w:r>
        <w:rPr>
          <w:rFonts w:hint="eastAsia" w:ascii="宋体" w:hAnsi="宋体" w:eastAsia="宋体" w:cs="宋体"/>
          <w:color w:val="auto"/>
          <w:kern w:val="2"/>
          <w:sz w:val="21"/>
          <w:szCs w:val="21"/>
          <w:highlight w:val="none"/>
          <w:u w:val="none"/>
          <w:lang w:val="en-US" w:eastAsia="zh-CN" w:bidi="ar-SA"/>
        </w:rPr>
        <w:t>服务公司具体实施。此项工作的完成情况，构成整体托管费用支付的必要条件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 xml:space="preserve">1.6 </w:t>
      </w:r>
      <w:r>
        <w:rPr>
          <w:rFonts w:hint="eastAsia" w:ascii="宋体" w:hAnsi="宋体" w:eastAsia="宋体" w:cs="宋体"/>
          <w:color w:val="auto"/>
          <w:kern w:val="2"/>
          <w:sz w:val="21"/>
          <w:szCs w:val="21"/>
          <w:highlight w:val="none"/>
          <w:lang w:val="en-US" w:eastAsia="zh-CN" w:bidi="ar-SA"/>
        </w:rPr>
        <w:t>第六部分：项目衍生无形资产和有形资金/资产托管</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节能服务公司享受收益50%*（1-下浮率）作为</w:t>
      </w:r>
      <w:r>
        <w:rPr>
          <w:rFonts w:hint="eastAsia" w:ascii="宋体" w:hAnsi="宋体" w:eastAsia="宋体" w:cs="宋体"/>
          <w:b w:val="0"/>
          <w:bCs w:val="0"/>
          <w:kern w:val="0"/>
          <w:sz w:val="21"/>
          <w:szCs w:val="21"/>
          <w:highlight w:val="none"/>
          <w:u w:val="none"/>
          <w:lang w:val="en-US" w:eastAsia="zh-CN" w:bidi="ar-SA"/>
        </w:rPr>
        <w:t>托管合同期内实际执行基准。</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1.7 第七部分：政策托管</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托管期开始前已有相应文件要求的，相应费用已包含在托管服务费用中；托管期开始后文件新增要求的，按照托管内容分类、对应托管形式、下浮率、基准，以及需求书调整规则进行费用调整。</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1.8 第八部分：调整内容托管</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涉及以上7个部分类型内容及费用调整（增加/减少），将对应相应基准要求及需求书调整规则，进行相关费用调整。调整内容部分，同样执行“乘以（1-下浮率）”标准。</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2、托管原则</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 托管期内，基准面积及基准范围以内服务内容，托管费用基准不变，设备老化引起的能耗增加，市场人员用工成本上涨，引起的投入费用增长风险，由服务单位综合考量和承担；除有物价局等行政主管的相关收费依据的，可根据相关收费标准变更，进行费用调整。</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 托管期内，基准面积及基准范围以外服务内容，按照需求书“托管费用调整机制”相关要求和原则进行费用调整。</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七、总体服务要求</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本托管服务项目，要求采取改造期施工专门团队人员配置、运维日常工作驻点人员配置、托管各项内容专项工作（政策响应，</w:t>
      </w:r>
      <w:r>
        <w:rPr>
          <w:rFonts w:hint="eastAsia" w:ascii="宋体" w:hAnsi="宋体" w:eastAsia="宋体" w:cs="宋体"/>
          <w:b w:val="0"/>
          <w:bCs w:val="0"/>
          <w:color w:val="auto"/>
          <w:kern w:val="2"/>
          <w:sz w:val="21"/>
          <w:szCs w:val="21"/>
          <w:highlight w:val="none"/>
          <w:lang w:val="en-US" w:eastAsia="zh-CN" w:bidi="ar-SA"/>
        </w:rPr>
        <w:t>节能降碳主要指标响应，能源管理及节能相关制度建设、落实服务要求响应，项目衍生无形资产和有形资金/资产托管服务要求响应等</w:t>
      </w:r>
      <w:r>
        <w:rPr>
          <w:rFonts w:hint="eastAsia" w:ascii="宋体" w:hAnsi="宋体" w:eastAsia="宋体" w:cs="宋体"/>
          <w:b w:val="0"/>
          <w:bCs w:val="0"/>
          <w:i w:val="0"/>
          <w:iCs w:val="0"/>
          <w:color w:val="000000"/>
          <w:kern w:val="0"/>
          <w:sz w:val="21"/>
          <w:szCs w:val="21"/>
          <w:highlight w:val="none"/>
          <w:u w:val="none"/>
          <w:lang w:val="en-US" w:eastAsia="zh-CN" w:bidi="ar"/>
        </w:rPr>
        <w:t>）由驻点人员加服务公司专门团队（无需驻点）支持相结合的形式，高质量完成托管服务内容及要求。</w:t>
      </w:r>
    </w:p>
    <w:p>
      <w:pPr>
        <w:keepNext w:val="0"/>
        <w:keepLines w:val="0"/>
        <w:pageBreakBefore w:val="0"/>
        <w:widowControl w:val="0"/>
        <w:numPr>
          <w:ilvl w:val="0"/>
          <w:numId w:val="0"/>
        </w:numPr>
        <w:kinsoku/>
        <w:wordWrap/>
        <w:overflowPunct/>
        <w:topLinePunct w:val="0"/>
        <w:bidi w:val="0"/>
        <w:spacing w:line="240" w:lineRule="auto"/>
        <w:ind w:firstLine="481"/>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w:t>
      </w:r>
      <w:r>
        <w:rPr>
          <w:rFonts w:hint="eastAsia" w:ascii="宋体" w:hAnsi="宋体" w:eastAsia="宋体" w:cs="宋体"/>
          <w:kern w:val="0"/>
          <w:sz w:val="21"/>
          <w:szCs w:val="21"/>
          <w:highlight w:val="none"/>
          <w:lang w:val="en-US" w:eastAsia="zh-CN" w:bidi="ar-SA"/>
        </w:rPr>
        <w:t>★</w:t>
      </w:r>
      <w:r>
        <w:rPr>
          <w:rFonts w:hint="eastAsia" w:ascii="宋体" w:hAnsi="宋体" w:eastAsia="宋体" w:cs="宋体"/>
          <w:b/>
          <w:bCs/>
          <w:color w:val="auto"/>
          <w:kern w:val="2"/>
          <w:sz w:val="21"/>
          <w:szCs w:val="21"/>
          <w:highlight w:val="none"/>
          <w:lang w:val="en-US" w:eastAsia="zh-CN" w:bidi="ar-SA"/>
        </w:rPr>
        <w:t>政策文件响应要求</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本项目托管期内，需无条件满足国家、省、市及行业，现有及新增的相关政策要求和标准、法规要求，包括但不限于以下内容：</w:t>
      </w:r>
    </w:p>
    <w:p>
      <w:pPr>
        <w:keepNext w:val="0"/>
        <w:keepLines w:val="0"/>
        <w:pageBreakBefore w:val="0"/>
        <w:widowControl w:val="0"/>
        <w:numPr>
          <w:ilvl w:val="0"/>
          <w:numId w:val="6"/>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【2021.06】国家机关事务管理局国家发展和改革委员会关于印发《“十四五”公共机构节约能源资源工作规划的通知》 ；</w:t>
      </w:r>
    </w:p>
    <w:p>
      <w:pPr>
        <w:keepNext w:val="0"/>
        <w:keepLines w:val="0"/>
        <w:pageBreakBefore w:val="0"/>
        <w:widowControl w:val="0"/>
        <w:numPr>
          <w:ilvl w:val="0"/>
          <w:numId w:val="6"/>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【2021.11.16】国家机关事务管理局国家发展和改革委员会财政部 生态环境部关于印发《深入开展公共机构绿色低碳引领行动促进碳达峰实施方案的通知》 ；</w:t>
      </w:r>
    </w:p>
    <w:p>
      <w:pPr>
        <w:keepNext w:val="0"/>
        <w:keepLines w:val="0"/>
        <w:pageBreakBefore w:val="0"/>
        <w:widowControl w:val="0"/>
        <w:numPr>
          <w:ilvl w:val="0"/>
          <w:numId w:val="6"/>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【2022.09】国管局国家发展改革委财政部关于印发《关于鼓励和支持公共机构采用能源费用托管服务的意见》的通知；</w:t>
      </w:r>
    </w:p>
    <w:p>
      <w:pPr>
        <w:keepNext w:val="0"/>
        <w:keepLines w:val="0"/>
        <w:pageBreakBefore w:val="0"/>
        <w:widowControl w:val="0"/>
        <w:numPr>
          <w:ilvl w:val="0"/>
          <w:numId w:val="6"/>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广东省公共机构能源资源消耗限额DB44∕T2267-2021；</w:t>
      </w:r>
    </w:p>
    <w:p>
      <w:pPr>
        <w:keepNext w:val="0"/>
        <w:keepLines w:val="0"/>
        <w:pageBreakBefore w:val="0"/>
        <w:widowControl w:val="0"/>
        <w:numPr>
          <w:ilvl w:val="0"/>
          <w:numId w:val="6"/>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广东省能源局关于公布2021年度我省同类型公共机构能源资源消费指标平均值的通知；</w:t>
      </w:r>
    </w:p>
    <w:p>
      <w:pPr>
        <w:keepNext w:val="0"/>
        <w:keepLines w:val="0"/>
        <w:pageBreakBefore w:val="0"/>
        <w:widowControl w:val="0"/>
        <w:numPr>
          <w:ilvl w:val="0"/>
          <w:numId w:val="0"/>
        </w:numPr>
        <w:kinsoku/>
        <w:wordWrap/>
        <w:overflowPunct/>
        <w:topLinePunct w:val="0"/>
        <w:bidi w:val="0"/>
        <w:spacing w:line="240" w:lineRule="auto"/>
        <w:ind w:firstLine="630" w:firstLineChars="3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广州市住房和城乡建设局关于我市2021年度国家机关办公建筑和大型公共建筑能源资源消耗统计情况的公示；</w:t>
      </w:r>
    </w:p>
    <w:p>
      <w:pPr>
        <w:keepNext w:val="0"/>
        <w:keepLines w:val="0"/>
        <w:pageBreakBefore w:val="0"/>
        <w:widowControl w:val="0"/>
        <w:numPr>
          <w:ilvl w:val="0"/>
          <w:numId w:val="0"/>
        </w:numPr>
        <w:kinsoku/>
        <w:wordWrap/>
        <w:overflowPunct/>
        <w:topLinePunct w:val="0"/>
        <w:bidi w:val="0"/>
        <w:spacing w:line="240" w:lineRule="auto"/>
        <w:ind w:firstLine="630" w:firstLineChars="3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广州市住房和城乡建设局关于2022年度广州市公共建筑能耗统计结果的公示。</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6）国家机关事务管理局《关于印发&lt;公共机构能源资源消费统计调查制度&gt;的通知》（国管节能[2022]301号）--2022.10.09；</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广东省能源局关于印发广东省公共机构能源资源消费统计调查制度实施方案的通知（粤能节能[2022]104号）--2022.12.09。</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7）公共机构能源资源计量器具配备和管理要求GBT29149-2012；</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8）【2008.10】公共机构节能条例---国家能源局；</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9）《公共机构能源审计技术导则》GB T 31342—2014；</w:t>
      </w:r>
    </w:p>
    <w:p>
      <w:pPr>
        <w:keepNext w:val="0"/>
        <w:keepLines w:val="0"/>
        <w:pageBreakBefore w:val="0"/>
        <w:widowControl w:val="0"/>
        <w:numPr>
          <w:ilvl w:val="0"/>
          <w:numId w:val="0"/>
        </w:numPr>
        <w:kinsoku/>
        <w:wordWrap/>
        <w:overflowPunct/>
        <w:topLinePunct w:val="0"/>
        <w:bidi w:val="0"/>
        <w:spacing w:line="240" w:lineRule="auto"/>
        <w:ind w:firstLine="630" w:firstLineChars="3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《公共机构能源审计技术导则》DB44 T 2268—2021。</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10）【2019.01】《国务院办公厅关于加强三级公立医院绩效考核工作的意见》国办发〔2019〕4号；</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11）【2015.07.06】《公共建筑运营单位（企业）温室气体排放核算方法和报告指南（试行）》 ；</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12）【2020.06】广东省生态环境厅关于印发《广东省市县（区）温室气体清单编制指南（试行）》的通知；</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【2020.06】广东省市县（区）级温室气体清单编制指南（试行）。</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【2023.02.08】人民银行公共机构碳排放量计算及减碳路径研究。</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【2024.07.12】国家碳达峰试点（广州）实施方案穗府函〔2024〕189号；</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广东省人民政府机关事务管理局等五部门《关于公共机构合同能源管理的暂行办法》 ；</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广东省公共机构节能办法 2016.06；</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《发展改革委等部门关于加快推行合同能源管理促进节能服务产业发展意见的通知》--2010年第11号国务院公报；</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《合同能源管理技术通则》（GBT24915-2020）；</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合同能源管理招标规范--通则  TCTBA 003—2024；</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合同能源管理招标规范--公共机构  TCTBA 004—2024；</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《公共建筑综合性减碳改造项目碳减排量认定技术规范》T/CSES 128-2023；</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《公共机构能源费用托管实施规程》JS T 301-2024；</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《公共机构节约用水管理办法》国管节能〔2024〕274号；</w:t>
      </w:r>
    </w:p>
    <w:p>
      <w:pPr>
        <w:keepNext w:val="0"/>
        <w:keepLines w:val="0"/>
        <w:pageBreakBefore w:val="0"/>
        <w:widowControl w:val="0"/>
        <w:numPr>
          <w:ilvl w:val="0"/>
          <w:numId w:val="7"/>
        </w:numPr>
        <w:kinsoku/>
        <w:wordWrap/>
        <w:overflowPunct/>
        <w:topLinePunct w:val="0"/>
        <w:bidi w:val="0"/>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托管期内，其余国家省市及行业主管部门发布的，与节能降碳和能源托管相关的政策、法规、标准等。</w:t>
      </w:r>
    </w:p>
    <w:p>
      <w:pPr>
        <w:keepNext w:val="0"/>
        <w:keepLines w:val="0"/>
        <w:pageBreakBefore w:val="0"/>
        <w:widowControl w:val="0"/>
        <w:numPr>
          <w:ilvl w:val="0"/>
          <w:numId w:val="7"/>
        </w:numPr>
        <w:kinsoku/>
        <w:wordWrap/>
        <w:overflowPunct/>
        <w:topLinePunct w:val="0"/>
        <w:bidi w:val="0"/>
        <w:spacing w:line="240" w:lineRule="auto"/>
        <w:ind w:firstLine="416"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spacing w:val="-1"/>
          <w:sz w:val="21"/>
          <w:szCs w:val="21"/>
          <w:highlight w:val="none"/>
          <w:lang w:eastAsia="zh-CN"/>
        </w:rPr>
        <w:t>供应商在</w:t>
      </w:r>
      <w:r>
        <w:rPr>
          <w:rFonts w:hint="eastAsia" w:ascii="宋体" w:hAnsi="宋体" w:eastAsia="宋体" w:cs="Times New Roman"/>
          <w:spacing w:val="-1"/>
          <w:sz w:val="21"/>
          <w:szCs w:val="21"/>
          <w:highlight w:val="none"/>
        </w:rPr>
        <w:t>参加采购活动前3年内，在经营活动中没有重大违法记录</w:t>
      </w:r>
      <w:r>
        <w:rPr>
          <w:rFonts w:hint="eastAsia" w:ascii="宋体" w:hAnsi="宋体" w:eastAsia="宋体" w:cs="Times New Roman"/>
          <w:spacing w:val="-1"/>
          <w:sz w:val="21"/>
          <w:szCs w:val="21"/>
          <w:highlight w:val="none"/>
          <w:lang w:eastAsia="zh-CN"/>
        </w:rPr>
        <w:t>或被执行案件，</w:t>
      </w:r>
      <w:r>
        <w:rPr>
          <w:rFonts w:hint="eastAsia" w:ascii="宋体" w:eastAsia="宋体" w:cs="宋体"/>
          <w:highlight w:val="none"/>
          <w:lang w:eastAsia="zh-CN"/>
        </w:rPr>
        <w:t>以中国裁判文书网（https://wenshu.court.gov.cn/）查询结果为准。</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bCs/>
          <w:color w:val="auto"/>
          <w:kern w:val="2"/>
          <w:sz w:val="21"/>
          <w:szCs w:val="21"/>
          <w:highlight w:val="non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w:t>
      </w:r>
      <w:r>
        <w:rPr>
          <w:rFonts w:hint="eastAsia" w:ascii="宋体" w:hAnsi="宋体" w:eastAsia="宋体" w:cs="宋体"/>
          <w:kern w:val="0"/>
          <w:sz w:val="21"/>
          <w:szCs w:val="21"/>
          <w:highlight w:val="none"/>
          <w:lang w:val="en-US" w:eastAsia="zh-CN" w:bidi="ar-SA"/>
        </w:rPr>
        <w:t>★</w:t>
      </w:r>
      <w:r>
        <w:rPr>
          <w:rFonts w:hint="eastAsia" w:ascii="宋体" w:hAnsi="宋体" w:eastAsia="宋体" w:cs="宋体"/>
          <w:b/>
          <w:bCs/>
          <w:color w:val="auto"/>
          <w:kern w:val="2"/>
          <w:sz w:val="21"/>
          <w:szCs w:val="21"/>
          <w:highlight w:val="none"/>
          <w:lang w:val="en-US" w:eastAsia="zh-CN" w:bidi="ar-SA"/>
        </w:rPr>
        <w:t>节能降碳主要指标响应要求</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根据能源审计报告及修订说明，以2023年为指标基准期。</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2.1“单位建筑面积能耗”指标基准为140.47，</w:t>
      </w:r>
      <w:r>
        <w:rPr>
          <w:rFonts w:hint="eastAsia" w:ascii="宋体" w:hAnsi="宋体" w:eastAsia="宋体" w:cs="宋体"/>
          <w:b w:val="0"/>
          <w:bCs w:val="0"/>
          <w:kern w:val="0"/>
          <w:sz w:val="21"/>
          <w:szCs w:val="21"/>
          <w:highlight w:val="none"/>
          <w:u w:val="none"/>
          <w:lang w:val="en-US" w:eastAsia="zh-CN" w:bidi="ar-SA"/>
        </w:rPr>
        <w:t>指标响应要求等于基准期内指标140.47乘以（1-</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b w:val="0"/>
          <w:bCs w:val="0"/>
          <w:kern w:val="0"/>
          <w:sz w:val="21"/>
          <w:szCs w:val="21"/>
          <w:highlight w:val="none"/>
          <w:u w:val="none"/>
          <w:lang w:val="en-US" w:eastAsia="zh-CN" w:bidi="ar-SA"/>
        </w:rPr>
        <w:t>），即托管合同期内实际执行基准指标。</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2.2 “单位建筑面积碳排放”指标，因2023年基准期未实施碳排放统计及认定工作，未明确基准。以</w:t>
      </w:r>
      <w:r>
        <w:rPr>
          <w:rFonts w:hint="eastAsia" w:ascii="宋体" w:hAnsi="宋体" w:eastAsia="宋体" w:cs="宋体"/>
          <w:kern w:val="2"/>
          <w:sz w:val="21"/>
          <w:szCs w:val="21"/>
          <w:highlight w:val="none"/>
          <w:lang w:val="en-US" w:eastAsia="zh-CN" w:bidi="ar-SA"/>
        </w:rPr>
        <w:t>《公共建筑综合性减碳改造项目碳减排量认定技术规范》内</w:t>
      </w:r>
      <w:r>
        <w:rPr>
          <w:rFonts w:hint="eastAsia" w:ascii="宋体" w:hAnsi="宋体" w:eastAsia="宋体" w:cs="宋体"/>
          <w:b w:val="0"/>
          <w:bCs w:val="0"/>
          <w:kern w:val="0"/>
          <w:sz w:val="21"/>
          <w:szCs w:val="21"/>
          <w:highlight w:val="none"/>
          <w:lang w:val="en-US" w:eastAsia="zh-CN" w:bidi="ar-SA"/>
        </w:rPr>
        <w:t>“账单分析法”或“关键参数法”，对2023年或实施改造前1个年度周期的指标进行认定为基准后，指标响应要求≤基准*（1-7%）。</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b w:val="0"/>
          <w:bCs w:val="0"/>
          <w:kern w:val="0"/>
          <w:sz w:val="21"/>
          <w:szCs w:val="21"/>
          <w:highlight w:val="none"/>
          <w:lang w:val="en-US" w:eastAsia="zh-CN" w:bidi="ar-SA"/>
        </w:rPr>
        <w:t>2.3 “人均综合能耗”指标基准为3295.10，</w:t>
      </w:r>
      <w:r>
        <w:rPr>
          <w:rFonts w:hint="eastAsia" w:ascii="宋体" w:hAnsi="宋体" w:eastAsia="宋体" w:cs="宋体"/>
          <w:color w:val="auto"/>
          <w:kern w:val="2"/>
          <w:sz w:val="21"/>
          <w:szCs w:val="21"/>
          <w:highlight w:val="none"/>
          <w:lang w:val="en-US" w:eastAsia="zh-CN" w:bidi="ar-SA"/>
        </w:rPr>
        <w:t>根据2021年6月国家机关事务管理局国家发展和改革委员会《关于印发“十四五”公共机构节约能源资源工作规划的通知》及《广东省公共机构能源资源消耗限额》DB44∕T 2267-2021，2023年基准指标</w:t>
      </w:r>
      <w:r>
        <w:rPr>
          <w:rFonts w:hint="eastAsia" w:ascii="宋体" w:hAnsi="宋体" w:eastAsia="宋体" w:cs="宋体"/>
          <w:b w:val="0"/>
          <w:bCs w:val="0"/>
          <w:kern w:val="0"/>
          <w:sz w:val="21"/>
          <w:szCs w:val="21"/>
          <w:highlight w:val="none"/>
          <w:lang w:val="en-US" w:eastAsia="zh-CN" w:bidi="ar-SA"/>
        </w:rPr>
        <w:t>高于“约束值”3085</w:t>
      </w:r>
      <w:r>
        <w:rPr>
          <w:rFonts w:hint="eastAsia" w:ascii="宋体" w:hAnsi="宋体" w:eastAsia="宋体" w:cs="宋体"/>
          <w:color w:val="auto"/>
          <w:kern w:val="2"/>
          <w:sz w:val="21"/>
          <w:szCs w:val="21"/>
          <w:highlight w:val="none"/>
          <w:lang w:val="en-US" w:eastAsia="zh-CN" w:bidi="ar-SA"/>
        </w:rPr>
        <w:t>，故</w:t>
      </w:r>
      <w:r>
        <w:rPr>
          <w:rFonts w:hint="eastAsia" w:ascii="宋体" w:hAnsi="宋体" w:eastAsia="宋体" w:cs="宋体"/>
          <w:b w:val="0"/>
          <w:bCs w:val="0"/>
          <w:kern w:val="0"/>
          <w:sz w:val="21"/>
          <w:szCs w:val="21"/>
          <w:highlight w:val="none"/>
          <w:u w:val="none"/>
          <w:lang w:val="en-US" w:eastAsia="zh-CN" w:bidi="ar-SA"/>
        </w:rPr>
        <w:t>指标响应要求≤</w:t>
      </w:r>
      <w:r>
        <w:rPr>
          <w:rFonts w:hint="eastAsia" w:ascii="宋体" w:hAnsi="宋体" w:eastAsia="宋体" w:cs="宋体"/>
          <w:b w:val="0"/>
          <w:bCs w:val="0"/>
          <w:kern w:val="0"/>
          <w:sz w:val="21"/>
          <w:szCs w:val="21"/>
          <w:highlight w:val="none"/>
          <w:lang w:val="en-US" w:eastAsia="zh-CN" w:bidi="ar-SA"/>
        </w:rPr>
        <w:t>3295.10</w:t>
      </w:r>
      <w:r>
        <w:rPr>
          <w:rFonts w:hint="eastAsia" w:ascii="宋体" w:hAnsi="宋体" w:eastAsia="宋体" w:cs="宋体"/>
          <w:b w:val="0"/>
          <w:bCs w:val="0"/>
          <w:kern w:val="0"/>
          <w:sz w:val="21"/>
          <w:szCs w:val="21"/>
          <w:highlight w:val="none"/>
          <w:u w:val="none"/>
          <w:lang w:val="en-US" w:eastAsia="zh-CN" w:bidi="ar-SA"/>
        </w:rPr>
        <w:t>*（1-6%）。</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2.4“人均用水量”指标基准为45.38，，</w:t>
      </w:r>
      <w:r>
        <w:rPr>
          <w:rFonts w:hint="eastAsia" w:ascii="宋体" w:hAnsi="宋体" w:eastAsia="宋体" w:cs="宋体"/>
          <w:color w:val="auto"/>
          <w:kern w:val="2"/>
          <w:sz w:val="21"/>
          <w:szCs w:val="21"/>
          <w:highlight w:val="none"/>
          <w:lang w:val="en-US" w:eastAsia="zh-CN" w:bidi="ar-SA"/>
        </w:rPr>
        <w:t>根据2021年6月国家机关事务管理局国家发展和改革委员会《关于印发“十四五”公共机构节约能源资源工作规划的通知》及《广东省公共机构能源资源消耗限额》DB44∕T 2267-2021，2023年基准指标</w:t>
      </w:r>
      <w:r>
        <w:rPr>
          <w:rFonts w:hint="eastAsia" w:ascii="宋体" w:hAnsi="宋体" w:eastAsia="宋体" w:cs="宋体"/>
          <w:b w:val="0"/>
          <w:bCs w:val="0"/>
          <w:kern w:val="0"/>
          <w:sz w:val="21"/>
          <w:szCs w:val="21"/>
          <w:highlight w:val="none"/>
          <w:lang w:val="en-US" w:eastAsia="zh-CN" w:bidi="ar-SA"/>
        </w:rPr>
        <w:t>已经远低于“引导值”55，</w:t>
      </w:r>
      <w:r>
        <w:rPr>
          <w:rFonts w:hint="eastAsia" w:ascii="宋体" w:hAnsi="宋体" w:eastAsia="宋体" w:cs="宋体"/>
          <w:b w:val="0"/>
          <w:bCs w:val="0"/>
          <w:kern w:val="0"/>
          <w:sz w:val="21"/>
          <w:szCs w:val="21"/>
          <w:highlight w:val="none"/>
          <w:u w:val="none"/>
          <w:lang w:val="en-US" w:eastAsia="zh-CN" w:bidi="ar-SA"/>
        </w:rPr>
        <w:t>指标响应要求≤</w:t>
      </w:r>
      <w:r>
        <w:rPr>
          <w:rFonts w:hint="eastAsia" w:ascii="宋体" w:hAnsi="宋体" w:eastAsia="宋体" w:cs="宋体"/>
          <w:b w:val="0"/>
          <w:bCs w:val="0"/>
          <w:kern w:val="0"/>
          <w:sz w:val="21"/>
          <w:szCs w:val="21"/>
          <w:highlight w:val="none"/>
          <w:lang w:val="en-US" w:eastAsia="zh-CN" w:bidi="ar-SA"/>
        </w:rPr>
        <w:t>45.38</w:t>
      </w:r>
      <w:r>
        <w:rPr>
          <w:rFonts w:hint="eastAsia" w:ascii="宋体" w:hAnsi="宋体" w:eastAsia="宋体" w:cs="宋体"/>
          <w:b w:val="0"/>
          <w:bCs w:val="0"/>
          <w:kern w:val="0"/>
          <w:sz w:val="21"/>
          <w:szCs w:val="21"/>
          <w:highlight w:val="none"/>
          <w:u w:val="none"/>
          <w:lang w:val="en-US" w:eastAsia="zh-CN" w:bidi="ar-SA"/>
        </w:rPr>
        <w:t>。</w:t>
      </w:r>
    </w:p>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2.5 “万元收入能耗支出”指标基准为158元/万元，根据《国家三级公立医院绩效考核操作手册（2023版）》，指标导向要求为“逐年降低”；但因涉及到亿元收入存在不可控和不确定因素，该指标响应不做强制性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 xml:space="preserve">“单位建筑面积能耗”、“单位建筑面积碳排放”为强制性要求响应指标，如无法达到要求，除仅按照响应指标结算外，还将进行相应考核。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1"/>
        <w:jc w:val="left"/>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人均综合能耗”、“人均用水量”，因涉及到人员数量不可控因素，如日平均用能人数/使用面积，大于等于2023年，为强制性要求响应指标，如无法达到要求，除仅按照响应指标结算外，还将进行相应考核；如日平均用能人数/使用面积，小于2023年，指标响应不做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3、能源管理及节能相关制度建设、落实服务要求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3.1 制度建设要求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【节能及降碳管理】</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最迟不超过托管期首年度，结合医院实际情况制定《南沙医院节能降碳管理办法/条例》并经院方审核通过。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【定额及预算管理】</w:t>
      </w:r>
    </w:p>
    <w:p>
      <w:pPr>
        <w:keepNext w:val="0"/>
        <w:keepLines w:val="0"/>
        <w:pageBreakBefore w:val="0"/>
        <w:widowControl w:val="0"/>
        <w:numPr>
          <w:ilvl w:val="0"/>
          <w:numId w:val="8"/>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最迟不超过托管期首年度，结合医院实际情况制定《南沙医院能耗定额及用能预算管理制度》并经院方审核通过。</w:t>
      </w:r>
    </w:p>
    <w:p>
      <w:pPr>
        <w:keepNext w:val="0"/>
        <w:keepLines w:val="0"/>
        <w:pageBreakBefore w:val="0"/>
        <w:widowControl w:val="0"/>
        <w:numPr>
          <w:ilvl w:val="0"/>
          <w:numId w:val="8"/>
        </w:numPr>
        <w:kinsoku/>
        <w:wordWrap/>
        <w:overflowPunct/>
        <w:topLinePunct w:val="0"/>
        <w:bidi w:val="0"/>
        <w:spacing w:line="240" w:lineRule="auto"/>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最迟不超过托管期首年度，结合医院实际情况制定《南沙医院碳排放定额及预算管理制度》并经院方审核通过。</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【能源、碳排统计】</w:t>
      </w:r>
    </w:p>
    <w:p>
      <w:pPr>
        <w:keepNext w:val="0"/>
        <w:keepLines w:val="0"/>
        <w:pageBreakBefore w:val="0"/>
        <w:widowControl w:val="0"/>
        <w:numPr>
          <w:ilvl w:val="0"/>
          <w:numId w:val="8"/>
        </w:numPr>
        <w:kinsoku/>
        <w:wordWrap/>
        <w:overflowPunct/>
        <w:topLinePunct w:val="0"/>
        <w:bidi w:val="0"/>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最迟不超过托管期首年度，结合医院实际情况制定《南沙医院能源资源消费及碳排量统计调查制度》并经院方审核通过。</w:t>
      </w:r>
    </w:p>
    <w:p>
      <w:pPr>
        <w:keepNext w:val="0"/>
        <w:keepLines w:val="0"/>
        <w:pageBreakBefore w:val="0"/>
        <w:widowControl w:val="0"/>
        <w:numPr>
          <w:ilvl w:val="0"/>
          <w:numId w:val="8"/>
        </w:numPr>
        <w:kinsoku/>
        <w:wordWrap/>
        <w:overflowPunct/>
        <w:topLinePunct w:val="0"/>
        <w:bidi w:val="0"/>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建立健全节约型医院常态化、长效化机制。</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3.2 相关工作落实服务要求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3.2.1 【项目工作组建立】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为保证制度建设的顶层设计，既符合政策要求又贴合医院实际，保障相关工作能有序开展落实，最迟不超过合同期内前3个月，由医院统筹，服务公司具体落实，针对本托管项目，建立医院与服务公司联合的领导小组、监督小组、工作小组和网格化组织，并明确相应职责，以全面负责本项目的领导、统筹、日常工作开展、日常工作会议组织和工作协调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3.2.2 【工作质量管理】</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根据《南沙医院节能降碳管理办法/条例》制定的空调、照明、电梯、电脑等用能系统设备，用水设备的使用管理规定、细则，依托项目领导小组、监督小组、工作小组和网格化建设，开展日常用能巡查、管理及监督工作。</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定期（不少于每周1次）组织开展日常管理工作会议。</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定期（不少于每月1次）组织开展本项目工作人员的技能、管理制度等的培训工作。</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定期（不少于每月1次）组织开展本项目托管服务、制度建设等方面的意见收集和节能服务满意度调查。</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定期（不少于每月1次）组织开展能源使用情况、节能管理相关抽查及监督工作，开展工作总结会议和相关制度修订讨论会议。</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定期（不少于每季度1次）组织开展能源托管项目及节能降碳相关的宣传工作，工作包括集中会议宣传、宣传海报及标识张贴、宣传册发放、线上宣传、主题宣传活动等。</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实行全面质量管理，针对以上日常、周度、月度、季度工作，定期总结，针对存在问题提出整改措施，通过整改后推动工作质量提升，实现PDCA工作质量管理。</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按月度、季度、年度，向院方提交能源/碳排统计、节能及降碳管理、定额及预算管理等的工作分析报告。</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广泛组织开展医院及服务单位联动的，节能降碳相关志愿服务行动。</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针对以上定期工作和全面质量管理，做好实时工作记录和资料定期整理汇总存档。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3.2.3 【节能及降碳管理】</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按照医院各类型场所人员活动轨迹和时间段特点，通过技术手段和管理手段，优化调整各类场所空调、照明、电梯等各类用能系统的使用控制，并制定相应使用规则和相关引导标识。</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按照需求书相关章节空调使用控制的标准，合理控制室内温度，诊疗场所和有特殊要求的场所除外。</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u w:val="single"/>
          <w:lang w:val="en-US" w:eastAsia="zh-CN" w:bidi="ar-SA"/>
        </w:rPr>
      </w:pPr>
      <w:r>
        <w:rPr>
          <w:rFonts w:hint="eastAsia" w:ascii="宋体" w:hAnsi="宋体" w:eastAsia="宋体" w:cs="宋体"/>
          <w:b w:val="0"/>
          <w:bCs w:val="0"/>
          <w:color w:val="auto"/>
          <w:kern w:val="2"/>
          <w:sz w:val="21"/>
          <w:szCs w:val="21"/>
          <w:highlight w:val="none"/>
          <w:lang w:val="en-US" w:eastAsia="zh-CN" w:bidi="ar-SA"/>
        </w:rPr>
        <w:t>加强重点用水、用电部位的用能、节能管理。</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服务公司按照节水节地节材原则，结合医院实际，制定绿化降碳的详细实施方案计划及建议，包括但不限于采用节约型绿化技术，采取见缝插绿、身边添绿、屋顶铺绿等方式，提高单位庭院绿化率，营造绿色办公环境，促进实现碳中和。</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持续开展绿色理念宣传，包括绿色消费、绿色采购（采购更多节能、低碳、节水、环保、再生等绿色产品）、日常绿色出行/公务出行、制止餐饮浪费、减少使用一次性用品。</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能源托管服务单位，在医院设置</w:t>
      </w:r>
      <w:r>
        <w:rPr>
          <w:rFonts w:hint="eastAsia" w:ascii="宋体" w:hAnsi="宋体" w:eastAsia="宋体" w:cs="宋体"/>
          <w:b/>
          <w:bCs/>
          <w:color w:val="auto"/>
          <w:kern w:val="2"/>
          <w:sz w:val="21"/>
          <w:szCs w:val="21"/>
          <w:highlight w:val="none"/>
          <w:u w:val="none"/>
          <w:lang w:val="en-US" w:eastAsia="zh-CN" w:bidi="ar-SA"/>
        </w:rPr>
        <w:t>常驻专职能源管理岗位</w:t>
      </w:r>
      <w:r>
        <w:rPr>
          <w:rFonts w:hint="eastAsia" w:ascii="宋体" w:hAnsi="宋体" w:eastAsia="宋体" w:cs="宋体"/>
          <w:b w:val="0"/>
          <w:bCs w:val="0"/>
          <w:color w:val="auto"/>
          <w:kern w:val="2"/>
          <w:sz w:val="21"/>
          <w:szCs w:val="21"/>
          <w:highlight w:val="none"/>
          <w:u w:val="none"/>
          <w:lang w:val="en-US" w:eastAsia="zh-CN" w:bidi="ar-SA"/>
        </w:rPr>
        <w:t>，实行能源管理岗位责任制，并行使</w:t>
      </w:r>
      <w:r>
        <w:rPr>
          <w:rFonts w:hint="eastAsia" w:ascii="宋体" w:hAnsi="宋体" w:eastAsia="宋体" w:cs="宋体"/>
          <w:b/>
          <w:bCs/>
          <w:color w:val="auto"/>
          <w:kern w:val="2"/>
          <w:sz w:val="21"/>
          <w:szCs w:val="21"/>
          <w:highlight w:val="none"/>
          <w:u w:val="none"/>
          <w:lang w:val="en-US" w:eastAsia="zh-CN" w:bidi="ar-SA"/>
        </w:rPr>
        <w:t>“碳排放管理员”</w:t>
      </w:r>
      <w:r>
        <w:rPr>
          <w:rFonts w:hint="eastAsia" w:ascii="宋体" w:hAnsi="宋体" w:eastAsia="宋体" w:cs="宋体"/>
          <w:b w:val="0"/>
          <w:bCs w:val="0"/>
          <w:color w:val="auto"/>
          <w:kern w:val="2"/>
          <w:sz w:val="21"/>
          <w:szCs w:val="21"/>
          <w:highlight w:val="none"/>
          <w:u w:val="none"/>
          <w:lang w:val="en-US" w:eastAsia="zh-CN" w:bidi="ar-SA"/>
        </w:rPr>
        <w:t>相关职责。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3.2.4【定额及预算管理】</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在按照《公共机构能源资源计量器具配备和管理要求GBT29149-2012》及节约型公共机构示范单位创建相关要求，完善计量器具配置，及建设数字化、智能化的能源管理系统后，对院内各科室区域，实施能耗定额及用能预算管理。</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服务单位指定</w:t>
      </w:r>
      <w:r>
        <w:rPr>
          <w:rFonts w:hint="eastAsia" w:ascii="宋体" w:hAnsi="宋体" w:eastAsia="宋体" w:cs="宋体"/>
          <w:b/>
          <w:bCs/>
          <w:color w:val="auto"/>
          <w:kern w:val="2"/>
          <w:sz w:val="21"/>
          <w:szCs w:val="21"/>
          <w:highlight w:val="none"/>
          <w:lang w:val="en-US" w:eastAsia="zh-CN" w:bidi="ar-SA"/>
        </w:rPr>
        <w:t>专人驻点负责</w:t>
      </w:r>
      <w:r>
        <w:rPr>
          <w:rFonts w:hint="eastAsia" w:ascii="宋体" w:hAnsi="宋体" w:eastAsia="宋体" w:cs="宋体"/>
          <w:b w:val="0"/>
          <w:bCs w:val="0"/>
          <w:color w:val="auto"/>
          <w:kern w:val="2"/>
          <w:sz w:val="21"/>
          <w:szCs w:val="21"/>
          <w:highlight w:val="none"/>
          <w:lang w:val="en-US" w:eastAsia="zh-CN" w:bidi="ar-SA"/>
        </w:rPr>
        <w:t>相关工作，为南沙医院能源资源消费统计工作提供必要的条件和支持。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3.2.5 【能源、碳排统计】</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开展能源资源消费分户、分类、分项计量工作，建立健全用能原始数据记录和统计台账，按规范的统计口径填报数据。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w:t>
      </w:r>
      <w:r>
        <w:rPr>
          <w:rFonts w:hint="eastAsia" w:ascii="宋体" w:hAnsi="宋体" w:eastAsia="宋体" w:cs="宋体"/>
          <w:b/>
          <w:bCs/>
          <w:color w:val="auto"/>
          <w:kern w:val="2"/>
          <w:sz w:val="21"/>
          <w:szCs w:val="21"/>
          <w:highlight w:val="none"/>
          <w:lang w:val="en-US" w:eastAsia="zh-CN" w:bidi="ar-SA"/>
        </w:rPr>
        <w:t>指定专人负责</w:t>
      </w:r>
      <w:r>
        <w:rPr>
          <w:rFonts w:hint="eastAsia" w:ascii="宋体" w:hAnsi="宋体" w:eastAsia="宋体" w:cs="宋体"/>
          <w:b w:val="0"/>
          <w:bCs w:val="0"/>
          <w:color w:val="auto"/>
          <w:kern w:val="2"/>
          <w:sz w:val="21"/>
          <w:szCs w:val="21"/>
          <w:highlight w:val="none"/>
          <w:lang w:val="en-US" w:eastAsia="zh-CN" w:bidi="ar-SA"/>
        </w:rPr>
        <w:t>，制定实施方案，如实记录原始消费数据、建立统计台账、按时填报统计报表，开展统计培训，并按要求编制《统计分析报告》报送节能管理部门。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3）开展统计数据会审和质量抽查，持续提高数据质量。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4）按要求填写及报送本单位年度能源资源消费统计基层表：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a、《公共机构基本信息》（国管节能基1表）；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b、《公共机构能源资源消费状况》（国管节能基2表）；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c、《公共机构数据中心机房能源消费状况》（国管节能基3表）；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d、《公共机构采暖能源资源消费状况》（国管节能基4表）。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5）定期（不少于每月1次）对统计工作开展情况、节能目标完成情况等进行通报和公示。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根据国家及省市出台的《公共机构碳排放核算指南(暂行)》，明确南沙医院碳排放核算边界、核算范围和碳排放因子取值，并开展碳排放监测、统计及年度碳排放核算，编制年度《南沙医院温室气体排放报告》，科学核算排放量，开展碳排放结构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要求至少实现，对医院从原料端（化石燃料燃烧、购入电力、购入热力）进行二氧化碳排放核算，从排放端进行温室气体排放监测及统计（监测设备设施由托管服务单位建设/实施）。</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w:t>
      </w:r>
      <w:r>
        <w:rPr>
          <w:rFonts w:hint="eastAsia" w:ascii="宋体" w:hAnsi="宋体" w:eastAsia="宋体" w:cs="宋体"/>
          <w:kern w:val="2"/>
          <w:sz w:val="21"/>
          <w:szCs w:val="21"/>
          <w:highlight w:val="none"/>
          <w:lang w:val="en-US" w:eastAsia="zh-CN" w:bidi="ar-SA"/>
        </w:rPr>
        <w:t>碳减排量认定相关技术规范</w:t>
      </w:r>
      <w:r>
        <w:rPr>
          <w:rFonts w:hint="eastAsia" w:ascii="宋体" w:hAnsi="宋体" w:eastAsia="宋体" w:cs="宋体"/>
          <w:b w:val="0"/>
          <w:bCs w:val="0"/>
          <w:color w:val="auto"/>
          <w:kern w:val="2"/>
          <w:sz w:val="21"/>
          <w:szCs w:val="21"/>
          <w:highlight w:val="none"/>
          <w:lang w:val="en-US" w:eastAsia="zh-CN" w:bidi="ar-SA"/>
        </w:rPr>
        <w:t>，开展医院碳减排量认定工作，并编制《南沙医院年度碳减排量认定报告》。</w:t>
      </w:r>
    </w:p>
    <w:p>
      <w:pPr>
        <w:keepNext w:val="0"/>
        <w:keepLines w:val="0"/>
        <w:pageBreakBefore w:val="0"/>
        <w:widowControl w:val="0"/>
        <w:numPr>
          <w:ilvl w:val="0"/>
          <w:numId w:val="0"/>
        </w:numPr>
        <w:kinsoku/>
        <w:wordWrap/>
        <w:overflowPunct/>
        <w:topLinePunct w:val="0"/>
        <w:bidi w:val="0"/>
        <w:spacing w:line="240" w:lineRule="auto"/>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3.3 示范创建要求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1）2025年底前达到“节约型机关”创建要求并开展创建工作。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2）响应国家“30.60”双碳目标，2030年前尽早实现医院碳达峰。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u w:val="singl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【按照项目改造完成后首年度内主管部门规定的时限要求，完成以下工作不少于3项】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3）完成节水型单位（2022年度已获市级节水型单位）、水效领跑者单位创建；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4）完成节约型公共机构示范单位、能效领跑者单位创建；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5）完成建筑用能管理智能化示范点创建；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6）完成可再生能源利用示范点创建（太阳能光伏、光热，雨水回收，空调热回收，自然光利用等）；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7）完成绿色低碳试点公共机构/医院创建；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8）完成医院改造项目碳减排量认定，参与碳排放权交易试点；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9）向省、市、区成功申报公共机构先进适用技术遴选和能源资源节约示范案例；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10）绿色物业单位创建；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本项目实施了节能低碳改造的既有建筑，改造后1年内，全部达到绿色建筑标准并申报认定成功；后续年度星级绿色建筑持续增加，托管第3个年度以内，至少协助有1栋建筑申报星级（二星级及以上）绿色建筑标识认定并成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4、节能低碳、运营安全、智慧化运营改造要求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w:t>
      </w:r>
      <w:r>
        <w:rPr>
          <w:rFonts w:hint="eastAsia" w:ascii="宋体" w:hAnsi="宋体" w:eastAsia="宋体" w:cs="宋体"/>
          <w:b w:val="0"/>
          <w:bCs w:val="0"/>
          <w:kern w:val="2"/>
          <w:sz w:val="21"/>
          <w:szCs w:val="21"/>
          <w:highlight w:val="none"/>
          <w:lang w:val="en-US" w:eastAsia="zh-CN" w:bidi="ar-SA"/>
        </w:rPr>
        <w:t>节能、安全、智慧化</w:t>
      </w:r>
      <w:r>
        <w:rPr>
          <w:rFonts w:hint="eastAsia" w:ascii="宋体" w:hAnsi="宋体" w:eastAsia="宋体" w:cs="宋体"/>
          <w:b w:val="0"/>
          <w:bCs w:val="0"/>
          <w:color w:val="auto"/>
          <w:kern w:val="2"/>
          <w:sz w:val="21"/>
          <w:szCs w:val="21"/>
          <w:highlight w:val="none"/>
          <w:lang w:val="en-US" w:eastAsia="zh-CN" w:bidi="ar-SA"/>
        </w:rPr>
        <w:t>改造，费用包含了改造施工期间的人、材、物等一切费用；完善项目施工图纸、竣工图纸、设备清单、工程量清单、结算文件等技术资料的费用；改造内容所述涉及的软件硬件设施和相关附属</w:t>
      </w:r>
      <w:r>
        <w:rPr>
          <w:rFonts w:hint="eastAsia" w:ascii="宋体" w:eastAsia="宋体" w:cs="宋体"/>
          <w:sz w:val="21"/>
          <w:szCs w:val="21"/>
          <w:highlight w:val="none"/>
          <w:lang w:val="en-US" w:eastAsia="zh-CN"/>
        </w:rPr>
        <w:t>场地改造</w:t>
      </w:r>
      <w:r>
        <w:rPr>
          <w:rFonts w:hint="eastAsia" w:ascii="宋体" w:hAnsi="宋体" w:eastAsia="宋体" w:cs="宋体"/>
          <w:b w:val="0"/>
          <w:bCs w:val="0"/>
          <w:color w:val="auto"/>
          <w:kern w:val="2"/>
          <w:sz w:val="21"/>
          <w:szCs w:val="21"/>
          <w:highlight w:val="none"/>
          <w:lang w:val="en-US" w:eastAsia="zh-CN" w:bidi="ar-SA"/>
        </w:rPr>
        <w:t>内容的费用；改造内容在托管期内的人员值守和系统运行维护费用等。各部分改造内容投入估算，见能源审计报告，具体费用以改造项目出具结算审核后，参照相关要求确认。主要分为以下几个部分：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【节能低碳改造要求】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  推动实施全院空调改造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 推动实施全院空调改造，主要内容及要求如下：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4.1.1 门诊楼、医技楼、住院楼①空调整体更换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对门诊楼、医技楼、住院楼①，全楼栋内空调（净化空调除外）全部进行更换，主要为：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1）集中区域采取多联机整体更换；其中托管期内超8年的非节能分体空调，逐步更换为一级能耗产品，或视实际情况纳入多联机区域整体更换建设；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2）多联机更换，分为门诊楼和医技楼、住院楼①两种情况及要求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a、门诊楼多联机更换要求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主要为原系统（内机、外机、管路系统）拆除后，进行新系统建设，包括内机、外机、冷媒管路、控制主板、电子膨胀阀、感温包，冷凝水管路优化；包括天花及相关影响施工的设施拆装及修复。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b、医技楼、住院楼①多联机更换要求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主要为原系统（内机、外机、控制主板）拆除后，进行新系统建设及冷凝水管路优化；其余冷媒管路系统、电子膨胀阀、感温包等元器件，由服务单位自主评估系统状态、实施条件、后续维保成本等情况后，自主选择全部更换、部分更换或维修等措施；包括天花及相关影响施工的设施拆装及修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需保障医技楼、住院楼①内，同一区域内影响使用的空调故障次数低于1次/季度，否则医院将对服务单位进行考核。另托管期内，医技楼、住院楼①空调故障引起的维修（包括中修、大修）费用，在运维费用额度中包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3）新建设空调系统，空调制冷总容量不得低于原系统总容量，新系统空调分区及单体压缩机容量，可根据医院实际使用区域划分及用能管理策略提升情况，进行优化调整。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4）以上改造建设，对于本项目开始改造时，原空调系统中部分</w:t>
      </w:r>
      <w:r>
        <w:rPr>
          <w:rFonts w:hint="eastAsia" w:ascii="宋体" w:hAnsi="宋体" w:eastAsia="宋体" w:cs="宋体"/>
          <w:b/>
          <w:bCs/>
          <w:color w:val="auto"/>
          <w:kern w:val="2"/>
          <w:sz w:val="21"/>
          <w:szCs w:val="21"/>
          <w:highlight w:val="none"/>
          <w:lang w:val="en-US" w:eastAsia="zh-CN" w:bidi="ar-SA"/>
        </w:rPr>
        <w:t>投入使用年限≤3年的</w:t>
      </w:r>
      <w:r>
        <w:rPr>
          <w:rFonts w:hint="eastAsia" w:ascii="宋体" w:hAnsi="宋体" w:eastAsia="宋体" w:cs="宋体"/>
          <w:b w:val="0"/>
          <w:bCs w:val="0"/>
          <w:color w:val="auto"/>
          <w:kern w:val="2"/>
          <w:sz w:val="21"/>
          <w:szCs w:val="21"/>
          <w:highlight w:val="none"/>
          <w:lang w:val="en-US" w:eastAsia="zh-CN" w:bidi="ar-SA"/>
        </w:rPr>
        <w:t>，内机和压缩机可视设备运行状态利旧使用，但内机和压缩机必须并入新建空调系统统一控制管理。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5）门诊楼集中空调整体更换，必须在</w:t>
      </w:r>
      <w:r>
        <w:rPr>
          <w:rFonts w:hint="eastAsia" w:ascii="宋体" w:hAnsi="宋体" w:eastAsia="宋体" w:cs="宋体"/>
          <w:color w:val="auto"/>
          <w:kern w:val="2"/>
          <w:sz w:val="21"/>
          <w:szCs w:val="21"/>
          <w:highlight w:val="none"/>
          <w:u w:val="none"/>
          <w:lang w:val="en-US" w:eastAsia="zh-CN" w:bidi="ar-SA"/>
        </w:rPr>
        <w:t>改造项目建设期内完成；医技楼和住院楼①的空调整体更换，可视实际情况分区域分批更换，但不得晚于能源托管期第3年度完成整体更换。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4.1.2 </w:t>
      </w:r>
      <w:r>
        <w:rPr>
          <w:rFonts w:hint="eastAsia" w:ascii="宋体" w:hAnsi="宋体" w:eastAsia="宋体" w:cs="宋体"/>
          <w:color w:val="auto"/>
          <w:kern w:val="2"/>
          <w:sz w:val="21"/>
          <w:szCs w:val="21"/>
          <w:highlight w:val="none"/>
          <w:u w:val="none"/>
          <w:lang w:val="en-US" w:eastAsia="zh-CN" w:bidi="ar-SA"/>
        </w:rPr>
        <w:t>其余楼栋和区域空调大、中修保障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托管期内，及时更换</w:t>
      </w:r>
      <w:r>
        <w:rPr>
          <w:rFonts w:hint="eastAsia" w:ascii="宋体" w:hAnsi="宋体" w:eastAsia="宋体" w:cs="宋体"/>
          <w:b w:val="0"/>
          <w:bCs w:val="0"/>
          <w:color w:val="auto"/>
          <w:kern w:val="2"/>
          <w:sz w:val="21"/>
          <w:szCs w:val="21"/>
          <w:highlight w:val="none"/>
          <w:lang w:val="en-US" w:eastAsia="zh-CN" w:bidi="ar-SA"/>
        </w:rPr>
        <w:t>门诊楼、医技楼、住院楼①</w:t>
      </w:r>
      <w:r>
        <w:rPr>
          <w:rFonts w:hint="eastAsia" w:ascii="宋体" w:hAnsi="宋体" w:eastAsia="宋体" w:cs="宋体"/>
          <w:color w:val="auto"/>
          <w:kern w:val="2"/>
          <w:sz w:val="21"/>
          <w:szCs w:val="21"/>
          <w:highlight w:val="none"/>
          <w:u w:val="none"/>
          <w:lang w:val="en-US" w:eastAsia="zh-CN" w:bidi="ar-SA"/>
        </w:rPr>
        <w:t>以外楼栋和区域的损坏或频繁故障的内机、外机、</w:t>
      </w:r>
      <w:r>
        <w:rPr>
          <w:rFonts w:hint="eastAsia" w:ascii="宋体" w:hAnsi="宋体" w:eastAsia="宋体" w:cs="宋体"/>
          <w:b w:val="0"/>
          <w:bCs w:val="0"/>
          <w:color w:val="auto"/>
          <w:kern w:val="2"/>
          <w:sz w:val="21"/>
          <w:szCs w:val="21"/>
          <w:highlight w:val="none"/>
          <w:lang w:val="en-US" w:eastAsia="zh-CN" w:bidi="ar-SA"/>
        </w:rPr>
        <w:t>控制主板、</w:t>
      </w:r>
      <w:r>
        <w:rPr>
          <w:rFonts w:hint="eastAsia" w:ascii="宋体" w:hAnsi="宋体" w:eastAsia="宋体" w:cs="宋体"/>
          <w:color w:val="auto"/>
          <w:kern w:val="2"/>
          <w:sz w:val="21"/>
          <w:szCs w:val="21"/>
          <w:highlight w:val="none"/>
          <w:u w:val="none"/>
          <w:lang w:val="en-US" w:eastAsia="zh-CN" w:bidi="ar-SA"/>
        </w:rPr>
        <w:t>管路系统等主要元器件和材料。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4.1.3 </w:t>
      </w:r>
      <w:r>
        <w:rPr>
          <w:rFonts w:hint="default" w:ascii="宋体" w:hAnsi="宋体" w:eastAsia="宋体" w:cs="宋体"/>
          <w:color w:val="auto"/>
          <w:kern w:val="2"/>
          <w:sz w:val="21"/>
          <w:szCs w:val="21"/>
          <w:highlight w:val="none"/>
          <w:u w:val="none"/>
          <w:lang w:val="en-US" w:eastAsia="zh-CN" w:bidi="ar-SA"/>
        </w:rPr>
        <w:t>全院空调增加冷凝器喷雾冷却技术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对全院所有楼栋集中分布的多联机空调系统，</w:t>
      </w:r>
      <w:r>
        <w:rPr>
          <w:rFonts w:hint="default" w:ascii="Calibri" w:hAnsi="Calibri" w:eastAsia="宋体" w:cs="Times New Roman"/>
          <w:kern w:val="2"/>
          <w:sz w:val="21"/>
          <w:szCs w:val="21"/>
          <w:highlight w:val="none"/>
          <w:lang w:val="en-US" w:eastAsia="zh-CN" w:bidi="ar-SA"/>
        </w:rPr>
        <w:t>将现有风冷系统改为蒸发冷却系统</w:t>
      </w:r>
      <w:r>
        <w:rPr>
          <w:rFonts w:hint="eastAsia" w:ascii="Calibri" w:hAnsi="Calibri" w:eastAsia="宋体" w:cs="Times New Roman"/>
          <w:kern w:val="2"/>
          <w:sz w:val="21"/>
          <w:szCs w:val="21"/>
          <w:highlight w:val="none"/>
          <w:lang w:val="en-US" w:eastAsia="zh-CN" w:bidi="ar-SA"/>
        </w:rPr>
        <w:t>，即</w:t>
      </w:r>
      <w:r>
        <w:rPr>
          <w:rFonts w:hint="eastAsia" w:ascii="宋体" w:hAnsi="宋体" w:eastAsia="宋体" w:cs="宋体"/>
          <w:color w:val="auto"/>
          <w:kern w:val="2"/>
          <w:sz w:val="21"/>
          <w:szCs w:val="21"/>
          <w:highlight w:val="none"/>
          <w:u w:val="none"/>
          <w:lang w:val="en-US" w:eastAsia="zh-CN" w:bidi="ar-SA"/>
        </w:rPr>
        <w:t>增加冷凝器喷雾冷却装置</w:t>
      </w:r>
      <w:r>
        <w:rPr>
          <w:rFonts w:hint="eastAsia" w:ascii="Calibri" w:hAnsi="Calibri" w:eastAsia="宋体" w:cs="Times New Roman"/>
          <w:kern w:val="2"/>
          <w:sz w:val="21"/>
          <w:szCs w:val="21"/>
          <w:highlight w:val="none"/>
          <w:lang w:val="en-US" w:eastAsia="zh-CN" w:bidi="ar-SA"/>
        </w:rPr>
        <w:t>。</w:t>
      </w:r>
      <w:r>
        <w:rPr>
          <w:rFonts w:hint="default" w:ascii="Calibri" w:hAnsi="Calibri" w:eastAsia="宋体" w:cs="Times New Roman"/>
          <w:kern w:val="2"/>
          <w:sz w:val="21"/>
          <w:szCs w:val="21"/>
          <w:highlight w:val="none"/>
          <w:lang w:val="en-US" w:eastAsia="zh-CN" w:bidi="ar-SA"/>
        </w:rPr>
        <w:t>需对冷却水进行预处理，对空调设备及元器件进行防腐蚀处理或定期更换腐蚀设备、外壳及元件，并对喷雾后排水尽可能收集和实现集中排放。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4.1.4  托管期内，对全院空调管道保温破损、制冷剂泄露的问题进行处理。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4.1.5  托管期内，</w:t>
      </w:r>
      <w:r>
        <w:rPr>
          <w:rFonts w:hint="default" w:ascii="Calibri" w:hAnsi="Calibri" w:eastAsia="宋体" w:cs="Times New Roman"/>
          <w:kern w:val="2"/>
          <w:sz w:val="21"/>
          <w:szCs w:val="21"/>
          <w:highlight w:val="none"/>
          <w:lang w:val="en-US" w:eastAsia="zh-CN" w:bidi="ar-SA"/>
        </w:rPr>
        <w:t>对全院</w:t>
      </w:r>
      <w:r>
        <w:rPr>
          <w:rFonts w:hint="eastAsia" w:ascii="Calibri" w:hAnsi="Calibri" w:eastAsia="宋体" w:cs="Times New Roman"/>
          <w:kern w:val="2"/>
          <w:sz w:val="21"/>
          <w:szCs w:val="21"/>
          <w:highlight w:val="none"/>
          <w:lang w:val="en-US" w:eastAsia="zh-CN" w:bidi="ar-SA"/>
        </w:rPr>
        <w:t>可制冷工作，但</w:t>
      </w:r>
      <w:r>
        <w:rPr>
          <w:rFonts w:hint="default" w:ascii="Calibri" w:hAnsi="Calibri" w:eastAsia="宋体" w:cs="Times New Roman"/>
          <w:kern w:val="2"/>
          <w:sz w:val="21"/>
          <w:szCs w:val="21"/>
          <w:highlight w:val="none"/>
          <w:lang w:val="en-US" w:eastAsia="zh-CN" w:bidi="ar-SA"/>
        </w:rPr>
        <w:t>能效COP</w:t>
      </w:r>
      <w:r>
        <w:rPr>
          <w:rFonts w:hint="eastAsia" w:ascii="Calibri" w:hAnsi="Calibri" w:eastAsia="宋体" w:cs="Times New Roman"/>
          <w:kern w:val="2"/>
          <w:sz w:val="21"/>
          <w:szCs w:val="21"/>
          <w:highlight w:val="none"/>
          <w:lang w:val="en-US" w:eastAsia="zh-CN" w:bidi="ar-SA"/>
        </w:rPr>
        <w:t>≤</w:t>
      </w:r>
      <w:r>
        <w:rPr>
          <w:rFonts w:hint="default" w:ascii="Calibri" w:hAnsi="Calibri" w:eastAsia="宋体" w:cs="Times New Roman"/>
          <w:kern w:val="2"/>
          <w:sz w:val="21"/>
          <w:szCs w:val="21"/>
          <w:highlight w:val="none"/>
          <w:lang w:val="en-US" w:eastAsia="zh-CN" w:bidi="ar-SA"/>
        </w:rPr>
        <w:t>3的空调</w:t>
      </w:r>
      <w:r>
        <w:rPr>
          <w:rFonts w:hint="eastAsia" w:ascii="Calibri" w:hAnsi="Calibri" w:eastAsia="宋体" w:cs="Times New Roman"/>
          <w:kern w:val="2"/>
          <w:sz w:val="21"/>
          <w:szCs w:val="21"/>
          <w:highlight w:val="none"/>
          <w:lang w:val="en-US" w:eastAsia="zh-CN" w:bidi="ar-SA"/>
        </w:rPr>
        <w:t>，</w:t>
      </w:r>
      <w:r>
        <w:rPr>
          <w:rFonts w:hint="default" w:ascii="Calibri" w:hAnsi="Calibri" w:eastAsia="宋体" w:cs="Times New Roman"/>
          <w:kern w:val="2"/>
          <w:sz w:val="21"/>
          <w:szCs w:val="21"/>
          <w:highlight w:val="none"/>
          <w:lang w:val="en-US" w:eastAsia="zh-CN" w:bidi="ar-SA"/>
        </w:rPr>
        <w:t>进行维修或更换（以能效3为标准）。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4.1.6  托管期内，</w:t>
      </w:r>
      <w:r>
        <w:rPr>
          <w:rFonts w:hint="default" w:ascii="Calibri" w:hAnsi="Calibri" w:eastAsia="宋体" w:cs="Times New Roman"/>
          <w:kern w:val="2"/>
          <w:sz w:val="21"/>
          <w:szCs w:val="21"/>
          <w:highlight w:val="none"/>
          <w:lang w:val="en-US" w:eastAsia="zh-CN" w:bidi="ar-SA"/>
        </w:rPr>
        <w:t>将全院使用</w:t>
      </w:r>
      <w:r>
        <w:rPr>
          <w:rFonts w:hint="eastAsia" w:ascii="Calibri" w:hAnsi="Calibri" w:eastAsia="宋体" w:cs="Times New Roman"/>
          <w:kern w:val="2"/>
          <w:sz w:val="21"/>
          <w:szCs w:val="21"/>
          <w:highlight w:val="none"/>
          <w:lang w:val="en-US" w:eastAsia="zh-CN" w:bidi="ar-SA"/>
        </w:rPr>
        <w:t>年限</w:t>
      </w:r>
      <w:r>
        <w:rPr>
          <w:rFonts w:hint="default" w:ascii="Calibri" w:hAnsi="Calibri" w:eastAsia="宋体" w:cs="Times New Roman"/>
          <w:kern w:val="2"/>
          <w:sz w:val="21"/>
          <w:szCs w:val="21"/>
          <w:highlight w:val="none"/>
          <w:lang w:val="en-US" w:eastAsia="zh-CN" w:bidi="ar-SA"/>
        </w:rPr>
        <w:t>超8年的非</w:t>
      </w:r>
      <w:r>
        <w:rPr>
          <w:rFonts w:hint="eastAsia" w:ascii="Calibri" w:hAnsi="Calibri" w:eastAsia="宋体" w:cs="Times New Roman"/>
          <w:kern w:val="2"/>
          <w:sz w:val="21"/>
          <w:szCs w:val="21"/>
          <w:highlight w:val="none"/>
          <w:lang w:val="en-US" w:eastAsia="zh-CN" w:bidi="ar-SA"/>
        </w:rPr>
        <w:t>一级能效</w:t>
      </w:r>
      <w:r>
        <w:rPr>
          <w:rFonts w:hint="default" w:ascii="Calibri" w:hAnsi="Calibri" w:eastAsia="宋体" w:cs="Times New Roman"/>
          <w:kern w:val="2"/>
          <w:sz w:val="21"/>
          <w:szCs w:val="21"/>
          <w:highlight w:val="none"/>
          <w:lang w:val="en-US" w:eastAsia="zh-CN" w:bidi="ar-SA"/>
        </w:rPr>
        <w:t>分体空调，逐步更换为一级</w:t>
      </w:r>
      <w:r>
        <w:rPr>
          <w:rFonts w:hint="eastAsia" w:ascii="Calibri" w:hAnsi="Calibri" w:eastAsia="宋体" w:cs="Times New Roman"/>
          <w:kern w:val="2"/>
          <w:sz w:val="21"/>
          <w:szCs w:val="21"/>
          <w:highlight w:val="none"/>
          <w:lang w:val="en-US" w:eastAsia="zh-CN" w:bidi="ar-SA"/>
        </w:rPr>
        <w:t>能效</w:t>
      </w:r>
      <w:r>
        <w:rPr>
          <w:rFonts w:hint="default" w:ascii="Calibri" w:hAnsi="Calibri" w:eastAsia="宋体" w:cs="Times New Roman"/>
          <w:kern w:val="2"/>
          <w:sz w:val="21"/>
          <w:szCs w:val="21"/>
          <w:highlight w:val="none"/>
          <w:lang w:val="en-US" w:eastAsia="zh-CN" w:bidi="ar-SA"/>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4.1.7 建设全院空调群控系统，并接入全院智慧能源服务中心中相关平台，实现合理智能化集中管控需求，包括但不限于：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1）</w:t>
      </w:r>
      <w:r>
        <w:rPr>
          <w:rFonts w:hint="default" w:ascii="Calibri" w:hAnsi="Calibri" w:eastAsia="宋体" w:cs="Times New Roman"/>
          <w:kern w:val="2"/>
          <w:sz w:val="21"/>
          <w:szCs w:val="21"/>
          <w:highlight w:val="none"/>
          <w:lang w:val="en-US" w:eastAsia="zh-CN" w:bidi="ar-SA"/>
        </w:rPr>
        <w:t>外科楼空调，系统主机、水泵等设备进行远程群控；循环泵加装变频器进行变频控制，接入系统，实现水泵自动变流量调节功能。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2）</w:t>
      </w:r>
      <w:r>
        <w:rPr>
          <w:rFonts w:hint="default" w:ascii="Calibri" w:hAnsi="Calibri" w:eastAsia="宋体" w:cs="Times New Roman"/>
          <w:kern w:val="2"/>
          <w:sz w:val="21"/>
          <w:szCs w:val="21"/>
          <w:highlight w:val="none"/>
          <w:lang w:val="en-US" w:eastAsia="zh-CN" w:bidi="ar-SA"/>
        </w:rPr>
        <w:t>对全院空调投入智能管控，</w:t>
      </w:r>
      <w:r>
        <w:rPr>
          <w:rFonts w:hint="eastAsia" w:ascii="Calibri" w:hAnsi="Calibri" w:eastAsia="宋体" w:cs="Times New Roman"/>
          <w:kern w:val="2"/>
          <w:sz w:val="21"/>
          <w:szCs w:val="21"/>
          <w:highlight w:val="none"/>
          <w:lang w:val="en-US" w:eastAsia="zh-CN" w:bidi="ar-SA"/>
        </w:rPr>
        <w:t>并对所有末端设备设置系统控制权限</w:t>
      </w:r>
      <w:r>
        <w:rPr>
          <w:rFonts w:hint="default" w:ascii="Calibri" w:hAnsi="Calibri" w:eastAsia="宋体" w:cs="Times New Roman"/>
          <w:kern w:val="2"/>
          <w:sz w:val="21"/>
          <w:szCs w:val="21"/>
          <w:highlight w:val="none"/>
          <w:lang w:val="en-US" w:eastAsia="zh-CN" w:bidi="ar-SA"/>
        </w:rPr>
        <w:t>，以规范限制末端制冷温度设置过低/制热温度设置过高（有特殊需求的诊疗区、试验区除外）、班后不关空调等用能习惯，全方位提升使用端节能水平及能源利用效率。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4.1.8 空调改造技术及商务要求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1）</w:t>
      </w:r>
      <w:r>
        <w:rPr>
          <w:rFonts w:hint="eastAsia" w:ascii="宋体" w:hAnsi="宋体" w:eastAsia="宋体" w:cs="宋体"/>
          <w:kern w:val="2"/>
          <w:sz w:val="21"/>
          <w:szCs w:val="21"/>
          <w:highlight w:val="none"/>
          <w:lang w:val="en-US" w:eastAsia="zh-CN" w:bidi="ar-SA"/>
        </w:rPr>
        <w:t>更换多联机、分体空调，主要设备及元器件（包含</w:t>
      </w:r>
      <w:r>
        <w:rPr>
          <w:rFonts w:hint="eastAsia" w:ascii="宋体" w:hAnsi="宋体" w:eastAsia="宋体" w:cs="宋体"/>
          <w:b w:val="0"/>
          <w:bCs w:val="0"/>
          <w:color w:val="auto"/>
          <w:kern w:val="2"/>
          <w:sz w:val="21"/>
          <w:szCs w:val="21"/>
          <w:highlight w:val="none"/>
          <w:lang w:val="en-US" w:eastAsia="zh-CN" w:bidi="ar-SA"/>
        </w:rPr>
        <w:t>内机、外机、管路系统、控制主板、电子膨胀阀、感温包</w:t>
      </w:r>
      <w:r>
        <w:rPr>
          <w:rFonts w:hint="eastAsia" w:ascii="宋体" w:hAnsi="宋体" w:eastAsia="宋体" w:cs="宋体"/>
          <w:kern w:val="2"/>
          <w:sz w:val="21"/>
          <w:szCs w:val="21"/>
          <w:highlight w:val="none"/>
          <w:lang w:val="en-US" w:eastAsia="zh-CN" w:bidi="ar-SA"/>
        </w:rPr>
        <w:t>等），选用产品应保障品质、质量和兼容性，应选用技术成熟的市场主流品牌（市场份额10%以上）及其专属配套配件。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2）更换空调能效要求：多联机应满足GB21454-2021中一级能效标准要求，分体空调应满足GB21455-2021中一级能效标准要求。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3）更换空调其余相关建设标准，需符合相关工程法规要求。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4）原系统资产处置原则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于不符合要求无法利旧的原空调系统所有元器件及管路系统，由服务单位负责拆除。拆除后，未损坏的内机和外机，由医院集中放置和进行处置；拆除后，其余元器件和管路系统，以及已故障无法使用的内机、外机，</w:t>
      </w:r>
      <w:r>
        <w:rPr>
          <w:rFonts w:hint="eastAsia" w:ascii="宋体" w:hAnsi="宋体" w:eastAsia="宋体" w:cs="宋体"/>
          <w:b w:val="0"/>
          <w:bCs w:val="0"/>
          <w:color w:val="auto"/>
          <w:kern w:val="2"/>
          <w:sz w:val="21"/>
          <w:szCs w:val="21"/>
          <w:highlight w:val="none"/>
          <w:u w:val="none"/>
          <w:lang w:val="en-US" w:eastAsia="zh-CN" w:bidi="ar-SA"/>
        </w:rPr>
        <w:t>由服务单位进行资产处置，处置费用归服务单位所有，服务单位应做好相应评估，在项目建设投标下浮率响应时综合考量。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5）服务单位应具备空调节能控制系统相关软件著作权。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w:t>
      </w:r>
      <w:r>
        <w:rPr>
          <w:rFonts w:hint="eastAsia" w:ascii="宋体" w:hAnsi="宋体" w:eastAsia="宋体" w:cs="宋体"/>
          <w:color w:val="auto"/>
          <w:kern w:val="2"/>
          <w:sz w:val="21"/>
          <w:szCs w:val="21"/>
          <w:highlight w:val="none"/>
          <w:u w:val="none"/>
          <w:lang w:val="en-US" w:eastAsia="zh-CN" w:bidi="ar-SA"/>
        </w:rPr>
        <w:t>▲</w:t>
      </w:r>
      <w:r>
        <w:rPr>
          <w:rFonts w:hint="eastAsia" w:ascii="宋体" w:hAnsi="宋体" w:eastAsia="宋体" w:cs="宋体"/>
          <w:kern w:val="2"/>
          <w:sz w:val="21"/>
          <w:szCs w:val="21"/>
          <w:highlight w:val="none"/>
          <w:lang w:val="en-US" w:eastAsia="zh-CN" w:bidi="ar-SA"/>
        </w:rPr>
        <w:t>服务单位应具备多联机空调冷凝器喷雾冷却节能技</w:t>
      </w:r>
      <w:r>
        <w:rPr>
          <w:rFonts w:hint="eastAsia" w:ascii="宋体" w:hAnsi="宋体" w:eastAsia="宋体" w:cs="宋体"/>
          <w:b w:val="0"/>
          <w:bCs w:val="0"/>
          <w:color w:val="000000"/>
          <w:kern w:val="2"/>
          <w:sz w:val="21"/>
          <w:szCs w:val="21"/>
          <w:highlight w:val="none"/>
          <w:lang w:val="en-US" w:eastAsia="zh-CN" w:bidi="ar-SA"/>
        </w:rPr>
        <w:t>术实施能力及经验，并提供包括但不限于合同、专利、软著、项目试点等至少1项相关材料作为支撑文件</w:t>
      </w:r>
      <w:r>
        <w:rPr>
          <w:rFonts w:hint="eastAsia" w:ascii="宋体" w:hAnsi="宋体" w:eastAsia="宋体" w:cs="宋体"/>
          <w:color w:val="FF000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4.2 </w:t>
      </w:r>
      <w:r>
        <w:rPr>
          <w:rFonts w:hint="eastAsia" w:ascii="宋体" w:hAnsi="宋体" w:eastAsia="宋体" w:cs="宋体"/>
          <w:b/>
          <w:bCs/>
          <w:i w:val="0"/>
          <w:iCs w:val="0"/>
          <w:color w:val="auto"/>
          <w:kern w:val="2"/>
          <w:sz w:val="21"/>
          <w:szCs w:val="21"/>
          <w:highlight w:val="none"/>
          <w:u w:val="none"/>
          <w:lang w:val="en-US" w:eastAsia="zh-CN" w:bidi="ar-SA"/>
        </w:rPr>
        <w:t>实施照明节能改造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4.2.1  非节能灯改造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全院范围内照明，少量（主要为手术室、ICU区域，约1500盏）荧光灯等非节能灯，全部更新为LED节能灯具（目前已绝大多数均为LED）。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4.2.2  地下车库照明改造（雷达感应、线路划分、自动控制等）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地下车库照明系统，全部改为雷达感应照明系统（现一二期区域为常规LED，二期后续区域为雷达感应LED）。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另地下车库夜间照明使用率较低，为满足使用需求的前提下最大化节能改造，地下车库照明线路另行改造分为应急照明（保障安防监控需求照明）和正常照明两个类型回路，实现夜间车库无人时仅开启应急照；夜间车库有人时，通过红外感应或其余技术手段，实现有人区域正常照明自动点亮后延时熄灭的自动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4.2.3公共区域高效LED照明改造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全院公共区域，在照度、功率密度满足规范要求的前提下，考虑将普通LED照明更换为高效LED照明，降低功率密度；如现有LED均非高效LED，更换数量不少于5000盏。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4.2.4 公共区域智能照明控制示范区域建设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全院公共区域，建设智能照明控制系统，以实现合理自动分组及控制、周边高照度/长时间无人时自动减弱照度、充分利用/创造自然采光等智能控制。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此条至少建设实现一个示范区域智能控制。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其余公共走廊，至少实现应急照明（保障安防监控需求照明）和正常照明的回路分组设置，和夜间正常照明的自动控制。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4.2.5 照明黑点完善建设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对全院范围内照明黑点进行梳理统计和补充完善建设，包括但不限于天面、地下室、楼栋周围、架空层、公共走廊等各类型区域。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4.2.6  </w:t>
      </w:r>
      <w:r>
        <w:rPr>
          <w:rFonts w:hint="eastAsia" w:ascii="宋体" w:hAnsi="宋体" w:eastAsia="宋体" w:cs="宋体"/>
          <w:color w:val="auto"/>
          <w:kern w:val="2"/>
          <w:sz w:val="21"/>
          <w:szCs w:val="21"/>
          <w:highlight w:val="none"/>
          <w:u w:val="none"/>
          <w:lang w:val="en-US" w:eastAsia="zh-CN" w:bidi="ar-SA"/>
        </w:rPr>
        <w:t>照明节能改造技术及商务要求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1）高光LED节能灯，要求光效不低于150 lm/W。</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2）雷达感应灯管要求内置恒流电源，雷达感应距离6~8m，当感应到移动物体时，持续最大亮度30 s后降低亮度至最大亮度的 25%。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3）改造更换照明灯具，</w:t>
      </w:r>
      <w:r>
        <w:rPr>
          <w:rFonts w:hint="eastAsia" w:ascii="宋体" w:hAnsi="宋体" w:eastAsia="宋体" w:cs="宋体"/>
          <w:kern w:val="2"/>
          <w:sz w:val="21"/>
          <w:szCs w:val="21"/>
          <w:highlight w:val="none"/>
          <w:lang w:val="en-US" w:eastAsia="zh-CN" w:bidi="ar-SA"/>
        </w:rPr>
        <w:t>选用产品应保障品质、质量和兼容性，应选用技术成熟的市场主流品牌（市场份额10%以上）及其专属配套配件。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4）改造照明其余相关建设标准，需符合相关工程法规要求。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5）原照明灯具处置原则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改造更换拆除的照明灯具，非LED灯具及配件由服务单位自行处置，</w:t>
      </w:r>
      <w:r>
        <w:rPr>
          <w:rFonts w:hint="eastAsia" w:ascii="宋体" w:hAnsi="宋体" w:eastAsia="宋体" w:cs="宋体"/>
          <w:b w:val="0"/>
          <w:bCs w:val="0"/>
          <w:color w:val="auto"/>
          <w:kern w:val="2"/>
          <w:sz w:val="21"/>
          <w:szCs w:val="21"/>
          <w:highlight w:val="none"/>
          <w:u w:val="none"/>
          <w:lang w:val="en-US" w:eastAsia="zh-CN" w:bidi="ar-SA"/>
        </w:rPr>
        <w:t>处置费用归服务单位所有；拆除的LED灯具及配件，医院统一存放并作为托管期内照明维修备品备件，服务单位做好登记和具体实施。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2"/>
          <w:sz w:val="21"/>
          <w:szCs w:val="21"/>
          <w:highlight w:val="none"/>
          <w:u w:val="none"/>
          <w:lang w:val="en-US" w:eastAsia="zh-CN" w:bidi="ar-SA"/>
        </w:rPr>
        <w:t>4.3 建设电梯能量回收系统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4.3.1大力推进院区电梯（不少于9台）能量回收系统建设，提高能源使用效率，包含特种设备改造及重新报检验在内的全部事项和费用。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4.3.2 技术要求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1）电梯能量回馈装置，需采用先进且成熟的技术手段，兼容多种品牌电梯变频器，并内置熔断器，短路保护到位确保电梯运行安全。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2）建设电梯能量回馈装置后，须保证电梯强制检验合格通过。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color w:val="000000"/>
          <w:kern w:val="2"/>
          <w:sz w:val="21"/>
          <w:szCs w:val="21"/>
          <w:highlight w:val="none"/>
          <w:u w:val="none"/>
          <w:lang w:val="en-US" w:eastAsia="zh-CN" w:bidi="ar-SA"/>
        </w:rPr>
        <w:t>▲服务单位应具备电梯能量回馈装置节能技术相关</w:t>
      </w:r>
      <w:r>
        <w:rPr>
          <w:rFonts w:hint="eastAsia" w:ascii="宋体" w:hAnsi="宋体" w:eastAsia="宋体" w:cs="宋体"/>
          <w:kern w:val="2"/>
          <w:sz w:val="21"/>
          <w:szCs w:val="21"/>
          <w:highlight w:val="none"/>
          <w:u w:val="none"/>
          <w:lang w:val="en-US" w:eastAsia="zh-CN" w:bidi="ar-SA"/>
        </w:rPr>
        <w:t>软</w:t>
      </w:r>
      <w:r>
        <w:rPr>
          <w:rFonts w:hint="eastAsia" w:ascii="宋体" w:hAnsi="宋体" w:eastAsia="宋体" w:cs="宋体"/>
          <w:kern w:val="2"/>
          <w:sz w:val="21"/>
          <w:szCs w:val="21"/>
          <w:highlight w:val="none"/>
          <w:lang w:val="en-US" w:eastAsia="zh-CN" w:bidi="ar-SA"/>
        </w:rPr>
        <w:t>件著作权（提供证明文件，复印件加盖公章）。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2"/>
          <w:sz w:val="21"/>
          <w:szCs w:val="21"/>
          <w:highlight w:val="none"/>
          <w:u w:val="none"/>
          <w:lang w:val="en-US" w:eastAsia="zh-CN" w:bidi="ar-SA"/>
        </w:rPr>
        <w:t>4.4节水新工艺及节水管理、水资源循环利用完善及建设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4.4.1 节水新工艺实施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1）应用节水新技术、新工艺和新产品，主要为不少于100个公共区域水龙头的节水控制（角阀控制、出水口起泡器加装、更换更换感应水龙头等措施叠加实施相结合）。此项为必须完全响应实施项。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2）运用各类节水新工艺、新技术手段，在满足正常用水需求的情况下，尽可能实现病房马桶、花洒和水龙头的节水控制。此项为根据现场实际尽力推广实施项，不做数量和程度强制要求。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3）在满足医院各类型区域正常用水的情况下，尽力推广其余各类型节水新工艺和改造，此项为鼓励性实施项，不做数量和程度强制要求。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4.4.2  水资源循环利用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开展雨水、再生水利用，利用、修复、重建住院楼①东南角雨水收集池及住院楼②近山边雨水收集池和相关设施，进行院区内绿化灌溉，并修复及补充建设智能灌溉系统；此项至少实现现有两个雨水收集池，向周边区域绿化进行自动灌溉的两个示范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4.4.3 管网探漏及监控系统建设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利用计量装置、监测装置、计算办法等多种手段相结合，建设管网探漏及监控系统。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4.4.4 </w:t>
      </w:r>
      <w:r>
        <w:rPr>
          <w:rFonts w:hint="eastAsia" w:ascii="宋体" w:hAnsi="宋体" w:eastAsia="宋体" w:cs="宋体"/>
          <w:color w:val="auto"/>
          <w:kern w:val="2"/>
          <w:sz w:val="21"/>
          <w:szCs w:val="21"/>
          <w:highlight w:val="none"/>
          <w:u w:val="none"/>
          <w:lang w:val="en-US" w:eastAsia="zh-CN" w:bidi="ar-SA"/>
        </w:rPr>
        <w:t>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w:t>
      </w:r>
      <w:r>
        <w:rPr>
          <w:rFonts w:hint="eastAsia" w:ascii="宋体" w:hAnsi="宋体" w:eastAsia="宋体" w:cs="宋体"/>
          <w:kern w:val="2"/>
          <w:sz w:val="21"/>
          <w:szCs w:val="21"/>
          <w:highlight w:val="none"/>
          <w:lang w:val="en-US" w:eastAsia="zh-CN" w:bidi="ar-SA"/>
        </w:rPr>
        <w:t>更换给排水设施、水龙头等设施及配件，选用产品应保障品质、质量和兼容性，应选用技术成熟的市场主流品牌（市场份额10%以上）及其专属配套配件。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2）</w:t>
      </w:r>
      <w:r>
        <w:rPr>
          <w:rFonts w:hint="eastAsia" w:ascii="宋体" w:hAnsi="宋体" w:eastAsia="宋体" w:cs="宋体"/>
          <w:kern w:val="2"/>
          <w:sz w:val="21"/>
          <w:szCs w:val="21"/>
          <w:highlight w:val="none"/>
          <w:lang w:val="en-US" w:eastAsia="zh-CN" w:bidi="ar-SA"/>
        </w:rPr>
        <w:t>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3）原给排水设施处置原则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改造更换拆除的给排水设施，已损坏的服务单位自行处置，</w:t>
      </w:r>
      <w:r>
        <w:rPr>
          <w:rFonts w:hint="eastAsia" w:ascii="宋体" w:hAnsi="宋体" w:eastAsia="宋体" w:cs="宋体"/>
          <w:b w:val="0"/>
          <w:bCs w:val="0"/>
          <w:color w:val="auto"/>
          <w:kern w:val="2"/>
          <w:sz w:val="21"/>
          <w:szCs w:val="21"/>
          <w:highlight w:val="none"/>
          <w:u w:val="none"/>
          <w:lang w:val="en-US" w:eastAsia="zh-CN" w:bidi="ar-SA"/>
        </w:rPr>
        <w:t>处置费用归服务单位所有；未损坏的，医院统一存放并作为托管期内维修备品备件，服务单位做好登记和具体实施。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4）</w:t>
      </w:r>
      <w:r>
        <w:rPr>
          <w:rFonts w:hint="eastAsia" w:ascii="宋体" w:hAnsi="宋体" w:eastAsia="宋体" w:cs="宋体"/>
          <w:color w:val="000000"/>
          <w:kern w:val="2"/>
          <w:sz w:val="21"/>
          <w:szCs w:val="21"/>
          <w:highlight w:val="none"/>
          <w:lang w:val="en-US" w:eastAsia="zh-CN" w:bidi="ar-SA"/>
        </w:rPr>
        <w:t>服务单位应具有类似综合节水改造（含水泵节能软著、节能供水软著、水平衡管理软件功能等）</w:t>
      </w:r>
      <w:r>
        <w:rPr>
          <w:rFonts w:hint="eastAsia" w:ascii="宋体" w:hAnsi="宋体" w:eastAsia="宋体" w:cs="宋体"/>
          <w:b w:val="0"/>
          <w:bCs w:val="0"/>
          <w:color w:val="000000"/>
          <w:kern w:val="2"/>
          <w:sz w:val="21"/>
          <w:szCs w:val="21"/>
          <w:highlight w:val="none"/>
          <w:lang w:val="en-US" w:eastAsia="zh-CN" w:bidi="ar-SA"/>
        </w:rPr>
        <w:t>实施能力及经验，并提供包括但不限于合同、专利、软著、项目试点等至少1项相关材料作为支撑文件</w:t>
      </w:r>
      <w:r>
        <w:rPr>
          <w:rFonts w:hint="eastAsia" w:ascii="宋体" w:hAnsi="宋体" w:eastAsia="宋体" w:cs="宋体"/>
          <w:color w:val="FF000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2"/>
          <w:sz w:val="21"/>
          <w:szCs w:val="21"/>
          <w:highlight w:val="none"/>
          <w:u w:val="none"/>
          <w:lang w:val="en-US" w:eastAsia="zh-CN" w:bidi="ar-SA"/>
        </w:rPr>
        <w:t>4.5 既有建筑围护结构保温、隔热改造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4.5.1 光棚隔热改造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对门诊大厅等类似区域光棚，进行遮光等保温隔热改造（门诊大厅顶棚已实施），降低空调能耗；此项不做强制要求，服务单位自主评估有节能空间的自主实施。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4.5.2 风帘机修复/更换及补充完善建设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对全院安装了空调的公共区域，风帘机有故障的进行修复/更换，缺少风帘机进行补充，避免冷源外溢，以降低能耗。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4.5.3 其余防止冷源外溢的技术手段改造措施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采用各类新技术、新措施，尽可能防止建筑楼体内冷源外溢，包括但不限于：满足消防及人行、轮椅、病床通过性要求的情况下，在各门厅出入口设置缓冲隔断区等措施。此项为根据现场实际尽力推广实施项，不做数量和程度强制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4.5.4技术及商务要求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w:t>
      </w:r>
      <w:r>
        <w:rPr>
          <w:rFonts w:hint="eastAsia" w:ascii="宋体" w:hAnsi="宋体" w:eastAsia="宋体" w:cs="宋体"/>
          <w:kern w:val="2"/>
          <w:sz w:val="21"/>
          <w:szCs w:val="21"/>
          <w:highlight w:val="none"/>
          <w:lang w:val="en-US" w:eastAsia="zh-CN" w:bidi="ar-SA"/>
        </w:rPr>
        <w:t>风帘机及配件，选用产品应保障品质、质量和兼容性，应选用技术成熟的市场主流品牌（市场份额10%以上）及其专属配套配件。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2）</w:t>
      </w:r>
      <w:r>
        <w:rPr>
          <w:rFonts w:hint="eastAsia" w:ascii="宋体" w:hAnsi="宋体" w:eastAsia="宋体" w:cs="宋体"/>
          <w:kern w:val="2"/>
          <w:sz w:val="21"/>
          <w:szCs w:val="21"/>
          <w:highlight w:val="none"/>
          <w:lang w:val="en-US" w:eastAsia="zh-CN" w:bidi="ar-SA"/>
        </w:rPr>
        <w:t>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3）原设备设施处置原则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改造更换拆除的风帘机及配件等，由服务单位自行处置，处置费用归服务单位所有。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【可再生能源利用】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2"/>
          <w:sz w:val="21"/>
          <w:szCs w:val="21"/>
          <w:highlight w:val="none"/>
          <w:u w:val="none"/>
          <w:lang w:val="en-US" w:eastAsia="zh-CN" w:bidi="ar-SA"/>
        </w:rPr>
        <w:t>4.6 光伏发电项目建设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4.6.1  建设内容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default" w:ascii="Calibri" w:hAnsi="Calibri" w:eastAsia="宋体" w:cs="Times New Roman"/>
          <w:kern w:val="2"/>
          <w:sz w:val="21"/>
          <w:szCs w:val="21"/>
          <w:highlight w:val="none"/>
          <w:lang w:val="en-US" w:eastAsia="zh-CN" w:bidi="ar-SA"/>
        </w:rPr>
        <w:t>大力推进院区太阳能光伏建设，在保证电能质量的前提下投入院内供电使用，提高可再生能源消费比重；建设光伏面积不低于5000㎡，装机容量不低于600KW</w:t>
      </w:r>
      <w:r>
        <w:rPr>
          <w:rFonts w:hint="eastAsia" w:ascii="宋体" w:hAnsi="宋体" w:eastAsia="宋体" w:cs="宋体"/>
          <w:color w:val="000000"/>
          <w:kern w:val="2"/>
          <w:sz w:val="21"/>
          <w:szCs w:val="21"/>
          <w:highlight w:val="none"/>
          <w:lang w:val="en-US" w:eastAsia="zh-CN" w:bidi="ar-SA"/>
        </w:rPr>
        <w:t>（交流侧）</w:t>
      </w:r>
      <w:r>
        <w:rPr>
          <w:rFonts w:hint="eastAsia" w:ascii="宋体" w:hAnsi="宋体" w:eastAsia="宋体" w:cs="宋体"/>
          <w:kern w:val="2"/>
          <w:sz w:val="21"/>
          <w:szCs w:val="21"/>
          <w:highlight w:val="none"/>
          <w:lang w:val="en-US" w:eastAsia="zh-CN" w:bidi="ar-SA"/>
        </w:rPr>
        <w:t>，保障年发电量不低于50万KW.H±10%。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4.6.2 光伏发电供电原则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1）托管期10年以内，</w:t>
      </w:r>
      <w:r>
        <w:rPr>
          <w:rFonts w:hint="default" w:ascii="Calibri" w:hAnsi="Calibri" w:eastAsia="宋体" w:cs="Times New Roman"/>
          <w:kern w:val="2"/>
          <w:sz w:val="21"/>
          <w:szCs w:val="21"/>
          <w:highlight w:val="none"/>
          <w:lang w:val="en-US" w:eastAsia="zh-CN" w:bidi="ar-SA"/>
        </w:rPr>
        <w:t>在保证电能质量的前提下</w:t>
      </w:r>
      <w:r>
        <w:rPr>
          <w:rFonts w:hint="eastAsia" w:ascii="Calibri" w:hAnsi="Calibri" w:eastAsia="宋体" w:cs="Times New Roman"/>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光伏发电优先接入医院使用；光伏发电如对院外供电，则服务公司应做好相应计量工作，并按照供电局电价标准，向医院全额支付相应费用，以医院从应支付给服务公司的托管服务费用中结算调整扣除。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color w:val="00000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r>
        <w:rPr>
          <w:rFonts w:hint="default" w:ascii="Calibri" w:hAnsi="Calibri" w:eastAsia="宋体" w:cs="Times New Roman"/>
          <w:color w:val="000000"/>
          <w:kern w:val="2"/>
          <w:sz w:val="21"/>
          <w:szCs w:val="21"/>
          <w:highlight w:val="none"/>
          <w:lang w:val="en-US" w:eastAsia="zh-CN" w:bidi="ar-SA"/>
        </w:rPr>
        <w:t>10年托管期后</w:t>
      </w:r>
      <w:r>
        <w:rPr>
          <w:rFonts w:hint="eastAsia" w:ascii="Calibri" w:hAnsi="Calibri" w:eastAsia="宋体" w:cs="Times New Roman"/>
          <w:color w:val="000000"/>
          <w:kern w:val="2"/>
          <w:sz w:val="21"/>
          <w:szCs w:val="21"/>
          <w:highlight w:val="none"/>
          <w:lang w:val="en-US" w:eastAsia="zh-CN" w:bidi="ar-SA"/>
        </w:rPr>
        <w:t>，如</w:t>
      </w:r>
      <w:r>
        <w:rPr>
          <w:rFonts w:hint="eastAsia" w:ascii="宋体" w:hAnsi="宋体" w:eastAsia="宋体" w:cs="宋体"/>
          <w:color w:val="000000"/>
          <w:kern w:val="2"/>
          <w:sz w:val="21"/>
          <w:szCs w:val="21"/>
          <w:highlight w:val="none"/>
          <w:lang w:val="en-US" w:eastAsia="zh-CN" w:bidi="ar-SA"/>
        </w:rPr>
        <w:t>光伏发电接入医院，</w:t>
      </w:r>
      <w:r>
        <w:rPr>
          <w:rFonts w:hint="default" w:ascii="Calibri" w:hAnsi="Calibri" w:eastAsia="宋体" w:cs="Times New Roman"/>
          <w:color w:val="000000"/>
          <w:kern w:val="2"/>
          <w:sz w:val="21"/>
          <w:szCs w:val="21"/>
          <w:highlight w:val="none"/>
          <w:lang w:val="en-US" w:eastAsia="zh-CN" w:bidi="ar-SA"/>
        </w:rPr>
        <w:t>院方按照市场价（以供电局对医院当月的电费单价为标准）</w:t>
      </w:r>
      <w:r>
        <w:rPr>
          <w:rFonts w:hint="eastAsia" w:ascii="Calibri" w:hAnsi="Calibri" w:eastAsia="宋体" w:cs="Times New Roman"/>
          <w:color w:val="000000"/>
          <w:kern w:val="2"/>
          <w:sz w:val="21"/>
          <w:szCs w:val="21"/>
          <w:highlight w:val="none"/>
          <w:lang w:val="en-US" w:eastAsia="zh-CN" w:bidi="ar-SA"/>
        </w:rPr>
        <w:t>的</w:t>
      </w:r>
      <w:r>
        <w:rPr>
          <w:rFonts w:hint="default" w:ascii="Calibri" w:hAnsi="Calibri" w:eastAsia="宋体" w:cs="Times New Roman"/>
          <w:color w:val="000000"/>
          <w:kern w:val="2"/>
          <w:sz w:val="21"/>
          <w:szCs w:val="21"/>
          <w:highlight w:val="none"/>
          <w:lang w:val="en-US" w:eastAsia="zh-CN" w:bidi="ar-SA"/>
        </w:rPr>
        <w:t>80%</w:t>
      </w:r>
      <w:r>
        <w:rPr>
          <w:rFonts w:hint="eastAsia" w:ascii="Calibri" w:hAnsi="Calibri" w:eastAsia="宋体" w:cs="Times New Roman"/>
          <w:color w:val="000000"/>
          <w:kern w:val="2"/>
          <w:sz w:val="21"/>
          <w:szCs w:val="21"/>
          <w:highlight w:val="none"/>
          <w:lang w:val="en-US" w:eastAsia="zh-CN" w:bidi="ar-SA"/>
        </w:rPr>
        <w:t>，</w:t>
      </w:r>
      <w:r>
        <w:rPr>
          <w:rFonts w:hint="default" w:ascii="Calibri" w:hAnsi="Calibri" w:eastAsia="宋体" w:cs="Times New Roman"/>
          <w:color w:val="000000"/>
          <w:kern w:val="2"/>
          <w:sz w:val="21"/>
          <w:szCs w:val="21"/>
          <w:highlight w:val="none"/>
          <w:lang w:val="en-US" w:eastAsia="zh-CN" w:bidi="ar-SA"/>
        </w:rPr>
        <w:t>向托管服务单位购电和支付费用</w:t>
      </w:r>
      <w:r>
        <w:rPr>
          <w:rFonts w:hint="eastAsia" w:ascii="Calibri" w:hAnsi="Calibri" w:eastAsia="宋体" w:cs="Times New Roman"/>
          <w:color w:val="000000"/>
          <w:kern w:val="2"/>
          <w:sz w:val="21"/>
          <w:szCs w:val="21"/>
          <w:highlight w:val="none"/>
          <w:lang w:val="en-US" w:eastAsia="zh-CN" w:bidi="ar-SA"/>
        </w:rPr>
        <w:t>；如</w:t>
      </w:r>
      <w:r>
        <w:rPr>
          <w:rFonts w:hint="eastAsia" w:ascii="宋体" w:hAnsi="宋体" w:eastAsia="宋体" w:cs="宋体"/>
          <w:color w:val="000000"/>
          <w:kern w:val="2"/>
          <w:sz w:val="21"/>
          <w:szCs w:val="21"/>
          <w:highlight w:val="none"/>
          <w:lang w:val="en-US" w:eastAsia="zh-CN" w:bidi="ar-SA"/>
        </w:rPr>
        <w:t>光伏发电对院外供电，则服务公司按照面积或容量原则向医院支付场地租金（医院和服务公司参照市场价另行商定收费标准）。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4.6.3技术及商务要求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1）电能质量要求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光伏发电的电能质量，包括电压、功率因数、谐波等指标，应满足中国电网要求，各项性能指标满足GBT 50866 光伏发电站接入电力系统设计规范的要求，满足医院供电稳定性的要求，不得影响医院正常运营（包括设备运行和病人救治）；如不满足要求，光伏发电不得接入医院用电。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2）逆变器技术要求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逆变器要求能够自动化运行，可支持外置手持式设备或蓝牙连接手机，通过APP可以查看逆变器运行参数、状态、故障信息、历史发电量和瞬时发电量等所有运行和历史信息等。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逆变器要求具有故障数据自动记录存储功能，储存数据不小于1000条。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逆变器应具有极性反接保护、短路保护、过载保护、恢复并网保护、孤岛效应保护、过温保护、交流过流、PID防护与修复、直流母线过电压保护、电网过欠压、电网过欠频、低电压穿越、光伏阵列及逆变器本身的绝缘检测、残余电流检测及保护功能等，并相应给出各保护功能动作的条件和工况（即何时保护动作、保护时间、自恢复时间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逆变器应具有通讯接口，能将相关的测量保护信号上传至监控系统，并能实现远方控制。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3）光伏组件要求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太阳能电池片应采用保证光伏组件25年稳定运行的高可靠性的材料。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光伏组件生产时向发包方提供电池片性能测试报告。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电池片，选用产品应保障品质、质量和兼容性，应选用技术成熟的市场主流品牌产品（市场份额10%以上）。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N型组件电池片转换效率≥20%。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4）相关建设标准，需符合相关工程法规要求。建设光伏，服务需重点确认光伏下方结构强度及结构安全性。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5）因建设光伏需要，拆除的天面玻璃及不影响结构安全的构架设施，由服务单位自行处理。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0"/>
          <w:sz w:val="21"/>
          <w:szCs w:val="21"/>
          <w:highlight w:val="none"/>
          <w:u w:val="none"/>
          <w:lang w:val="en-US" w:eastAsia="zh-CN" w:bidi="ar-SA"/>
        </w:rPr>
      </w:pPr>
      <w:r>
        <w:rPr>
          <w:rFonts w:hint="eastAsia" w:ascii="宋体" w:hAnsi="宋体" w:eastAsia="宋体" w:cs="宋体"/>
          <w:b/>
          <w:bCs/>
          <w:i w:val="0"/>
          <w:iCs w:val="0"/>
          <w:color w:val="auto"/>
          <w:kern w:val="2"/>
          <w:sz w:val="21"/>
          <w:szCs w:val="21"/>
          <w:highlight w:val="none"/>
          <w:u w:val="none"/>
          <w:lang w:val="en-US" w:eastAsia="zh-CN" w:bidi="ar-SA"/>
        </w:rPr>
        <w:t xml:space="preserve">4.7 </w:t>
      </w:r>
      <w:r>
        <w:rPr>
          <w:rFonts w:hint="eastAsia" w:ascii="宋体" w:hAnsi="宋体" w:eastAsia="宋体" w:cs="宋体"/>
          <w:b/>
          <w:bCs/>
          <w:i w:val="0"/>
          <w:iCs w:val="0"/>
          <w:color w:val="auto"/>
          <w:kern w:val="0"/>
          <w:sz w:val="21"/>
          <w:szCs w:val="21"/>
          <w:highlight w:val="none"/>
          <w:u w:val="none"/>
          <w:lang w:val="en-US" w:eastAsia="zh-CN" w:bidi="ar-SA"/>
        </w:rPr>
        <w:t>热水系统完善及多能互补热水系统建设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 xml:space="preserve">    4.7.1  现有热水系统完善修复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对现有热水系统（太阳能热水、热泵热水系统）的各个分系统及元器件（含储水箱、管路系统、电控系统等）进行修复，排查各类故障（包括动力故障、控制故障、水箱漏水、管路问题、保温问题等）并修复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4.7.2  多能互补热水系统建设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建设空调废热回收系统，并用于制热水，包括住院楼①、住院楼②、科教楼、康复楼等，具体建设楼栋和数量，根据多能互补热水系统实际情况，进行节能最优化配置。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建设多能互补热水系统，实现空调废热、太阳能热水、风冷热泵等各热水系统的协同配合作业，并接入到智慧能源服务中心相关平台。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4.7.3  拆除停用/不必要的热水系统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建设多能互补热水系统后，拆除无需集中热水区域的集中热水系统，以及损坏、不必要的热水系统，如门诊楼太阳能及热泵系统整体拆除，住院楼损坏及不必要的太阳能热书系统部分拆除等。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 xml:space="preserve">4.7.4  </w:t>
      </w:r>
      <w:r>
        <w:rPr>
          <w:rFonts w:hint="eastAsia" w:ascii="宋体" w:hAnsi="宋体" w:eastAsia="宋体" w:cs="宋体"/>
          <w:kern w:val="2"/>
          <w:sz w:val="21"/>
          <w:szCs w:val="21"/>
          <w:highlight w:val="none"/>
          <w:lang w:val="en-US" w:eastAsia="zh-CN" w:bidi="ar-SA"/>
        </w:rPr>
        <w:t>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1）</w:t>
      </w:r>
      <w:r>
        <w:rPr>
          <w:rFonts w:hint="eastAsia" w:ascii="宋体" w:hAnsi="宋体" w:eastAsia="宋体" w:cs="宋体"/>
          <w:kern w:val="2"/>
          <w:sz w:val="21"/>
          <w:szCs w:val="21"/>
          <w:highlight w:val="none"/>
          <w:lang w:val="en-US" w:eastAsia="zh-CN" w:bidi="ar-SA"/>
        </w:rPr>
        <w:t>热水系统及专属配套配件，选用产品应保障品质、质量和兼容性，应选用技术成熟的市场主流品牌产品（市场份额10%以上）。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2）</w:t>
      </w:r>
      <w:r>
        <w:rPr>
          <w:rFonts w:hint="eastAsia" w:ascii="宋体" w:hAnsi="宋体" w:eastAsia="宋体" w:cs="宋体"/>
          <w:kern w:val="2"/>
          <w:sz w:val="21"/>
          <w:szCs w:val="21"/>
          <w:highlight w:val="none"/>
          <w:lang w:val="en-US" w:eastAsia="zh-CN" w:bidi="ar-SA"/>
        </w:rPr>
        <w:t>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i w:val="0"/>
          <w:iCs w:val="0"/>
          <w:color w:val="auto"/>
          <w:kern w:val="0"/>
          <w:sz w:val="21"/>
          <w:szCs w:val="21"/>
          <w:highlight w:val="none"/>
          <w:u w:val="none"/>
          <w:lang w:val="en-US" w:eastAsia="zh-CN" w:bidi="ar-SA"/>
        </w:rPr>
        <w:t>服务单位负责相关热水系统的拆除和废旧设备设施的处置，处置费用归服务单位所有。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4）</w:t>
      </w:r>
      <w:r>
        <w:rPr>
          <w:rFonts w:hint="eastAsia" w:ascii="宋体" w:hAnsi="宋体" w:eastAsia="宋体" w:cs="宋体"/>
          <w:kern w:val="2"/>
          <w:sz w:val="21"/>
          <w:szCs w:val="21"/>
          <w:highlight w:val="none"/>
          <w:lang w:val="en-US" w:eastAsia="zh-CN" w:bidi="ar-SA"/>
        </w:rPr>
        <w:t>▲服务单位应具备太阳能热泵热水节能控制相关软件著作权（提供证明文件，复印件加盖公章）。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0"/>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SA"/>
        </w:rPr>
        <w:t>4.8  太阳能智慧高杆路灯改造及建设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4.8.1 现有高杆灯改造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将医院范围内所有高杆路灯115盏，全部更新为太阳能智慧高杆路灯。要求灯体功率和照度不低于现状；保障结构强度和安全的前提下，灯杆可利旧。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4.8.2  高杆灯补充建设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对于部分照明不足的区域，增补太阳能智慧高杆路灯，全院增补数量不少于10盏。要求灯体功率和照度不低于现状，灯杆高度不低于8米；增补包含灯体、灯杆、线路、灯杆基础等的材料及施工。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4.8.3  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1）灯杆不低于8米，壁厚不低于2.5mm，内外热浸锌，地笼；LED灯功率不低于100W；配置不低于50W的太阳能板、配套蓄电池组、市电转换器，蓄电池组电量不足时自动切换市电。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i w:val="0"/>
          <w:iCs w:val="0"/>
          <w:color w:val="auto"/>
          <w:kern w:val="0"/>
          <w:sz w:val="21"/>
          <w:szCs w:val="21"/>
          <w:highlight w:val="none"/>
          <w:u w:val="none"/>
          <w:lang w:val="en-US" w:eastAsia="zh-CN" w:bidi="ar-SA"/>
        </w:rPr>
        <w:t>太阳能智慧高杆路灯</w:t>
      </w:r>
      <w:r>
        <w:rPr>
          <w:rFonts w:hint="eastAsia" w:ascii="宋体" w:hAnsi="宋体" w:eastAsia="宋体" w:cs="宋体"/>
          <w:kern w:val="2"/>
          <w:sz w:val="21"/>
          <w:szCs w:val="21"/>
          <w:highlight w:val="none"/>
          <w:lang w:val="en-US" w:eastAsia="zh-CN" w:bidi="ar-SA"/>
        </w:rPr>
        <w:t>及配件，选用产品应保障品质、质量和兼容性，应选用技术成熟的市场主流品牌产品（市场份额10%以上）及其专属配套配件。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kern w:val="2"/>
          <w:sz w:val="21"/>
          <w:szCs w:val="21"/>
          <w:highlight w:val="none"/>
          <w:lang w:val="en-US" w:eastAsia="zh-CN" w:bidi="ar-SA"/>
        </w:rPr>
        <w:t>4）</w:t>
      </w:r>
      <w:r>
        <w:rPr>
          <w:rFonts w:hint="eastAsia" w:ascii="宋体" w:hAnsi="宋体" w:eastAsia="宋体" w:cs="宋体"/>
          <w:i w:val="0"/>
          <w:iCs w:val="0"/>
          <w:color w:val="auto"/>
          <w:kern w:val="0"/>
          <w:sz w:val="21"/>
          <w:szCs w:val="21"/>
          <w:highlight w:val="none"/>
          <w:u w:val="none"/>
          <w:lang w:val="en-US" w:eastAsia="zh-CN" w:bidi="ar-SA"/>
        </w:rPr>
        <w:t>服务单位负责原有高杆灯系统的拆除和废旧设备设施的处置，处置费用归服务单位所有。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2"/>
          <w:sz w:val="21"/>
          <w:szCs w:val="21"/>
          <w:highlight w:val="none"/>
          <w:u w:val="none"/>
          <w:lang w:val="en-US" w:eastAsia="zh-CN" w:bidi="ar-SA"/>
        </w:rPr>
        <w:t>4.9 充电基础设施建设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4.9.1  新能源汽车充电桩建设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在医院内地面停车场选取合适区域，建设新能源汽车充电桩，不少于10支7KW慢充。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4.9.2  非机动车充电站建设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在医院内电动非机动车集中停放区域，建设不少于100个充电插口，并按标准要求配置遮雨棚。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4.9.3 </w:t>
      </w:r>
      <w:r>
        <w:rPr>
          <w:rFonts w:hint="eastAsia" w:ascii="宋体" w:hAnsi="宋体" w:eastAsia="宋体" w:cs="宋体"/>
          <w:i w:val="0"/>
          <w:iCs w:val="0"/>
          <w:color w:val="auto"/>
          <w:kern w:val="0"/>
          <w:sz w:val="21"/>
          <w:szCs w:val="21"/>
          <w:highlight w:val="none"/>
          <w:u w:val="none"/>
          <w:lang w:val="en-US" w:eastAsia="zh-CN" w:bidi="ar-SA"/>
        </w:rPr>
        <w:t>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1）以上充电装置建设，需按规范要求完善消防配置，并做好日常消防管理。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r>
        <w:rPr>
          <w:rFonts w:hint="eastAsia" w:ascii="Calibri" w:hAnsi="Calibri" w:eastAsia="宋体" w:cs="Times New Roman"/>
          <w:kern w:val="2"/>
          <w:sz w:val="21"/>
          <w:szCs w:val="21"/>
          <w:highlight w:val="none"/>
          <w:lang w:val="en-US" w:eastAsia="zh-CN" w:bidi="ar-SA"/>
        </w:rPr>
        <w:t>相应充电装置，应具备刷卡/扫码收费功能，具有定时、定电量、定金额、自动充满四种充电模式。枪线长度不低于5m，具备过欠压保护、过流保护、连接异常保护、C级防雷保护、急停保护等保护功能。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r>
        <w:rPr>
          <w:rFonts w:hint="eastAsia" w:ascii="宋体" w:hAnsi="宋体" w:eastAsia="宋体" w:cs="宋体"/>
          <w:i w:val="0"/>
          <w:iCs w:val="0"/>
          <w:color w:val="auto"/>
          <w:kern w:val="0"/>
          <w:sz w:val="21"/>
          <w:szCs w:val="21"/>
          <w:highlight w:val="none"/>
          <w:u w:val="none"/>
          <w:lang w:val="en-US" w:eastAsia="zh-CN" w:bidi="ar-SA"/>
        </w:rPr>
        <w:t>相关充电装置</w:t>
      </w:r>
      <w:r>
        <w:rPr>
          <w:rFonts w:hint="eastAsia" w:ascii="宋体" w:hAnsi="宋体" w:eastAsia="宋体" w:cs="宋体"/>
          <w:kern w:val="2"/>
          <w:sz w:val="21"/>
          <w:szCs w:val="21"/>
          <w:highlight w:val="none"/>
          <w:lang w:val="en-US" w:eastAsia="zh-CN" w:bidi="ar-SA"/>
        </w:rPr>
        <w:t>及专属配套配件、材料等，选用产品应保障品质、质量和兼容性，应选用技术成熟的市场主流品牌产品（市场份额10%以上）。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5）★此项充电装置建设，</w:t>
      </w:r>
      <w:r>
        <w:rPr>
          <w:rFonts w:hint="eastAsia" w:ascii="宋体" w:hAnsi="宋体" w:eastAsia="宋体" w:cs="宋体"/>
          <w:b/>
          <w:bCs/>
          <w:i w:val="0"/>
          <w:iCs w:val="0"/>
          <w:color w:val="auto"/>
          <w:kern w:val="2"/>
          <w:sz w:val="21"/>
          <w:szCs w:val="21"/>
          <w:highlight w:val="none"/>
          <w:u w:val="single"/>
          <w:lang w:val="en-US" w:eastAsia="zh-CN" w:bidi="ar-SA"/>
        </w:rPr>
        <w:t>所有建设费用、电费、各类运营管理费用由托管服务单位承担，</w:t>
      </w:r>
      <w:r>
        <w:rPr>
          <w:rFonts w:hint="eastAsia" w:ascii="宋体" w:hAnsi="宋体" w:eastAsia="宋体" w:cs="宋体"/>
          <w:i w:val="0"/>
          <w:iCs w:val="0"/>
          <w:color w:val="auto"/>
          <w:kern w:val="2"/>
          <w:sz w:val="21"/>
          <w:szCs w:val="21"/>
          <w:highlight w:val="none"/>
          <w:u w:val="none"/>
          <w:lang w:val="en-US" w:eastAsia="zh-CN" w:bidi="ar-SA"/>
        </w:rPr>
        <w:t>应进行单独计量，不计入医院使用电量，相关电价标准按照法规及供电局要求执行，产生收益也归托管服务单位所有。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6）★新能源充电桩和非机动车充电站，</w:t>
      </w:r>
      <w:r>
        <w:rPr>
          <w:rFonts w:hint="eastAsia" w:ascii="宋体" w:hAnsi="宋体" w:eastAsia="宋体" w:cs="宋体"/>
          <w:b/>
          <w:bCs/>
          <w:i w:val="0"/>
          <w:iCs w:val="0"/>
          <w:color w:val="auto"/>
          <w:kern w:val="2"/>
          <w:sz w:val="21"/>
          <w:szCs w:val="21"/>
          <w:highlight w:val="none"/>
          <w:u w:val="single"/>
          <w:lang w:val="en-US" w:eastAsia="zh-CN" w:bidi="ar-SA"/>
        </w:rPr>
        <w:t>对医院职工（含编内编外职工，不含外包服务单位）收费标准</w:t>
      </w:r>
      <w:r>
        <w:rPr>
          <w:rFonts w:hint="eastAsia" w:ascii="宋体" w:hAnsi="宋体" w:eastAsia="宋体" w:cs="宋体"/>
          <w:i w:val="0"/>
          <w:iCs w:val="0"/>
          <w:color w:val="auto"/>
          <w:kern w:val="2"/>
          <w:sz w:val="21"/>
          <w:szCs w:val="21"/>
          <w:highlight w:val="none"/>
          <w:u w:val="none"/>
          <w:lang w:val="en-US" w:eastAsia="zh-CN" w:bidi="ar-SA"/>
        </w:rPr>
        <w:t>，执行</w:t>
      </w:r>
      <w:r>
        <w:rPr>
          <w:rFonts w:hint="eastAsia" w:ascii="宋体" w:hAnsi="宋体" w:eastAsia="宋体" w:cs="宋体"/>
          <w:b/>
          <w:bCs/>
          <w:i w:val="0"/>
          <w:iCs w:val="0"/>
          <w:color w:val="auto"/>
          <w:kern w:val="2"/>
          <w:sz w:val="21"/>
          <w:szCs w:val="21"/>
          <w:highlight w:val="none"/>
          <w:u w:val="single"/>
          <w:lang w:val="en-US" w:eastAsia="zh-CN" w:bidi="ar-SA"/>
        </w:rPr>
        <w:t>成本电价</w:t>
      </w:r>
      <w:r>
        <w:rPr>
          <w:rFonts w:hint="eastAsia" w:ascii="宋体" w:hAnsi="宋体" w:eastAsia="宋体" w:cs="宋体"/>
          <w:i w:val="0"/>
          <w:iCs w:val="0"/>
          <w:color w:val="auto"/>
          <w:kern w:val="2"/>
          <w:sz w:val="21"/>
          <w:szCs w:val="21"/>
          <w:highlight w:val="none"/>
          <w:u w:val="none"/>
          <w:lang w:val="en-US" w:eastAsia="zh-CN" w:bidi="ar-SA"/>
        </w:rPr>
        <w:t>及零服务费的收费标准；对其余外部人员执行市场化收费标准。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仿宋" w:cs="Times New Roman"/>
          <w:i w:val="0"/>
          <w:iCs w:val="0"/>
          <w:color w:val="auto"/>
          <w:kern w:val="0"/>
          <w:sz w:val="21"/>
          <w:szCs w:val="21"/>
          <w:highlight w:val="none"/>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【智慧化运营改造要求】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4.10 完善计量器具配置</w:t>
      </w:r>
      <w:r>
        <w:rPr>
          <w:rFonts w:hint="eastAsia" w:hAnsi="宋体" w:cs="宋体"/>
          <w:b/>
          <w:bCs/>
          <w:color w:val="auto"/>
          <w:kern w:val="2"/>
          <w:sz w:val="21"/>
          <w:szCs w:val="21"/>
          <w:highlight w:val="none"/>
          <w:lang w:val="en-US" w:eastAsia="zh-CN" w:bidi="ar-SA"/>
        </w:rPr>
        <w:t>及管理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4.10.1 按照《公共机构能源资源计量器具配备和管理要求GBT29149-2012》及节约型公共机构示范单位创建相关要求，结合医院计量器具配置现状（具体见《能源审计报告》），实行能源资源分户、分类、分项计量，重点用能系统和部位分项计量器具配备率达到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4.10.2 完善用水二级（分楼栋）、三级（楼层、科室区域）计量，并实现全院用水计量智能化传输、核算。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4.10.3  全院用电已基本实现了分系统独立计量，需进一步完善用电分楼栋、分层、分科室、分区域计量及智能化传输、核算。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4.10.4  对外供能区域或高耗能区域独立计量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对食堂（含售卖点）、施工单位板房、120中心及后续可能增加的对外供电区域，实行独立计量及核算，将能源消耗量从院区能源消耗量中剥离。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对消毒供应中心等重点高耗能，且需院内重点独立核算的区域，实行独立计量及核算，以供医院经营核算。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现已基本实现独立计量，还需进一步完善智能化计量传输及独立核算。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4.10.5  全院所有水电表计量，均需实现智能化计量和远程传输，并全部接入智慧能源服务中心中相关平台。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4.10.6  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eastAsia" w:ascii="Calibri" w:hAnsi="Calibri" w:eastAsia="宋体" w:cs="Times New Roman"/>
          <w:kern w:val="2"/>
          <w:sz w:val="21"/>
          <w:szCs w:val="21"/>
          <w:highlight w:val="none"/>
          <w:lang w:val="en-US" w:eastAsia="zh-CN" w:bidi="ar-SA"/>
        </w:rPr>
        <w:t>水表要求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需具备485通讯、远传无线通讯等功能，</w:t>
      </w:r>
      <w:r>
        <w:rPr>
          <w:rFonts w:hint="eastAsia" w:ascii="宋体" w:hAnsi="宋体" w:eastAsia="宋体" w:cs="宋体"/>
          <w:kern w:val="2"/>
          <w:sz w:val="21"/>
          <w:szCs w:val="21"/>
          <w:highlight w:val="none"/>
          <w:lang w:val="en-US" w:eastAsia="zh-CN" w:bidi="ar-SA"/>
        </w:rPr>
        <w:t>选用产品应保障品质、质量和兼容性，应选用技术成熟的市场主流品牌产品（市场份额10%以上）</w:t>
      </w:r>
      <w:r>
        <w:rPr>
          <w:rFonts w:hint="eastAsia" w:ascii="Calibri" w:hAnsi="Calibri" w:eastAsia="宋体" w:cs="Times New Roman"/>
          <w:kern w:val="2"/>
          <w:sz w:val="21"/>
          <w:szCs w:val="21"/>
          <w:highlight w:val="none"/>
          <w:lang w:val="en-US" w:eastAsia="zh-CN" w:bidi="ar-SA"/>
        </w:rPr>
        <w:t>及其专属配套配件。</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default" w:ascii="Calibri" w:hAnsi="Calibri" w:eastAsia="宋体" w:cs="Times New Roman"/>
          <w:kern w:val="2"/>
          <w:sz w:val="21"/>
          <w:szCs w:val="21"/>
          <w:highlight w:val="none"/>
          <w:lang w:val="en-US" w:eastAsia="zh-CN"/>
        </w:rPr>
        <w:t>数字式冷（热）量表的精度等级误差应不大于5%</w:t>
      </w:r>
      <w:r>
        <w:rPr>
          <w:rFonts w:hint="eastAsia" w:ascii="Calibri" w:hAnsi="Calibri" w:eastAsia="宋体" w:cs="Times New Roman"/>
          <w:kern w:val="2"/>
          <w:sz w:val="21"/>
          <w:szCs w:val="21"/>
          <w:highlight w:val="none"/>
          <w:lang w:val="en-US" w:eastAsia="zh-CN"/>
        </w:rPr>
        <w:t>；</w:t>
      </w:r>
      <w:r>
        <w:rPr>
          <w:rFonts w:hint="default" w:ascii="Calibri" w:hAnsi="Calibri" w:eastAsia="宋体" w:cs="Times New Roman"/>
          <w:kern w:val="2"/>
          <w:sz w:val="21"/>
          <w:szCs w:val="21"/>
          <w:highlight w:val="none"/>
          <w:lang w:val="en-US" w:eastAsia="zh-CN"/>
        </w:rPr>
        <w:t>数字式水表计量精度应不低于2.5级。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2）多功能电表要求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a、可测量电流、电压、计量电能、功率因数、频率并带485通讯接口；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b、一级多功能电表，还需具备谐波测量、故障录波及记录等功能；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c、测量精度等级：电压电流 0.2 级、无功功率 1 级、无功电能 1 级、有功功率 0.5 级、 有功电能 0.5 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d、</w:t>
      </w:r>
      <w:r>
        <w:rPr>
          <w:rFonts w:hint="eastAsia" w:ascii="宋体" w:hAnsi="宋体" w:eastAsia="宋体" w:cs="宋体"/>
          <w:kern w:val="2"/>
          <w:sz w:val="21"/>
          <w:szCs w:val="21"/>
          <w:highlight w:val="none"/>
          <w:lang w:val="en-US" w:eastAsia="zh-CN" w:bidi="ar-SA"/>
        </w:rPr>
        <w:t>选用产品应保障品质、质量和兼容性，应选用技术成熟的市场主流品牌产品（市场份额10%以上）</w:t>
      </w:r>
      <w:r>
        <w:rPr>
          <w:rFonts w:hint="eastAsia" w:ascii="Calibri" w:hAnsi="Calibri" w:eastAsia="宋体" w:cs="Times New Roman"/>
          <w:kern w:val="2"/>
          <w:sz w:val="21"/>
          <w:szCs w:val="21"/>
          <w:highlight w:val="none"/>
          <w:lang w:val="en-US" w:eastAsia="zh-CN" w:bidi="ar-SA"/>
        </w:rPr>
        <w:t>及其专属配套配件。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3）互感器要求：采用开口式电流互感器且满足精度0.5级；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4）系统网关要求：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a、 采集器要求：工作电压：AC/DC 220V(85~265V),端子式DC24V(12~36V区间)；4路以上光耦隔离RS485串口；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b、 RJ45网口：2路10/100M自适应；支持存储扩展和断点续传；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C、协议支持：设备侧支持Modbusrtu、ModbusTCP、DL/T645-2007、DL/T645-1997、CJT188-2004、OPCUA等，主站侧支持MODBUSTCP（主从）、104（主从）、SNMP、MQTT协议等。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w:t>
      </w:r>
      <w:r>
        <w:rPr>
          <w:rFonts w:hint="eastAsia" w:ascii="宋体" w:hAnsi="宋体" w:eastAsia="宋体" w:cs="宋体"/>
          <w:kern w:val="2"/>
          <w:sz w:val="21"/>
          <w:szCs w:val="21"/>
          <w:highlight w:val="none"/>
          <w:lang w:val="en-US" w:eastAsia="zh-CN" w:bidi="ar-SA"/>
        </w:rPr>
        <w:t>）相关建设标准，需符合相关工程法规要求。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6）关键节点及层级水电计量表，需定期报相关第三方计量检测单位校验，并出具校验合格证书，主要包含以下情况：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a、一级水电计量表及涉及本项目结算的水电计量表；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b、政策法规要求、各级行政主管部门检查要求、三甲医院及国际医院等评审要求进行检测校验的水电计量表；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c、合同双方有争议的水电计量表（检测校验费用由过错方承担）。</w:t>
      </w:r>
    </w:p>
    <w:p>
      <w:pPr>
        <w:keepNext w:val="0"/>
        <w:keepLines w:val="0"/>
        <w:widowControl w:val="0"/>
        <w:numPr>
          <w:ilvl w:val="0"/>
          <w:numId w:val="0"/>
        </w:numPr>
        <w:suppressLineNumbers w:val="0"/>
        <w:autoSpaceDE/>
        <w:autoSpaceDN/>
        <w:adjustRightInd/>
        <w:ind w:firstLine="420" w:firstLineChars="200"/>
        <w:jc w:val="both"/>
        <w:rPr>
          <w:rFonts w:hint="eastAsia" w:hAnsi="宋体"/>
          <w:kern w:val="2"/>
          <w:sz w:val="21"/>
          <w:szCs w:val="21"/>
          <w:highlight w:val="none"/>
        </w:rPr>
      </w:pPr>
      <w:r>
        <w:rPr>
          <w:rFonts w:hint="eastAsia" w:hAnsi="宋体" w:cs="宋体"/>
          <w:kern w:val="2"/>
          <w:sz w:val="21"/>
          <w:szCs w:val="21"/>
          <w:highlight w:val="none"/>
          <w:lang w:val="en-US" w:eastAsia="zh-CN" w:bidi="ar-SA"/>
        </w:rPr>
        <w:t>7）水电计量</w:t>
      </w:r>
      <w:r>
        <w:rPr>
          <w:rFonts w:hint="eastAsia" w:ascii="宋体" w:hAnsi="宋体" w:eastAsia="宋体" w:cs="宋体"/>
          <w:kern w:val="2"/>
          <w:sz w:val="21"/>
          <w:szCs w:val="21"/>
          <w:highlight w:val="none"/>
          <w:lang w:val="en-US" w:eastAsia="zh-CN" w:bidi="ar-SA"/>
        </w:rPr>
        <w:t>表的使用、日常管理、监督和更换</w:t>
      </w:r>
    </w:p>
    <w:p>
      <w:pPr>
        <w:keepNext w:val="0"/>
        <w:keepLines w:val="0"/>
        <w:widowControl w:val="0"/>
        <w:numPr>
          <w:ilvl w:val="0"/>
          <w:numId w:val="0"/>
        </w:numPr>
        <w:suppressLineNumbers w:val="0"/>
        <w:autoSpaceDE/>
        <w:autoSpaceDN/>
        <w:adjustRightInd/>
        <w:ind w:firstLine="420" w:firstLineChars="200"/>
        <w:jc w:val="both"/>
        <w:rPr>
          <w:rFonts w:hint="eastAsia" w:hAnsi="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a、水电计量表为项目执行和考核的重要依据，托管服务单位应做好水电计量表的日常管理，避免发生水电计量表被更换或篡改致使资产流失的事件</w:t>
      </w:r>
      <w:r>
        <w:rPr>
          <w:rFonts w:hint="eastAsia" w:hAnsi="宋体" w:cs="宋体"/>
          <w:kern w:val="2"/>
          <w:sz w:val="21"/>
          <w:szCs w:val="21"/>
          <w:highlight w:val="none"/>
          <w:lang w:val="en-US" w:eastAsia="zh-CN" w:bidi="ar-SA"/>
        </w:rPr>
        <w:t>，并无条件配合医院对水电计量表的监督管理。</w:t>
      </w:r>
    </w:p>
    <w:p>
      <w:pPr>
        <w:keepNext w:val="0"/>
        <w:keepLines w:val="0"/>
        <w:widowControl w:val="0"/>
        <w:numPr>
          <w:ilvl w:val="0"/>
          <w:numId w:val="0"/>
        </w:numPr>
        <w:suppressLineNumbers w:val="0"/>
        <w:autoSpaceDE/>
        <w:autoSpaceDN/>
        <w:adjustRightInd/>
        <w:ind w:firstLine="420" w:firstLineChars="200"/>
        <w:jc w:val="both"/>
        <w:rPr>
          <w:rFonts w:hint="eastAsia" w:hAnsi="宋体"/>
          <w:kern w:val="2"/>
          <w:sz w:val="21"/>
          <w:szCs w:val="21"/>
          <w:highlight w:val="none"/>
        </w:rPr>
      </w:pPr>
      <w:r>
        <w:rPr>
          <w:rFonts w:hint="eastAsia" w:hAnsi="宋体" w:cs="宋体"/>
          <w:kern w:val="2"/>
          <w:sz w:val="21"/>
          <w:szCs w:val="21"/>
          <w:highlight w:val="none"/>
          <w:lang w:val="en-US" w:eastAsia="zh-CN" w:bidi="ar-SA"/>
        </w:rPr>
        <w:t>b、如以上第6）所述水电计量表，经</w:t>
      </w:r>
      <w:r>
        <w:rPr>
          <w:rFonts w:hint="eastAsia" w:ascii="宋体" w:hAnsi="宋体" w:eastAsia="宋体" w:cs="宋体"/>
          <w:kern w:val="2"/>
          <w:sz w:val="21"/>
          <w:szCs w:val="21"/>
          <w:highlight w:val="none"/>
          <w:lang w:val="en-US" w:eastAsia="zh-CN" w:bidi="ar-SA"/>
        </w:rPr>
        <w:t>第三方计量检测单位校验</w:t>
      </w:r>
      <w:r>
        <w:rPr>
          <w:rFonts w:hint="eastAsia" w:hAnsi="宋体" w:cs="宋体"/>
          <w:kern w:val="2"/>
          <w:sz w:val="21"/>
          <w:szCs w:val="21"/>
          <w:highlight w:val="none"/>
          <w:lang w:val="en-US" w:eastAsia="zh-CN" w:bidi="ar-SA"/>
        </w:rPr>
        <w:t>为“不合格”或偏差过大影响本项目结算依据的，托管服务单位负责对应更换为符合标准及</w:t>
      </w:r>
      <w:r>
        <w:rPr>
          <w:rFonts w:hint="eastAsia" w:ascii="宋体" w:hAnsi="宋体" w:eastAsia="宋体" w:cs="宋体"/>
          <w:kern w:val="2"/>
          <w:sz w:val="21"/>
          <w:szCs w:val="21"/>
          <w:highlight w:val="none"/>
          <w:lang w:val="en-US" w:eastAsia="zh-CN" w:bidi="ar-SA"/>
        </w:rPr>
        <w:t>第三方计量检测单位</w:t>
      </w:r>
      <w:r>
        <w:rPr>
          <w:rFonts w:hint="eastAsia" w:hAnsi="宋体" w:cs="宋体"/>
          <w:kern w:val="2"/>
          <w:sz w:val="21"/>
          <w:szCs w:val="21"/>
          <w:highlight w:val="none"/>
          <w:lang w:val="en-US" w:eastAsia="zh-CN" w:bidi="ar-SA"/>
        </w:rPr>
        <w:t>校验“合格”的水电计量表和承担相应费用。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hAnsi="宋体" w:cs="宋体"/>
          <w:kern w:val="2"/>
          <w:sz w:val="21"/>
          <w:szCs w:val="21"/>
          <w:highlight w:val="none"/>
          <w:lang w:val="en-US" w:eastAsia="zh-CN" w:bidi="ar-SA"/>
        </w:rPr>
      </w:pPr>
      <w:r>
        <w:rPr>
          <w:rFonts w:hint="eastAsia" w:hAnsi="宋体" w:cs="宋体"/>
          <w:kern w:val="2"/>
          <w:sz w:val="21"/>
          <w:szCs w:val="21"/>
          <w:highlight w:val="none"/>
          <w:lang w:val="en-US" w:eastAsia="zh-CN" w:bidi="ar-SA"/>
        </w:rPr>
        <w:t>c、如本项目托管服务期内，发生</w:t>
      </w:r>
      <w:r>
        <w:rPr>
          <w:rFonts w:hint="eastAsia" w:ascii="宋体" w:hAnsi="宋体" w:eastAsia="宋体" w:cs="宋体"/>
          <w:kern w:val="2"/>
          <w:sz w:val="21"/>
          <w:szCs w:val="21"/>
          <w:highlight w:val="none"/>
          <w:lang w:val="en-US" w:eastAsia="zh-CN" w:bidi="ar-SA"/>
        </w:rPr>
        <w:t>水电计量表被更换</w:t>
      </w:r>
      <w:r>
        <w:rPr>
          <w:rFonts w:hint="eastAsia" w:hAnsi="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篡改</w:t>
      </w:r>
      <w:r>
        <w:rPr>
          <w:rFonts w:hint="eastAsia" w:hAnsi="宋体" w:cs="宋体"/>
          <w:kern w:val="2"/>
          <w:sz w:val="21"/>
          <w:szCs w:val="21"/>
          <w:highlight w:val="none"/>
          <w:lang w:val="en-US" w:eastAsia="zh-CN" w:bidi="ar-SA"/>
        </w:rPr>
        <w:t>、水电计量表未定期校验或校验“不合格”/偏差过大且未及时更换，</w:t>
      </w:r>
      <w:r>
        <w:rPr>
          <w:rFonts w:hint="eastAsia" w:ascii="宋体" w:hAnsi="宋体" w:eastAsia="宋体" w:cs="宋体"/>
          <w:kern w:val="2"/>
          <w:sz w:val="21"/>
          <w:szCs w:val="21"/>
          <w:highlight w:val="none"/>
          <w:lang w:val="en-US" w:eastAsia="zh-CN" w:bidi="ar-SA"/>
        </w:rPr>
        <w:t>致使资产流失的事件</w:t>
      </w:r>
      <w:r>
        <w:rPr>
          <w:rFonts w:hint="eastAsia" w:hAnsi="宋体" w:cs="宋体"/>
          <w:kern w:val="2"/>
          <w:sz w:val="21"/>
          <w:szCs w:val="21"/>
          <w:highlight w:val="none"/>
          <w:lang w:val="en-US" w:eastAsia="zh-CN" w:bidi="ar-SA"/>
        </w:rPr>
        <w:t>，一切损失由托管服务单位承担，并从本项目履约保函或结算费用中扣除；如造成资产流失/损失无法估量，则医院有权酌情按照“损失期限/1年*年度基准费用*（1至30%）”的标准进行费用扣除和考核。</w:t>
      </w:r>
    </w:p>
    <w:p>
      <w:pPr>
        <w:widowControl w:val="0"/>
        <w:spacing w:line="560" w:lineRule="exact"/>
        <w:ind w:firstLine="561"/>
        <w:jc w:val="both"/>
        <w:rPr>
          <w:rFonts w:hint="eastAsia" w:ascii="Calibri" w:hAnsi="Calibri" w:eastAsia="宋体" w:cs="Times New Roman"/>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  建设智慧能源服务中心/能源应急指挥中心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4.11.1 主要建设内容及要求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 根据医院智慧化运营需求及相关法规要求，建设医院智慧化能源服务中心，主要包含智慧能源系统平台建设，服务中心建设等的软件、硬件、</w:t>
      </w:r>
      <w:r>
        <w:rPr>
          <w:rFonts w:hint="eastAsia" w:ascii="宋体" w:eastAsia="宋体" w:cs="宋体"/>
          <w:sz w:val="21"/>
          <w:szCs w:val="21"/>
          <w:highlight w:val="none"/>
          <w:lang w:val="en-US" w:eastAsia="zh-CN"/>
        </w:rPr>
        <w:t>场地改造</w:t>
      </w:r>
      <w:r>
        <w:rPr>
          <w:rFonts w:hint="eastAsia" w:ascii="宋体" w:hAnsi="宋体" w:eastAsia="宋体" w:cs="宋体"/>
          <w:b w:val="0"/>
          <w:bCs w:val="0"/>
          <w:color w:val="auto"/>
          <w:kern w:val="2"/>
          <w:sz w:val="21"/>
          <w:szCs w:val="21"/>
          <w:highlight w:val="none"/>
          <w:lang w:val="en-US" w:eastAsia="zh-CN" w:bidi="ar-SA"/>
        </w:rPr>
        <w:t>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 智慧能源系统平台，整合了能源管理平台、设备监控平台、智慧化运维平台在内3个类型平台的内容及功能。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 智慧能源系统平台，分设备系统主要有：供配电系统/电力集控站（含高低压配电、发电机、UPS）、空调系统、照明系统、热水系统、给排水系统（供水监控系统、地下室给水井监控系统）、光伏系统、温室气体排放监测及统计系统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4）服务中心建设，主要包含约50至100㎡的场地</w:t>
      </w:r>
      <w:r>
        <w:rPr>
          <w:rFonts w:hint="eastAsia" w:ascii="宋体" w:eastAsia="宋体" w:cs="宋体"/>
          <w:sz w:val="21"/>
          <w:szCs w:val="21"/>
          <w:highlight w:val="none"/>
          <w:lang w:val="en-US" w:eastAsia="zh-CN"/>
        </w:rPr>
        <w:t>场地改造</w:t>
      </w:r>
      <w:r>
        <w:rPr>
          <w:rFonts w:hint="eastAsia" w:ascii="宋体" w:hAnsi="宋体" w:eastAsia="宋体" w:cs="宋体"/>
          <w:b w:val="0"/>
          <w:bCs w:val="0"/>
          <w:color w:val="auto"/>
          <w:kern w:val="2"/>
          <w:sz w:val="21"/>
          <w:szCs w:val="21"/>
          <w:highlight w:val="none"/>
          <w:lang w:val="en-US" w:eastAsia="zh-CN" w:bidi="ar-SA"/>
        </w:rPr>
        <w:t>、工作站、后备能源供应系统、智慧化大屏、远程音视频连接系统、工作台、会议桌、档案柜及相关办公设备设施等，做能源托管服务管理、调度、监控和应急指挥中心、参观展示等用途。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4.11.2  智慧能源服务平台综合功能要求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1）平台用户管理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支持多角色（平台维护用户、医院管理用户、医院需求用户、服务单位管理用户、执行人员用户等）多维度（系统、楼栋、科室、区域等）的分权分域管理，提供各类的角色用户的定义，为不同角色用户开启不同的权限，以形成对信息的分割和保护，确保安全高效。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2）BI分析及界面调整需求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支持按医院需求的BI分析和界面调整，能将运维各系统设备数据进行有效的整合，快速准确地提供报表和分析图表，帮助领导进行经营决策和日常管理。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3）BI分析功能板块要求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BI分析至少包含：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a、能源管理：能耗分析、KPI分析、成本分析、对标分析等；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b、设备管理：设备能效分析、设备状态分析、设备运行管理分析等；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c、运维管理：工单分析、报修分析、运维质量分析、满意度分析等功能。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4）平台联网需求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平台需支持接入医院外网或互联网中至少一种，可实现联网账户登录后，实时查看平台所有信息。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5）平台互联互通需求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需要接入大量底层物联网设备及系统，同时为了满足后期需求的增加，需保障其能够实现对接和互联互通。故服务单位提供的产品服务需满足各类使用主流物联网协议的数据采集器的原始数据接入和采集。处理第三方系统的数据接入工作，能够获取到其它第三方系统提供的各类协议的原始数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6）平台移动APP功能要求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智慧能源服务平台需具备手机APP端，可通过APP端实现能源管理平台和设备监控平台主要指标实时查看，并实现智慧运维平台的主要信息查看和主要功能操作（设备台账编辑、报修提交、进度追踪、报修服务确认、服务质量评价、意见反馈、月度服务满意度问卷提交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为便利医院各科室使用，报修提交、服务质量评价及月度服务满意度问卷提交等功能，需同时支持微信扫码登录预设界面操作。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7）工作看板管理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建设工作看板界面，按照周度、月度、季度、年度周期，显示本能源托管项目计划性工作任务、重点工作和紧急工作任务等，并关联工单系统，以支持医院和服务单位的计划性工作管理。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医院管理用户和服务单位管理用户，可通过平台编辑布置工作任务后，列入界面显示及提醒。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8）周期工作自评管理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按照月度、季度、年度周期，建立服务单位自评事项及指标清单，并可通过平台实现工作自评提交及自评报告生成。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9）月度满意度调查管理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建立医院管理科室及需求科室的月度满意度评价事项及指标清单，并可通过平台按月收集服务满意度情况后，自动生成月度服务满意度调查报告。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4.11.3  能源管理平台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能源管理平台，主要侧重各用能系统、设备、区域的能耗实时监测、统计、用能分析。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4.11.3、1  综合功能要求：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1）实现全院及主要用能设备的用电、用水等各类能耗，以及院区碳排放的在线计量/监测、统计、分析。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提供多项数据分析组件，包括能耗同环比概览、KPI仪表盘、能耗排名、实时能耗趋势、重点区域用能、能源成本分析、告警事件分析、设备状态监测、告警统计、用能分项占比、关联分析、项目点位概览、单位面积能耗排名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3）实现数字化、智能化的能源管理，实时采集、统计、分析建筑用能数据，优化空调、电梯、照明等用能设备控制策略，实现智慧监控和能耗预警，提高能源使用效率。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4）支持展示当日用电趋势、本月能耗总览（同比、环比）、能源占比、电能耗评价（同期相比）、关键KPI概览、今日告警总览信息。</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5）支持对各维度的能耗KPI的管理，包括单位建筑面积能耗、人均水耗、单位建筑面积碳排放、万元收入能耗支出、人均综合能耗等。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6）智慧化能源管理支持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利用大数据分析技术，深度挖掘数字资源，分析医院用能、用水和碳排放特征及水平，测算各环节、各部位、各设备节能降碳潜力，强化数据分析结果应用，为科学决策、精准施策提供有力支撑。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4.11.3.2  系统功能要求</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1）管理驾驶舱</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项目管理驾驶舱针对项目概览、定额用能趋势、用能趋势、用能趋势、单位面积耗能趋势、告警记录和社会价值分八个图表进行数据统计展示。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1" w:name="_Toc28388"/>
      <w:r>
        <w:rPr>
          <w:rFonts w:hint="eastAsia" w:ascii="宋体" w:hAnsi="宋体" w:eastAsia="宋体" w:cs="宋体"/>
          <w:b/>
          <w:bCs/>
          <w:kern w:val="2"/>
          <w:sz w:val="21"/>
          <w:szCs w:val="21"/>
          <w:highlight w:val="none"/>
          <w:lang w:val="en-US" w:eastAsia="zh-CN"/>
        </w:rPr>
        <w:t>项目总览</w:t>
      </w:r>
      <w:bookmarkEnd w:id="1"/>
      <w:r>
        <w:rPr>
          <w:rFonts w:hint="eastAsia" w:ascii="宋体" w:hAnsi="宋体" w:eastAsia="宋体" w:cs="宋体"/>
          <w:b/>
          <w:bCs/>
          <w:kern w:val="2"/>
          <w:sz w:val="21"/>
          <w:szCs w:val="21"/>
          <w:highlight w:val="none"/>
          <w:lang w:val="en-US" w:eastAsia="zh-CN"/>
        </w:rPr>
        <w:t>：</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查看本项目下的数据，展示项目概况、定额用能趋势、分项用能分布、空调用电趋势、能效指标、社会价值、告警记录、能耗趋势，展示各能耗类型的用能总量、总费用、节能率、定额完成率、碳排放总量等图表数据，支持查看不同能耗类型、不同时间维度的数据。</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运行监测：</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直观查看变配电参数数据；</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支持按照楼层、位置、灯的类型对照明系统进行上下班模式的调控；</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直观查看空调设备各参数指标；</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直观查看给排水系统各参数指标和报警状态</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2" w:name="_Toc4334"/>
      <w:r>
        <w:rPr>
          <w:rFonts w:hint="eastAsia" w:ascii="宋体" w:hAnsi="宋体" w:eastAsia="宋体" w:cs="宋体"/>
          <w:b/>
          <w:bCs/>
          <w:kern w:val="2"/>
          <w:sz w:val="21"/>
          <w:szCs w:val="21"/>
          <w:highlight w:val="none"/>
          <w:lang w:val="en-US" w:eastAsia="zh-CN" w:bidi="ar-SA"/>
        </w:rPr>
        <w:t>2）能源分析</w:t>
      </w:r>
      <w:bookmarkEnd w:id="2"/>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统一展示各项目能源概况，对能耗进行进一步的分类分析，主要内容分为六大部分：项目的能源总览、能效分析、流向分析、趋势分析、对比分析和环境监测</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3" w:name="_Toc4225"/>
      <w:bookmarkStart w:id="4" w:name="_Toc5402"/>
      <w:bookmarkStart w:id="5" w:name="_Toc10814"/>
      <w:r>
        <w:rPr>
          <w:rFonts w:hint="eastAsia" w:ascii="宋体" w:hAnsi="宋体" w:eastAsia="宋体" w:cs="宋体"/>
          <w:b/>
          <w:bCs/>
          <w:kern w:val="2"/>
          <w:sz w:val="21"/>
          <w:szCs w:val="21"/>
          <w:highlight w:val="none"/>
          <w:lang w:val="en-US" w:eastAsia="zh-CN"/>
        </w:rPr>
        <w:t>能源总览</w:t>
      </w:r>
      <w:bookmarkEnd w:id="3"/>
      <w:bookmarkEnd w:id="4"/>
      <w:bookmarkEnd w:id="5"/>
      <w:r>
        <w:rPr>
          <w:rFonts w:hint="eastAsia" w:ascii="宋体" w:hAnsi="宋体" w:eastAsia="宋体" w:cs="宋体"/>
          <w:b/>
          <w:bCs/>
          <w:kern w:val="2"/>
          <w:sz w:val="21"/>
          <w:szCs w:val="21"/>
          <w:highlight w:val="none"/>
          <w:lang w:val="en-US" w:eastAsia="zh-CN"/>
        </w:rPr>
        <w:t>：</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查看本项目下的能源类图表数据，包括近两月定额完成情况、年度定额完成情况、分项用能分布、节能率、能耗趋势、环境品质、总支不平衡率、单位面积碳排和减碳趋势、能效指标、用能分区趋势、用能分项趋势等图表，展示用能、节能、节费总量等数据，支持查看不同能耗类型、不同时间维度的数据</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6" w:name="_Toc20891"/>
      <w:bookmarkStart w:id="7" w:name="_Toc7974"/>
      <w:bookmarkStart w:id="8" w:name="_Toc12182"/>
      <w:r>
        <w:rPr>
          <w:rFonts w:hint="eastAsia" w:ascii="宋体" w:hAnsi="宋体" w:eastAsia="宋体" w:cs="宋体"/>
          <w:b/>
          <w:bCs/>
          <w:kern w:val="2"/>
          <w:sz w:val="21"/>
          <w:szCs w:val="21"/>
          <w:highlight w:val="none"/>
          <w:lang w:val="en-US" w:eastAsia="zh-CN"/>
        </w:rPr>
        <w:t>能效分析</w:t>
      </w:r>
      <w:bookmarkEnd w:id="6"/>
      <w:bookmarkEnd w:id="7"/>
      <w:bookmarkEnd w:id="8"/>
      <w:r>
        <w:rPr>
          <w:rFonts w:hint="eastAsia" w:ascii="宋体" w:hAnsi="宋体" w:eastAsia="宋体" w:cs="宋体"/>
          <w:b/>
          <w:bCs/>
          <w:kern w:val="2"/>
          <w:sz w:val="21"/>
          <w:szCs w:val="21"/>
          <w:highlight w:val="none"/>
          <w:lang w:val="en-US" w:eastAsia="zh-CN"/>
        </w:rPr>
        <w:t>：</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支持结合室外环境监测查看设备状态、实时功率、运行参数监测、相似日负荷、能效监测等数据</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9" w:name="_Toc26154"/>
      <w:bookmarkStart w:id="10" w:name="_Toc15643"/>
      <w:bookmarkStart w:id="11" w:name="_Toc18984"/>
      <w:r>
        <w:rPr>
          <w:rFonts w:hint="eastAsia" w:ascii="宋体" w:hAnsi="宋体" w:eastAsia="宋体" w:cs="宋体"/>
          <w:b/>
          <w:bCs/>
          <w:kern w:val="2"/>
          <w:sz w:val="21"/>
          <w:szCs w:val="21"/>
          <w:highlight w:val="none"/>
          <w:lang w:val="en-US" w:eastAsia="zh-CN"/>
        </w:rPr>
        <w:t>流向分析</w:t>
      </w:r>
      <w:bookmarkEnd w:id="9"/>
      <w:bookmarkEnd w:id="10"/>
      <w:bookmarkEnd w:id="11"/>
      <w:r>
        <w:rPr>
          <w:rFonts w:hint="eastAsia" w:ascii="宋体" w:hAnsi="宋体" w:eastAsia="宋体" w:cs="宋体"/>
          <w:b/>
          <w:bCs/>
          <w:kern w:val="2"/>
          <w:sz w:val="21"/>
          <w:szCs w:val="21"/>
          <w:highlight w:val="none"/>
          <w:lang w:val="en-US" w:eastAsia="zh-CN"/>
        </w:rPr>
        <w:t>：</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支持查看一定时间范围内、不同能耗类型的分项或分区的能流图，支持查看分项或分区节点的总支不平衡率、定额完成率，支持查看该节点是否存在能耗告警，</w:t>
      </w:r>
      <w:r>
        <w:rPr>
          <w:rFonts w:hint="eastAsia" w:ascii="宋体" w:hAnsi="宋体" w:eastAsia="宋体" w:cs="宋体"/>
          <w:b/>
          <w:bCs/>
          <w:kern w:val="2"/>
          <w:sz w:val="21"/>
          <w:szCs w:val="21"/>
          <w:highlight w:val="none"/>
          <w:lang w:val="en-US" w:eastAsia="zh-CN"/>
        </w:rPr>
        <w:t>告警状态需通过能流图颜色体现，支持查看告警列表、关联工单</w:t>
      </w:r>
      <w:r>
        <w:rPr>
          <w:rFonts w:hint="eastAsia" w:ascii="宋体" w:hAnsi="宋体" w:eastAsia="宋体" w:cs="宋体"/>
          <w:kern w:val="2"/>
          <w:sz w:val="21"/>
          <w:szCs w:val="21"/>
          <w:highlight w:val="none"/>
          <w:lang w:val="en-US" w:eastAsia="zh-CN"/>
        </w:rPr>
        <w:t>，</w:t>
      </w:r>
      <w:r>
        <w:rPr>
          <w:rFonts w:hint="eastAsia" w:ascii="宋体" w:hAnsi="宋体" w:eastAsia="宋体" w:cs="宋体"/>
          <w:b/>
          <w:bCs/>
          <w:kern w:val="2"/>
          <w:sz w:val="21"/>
          <w:szCs w:val="21"/>
          <w:highlight w:val="none"/>
          <w:lang w:val="en-US" w:eastAsia="zh-CN"/>
        </w:rPr>
        <w:t>支持对能耗告警进行转工单等操作</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12" w:name="_Toc4501"/>
      <w:bookmarkStart w:id="13" w:name="_Toc3095"/>
      <w:bookmarkStart w:id="14" w:name="_Toc26468"/>
      <w:r>
        <w:rPr>
          <w:rFonts w:hint="eastAsia" w:ascii="宋体" w:hAnsi="宋体" w:eastAsia="宋体" w:cs="宋体"/>
          <w:b/>
          <w:bCs/>
          <w:kern w:val="2"/>
          <w:sz w:val="21"/>
          <w:szCs w:val="21"/>
          <w:highlight w:val="none"/>
          <w:lang w:val="en-US" w:eastAsia="zh-CN"/>
        </w:rPr>
        <w:t>趋势分析</w:t>
      </w:r>
      <w:bookmarkEnd w:id="12"/>
      <w:bookmarkEnd w:id="13"/>
      <w:bookmarkEnd w:id="14"/>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结合室外环境监测，查看各能耗类型下分区或分项节点合计的总能耗、单位面积能耗趋势分析，支持对比室外温度查看实际能耗、预测能耗、定额能耗的趋势，支持查看并导出各级节点的能耗分析报表，支持在本页进行手工抄表，以修正或补充计量表读数</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15" w:name="_Toc28942"/>
      <w:bookmarkStart w:id="16" w:name="_Toc27158"/>
      <w:bookmarkStart w:id="17" w:name="_Toc30363"/>
      <w:r>
        <w:rPr>
          <w:rFonts w:hint="eastAsia" w:ascii="宋体" w:hAnsi="宋体" w:eastAsia="宋体" w:cs="宋体"/>
          <w:b/>
          <w:bCs/>
          <w:kern w:val="2"/>
          <w:sz w:val="21"/>
          <w:szCs w:val="21"/>
          <w:highlight w:val="none"/>
          <w:lang w:val="en-US" w:eastAsia="zh-CN"/>
        </w:rPr>
        <w:t>对比分析</w:t>
      </w:r>
      <w:bookmarkEnd w:id="15"/>
      <w:bookmarkEnd w:id="16"/>
      <w:bookmarkEnd w:id="17"/>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结合室外环境监测，查看各能耗类型下分区或分项节点的总能耗、单位面积能耗对比分析，支持对比室外温度查看实际能耗、预测能耗、定额能耗的趋势，支持查看并导出各级节点的能耗分析报表，支持在本页进行手工抄表，以修正或补充计量表读数</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18" w:name="_Toc24246"/>
      <w:bookmarkStart w:id="19" w:name="_Toc24947"/>
      <w:bookmarkStart w:id="20" w:name="_Toc32721"/>
      <w:r>
        <w:rPr>
          <w:rFonts w:hint="eastAsia" w:ascii="宋体" w:hAnsi="宋体" w:eastAsia="宋体" w:cs="宋体"/>
          <w:b/>
          <w:bCs/>
          <w:kern w:val="2"/>
          <w:sz w:val="21"/>
          <w:szCs w:val="21"/>
          <w:highlight w:val="none"/>
          <w:lang w:val="en-US" w:eastAsia="zh-CN"/>
        </w:rPr>
        <w:t>环境监测</w:t>
      </w:r>
      <w:bookmarkEnd w:id="18"/>
      <w:bookmarkEnd w:id="19"/>
      <w:bookmarkEnd w:id="20"/>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1、以空间的维度显示温度、湿度、PM2.5、CO2等，包括并通过走势图查看温度、湿度和其他环境参数变化趋势，以及温度与湿度是否在舒适阈值范围之内</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2、环境指标可设置多样化的阀值，比如最大值、最小值、变化幅度等。当采集到的数据值或变化的幅度超过阀值以后，就会触发环境报警事件</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3、通过本地气象站或天气预报监测室外温度、湿度、PM2.5、风速、风向和气压等参数，以及变化参数</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21" w:name="_Toc20324"/>
      <w:r>
        <w:rPr>
          <w:rFonts w:hint="eastAsia" w:ascii="宋体" w:hAnsi="宋体" w:eastAsia="宋体" w:cs="宋体"/>
          <w:b/>
          <w:bCs/>
          <w:kern w:val="2"/>
          <w:sz w:val="21"/>
          <w:szCs w:val="21"/>
          <w:highlight w:val="none"/>
          <w:lang w:val="en-US" w:eastAsia="zh-CN" w:bidi="ar-SA"/>
        </w:rPr>
        <w:t>3）碳排分析</w:t>
      </w:r>
      <w:bookmarkEnd w:id="21"/>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通过图表对碳排进行统计分析，分为两大部分内容：碳排总览和碳排分析。</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22" w:name="_Toc9055"/>
      <w:bookmarkStart w:id="23" w:name="_Toc17230"/>
      <w:bookmarkStart w:id="24" w:name="_Toc26685"/>
      <w:r>
        <w:rPr>
          <w:rFonts w:hint="eastAsia" w:ascii="宋体" w:hAnsi="宋体" w:eastAsia="宋体" w:cs="宋体"/>
          <w:b/>
          <w:bCs/>
          <w:kern w:val="2"/>
          <w:sz w:val="21"/>
          <w:szCs w:val="21"/>
          <w:highlight w:val="none"/>
          <w:lang w:val="en-US" w:eastAsia="zh-CN"/>
        </w:rPr>
        <w:t>碳排总览</w:t>
      </w:r>
      <w:bookmarkEnd w:id="22"/>
      <w:bookmarkEnd w:id="23"/>
      <w:bookmarkEnd w:id="24"/>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查看本项目下的碳排类图表数据，包括碳排排名、分项碳排分布、单位面积碳排和减碳趋势、碳排趋势、光伏发电趋势等图表，展示碳排、减排、绿电发电总量等数据，支持查看不同能耗类型、不同时间维度的数据</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25" w:name="_Toc32536"/>
      <w:bookmarkStart w:id="26" w:name="_Toc22399"/>
      <w:bookmarkStart w:id="27" w:name="_Toc9399"/>
      <w:r>
        <w:rPr>
          <w:rFonts w:hint="eastAsia" w:ascii="宋体" w:hAnsi="宋体" w:eastAsia="宋体" w:cs="宋体"/>
          <w:b/>
          <w:bCs/>
          <w:kern w:val="2"/>
          <w:sz w:val="21"/>
          <w:szCs w:val="21"/>
          <w:highlight w:val="none"/>
          <w:lang w:val="en-US" w:eastAsia="zh-CN"/>
        </w:rPr>
        <w:t>碳排分析</w:t>
      </w:r>
      <w:bookmarkEnd w:id="25"/>
      <w:bookmarkEnd w:id="26"/>
      <w:bookmarkEnd w:id="27"/>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支持结合室外环境监测，查看各能耗类型下分区或分项节点合计的总碳排、单位面积碳排趋势、对比分析，支持对比室外温度查看实际碳排、定额碳排的趋势，支持查看并导出各级节点的碳排分析报表</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4）工作看板</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通过数据看板、能源总览、碳排总览三个板块对项目各数据指标进行统计展示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28" w:name="_Toc22113"/>
      <w:bookmarkStart w:id="29" w:name="_Toc8267"/>
      <w:bookmarkStart w:id="30" w:name="_Toc26273"/>
      <w:r>
        <w:rPr>
          <w:rFonts w:hint="eastAsia" w:ascii="宋体" w:hAnsi="宋体" w:eastAsia="宋体" w:cs="宋体"/>
          <w:b/>
          <w:bCs/>
          <w:kern w:val="2"/>
          <w:sz w:val="21"/>
          <w:szCs w:val="21"/>
          <w:highlight w:val="none"/>
          <w:lang w:val="en-US" w:eastAsia="zh-CN"/>
        </w:rPr>
        <w:t>数据看板</w:t>
      </w:r>
      <w:bookmarkEnd w:id="28"/>
      <w:bookmarkEnd w:id="29"/>
      <w:bookmarkEnd w:id="30"/>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支持按时间段（日、月、年）、组织、项目名称、业态和所在的地区对项目进行搜索导出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31" w:name="_Toc3145"/>
      <w:bookmarkStart w:id="32" w:name="_Toc18186"/>
      <w:bookmarkStart w:id="33" w:name="_Toc3589"/>
      <w:r>
        <w:rPr>
          <w:rFonts w:hint="eastAsia" w:ascii="宋体" w:hAnsi="宋体" w:eastAsia="宋体" w:cs="宋体"/>
          <w:b/>
          <w:bCs/>
          <w:kern w:val="2"/>
          <w:sz w:val="21"/>
          <w:szCs w:val="21"/>
          <w:highlight w:val="none"/>
          <w:lang w:val="en-US" w:eastAsia="zh-CN"/>
        </w:rPr>
        <w:t>能源总览（总部）</w:t>
      </w:r>
      <w:bookmarkEnd w:id="31"/>
      <w:bookmarkEnd w:id="32"/>
      <w:bookmarkEnd w:id="33"/>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查看本项目下的能源类图表数据，包括近两月定额完成情况、年度定额完成情况、分项用能分布、节能率、能耗趋势、环境品质、总支不平衡率、单位面积碳排和减碳趋势、能效指标、用能分区趋势、用能分项趋势等图表，展示用能、节能、节费总量等数据，支持查看不同能耗类型、不同时间维度的数据</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5）负荷预测</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采用神经网络等智能预测算法，根据历史和实时运行数据、室外气象参数、客流量分析，建立楼宇负荷预测模型，通过室外环境监测、能耗实际预测、统计报表来展示。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b/>
          <w:bCs/>
          <w:kern w:val="2"/>
          <w:sz w:val="21"/>
          <w:szCs w:val="21"/>
          <w:highlight w:val="none"/>
          <w:lang w:val="en-US" w:eastAsia="zh-CN"/>
        </w:rPr>
        <w:t>室外环境监测：</w:t>
      </w:r>
      <w:r>
        <w:rPr>
          <w:rFonts w:hint="eastAsia" w:ascii="宋体" w:hAnsi="宋体" w:eastAsia="宋体" w:cs="宋体"/>
          <w:kern w:val="2"/>
          <w:sz w:val="21"/>
          <w:szCs w:val="21"/>
          <w:highlight w:val="none"/>
          <w:lang w:val="en-US" w:eastAsia="zh-CN"/>
        </w:rPr>
        <w:t>可查看项目建筑的室外的环境情况，如：温度、湿度、PM2.5、风向\风速、气压。</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b/>
          <w:bCs/>
          <w:kern w:val="2"/>
          <w:sz w:val="21"/>
          <w:szCs w:val="21"/>
          <w:highlight w:val="none"/>
          <w:lang w:val="en-US" w:eastAsia="zh-CN"/>
        </w:rPr>
        <w:t>时间维度：</w:t>
      </w:r>
      <w:r>
        <w:rPr>
          <w:rFonts w:hint="eastAsia" w:ascii="宋体" w:hAnsi="宋体" w:eastAsia="宋体" w:cs="宋体"/>
          <w:kern w:val="2"/>
          <w:sz w:val="21"/>
          <w:szCs w:val="21"/>
          <w:highlight w:val="none"/>
          <w:lang w:val="en-US" w:eastAsia="zh-CN"/>
        </w:rPr>
        <w:t>根据时间维度，天或小时维度来统计当前项目的实际能耗情况，以及根据神经网络算法预测的能耗趋势，并计算对应维度的预测准确性；</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先选时间范围，再选颗粒度，时间范围能选到日期，默认选择当前天。</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按照天维度范围最大选择30天，按照小时时间范围选择按小时。</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小时维度，时长跨度为1天，天维度，时长跨度为1天。</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34" w:name="_Toc4426"/>
      <w:r>
        <w:rPr>
          <w:rFonts w:hint="eastAsia" w:ascii="宋体" w:hAnsi="宋体" w:eastAsia="宋体" w:cs="宋体"/>
          <w:b/>
          <w:bCs/>
          <w:kern w:val="2"/>
          <w:sz w:val="21"/>
          <w:szCs w:val="21"/>
          <w:highlight w:val="none"/>
          <w:lang w:val="en-US" w:eastAsia="zh-CN" w:bidi="ar-SA"/>
        </w:rPr>
        <w:t>6）定额管理</w:t>
      </w:r>
      <w:bookmarkEnd w:id="34"/>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可针对项目的分区或分项配置对应的月维度的定额能耗，定额碳排进行编辑、批量导出、批量导入、搜索、重置操作。</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35" w:name="_Toc7758"/>
      <w:r>
        <w:rPr>
          <w:rFonts w:hint="eastAsia" w:ascii="宋体" w:hAnsi="宋体" w:eastAsia="宋体" w:cs="宋体"/>
          <w:b/>
          <w:bCs/>
          <w:kern w:val="2"/>
          <w:sz w:val="21"/>
          <w:szCs w:val="21"/>
          <w:highlight w:val="none"/>
          <w:lang w:val="en-US" w:eastAsia="zh-CN" w:bidi="ar-SA"/>
        </w:rPr>
        <w:t>7）运行模式</w:t>
      </w:r>
      <w:bookmarkEnd w:id="35"/>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设备进行定时控制，通过改变模式状态来控制设备的启停。布局分为日历模式和列表模式，并能够进行新增模式，搜索、重置操作，同时能对模式记录进行启用或禁用操作；在模式处于启用状态时，可对记录进行禁用或查看操作；在模式处于禁用状态时，可对记录进行启用、编辑、删除操作。</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b/>
          <w:bCs/>
          <w:kern w:val="2"/>
          <w:sz w:val="21"/>
          <w:szCs w:val="21"/>
          <w:highlight w:val="none"/>
          <w:lang w:val="en-US" w:eastAsia="zh-CN"/>
        </w:rPr>
        <w:t>新增模式：</w:t>
      </w:r>
      <w:r>
        <w:rPr>
          <w:rFonts w:hint="eastAsia" w:ascii="宋体" w:hAnsi="宋体" w:eastAsia="宋体" w:cs="宋体"/>
          <w:kern w:val="2"/>
          <w:sz w:val="21"/>
          <w:szCs w:val="21"/>
          <w:highlight w:val="none"/>
          <w:lang w:val="en-US" w:eastAsia="zh-CN"/>
        </w:rPr>
        <w:t>点击新增运行模式，进入新增页面，填写完整的信息：执行信息，基础信息后，点击保存，即可新增成功。</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kern w:val="2"/>
          <w:sz w:val="21"/>
          <w:szCs w:val="21"/>
          <w:highlight w:val="none"/>
          <w:lang w:val="en-US" w:eastAsia="zh-CN"/>
        </w:rPr>
      </w:pPr>
      <w:bookmarkStart w:id="36" w:name="_Toc25001"/>
      <w:r>
        <w:rPr>
          <w:rFonts w:hint="eastAsia" w:ascii="宋体" w:hAnsi="宋体" w:eastAsia="宋体" w:cs="宋体"/>
          <w:b/>
          <w:bCs/>
          <w:kern w:val="2"/>
          <w:sz w:val="21"/>
          <w:szCs w:val="21"/>
          <w:highlight w:val="none"/>
          <w:lang w:val="en-US" w:eastAsia="zh-CN"/>
        </w:rPr>
        <w:t>查看\启用\编辑\禁用\删除</w:t>
      </w:r>
      <w:bookmarkEnd w:id="36"/>
      <w:r>
        <w:rPr>
          <w:rFonts w:hint="eastAsia" w:ascii="宋体" w:hAnsi="宋体" w:eastAsia="宋体" w:cs="宋体"/>
          <w:b/>
          <w:bCs/>
          <w:kern w:val="2"/>
          <w:sz w:val="21"/>
          <w:szCs w:val="21"/>
          <w:highlight w:val="none"/>
          <w:lang w:val="en-US" w:eastAsia="zh-CN"/>
        </w:rPr>
        <w:t>:</w:t>
      </w:r>
      <w:r>
        <w:rPr>
          <w:rFonts w:hint="eastAsia" w:ascii="宋体" w:hAnsi="宋体" w:eastAsia="宋体" w:cs="宋体"/>
          <w:kern w:val="2"/>
          <w:sz w:val="21"/>
          <w:szCs w:val="21"/>
          <w:highlight w:val="none"/>
          <w:lang w:val="en-US" w:eastAsia="zh-CN"/>
        </w:rPr>
        <w:t>在模式处于启用状态时，可对记录进行禁用或查看操作；在模式处于禁用状态时，可对记录进行启用、编辑、删除操作。</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37" w:name="_Toc9757"/>
      <w:r>
        <w:rPr>
          <w:rFonts w:hint="eastAsia" w:ascii="宋体" w:hAnsi="宋体" w:eastAsia="宋体" w:cs="宋体"/>
          <w:b/>
          <w:bCs/>
          <w:kern w:val="2"/>
          <w:sz w:val="21"/>
          <w:szCs w:val="21"/>
          <w:highlight w:val="none"/>
          <w:lang w:val="en-US" w:eastAsia="zh-CN" w:bidi="ar-SA"/>
        </w:rPr>
        <w:t>8）联动模式</w:t>
      </w:r>
      <w:bookmarkEnd w:id="37"/>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可根据设备的运行模式的执行动作来触发多设备的执行情况，实现设备联动控制；</w:t>
      </w:r>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能够进行新增联动配置，搜索、重置操作，同时能对模式记录进行启用或禁用操作；在模式处于启用状态时，可对记录进行禁用或查看操作；在模式处于禁用状态时，可对记录进行启用、编辑、删除操作。</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38" w:name="_Toc22071"/>
      <w:r>
        <w:rPr>
          <w:rFonts w:hint="eastAsia" w:ascii="宋体" w:hAnsi="宋体" w:eastAsia="宋体" w:cs="宋体"/>
          <w:b/>
          <w:bCs/>
          <w:kern w:val="2"/>
          <w:sz w:val="21"/>
          <w:szCs w:val="21"/>
          <w:highlight w:val="none"/>
          <w:lang w:val="en-US" w:eastAsia="zh-CN" w:bidi="ar-SA"/>
        </w:rPr>
        <w:t>9）光伏监测</w:t>
      </w:r>
      <w:bookmarkEnd w:id="38"/>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可针对光伏设备做精细化能耗管理，分别从数据看板、光伏总览、逐时功率趋势、光伏发电量统计、产生的社会价值、用电能流图几个方面进行统计展示。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39" w:name="_Toc21148"/>
      <w:bookmarkStart w:id="40" w:name="_Toc21926"/>
      <w:r>
        <w:rPr>
          <w:rFonts w:hint="eastAsia" w:ascii="宋体" w:hAnsi="宋体" w:eastAsia="宋体" w:cs="宋体"/>
          <w:b/>
          <w:bCs/>
          <w:kern w:val="2"/>
          <w:sz w:val="21"/>
          <w:szCs w:val="21"/>
          <w:highlight w:val="none"/>
          <w:lang w:val="en-US" w:eastAsia="zh-CN"/>
        </w:rPr>
        <w:t>数据看板</w:t>
      </w:r>
      <w:bookmarkEnd w:id="39"/>
      <w:bookmarkEnd w:id="40"/>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可针对光伏设备产生的累计PV发电量、负载消耗绿电占比、累计自发自用率、逆变器数量等指标进行监测。</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41" w:name="_Toc24400"/>
      <w:bookmarkStart w:id="42" w:name="_Toc14007"/>
      <w:r>
        <w:rPr>
          <w:rFonts w:hint="eastAsia" w:ascii="宋体" w:hAnsi="宋体" w:eastAsia="宋体" w:cs="宋体"/>
          <w:b/>
          <w:bCs/>
          <w:kern w:val="2"/>
          <w:sz w:val="21"/>
          <w:szCs w:val="21"/>
          <w:highlight w:val="none"/>
          <w:lang w:val="en-US" w:eastAsia="zh-CN"/>
        </w:rPr>
        <w:t>光伏总览</w:t>
      </w:r>
      <w:bookmarkEnd w:id="41"/>
      <w:bookmarkEnd w:id="42"/>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可针对光伏设备产生的光伏能源、储能、市电供电、负载等能源指标进行统计展示。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43" w:name="_Toc21264"/>
      <w:bookmarkStart w:id="44" w:name="_Toc9904"/>
      <w:r>
        <w:rPr>
          <w:rFonts w:hint="eastAsia" w:ascii="宋体" w:hAnsi="宋体" w:eastAsia="宋体" w:cs="宋体"/>
          <w:b/>
          <w:bCs/>
          <w:kern w:val="2"/>
          <w:sz w:val="21"/>
          <w:szCs w:val="21"/>
          <w:highlight w:val="none"/>
          <w:lang w:val="en-US" w:eastAsia="zh-CN"/>
        </w:rPr>
        <w:t>逐时功率</w:t>
      </w:r>
      <w:bookmarkEnd w:id="43"/>
      <w:bookmarkEnd w:id="44"/>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可针对光伏设备产生的PV功率、负载功率、自发自用率等能源指标按照日、月、年维度变化趋势进行统计展示。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45" w:name="_Toc25799"/>
      <w:bookmarkStart w:id="46" w:name="_Toc20059"/>
      <w:r>
        <w:rPr>
          <w:rFonts w:hint="eastAsia" w:ascii="宋体" w:hAnsi="宋体" w:eastAsia="宋体" w:cs="宋体"/>
          <w:b/>
          <w:bCs/>
          <w:kern w:val="2"/>
          <w:sz w:val="21"/>
          <w:szCs w:val="21"/>
          <w:highlight w:val="none"/>
          <w:lang w:val="en-US" w:eastAsia="zh-CN"/>
        </w:rPr>
        <w:t>光伏发电统计</w:t>
      </w:r>
      <w:bookmarkEnd w:id="45"/>
      <w:bookmarkEnd w:id="46"/>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可针对光伏设备产生发电数据的能源指标按照年维度和月维度变化趋势进行统计展示。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47" w:name="_Toc19249"/>
      <w:bookmarkStart w:id="48" w:name="_Toc19269"/>
      <w:r>
        <w:rPr>
          <w:rFonts w:hint="eastAsia" w:ascii="宋体" w:hAnsi="宋体" w:eastAsia="宋体" w:cs="宋体"/>
          <w:b/>
          <w:bCs/>
          <w:kern w:val="2"/>
          <w:sz w:val="21"/>
          <w:szCs w:val="21"/>
          <w:highlight w:val="none"/>
          <w:lang w:val="en-US" w:eastAsia="zh-CN"/>
        </w:rPr>
        <w:t>社会价值</w:t>
      </w:r>
      <w:bookmarkEnd w:id="47"/>
      <w:bookmarkEnd w:id="48"/>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可针对光伏设备产生社会贡献指标：理论节费、节约标准煤、co2减排量、等效植树能源指标进行统计展示。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49" w:name="_Toc10422"/>
      <w:bookmarkStart w:id="50" w:name="_Toc24056"/>
      <w:r>
        <w:rPr>
          <w:rFonts w:hint="eastAsia" w:ascii="宋体" w:hAnsi="宋体" w:eastAsia="宋体" w:cs="宋体"/>
          <w:b/>
          <w:bCs/>
          <w:kern w:val="2"/>
          <w:sz w:val="21"/>
          <w:szCs w:val="21"/>
          <w:highlight w:val="none"/>
          <w:lang w:val="en-US" w:eastAsia="zh-CN"/>
        </w:rPr>
        <w:t>用电能流图</w:t>
      </w:r>
      <w:bookmarkEnd w:id="49"/>
      <w:bookmarkEnd w:id="50"/>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可针对光伏设备产生市电供电、光伏发电、储能、配电柜分发给各个用电分项的日维度、月维度、年维度的用电能流图展示。</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51" w:name="_Toc18820"/>
      <w:r>
        <w:rPr>
          <w:rFonts w:hint="eastAsia" w:ascii="宋体" w:hAnsi="宋体" w:eastAsia="宋体" w:cs="宋体"/>
          <w:b/>
          <w:bCs/>
          <w:kern w:val="2"/>
          <w:sz w:val="21"/>
          <w:szCs w:val="21"/>
          <w:highlight w:val="none"/>
          <w:lang w:val="en-US" w:eastAsia="zh-CN" w:bidi="ar-SA"/>
        </w:rPr>
        <w:t>10）储能监测</w:t>
      </w:r>
      <w:bookmarkEnd w:id="51"/>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如光伏系统设置了储能设备的，应对储能指标做精细化管理，通过对储能总览、储能充放电统计、子系统的储能情况进行统计展示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52" w:name="_Toc31710"/>
      <w:bookmarkStart w:id="53" w:name="_Toc25446"/>
      <w:r>
        <w:rPr>
          <w:rFonts w:hint="eastAsia" w:ascii="宋体" w:hAnsi="宋体" w:eastAsia="宋体" w:cs="宋体"/>
          <w:b/>
          <w:bCs/>
          <w:kern w:val="2"/>
          <w:sz w:val="21"/>
          <w:szCs w:val="21"/>
          <w:highlight w:val="none"/>
          <w:lang w:val="en-US" w:eastAsia="zh-CN"/>
        </w:rPr>
        <w:t>储能</w:t>
      </w:r>
      <w:bookmarkEnd w:id="52"/>
      <w:r>
        <w:rPr>
          <w:rFonts w:hint="eastAsia" w:ascii="宋体" w:hAnsi="宋体" w:eastAsia="宋体" w:cs="宋体"/>
          <w:b/>
          <w:bCs/>
          <w:kern w:val="2"/>
          <w:sz w:val="21"/>
          <w:szCs w:val="21"/>
          <w:highlight w:val="none"/>
          <w:lang w:val="en-US" w:eastAsia="zh-CN"/>
        </w:rPr>
        <w:t>总览</w:t>
      </w:r>
      <w:bookmarkEnd w:id="53"/>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通过展示储能总览的相关能源指标：总充电量、总放电量、储能容量及充放电的收费的各个时段的情况，按照年维度、月维度、日维度来进行统计展示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54" w:name="_Toc32260"/>
      <w:bookmarkStart w:id="55" w:name="_Toc30114"/>
      <w:r>
        <w:rPr>
          <w:rFonts w:hint="eastAsia" w:ascii="宋体" w:hAnsi="宋体" w:eastAsia="宋体" w:cs="宋体"/>
          <w:b/>
          <w:bCs/>
          <w:kern w:val="2"/>
          <w:sz w:val="21"/>
          <w:szCs w:val="21"/>
          <w:highlight w:val="none"/>
          <w:lang w:val="en-US" w:eastAsia="zh-CN"/>
        </w:rPr>
        <w:t>储能充放电统计</w:t>
      </w:r>
      <w:bookmarkEnd w:id="54"/>
      <w:bookmarkEnd w:id="55"/>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通过展示储能充放电的统计：充电量、放电量，按照年维度、月维度、日维度变化趋势来进行统计展示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56" w:name="_Toc3787"/>
      <w:bookmarkStart w:id="57" w:name="_Toc8390"/>
      <w:r>
        <w:rPr>
          <w:rFonts w:hint="eastAsia" w:ascii="宋体" w:hAnsi="宋体" w:eastAsia="宋体" w:cs="宋体"/>
          <w:b/>
          <w:bCs/>
          <w:kern w:val="2"/>
          <w:sz w:val="21"/>
          <w:szCs w:val="21"/>
          <w:highlight w:val="none"/>
          <w:lang w:val="en-US" w:eastAsia="zh-CN"/>
        </w:rPr>
        <w:t>各个子系统的储能情况</w:t>
      </w:r>
      <w:bookmarkEnd w:id="56"/>
      <w:bookmarkEnd w:id="57"/>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通过展示储能设备子系统如下指标：储能容量、储能电量、今日充电量、今日放电量，SOC状态当天各个时点变化趋势来进行统计展示</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22" w:firstLineChars="200"/>
        <w:jc w:val="both"/>
        <w:textAlignment w:val="auto"/>
        <w:outlineLvl w:val="3"/>
        <w:rPr>
          <w:rFonts w:hint="eastAsia" w:ascii="宋体" w:hAnsi="宋体" w:eastAsia="宋体" w:cs="宋体"/>
          <w:b/>
          <w:bCs/>
          <w:kern w:val="2"/>
          <w:sz w:val="21"/>
          <w:szCs w:val="21"/>
          <w:highlight w:val="none"/>
          <w:lang w:val="en-US" w:eastAsia="zh-CN" w:bidi="ar-SA"/>
        </w:rPr>
      </w:pPr>
      <w:bookmarkStart w:id="58" w:name="_Toc4274"/>
      <w:r>
        <w:rPr>
          <w:rFonts w:hint="eastAsia" w:ascii="宋体" w:hAnsi="宋体" w:eastAsia="宋体" w:cs="宋体"/>
          <w:b/>
          <w:bCs/>
          <w:kern w:val="2"/>
          <w:sz w:val="21"/>
          <w:szCs w:val="21"/>
          <w:highlight w:val="none"/>
          <w:lang w:val="en-US" w:eastAsia="zh-CN" w:bidi="ar-SA"/>
        </w:rPr>
        <w:t>11）充电桩监测</w:t>
      </w:r>
      <w:bookmarkEnd w:id="58"/>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可针对充电桩设备做精细化能耗管理，分别从充电桩数据看板、充电桩总览、充电桩收益情况趋势、充电量统计、充电时长统计趋势图几个方面进行统计展示。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59" w:name="_Toc17768"/>
      <w:r>
        <w:rPr>
          <w:rFonts w:hint="eastAsia" w:ascii="宋体" w:hAnsi="宋体" w:eastAsia="宋体" w:cs="宋体"/>
          <w:b/>
          <w:bCs/>
          <w:kern w:val="2"/>
          <w:sz w:val="21"/>
          <w:szCs w:val="21"/>
          <w:highlight w:val="none"/>
          <w:lang w:val="en-US" w:eastAsia="zh-CN"/>
        </w:rPr>
        <w:t>充电桩数据看板</w:t>
      </w:r>
      <w:bookmarkEnd w:id="59"/>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可针对充电桩设备的数量、累计收益、今日收益、累计充电总量等指标进行监测。</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60" w:name="_Toc12799"/>
      <w:r>
        <w:rPr>
          <w:rFonts w:hint="eastAsia" w:ascii="宋体" w:hAnsi="宋体" w:eastAsia="宋体" w:cs="宋体"/>
          <w:b/>
          <w:bCs/>
          <w:kern w:val="2"/>
          <w:sz w:val="21"/>
          <w:szCs w:val="21"/>
          <w:highlight w:val="none"/>
          <w:lang w:val="en-US" w:eastAsia="zh-CN"/>
        </w:rPr>
        <w:t>充电桩概览</w:t>
      </w:r>
      <w:bookmarkEnd w:id="60"/>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可针对充电桩设备的数量、使用状态、各个使用状态的分布图进行统计展示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61" w:name="_Toc23049"/>
      <w:r>
        <w:rPr>
          <w:rFonts w:hint="eastAsia" w:ascii="宋体" w:hAnsi="宋体" w:eastAsia="宋体" w:cs="宋体"/>
          <w:b/>
          <w:bCs/>
          <w:kern w:val="2"/>
          <w:sz w:val="21"/>
          <w:szCs w:val="21"/>
          <w:highlight w:val="none"/>
          <w:lang w:val="en-US" w:eastAsia="zh-CN"/>
        </w:rPr>
        <w:t>充电桩收益情况</w:t>
      </w:r>
      <w:bookmarkEnd w:id="61"/>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可针对充电桩设备产生的累计收益、今年收益、本月收益、日收益等能源指标按照日、月、年维度变化趋势进行统计展示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62" w:name="_Toc9261"/>
      <w:r>
        <w:rPr>
          <w:rFonts w:hint="eastAsia" w:ascii="宋体" w:hAnsi="宋体" w:eastAsia="宋体" w:cs="宋体"/>
          <w:b/>
          <w:bCs/>
          <w:kern w:val="2"/>
          <w:sz w:val="21"/>
          <w:szCs w:val="21"/>
          <w:highlight w:val="none"/>
          <w:lang w:val="en-US" w:eastAsia="zh-CN"/>
        </w:rPr>
        <w:t>充电量统计</w:t>
      </w:r>
      <w:bookmarkEnd w:id="62"/>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可针对充电桩设备产生今年充电量、去年充电量数据对照的能源指标按照年维度和月维度、日维度变化趋势进行统计展示</w:t>
      </w:r>
    </w:p>
    <w:p>
      <w:pPr>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kern w:val="2"/>
          <w:sz w:val="21"/>
          <w:szCs w:val="21"/>
          <w:highlight w:val="none"/>
          <w:lang w:val="en-US" w:eastAsia="zh-CN"/>
        </w:rPr>
      </w:pPr>
      <w:bookmarkStart w:id="63" w:name="_Toc7147"/>
      <w:r>
        <w:rPr>
          <w:rFonts w:hint="eastAsia" w:ascii="宋体" w:hAnsi="宋体" w:eastAsia="宋体" w:cs="宋体"/>
          <w:b/>
          <w:bCs/>
          <w:kern w:val="2"/>
          <w:sz w:val="21"/>
          <w:szCs w:val="21"/>
          <w:highlight w:val="none"/>
          <w:lang w:val="en-US" w:eastAsia="zh-CN"/>
        </w:rPr>
        <w:t>充电时长统计</w:t>
      </w:r>
      <w:bookmarkEnd w:id="63"/>
    </w:p>
    <w:p>
      <w:pPr>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rPr>
        <w:t>可针对充电桩设备产生充电时长，按照年维度、月维度、日维度进行统计展示。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4.11.4  设备监控平台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设备监控平台，主要侧重于各用能系统及设备运行状态的监测、故障报警、运行控制及隐患排除、安全风险规避等，主要内容及要求如下：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4.11.4.1 设备监控平台综合要求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1）支持在系统运行过程中，当某个设备对象发生告警信息时，实时监控图表上对应图元将进行告警提示。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2）支持对医院综合监测系统的安全隐患进行闭环管理，支持对医院安全隐患进行全面排查。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4.11.4.2  分设备系统主要监控指标要求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1）电力集控站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按照《医疗建筑电气设计规范》JGJ 312--2013及相关法规要求，针对现有和后续新增的高低压配变电房</w:t>
      </w:r>
      <w:r>
        <w:rPr>
          <w:rFonts w:hint="eastAsia" w:ascii="宋体" w:hAnsi="宋体" w:eastAsia="宋体" w:cs="宋体"/>
          <w:b w:val="0"/>
          <w:bCs w:val="0"/>
          <w:color w:val="auto"/>
          <w:kern w:val="2"/>
          <w:sz w:val="21"/>
          <w:szCs w:val="21"/>
          <w:highlight w:val="none"/>
          <w:lang w:val="en-US" w:eastAsia="zh-CN" w:bidi="ar-SA"/>
        </w:rPr>
        <w:t>、发电机房、UPS设备等</w:t>
      </w:r>
      <w:r>
        <w:rPr>
          <w:rFonts w:hint="eastAsia" w:ascii="Calibri" w:hAnsi="Calibri" w:eastAsia="宋体" w:cs="Times New Roman"/>
          <w:kern w:val="2"/>
          <w:sz w:val="21"/>
          <w:szCs w:val="21"/>
          <w:highlight w:val="none"/>
          <w:lang w:val="en-US" w:eastAsia="zh-CN" w:bidi="ar-SA"/>
        </w:rPr>
        <w:t>，建设至少具备遥测、遥信和重要设备的遥控功能，实现多套配变电房集中监测。包括但不限于机房摄像监控、温湿度，重点回路的电流、电压、功率、电度等指标监控。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2）空调系统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针对全院空调建设智慧化群控系统，包括但不限于实现以下功能：</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对所有空调终端设备设置系统控制及就地控制两种权限，系统控制权限高于就地控制权限；两种权限均可实现空调启停控制、温度调节功能。</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常规用能场所，就地控制权限的温度调节控制范围有限，具体范围参考需求书</w:t>
      </w:r>
      <w:r>
        <w:rPr>
          <w:rFonts w:hint="eastAsia" w:ascii="Calibri" w:hAnsi="Calibri" w:eastAsia="宋体" w:cs="Times New Roman"/>
          <w:b w:val="0"/>
          <w:bCs w:val="0"/>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能源系统节能管理规则及运行标准</w:t>
      </w:r>
      <w:r>
        <w:rPr>
          <w:rFonts w:hint="eastAsia" w:ascii="Calibri" w:hAnsi="Calibri" w:eastAsia="宋体" w:cs="Times New Roman"/>
          <w:b w:val="0"/>
          <w:bCs w:val="0"/>
          <w:kern w:val="2"/>
          <w:sz w:val="21"/>
          <w:szCs w:val="21"/>
          <w:highlight w:val="none"/>
          <w:lang w:val="en-US" w:eastAsia="zh-CN" w:bidi="ar-SA"/>
        </w:rPr>
        <w:t>”中</w:t>
      </w:r>
      <w:r>
        <w:rPr>
          <w:rFonts w:hint="eastAsia" w:ascii="Calibri" w:hAnsi="Calibri" w:eastAsia="宋体" w:cs="Times New Roman"/>
          <w:kern w:val="2"/>
          <w:sz w:val="21"/>
          <w:szCs w:val="21"/>
          <w:highlight w:val="none"/>
          <w:lang w:val="en-US" w:eastAsia="zh-CN" w:bidi="ar-SA"/>
        </w:rPr>
        <w:t>相关标准。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系统可识别室外温度变化、科室上班时间、区域人流量变动等情况，并针对性实时调控空调系统的出风温度与风量。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 xml:space="preserve">    d、系统可实现空调内机、外机运行状态实时监测及控制，实现空调终端区域实时温度、人流量监测（人流量监测应至少实现每种用能场景至少有1组试点），实现空调设备压力、温度、电压、电流、绝缘等主要运行指标监测及故障报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3）照明系统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a、将医院的路灯照明、地下车库照明、公共走廊照明等公共区域照明，纳入系统平台进行管控。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b、根据安防要求、上下班时间、运行时段、人流/车流密度等情况，对公共区域照明的启停时间、数量、亮度等进行管控。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C、可实现公共区域照明电压、电流、绝缘等主要运行指标监测及故障报警。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4）热水系统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a、将医院各楼栋的热水系统，纳入平台进行集中管控。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b、实时监测各楼栋热水温度、热水箱水位、热水循环泵状态、热泵状态、补水电磁阀状态等各项指标；并实时反馈各项设备及指标故障信息。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C、可实现实时远程调节热水水位、热水温度、设备启停等控制功能。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5）供水监控系统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w:t>
      </w:r>
      <w:r>
        <w:rPr>
          <w:rFonts w:hint="eastAsia" w:ascii="Calibri" w:hAnsi="Calibri" w:eastAsia="宋体" w:cs="Times New Roman"/>
          <w:kern w:val="2"/>
          <w:sz w:val="21"/>
          <w:szCs w:val="21"/>
          <w:highlight w:val="none"/>
          <w:lang w:val="en-US" w:eastAsia="zh-CN" w:bidi="ar-SA"/>
        </w:rPr>
        <w:t>将医院各楼栋的供水系统，纳入平台进行集中管控。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b、系统实时监测市政水压力、各楼栋水箱水位、变频供水系统及增压泵状态、补水阀状态、增压泵出口水压力等各项指标；</w:t>
      </w:r>
      <w:r>
        <w:rPr>
          <w:rFonts w:hint="eastAsia" w:ascii="Calibri" w:hAnsi="Calibri" w:eastAsia="宋体" w:cs="Times New Roman"/>
          <w:kern w:val="2"/>
          <w:sz w:val="21"/>
          <w:szCs w:val="21"/>
          <w:highlight w:val="none"/>
          <w:lang w:val="en-US" w:eastAsia="zh-CN" w:bidi="ar-SA"/>
        </w:rPr>
        <w:t>并实时反馈各项设备及指标故障信息。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c、可实现实时远程调节热水水位、设备启停等控制功能。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6）地下室集水井监控系统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w:t>
      </w:r>
      <w:r>
        <w:rPr>
          <w:rFonts w:hint="eastAsia" w:ascii="Calibri" w:hAnsi="Calibri" w:eastAsia="宋体" w:cs="Times New Roman"/>
          <w:kern w:val="2"/>
          <w:sz w:val="21"/>
          <w:szCs w:val="21"/>
          <w:highlight w:val="none"/>
          <w:lang w:val="en-US" w:eastAsia="zh-CN" w:bidi="ar-SA"/>
        </w:rPr>
        <w:t>将医院所有地下室集水井，纳入平台进行集中管控。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b、系统实时监测各个集水井水位高低、排水泵状态等各项指标；</w:t>
      </w:r>
      <w:r>
        <w:rPr>
          <w:rFonts w:hint="eastAsia" w:ascii="Calibri" w:hAnsi="Calibri" w:eastAsia="宋体" w:cs="Times New Roman"/>
          <w:kern w:val="2"/>
          <w:sz w:val="21"/>
          <w:szCs w:val="21"/>
          <w:highlight w:val="none"/>
          <w:lang w:val="en-US" w:eastAsia="zh-CN" w:bidi="ar-SA"/>
        </w:rPr>
        <w:t>并实时反馈集水井高位、水泵故障等报警信息。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c、可实现实时远程启停排水泵等控制功能。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7）电梯系统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w:t>
      </w:r>
      <w:r>
        <w:rPr>
          <w:rFonts w:hint="eastAsia" w:ascii="Calibri" w:hAnsi="Calibri" w:eastAsia="宋体" w:cs="Times New Roman"/>
          <w:kern w:val="2"/>
          <w:sz w:val="21"/>
          <w:szCs w:val="21"/>
          <w:highlight w:val="none"/>
          <w:lang w:val="en-US" w:eastAsia="zh-CN" w:bidi="ar-SA"/>
        </w:rPr>
        <w:t>将医院所有电梯，纳入平台进行集中监测。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b、系统实时监测各个电梯的电量消耗、运行状态及故障信息反馈。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8）光伏系统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a、将新建设的光伏系统，纳入平台中进行集中监控。监控系统必须提供标准通信接口，实现将光伏电站本地数据上传至平台。通信协议拟采用Modbus、MQTT等主流协议。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b、传输数据包括但不限于：全站电气数据（电压、电流、功率、电量等）、逆变器单机数据（交流侧电气量、直流侧电气量、电量、故障告警等）、通信设备状态、环境检测系统状态等，并编制点表。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9）充电桩系统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a、将新建设的充电桩系统（含新能源汽车充电桩、</w:t>
      </w:r>
      <w:r>
        <w:rPr>
          <w:rFonts w:hint="eastAsia" w:ascii="宋体" w:hAnsi="宋体" w:eastAsia="宋体" w:cs="宋体"/>
          <w:i w:val="0"/>
          <w:iCs w:val="0"/>
          <w:color w:val="auto"/>
          <w:kern w:val="2"/>
          <w:sz w:val="21"/>
          <w:szCs w:val="21"/>
          <w:highlight w:val="none"/>
          <w:u w:val="none"/>
          <w:lang w:val="en-US" w:eastAsia="zh-CN" w:bidi="ar-SA"/>
        </w:rPr>
        <w:t>非机动车充电站</w:t>
      </w:r>
      <w:r>
        <w:rPr>
          <w:rFonts w:hint="eastAsia" w:ascii="Calibri" w:hAnsi="Calibri" w:eastAsia="宋体" w:cs="Times New Roman"/>
          <w:kern w:val="2"/>
          <w:sz w:val="21"/>
          <w:szCs w:val="21"/>
          <w:highlight w:val="none"/>
          <w:lang w:val="en-US" w:eastAsia="zh-CN" w:bidi="ar-SA"/>
        </w:rPr>
        <w:t>），纳入平台中进行集中监控。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b、系统实时监测各个电梯的电量消耗、运行状态及故障信息反馈。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10）温室气体排放监测及统计系统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a、通过平台系统建设，实现医院各类型区域、主要排放口的碳排放实时监测。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w:t>
      </w:r>
      <w:r>
        <w:rPr>
          <w:rFonts w:hint="default" w:ascii="宋体" w:hAnsi="宋体" w:eastAsia="宋体" w:cs="宋体"/>
          <w:b w:val="0"/>
          <w:bCs w:val="0"/>
          <w:color w:val="auto"/>
          <w:kern w:val="2"/>
          <w:sz w:val="21"/>
          <w:szCs w:val="21"/>
          <w:highlight w:val="none"/>
          <w:lang w:val="en-US" w:eastAsia="zh-CN" w:bidi="ar-SA"/>
        </w:rPr>
        <w:t>明确南沙医院碳排放核算边界、核算范围和碳排放因子取值</w:t>
      </w:r>
      <w:r>
        <w:rPr>
          <w:rFonts w:hint="eastAsia" w:ascii="宋体" w:hAnsi="宋体" w:eastAsia="宋体" w:cs="宋体"/>
          <w:b w:val="0"/>
          <w:bCs w:val="0"/>
          <w:color w:val="auto"/>
          <w:kern w:val="2"/>
          <w:sz w:val="21"/>
          <w:szCs w:val="21"/>
          <w:highlight w:val="none"/>
          <w:lang w:val="en-US" w:eastAsia="zh-CN" w:bidi="ar-SA"/>
        </w:rPr>
        <w:t>，通过日常碳排放及核算工作数据，借助平台系统，实现碳排放</w:t>
      </w:r>
      <w:r>
        <w:rPr>
          <w:rFonts w:hint="default" w:ascii="宋体" w:hAnsi="宋体" w:eastAsia="宋体" w:cs="宋体"/>
          <w:b w:val="0"/>
          <w:bCs w:val="0"/>
          <w:color w:val="auto"/>
          <w:kern w:val="2"/>
          <w:sz w:val="21"/>
          <w:szCs w:val="21"/>
          <w:highlight w:val="none"/>
          <w:lang w:val="en-US" w:eastAsia="zh-CN" w:bidi="ar-SA"/>
        </w:rPr>
        <w:t>统计</w:t>
      </w:r>
      <w:r>
        <w:rPr>
          <w:rFonts w:hint="eastAsia" w:ascii="宋体" w:hAnsi="宋体" w:eastAsia="宋体" w:cs="宋体"/>
          <w:b w:val="0"/>
          <w:bCs w:val="0"/>
          <w:color w:val="auto"/>
          <w:kern w:val="2"/>
          <w:sz w:val="21"/>
          <w:szCs w:val="21"/>
          <w:highlight w:val="none"/>
          <w:lang w:val="en-US" w:eastAsia="zh-CN" w:bidi="ar-SA"/>
        </w:rPr>
        <w:t>、</w:t>
      </w:r>
      <w:r>
        <w:rPr>
          <w:rFonts w:hint="default" w:ascii="宋体" w:hAnsi="宋体" w:eastAsia="宋体" w:cs="宋体"/>
          <w:b w:val="0"/>
          <w:bCs w:val="0"/>
          <w:color w:val="auto"/>
          <w:kern w:val="2"/>
          <w:sz w:val="21"/>
          <w:szCs w:val="21"/>
          <w:highlight w:val="none"/>
          <w:lang w:val="en-US" w:eastAsia="zh-CN" w:bidi="ar-SA"/>
        </w:rPr>
        <w:t>年度碳排放核算</w:t>
      </w:r>
      <w:r>
        <w:rPr>
          <w:rFonts w:hint="eastAsia" w:ascii="宋体" w:hAnsi="宋体" w:eastAsia="宋体" w:cs="宋体"/>
          <w:b w:val="0"/>
          <w:bCs w:val="0"/>
          <w:color w:val="auto"/>
          <w:kern w:val="2"/>
          <w:sz w:val="21"/>
          <w:szCs w:val="21"/>
          <w:highlight w:val="none"/>
          <w:lang w:val="en-US" w:eastAsia="zh-CN" w:bidi="ar-SA"/>
        </w:rPr>
        <w:t>及开展碳排放结构分析工作。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11）管网探漏及监控系统建设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利用计量装置、监测装置、计算办法等多种手段相结合，建设管网探漏及监控系统。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4.11.5  智慧化运维平台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智慧化运维平台，主要侧重于各用能系统及托管范围运维项目的设备巡检、设备保养、故障报修、人员管理、工作量统计、材料统计、服务质量考核、服务评价等运维管理，主要内容及要求如下：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1）设备编码标准体系</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a、需要提供一套设备编码标准体系，建立供配电、空调、照明、热水、给排水、电梯、光伏、充电桩、碳排放等系统各点位设备的标准编码，形成设备管理台账，实现对设备的二维码管理；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b、通过设备编码台账，自动形成日常设备巡检、设备保养工单任务。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2）故障报修/派修管理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a、需要提供故障报修，自动派单，工单处理，工单进度追踪，工单验收，工单评价、工单查询分析等功能。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b、工单与设备监控联动，支持根据设备告警等级的配置，自动生成工单，并分派人员处理。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C、支持APP移动端、微信扫码、线上和线下电话下单，通过自动派单、抢单或客服人员的派单机制，实现同业务多系统之间的协调工作，建立服务评价和整改机制，实现服务的PDCA闭环管理。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d、支持工单服务验收及评价，包括响应时间、维修时长、服务内容、维修结果/质量、维修材料使用、服务态度等。</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3）运维人员绩效管理、考勤管理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应提供数据统计分析和自动报表功能，实现对人员考勤管理以及绩效管理，包括响应时间、绩效工时、工单任务统计、工单费用统计、工单满意度、多方面的统计分析和自动报表。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4）运维物料管理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需支持提供医院设备维修关联的物资领用信息，在系统上实施查看和领用，同时支持物料基础信息管理、出入库管理、库存管理、成本统计功能。通过对用能设备的维修物料的信息化管理，对物料的使用情况进行监控管理，使得物料采购有量有节，杜绝浪费，节约成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）工作看板管理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建设工作看板界面，按照周度、月度、季度、年度周期，显示本能源托管项目计划性工作任务、重点工作和紧急工作任务等，并关联工单系统，以支持医院和服务单位的计划性工作管理。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outlineLvl w:val="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医院管理用户和服务单位管理用户，可通过平台编辑布置工作任务后，列入界面显示及提醒。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6）周期工作自评管理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按照月度、季度、年度周期，建立服务单位自评事项及指标清单，并可通过平台实现工作自评提交及自评报告生成。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7）月度满意度调查管理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建立医院管理科室及需求科室的月度满意度评价事项及指标清单，并可通过平台按月收集服务满意度情况后，自动生成月度服务满意度调查报告。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w:t>
      </w:r>
      <w:r>
        <w:rPr>
          <w:rFonts w:hint="eastAsia" w:ascii="Calibri" w:hAnsi="Calibri" w:eastAsia="宋体" w:cs="Times New Roman"/>
          <w:kern w:val="2"/>
          <w:sz w:val="21"/>
          <w:szCs w:val="21"/>
          <w:highlight w:val="none"/>
          <w:lang w:val="en-US" w:eastAsia="zh-CN" w:bidi="ar-SA"/>
        </w:rPr>
        <w:t>运维专家库</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支持查询设备的空间信息，具备知识库可对医院各种制度、规范、说明书、使用说明等专业文档进行管理与查询，提高运维人员的处理效率和提升后勤服务质量。</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形成对各类设备日常易发生的故障处理方式、维保方式、设备保养清洗提示、养护方案等。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4.11.6 智慧能源服务平台技术及商务要求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1）方案可行性说明</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服务单位需针对智慧能源服务平台进行方案说明，以确保方案的可行性包含且不限于：</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平台系统各部分功能详细设计、流程设计，包括平台用户管理、BI分析功能板块、平台联网功能、平台互联互通情况、平台移动APP功能情况等。</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能源管理平台功能，包括能耗总览（同比、环比）、能源占比、电能耗评价（同期相比）、关键KPI概览、今日告警总览信息等。</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设备监控平台功能，包括各用能系统及设备运行状态的监测、故障报警、运行控制及隐患排除、安全风险规避等。</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智慧化运维平台功能，包括设备编码标准体系、故障报修/派修管理、运维人员绩效管理/考勤管理、运维物料管理、工作看板管理情况、周期工作自评管理情况、月度满意度调查管理情况、</w:t>
      </w:r>
      <w:r>
        <w:rPr>
          <w:rFonts w:hint="eastAsia" w:ascii="Calibri" w:hAnsi="Calibri" w:eastAsia="宋体" w:cs="Times New Roman"/>
          <w:kern w:val="2"/>
          <w:sz w:val="21"/>
          <w:szCs w:val="21"/>
          <w:highlight w:val="none"/>
          <w:lang w:val="en-US" w:eastAsia="zh-CN" w:bidi="ar-SA"/>
        </w:rPr>
        <w:t>运维专家库</w:t>
      </w:r>
      <w:r>
        <w:rPr>
          <w:rFonts w:hint="eastAsia" w:ascii="宋体" w:hAnsi="宋体" w:eastAsia="宋体" w:cs="宋体"/>
          <w:kern w:val="2"/>
          <w:sz w:val="21"/>
          <w:szCs w:val="21"/>
          <w:highlight w:val="none"/>
          <w:lang w:val="en-US" w:eastAsia="zh-CN" w:bidi="ar-SA"/>
        </w:rPr>
        <w:t>等。</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2）软件著作权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本项目平台应采用成熟可靠的产品，服务单位须提供能源管理类型、设备监控类型、智慧化运维类等相关的软件著作权证书（复印件佐证并加盖公章）。</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3）数据采集能力要求</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服务单位需具备实时数据库数据采集能力，提供实时数据库数据采集或接口平台软件著作权证书（复印件佐证并加盖公章）。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4）类似项目业绩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提供5年内（以合同签订日期为准），能源管理类型、设备监控类型、智慧化运维类等相关平台软件项目经验的有效证明，提供相关证明材料并加盖公章。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Calibri" w:hAnsi="Calibri" w:eastAsia="宋体" w:cs="Times New Roman"/>
          <w:kern w:val="2"/>
          <w:sz w:val="21"/>
          <w:szCs w:val="21"/>
          <w:highlight w:val="none"/>
          <w:lang w:val="en-US" w:eastAsia="zh-CN"/>
        </w:rPr>
      </w:pPr>
      <w:r>
        <w:rPr>
          <w:rFonts w:hint="eastAsia" w:ascii="宋体" w:hAnsi="宋体" w:eastAsia="宋体" w:cs="宋体"/>
          <w:color w:val="auto"/>
          <w:kern w:val="2"/>
          <w:sz w:val="21"/>
          <w:szCs w:val="21"/>
          <w:highlight w:val="none"/>
          <w:u w:val="none"/>
          <w:lang w:val="en-US" w:eastAsia="zh-CN" w:bidi="ar-SA"/>
        </w:rPr>
        <w:t>5）</w:t>
      </w:r>
      <w:r>
        <w:rPr>
          <w:rFonts w:hint="eastAsia" w:ascii="宋体" w:hAnsi="宋体" w:eastAsia="宋体" w:cs="宋体"/>
          <w:kern w:val="2"/>
          <w:sz w:val="21"/>
          <w:szCs w:val="21"/>
          <w:highlight w:val="none"/>
          <w:lang w:val="en-US" w:eastAsia="zh-CN" w:bidi="ar-SA"/>
        </w:rPr>
        <w:t>信息安全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服务单位在项目托管期内，项目系统如与医院现有网络进行连接或存在相关接口的，需采取各种技术手段和管理手段，保障医院现有网络信息安全。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软件产品需采用自主可控，安全可靠的产品，保障医院网络信息安全和设备安全. 依据《信息安全技术  网络安全等级保护基本要求》GB/T 22239-2019政策要求，根据项目建设内容及使用范围，服务单位提供的产品需满足三级等保要求。</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适配性要求：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所提供的产品需满足适配性要求。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7）设备及系统互联互通要求</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提供的产品服务需满足各类使用主流物联网协议的数据采集器的原始数据接入和采集。处理第三方系统的数据接入工作，能够获取到其它第三方系统提供的各类协议的原始数据。（需对以上要求出具承诺书）</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8）数据采集及信息传输要求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本项目所有设备数据采集及信息传输，主要采用有线传输，少数客观无法采用有线传输的非重要设备节点情况，以无线传输为辅助。</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9）系统拓展要求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智慧能源服务系统平台，应预留后续可能性的功能板块扩展（医气系统等设备系统）接口及容量，预留与医院现有安防系统、可能建设的智慧化后勤服务系统的连接接口，应保证接口协议匹配度及兼容性。</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4.11.7  服务中心建设具体要求</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1）服务中心建设要求</w:t>
      </w:r>
    </w:p>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服务中心建设，主要包含约50至100㎡的场地改造、工作站、</w:t>
      </w:r>
      <w:r>
        <w:rPr>
          <w:rFonts w:hint="eastAsia" w:ascii="宋体" w:eastAsia="宋体" w:cs="宋体"/>
          <w:sz w:val="21"/>
          <w:szCs w:val="21"/>
          <w:highlight w:val="none"/>
          <w:lang w:val="en-US" w:eastAsia="zh-CN"/>
        </w:rPr>
        <w:t>后备能源供应系统</w:t>
      </w:r>
      <w:r>
        <w:rPr>
          <w:rFonts w:hint="eastAsia" w:ascii="宋体" w:hAnsi="宋体" w:eastAsia="宋体" w:cs="宋体"/>
          <w:b w:val="0"/>
          <w:bCs w:val="0"/>
          <w:color w:val="auto"/>
          <w:kern w:val="2"/>
          <w:sz w:val="21"/>
          <w:szCs w:val="21"/>
          <w:highlight w:val="none"/>
          <w:lang w:val="en-US" w:eastAsia="zh-CN" w:bidi="ar-SA"/>
        </w:rPr>
        <w:t>、智慧化大屏、</w:t>
      </w:r>
      <w:r>
        <w:rPr>
          <w:rFonts w:hint="eastAsia" w:ascii="宋体" w:eastAsia="宋体" w:cs="宋体"/>
          <w:sz w:val="21"/>
          <w:szCs w:val="21"/>
          <w:highlight w:val="none"/>
          <w:lang w:val="en-US" w:eastAsia="zh-CN"/>
        </w:rPr>
        <w:t>远程音视频连接系统</w:t>
      </w:r>
      <w:r>
        <w:rPr>
          <w:rFonts w:hint="eastAsia" w:ascii="宋体" w:hAnsi="宋体" w:eastAsia="宋体" w:cs="宋体"/>
          <w:b w:val="0"/>
          <w:bCs w:val="0"/>
          <w:color w:val="auto"/>
          <w:kern w:val="2"/>
          <w:sz w:val="21"/>
          <w:szCs w:val="21"/>
          <w:highlight w:val="none"/>
          <w:lang w:val="en-US" w:eastAsia="zh-CN" w:bidi="ar-SA"/>
        </w:rPr>
        <w:t>、工作台、会议桌、档案柜及相关办公设备设施等，做能源托管服务管理、调度、监控和应急指挥中心、参观展示等用途。具体包括但不限于以下内容及要求：</w:t>
      </w:r>
    </w:p>
    <w:tbl>
      <w:tblPr>
        <w:tblStyle w:val="23"/>
        <w:tblW w:w="96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0"/>
        <w:gridCol w:w="1980"/>
        <w:gridCol w:w="750"/>
        <w:gridCol w:w="6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内容</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服务中心</w:t>
            </w:r>
            <w:r>
              <w:rPr>
                <w:rFonts w:hint="eastAsia" w:ascii="宋体" w:eastAsia="宋体" w:cs="宋体"/>
                <w:sz w:val="21"/>
                <w:szCs w:val="21"/>
                <w:highlight w:val="none"/>
                <w:lang w:val="en-US" w:eastAsia="zh-CN"/>
              </w:rPr>
              <w:t>场地改造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1项</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eastAsia="宋体" w:cs="宋体"/>
                <w:sz w:val="21"/>
                <w:szCs w:val="21"/>
                <w:highlight w:val="none"/>
                <w:lang w:val="en-US" w:eastAsia="zh-CN"/>
              </w:rPr>
              <w:t>场地改造</w:t>
            </w:r>
            <w:r>
              <w:rPr>
                <w:rFonts w:hint="eastAsia" w:ascii="宋体" w:hAnsi="宋体" w:eastAsia="宋体" w:cs="宋体"/>
                <w:i w:val="0"/>
                <w:iCs w:val="0"/>
                <w:color w:val="000000"/>
                <w:kern w:val="0"/>
                <w:sz w:val="21"/>
                <w:szCs w:val="21"/>
                <w:highlight w:val="none"/>
                <w:u w:val="none"/>
                <w:lang w:val="en-US" w:eastAsia="zh-CN" w:bidi="ar"/>
              </w:rPr>
              <w:t>建筑面积约50~100㎡，具体位置待定；</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1、含吊顶、地面、墙面设计与</w:t>
            </w:r>
            <w:r>
              <w:rPr>
                <w:rFonts w:hint="eastAsia" w:ascii="宋体" w:eastAsia="宋体" w:cs="宋体"/>
                <w:sz w:val="21"/>
                <w:szCs w:val="21"/>
                <w:highlight w:val="none"/>
                <w:lang w:val="en-US" w:eastAsia="zh-CN"/>
              </w:rPr>
              <w:t>场地改造</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2、含1套远程音视频连接系统建设；</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3、操作台定制 1 项；</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4、会议桌定制1项，不小于3米*1.2米；</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5、档案柜/文件柜≥4组；</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6、桌椅≥4 套；</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7、其余服务中心和应急指挥中心办公所需设备。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视频应用：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高清视像输出设备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1套</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1、面积不低于8平方米；</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2、模组分辨率不低于174×87；</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3、像素密度不低于295664 pixels/m²。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视频应用：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高清解码器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1套</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1、支持至少 12 路 HDMI 信号输出接口；</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2、支持 16 路 HDMI 音频输出；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3、支持 MPEG2/MPEG4/H.264/H.265</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/SVAC/MJPEG 标准网络视频流解码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b w:val="0"/>
                <w:bCs w:val="0"/>
                <w:color w:val="auto"/>
                <w:kern w:val="2"/>
                <w:sz w:val="21"/>
                <w:szCs w:val="21"/>
                <w:highlight w:val="none"/>
                <w:lang w:val="en-US" w:eastAsia="zh-CN" w:bidi="ar-SA"/>
              </w:rPr>
              <w:t>工作站</w:t>
            </w:r>
            <w:r>
              <w:rPr>
                <w:rFonts w:hint="eastAsia" w:ascii="宋体" w:hAnsi="宋体" w:eastAsia="宋体" w:cs="宋体"/>
                <w:i w:val="0"/>
                <w:iCs w:val="0"/>
                <w:color w:val="000000"/>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1套</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1、CPU： 1 颗 32 位（2.5GHz 八核）或以上处理器，支持多线程；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2、内存： DDR4 3200HZ 16G*2，支持≥16 根内存；</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3、阵列卡： 4GB SAS 八口，配置掉电保护；</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4、硬盘：2*2T HDD RAID1；</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5、冗余电源：配置冗余电源，支持在主电源故障时，备用电源能够自动切换，保证</w:t>
            </w:r>
            <w:r>
              <w:rPr>
                <w:rFonts w:hint="eastAsia" w:ascii="宋体" w:hAnsi="宋体" w:eastAsia="宋体" w:cs="宋体"/>
                <w:b w:val="0"/>
                <w:bCs w:val="0"/>
                <w:color w:val="auto"/>
                <w:kern w:val="2"/>
                <w:sz w:val="21"/>
                <w:szCs w:val="21"/>
                <w:highlight w:val="none"/>
                <w:lang w:val="en-US" w:eastAsia="zh-CN" w:bidi="ar-SA"/>
              </w:rPr>
              <w:t>工作站</w:t>
            </w:r>
            <w:r>
              <w:rPr>
                <w:rFonts w:hint="eastAsia" w:ascii="宋体" w:hAnsi="宋体" w:eastAsia="宋体" w:cs="宋体"/>
                <w:i w:val="0"/>
                <w:iCs w:val="0"/>
                <w:color w:val="000000"/>
                <w:kern w:val="0"/>
                <w:sz w:val="21"/>
                <w:szCs w:val="21"/>
                <w:highlight w:val="none"/>
                <w:u w:val="none"/>
                <w:lang w:val="en-US" w:eastAsia="zh-CN" w:bidi="ar"/>
              </w:rPr>
              <w:t>不间断运行；</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6、网卡：双口 1G RJ45 网卡；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7、网络：板载集成 I350 双口 1G RJ45；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b w:val="0"/>
                <w:bCs w:val="0"/>
                <w:color w:val="auto"/>
                <w:kern w:val="2"/>
                <w:sz w:val="21"/>
                <w:szCs w:val="21"/>
                <w:highlight w:val="none"/>
                <w:lang w:val="en-US" w:eastAsia="zh-CN" w:bidi="ar-SA"/>
              </w:rPr>
              <w:t>工作站</w:t>
            </w:r>
            <w:r>
              <w:rPr>
                <w:rFonts w:hint="eastAsia" w:ascii="宋体" w:hAnsi="宋体" w:eastAsia="宋体" w:cs="宋体"/>
                <w:i w:val="0"/>
                <w:iCs w:val="0"/>
                <w:color w:val="000000"/>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1套</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1、CPU： 1 颗 32 位（2.5GHz 十六核）或以上处理器，支持多线程；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2、内存： DDR4 3200HZ 32G*4，支持≥16 根内存；</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3、阵列卡： 4GB SAS 八口，配置掉电保护；</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4、硬盘：1.92T SSD，2*2T HDD RAID1；</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5、冗余电源：配置冗余电源，支持在主电源故障时，备用电源能够自动切换，保证</w:t>
            </w:r>
            <w:r>
              <w:rPr>
                <w:rFonts w:hint="eastAsia" w:ascii="宋体" w:hAnsi="宋体" w:eastAsia="宋体" w:cs="宋体"/>
                <w:b w:val="0"/>
                <w:bCs w:val="0"/>
                <w:color w:val="auto"/>
                <w:kern w:val="2"/>
                <w:sz w:val="21"/>
                <w:szCs w:val="21"/>
                <w:highlight w:val="none"/>
                <w:lang w:val="en-US" w:eastAsia="zh-CN" w:bidi="ar-SA"/>
              </w:rPr>
              <w:t>工作站</w:t>
            </w:r>
            <w:r>
              <w:rPr>
                <w:rFonts w:hint="eastAsia" w:ascii="宋体" w:hAnsi="宋体" w:eastAsia="宋体" w:cs="宋体"/>
                <w:i w:val="0"/>
                <w:iCs w:val="0"/>
                <w:color w:val="000000"/>
                <w:kern w:val="0"/>
                <w:sz w:val="21"/>
                <w:szCs w:val="21"/>
                <w:highlight w:val="none"/>
                <w:u w:val="none"/>
                <w:lang w:val="en-US" w:eastAsia="zh-CN" w:bidi="ar"/>
              </w:rPr>
              <w:t>不间断运行；</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6、网卡：双口 1G RJ45 网卡；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7、网络：板载集成 I350 双口 1G RJ45；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交换机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1套</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端口： 24 千兆电口+4 千兆 SFP；</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性能：交换容量≥336Gbps；包转发率≥</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81Mpps；支持堆叠，支持跨设备链路聚合；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支持命令行接口配置，支持 Telnet 远程配置，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支持通过 Console 口配置；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原厂 3 年质保；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工作台：</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台式主控系统</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≥4台</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显卡：不少于 384 个 CUDA 核心；</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不少于 1152MHz 核心频率；</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显存类型GDDR4；显存容量：4GB；显存位宽：64bit；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支持 3840×2160（4K）分辨率；支持 PCI Express</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3.0 4X 接口</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内存：不低于 16G DDR4 内存，最大升级为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64G 内存；</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硬盘：选固态硬盘 256GSSD；</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网卡： RJ45 千兆网卡，支持 Wi-Fi 无线网卡；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电源： 180W 稳定电源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显示器：27 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电话盒子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1套</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支持连接 2 路电话线;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支持将通话录音和来电去电号码保存在电脑的硬盘上，结合相应的软件，实现各种录音查询。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二维码打印机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w:t>
            </w:r>
          </w:p>
        </w:tc>
        <w:tc>
          <w:tcPr>
            <w:tcW w:w="6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打印方式：热转印或直热式；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打印分辨率：200dpi；</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打印速度：152.4mm/s；</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基础功能：标签打印，条码打印。</w:t>
            </w:r>
          </w:p>
        </w:tc>
      </w:tr>
    </w:tbl>
    <w:p>
      <w:pPr>
        <w:keepNext w:val="0"/>
        <w:keepLines w:val="0"/>
        <w:pageBreakBefore w:val="0"/>
        <w:widowControl w:val="0"/>
        <w:numPr>
          <w:ilvl w:val="0"/>
          <w:numId w:val="0"/>
        </w:numPr>
        <w:kinsoku/>
        <w:wordWrap/>
        <w:overflowPunct/>
        <w:topLinePunct w:val="0"/>
        <w:bidi w:val="0"/>
        <w:spacing w:line="240" w:lineRule="auto"/>
        <w:ind w:firstLine="48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服务中心职责与任务</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a. 系统运行管理：</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监控软硬件系统的运行状态，确保系统稳定运行。</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处理系统故障和异常，及时响应并修复问题。</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定期对系统进行维护和升级，以适应新的技术和需求。</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b. 文件存储与档案管理：</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存储和管理与能源管理相关的所有文件和记录，包括能源消耗报告、设备维护日志、系统升级记录等。</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确保文件的安全性和保密性，防止数据泄露。</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提供文件检索和调阅服务，方便相关人员查询和使用。</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c. 政府接待与合作：</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接待政府部门和监管机构的访问，展示医院能源管理的成果和进展。</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与政府部门合作，参与能源政策的制定和执行。</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准备和提交政府要求的能源管理报告和数据。</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d. 能耗分析会议：</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定期组织能耗分析会议，讨论能源消耗数据，识别节能机会。</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制定节能目标和计划，跟踪节能措施的实施效果。</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与医院其他部门合作，推广节能意识和行为。</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f. 培训与教育：</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对医院员工进行能源管理相关的培训，提高他们的节能意识和技能。</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教育员工如何使用能源管理系统，确保系统的高效使用。</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g. 应急指挥中心：</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在能源供应出现紧急情况时，作为应急指挥中心，协调资源和人员，快速解决问题。</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制定和演练能源供应应急预案，确保在紧急情况下能够迅速响应。</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h. 能源审计与合规性检查：</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定期进行能源审计，评估能源使用效率和成本。</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确保医院的能源管理符合相关法规和标准。</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i. 项目协调与管理：</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协调和管理与能源相关的项目，如节能改造项目、新能源技术应用项目等。</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监控项目进度，确保项目按时完成并达到预期效果。</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j. 客户服务与支持：</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提供客户服务，解决医院内部人员关于能源管理的问题和需求。</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 xml:space="preserve">  收集用户反馈，不断改进能源管理服务。</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k. 环境与社会责任：</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推动医院在能源使用上的环保和社会责任实践，如使用可再生能源、减少碳排放等。</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rPr>
      </w:pPr>
      <w:r>
        <w:rPr>
          <w:rFonts w:hint="eastAsia" w:ascii="Calibri" w:hAnsi="Calibri" w:eastAsia="宋体" w:cs="Times New Roman"/>
          <w:kern w:val="2"/>
          <w:sz w:val="21"/>
          <w:szCs w:val="21"/>
          <w:highlight w:val="none"/>
          <w:lang w:val="en-US" w:eastAsia="zh-CN"/>
        </w:rPr>
        <w:t>参与地区和行业的环保活动，提升医院的社会责任形象。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【运营安全改造要求】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4.12  供配电安全完善建设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4.12.1 发电机完善建设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医院现有发电机，存在无专用排烟管道等一系列问题（具体问题情况，见附件3《发电机完善、维修、维保报价方案》），导致无法启动使用的情况，需对照问题清单进行整改完善，保证发电机正常投入使用。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4.12.2 发电机快速接入箱完善建设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发电机快速接入箱，目前均设置在地下室，存在供电局发电车无法进入及排烟引起消防报警的情况。需将所有快速接入箱移至地面以上合适位置，并建设快速插接头/插接开关装置，保障应急供电车可快速接入。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4.12.3  供电网络梳理优化整改（负荷分级、自动功能完善等）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对全院发电机回路设置不合理，配电板负荷未进行负荷分级自动动作，发电机无法自动启动及自动投入发电机的情况进行整改完善；本项不做完全强制性要求，保证医院供电安全及稳定性的前提下，尽量梳理整改及优化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4.12.4  技术及商务要求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1）发电机完善建设，相关要求具体参照附件3《发电机完善、维修、维保报价方案》；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2）发电机快速接入箱完善建设，电缆及电箱，</w:t>
      </w:r>
      <w:r>
        <w:rPr>
          <w:rFonts w:hint="eastAsia" w:ascii="宋体" w:hAnsi="宋体" w:eastAsia="宋体" w:cs="宋体"/>
          <w:kern w:val="2"/>
          <w:sz w:val="21"/>
          <w:szCs w:val="21"/>
          <w:highlight w:val="none"/>
          <w:lang w:val="en-US" w:eastAsia="zh-CN" w:bidi="ar-SA"/>
        </w:rPr>
        <w:t>选用产品应保障品质、质量和兼容性，应选用技术成熟的市场主流品牌产品（市场份额10%以上）</w:t>
      </w:r>
      <w:r>
        <w:rPr>
          <w:rFonts w:hint="eastAsia" w:ascii="Calibri" w:hAnsi="Calibri" w:eastAsia="宋体" w:cs="Times New Roman"/>
          <w:kern w:val="2"/>
          <w:sz w:val="21"/>
          <w:szCs w:val="21"/>
          <w:highlight w:val="none"/>
          <w:lang w:val="en-US" w:eastAsia="zh-CN" w:bidi="ar-SA"/>
        </w:rPr>
        <w:t>及其专属配套配件，电箱如处于室外区域，应达到IP67防水等级，并做好防淹防水浸措施。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3）</w:t>
      </w:r>
      <w:r>
        <w:rPr>
          <w:rFonts w:hint="eastAsia" w:ascii="宋体" w:hAnsi="宋体" w:eastAsia="宋体" w:cs="宋体"/>
          <w:kern w:val="2"/>
          <w:sz w:val="21"/>
          <w:szCs w:val="21"/>
          <w:highlight w:val="none"/>
          <w:lang w:val="en-US" w:eastAsia="zh-CN" w:bidi="ar-SA"/>
        </w:rPr>
        <w:t>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4.13  设备设施保养及标准化提升改造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对全院（包含基准面积及区域外）各类设备房及相关设备设施，开展保养及标准化提升改造。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4.13.1 设备房及相关设备设施，主要为：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1）高压电房、变压器房、低压配电房、发电机房、层间电房/电井等；</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水泵房、水箱、水井、管路阀门、水表、水泵等；</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地下室、管廊、天面等区域的，电缆桥架、管路桥架、接地设施、防雷设施等；</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空调设备间、空调主机、空调末端设备等；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4.13.2  开展保养及标准化提升改造，主要内容为：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1）清扫、整理、除锈、润滑（黄油、机油）、油漆等工作；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2）设备房及设备系统统一标识化，在现有基础上进一步规范和完善；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3)绝缘、接地、防雷排查及处理；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4）损坏、缺失的管路系统桥架、电缆桥架，进行维修或更换；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5）设备房、电井内，以及天面管廊接驳处，有漏水情况的，进行防水处理修复。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4.13.3 技术要求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1）相关设施、材料，</w:t>
      </w:r>
      <w:r>
        <w:rPr>
          <w:rFonts w:hint="eastAsia" w:ascii="宋体" w:hAnsi="宋体" w:eastAsia="宋体" w:cs="宋体"/>
          <w:kern w:val="2"/>
          <w:sz w:val="21"/>
          <w:szCs w:val="21"/>
          <w:highlight w:val="none"/>
          <w:lang w:val="en-US" w:eastAsia="zh-CN" w:bidi="ar-SA"/>
        </w:rPr>
        <w:t>选用产品应保障品质、质量和兼容性，应选用技术成熟的市场主流品牌产品（市场份额10%以上）</w:t>
      </w:r>
      <w:r>
        <w:rPr>
          <w:rFonts w:hint="eastAsia" w:ascii="Calibri" w:hAnsi="Calibri" w:eastAsia="宋体" w:cs="Times New Roman"/>
          <w:kern w:val="2"/>
          <w:sz w:val="21"/>
          <w:szCs w:val="21"/>
          <w:highlight w:val="none"/>
          <w:lang w:val="en-US" w:eastAsia="zh-CN" w:bidi="ar-SA"/>
        </w:rPr>
        <w:t>及其专属配套配件、材料。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相关建设标准，需符合相关工程法规要求。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4.14 改造施工要求</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 xml:space="preserve">4.14.1  </w:t>
      </w:r>
      <w:r>
        <w:rPr>
          <w:rFonts w:hint="eastAsia" w:ascii="宋体" w:hAnsi="宋体" w:eastAsia="宋体" w:cs="宋体"/>
          <w:kern w:val="2"/>
          <w:sz w:val="21"/>
          <w:szCs w:val="21"/>
          <w:highlight w:val="none"/>
          <w:lang w:eastAsia="zh-CN"/>
        </w:rPr>
        <w:t>改造</w:t>
      </w:r>
      <w:r>
        <w:rPr>
          <w:rFonts w:hint="eastAsia" w:ascii="宋体" w:hAnsi="宋体" w:eastAsia="宋体" w:cs="宋体"/>
          <w:kern w:val="2"/>
          <w:sz w:val="21"/>
          <w:szCs w:val="21"/>
          <w:highlight w:val="none"/>
        </w:rPr>
        <w:t>方案</w:t>
      </w:r>
      <w:r>
        <w:rPr>
          <w:rFonts w:hint="eastAsia" w:ascii="宋体" w:hAnsi="宋体" w:eastAsia="宋体" w:cs="宋体"/>
          <w:kern w:val="2"/>
          <w:sz w:val="21"/>
          <w:szCs w:val="21"/>
          <w:highlight w:val="none"/>
          <w:lang w:eastAsia="zh-CN"/>
        </w:rPr>
        <w:t>可落地性</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rPr>
        <w:t>服务单位</w:t>
      </w:r>
      <w:r>
        <w:rPr>
          <w:rFonts w:hint="eastAsia" w:ascii="宋体" w:hAnsi="宋体" w:eastAsia="宋体" w:cs="宋体"/>
          <w:kern w:val="2"/>
          <w:sz w:val="21"/>
          <w:szCs w:val="21"/>
          <w:highlight w:val="none"/>
        </w:rPr>
        <w:t>应基于对</w:t>
      </w:r>
      <w:r>
        <w:rPr>
          <w:rFonts w:hint="eastAsia" w:ascii="宋体" w:hAnsi="宋体" w:eastAsia="宋体" w:cs="宋体"/>
          <w:kern w:val="2"/>
          <w:sz w:val="21"/>
          <w:szCs w:val="21"/>
          <w:highlight w:val="none"/>
          <w:lang w:eastAsia="zh-CN"/>
        </w:rPr>
        <w:t>医院</w:t>
      </w:r>
      <w:r>
        <w:rPr>
          <w:rFonts w:hint="eastAsia" w:ascii="宋体" w:hAnsi="宋体" w:eastAsia="宋体" w:cs="宋体"/>
          <w:kern w:val="2"/>
          <w:sz w:val="21"/>
          <w:szCs w:val="21"/>
          <w:highlight w:val="none"/>
        </w:rPr>
        <w:t>现状的理解，合理评估技术节能措施及实施方案。</w:t>
      </w:r>
      <w:r>
        <w:rPr>
          <w:rFonts w:hint="eastAsia" w:ascii="宋体" w:hAnsi="宋体" w:eastAsia="宋体" w:cs="宋体"/>
          <w:kern w:val="2"/>
          <w:sz w:val="21"/>
          <w:szCs w:val="21"/>
          <w:highlight w:val="none"/>
          <w:lang w:eastAsia="zh-CN"/>
        </w:rPr>
        <w:t>服务单位</w:t>
      </w:r>
      <w:r>
        <w:rPr>
          <w:rFonts w:hint="eastAsia" w:ascii="宋体" w:hAnsi="宋体" w:eastAsia="宋体" w:cs="宋体"/>
          <w:kern w:val="2"/>
          <w:sz w:val="21"/>
          <w:szCs w:val="21"/>
          <w:highlight w:val="none"/>
        </w:rPr>
        <w:t>可在托管期内利用现有节能技术及新技术，不断挖掘医院节能空间，在</w:t>
      </w:r>
      <w:r>
        <w:rPr>
          <w:rFonts w:hint="eastAsia" w:ascii="宋体" w:hAnsi="宋体" w:eastAsia="宋体" w:cs="宋体"/>
          <w:kern w:val="2"/>
          <w:sz w:val="21"/>
          <w:szCs w:val="21"/>
          <w:highlight w:val="none"/>
          <w:lang w:eastAsia="zh-CN"/>
        </w:rPr>
        <w:t>医院</w:t>
      </w:r>
      <w:r>
        <w:rPr>
          <w:rFonts w:hint="eastAsia" w:ascii="宋体" w:hAnsi="宋体" w:eastAsia="宋体" w:cs="宋体"/>
          <w:kern w:val="2"/>
          <w:sz w:val="21"/>
          <w:szCs w:val="21"/>
          <w:highlight w:val="none"/>
        </w:rPr>
        <w:t>确认的情况下</w:t>
      </w:r>
      <w:r>
        <w:rPr>
          <w:rFonts w:hint="eastAsia" w:ascii="宋体" w:hAnsi="宋体" w:eastAsia="宋体" w:cs="宋体"/>
          <w:kern w:val="2"/>
          <w:sz w:val="21"/>
          <w:szCs w:val="21"/>
          <w:highlight w:val="none"/>
          <w:lang w:eastAsia="zh-CN"/>
        </w:rPr>
        <w:t>，</w:t>
      </w:r>
      <w:r>
        <w:rPr>
          <w:rFonts w:hint="eastAsia" w:ascii="宋体" w:hAnsi="宋体" w:eastAsia="宋体" w:cs="宋体"/>
          <w:kern w:val="2"/>
          <w:sz w:val="21"/>
          <w:szCs w:val="21"/>
          <w:highlight w:val="none"/>
        </w:rPr>
        <w:t>对医院实行节能技改，达到能耗降低的效果</w:t>
      </w:r>
      <w:r>
        <w:rPr>
          <w:rFonts w:hint="eastAsia" w:ascii="宋体" w:hAnsi="宋体" w:eastAsia="宋体" w:cs="宋体"/>
          <w:kern w:val="2"/>
          <w:sz w:val="21"/>
          <w:szCs w:val="21"/>
          <w:highlight w:val="none"/>
          <w:lang w:eastAsia="zh-CN"/>
        </w:rPr>
        <w:t>。服务单位</w:t>
      </w:r>
      <w:r>
        <w:rPr>
          <w:rFonts w:hint="eastAsia" w:ascii="宋体" w:hAnsi="宋体" w:eastAsia="宋体" w:cs="宋体"/>
          <w:kern w:val="2"/>
          <w:sz w:val="21"/>
          <w:szCs w:val="21"/>
          <w:highlight w:val="none"/>
        </w:rPr>
        <w:t>需要结合</w:t>
      </w:r>
      <w:r>
        <w:rPr>
          <w:rFonts w:hint="eastAsia" w:ascii="宋体" w:hAnsi="宋体" w:eastAsia="宋体" w:cs="宋体"/>
          <w:kern w:val="2"/>
          <w:sz w:val="21"/>
          <w:szCs w:val="21"/>
          <w:highlight w:val="none"/>
          <w:lang w:eastAsia="zh-CN"/>
        </w:rPr>
        <w:t>医院</w:t>
      </w:r>
      <w:r>
        <w:rPr>
          <w:rFonts w:hint="eastAsia" w:ascii="宋体" w:hAnsi="宋体" w:eastAsia="宋体" w:cs="宋体"/>
          <w:kern w:val="2"/>
          <w:sz w:val="21"/>
          <w:szCs w:val="21"/>
          <w:highlight w:val="none"/>
        </w:rPr>
        <w:t>实际情况</w:t>
      </w:r>
      <w:r>
        <w:rPr>
          <w:rFonts w:hint="eastAsia" w:ascii="宋体" w:hAnsi="宋体" w:eastAsia="宋体" w:cs="宋体"/>
          <w:kern w:val="2"/>
          <w:sz w:val="21"/>
          <w:szCs w:val="21"/>
          <w:highlight w:val="none"/>
          <w:lang w:eastAsia="zh-CN"/>
        </w:rPr>
        <w:t>及相关要求，</w:t>
      </w:r>
      <w:r>
        <w:rPr>
          <w:rFonts w:hint="eastAsia" w:ascii="宋体" w:hAnsi="宋体" w:eastAsia="宋体" w:cs="宋体"/>
          <w:kern w:val="2"/>
          <w:sz w:val="21"/>
          <w:szCs w:val="21"/>
          <w:highlight w:val="none"/>
        </w:rPr>
        <w:t>编写可落地的节能技改方案。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4.14.2 改造原则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由服务单位根据现场调查情况，因地制宜，选择技术先进、经济合理的技术或产品，技术或产品要求技术成熟、稳定可靠，在节能改造工程施工中不能影响医院的设备设施的正常工作，保证临床服务的正常运行。使用现在先进、节能的设备替换原有设备的，需要保证新投入设备必须有符合国家强制规定的证明文件、能效检验文件；所有节能改造内容、措施均需提交医院审核通过后方可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4.14.3 施工安全文明保障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改造期间，服务单位严格按照工程相关规定执行施工安全文明措施，并全面保障场地、设备设施及人员的安全文明，负责由此产生的一切费用。如出现施工安全事故，服务单位全面负责处理全部相关事宜及承担全部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4.14.4 施工应急方案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如改造需产生必要性断水、断电的情况，服务单位需提前做好相关应急预案和预计处置措施，且需提前报医院审批同意后方可实施。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4.14.5 施工人员劳动权益保障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服务单位全面负责改造施工人员的法定劳动权益及由此产生的一切费用，由产生劳动纠纷或劳资纠纷，由服务单位全面负责处理全部相关事宜及承担全部费用。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4.14.6 施工法规及行政审批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能源托管期内，服务单位全面保障所有改造施工须符合相关法律、法规及标准要求，全面负责施工相关行政审批手续申报，并承担由此产生的一切费用，医院积极配合。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4.14.7 其余未尽事宜，参照施工相关法律、法规及标准执行，无相关参照的，医院和服务单位另行协商约定。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4.15  改造内容质保期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本项目改造内容新增或更换的设备、设施、材料等质保期，参照相关法规要求执行。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4.16  ★改造初略工程量清单参考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本托管项目节能低碳、运营安全、智慧化运营改造，初略工程量清单，可参考项目市场调研阶段初步预估清单（附件2）；实际改造清单需包含并不限于附件2内容；</w:t>
      </w:r>
      <w:r>
        <w:rPr>
          <w:rFonts w:hint="eastAsia" w:ascii="宋体" w:hAnsi="宋体" w:eastAsia="宋体" w:cs="宋体"/>
          <w:kern w:val="2"/>
          <w:sz w:val="21"/>
          <w:szCs w:val="21"/>
          <w:highlight w:val="none"/>
          <w:lang w:val="en-US" w:eastAsia="zh-CN" w:bidi="ar-SA"/>
        </w:rPr>
        <w:t>实际以项目具体改造要求、竣工图纸等进行工程测算、实施和结算为准。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4.17  改造项目人员配置要求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为保障本托管改造项目内容的进度合理性、先进性、质量和安全性，要求服务单位针对改造项目内容，配置符合以下要求的相应人员（不同于托管项目整体性人员配置）：</w:t>
      </w:r>
    </w:p>
    <w:p>
      <w:pPr>
        <w:ind w:firstLine="420" w:firstLineChars="200"/>
        <w:rPr>
          <w:rFonts w:hint="eastAsia" w:ascii="宋体" w:hAnsi="宋体" w:eastAsia="宋体" w:cs="宋体"/>
          <w:color w:val="000000"/>
          <w:sz w:val="21"/>
          <w:szCs w:val="21"/>
          <w:highlight w:val="none"/>
          <w:u w:val="none"/>
          <w:lang w:val="en-US" w:eastAsia="zh-CN" w:bidi="ar"/>
        </w:rPr>
      </w:pPr>
      <w:r>
        <w:rPr>
          <w:rFonts w:hint="eastAsia" w:ascii="宋体" w:hAnsi="宋体" w:eastAsia="宋体" w:cs="宋体"/>
          <w:color w:val="000000"/>
          <w:sz w:val="21"/>
          <w:szCs w:val="21"/>
          <w:highlight w:val="none"/>
          <w:u w:val="none"/>
          <w:lang w:val="en-US" w:eastAsia="zh-CN" w:bidi="ar"/>
        </w:rPr>
        <w:t>4.17.1、配置改造项目经理1人：本科及以上学历，具备暖通/电气/机电/热工（热能）类专业的中级（或高级）职称和二级（或一级）建造师注册证书。</w:t>
      </w:r>
      <w:r>
        <w:rPr>
          <w:rFonts w:hint="eastAsia" w:ascii="宋体" w:hAnsi="宋体" w:eastAsia="宋体" w:cs="宋体"/>
          <w:color w:val="000000"/>
          <w:sz w:val="21"/>
          <w:szCs w:val="21"/>
          <w:highlight w:val="none"/>
          <w:u w:val="none"/>
          <w:lang w:val="en-US" w:eastAsia="zh-CN" w:bidi="ar"/>
        </w:rPr>
        <w:br w:type="textWrapping"/>
      </w:r>
      <w:r>
        <w:rPr>
          <w:rFonts w:hint="eastAsia" w:ascii="宋体" w:hAnsi="宋体" w:eastAsia="宋体" w:cs="宋体"/>
          <w:color w:val="000000"/>
          <w:sz w:val="21"/>
          <w:szCs w:val="21"/>
          <w:highlight w:val="none"/>
          <w:u w:val="none"/>
          <w:lang w:val="en-US" w:eastAsia="zh-CN" w:bidi="ar"/>
        </w:rPr>
        <w:t xml:space="preserve">   4.17.2、配置改造项目技术负责人1人，具备暖通/电气/机电/热工（热能）专业的中级职称及以上。</w:t>
      </w:r>
      <w:r>
        <w:rPr>
          <w:rFonts w:hint="eastAsia" w:ascii="宋体" w:hAnsi="宋体" w:eastAsia="宋体" w:cs="宋体"/>
          <w:color w:val="000000"/>
          <w:sz w:val="21"/>
          <w:szCs w:val="21"/>
          <w:highlight w:val="none"/>
          <w:u w:val="none"/>
          <w:lang w:val="en-US" w:eastAsia="zh-CN" w:bidi="ar"/>
        </w:rPr>
        <w:br w:type="textWrapping"/>
      </w:r>
      <w:r>
        <w:rPr>
          <w:rFonts w:hint="eastAsia" w:ascii="宋体" w:hAnsi="宋体" w:eastAsia="宋体" w:cs="宋体"/>
          <w:color w:val="000000"/>
          <w:sz w:val="21"/>
          <w:szCs w:val="21"/>
          <w:highlight w:val="none"/>
          <w:u w:val="none"/>
          <w:lang w:val="en-US" w:eastAsia="zh-CN" w:bidi="ar"/>
        </w:rPr>
        <w:t xml:space="preserve">   4.17.3、配置改造项目质量负责人1人，具备暖通/电气/机电/热工（热能）专业的中级职称及以上。</w:t>
      </w:r>
      <w:r>
        <w:rPr>
          <w:rFonts w:hint="eastAsia" w:ascii="宋体" w:hAnsi="宋体" w:eastAsia="宋体" w:cs="宋体"/>
          <w:color w:val="000000"/>
          <w:sz w:val="21"/>
          <w:szCs w:val="21"/>
          <w:highlight w:val="none"/>
          <w:u w:val="none"/>
          <w:lang w:val="en-US" w:eastAsia="zh-CN" w:bidi="ar"/>
        </w:rPr>
        <w:br w:type="textWrapping"/>
      </w:r>
      <w:r>
        <w:rPr>
          <w:rFonts w:hint="eastAsia" w:ascii="宋体" w:hAnsi="宋体" w:eastAsia="宋体" w:cs="宋体"/>
          <w:color w:val="000000"/>
          <w:sz w:val="21"/>
          <w:szCs w:val="21"/>
          <w:highlight w:val="none"/>
          <w:u w:val="none"/>
          <w:lang w:val="en-US" w:eastAsia="zh-CN" w:bidi="ar"/>
        </w:rPr>
        <w:t xml:space="preserve">   4.17.4、配置改造项目安全负责人1人，具备中级注册安全工程师或安全相关专业中级职称及以上。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5、能源系统运行维护服务要求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运维内容，分两部分，第一部分为既有运维内容，主要有高低压维护（维修）保养、检测服务，柴油发电机组运维，物业管理机电工程运维，日常维修材料定点供应，空调维护保养服务，洁净系统及配套设备设施维修保养，洁净空调过滤器更换项目等内容；第二部分为本项目改造新增软硬件系统的日常运维工作内容，包括运维人员值守和日常维修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5.1既有运维服务要求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服务主要内容和费用基准见下表，具体服务要求以需求书本章节专用条款和附件相关资料通用条款要求相结合，</w:t>
      </w:r>
      <w:r>
        <w:rPr>
          <w:rFonts w:hint="eastAsia" w:ascii="宋体" w:hAnsi="宋体" w:eastAsia="宋体" w:cs="宋体"/>
          <w:b/>
          <w:bCs/>
          <w:color w:val="auto"/>
          <w:kern w:val="2"/>
          <w:sz w:val="21"/>
          <w:szCs w:val="21"/>
          <w:highlight w:val="none"/>
          <w:lang w:val="en-US" w:eastAsia="zh-CN" w:bidi="ar-SA"/>
        </w:rPr>
        <w:t>需求书专用条款优先级高于附件通用条款：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bidi w:val="0"/>
        <w:spacing w:line="240" w:lineRule="auto"/>
        <w:ind w:left="481" w:leftChars="0" w:firstLine="422" w:firstLineChars="20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既有运维服务主要内容和费用基准</w:t>
      </w:r>
    </w:p>
    <w:tbl>
      <w:tblPr>
        <w:tblStyle w:val="23"/>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5"/>
        <w:gridCol w:w="1410"/>
        <w:gridCol w:w="4875"/>
        <w:gridCol w:w="1005"/>
        <w:gridCol w:w="1080"/>
        <w:gridCol w:w="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项目</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服务主要内容</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年维保</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金额</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配件耗材</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年度金额</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（万元）</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驻点</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高低压维护（维修）保养、检测服务</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1）高低压维护保养、检测服务；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2）已知故障维修/完善；</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3）紧急维修/未知故障维修；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b/>
                <w:bCs/>
                <w:color w:val="000000"/>
                <w:kern w:val="2"/>
                <w:sz w:val="21"/>
                <w:szCs w:val="21"/>
                <w:highlight w:val="none"/>
                <w:u w:val="none"/>
                <w:lang w:val="en-US" w:eastAsia="zh-CN" w:bidi="ar"/>
              </w:rPr>
              <w:t>4）变频增压供水系统维保、维修。</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21.6</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8.36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柴油发电机组完善及维修</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4台柴油应急发电机及5台移动汽油发电机，定期维护保养测试（含定期测试燃油供应），应急响应服务等。应急长时（大于2小时）供电燃油，由服务单位供应，费用据实结算。</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6.56</w:t>
            </w:r>
          </w:p>
        </w:tc>
        <w:tc>
          <w:tcPr>
            <w:tcW w:w="1080"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FFFFFF"/>
            <w:noWrap w:val="0"/>
            <w:vAlign w:val="center"/>
          </w:tcPr>
          <w:p>
            <w:pPr>
              <w:autoSpaceDE/>
              <w:autoSpaceDN/>
              <w:adjustRightInd/>
              <w:spacing w:line="240" w:lineRule="auto"/>
              <w:jc w:val="center"/>
              <w:rPr>
                <w:rFonts w:hint="eastAsia" w:ascii="宋体" w:hAnsi="宋体" w:eastAsia="宋体" w:cs="宋体"/>
                <w:i w:val="0"/>
                <w:iCs w:val="0"/>
                <w:color w:val="000000"/>
                <w:kern w:val="2"/>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后勤物业管理机电工程运维</w:t>
            </w:r>
          </w:p>
        </w:tc>
        <w:tc>
          <w:tcPr>
            <w:tcW w:w="4875"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1）水电运行巡检、值班及管理；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2）UPS维保及维修；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日常维修：电工、继电保护、信息通信网络（电话线、电视线、音频线、网线等各类信号线）、广电和通信设备调试、家用电器/电子产品维修工、焊工、防水工、砌筑工、装饰装修、建筑门窗幕墙安装、木工、管工、机械设备安装、仪器仪表维修等；</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4）人防工程维护；</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5）全院水池清洗消毒服务；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6）日常维修材料应急供应。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126.72</w:t>
            </w:r>
          </w:p>
        </w:tc>
        <w:tc>
          <w:tcPr>
            <w:tcW w:w="1080"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FFFFFF"/>
            <w:noWrap w:val="0"/>
            <w:vAlign w:val="center"/>
          </w:tcPr>
          <w:p>
            <w:pPr>
              <w:autoSpaceDE/>
              <w:autoSpaceDN/>
              <w:adjustRightInd/>
              <w:spacing w:line="240" w:lineRule="auto"/>
              <w:jc w:val="center"/>
              <w:rPr>
                <w:rFonts w:hint="eastAsia" w:ascii="宋体" w:hAnsi="宋体" w:eastAsia="宋体" w:cs="宋体"/>
                <w:i w:val="0"/>
                <w:iCs w:val="0"/>
                <w:color w:val="000000"/>
                <w:kern w:val="2"/>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日常维修</w:t>
            </w:r>
          </w:p>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材料</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物业工程运维范围内的所有维修材料（包含给排水泵组）及科室日常需求安装材料，除高低压电房配电板/变压器内元器件、UPS主机及电池。</w:t>
            </w:r>
          </w:p>
        </w:tc>
        <w:tc>
          <w:tcPr>
            <w:tcW w:w="0" w:type="auto"/>
            <w:tcBorders>
              <w:top w:val="single" w:color="000000" w:sz="4" w:space="0"/>
              <w:left w:val="single" w:color="000000" w:sz="4" w:space="0"/>
              <w:bottom w:val="single" w:color="000000" w:sz="4" w:space="0"/>
              <w:right w:val="single" w:color="000000" w:sz="4" w:space="0"/>
              <w:tl2br w:val="single" w:color="000000" w:sz="4" w:space="0"/>
            </w:tcBorders>
            <w:shd w:val="clear" w:color="auto" w:fill="FFFFFF"/>
            <w:noWrap/>
            <w:vAlign w:val="center"/>
          </w:tcPr>
          <w:p>
            <w:pPr>
              <w:autoSpaceDE/>
              <w:autoSpaceDN/>
              <w:adjustRightInd/>
              <w:spacing w:line="240" w:lineRule="auto"/>
              <w:jc w:val="both"/>
              <w:rPr>
                <w:rFonts w:hint="eastAsia" w:ascii="宋体" w:hAnsi="宋体" w:eastAsia="宋体" w:cs="宋体"/>
                <w:i w:val="0"/>
                <w:iCs w:val="0"/>
                <w:color w:val="000000"/>
                <w:kern w:val="2"/>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空调维护保养服务</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1）温度调节设备维保服务；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2）分体空调、天花机、柜机拆装服务；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3）中央空调系统的局部维修改造服务；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4）维保所需高值零配件（大于200元）</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27.78</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洁净系统及配套设备设施维修保养</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医院洁净系统及配套设备设施各系统的现状情况及维护保养工作，所有空调设备的运行安全（净化空调及净化设备、强弱电设备、医用氧气、负吸系统、呼叫及设备、给排水设备、装饰及电动门的运行安全）</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26.36</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洁净空调过滤器</w:t>
            </w:r>
          </w:p>
        </w:tc>
        <w:tc>
          <w:tcPr>
            <w:tcW w:w="4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医院洁净空调过滤器供应及更换。</w:t>
            </w:r>
          </w:p>
        </w:tc>
        <w:tc>
          <w:tcPr>
            <w:tcW w:w="0" w:type="auto"/>
            <w:tcBorders>
              <w:top w:val="nil"/>
              <w:left w:val="nil"/>
              <w:bottom w:val="nil"/>
              <w:right w:val="nil"/>
            </w:tcBorders>
            <w:shd w:val="clear" w:color="auto" w:fill="FFFFFF"/>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合计</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209.02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90.56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r>
    </w:tbl>
    <w:p>
      <w:pPr>
        <w:keepNext w:val="0"/>
        <w:keepLines w:val="0"/>
        <w:pageBreakBefore w:val="0"/>
        <w:widowControl w:val="0"/>
        <w:numPr>
          <w:ilvl w:val="0"/>
          <w:numId w:val="0"/>
        </w:numPr>
        <w:kinsoku/>
        <w:wordWrap/>
        <w:overflowPunct/>
        <w:topLinePunct w:val="0"/>
        <w:bidi w:val="0"/>
        <w:spacing w:line="240" w:lineRule="auto"/>
        <w:ind w:firstLine="561"/>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color w:val="auto"/>
          <w:kern w:val="2"/>
          <w:sz w:val="21"/>
          <w:szCs w:val="21"/>
          <w:highlight w:val="none"/>
          <w:lang w:val="en-US" w:eastAsia="zh-CN" w:bidi="ar-SA"/>
        </w:rPr>
        <w:t xml:space="preserve">5.1.1 </w:t>
      </w:r>
      <w:r>
        <w:rPr>
          <w:rFonts w:hint="eastAsia" w:ascii="宋体" w:hAnsi="宋体" w:eastAsia="宋体" w:cs="宋体"/>
          <w:b/>
          <w:bCs/>
          <w:i w:val="0"/>
          <w:iCs w:val="0"/>
          <w:color w:val="000000"/>
          <w:kern w:val="0"/>
          <w:sz w:val="21"/>
          <w:szCs w:val="21"/>
          <w:highlight w:val="none"/>
          <w:u w:val="none"/>
          <w:lang w:val="en-US" w:eastAsia="zh-CN" w:bidi="ar"/>
        </w:rPr>
        <w:t>高低压维护（维修）保养、检测服务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1）本项目服务要求通用条款，不低于附件3内《高低压维护（维修）保养、检测服务合同》及《广州市第一人民医院南沙医院采购高低压维护（维修）保养、检测服务项目招标文件》。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【专用条款】如下：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 高低压维护保养、检测服务费用基准为64.8万元/3年=21.6万元/年，实际执行为21.6万元*（1-下浮率），所有单价均执行原合同单价*（1-下浮率）；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 因2020年至附件3合同履行前，均未进行紧急维修服务，合同期履行至今，紧急维修费用约3万元（具体待结算审核）；已知故障维修/完善，合同期内因不具备停电条件，未实施；故已知故障维修/完善额度，与紧急维修/未知故障维修额度合并，</w:t>
      </w:r>
      <w:r>
        <w:rPr>
          <w:rFonts w:hint="eastAsia" w:hAnsi="宋体" w:cs="宋体"/>
          <w:i w:val="0"/>
          <w:iCs w:val="0"/>
          <w:color w:val="000000"/>
          <w:kern w:val="0"/>
          <w:sz w:val="21"/>
          <w:szCs w:val="21"/>
          <w:highlight w:val="none"/>
          <w:u w:val="none"/>
          <w:lang w:val="en-US" w:eastAsia="zh-CN" w:bidi="ar"/>
        </w:rPr>
        <w:t>维修服务费用基准</w:t>
      </w:r>
      <w:r>
        <w:rPr>
          <w:rFonts w:hint="eastAsia" w:ascii="宋体" w:hAnsi="宋体" w:eastAsia="宋体" w:cs="宋体"/>
          <w:i w:val="0"/>
          <w:iCs w:val="0"/>
          <w:color w:val="000000"/>
          <w:kern w:val="0"/>
          <w:sz w:val="21"/>
          <w:szCs w:val="21"/>
          <w:highlight w:val="none"/>
          <w:u w:val="none"/>
          <w:lang w:val="en-US" w:eastAsia="zh-CN" w:bidi="ar"/>
        </w:rPr>
        <w:t>按5年共计41.8万元，即费用基准为41.8万元/5年=8.36万元/年，实际执行为8.36万元*（1-下浮率）。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明确本托管项目该部分维保维修范围，主要包括高压配电房、变压器房、低压配电房、发电机房（发电机及柴油机本体除外）、UPS间（蓄电池除外）、层间电房、水泵房、空调主机房、网络机房/分配间等设备房的供配电及控制设施、元器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4）本项目“高低压维护保养、检测服务”工作要求不得低于附件3合同及附件要求，付款要求参照附件3合同办法，如对应服务未开展，将对应办法扣除相应费用，并对照本托管项目需求书考核办法进行考核。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本项目维修服务（含已知故障、未知故障、紧急故障的维修）采取费用包干制，如按要求完成相关维修，固定支付8.36万元*（1-下浮率）/年费用；如出现故障未及时维修的，甲方有权委托其余单位实施维修，产生费用从托管服务单位维修额度中扣除，并对照本托管项目需求书考核办法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本项目维修服务，应保证甲方医院性质供电稳定性要求，如未满足的，应按要求及时整改，否则甲方有权委托其余单位实施维修，产生费用从托管服务单位维修额度中扣除，并对照本托管项目需求书考核办法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7）如因维保不到位或人员响应不及时，造成供电故障或恢复不及时，引发医院设备损失、经济损失甚至危及病人生命安全的，服务单位将承担一切责任，并列为合同严重违约项进行重点考核扣罚。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8）以上要求范围内，如非故障类维修，属于甲方提出的升级改造提升内容，直接委托托管服务单位实施，相关费用经第三方审核后，在托管项目作为调整费用进行结算支出。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w:t>
      </w:r>
      <w:r>
        <w:rPr>
          <w:rFonts w:hint="eastAsia" w:ascii="宋体" w:hAnsi="宋体" w:eastAsia="宋体" w:cs="宋体"/>
          <w:b w:val="0"/>
          <w:bCs w:val="0"/>
          <w:i w:val="0"/>
          <w:iCs w:val="0"/>
          <w:color w:val="000000"/>
          <w:kern w:val="0"/>
          <w:sz w:val="21"/>
          <w:szCs w:val="21"/>
          <w:highlight w:val="none"/>
          <w:u w:val="none"/>
          <w:lang w:val="en-US" w:eastAsia="zh-CN" w:bidi="ar"/>
        </w:rPr>
        <w:t>进一步明确</w:t>
      </w:r>
      <w:r>
        <w:rPr>
          <w:rFonts w:hint="eastAsia" w:ascii="宋体" w:hAnsi="宋体" w:eastAsia="宋体" w:cs="宋体"/>
          <w:b w:val="0"/>
          <w:bCs w:val="0"/>
          <w:color w:val="000000"/>
          <w:sz w:val="21"/>
          <w:szCs w:val="21"/>
          <w:highlight w:val="none"/>
          <w:u w:val="none"/>
          <w:lang w:val="en-US" w:eastAsia="zh-CN" w:bidi="ar"/>
        </w:rPr>
        <w:t>运维配置设备/工具保障要求，投标人具有高低压维保试验设备类型，包含工频耐压试验装置（6KVA/50KV及以上）、感应耐压试验装置、三相继电保护测试仪、回路电阻测试仪、变压器直流电阻测试仪、变压器变比测试仪、断路器特性测试仪、断路器保护单元检测仪器、电缆故障检测仪、互感器伏安特性测试仪。</w:t>
      </w:r>
    </w:p>
    <w:p>
      <w:pPr>
        <w:widowControl w:val="0"/>
        <w:autoSpaceDE w:val="0"/>
        <w:autoSpaceDN w:val="0"/>
        <w:adjustRightInd w:val="0"/>
        <w:ind w:firstLine="440" w:firstLineChars="200"/>
        <w:rPr>
          <w:rFonts w:hint="default" w:ascii="宋体" w:hAnsi="Times New Roman" w:eastAsia="宋体" w:cs="Times New Roman"/>
          <w:sz w:val="22"/>
          <w:szCs w:val="22"/>
          <w:highlight w:val="none"/>
          <w:lang w:val="en-US" w:eastAsia="zh-CN" w:bidi="ar-SA"/>
        </w:rPr>
      </w:pPr>
      <w:r>
        <w:rPr>
          <w:rFonts w:hint="eastAsia" w:ascii="宋体" w:hAnsi="Times New Roman" w:eastAsia="宋体" w:cs="Times New Roman"/>
          <w:sz w:val="22"/>
          <w:szCs w:val="22"/>
          <w:highlight w:val="none"/>
          <w:lang w:val="en-US" w:eastAsia="zh-CN" w:bidi="ar-SA"/>
        </w:rPr>
        <w:t>10）投标人具有维修设备/工具配置保障。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5.1.2 柴油、汽油发电机组运维服务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1）服务范围主要为4台柴油应急发电机及5台移动汽油发电机的运维服务。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2）服务要求通用条款，不低于附件3内《发电机完善、维修、维保报价方案》中相关要求。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【专用条款】如下：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发电机维保及试验，基准费用为6.56万元/年，实际执行为6.56万元*（1-下浮率），所有单价均执行单价*（1-下浮率）。</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如对应服务未开展，将对应办法扣除相应费用，并对照本托管项目需求书考核办法进行考核。</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发电机维保，应保障医院应急供电及时性响应，如因维保不到位或人员响应不及时，造成应急供电不及时，引发医院设备损失、经济损失甚至危及病人生命安全的，服务单位将承担一切责任，并列为合同严重违约项进行重点考核扣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5）以上服务要求范围外维修改造服务，直接委托托管服务单位实施，相关费用经第三方审核后，在托管项目作为调整费用据实结算支出。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6）应急长时（大于2小时）供电的燃油（汽油、柴油）由服务单位供应，费用在托管项目作为调整费用据实结算支出。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 xml:space="preserve">5.1.3 </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eastAsia="宋体" w:cs="宋体"/>
          <w:b/>
          <w:bCs/>
          <w:i w:val="0"/>
          <w:iCs w:val="0"/>
          <w:color w:val="000000"/>
          <w:kern w:val="0"/>
          <w:sz w:val="21"/>
          <w:szCs w:val="21"/>
          <w:highlight w:val="none"/>
          <w:u w:val="none"/>
          <w:lang w:val="en-US" w:eastAsia="zh-CN" w:bidi="ar"/>
        </w:rPr>
        <w:t>后勤物业管理机电工程运维服务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范围及内容，具体见附件3《广州市第一人民医院南沙医院后勤物业管理服务招标项目合同》，主要为水电运行巡检、值班及管理；UPS维保及维修；日常维修：电工、继电保护、信息通信网络（电话线、电视线、音频线、网线等各类信号线）、广电和通信设备调试、家用电器/电子产品维修工、焊工、防水工、砌筑工、装饰装修、建筑门窗幕墙安装、木工、管工、机械设备安装、仪器仪表维修等；人防工程维护；全院水池清洗消毒服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日常维修材料应急供应（此项调整至“日常维修材料定点供应”提供相应服务）。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2）服务要求，不低于附件3《广州市第一人民医院南沙医院后勤物业管理服务招标项目合同》中相关要求。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a、服务费用基准为126.72万元/年（即10.56万元/月），实际执行为126.72万元*（1-下浮率），所有单价均执行原合同单价*（1-下浮率）。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4）如对应服务未开展或未达到要求，将对应办法扣除相应费用，并对照附件3《广州市第一人民医院南沙医院后勤物业管理服务招标项目合同》中相关考核办法及细则进行考核。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5）人员配置调整项：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以上年度金额基准，针对已开放区域配置人员为19人，如后续院区使用面积调整或院方需求人员的调整，可参照附件3《广州市第一人民医院南沙医院后勤物业管理服务招标项目合同》人员配置额度，进行人员调整；如因政策法规强制要求或法规更新变化，引起的人员配置调整需求，人员要求参照附件3《广州市第一人民医院南沙医院后勤物业管理服务招标项目合同》；所有人员调整单价，均执行单价*（1-下浮率）；相关费用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以上年度金额基准，针对已开放区域配置人员为19人。如后续医院需求人员配置标准各类型的要求提高，例如人员持证要求“低压证”提高为“高压证”等类型，则相关人员单价，根据医院与服务单位协商，提高500元至2000元不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专项维修调整项：附件3《广州市第一人民医院南沙医院后勤物业管理服务招标项目合同》范围外、本托管项目服务范围以外的，院方需求专项维修，直接委托服务单位实施，相关费用经第三方审核后，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UPS维保调整项：UPS日常维保工作中，如遇UPS主机及蓄电池无法维修、维护，存在较大安全风险需更换的，相应UPS主机及蓄电池，直接委托服务单位按照要求进行供货及更换安装（安装调试工作属于维保范围，不另收取费用），相关供货费用经第三方审核后，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9）调整项费用额度限制：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a、专项维修调整项，费用额度≤12万元/年（即1万元/月），年度内各个月额度共用；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b、人员配置调整项和UPS维保调整项，不设额度限制，据实结算。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10）所有调整项供应、使用及涉及费用，均需做好相关规范性记录登记，严格执行院方收货、验货、入库、出库等规定程序。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5.1.4 日常维修材料定点供应服务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内容及要求，不低于附件3《广州市第一人民医院南沙医院采购日常维修材料定点供应竞争性磋商项目合同》及《广州市第一人民医院南沙医院采购日常维修材料定点供应竞争性磋商项目竞争性磋商文件》中相关内容及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2）材料供应清单及单价，具体见附件3《合同材料主清单价格表》。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a、年度金额基准，参照过往年度维修材料费用均值，设为12万元/年；为保障医院及临床正常运行，12万元/年仅为预估费用，实际执行据实结算，不设费用限制；但超12万元/年，需提前报甲方同意后方可实施。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b、材料单价基准，以附件3《合同材料主清单价格表》中招标单价为准，实际执行招标单价*（1-下浮率）。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4）如对应服务未开展或未达到要求，将对应办法扣除相应费用，并对照附件3《广州市第一人民医院南沙医院采购日常维修材料定点供应竞争性磋商项目合同》中相关考核办法及细则进行考核。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5）维修材料供应调整项：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 合同清单外材料调整项：因维修材料多样性和材料发展等特殊性，合同清单3000余项乃至更多项，均无法罗列完全，故合同清单外材料，仍由服务单位供应，供应时提前报甲方同意即可。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相关供货费用，不得明显偏离同期市场价，并采取医院以服务单位报价为限制价进行市场询价结果为结算价的方式，或第三方审核的方式，在托管项目作为调整费用进行结算支出。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b、应急维修材料调整项：如因紧急维修需要，甲方供货时限要求高于合同要求，经报甲方同意后，相关材料可由服务公司采用各类市场途径进行采购，相关费用提前报甲方同意后据实结算。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C、合同清单外材料调整项，费用额度≤12万元/年（即1万元/月），年度内各个月额度共用；如超出需提前报甲方同意；应急维修材料调整项，不设费用额度限制，但每次供应费用需提前报请甲方同意。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6）所有材料供应、使用，均需做好相关规范性记录登记，严格执行院方收货、验货、入库、出库等规定程序。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5.1.5  空调维护保养服务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内容及要求，不低于附件3《广州市第一人民医院空调维护保养服务采购项目合同》及《广州市第一人民医院采购空调维护保养服务采购项目招标文件》；服务内容主要为温度调节设备维保服务，分体空调、天花机、柜机拆装服务，中央空调系统的局部维修改造服务，维保所需高值零配件（大于200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a、温度调节设备维保服务，费用基准为27.78万元/年（即2.315万元/月），实际执行为27.78万元*（1-下浮率），所有单价均执行原合同单价*（1-下浮率）。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b、维保所需高值零配件（大于200元），费用基准为57.5万元/年，实际执行为57.5万元*（1-下浮率），所有单价均执行原合同单价*（1-下浮率）。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本项目维保所需高值零配件（大于200元）采取费用包干制，如按要求完成相关维修，固定支付57.5万元*（1-下浮率）/年费用；如出现故障未及时维修的，甲方有权委托其余单位实施维修，产生费用从托管服务单位维修额度中扣除，并对照本托管项目需求书考核办法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4）如对应服务未开展或未达到要求，将对应办法扣除相应费用，并对照附件3《广州市第一人民医院空调维护保养服务采购项目合同》中相关考核办法及细则进行考核。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5）调整项：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a、非故障类及非托管服务必要需求，院方需求的拆装服务和改造项，直接委托服务单位实施，相关费用经第三方审核后，在托管项目作为调整费用进行结算支出；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b、非托管服务必要需求，及非政策法规强制需求，引起的院方维保要求提高，直接委托服务单位实施，相关费用经第三方审核后，在托管项目作为调整费用进行结算支出。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6）所有调整项供应、使用及涉及费用，均需做好相关规范性记录登记，严格执行院方收货、验货、入库、出库等规定程序。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5.1.6  洁净系统及配套设备设施维修保养服务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内容及要求，不低于附件3《广州市第一人民医院采购洁净系统及配套设备设施维修保养服务项目合同》相关内容及要求；主要内容为医院洁净系统及配套设备设施各系统的现状情况及维护保养工作，所有空调设备的运行安全（净化空调及净化设备、强弱电设备、医用氧气、负吸系统、呼叫及设备、给排水设备、装饰及电动门的运行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a、维护保养服务，费用基准为26.36万元/年（即2.197万元/月），实际执行为26.36万元*（1-下浮率），所有单价均执行原合同单价*（1-下浮率）。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b、设备设施维保维修零配件（大于200元），费用基准为4万元/年，实际执行为4万元*（1-下浮率），所有单价均执行原合同单价*（1-下浮率）。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本项目设备设施维保维修零配件（大于200元）采取费用包干制，如按要求完成相关维修，固定支付4万元*（1-下浮率）/年费用；如出现故障未及时维修的，甲方有权委托其余单位实施，产生费用从托管服务单位额度中扣除，并对照本托管项目需求书考核办法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4）如对应服务未开展或未达到要求，将对应办法扣除相应费用，并对照附件3《广州市第一人民医院采购洁净系统及配套设备设施维修保养服务项目合同》中相关考核办法及细则进行考核。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5）所有服务项供应、使用及涉及费用，均需做好相关规范性记录登记，严格执行院方收货、验货、入库、出库等规定程序。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5.1.7 洁净空调过滤器供应及更换服务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内容及要求，不低于附件3《广州市第一人民医院洁净空调过滤器采购及更换项目合同》及《广州市第一人民医院洁净空调过滤器采购及更换项目招标文件》；服务内容主要为合同范围内的初效、中效、亚高效、高效过滤器的供应、更换、调试及保修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2）年度金额基准计算：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a、服务费用基准为8.7万元/年，实际执行为8.7万元*（1-下浮率），所有单价均执行原合同单价*（1-下浮率）。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本服务项目采取费用包干制，如按要求完成相关服务内容，固定支付8.7万元*（1-下浮率）/年费用；如未未按要求提供服务的，甲方有权委托其余单位实施，产生费用从托管服务单位额度中扣除，并对照本托管项目需求书考核办法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4）如对应服务未开展或未达到要求，将对应办法扣除相应费用，并对照附件3《广州市第一人民医院洁净空调过滤器采购及更换项目合同》中相关考核办法及细则进行考核。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5）所有服务项供应、使用及涉及费用，均需做好相关规范性记录登记，严格执行院方收货、验货、入库、出库等规定程序。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5.1.8 既有运维服务主要人员配置要求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color w:val="000000"/>
          <w:kern w:val="2"/>
          <w:sz w:val="21"/>
          <w:szCs w:val="21"/>
          <w:highlight w:val="none"/>
          <w:u w:val="none"/>
          <w:lang w:val="en-US" w:eastAsia="zh-CN" w:bidi="ar"/>
        </w:rPr>
      </w:pPr>
      <w:r>
        <w:rPr>
          <w:rFonts w:hint="eastAsia" w:ascii="宋体" w:hAnsi="宋体" w:eastAsia="宋体" w:cs="宋体"/>
          <w:color w:val="000000"/>
          <w:kern w:val="2"/>
          <w:sz w:val="21"/>
          <w:szCs w:val="21"/>
          <w:highlight w:val="none"/>
          <w:u w:val="none"/>
          <w:lang w:val="en-US" w:eastAsia="zh-CN" w:bidi="ar"/>
        </w:rPr>
        <w:t>1）高低压维保、物业工程部、空调维保等运维项目，对应配置专业主管，具有相应专业本科学历、中级职称（或高级技工等高级职业资格）和5年以上对应工作经验。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2"/>
          <w:sz w:val="21"/>
          <w:szCs w:val="21"/>
          <w:highlight w:val="none"/>
          <w:u w:val="none"/>
          <w:lang w:val="en-US" w:eastAsia="zh-CN" w:bidi="ar"/>
        </w:rPr>
        <w:t>2）</w:t>
      </w:r>
      <w:r>
        <w:rPr>
          <w:rFonts w:hint="eastAsia" w:ascii="宋体" w:hAnsi="宋体" w:eastAsia="宋体" w:cs="宋体"/>
          <w:color w:val="000000"/>
          <w:sz w:val="21"/>
          <w:szCs w:val="21"/>
          <w:highlight w:val="none"/>
          <w:u w:val="none"/>
          <w:lang w:val="en-US" w:eastAsia="zh-CN" w:bidi="ar"/>
        </w:rPr>
        <w:t>需配备至少14名高压特种作业操作证人员配置和至少6名制冷与空调作业证人员。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5.2  本项目改造新增软硬件系统的日常运维服务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5.2.1本项目改造新增软硬件系统的日常运维工作内容，包括运维人员值守和日常运维费用。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5.2.2 运维人员及值守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1）人员配置要求</w:t>
      </w:r>
    </w:p>
    <w:tbl>
      <w:tblPr>
        <w:tblStyle w:val="23"/>
        <w:tblW w:w="103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
        <w:gridCol w:w="805"/>
        <w:gridCol w:w="6986"/>
        <w:gridCol w:w="929"/>
        <w:gridCol w:w="1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2" w:hRule="atLeast"/>
          <w:jc w:val="center"/>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岗位名称</w:t>
            </w:r>
          </w:p>
        </w:tc>
        <w:tc>
          <w:tcPr>
            <w:tcW w:w="6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人员资质要求</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驻点</w:t>
            </w:r>
          </w:p>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人数</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费用基准（万元/人/月）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jc w:val="center"/>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能源托管服务项目经理</w:t>
            </w:r>
          </w:p>
        </w:tc>
        <w:tc>
          <w:tcPr>
            <w:tcW w:w="6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jc w:val="both"/>
              <w:textAlignment w:val="center"/>
              <w:rPr>
                <w:rFonts w:hint="default" w:ascii="Calibri" w:hAnsi="Calibri" w:eastAsia="宋体" w:cs="Times New Roman"/>
                <w:kern w:val="2"/>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大学本科及以上学历；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2、能源工程类、机电类（电气、机电、暖通、建筑环境与设备、热工等）相关专业中级及以上职称；</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3、具有高级能源管理师证书；</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4、具有合同能源管理类型项目、机电类运维项目5年及以上驻场管理经验；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rPr>
                <w:rFonts w:hint="default" w:ascii="Calibri" w:hAnsi="Calibri" w:eastAsia="宋体" w:cs="Times New Roman"/>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5、具有机电或能源改造现场施工管理3年及以上经验；</w:t>
            </w:r>
          </w:p>
          <w:p>
            <w:pPr>
              <w:keepNext w:val="0"/>
              <w:keepLines w:val="0"/>
              <w:widowControl/>
              <w:numPr>
                <w:ilvl w:val="0"/>
                <w:numId w:val="0"/>
              </w:numPr>
              <w:suppressLineNumbers w:val="0"/>
              <w:autoSpaceDE/>
              <w:autoSpaceDN/>
              <w:adjustRightInd/>
              <w:spacing w:line="240" w:lineRule="auto"/>
              <w:jc w:val="both"/>
              <w:textAlignment w:val="center"/>
              <w:rPr>
                <w:rFonts w:hint="default" w:ascii="Calibri" w:hAnsi="Calibri" w:eastAsia="宋体" w:cs="Times New Roman"/>
                <w:kern w:val="2"/>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6、年龄50周岁及以下。</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0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9" w:hRule="atLeast"/>
          <w:jc w:val="center"/>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能源经理</w:t>
            </w:r>
          </w:p>
        </w:tc>
        <w:tc>
          <w:tcPr>
            <w:tcW w:w="6986" w:type="dxa"/>
            <w:tcBorders>
              <w:top w:val="single" w:color="000000" w:sz="4" w:space="0"/>
              <w:left w:val="single" w:color="000000" w:sz="4" w:space="0"/>
              <w:bottom w:val="single" w:color="000000" w:sz="4" w:space="0"/>
              <w:right w:val="single" w:color="000000" w:sz="4" w:space="0"/>
            </w:tcBorders>
            <w:noWrap/>
            <w:vAlign w:val="center"/>
          </w:tcPr>
          <w:p>
            <w:pPr>
              <w:numPr>
                <w:ilvl w:val="0"/>
                <w:numId w:val="17"/>
              </w:numPr>
              <w:autoSpaceDE/>
              <w:autoSpaceDN/>
              <w:adjustRightInd/>
              <w:spacing w:line="240" w:lineRule="auto"/>
              <w:jc w:val="both"/>
              <w:rPr>
                <w:rFonts w:hint="eastAsia" w:ascii="Calibri" w:hAnsi="Calibri" w:eastAsia="宋体" w:cs="Times New Roman"/>
                <w:kern w:val="2"/>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大学本科及以上学历；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2、能源工程类、机电类（电气、机电、暖通、建筑环境与设备、热工等）相关专业中级级以上职称；</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3、具有中级能源管理师证书；</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4、具有合同能源管理类型项目、机电类运维项目3年及以上驻场管理经验；</w:t>
            </w:r>
          </w:p>
          <w:p>
            <w:pPr>
              <w:numPr>
                <w:ilvl w:val="0"/>
                <w:numId w:val="0"/>
              </w:numPr>
              <w:autoSpaceDE/>
              <w:autoSpaceDN/>
              <w:adjustRightInd/>
              <w:spacing w:line="240" w:lineRule="auto"/>
              <w:jc w:val="both"/>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5、具有机电或能源改造现场施工管理1年及以上经验；</w:t>
            </w:r>
          </w:p>
          <w:p>
            <w:pPr>
              <w:numPr>
                <w:ilvl w:val="0"/>
                <w:numId w:val="0"/>
              </w:numPr>
              <w:autoSpaceDE/>
              <w:autoSpaceDN/>
              <w:adjustRightInd/>
              <w:spacing w:line="240" w:lineRule="auto"/>
              <w:jc w:val="both"/>
              <w:rPr>
                <w:rFonts w:hint="eastAsia" w:ascii="Calibri" w:hAnsi="Calibri" w:eastAsia="宋体" w:cs="Times New Roman"/>
                <w:kern w:val="2"/>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6、年龄50周岁及以下。</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0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default" w:ascii="宋体" w:hAnsi="宋体" w:eastAsia="宋体" w:cs="宋体"/>
                <w:i w:val="0"/>
                <w:iCs w:val="0"/>
                <w:color w:val="000000"/>
                <w:kern w:val="2"/>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智慧能源服务中心值班员</w:t>
            </w:r>
          </w:p>
        </w:tc>
        <w:tc>
          <w:tcPr>
            <w:tcW w:w="6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240" w:lineRule="auto"/>
              <w:jc w:val="both"/>
              <w:textAlignment w:val="auto"/>
              <w:rPr>
                <w:rFonts w:hint="eastAsia" w:ascii="宋体" w:hAnsi="宋体" w:eastAsia="宋体" w:cs="宋体"/>
                <w:i w:val="0"/>
                <w:iCs w:val="0"/>
                <w:color w:val="000000"/>
                <w:kern w:val="2"/>
                <w:sz w:val="21"/>
                <w:szCs w:val="21"/>
                <w:highlight w:val="none"/>
                <w:u w:val="none"/>
                <w:lang w:val="en-US" w:eastAsia="zh-CN"/>
              </w:rPr>
            </w:pPr>
            <w:r>
              <w:rPr>
                <w:rFonts w:hint="eastAsia" w:ascii="宋体" w:hAnsi="宋体" w:eastAsia="宋体" w:cs="宋体"/>
                <w:i w:val="0"/>
                <w:iCs w:val="0"/>
                <w:color w:val="000000"/>
                <w:kern w:val="2"/>
                <w:sz w:val="21"/>
                <w:szCs w:val="21"/>
                <w:highlight w:val="none"/>
                <w:u w:val="none"/>
                <w:lang w:val="en-US" w:eastAsia="zh-CN"/>
              </w:rPr>
              <w:t>大学专科及以上学历；</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具有机电类（低压电工作业、制冷与空调作业等）操作证及相关运维工作经验；</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Calibri" w:hAnsi="Calibri" w:eastAsia="宋体" w:cs="Times New Roman"/>
                <w:kern w:val="2"/>
                <w:sz w:val="21"/>
                <w:szCs w:val="21"/>
                <w:highlight w:val="none"/>
                <w:lang w:val="en-US" w:eastAsia="zh-CN" w:bidi="ar-SA"/>
              </w:rPr>
            </w:pPr>
            <w:r>
              <w:rPr>
                <w:rFonts w:hint="eastAsia" w:ascii="Calibri" w:hAnsi="Calibri" w:eastAsia="宋体" w:cs="Times New Roman"/>
                <w:kern w:val="2"/>
                <w:sz w:val="21"/>
                <w:szCs w:val="21"/>
                <w:highlight w:val="none"/>
                <w:lang w:val="en-US" w:eastAsia="zh-CN" w:bidi="ar-SA"/>
              </w:rPr>
              <w:t>具有智慧化运维类项目值班工作经验；</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Calibri" w:hAnsi="Calibri" w:eastAsia="宋体" w:cs="Times New Roman"/>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年龄45周岁及以下。</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0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default" w:ascii="宋体" w:hAnsi="宋体" w:eastAsia="宋体" w:cs="宋体"/>
                <w:i w:val="0"/>
                <w:iCs w:val="0"/>
                <w:color w:val="000000"/>
                <w:kern w:val="2"/>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0.6</w:t>
            </w:r>
          </w:p>
        </w:tc>
      </w:tr>
    </w:tbl>
    <w:p>
      <w:pPr>
        <w:keepNext w:val="0"/>
        <w:keepLines w:val="0"/>
        <w:pageBreakBefore w:val="0"/>
        <w:widowControl w:val="0"/>
        <w:numPr>
          <w:ilvl w:val="0"/>
          <w:numId w:val="0"/>
        </w:numPr>
        <w:kinsoku/>
        <w:wordWrap/>
        <w:overflowPunct/>
        <w:topLinePunct w:val="0"/>
        <w:bidi w:val="0"/>
        <w:spacing w:line="240" w:lineRule="auto"/>
        <w:ind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人员服务要求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a、能源托管服务项目经理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①</w:t>
      </w:r>
      <w:r>
        <w:rPr>
          <w:rFonts w:hint="default" w:ascii="宋体" w:hAnsi="宋体" w:eastAsia="宋体" w:cs="宋体"/>
          <w:i w:val="0"/>
          <w:iCs w:val="0"/>
          <w:color w:val="000000"/>
          <w:kern w:val="0"/>
          <w:sz w:val="21"/>
          <w:szCs w:val="21"/>
          <w:highlight w:val="none"/>
          <w:u w:val="none"/>
          <w:lang w:val="en-US" w:eastAsia="zh-CN" w:bidi="ar"/>
        </w:rPr>
        <w:t>全面统筹负责本能源托管服务项目的各项日常工作，包括但不限于</w:t>
      </w:r>
      <w:r>
        <w:rPr>
          <w:rFonts w:hint="eastAsia" w:ascii="宋体" w:hAnsi="宋体" w:eastAsia="宋体" w:cs="宋体"/>
          <w:i w:val="0"/>
          <w:iCs w:val="0"/>
          <w:color w:val="000000"/>
          <w:kern w:val="0"/>
          <w:sz w:val="21"/>
          <w:szCs w:val="21"/>
          <w:highlight w:val="none"/>
          <w:u w:val="none"/>
          <w:lang w:val="en-US" w:eastAsia="zh-CN" w:bidi="ar"/>
        </w:rPr>
        <w:t>本托管服务项目的八个部分主要服务工作：水量、电量托管相关服务工作，指标控制托管相关服务工作，节能、安全、智慧化等方面的改造管理、实施及相关服务工作，运维托管管理及相关服务工作，制度建设、落实及示范创建工作，项目衍生无形资产和有形资金/资产托管相关服务工作，政策托管涉及的相关服务工作，</w:t>
      </w:r>
      <w:r>
        <w:rPr>
          <w:rFonts w:hint="eastAsia" w:ascii="宋体" w:hAnsi="宋体" w:eastAsia="宋体" w:cs="宋体"/>
          <w:color w:val="auto"/>
          <w:kern w:val="2"/>
          <w:sz w:val="21"/>
          <w:szCs w:val="21"/>
          <w:highlight w:val="none"/>
          <w:lang w:val="en-US" w:eastAsia="zh-CN" w:bidi="ar-SA"/>
        </w:rPr>
        <w:t>调整内容托管相关服务工作</w:t>
      </w:r>
      <w:r>
        <w:rPr>
          <w:rFonts w:hint="eastAsia" w:ascii="宋体" w:hAnsi="宋体" w:eastAsia="宋体" w:cs="宋体"/>
          <w:i w:val="0"/>
          <w:iCs w:val="0"/>
          <w:color w:val="000000"/>
          <w:kern w:val="0"/>
          <w:sz w:val="21"/>
          <w:szCs w:val="21"/>
          <w:highlight w:val="none"/>
          <w:u w:val="none"/>
          <w:lang w:val="en-US" w:eastAsia="zh-CN" w:bidi="ar"/>
        </w:rPr>
        <w:t>；具体工作内容及要求见需求书相关章节</w:t>
      </w:r>
      <w:r>
        <w:rPr>
          <w:rFonts w:hint="default" w:ascii="宋体" w:hAnsi="宋体" w:eastAsia="宋体" w:cs="宋体"/>
          <w:i w:val="0"/>
          <w:iCs w:val="0"/>
          <w:color w:val="000000"/>
          <w:kern w:val="0"/>
          <w:sz w:val="21"/>
          <w:szCs w:val="21"/>
          <w:highlight w:val="none"/>
          <w:u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②负责本项目改造新增软硬件系统的日常运维工作统筹管理。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③负责本托管项目相关的迎检、主管部门沟通、外部单位协调等工作落实及相关资料准备、记录、汇总存档。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④协助院方开展其余能源及运维相关管理工作。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⑤</w:t>
      </w:r>
      <w:r>
        <w:rPr>
          <w:rFonts w:hint="default" w:ascii="宋体" w:hAnsi="宋体" w:eastAsia="宋体" w:cs="宋体"/>
          <w:i w:val="0"/>
          <w:iCs w:val="0"/>
          <w:color w:val="000000"/>
          <w:kern w:val="0"/>
          <w:sz w:val="21"/>
          <w:szCs w:val="21"/>
          <w:highlight w:val="none"/>
          <w:u w:val="none"/>
          <w:lang w:val="en-US" w:eastAsia="zh-CN" w:bidi="ar"/>
        </w:rPr>
        <w:t>法定工作日及工作时间，在医院驻点工作；应急工作需24小时及时响应。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b、能源经理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①协助能源托管服务项目经理开展工作。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②作为</w:t>
      </w:r>
      <w:r>
        <w:rPr>
          <w:rFonts w:hint="default" w:ascii="宋体" w:hAnsi="宋体" w:eastAsia="宋体" w:cs="宋体"/>
          <w:i w:val="0"/>
          <w:iCs w:val="0"/>
          <w:color w:val="000000"/>
          <w:kern w:val="0"/>
          <w:sz w:val="21"/>
          <w:szCs w:val="21"/>
          <w:highlight w:val="none"/>
          <w:u w:val="none"/>
          <w:lang w:val="en-US" w:eastAsia="zh-CN" w:bidi="ar"/>
        </w:rPr>
        <w:t>能源管理岗位，实行能源管理岗位责任制，并行使“碳排放管理员”相关职责</w:t>
      </w:r>
      <w:r>
        <w:rPr>
          <w:rFonts w:hint="eastAsia" w:ascii="宋体" w:hAnsi="宋体" w:eastAsia="宋体" w:cs="宋体"/>
          <w:i w:val="0"/>
          <w:iCs w:val="0"/>
          <w:color w:val="000000"/>
          <w:kern w:val="0"/>
          <w:sz w:val="21"/>
          <w:szCs w:val="21"/>
          <w:highlight w:val="none"/>
          <w:u w:val="none"/>
          <w:lang w:val="en-US" w:eastAsia="zh-CN" w:bidi="ar"/>
        </w:rPr>
        <w:t>，开展能源定额及预算管理工作，开展能源及碳排放统计相关工作。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③</w:t>
      </w:r>
      <w:r>
        <w:rPr>
          <w:rFonts w:hint="default" w:ascii="宋体" w:hAnsi="宋体" w:eastAsia="宋体" w:cs="宋体"/>
          <w:i w:val="0"/>
          <w:iCs w:val="0"/>
          <w:color w:val="000000"/>
          <w:kern w:val="0"/>
          <w:sz w:val="21"/>
          <w:szCs w:val="21"/>
          <w:highlight w:val="none"/>
          <w:u w:val="none"/>
          <w:lang w:val="en-US" w:eastAsia="zh-CN" w:bidi="ar"/>
        </w:rPr>
        <w:t>法定工作日及工作时间，在医院驻点工作；应急工作需24小时及时响应。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智慧能源服务中心值班员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①负责智慧能源服务中心内部能源管理平台、设备监控平台、智慧运维平台等的日常运维值班值守相关要求工作。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②协助能源托管服务项目经理及能源经理开展相关工作。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③保证智慧能源服务中心24小时连续有人在岗值班值守，需保障值班人员长期固定和稳定性。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④本托管项目完成改造及改造后经过1年运维稳定期后，如智慧化系统平台等各种手段，可安全可靠替代部分人力，经服务公司精准核算并提交相关方案及核算书，报请甲方书面同意后；智慧能源服务中心值班员，</w:t>
      </w:r>
      <w:r>
        <w:rPr>
          <w:rFonts w:hint="eastAsia" w:ascii="Calibri" w:hAnsi="Calibri" w:eastAsia="宋体" w:cs="Times New Roman"/>
          <w:kern w:val="2"/>
          <w:sz w:val="21"/>
          <w:szCs w:val="21"/>
          <w:highlight w:val="none"/>
          <w:lang w:val="en-US" w:eastAsia="zh-CN" w:bidi="ar-SA"/>
        </w:rPr>
        <w:t>在不降低既有</w:t>
      </w:r>
      <w:r>
        <w:rPr>
          <w:rFonts w:hint="eastAsia" w:ascii="宋体" w:hAnsi="宋体" w:eastAsia="宋体" w:cs="宋体"/>
          <w:b w:val="0"/>
          <w:bCs w:val="0"/>
          <w:color w:val="auto"/>
          <w:kern w:val="2"/>
          <w:sz w:val="21"/>
          <w:szCs w:val="21"/>
          <w:highlight w:val="none"/>
          <w:lang w:val="en-US" w:eastAsia="zh-CN" w:bidi="ar-SA"/>
        </w:rPr>
        <w:t>运维服务项目服务标准和要求的前提下，可通过在既有运维人员中选择符合基本要求的人员，通过培训达到本岗位要求后上岗。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5.2.3 运维要求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1）运维范围及内容，包含本项目</w:t>
      </w:r>
      <w:r>
        <w:rPr>
          <w:rFonts w:hint="eastAsia" w:ascii="宋体" w:hAnsi="宋体" w:eastAsia="宋体" w:cs="宋体"/>
          <w:b w:val="0"/>
          <w:bCs w:val="0"/>
          <w:i w:val="0"/>
          <w:iCs w:val="0"/>
          <w:color w:val="000000"/>
          <w:kern w:val="0"/>
          <w:sz w:val="21"/>
          <w:szCs w:val="21"/>
          <w:highlight w:val="none"/>
          <w:u w:val="none"/>
          <w:lang w:val="en-US" w:eastAsia="zh-CN" w:bidi="ar"/>
        </w:rPr>
        <w:t>改造新增软硬件系统的日常运行维护及故障维修。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2）运维要求，各类型对应参照本项目既有同类型运维项目</w:t>
      </w:r>
      <w:r>
        <w:rPr>
          <w:rFonts w:hint="eastAsia" w:ascii="宋体" w:hAnsi="宋体" w:eastAsia="宋体" w:cs="宋体"/>
          <w:i w:val="0"/>
          <w:iCs w:val="0"/>
          <w:color w:val="000000"/>
          <w:kern w:val="0"/>
          <w:sz w:val="21"/>
          <w:szCs w:val="21"/>
          <w:highlight w:val="none"/>
          <w:u w:val="none"/>
          <w:lang w:val="en-US" w:eastAsia="zh-CN" w:bidi="ar"/>
        </w:rPr>
        <w:t>要求，并结合本托管服务项目实际要求执行。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5.2.4 运维费用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1）运行值守配置人员费用基准，仅为参考值；运行值守配置人员费用，本项目</w:t>
      </w:r>
      <w:r>
        <w:rPr>
          <w:rFonts w:hint="eastAsia" w:ascii="宋体" w:hAnsi="宋体" w:eastAsia="宋体" w:cs="宋体"/>
          <w:b w:val="0"/>
          <w:bCs w:val="0"/>
          <w:i w:val="0"/>
          <w:iCs w:val="0"/>
          <w:color w:val="000000"/>
          <w:kern w:val="0"/>
          <w:sz w:val="21"/>
          <w:szCs w:val="21"/>
          <w:highlight w:val="none"/>
          <w:u w:val="none"/>
          <w:lang w:val="en-US" w:eastAsia="zh-CN" w:bidi="ar"/>
        </w:rPr>
        <w:t>改造新增软硬件系统的日常运行维护及故障维修费用，从本托管项目</w:t>
      </w:r>
      <w:r>
        <w:rPr>
          <w:rFonts w:hint="eastAsia" w:ascii="宋体" w:hAnsi="宋体" w:eastAsia="宋体" w:cs="宋体"/>
          <w:kern w:val="2"/>
          <w:sz w:val="21"/>
          <w:szCs w:val="21"/>
          <w:highlight w:val="none"/>
          <w:lang w:val="en-US" w:eastAsia="zh-CN" w:bidi="ar-SA"/>
        </w:rPr>
        <w:t>改造费用及既有运维费用中统筹支出，实行费用包干制，不再另行支付费用。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5.2.5 运维考核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2"/>
          <w:sz w:val="21"/>
          <w:szCs w:val="21"/>
          <w:highlight w:val="none"/>
          <w:lang w:val="en-US" w:eastAsia="zh-CN" w:bidi="ar-SA"/>
        </w:rPr>
        <w:t>1）</w:t>
      </w:r>
      <w:r>
        <w:rPr>
          <w:rFonts w:hint="eastAsia" w:ascii="宋体" w:hAnsi="宋体" w:eastAsia="宋体" w:cs="宋体"/>
          <w:i w:val="0"/>
          <w:iCs w:val="0"/>
          <w:color w:val="000000"/>
          <w:kern w:val="0"/>
          <w:sz w:val="21"/>
          <w:szCs w:val="21"/>
          <w:highlight w:val="none"/>
          <w:u w:val="none"/>
          <w:lang w:val="en-US" w:eastAsia="zh-CN" w:bidi="ar"/>
        </w:rPr>
        <w:t>如对应服务未开展或未达到要求：人员缺岗，将对应费用标准扣除相应费用；其余服务未达到要求的，参照既有运维、托管项目要求进行考核。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对应服务未开展或未达到要求，情节严重，对医院造成重大影响或引起重大损失的，医院有权开展重大事项考核、从定期支付费用中扣除相关费用（核算期间，有可能导致定制支付费用暂停）及追究服务单位一切责任的权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5.3 调整运维项目服务要求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5.3.1  本项目未包含的，其余类型机电运维项目：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1）本托管服务项目未包含，但与本项目“</w:t>
      </w:r>
      <w:r>
        <w:rPr>
          <w:rFonts w:hint="eastAsia" w:ascii="宋体" w:hAnsi="宋体" w:eastAsia="宋体" w:cs="宋体"/>
          <w:i w:val="0"/>
          <w:iCs w:val="0"/>
          <w:color w:val="000000"/>
          <w:kern w:val="0"/>
          <w:sz w:val="21"/>
          <w:szCs w:val="21"/>
          <w:highlight w:val="none"/>
          <w:u w:val="none"/>
          <w:lang w:val="en-US" w:eastAsia="zh-CN" w:bidi="ar"/>
        </w:rPr>
        <w:t>智慧能源服务中心</w:t>
      </w:r>
      <w:r>
        <w:rPr>
          <w:rFonts w:hint="eastAsia" w:ascii="宋体" w:hAnsi="宋体" w:eastAsia="宋体" w:cs="宋体"/>
          <w:b w:val="0"/>
          <w:bCs w:val="0"/>
          <w:color w:val="auto"/>
          <w:kern w:val="2"/>
          <w:sz w:val="21"/>
          <w:szCs w:val="21"/>
          <w:highlight w:val="none"/>
          <w:lang w:val="en-US" w:eastAsia="zh-CN" w:bidi="ar-SA"/>
        </w:rPr>
        <w:t>”智能化平台相关的机电类运维项目，包括但不限于电梯运维项目、气体系统运维项目、防雷系统运维及检测等，经医院与服务公司协商一致后，作为托管项目服务内容调整项，直接委托本项目服务公司实施。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2）相关服务要求，参照并不低于最近一期合同要求。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3）相关服务费用，以最近一期合同价格（包括总价及单价）为基准，实际执行最近一期合同价格*（1-下浮率）。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5.3.2  本项目未包含的，新增既有类型机电运维范围及服务内容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1）本托管服务项目未包含，后期新增建设，导致既有类型运维范围及服务内容增加的，作为托管项目服务内容调整项，直接委托服务公司实施。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2）相关服务要求，参照并不低于既有类型运维要求。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3）相关服务费用，根据增加设备体量（功率、数量等）、人员配置情况，对照既有运维服务项目执行费用标准，按比例计算得出。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5.3.3  服务人员劳动权益保障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服务单位全面负责调整运维项目人员的法定劳动权益保障，以及一切相关费用。如产生劳动纠纷、劳资纠纷的，由服务单位全面处理相关事宜和负责所有费用。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5.4  既有运维人员优化调整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本托管项目完成改造及改造后经过1年运维稳定期后，如智慧化系统平台可安全可靠替代部分人力，经服务公司精准核算并提交相关方案及核算书，报请甲方书面同意后；</w:t>
      </w:r>
      <w:r>
        <w:rPr>
          <w:rFonts w:hint="eastAsia" w:ascii="Calibri" w:hAnsi="Calibri" w:eastAsia="宋体" w:cs="Times New Roman"/>
          <w:kern w:val="2"/>
          <w:sz w:val="21"/>
          <w:szCs w:val="21"/>
          <w:highlight w:val="none"/>
          <w:lang w:val="en-US" w:eastAsia="zh-CN" w:bidi="ar-SA"/>
        </w:rPr>
        <w:t>在不降低既有</w:t>
      </w:r>
      <w:r>
        <w:rPr>
          <w:rFonts w:hint="eastAsia" w:ascii="宋体" w:hAnsi="宋体" w:eastAsia="宋体" w:cs="宋体"/>
          <w:b w:val="0"/>
          <w:bCs w:val="0"/>
          <w:color w:val="auto"/>
          <w:kern w:val="2"/>
          <w:sz w:val="21"/>
          <w:szCs w:val="21"/>
          <w:highlight w:val="none"/>
          <w:lang w:val="en-US" w:eastAsia="zh-CN" w:bidi="ar-SA"/>
        </w:rPr>
        <w:t>运维服务项目服务标准和要求的前提下，既有运维人员配置数量，可进行适当比例优化调整；优化调整不影响既有运维费用的变更和支付。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left"/>
        <w:textAlignment w:val="auto"/>
        <w:rPr>
          <w:rFonts w:hint="default"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5.5  运维调整补充协议签订原则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1）调整运维项目，或调整运维范围及内容且相关服务内容及费用无法对应既有要求和计算明确的，医院及托管服务单位，按以上要求签订补充协议后实施；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 调整运维范围及内容，且相关服务内容及费用，可对应既有要求和计算明确的，按照本需求书相关要求直接开展，并出具调整核算书，直接报结算审核即可，不另行签订补充协议。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既有运维人员优化调整，</w:t>
      </w:r>
      <w:r>
        <w:rPr>
          <w:rFonts w:hint="eastAsia" w:ascii="宋体" w:hAnsi="宋体" w:eastAsia="宋体" w:cs="宋体"/>
          <w:color w:val="auto"/>
          <w:kern w:val="2"/>
          <w:sz w:val="21"/>
          <w:szCs w:val="21"/>
          <w:highlight w:val="none"/>
          <w:lang w:val="en-US" w:eastAsia="zh-CN" w:bidi="ar-SA"/>
        </w:rPr>
        <w:t>医院及托管服务单位，按以上要求签订补充协议后实施。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6、项目衍生无形资产和有形资金/资产托管服务要求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6.1 无形资产托管服务要求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u w:val="none"/>
          <w:lang w:val="en-US" w:eastAsia="zh-CN" w:bidi="ar-SA"/>
        </w:rPr>
        <w:t>项目改造完成后首年度内</w:t>
      </w:r>
      <w:r>
        <w:rPr>
          <w:rFonts w:hint="eastAsia" w:ascii="宋体" w:hAnsi="宋体" w:eastAsia="宋体" w:cs="宋体"/>
          <w:color w:val="auto"/>
          <w:kern w:val="2"/>
          <w:sz w:val="21"/>
          <w:szCs w:val="21"/>
          <w:highlight w:val="none"/>
          <w:lang w:val="en-US" w:eastAsia="zh-CN" w:bidi="ar-SA"/>
        </w:rPr>
        <w:t>，依托本项目开展相关知识产权（包含但不限于专利、专著、论文、科研项目、技术规范、标准等）申报或参与，并按照政策法规或主管部门要求时限，至少获得2个及以上类型成功。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u w:val="none"/>
          <w:lang w:val="en-US" w:eastAsia="zh-CN" w:bidi="ar-SA"/>
        </w:rPr>
        <w:t>项目改造完成后首年度内，</w:t>
      </w:r>
      <w:r>
        <w:rPr>
          <w:rFonts w:hint="eastAsia" w:ascii="宋体" w:hAnsi="宋体" w:eastAsia="宋体" w:cs="宋体"/>
          <w:color w:val="auto"/>
          <w:kern w:val="2"/>
          <w:sz w:val="21"/>
          <w:szCs w:val="21"/>
          <w:highlight w:val="none"/>
          <w:lang w:val="en-US" w:eastAsia="zh-CN" w:bidi="ar-SA"/>
        </w:rPr>
        <w:t>按照政策法规或主管部门要求时限，</w:t>
      </w:r>
      <w:r>
        <w:rPr>
          <w:rFonts w:hint="eastAsia" w:ascii="宋体" w:hAnsi="宋体" w:eastAsia="宋体" w:cs="宋体"/>
          <w:b w:val="0"/>
          <w:bCs w:val="0"/>
          <w:color w:val="auto"/>
          <w:kern w:val="2"/>
          <w:sz w:val="21"/>
          <w:szCs w:val="21"/>
          <w:highlight w:val="none"/>
          <w:lang w:val="en-US" w:eastAsia="zh-CN" w:bidi="ar-SA"/>
        </w:rPr>
        <w:t>完成医院改造项目碳减排量认定，参与碳排放权交易试点</w:t>
      </w:r>
      <w:r>
        <w:rPr>
          <w:rFonts w:hint="eastAsia" w:ascii="宋体" w:hAnsi="宋体" w:eastAsia="宋体" w:cs="宋体"/>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6.2  补贴、奖励类有形资产托管服务要求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项目改造完成后首年度内，</w:t>
      </w:r>
      <w:r>
        <w:rPr>
          <w:rFonts w:hint="eastAsia" w:ascii="宋体" w:hAnsi="宋体" w:eastAsia="宋体" w:cs="宋体"/>
          <w:color w:val="auto"/>
          <w:kern w:val="2"/>
          <w:sz w:val="21"/>
          <w:szCs w:val="21"/>
          <w:highlight w:val="none"/>
          <w:lang w:val="en-US" w:eastAsia="zh-CN" w:bidi="ar-SA"/>
        </w:rPr>
        <w:t>按照政策法规或主管部门要求时限</w:t>
      </w:r>
      <w:r>
        <w:rPr>
          <w:rFonts w:hint="eastAsia" w:ascii="宋体" w:hAnsi="宋体" w:eastAsia="宋体" w:cs="宋体"/>
          <w:b w:val="0"/>
          <w:bCs w:val="0"/>
          <w:color w:val="auto"/>
          <w:kern w:val="2"/>
          <w:sz w:val="21"/>
          <w:szCs w:val="21"/>
          <w:highlight w:val="none"/>
          <w:u w:val="none"/>
          <w:lang w:val="en-US" w:eastAsia="zh-CN" w:bidi="ar-SA"/>
        </w:rPr>
        <w:t>，完成碳排放相关、</w:t>
      </w:r>
      <w:r>
        <w:rPr>
          <w:rFonts w:hint="eastAsia" w:ascii="宋体" w:hAnsi="宋体" w:eastAsia="宋体" w:cs="宋体"/>
          <w:i w:val="0"/>
          <w:iCs w:val="0"/>
          <w:color w:val="000000"/>
          <w:kern w:val="0"/>
          <w:sz w:val="21"/>
          <w:szCs w:val="21"/>
          <w:highlight w:val="none"/>
          <w:u w:val="none"/>
          <w:lang w:val="en-US" w:eastAsia="zh-CN" w:bidi="ar"/>
        </w:rPr>
        <w:t>以旧换新（设备更新）或</w:t>
      </w:r>
      <w:r>
        <w:rPr>
          <w:rFonts w:hint="eastAsia" w:ascii="宋体" w:hAnsi="宋体" w:eastAsia="宋体" w:cs="宋体"/>
          <w:b w:val="0"/>
          <w:bCs w:val="0"/>
          <w:i w:val="0"/>
          <w:iCs w:val="0"/>
          <w:color w:val="000000"/>
          <w:kern w:val="0"/>
          <w:sz w:val="21"/>
          <w:szCs w:val="21"/>
          <w:highlight w:val="none"/>
          <w:u w:val="none"/>
          <w:lang w:val="en-US" w:eastAsia="zh-CN" w:bidi="ar"/>
        </w:rPr>
        <w:t>“</w:t>
      </w:r>
      <w:r>
        <w:rPr>
          <w:rFonts w:hint="eastAsia" w:ascii="宋体" w:hAnsi="宋体" w:eastAsia="宋体" w:cs="宋体"/>
          <w:b w:val="0"/>
          <w:bCs w:val="0"/>
          <w:color w:val="auto"/>
          <w:kern w:val="2"/>
          <w:sz w:val="21"/>
          <w:szCs w:val="21"/>
          <w:highlight w:val="none"/>
          <w:lang w:val="en-US" w:eastAsia="zh-CN" w:bidi="ar-SA"/>
        </w:rPr>
        <w:t>示范创建要求</w:t>
      </w:r>
      <w:r>
        <w:rPr>
          <w:rFonts w:hint="eastAsia" w:ascii="宋体" w:hAnsi="宋体" w:eastAsia="宋体" w:cs="宋体"/>
          <w:b w:val="0"/>
          <w:bCs w:val="0"/>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中相关类型示范创建等的政策补贴、示范奖励等的申报工作。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6.3 力争新技术试点落地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项目托管期限内，服务公司力争至少1项及以上，未全面市场推广的服务公司自有研发的节能或智慧化新技术，经医院与服务公司双方协商后，在医院项目范围内开展试点研发及推广工作。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服务公司负责技术及投资，医院负责场地及落地推广协调，产生的无形资产及收益由医院和服务公司共有，</w:t>
      </w:r>
      <w:r>
        <w:rPr>
          <w:rFonts w:hint="eastAsia" w:ascii="宋体" w:hAnsi="宋体" w:eastAsia="宋体" w:cs="宋体"/>
          <w:color w:val="auto"/>
          <w:kern w:val="2"/>
          <w:sz w:val="21"/>
          <w:szCs w:val="21"/>
          <w:highlight w:val="none"/>
          <w:lang w:val="en-US" w:eastAsia="zh-CN" w:bidi="ar-SA"/>
        </w:rPr>
        <w:t>服务公司享受收益80%作为托管基准。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6.4 节能研究及交流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1）积极联合有关科研机构，聚焦碳达峰、碳中和工作，围绕医院绿色低碳技术产品、制度标准、管理机制等开展研究工作，为医院节约能源资源绿色低碳发展提供支撑。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2）宣传南沙医院推进节能降碳的成效经验，与有关企业、组织、地区等加强合作，吸收借鉴先进适用的绿色低碳技术和管理模式。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6.5超低能耗和近零能耗建筑建设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通过本托管项目各项改造、设备智能化系统完善、制度建设和运维管理指标的响应及工作提升，共同推动院区节能降碳，尽可能实现院内超低能耗和近零能耗建筑，从无到有且比例逐步提高。此项是否有建筑完全达到近零能耗建筑不做强制要求，仅作为响应前述指标后院区节能降碳的工作目标尽量去接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6.6投标人技术能力及项目经验要求</w:t>
      </w:r>
    </w:p>
    <w:p>
      <w:pPr>
        <w:widowControl w:val="0"/>
        <w:autoSpaceDE w:val="0"/>
        <w:autoSpaceDN w:val="0"/>
        <w:adjustRightInd w:val="0"/>
        <w:ind w:firstLine="440" w:firstLineChars="200"/>
        <w:rPr>
          <w:rFonts w:hint="eastAsia" w:ascii="宋体" w:hAnsi="宋体" w:eastAsia="宋体" w:cs="宋体"/>
          <w:sz w:val="21"/>
          <w:szCs w:val="21"/>
          <w:highlight w:val="none"/>
          <w:lang w:val="en-US" w:eastAsia="zh-CN" w:bidi="ar-SA"/>
        </w:rPr>
      </w:pPr>
      <w:r>
        <w:rPr>
          <w:rFonts w:hint="eastAsia" w:ascii="宋体" w:hAnsi="Times New Roman" w:eastAsia="宋体" w:cs="Times New Roman"/>
          <w:sz w:val="22"/>
          <w:szCs w:val="22"/>
          <w:highlight w:val="none"/>
          <w:lang w:val="en-US" w:eastAsia="zh-CN" w:bidi="ar-SA"/>
        </w:rPr>
        <w:t>1）</w:t>
      </w:r>
      <w:r>
        <w:rPr>
          <w:rFonts w:hint="eastAsia" w:ascii="宋体" w:hAnsi="宋体" w:eastAsia="宋体" w:cs="宋体"/>
          <w:sz w:val="21"/>
          <w:szCs w:val="21"/>
          <w:highlight w:val="none"/>
          <w:lang w:val="en-US" w:eastAsia="zh-CN" w:bidi="ar-SA"/>
        </w:rPr>
        <w:t>投标人具有节能改造类、可再生能源建设类、设备运维类，包括空调、照明、热水、节水、光伏、设备设施管理等任意一种，与本项目服务内容相关的专利。</w:t>
      </w:r>
    </w:p>
    <w:p>
      <w:pPr>
        <w:widowControl w:val="0"/>
        <w:autoSpaceDE w:val="0"/>
        <w:autoSpaceDN w:val="0"/>
        <w:adjustRightInd w:val="0"/>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2）投标人参编过综合能源服务能力、合同能源管理、建筑绿色化改造、绿色低碳技术服务、设备设施运维管理、建筑能效提升能力等相关的任意一种，国家或团体或地方标准。</w:t>
      </w:r>
    </w:p>
    <w:p>
      <w:pPr>
        <w:widowControl w:val="0"/>
        <w:autoSpaceDE w:val="0"/>
        <w:autoSpaceDN w:val="0"/>
        <w:adjustRightInd w:val="0"/>
        <w:ind w:firstLine="420" w:firstLineChars="200"/>
        <w:rPr>
          <w:rFonts w:hint="eastAsia" w:ascii="宋体" w:hAnsi="宋体" w:eastAsia="宋体" w:cs="宋体"/>
          <w:color w:val="000000"/>
          <w:sz w:val="21"/>
          <w:szCs w:val="21"/>
          <w:highlight w:val="none"/>
          <w:u w:val="none"/>
          <w:lang w:val="en-US" w:eastAsia="zh-CN" w:bidi="ar"/>
        </w:rPr>
      </w:pPr>
      <w:r>
        <w:rPr>
          <w:rFonts w:hint="eastAsia" w:ascii="宋体" w:hAnsi="宋体" w:eastAsia="宋体" w:cs="宋体"/>
          <w:color w:val="000000"/>
          <w:sz w:val="21"/>
          <w:szCs w:val="21"/>
          <w:highlight w:val="none"/>
          <w:u w:val="none"/>
          <w:lang w:val="en-US" w:eastAsia="zh-CN" w:bidi="ar"/>
        </w:rPr>
        <w:t>3）投标人具有合同能源管理类、节能改造类、可再生能源建设类、智慧能源服务平台类、设备运维类等任意一种项目经验。</w:t>
      </w:r>
    </w:p>
    <w:p>
      <w:pPr>
        <w:widowControl w:val="0"/>
        <w:autoSpaceDE w:val="0"/>
        <w:autoSpaceDN w:val="0"/>
        <w:adjustRightInd w:val="0"/>
        <w:ind w:firstLine="420" w:firstLineChars="200"/>
        <w:rPr>
          <w:rFonts w:hint="eastAsia" w:ascii="宋体" w:hAnsi="宋体" w:eastAsia="宋体" w:cs="宋体"/>
          <w:color w:val="000000"/>
          <w:sz w:val="21"/>
          <w:szCs w:val="21"/>
          <w:highlight w:val="none"/>
          <w:u w:val="none"/>
          <w:lang w:val="en-US" w:eastAsia="zh-CN" w:bidi="ar"/>
        </w:rPr>
      </w:pPr>
      <w:r>
        <w:rPr>
          <w:rFonts w:hint="eastAsia" w:ascii="宋体" w:hAnsi="宋体" w:eastAsia="宋体" w:cs="宋体"/>
          <w:color w:val="000000"/>
          <w:sz w:val="21"/>
          <w:szCs w:val="21"/>
          <w:highlight w:val="none"/>
          <w:u w:val="none"/>
          <w:lang w:val="en-US" w:eastAsia="zh-CN" w:bidi="ar"/>
        </w:rPr>
        <w:t>4）投标人获得合同能源管理类、节能改造类、可再生能源建设类、智慧能源服务平台类、设备运维类等任意一种荣誉奖励。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7、★能源系统节能管理规则及运行标准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7.1  能源系统节能管理原则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医院空调、照明、热水、水泵等能源系统的节能管理，需以满足日常正常运行及使用需要、迎检/学术活动/医疗活动开展需要、院感要求、突发流行性疾病高发期特殊用能需求（如新冠、流感等）、特殊科室用能需求、特殊人群用能需求，</w:t>
      </w:r>
      <w:r>
        <w:rPr>
          <w:rFonts w:hint="default" w:ascii="宋体" w:hAnsi="宋体" w:eastAsia="宋体" w:cs="宋体"/>
          <w:b w:val="0"/>
          <w:bCs w:val="0"/>
          <w:color w:val="auto"/>
          <w:kern w:val="2"/>
          <w:sz w:val="21"/>
          <w:szCs w:val="21"/>
          <w:highlight w:val="none"/>
          <w:lang w:val="en-US" w:eastAsia="zh-CN" w:bidi="ar-SA"/>
        </w:rPr>
        <w:t>在兼顾安全用能和舒适性的前提下</w:t>
      </w:r>
      <w:r>
        <w:rPr>
          <w:rFonts w:hint="eastAsia" w:ascii="宋体" w:hAnsi="宋体" w:eastAsia="宋体" w:cs="宋体"/>
          <w:b w:val="0"/>
          <w:bCs w:val="0"/>
          <w:color w:val="auto"/>
          <w:kern w:val="2"/>
          <w:sz w:val="21"/>
          <w:szCs w:val="21"/>
          <w:highlight w:val="none"/>
          <w:lang w:val="en-US" w:eastAsia="zh-CN" w:bidi="ar-SA"/>
        </w:rPr>
        <w:t>，</w:t>
      </w:r>
      <w:r>
        <w:rPr>
          <w:rFonts w:hint="default" w:ascii="宋体" w:hAnsi="宋体" w:eastAsia="宋体" w:cs="宋体"/>
          <w:b w:val="0"/>
          <w:bCs w:val="0"/>
          <w:color w:val="auto"/>
          <w:kern w:val="2"/>
          <w:sz w:val="21"/>
          <w:szCs w:val="21"/>
          <w:highlight w:val="none"/>
          <w:lang w:val="en-US" w:eastAsia="zh-CN" w:bidi="ar-SA"/>
        </w:rPr>
        <w:t>利用新的</w:t>
      </w:r>
      <w:r>
        <w:rPr>
          <w:rFonts w:hint="eastAsia" w:ascii="宋体" w:hAnsi="宋体" w:eastAsia="宋体" w:cs="宋体"/>
          <w:b w:val="0"/>
          <w:bCs w:val="0"/>
          <w:color w:val="auto"/>
          <w:kern w:val="2"/>
          <w:sz w:val="21"/>
          <w:szCs w:val="21"/>
          <w:highlight w:val="none"/>
          <w:lang w:val="en-US" w:eastAsia="zh-CN" w:bidi="ar-SA"/>
        </w:rPr>
        <w:t>工具、</w:t>
      </w:r>
      <w:r>
        <w:rPr>
          <w:rFonts w:hint="default" w:ascii="宋体" w:hAnsi="宋体" w:eastAsia="宋体" w:cs="宋体"/>
          <w:b w:val="0"/>
          <w:bCs w:val="0"/>
          <w:color w:val="auto"/>
          <w:kern w:val="2"/>
          <w:sz w:val="21"/>
          <w:szCs w:val="21"/>
          <w:highlight w:val="none"/>
          <w:lang w:val="en-US" w:eastAsia="zh-CN" w:bidi="ar-SA"/>
        </w:rPr>
        <w:t>技术和</w:t>
      </w:r>
      <w:r>
        <w:rPr>
          <w:rFonts w:hint="eastAsia" w:ascii="宋体" w:hAnsi="宋体" w:eastAsia="宋体" w:cs="宋体"/>
          <w:b w:val="0"/>
          <w:bCs w:val="0"/>
          <w:color w:val="auto"/>
          <w:kern w:val="2"/>
          <w:sz w:val="21"/>
          <w:szCs w:val="21"/>
          <w:highlight w:val="none"/>
          <w:lang w:val="en-US" w:eastAsia="zh-CN" w:bidi="ar-SA"/>
        </w:rPr>
        <w:t>管理</w:t>
      </w:r>
      <w:r>
        <w:rPr>
          <w:rFonts w:hint="default" w:ascii="宋体" w:hAnsi="宋体" w:eastAsia="宋体" w:cs="宋体"/>
          <w:b w:val="0"/>
          <w:bCs w:val="0"/>
          <w:color w:val="auto"/>
          <w:kern w:val="2"/>
          <w:sz w:val="21"/>
          <w:szCs w:val="21"/>
          <w:highlight w:val="none"/>
          <w:lang w:val="en-US" w:eastAsia="zh-CN" w:bidi="ar-SA"/>
        </w:rPr>
        <w:t>手段</w:t>
      </w:r>
      <w:r>
        <w:rPr>
          <w:rFonts w:hint="eastAsia" w:ascii="宋体" w:hAnsi="宋体" w:eastAsia="宋体" w:cs="宋体"/>
          <w:b w:val="0"/>
          <w:bCs w:val="0"/>
          <w:color w:val="auto"/>
          <w:kern w:val="2"/>
          <w:sz w:val="21"/>
          <w:szCs w:val="21"/>
          <w:highlight w:val="none"/>
          <w:lang w:val="en-US" w:eastAsia="zh-CN" w:bidi="ar-SA"/>
        </w:rPr>
        <w:t>，合理有效的全体提升医院的节能管理工作。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2）因此，</w:t>
      </w:r>
      <w:r>
        <w:rPr>
          <w:rFonts w:hint="default" w:ascii="宋体" w:hAnsi="宋体" w:eastAsia="宋体" w:cs="宋体"/>
          <w:b w:val="0"/>
          <w:bCs w:val="0"/>
          <w:color w:val="auto"/>
          <w:kern w:val="2"/>
          <w:sz w:val="21"/>
          <w:szCs w:val="21"/>
          <w:highlight w:val="none"/>
          <w:lang w:val="en-US" w:eastAsia="zh-CN" w:bidi="ar-SA"/>
        </w:rPr>
        <w:t>医院的节能减排不应限制正常的用能需求，医院</w:t>
      </w:r>
      <w:r>
        <w:rPr>
          <w:rFonts w:hint="eastAsia" w:ascii="宋体" w:hAnsi="宋体" w:eastAsia="宋体" w:cs="宋体"/>
          <w:b w:val="0"/>
          <w:bCs w:val="0"/>
          <w:color w:val="auto"/>
          <w:kern w:val="2"/>
          <w:sz w:val="21"/>
          <w:szCs w:val="21"/>
          <w:highlight w:val="none"/>
          <w:lang w:val="en-US" w:eastAsia="zh-CN" w:bidi="ar-SA"/>
        </w:rPr>
        <w:t>各科室</w:t>
      </w:r>
      <w:r>
        <w:rPr>
          <w:rFonts w:hint="default" w:ascii="宋体" w:hAnsi="宋体" w:eastAsia="宋体" w:cs="宋体"/>
          <w:b w:val="0"/>
          <w:bCs w:val="0"/>
          <w:color w:val="auto"/>
          <w:kern w:val="2"/>
          <w:sz w:val="21"/>
          <w:szCs w:val="21"/>
          <w:highlight w:val="none"/>
          <w:lang w:val="en-US" w:eastAsia="zh-CN" w:bidi="ar-SA"/>
        </w:rPr>
        <w:t>用户关于节能</w:t>
      </w:r>
      <w:r>
        <w:rPr>
          <w:rFonts w:hint="eastAsia" w:ascii="宋体" w:hAnsi="宋体" w:eastAsia="宋体" w:cs="宋体"/>
          <w:b w:val="0"/>
          <w:bCs w:val="0"/>
          <w:color w:val="auto"/>
          <w:kern w:val="2"/>
          <w:sz w:val="21"/>
          <w:szCs w:val="21"/>
          <w:highlight w:val="none"/>
          <w:lang w:val="en-US" w:eastAsia="zh-CN" w:bidi="ar-SA"/>
        </w:rPr>
        <w:t>管理工作</w:t>
      </w:r>
      <w:r>
        <w:rPr>
          <w:rFonts w:hint="default" w:ascii="宋体" w:hAnsi="宋体" w:eastAsia="宋体" w:cs="宋体"/>
          <w:b w:val="0"/>
          <w:bCs w:val="0"/>
          <w:color w:val="auto"/>
          <w:kern w:val="2"/>
          <w:sz w:val="21"/>
          <w:szCs w:val="21"/>
          <w:highlight w:val="none"/>
          <w:lang w:val="en-US" w:eastAsia="zh-CN" w:bidi="ar-SA"/>
        </w:rPr>
        <w:t>满意率不</w:t>
      </w:r>
      <w:r>
        <w:rPr>
          <w:rFonts w:hint="eastAsia" w:ascii="宋体" w:hAnsi="宋体" w:eastAsia="宋体" w:cs="宋体"/>
          <w:b w:val="0"/>
          <w:bCs w:val="0"/>
          <w:color w:val="auto"/>
          <w:kern w:val="2"/>
          <w:sz w:val="21"/>
          <w:szCs w:val="21"/>
          <w:highlight w:val="none"/>
          <w:lang w:val="en-US" w:eastAsia="zh-CN" w:bidi="ar-SA"/>
        </w:rPr>
        <w:t>应</w:t>
      </w:r>
      <w:r>
        <w:rPr>
          <w:rFonts w:hint="default" w:ascii="宋体" w:hAnsi="宋体" w:eastAsia="宋体" w:cs="宋体"/>
          <w:b w:val="0"/>
          <w:bCs w:val="0"/>
          <w:color w:val="auto"/>
          <w:kern w:val="2"/>
          <w:sz w:val="21"/>
          <w:szCs w:val="21"/>
          <w:highlight w:val="none"/>
          <w:lang w:val="en-US" w:eastAsia="zh-CN" w:bidi="ar-SA"/>
        </w:rPr>
        <w:t>低于</w:t>
      </w:r>
      <w:r>
        <w:rPr>
          <w:rFonts w:hint="eastAsia" w:ascii="宋体" w:hAnsi="宋体" w:eastAsia="宋体" w:cs="宋体"/>
          <w:b w:val="0"/>
          <w:bCs w:val="0"/>
          <w:color w:val="auto"/>
          <w:kern w:val="2"/>
          <w:sz w:val="21"/>
          <w:szCs w:val="21"/>
          <w:highlight w:val="none"/>
          <w:lang w:val="en-US" w:eastAsia="zh-CN" w:bidi="ar-SA"/>
        </w:rPr>
        <w:t>95</w:t>
      </w:r>
      <w:r>
        <w:rPr>
          <w:rFonts w:hint="default" w:ascii="宋体" w:hAnsi="宋体" w:eastAsia="宋体" w:cs="宋体"/>
          <w:b w:val="0"/>
          <w:bCs w:val="0"/>
          <w:color w:val="auto"/>
          <w:kern w:val="2"/>
          <w:sz w:val="21"/>
          <w:szCs w:val="21"/>
          <w:highlight w:val="none"/>
          <w:lang w:val="en-US" w:eastAsia="zh-CN" w:bidi="ar-SA"/>
        </w:rPr>
        <w:t>%，若</w:t>
      </w:r>
      <w:r>
        <w:rPr>
          <w:rFonts w:hint="eastAsia" w:ascii="宋体" w:hAnsi="宋体" w:eastAsia="宋体" w:cs="宋体"/>
          <w:b w:val="0"/>
          <w:bCs w:val="0"/>
          <w:color w:val="auto"/>
          <w:kern w:val="2"/>
          <w:sz w:val="21"/>
          <w:szCs w:val="21"/>
          <w:highlight w:val="none"/>
          <w:lang w:val="en-US" w:eastAsia="zh-CN" w:bidi="ar-SA"/>
        </w:rPr>
        <w:t>服务单位</w:t>
      </w:r>
      <w:r>
        <w:rPr>
          <w:rFonts w:hint="default" w:ascii="宋体" w:hAnsi="宋体" w:eastAsia="宋体" w:cs="宋体"/>
          <w:b w:val="0"/>
          <w:bCs w:val="0"/>
          <w:color w:val="auto"/>
          <w:kern w:val="2"/>
          <w:sz w:val="21"/>
          <w:szCs w:val="21"/>
          <w:highlight w:val="none"/>
          <w:lang w:val="en-US" w:eastAsia="zh-CN" w:bidi="ar-SA"/>
        </w:rPr>
        <w:t>一味追求节能收益而牺牲医院用能的舒适性，协调未果的情况下，医院有权</w:t>
      </w:r>
      <w:r>
        <w:rPr>
          <w:rFonts w:hint="eastAsia" w:ascii="宋体" w:hAnsi="宋体" w:eastAsia="宋体" w:cs="宋体"/>
          <w:b w:val="0"/>
          <w:bCs w:val="0"/>
          <w:color w:val="auto"/>
          <w:kern w:val="2"/>
          <w:sz w:val="21"/>
          <w:szCs w:val="21"/>
          <w:highlight w:val="none"/>
          <w:lang w:val="en-US" w:eastAsia="zh-CN" w:bidi="ar-SA"/>
        </w:rPr>
        <w:t>调整节能管理规则，进行相应考核，直至</w:t>
      </w:r>
      <w:r>
        <w:rPr>
          <w:rFonts w:hint="default" w:ascii="宋体" w:hAnsi="宋体" w:eastAsia="宋体" w:cs="宋体"/>
          <w:b w:val="0"/>
          <w:bCs w:val="0"/>
          <w:color w:val="auto"/>
          <w:kern w:val="2"/>
          <w:sz w:val="21"/>
          <w:szCs w:val="21"/>
          <w:highlight w:val="none"/>
          <w:lang w:val="en-US" w:eastAsia="zh-CN" w:bidi="ar-SA"/>
        </w:rPr>
        <w:t>终止合同。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3）用能特殊科室，包括但不限于</w:t>
      </w:r>
      <w:r>
        <w:rPr>
          <w:rFonts w:hint="default" w:ascii="宋体" w:hAnsi="宋体" w:eastAsia="宋体" w:cs="宋体"/>
          <w:b w:val="0"/>
          <w:bCs w:val="0"/>
          <w:color w:val="auto"/>
          <w:kern w:val="2"/>
          <w:sz w:val="21"/>
          <w:szCs w:val="21"/>
          <w:highlight w:val="none"/>
          <w:lang w:val="en-US" w:eastAsia="zh-CN" w:bidi="ar-SA"/>
        </w:rPr>
        <w:t>手术室/ICU</w:t>
      </w:r>
      <w:r>
        <w:rPr>
          <w:rFonts w:hint="eastAsia" w:ascii="宋体" w:hAnsi="宋体" w:eastAsia="宋体" w:cs="宋体"/>
          <w:b w:val="0"/>
          <w:bCs w:val="0"/>
          <w:color w:val="auto"/>
          <w:kern w:val="2"/>
          <w:sz w:val="21"/>
          <w:szCs w:val="21"/>
          <w:highlight w:val="none"/>
          <w:lang w:val="en-US" w:eastAsia="zh-CN" w:bidi="ar-SA"/>
        </w:rPr>
        <w:t>/NICU/急诊抢救室等病人重点监护区域</w:t>
      </w:r>
      <w:r>
        <w:rPr>
          <w:rFonts w:hint="default" w:ascii="宋体" w:hAnsi="宋体" w:eastAsia="宋体" w:cs="宋体"/>
          <w:b w:val="0"/>
          <w:bCs w:val="0"/>
          <w:color w:val="auto"/>
          <w:kern w:val="2"/>
          <w:sz w:val="21"/>
          <w:szCs w:val="21"/>
          <w:highlight w:val="none"/>
          <w:lang w:val="en-US" w:eastAsia="zh-CN" w:bidi="ar-SA"/>
        </w:rPr>
        <w:t>,影像科</w:t>
      </w:r>
      <w:r>
        <w:rPr>
          <w:rFonts w:hint="eastAsia" w:ascii="宋体" w:hAnsi="宋体" w:eastAsia="宋体" w:cs="宋体"/>
          <w:b w:val="0"/>
          <w:bCs w:val="0"/>
          <w:color w:val="auto"/>
          <w:kern w:val="2"/>
          <w:sz w:val="21"/>
          <w:szCs w:val="21"/>
          <w:highlight w:val="none"/>
          <w:lang w:val="en-US" w:eastAsia="zh-CN" w:bidi="ar-SA"/>
        </w:rPr>
        <w:t>/超声科</w:t>
      </w:r>
      <w:r>
        <w:rPr>
          <w:rFonts w:hint="default" w:ascii="宋体" w:hAnsi="宋体" w:eastAsia="宋体" w:cs="宋体"/>
          <w:b w:val="0"/>
          <w:bCs w:val="0"/>
          <w:color w:val="auto"/>
          <w:kern w:val="2"/>
          <w:sz w:val="21"/>
          <w:szCs w:val="21"/>
          <w:highlight w:val="none"/>
          <w:lang w:val="en-US" w:eastAsia="zh-CN" w:bidi="ar-SA"/>
        </w:rPr>
        <w:t>/检验科/病理科</w:t>
      </w:r>
      <w:r>
        <w:rPr>
          <w:rFonts w:hint="eastAsia" w:ascii="宋体" w:hAnsi="宋体" w:eastAsia="宋体" w:cs="宋体"/>
          <w:b w:val="0"/>
          <w:bCs w:val="0"/>
          <w:color w:val="auto"/>
          <w:kern w:val="2"/>
          <w:sz w:val="21"/>
          <w:szCs w:val="21"/>
          <w:highlight w:val="none"/>
          <w:lang w:val="en-US" w:eastAsia="zh-CN" w:bidi="ar-SA"/>
        </w:rPr>
        <w:t>/设备房等医疗设备、机电设备集中区域，</w:t>
      </w:r>
      <w:r>
        <w:rPr>
          <w:rFonts w:hint="default" w:ascii="宋体" w:hAnsi="宋体" w:eastAsia="宋体" w:cs="宋体"/>
          <w:b w:val="0"/>
          <w:bCs w:val="0"/>
          <w:color w:val="auto"/>
          <w:kern w:val="2"/>
          <w:sz w:val="21"/>
          <w:szCs w:val="21"/>
          <w:highlight w:val="none"/>
          <w:lang w:val="en-US" w:eastAsia="zh-CN" w:bidi="ar-SA"/>
        </w:rPr>
        <w:t>老年科/中医科/妇儿科</w:t>
      </w:r>
      <w:r>
        <w:rPr>
          <w:rFonts w:hint="eastAsia" w:ascii="宋体" w:hAnsi="宋体" w:eastAsia="宋体" w:cs="宋体"/>
          <w:b w:val="0"/>
          <w:bCs w:val="0"/>
          <w:color w:val="auto"/>
          <w:kern w:val="2"/>
          <w:sz w:val="21"/>
          <w:szCs w:val="21"/>
          <w:highlight w:val="none"/>
          <w:lang w:val="en-US" w:eastAsia="zh-CN" w:bidi="ar-SA"/>
        </w:rPr>
        <w:t>/烧伤病房等特殊人群区域。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4）用能特殊人群，包括但不限于重症病人、老年人、孕妇、婴幼儿。</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5）服务公司需在医院认可的情况下，对用能设备进行合理提醒及管控。</w:t>
      </w:r>
      <w:r>
        <w:rPr>
          <w:rFonts w:hint="default" w:ascii="宋体" w:hAnsi="宋体" w:eastAsia="宋体" w:cs="宋体"/>
          <w:b w:val="0"/>
          <w:bCs w:val="0"/>
          <w:color w:val="auto"/>
          <w:kern w:val="2"/>
          <w:sz w:val="21"/>
          <w:szCs w:val="21"/>
          <w:highlight w:val="none"/>
          <w:lang w:val="en-US" w:eastAsia="zh-CN" w:bidi="ar-SA"/>
        </w:rPr>
        <w:t>涉及服务公司技改措施或供能系统运营，</w:t>
      </w:r>
      <w:r>
        <w:rPr>
          <w:rFonts w:hint="eastAsia" w:ascii="宋体" w:hAnsi="宋体" w:eastAsia="宋体" w:cs="宋体"/>
          <w:b w:val="0"/>
          <w:bCs w:val="0"/>
          <w:color w:val="auto"/>
          <w:kern w:val="2"/>
          <w:sz w:val="21"/>
          <w:szCs w:val="21"/>
          <w:highlight w:val="none"/>
          <w:lang w:val="en-US" w:eastAsia="zh-CN" w:bidi="ar-SA"/>
        </w:rPr>
        <w:t>医院</w:t>
      </w:r>
      <w:r>
        <w:rPr>
          <w:rFonts w:hint="default" w:ascii="宋体" w:hAnsi="宋体" w:eastAsia="宋体" w:cs="宋体"/>
          <w:b w:val="0"/>
          <w:bCs w:val="0"/>
          <w:color w:val="auto"/>
          <w:kern w:val="2"/>
          <w:sz w:val="21"/>
          <w:szCs w:val="21"/>
          <w:highlight w:val="none"/>
          <w:lang w:val="en-US" w:eastAsia="zh-CN" w:bidi="ar-SA"/>
        </w:rPr>
        <w:t>合理采纳服务公司建议</w:t>
      </w:r>
      <w:r>
        <w:rPr>
          <w:rFonts w:hint="eastAsia" w:ascii="宋体" w:hAnsi="宋体" w:eastAsia="宋体" w:cs="宋体"/>
          <w:b w:val="0"/>
          <w:bCs w:val="0"/>
          <w:color w:val="auto"/>
          <w:kern w:val="2"/>
          <w:sz w:val="21"/>
          <w:szCs w:val="21"/>
          <w:highlight w:val="none"/>
          <w:lang w:val="en-US" w:eastAsia="zh-CN" w:bidi="ar-SA"/>
        </w:rPr>
        <w:t>，</w:t>
      </w:r>
      <w:r>
        <w:rPr>
          <w:rFonts w:hint="default" w:ascii="宋体" w:hAnsi="宋体" w:eastAsia="宋体" w:cs="宋体"/>
          <w:b w:val="0"/>
          <w:bCs w:val="0"/>
          <w:color w:val="auto"/>
          <w:kern w:val="2"/>
          <w:sz w:val="21"/>
          <w:szCs w:val="21"/>
          <w:highlight w:val="none"/>
          <w:lang w:val="en-US" w:eastAsia="zh-CN" w:bidi="ar-SA"/>
        </w:rPr>
        <w:t>并授权服务公司供能系统调控权限</w:t>
      </w:r>
      <w:r>
        <w:rPr>
          <w:rFonts w:hint="eastAsia" w:ascii="宋体" w:hAnsi="宋体" w:eastAsia="宋体" w:cs="宋体"/>
          <w:b w:val="0"/>
          <w:bCs w:val="0"/>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7.2  能源系统节能运行标准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能源系统在遵循以上节能管理原则的前提下，结合《公共机构能源费用托管实施规程》JS/T 301 - 2024及医院过往用能实际情况，参照以下运行标准使用：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7.2.1  空调集中供冷条件如下：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 供冷开始条件：室外最高气温连续 3 天&gt;2</w:t>
      </w:r>
      <w:r>
        <w:rPr>
          <w:rFonts w:hint="eastAsia" w:ascii="宋体" w:hAnsi="宋体" w:eastAsia="宋体" w:cs="宋体"/>
          <w:b w:val="0"/>
          <w:bCs w:val="0"/>
          <w:color w:val="auto"/>
          <w:kern w:val="2"/>
          <w:sz w:val="21"/>
          <w:szCs w:val="21"/>
          <w:highlight w:val="none"/>
          <w:lang w:val="en-US" w:eastAsia="zh-CN" w:bidi="ar-SA"/>
        </w:rPr>
        <w:t>4±2</w:t>
      </w:r>
      <w:r>
        <w:rPr>
          <w:rFonts w:hint="default" w:ascii="宋体" w:hAnsi="宋体" w:eastAsia="宋体" w:cs="宋体"/>
          <w:b w:val="0"/>
          <w:bCs w:val="0"/>
          <w:color w:val="auto"/>
          <w:kern w:val="2"/>
          <w:sz w:val="21"/>
          <w:szCs w:val="21"/>
          <w:highlight w:val="none"/>
          <w:lang w:val="en-US" w:eastAsia="zh-CN" w:bidi="ar-SA"/>
        </w:rPr>
        <w:t xml:space="preserve"> ℃或当天&gt;</w:t>
      </w:r>
      <w:r>
        <w:rPr>
          <w:rFonts w:hint="eastAsia" w:ascii="宋体" w:hAnsi="宋体" w:eastAsia="宋体" w:cs="宋体"/>
          <w:b w:val="0"/>
          <w:bCs w:val="0"/>
          <w:color w:val="auto"/>
          <w:kern w:val="2"/>
          <w:sz w:val="21"/>
          <w:szCs w:val="21"/>
          <w:highlight w:val="none"/>
          <w:lang w:val="en-US" w:eastAsia="zh-CN" w:bidi="ar-SA"/>
        </w:rPr>
        <w:t>28±2</w:t>
      </w:r>
      <w:r>
        <w:rPr>
          <w:rFonts w:hint="default" w:ascii="宋体" w:hAnsi="宋体" w:eastAsia="宋体" w:cs="宋体"/>
          <w:b w:val="0"/>
          <w:bCs w:val="0"/>
          <w:color w:val="auto"/>
          <w:kern w:val="2"/>
          <w:sz w:val="21"/>
          <w:szCs w:val="21"/>
          <w:highlight w:val="none"/>
          <w:lang w:val="en-US" w:eastAsia="zh-CN" w:bidi="ar-SA"/>
        </w:rPr>
        <w:t xml:space="preserve">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w:t>
      </w:r>
      <w:r>
        <w:rPr>
          <w:rFonts w:hint="default" w:ascii="宋体" w:hAnsi="宋体" w:eastAsia="宋体" w:cs="宋体"/>
          <w:b w:val="0"/>
          <w:bCs w:val="0"/>
          <w:color w:val="auto"/>
          <w:kern w:val="2"/>
          <w:sz w:val="21"/>
          <w:szCs w:val="21"/>
          <w:highlight w:val="none"/>
          <w:lang w:val="en-US" w:eastAsia="zh-CN" w:bidi="ar-SA"/>
        </w:rPr>
        <w:t>） 供冷结束条件：室外最高气温连续 3 天&lt;</w:t>
      </w:r>
      <w:r>
        <w:rPr>
          <w:rFonts w:hint="eastAsia" w:ascii="宋体" w:hAnsi="宋体" w:eastAsia="宋体" w:cs="宋体"/>
          <w:b w:val="0"/>
          <w:bCs w:val="0"/>
          <w:color w:val="auto"/>
          <w:kern w:val="2"/>
          <w:sz w:val="21"/>
          <w:szCs w:val="21"/>
          <w:highlight w:val="none"/>
          <w:lang w:val="en-US" w:eastAsia="zh-CN" w:bidi="ar-SA"/>
        </w:rPr>
        <w:t>24±2</w:t>
      </w:r>
      <w:r>
        <w:rPr>
          <w:rFonts w:hint="default" w:ascii="宋体" w:hAnsi="宋体" w:eastAsia="宋体" w:cs="宋体"/>
          <w:b w:val="0"/>
          <w:bCs w:val="0"/>
          <w:color w:val="auto"/>
          <w:kern w:val="2"/>
          <w:sz w:val="21"/>
          <w:szCs w:val="21"/>
          <w:highlight w:val="none"/>
          <w:lang w:val="en-US" w:eastAsia="zh-CN" w:bidi="ar-SA"/>
        </w:rPr>
        <w:t xml:space="preserve"> ℃或当天&lt;2</w:t>
      </w:r>
      <w:r>
        <w:rPr>
          <w:rFonts w:hint="eastAsia" w:ascii="宋体" w:hAnsi="宋体" w:eastAsia="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 xml:space="preserve">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w:t>
      </w:r>
      <w:r>
        <w:rPr>
          <w:rFonts w:hint="default" w:ascii="宋体" w:hAnsi="宋体" w:eastAsia="宋体" w:cs="宋体"/>
          <w:b w:val="0"/>
          <w:bCs w:val="0"/>
          <w:color w:val="auto"/>
          <w:kern w:val="2"/>
          <w:sz w:val="21"/>
          <w:szCs w:val="21"/>
          <w:highlight w:val="none"/>
          <w:lang w:val="en-US" w:eastAsia="zh-CN" w:bidi="ar-SA"/>
        </w:rPr>
        <w:t>） 供冷时，室内温度范围 2</w:t>
      </w:r>
      <w:r>
        <w:rPr>
          <w:rFonts w:hint="eastAsia" w:ascii="宋体" w:hAnsi="宋体" w:eastAsia="宋体" w:cs="宋体"/>
          <w:b w:val="0"/>
          <w:bCs w:val="0"/>
          <w:color w:val="auto"/>
          <w:kern w:val="2"/>
          <w:sz w:val="21"/>
          <w:szCs w:val="21"/>
          <w:highlight w:val="none"/>
          <w:lang w:val="en-US" w:eastAsia="zh-CN" w:bidi="ar-SA"/>
        </w:rPr>
        <w:t>4</w:t>
      </w:r>
      <w:r>
        <w:rPr>
          <w:rFonts w:hint="default" w:ascii="宋体" w:hAnsi="宋体" w:eastAsia="宋体" w:cs="宋体"/>
          <w:b w:val="0"/>
          <w:bCs w:val="0"/>
          <w:color w:val="auto"/>
          <w:kern w:val="2"/>
          <w:sz w:val="21"/>
          <w:szCs w:val="21"/>
          <w:highlight w:val="none"/>
          <w:lang w:val="en-US" w:eastAsia="zh-CN" w:bidi="ar-SA"/>
        </w:rPr>
        <w:t xml:space="preserve"> ℃±2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 供冷时，空调出风口温度应为7~10℃。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 用能特殊科室及有用能特殊人群的场所除外。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7.2</w:t>
      </w:r>
      <w:r>
        <w:rPr>
          <w:rFonts w:hint="default" w:ascii="宋体" w:hAnsi="宋体" w:eastAsia="宋体" w:cs="宋体"/>
          <w:b/>
          <w:bCs/>
          <w:color w:val="auto"/>
          <w:kern w:val="2"/>
          <w:sz w:val="21"/>
          <w:szCs w:val="21"/>
          <w:highlight w:val="none"/>
          <w:lang w:val="en-US" w:eastAsia="zh-CN" w:bidi="ar-SA"/>
        </w:rPr>
        <w:t xml:space="preserve">.2 空调集中供暖条件如下：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 xml:space="preserve">） 供暖开始条件：室外最低气温连续 3 天&lt;13 ℃或当天&lt;10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w:t>
      </w:r>
      <w:r>
        <w:rPr>
          <w:rFonts w:hint="default" w:ascii="宋体" w:hAnsi="宋体" w:eastAsia="宋体" w:cs="宋体"/>
          <w:b w:val="0"/>
          <w:bCs w:val="0"/>
          <w:color w:val="auto"/>
          <w:kern w:val="2"/>
          <w:sz w:val="21"/>
          <w:szCs w:val="21"/>
          <w:highlight w:val="none"/>
          <w:lang w:val="en-US" w:eastAsia="zh-CN" w:bidi="ar-SA"/>
        </w:rPr>
        <w:t xml:space="preserve">） 供暖结束条件：室外最低气温连续 3 天&gt;17 ℃或当天&gt;20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w:t>
      </w:r>
      <w:r>
        <w:rPr>
          <w:rFonts w:hint="default" w:ascii="宋体" w:hAnsi="宋体" w:eastAsia="宋体" w:cs="宋体"/>
          <w:b w:val="0"/>
          <w:bCs w:val="0"/>
          <w:color w:val="auto"/>
          <w:kern w:val="2"/>
          <w:sz w:val="21"/>
          <w:szCs w:val="21"/>
          <w:highlight w:val="none"/>
          <w:lang w:val="en-US" w:eastAsia="zh-CN" w:bidi="ar-SA"/>
        </w:rPr>
        <w:t xml:space="preserve">） 供暖时，室内温度范围 18 ℃±2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 供冷时，空调出风口温度应为26~28℃。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 用能特殊科室及有用能特殊人群的场所除外。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w:t>
      </w:r>
      <w:r>
        <w:rPr>
          <w:rFonts w:hint="default" w:ascii="宋体" w:hAnsi="宋体" w:eastAsia="宋体" w:cs="宋体"/>
          <w:b/>
          <w:bCs/>
          <w:color w:val="auto"/>
          <w:kern w:val="2"/>
          <w:sz w:val="21"/>
          <w:szCs w:val="21"/>
          <w:highlight w:val="none"/>
          <w:lang w:val="en-US" w:eastAsia="zh-CN" w:bidi="ar-SA"/>
        </w:rPr>
        <w:t xml:space="preserve">.2.3 </w:t>
      </w:r>
      <w:r>
        <w:rPr>
          <w:rFonts w:hint="eastAsia" w:ascii="宋体" w:hAnsi="宋体" w:eastAsia="宋体" w:cs="宋体"/>
          <w:b/>
          <w:bCs/>
          <w:color w:val="auto"/>
          <w:kern w:val="2"/>
          <w:sz w:val="21"/>
          <w:szCs w:val="21"/>
          <w:highlight w:val="none"/>
          <w:lang w:val="en-US" w:eastAsia="zh-CN" w:bidi="ar-SA"/>
        </w:rPr>
        <w:t xml:space="preserve"> 生活热水供应条件：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1） </w:t>
      </w:r>
      <w:r>
        <w:rPr>
          <w:rFonts w:hint="default" w:ascii="宋体" w:hAnsi="宋体" w:eastAsia="宋体" w:cs="宋体"/>
          <w:b w:val="0"/>
          <w:bCs w:val="0"/>
          <w:color w:val="auto"/>
          <w:kern w:val="2"/>
          <w:sz w:val="21"/>
          <w:szCs w:val="21"/>
          <w:highlight w:val="none"/>
          <w:lang w:val="en-US" w:eastAsia="zh-CN" w:bidi="ar-SA"/>
        </w:rPr>
        <w:t>供应时间：全年供应。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2） </w:t>
      </w:r>
      <w:r>
        <w:rPr>
          <w:rFonts w:hint="default" w:ascii="宋体" w:hAnsi="宋体" w:eastAsia="宋体" w:cs="宋体"/>
          <w:b w:val="0"/>
          <w:bCs w:val="0"/>
          <w:color w:val="auto"/>
          <w:kern w:val="2"/>
          <w:sz w:val="21"/>
          <w:szCs w:val="21"/>
          <w:highlight w:val="none"/>
          <w:lang w:val="en-US" w:eastAsia="zh-CN" w:bidi="ar-SA"/>
        </w:rPr>
        <w:t>夏季生活热水温度范围 45 ℃±5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 xml:space="preserve">冬季生活热水温度范围 50 ℃ ±5 ℃。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商务条款及其他要求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1、项目地点：</w:t>
      </w:r>
      <w:r>
        <w:rPr>
          <w:rFonts w:hint="eastAsia" w:ascii="宋体" w:hAnsi="宋体" w:eastAsia="宋体" w:cs="宋体"/>
          <w:color w:val="auto"/>
          <w:kern w:val="2"/>
          <w:sz w:val="21"/>
          <w:szCs w:val="21"/>
          <w:highlight w:val="none"/>
          <w:lang w:val="en-US" w:eastAsia="zh-CN" w:bidi="ar-SA"/>
        </w:rPr>
        <w:t>广州市第一人民医院南沙医院，位于广东省广州市南沙区丰泽东路105号。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2、托管期限</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2.1  相关期限定义：</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能源托管期：自项目合同生效即为移交托管之日起，至能源托管期届满且双方履行完毕各自权利与义务之日止。能源托管期，分改造项目建设期、运行管理期（含改造运行管理期和稳定运行管理期）；运行管理期</w:t>
      </w:r>
      <w:r>
        <w:rPr>
          <w:rFonts w:hint="eastAsia" w:hAnsi="宋体" w:cs="宋体"/>
          <w:color w:val="auto"/>
          <w:kern w:val="2"/>
          <w:sz w:val="21"/>
          <w:szCs w:val="21"/>
          <w:highlight w:val="none"/>
          <w:lang w:val="en-US" w:eastAsia="zh-CN" w:bidi="ar-SA"/>
        </w:rPr>
        <w:t>的期间</w:t>
      </w:r>
      <w:r>
        <w:rPr>
          <w:rFonts w:hint="eastAsia" w:ascii="宋体" w:hAnsi="宋体" w:eastAsia="宋体" w:cs="宋体"/>
          <w:color w:val="auto"/>
          <w:kern w:val="2"/>
          <w:sz w:val="21"/>
          <w:szCs w:val="21"/>
          <w:highlight w:val="none"/>
          <w:lang w:val="en-US" w:eastAsia="zh-CN" w:bidi="ar-SA"/>
        </w:rPr>
        <w:t>=能源托管期</w:t>
      </w:r>
      <w:r>
        <w:rPr>
          <w:rFonts w:hint="eastAsia" w:hAnsi="宋体" w:cs="宋体"/>
          <w:color w:val="auto"/>
          <w:kern w:val="2"/>
          <w:sz w:val="21"/>
          <w:szCs w:val="21"/>
          <w:highlight w:val="none"/>
          <w:lang w:val="en-US" w:eastAsia="zh-CN" w:bidi="ar-SA"/>
        </w:rPr>
        <w:t>的期间</w:t>
      </w:r>
      <w:r>
        <w:rPr>
          <w:rFonts w:hint="eastAsia" w:ascii="宋体" w:hAnsi="宋体" w:eastAsia="宋体" w:cs="宋体"/>
          <w:color w:val="auto"/>
          <w:kern w:val="2"/>
          <w:sz w:val="21"/>
          <w:szCs w:val="21"/>
          <w:highlight w:val="none"/>
          <w:lang w:val="en-US" w:eastAsia="zh-CN" w:bidi="ar-SA"/>
        </w:rPr>
        <w:t>，项目建设期</w:t>
      </w:r>
      <w:r>
        <w:rPr>
          <w:rFonts w:hint="eastAsia" w:hAnsi="宋体" w:cs="宋体"/>
          <w:color w:val="auto"/>
          <w:kern w:val="2"/>
          <w:sz w:val="21"/>
          <w:szCs w:val="21"/>
          <w:highlight w:val="none"/>
          <w:lang w:val="en-US" w:eastAsia="zh-CN" w:bidi="ar-SA"/>
        </w:rPr>
        <w:t>的期间</w:t>
      </w:r>
      <w:r>
        <w:rPr>
          <w:rFonts w:hint="eastAsia" w:ascii="宋体" w:hAnsi="宋体" w:eastAsia="宋体" w:cs="宋体"/>
          <w:color w:val="auto"/>
          <w:kern w:val="2"/>
          <w:sz w:val="21"/>
          <w:szCs w:val="21"/>
          <w:highlight w:val="none"/>
          <w:lang w:val="en-US" w:eastAsia="zh-CN" w:bidi="ar-SA"/>
        </w:rPr>
        <w:t>＝改造运行管理期</w:t>
      </w:r>
      <w:r>
        <w:rPr>
          <w:rFonts w:hint="eastAsia" w:hAnsi="宋体" w:cs="宋体"/>
          <w:color w:val="auto"/>
          <w:kern w:val="2"/>
          <w:sz w:val="21"/>
          <w:szCs w:val="21"/>
          <w:highlight w:val="none"/>
          <w:lang w:val="en-US" w:eastAsia="zh-CN" w:bidi="ar-SA"/>
        </w:rPr>
        <w:t>的期间</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2）改造项目建设期：自合同生效且医院提供了项目建设的必要条件之日起，至服务公司完成改造并通过验收日止。</w:t>
      </w:r>
    </w:p>
    <w:p>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3）稳定运行管理期：能源托管期内，改造项目建设期之后剩余的期限。</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2.2  相关期限时间：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能源托管期：10年，即120个合同月。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2）改造项目建设期</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分为固定建设期和持续建设期，期限及相关内容如下：</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4009"/>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类型</w:t>
            </w:r>
          </w:p>
        </w:tc>
        <w:tc>
          <w:tcPr>
            <w:tcW w:w="40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内容</w:t>
            </w:r>
          </w:p>
        </w:tc>
        <w:tc>
          <w:tcPr>
            <w:tcW w:w="29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lang w:val="en-US" w:eastAsia="zh-CN" w:bidi="ar-SA"/>
              </w:rPr>
              <w:t>固定建设期</w:t>
            </w:r>
          </w:p>
        </w:tc>
        <w:tc>
          <w:tcPr>
            <w:tcW w:w="40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本托管项目要求的所有改造内容，列入持续建设期的内容除外。</w:t>
            </w:r>
          </w:p>
        </w:tc>
        <w:tc>
          <w:tcPr>
            <w:tcW w:w="29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7个合同月，</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lang w:val="en-US" w:eastAsia="zh-CN" w:bidi="ar-SA"/>
              </w:rPr>
              <w:t>即210个日历天。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lang w:val="en-US" w:eastAsia="zh-CN" w:bidi="ar-SA"/>
              </w:rPr>
              <w:t>持续建设期</w:t>
            </w:r>
          </w:p>
        </w:tc>
        <w:tc>
          <w:tcPr>
            <w:tcW w:w="4009" w:type="dxa"/>
            <w:noWrap w:val="0"/>
            <w:vAlign w:val="center"/>
          </w:tcPr>
          <w:p>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医技楼、住院楼①空调整体更换；</w:t>
            </w:r>
          </w:p>
          <w:p>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其余楼栋和区域空调大中修保障；</w:t>
            </w:r>
          </w:p>
          <w:p>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能效COP≤3的空调维修或更换；</w:t>
            </w:r>
          </w:p>
          <w:p>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更换使用超8年的非一级能耗分体空调；</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Calibri" w:hAnsi="Calibri" w:eastAsia="宋体" w:cs="Times New Roman"/>
                <w:kern w:val="2"/>
                <w:sz w:val="21"/>
                <w:szCs w:val="21"/>
                <w:highlight w:val="none"/>
                <w:lang w:val="en-US" w:eastAsia="zh-CN" w:bidi="ar-SA"/>
              </w:rPr>
            </w:pPr>
            <w:r>
              <w:rPr>
                <w:rFonts w:hint="eastAsia" w:ascii="宋体" w:hAnsi="宋体" w:eastAsia="宋体" w:cs="宋体"/>
                <w:color w:val="auto"/>
                <w:kern w:val="2"/>
                <w:sz w:val="21"/>
                <w:szCs w:val="21"/>
                <w:highlight w:val="none"/>
                <w:vertAlign w:val="baseline"/>
                <w:lang w:val="en-US" w:eastAsia="zh-CN" w:bidi="ar-SA"/>
              </w:rPr>
              <w:t>5、固定建设期内，因医院场地不具备客观实施条件的，实施周期延后进入持续建设期，如门诊5楼原宿舍区、日间手术室区域、旧检验科区域等需待整体改造时同步实施的区域。</w:t>
            </w:r>
          </w:p>
        </w:tc>
        <w:tc>
          <w:tcPr>
            <w:tcW w:w="29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托管期内，根据设备实际情况，按院方合理要求时限；其中医技楼、住院楼①空调整体更换，不得晚于托管第5个年度完成，且开工至完工期限应小于6个合同月。</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3）稳定运行管理期：113个合同月。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4）在改造项目建设内，非因服务公司原因造成工程延误的，则工期相应顺延。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2" w:firstLineChars="20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2.3合同生效条件及生效日</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医院提供了项目改造建设的必要条件，医院本托管项目既有运维项目具备移交条件后，医院和服务公司约定明确具体合同生效日期。可在合同中明确；也可签订合同后，医院和服务公司签订“托管项目移交书”，作为合同补充协议，以移交书签订日期作为托管合同生效日。</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default" w:ascii="Calibri" w:hAnsi="Calibri" w:eastAsia="宋体" w:cs="Times New Roman"/>
          <w:b/>
          <w:bCs/>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3、能源费用缴纳办法</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3.1、能源费用（电费、水费）的定期（每月）自动转账缴纳，按照以下4个办法开展，优先第1个办法，如客观原因无法开展，逐个办法递推：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1）能源账户及能源费用划缴账户，均变更为托管服务单位，由托管服务单位每月定期缴纳能源费用。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2）能源账户不变更，能源费用划缴账户变更为托管服务单位，托管服务单位每月定期缴纳能源费用。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3）医院、托管服务公司、供能公司（供电局、粤海水务等）签订三方结算协议，优先托管服务单位每月定期缴纳能源费用。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4）能源账户及能源费用划缴账户均不变更，医院自行缴纳能源费用后，经托管服务费用核算后，基准面积及基准范围内容涉及能源费用，从应支付给托管服务公司费用中扣除。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3.2  如涉及参与电力市场交易购电，相关能源费用缴纳办法参照以上执行。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3.3</w:t>
      </w:r>
      <w:r>
        <w:rPr>
          <w:rFonts w:hint="eastAsia" w:ascii="宋体" w:hAnsi="宋体" w:eastAsia="宋体" w:cs="宋体"/>
          <w:b w:val="0"/>
          <w:bCs w:val="0"/>
          <w:color w:val="auto"/>
          <w:kern w:val="2"/>
          <w:sz w:val="21"/>
          <w:szCs w:val="21"/>
          <w:highlight w:val="none"/>
          <w:lang w:val="en-US" w:eastAsia="zh-CN" w:bidi="ar-SA"/>
        </w:rPr>
        <w:t xml:space="preserve">  以上能源费用缴纳办法，涉及能源账户变更的，须保证能源账户变更后，能源单价相比同期同地区同类型单位（主要条件为：广州市，三级公立医院，电网代购用户，非工业，单一制等）不上涨，否则</w:t>
      </w:r>
      <w:r>
        <w:rPr>
          <w:rFonts w:hint="eastAsia" w:ascii="宋体" w:hAnsi="宋体" w:eastAsia="宋体" w:cs="宋体"/>
          <w:color w:val="auto"/>
          <w:kern w:val="2"/>
          <w:sz w:val="21"/>
          <w:szCs w:val="21"/>
          <w:highlight w:val="none"/>
          <w:lang w:val="en-US" w:eastAsia="zh-CN" w:bidi="ar-SA"/>
        </w:rPr>
        <w:t>当月因电价增加的差额电费，由服务单位自行承担。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3.4</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val="0"/>
          <w:bCs w:val="0"/>
          <w:color w:val="auto"/>
          <w:kern w:val="2"/>
          <w:sz w:val="21"/>
          <w:szCs w:val="21"/>
          <w:highlight w:val="none"/>
          <w:lang w:val="en-US" w:eastAsia="zh-CN" w:bidi="ar-SA"/>
        </w:rPr>
        <w:t>以上能源费用缴纳办法，涉及参与电力市场交易购电的，须保证能源单价相比同期同地区同类型单位（主要条件为：广州市，三级公立医院，电网代购用户，非工业，单一制等）不上涨，否则</w:t>
      </w:r>
      <w:r>
        <w:rPr>
          <w:rFonts w:hint="eastAsia" w:ascii="宋体" w:hAnsi="宋体" w:eastAsia="宋体" w:cs="宋体"/>
          <w:color w:val="auto"/>
          <w:kern w:val="2"/>
          <w:sz w:val="21"/>
          <w:szCs w:val="21"/>
          <w:highlight w:val="none"/>
          <w:lang w:val="en-US" w:eastAsia="zh-CN" w:bidi="ar-SA"/>
        </w:rPr>
        <w:t>当月因电价增加的差额电费，由服务单位自行承担。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4、托管费用调整机制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托管期内，基准面积及基准范围以外服务内容，直接按照以下调整机制进行费用调整（分为调增、调减），原则上不再另行签订补充协议（另有约定除外）：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  用能场所划分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1）医院用能场所类型，主要有：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a、门诊场所（分为常规门诊场所和高耗能治疗门诊场所）；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b、医技场所（分为常规医技场所和高耗能医技场所）；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c、住院场所（分为常规住院场所和高耗能住院场所）；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d、行政办公场所、住宿场所；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e、特殊高耗能场所、特殊低耗能场所、对外场所。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2）医院用能场所划分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分为常规用能场所和非常规用能场所，具体为：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a、常规用能场所：常规门诊场所、常规医技场所、常规住院场所；行政办公场所、住宿场所。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b、非常规用能场所：高耗能治疗门诊场所、高耗能医技场所、高耗能住院场所；特殊高耗能场所、特殊低耗能场所、对外场所。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3）非常规用能场所：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a、高耗能治疗门诊场所：主要为高功率治疗设备集中区域，如耳鼻喉雾化治疗室、皮肤科电仪器治疗室等。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b、高耗能医技场所：主要为医疗设备集中区域，如检验科/病理科的试验室，影像科/超声科/内镜室的检查室，消毒供应中心设备区，手术室作业区等。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c、高耗能住院场所；主要为ICU、NICU、CCU、血液层流区域等常年洁净度要求的区域。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d、特殊高耗能场所：绝大多数用能场景和常规用能场所相同，极少数用能设备功率较大或需要不间断持续高耗能。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e、特殊低耗能场所：场所内用能设备明显低于常规用能场所；或该场所非日常使用场所，该场所全年使用频率明显较低。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f、对外场所：食堂合同范围内场所、120中心、施工板房区域、施工临水临电等，不属于医院用能的场所或情况。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4.2水电量调整机制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水电量调整，包含用能面积调增/调减、新建楼栋投入/现楼栋退出、本托管项目改造期临时腾挪、用能区域功能发生重大变更、对外场所调整。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4.2.1 电量调整方式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1）用能面积调整方式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医院范围内用能面积，相对基准面积调整（增加或减少），则按照以下公式进行电量调整：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月调整电量 = 月调整面积 * 响应“单位建筑面积能耗指标”/12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 月调整面积 *140.47*（1-</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color w:val="auto"/>
          <w:kern w:val="2"/>
          <w:sz w:val="21"/>
          <w:szCs w:val="21"/>
          <w:highlight w:val="none"/>
          <w:lang w:val="en-US" w:eastAsia="zh-CN" w:bidi="ar-SA"/>
        </w:rPr>
        <w:t>）/12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年调整电量 ，等于全年所有月调整电量之和。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2）全计量调整方式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对调整面积内所有用能设备，或既有面积内用能设备调整，进行完全配置电计量仪表，据实调整电量的方式。其中调减，在设备退出前1个月安装计量仪表，退出后每月按照该月计量电量进行调整。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3）用能面积调整＋特殊设备计量调整方式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对调整场所内，按照常规用能设备“用能面积调整方式”＋特殊高耗能设备“计量调整方式”集合的办法进行电量调整。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4）其余法规规定调整方式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如遇特殊情况，以上调整方式，无法或不足以客观反映调整电量的，且能给出其余法规规定调整方式的客观对照依据，则可对照相应法规调整方式进行调整或补充调整。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4.2.2  电量调整方式适用原则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1）常规用能场所的电量调整，优先适用“用能面积调整方式”；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2）非常规用能场所的电量调整，适用“全计量调整方式”或“用能面积调整＋特殊设备计量调整方式”；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3）用能区域功能发生重大变更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常规用能场所与非常规用能场所之间的跨类别变更，属于用能区域功能发生重大变更，适用对调整用能设备进行计量调整的方式，或“用能面积调整方式”与“全计量调整方式”相结合的调整方式；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4）新建楼栋投入/现楼栋退出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投入或退出楼栋，其中常规用能场所、非常规用能场所，各自对应适用的调整办法进行电量调整；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5）本托管项目改造期临时腾挪，原则上不进行电量调整。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6）对外场所调整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食堂合同范围内场所、120中心、施工板房区域、施工临电等，不属于医院用能的场所或情况，电量及电价，服务单位与对外场所单位据实结算，不产生合同费用调整。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4.2.3  光伏发电外供调整方式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能源托管期内，光伏发电如对院外供电，则服务公司应做好相应计量工作，并按照供电局电价标准，向医院全额支付相应费用，以医院从应支付给服务公司的托管服务费用中结算调整扣除。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4.2.4 水量调整方式及原则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1）核定日平均用能人数差额调整方式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医院范围内，不论用水面积如何变化，水量优先适用核定日平均用能人数差额调整方式，即核定日平均用能人数调整（增加或减少），则按照以下公式进行水量调整：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月调整水量 = 月调整日平均用能人数 * 响应</w:t>
      </w:r>
      <w:r>
        <w:rPr>
          <w:rFonts w:hint="eastAsia" w:ascii="宋体" w:hAnsi="宋体" w:eastAsia="宋体" w:cs="宋体"/>
          <w:b w:val="0"/>
          <w:bCs w:val="0"/>
          <w:kern w:val="0"/>
          <w:sz w:val="21"/>
          <w:szCs w:val="21"/>
          <w:highlight w:val="none"/>
          <w:lang w:val="en-US" w:eastAsia="zh-CN" w:bidi="ar-SA"/>
        </w:rPr>
        <w:t>“人均用水量”指标</w:t>
      </w:r>
      <w:r>
        <w:rPr>
          <w:rFonts w:hint="eastAsia" w:ascii="宋体" w:hAnsi="宋体" w:eastAsia="宋体" w:cs="宋体"/>
          <w:color w:val="auto"/>
          <w:kern w:val="2"/>
          <w:sz w:val="21"/>
          <w:szCs w:val="21"/>
          <w:highlight w:val="none"/>
          <w:lang w:val="en-US" w:eastAsia="zh-CN" w:bidi="ar-SA"/>
        </w:rPr>
        <w:t>/12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 月调整日平均用能人数 * </w:t>
      </w:r>
      <w:r>
        <w:rPr>
          <w:rFonts w:hint="eastAsia" w:ascii="宋体" w:hAnsi="宋体" w:eastAsia="宋体" w:cs="宋体"/>
          <w:b w:val="0"/>
          <w:bCs w:val="0"/>
          <w:kern w:val="0"/>
          <w:sz w:val="21"/>
          <w:szCs w:val="21"/>
          <w:highlight w:val="none"/>
          <w:lang w:val="en-US" w:eastAsia="zh-CN" w:bidi="ar-SA"/>
        </w:rPr>
        <w:t>45.38</w:t>
      </w:r>
      <w:r>
        <w:rPr>
          <w:rFonts w:hint="eastAsia" w:ascii="宋体" w:hAnsi="宋体" w:eastAsia="宋体" w:cs="宋体"/>
          <w:color w:val="auto"/>
          <w:kern w:val="2"/>
          <w:sz w:val="21"/>
          <w:szCs w:val="21"/>
          <w:highlight w:val="none"/>
          <w:lang w:val="en-US" w:eastAsia="zh-CN" w:bidi="ar-SA"/>
        </w:rPr>
        <w:t>/12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年调整水量 ，等于全年所有月调整水量之和。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2）高耗水设备计量调整方式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于高耗水设备投入/退出，在核定日平均用能人数差额调整方式的基础上，对相应高耗水设备安装计量仪表，按实附加高耗水设备计量调整。其中调减，在设备退出前1个月安装计量仪表，退出后每月按照该月计量水量进行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3）对外场所调整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食堂合同范围内场所、120中心、施工板房区域、施工临水等，不属于医院用能的场所或情况，电量及电价，服务单位与对外场所单位据实结算。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4.3  </w:t>
      </w:r>
      <w:r>
        <w:rPr>
          <w:rFonts w:hint="default" w:ascii="宋体" w:hAnsi="宋体" w:eastAsia="宋体" w:cs="宋体"/>
          <w:b/>
          <w:bCs/>
          <w:color w:val="auto"/>
          <w:kern w:val="2"/>
          <w:sz w:val="21"/>
          <w:szCs w:val="21"/>
          <w:highlight w:val="none"/>
          <w:lang w:val="en-US" w:eastAsia="zh-CN" w:bidi="ar-SA"/>
        </w:rPr>
        <w:t>改造费用调整</w:t>
      </w:r>
      <w:r>
        <w:rPr>
          <w:rFonts w:hint="eastAsia" w:ascii="宋体" w:hAnsi="宋体" w:eastAsia="宋体" w:cs="宋体"/>
          <w:b/>
          <w:bCs/>
          <w:color w:val="auto"/>
          <w:kern w:val="2"/>
          <w:sz w:val="21"/>
          <w:szCs w:val="21"/>
          <w:highlight w:val="none"/>
          <w:lang w:val="en-US" w:eastAsia="zh-CN" w:bidi="ar-SA"/>
        </w:rPr>
        <w:t>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4.3.1  不产生收益的改造内容费用调整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能源托管期内，合同范围外的改造项目，如不产生相关效益的，按照以下原则进行费用调整：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1）医院自主需求费用调整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能源托管期内，合同范围外的，医院自主需求的，或服务单位提出经医院同意纳入调整的，</w:t>
      </w:r>
      <w:r>
        <w:rPr>
          <w:rFonts w:hint="eastAsia" w:ascii="宋体" w:hAnsi="宋体" w:eastAsia="宋体" w:cs="宋体"/>
          <w:b w:val="0"/>
          <w:bCs w:val="0"/>
          <w:color w:val="auto"/>
          <w:kern w:val="2"/>
          <w:sz w:val="21"/>
          <w:szCs w:val="21"/>
          <w:highlight w:val="none"/>
          <w:lang w:val="en-US" w:eastAsia="zh-CN" w:bidi="ar-SA"/>
        </w:rPr>
        <w:t>节能低碳、运营安全、智慧化运营改造</w:t>
      </w:r>
      <w:r>
        <w:rPr>
          <w:rFonts w:hint="eastAsia" w:ascii="宋体" w:hAnsi="宋体" w:eastAsia="宋体" w:cs="宋体"/>
          <w:i w:val="0"/>
          <w:iCs w:val="0"/>
          <w:color w:val="000000"/>
          <w:kern w:val="0"/>
          <w:sz w:val="21"/>
          <w:szCs w:val="21"/>
          <w:highlight w:val="none"/>
          <w:u w:val="none"/>
          <w:lang w:val="en-US" w:eastAsia="zh-CN" w:bidi="ar"/>
        </w:rPr>
        <w:t>，直接委托服务单位实施，签订补充协议，相关费用经第三方审核后，在托管项目作为调整费用进行结算支出。相关改造费用据实结算，不设额度限制。该部分改造产生收益，归医院所有。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2）服务公司自主需求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能源托管期内，合同范围外，服务公司自主节能、管理精细化等需求投资的改造项目，费用由服务单位承担，不做改造费用调整。相关改造不得影响医院正常运营秩序和正常用能需求，改造前需先经医院同意。该部分改造产生收益，归服务公司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3）双方约定改造需求费用调整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能源托管期内，合同范围外，医院和服务单位，双方协商按照一定比例出资进行的</w:t>
      </w:r>
      <w:r>
        <w:rPr>
          <w:rFonts w:hint="eastAsia" w:ascii="宋体" w:hAnsi="宋体" w:eastAsia="宋体" w:cs="宋体"/>
          <w:b w:val="0"/>
          <w:bCs w:val="0"/>
          <w:color w:val="auto"/>
          <w:kern w:val="2"/>
          <w:sz w:val="21"/>
          <w:szCs w:val="21"/>
          <w:highlight w:val="none"/>
          <w:lang w:val="en-US" w:eastAsia="zh-CN" w:bidi="ar-SA"/>
        </w:rPr>
        <w:t>节能低碳、运营安全、智慧化运营改造</w:t>
      </w:r>
      <w:r>
        <w:rPr>
          <w:rFonts w:hint="eastAsia" w:ascii="宋体" w:hAnsi="宋体" w:eastAsia="宋体" w:cs="宋体"/>
          <w:i w:val="0"/>
          <w:iCs w:val="0"/>
          <w:color w:val="000000"/>
          <w:kern w:val="0"/>
          <w:sz w:val="21"/>
          <w:szCs w:val="21"/>
          <w:highlight w:val="none"/>
          <w:u w:val="none"/>
          <w:lang w:val="en-US" w:eastAsia="zh-CN" w:bidi="ar"/>
        </w:rPr>
        <w:t>项目，改造资金由服务单位先行出资，医院相关比例建设费用，在托管服务费用中进行调整结算。该部分改造产生收益，由医院和服务公司，按照改造出资比例所有。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4.3.2  产生收益的改造内容费用调整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能源托管期内，合同范围外的改造项目，如产生相关效益的，先由服务单位出资建设后，5年内</w:t>
      </w:r>
      <w:r>
        <w:rPr>
          <w:rFonts w:hint="eastAsia" w:ascii="宋体" w:hAnsi="宋体" w:eastAsia="宋体" w:cs="宋体"/>
          <w:color w:val="auto"/>
          <w:kern w:val="2"/>
          <w:sz w:val="21"/>
          <w:szCs w:val="21"/>
          <w:highlight w:val="none"/>
          <w:lang w:val="en-US" w:eastAsia="zh-CN" w:bidi="ar-SA"/>
        </w:rPr>
        <w:t>产生效益优先覆盖投资后，剩余效益按以上约定比例，归属实际结算出资方；如</w:t>
      </w:r>
      <w:r>
        <w:rPr>
          <w:rFonts w:hint="eastAsia" w:ascii="宋体" w:hAnsi="宋体" w:eastAsia="宋体" w:cs="宋体"/>
          <w:i w:val="0"/>
          <w:iCs w:val="0"/>
          <w:color w:val="000000"/>
          <w:kern w:val="0"/>
          <w:sz w:val="21"/>
          <w:szCs w:val="21"/>
          <w:highlight w:val="none"/>
          <w:u w:val="none"/>
          <w:lang w:val="en-US" w:eastAsia="zh-CN" w:bidi="ar"/>
        </w:rPr>
        <w:t>5年内</w:t>
      </w:r>
      <w:r>
        <w:rPr>
          <w:rFonts w:hint="eastAsia" w:ascii="宋体" w:hAnsi="宋体" w:eastAsia="宋体" w:cs="宋体"/>
          <w:color w:val="auto"/>
          <w:kern w:val="2"/>
          <w:sz w:val="21"/>
          <w:szCs w:val="21"/>
          <w:highlight w:val="none"/>
          <w:lang w:val="en-US" w:eastAsia="zh-CN" w:bidi="ar-SA"/>
        </w:rPr>
        <w:t>产生效益无法覆盖投资，不足部分且应由医院结算出资的，</w:t>
      </w:r>
      <w:r>
        <w:rPr>
          <w:rFonts w:hint="eastAsia" w:ascii="宋体" w:hAnsi="宋体" w:eastAsia="宋体" w:cs="宋体"/>
          <w:i w:val="0"/>
          <w:iCs w:val="0"/>
          <w:color w:val="000000"/>
          <w:kern w:val="0"/>
          <w:sz w:val="21"/>
          <w:szCs w:val="21"/>
          <w:highlight w:val="none"/>
          <w:u w:val="none"/>
          <w:lang w:val="en-US" w:eastAsia="zh-CN" w:bidi="ar"/>
        </w:rPr>
        <w:t>按照以上相关原则进行费用调整。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4.4  </w:t>
      </w:r>
      <w:r>
        <w:rPr>
          <w:rFonts w:hint="default" w:ascii="宋体" w:hAnsi="宋体" w:eastAsia="宋体" w:cs="宋体"/>
          <w:b/>
          <w:bCs/>
          <w:color w:val="auto"/>
          <w:kern w:val="2"/>
          <w:sz w:val="21"/>
          <w:szCs w:val="21"/>
          <w:highlight w:val="none"/>
          <w:lang w:val="en-US" w:eastAsia="zh-CN" w:bidi="ar-SA"/>
        </w:rPr>
        <w:t>运维费用调整</w:t>
      </w:r>
      <w:r>
        <w:rPr>
          <w:rFonts w:hint="eastAsia" w:ascii="宋体" w:hAnsi="宋体" w:eastAsia="宋体" w:cs="宋体"/>
          <w:b/>
          <w:bCs/>
          <w:color w:val="auto"/>
          <w:kern w:val="2"/>
          <w:sz w:val="21"/>
          <w:szCs w:val="21"/>
          <w:highlight w:val="none"/>
          <w:lang w:val="en-US" w:eastAsia="zh-CN" w:bidi="ar-SA"/>
        </w:rPr>
        <w:t>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4.4.1  本项目未包含的，其余类型机电运维项目费用调整：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1）本托管服务项目未包含，但与本项目“</w:t>
      </w:r>
      <w:r>
        <w:rPr>
          <w:rFonts w:hint="eastAsia" w:ascii="宋体" w:hAnsi="宋体" w:eastAsia="宋体" w:cs="宋体"/>
          <w:i w:val="0"/>
          <w:iCs w:val="0"/>
          <w:color w:val="000000"/>
          <w:kern w:val="0"/>
          <w:sz w:val="21"/>
          <w:szCs w:val="21"/>
          <w:highlight w:val="none"/>
          <w:u w:val="none"/>
          <w:lang w:val="en-US" w:eastAsia="zh-CN" w:bidi="ar"/>
        </w:rPr>
        <w:t>智慧能源服务中心</w:t>
      </w:r>
      <w:r>
        <w:rPr>
          <w:rFonts w:hint="eastAsia" w:ascii="宋体" w:hAnsi="宋体" w:eastAsia="宋体" w:cs="宋体"/>
          <w:b w:val="0"/>
          <w:bCs w:val="0"/>
          <w:color w:val="auto"/>
          <w:kern w:val="2"/>
          <w:sz w:val="21"/>
          <w:szCs w:val="21"/>
          <w:highlight w:val="none"/>
          <w:lang w:val="en-US" w:eastAsia="zh-CN" w:bidi="ar-SA"/>
        </w:rPr>
        <w:t>”智能化平台相关的机电类运维项目，包括但不限于电梯运维项目、气体系统运维项目、防雷系统运维及检测等，经医院与服务公司协商一致后，作为托管项目服务内容调整项，直接委托服务公司实施。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2）相关服务要求，参照并不低于最近一期合同要求。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3）相关服务费用，以最近一期合同价格（包括总价及单价）为基准，实际执行最近一期合同价格*（1-下浮率）。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4.4.2  本项目未包含的，新增既有类型机电运维范围及服务内容费用调整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1）本托管服务项目未包含，后期新增建设，导致既有类型运维范围及服务内容增加的，作为托管项目服务内容调整项，直接委托服务公司实施。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2）相关服务要求，参照并不低于既有类型运维要求。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3）相关服务费用，根据增加设备体量（功率、数量等）、人员配置情况，对照既有运维服务项目执行费用标准，按比例计算得出。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4.4.3  运维调整补充协议签订原则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1）调整运维项目，或调整运维范围及内容且相关服务内容及费用无法对应既有要求和计算明确的，医院及托管服务单位，按以上要求签订补充协议后实施；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2）调整运维范围及内容，且相关服务内容及费用，可对应既有要求和计算明确的，按照本需求书相关要求直接开展，并出具调整核算书，直接报结算审核即可，不另行签订补充协议。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4.5 政策类调整机制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能源托管期内，相关行政主管部门新增政策，导致</w:t>
      </w:r>
      <w:r>
        <w:rPr>
          <w:rFonts w:hint="eastAsia" w:ascii="宋体" w:hAnsi="宋体" w:eastAsia="宋体" w:cs="宋体"/>
          <w:b w:val="0"/>
          <w:bCs w:val="0"/>
          <w:color w:val="auto"/>
          <w:kern w:val="2"/>
          <w:sz w:val="21"/>
          <w:szCs w:val="21"/>
          <w:highlight w:val="none"/>
          <w:lang w:val="en-US" w:eastAsia="zh-CN" w:bidi="ar-SA"/>
        </w:rPr>
        <w:t>节能低碳、运营安全、智慧化运营改造要求，运维要求等合同服务范围、内容、要求提高的，涉及</w:t>
      </w:r>
      <w:r>
        <w:rPr>
          <w:rFonts w:hint="default" w:ascii="宋体" w:hAnsi="宋体" w:eastAsia="宋体" w:cs="宋体"/>
          <w:b w:val="0"/>
          <w:bCs w:val="0"/>
          <w:color w:val="auto"/>
          <w:kern w:val="2"/>
          <w:sz w:val="21"/>
          <w:szCs w:val="21"/>
          <w:highlight w:val="none"/>
          <w:lang w:val="en-US" w:eastAsia="zh-CN" w:bidi="ar-SA"/>
        </w:rPr>
        <w:t>改造</w:t>
      </w:r>
      <w:r>
        <w:rPr>
          <w:rFonts w:hint="eastAsia" w:ascii="宋体" w:hAnsi="宋体" w:eastAsia="宋体" w:cs="宋体"/>
          <w:b w:val="0"/>
          <w:bCs w:val="0"/>
          <w:color w:val="auto"/>
          <w:kern w:val="2"/>
          <w:sz w:val="21"/>
          <w:szCs w:val="21"/>
          <w:highlight w:val="none"/>
          <w:lang w:val="en-US" w:eastAsia="zh-CN" w:bidi="ar-SA"/>
        </w:rPr>
        <w:t>（节能、安全、智慧化等类型）</w:t>
      </w:r>
      <w:r>
        <w:rPr>
          <w:rFonts w:hint="default" w:ascii="宋体" w:hAnsi="宋体" w:eastAsia="宋体" w:cs="宋体"/>
          <w:b w:val="0"/>
          <w:bCs w:val="0"/>
          <w:color w:val="auto"/>
          <w:kern w:val="2"/>
          <w:sz w:val="21"/>
          <w:szCs w:val="21"/>
          <w:highlight w:val="none"/>
          <w:lang w:val="en-US" w:eastAsia="zh-CN" w:bidi="ar-SA"/>
        </w:rPr>
        <w:t>费用调整</w:t>
      </w:r>
      <w:r>
        <w:rPr>
          <w:rFonts w:hint="eastAsia" w:ascii="宋体" w:hAnsi="宋体" w:eastAsia="宋体" w:cs="宋体"/>
          <w:b w:val="0"/>
          <w:bCs w:val="0"/>
          <w:color w:val="auto"/>
          <w:kern w:val="2"/>
          <w:sz w:val="21"/>
          <w:szCs w:val="21"/>
          <w:highlight w:val="none"/>
          <w:lang w:val="en-US" w:eastAsia="zh-CN" w:bidi="ar-SA"/>
        </w:rPr>
        <w:t>和</w:t>
      </w:r>
      <w:r>
        <w:rPr>
          <w:rFonts w:hint="default" w:ascii="宋体" w:hAnsi="宋体" w:eastAsia="宋体" w:cs="宋体"/>
          <w:b w:val="0"/>
          <w:bCs w:val="0"/>
          <w:color w:val="auto"/>
          <w:kern w:val="2"/>
          <w:sz w:val="21"/>
          <w:szCs w:val="21"/>
          <w:highlight w:val="none"/>
          <w:lang w:val="en-US" w:eastAsia="zh-CN" w:bidi="ar-SA"/>
        </w:rPr>
        <w:t>运维费用调整</w:t>
      </w:r>
      <w:r>
        <w:rPr>
          <w:rFonts w:hint="eastAsia" w:ascii="宋体" w:hAnsi="宋体" w:eastAsia="宋体" w:cs="宋体"/>
          <w:b w:val="0"/>
          <w:bCs w:val="0"/>
          <w:color w:val="auto"/>
          <w:kern w:val="2"/>
          <w:sz w:val="21"/>
          <w:szCs w:val="21"/>
          <w:highlight w:val="none"/>
          <w:lang w:val="en-US" w:eastAsia="zh-CN" w:bidi="ar-SA"/>
        </w:rPr>
        <w:t>的，按照以上相关机制执行，如相关机制未包含和明确的，可参考相关机制，由医院和服务单位共同确定相关调整办法后执行。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4.6 项目衍生无形资产和有形资金/资产托管费用调整机制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因本项目衍生无形资产和有形资金/资产，按照产生收益费用*50%*（1-下浮率）的原则进行调整结算。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4.7 </w:t>
      </w:r>
      <w:r>
        <w:rPr>
          <w:rFonts w:hint="default" w:ascii="宋体" w:hAnsi="宋体" w:eastAsia="宋体" w:cs="宋体"/>
          <w:b/>
          <w:bCs/>
          <w:color w:val="auto"/>
          <w:kern w:val="2"/>
          <w:sz w:val="21"/>
          <w:szCs w:val="21"/>
          <w:highlight w:val="none"/>
          <w:lang w:val="en-US" w:eastAsia="zh-CN" w:bidi="ar-SA"/>
        </w:rPr>
        <w:t>最低工资上涨差额费用</w:t>
      </w:r>
      <w:r>
        <w:rPr>
          <w:rFonts w:hint="eastAsia" w:ascii="宋体" w:hAnsi="宋体" w:eastAsia="宋体" w:cs="宋体"/>
          <w:b/>
          <w:bCs/>
          <w:color w:val="auto"/>
          <w:kern w:val="2"/>
          <w:sz w:val="21"/>
          <w:szCs w:val="21"/>
          <w:highlight w:val="none"/>
          <w:lang w:val="en-US" w:eastAsia="zh-CN" w:bidi="ar-SA"/>
        </w:rPr>
        <w:t>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能源托管期内，</w:t>
      </w:r>
      <w:r>
        <w:rPr>
          <w:rFonts w:hint="default" w:ascii="宋体" w:hAnsi="宋体" w:eastAsia="宋体" w:cs="宋体"/>
          <w:color w:val="auto"/>
          <w:kern w:val="2"/>
          <w:sz w:val="21"/>
          <w:szCs w:val="21"/>
          <w:highlight w:val="none"/>
          <w:lang w:val="en-US" w:eastAsia="zh-CN" w:bidi="ar-SA"/>
        </w:rPr>
        <w:t>广州市最低工资</w:t>
      </w:r>
      <w:r>
        <w:rPr>
          <w:rFonts w:hint="eastAsia" w:ascii="宋体" w:hAnsi="宋体" w:eastAsia="宋体" w:cs="宋体"/>
          <w:color w:val="auto"/>
          <w:kern w:val="2"/>
          <w:sz w:val="21"/>
          <w:szCs w:val="21"/>
          <w:highlight w:val="none"/>
          <w:lang w:val="en-US" w:eastAsia="zh-CN" w:bidi="ar-SA"/>
        </w:rPr>
        <w:t>，相对托管首年上涨或下调的，则按照托管合同内配置驻点人数*最低工资上涨或下调差额，计算费用后进行调整结算。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4.8相关服务收费标准调整机制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能源托管期内，如其中服务项，有相关行政主管部门发文确定了收费标准，导致现有服务项响应收费和收费标准出现差额的，按相关收费标准执行，按照差额计算费用后进行调整结算。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4.9其余法规规定调整机制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如遇特殊情况，以上调整方式，无法或不足以客观反映相关费用调整的，且存在其余法规规定调整方式的客观对照依据，则可对照相应法规调整方式进行调整或补充调整。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4.10 托管费用调整触发条件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参照《公共机构能源费用托管实施规程》JS/T 301-2024，本托管服务项目制定托管服务费用调整触发条件，具体为：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本托管服务项目中各类型费用，年度调整费用，在托管各项基准执行年费用1%及以内的，服务单位进行必要的记录核实，托管费用不予调整。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本托管服务项目中各类型费用，年度调整费用，超过托管各项基准执行年费用1%以上的，超出1%的部分，托管费用进行相应调整。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以上所述1%，按类型进行统计及调整，如改造项目类型、运维类型项目等。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5、本能源托管项目几个周期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5.1 预付款周期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托管服务期内，采购人按月为周期，每月固定向服务单位预付月度费用（采取一次性审批和梳理财务流程后，采购人每月固定日期向服务单位银行账户自动转账的形式；年度结算调整和其余特殊情况，另行提前做调整申请，并按年度汇总，调整费用在审批完及年度汇总后次月执行支付或抵扣），即服务单位响应年度基准费用/12，以下情况除外：</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w:t>
      </w:r>
      <w:r>
        <w:rPr>
          <w:rFonts w:hint="eastAsia" w:ascii="宋体" w:hAnsi="宋体" w:eastAsia="宋体" w:cs="宋体"/>
          <w:color w:val="auto"/>
          <w:kern w:val="2"/>
          <w:sz w:val="21"/>
          <w:szCs w:val="21"/>
          <w:highlight w:val="none"/>
          <w:lang w:val="en-US" w:eastAsia="zh-CN" w:bidi="ar-SA"/>
        </w:rPr>
        <w:t>固定建设期（即托管服务期前的第1至7个月；如提前完工及完成验收，期限可据实缩短，另行审批）的月度费用中的改造费用和运维费用</w:t>
      </w:r>
      <w:r>
        <w:rPr>
          <w:rFonts w:hint="eastAsia" w:ascii="宋体" w:hAnsi="宋体" w:eastAsia="宋体" w:cs="宋体"/>
          <w:b w:val="0"/>
          <w:bCs w:val="0"/>
          <w:color w:val="auto"/>
          <w:kern w:val="2"/>
          <w:sz w:val="21"/>
          <w:szCs w:val="21"/>
          <w:highlight w:val="none"/>
          <w:lang w:val="en-US" w:eastAsia="zh-CN" w:bidi="ar-SA"/>
        </w:rPr>
        <w:t>，不进行预付，待改造完成后年度结算进行统一调整支付；</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能源托管期最后2个月的月度费用，不进行预付，待能源托管期限到期后，统一进行结算调整支付。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5.2 考核周期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5.2.1 改造项目考核期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1）固定建设内容考核期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本托管项目要求固定建设期内改造项目，考核期为7个月，如固定建设期超过7个月，即进行相应考核。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2）持续建设内容考核期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本托管项目要求持续建设期内改造项目，考核期按要求工期执行，部分未明确工期的，以双方后续约定为准，超出考核期，即进行相应考核。</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本托管项目招标要求外改造内容考核期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本托管项目招标要求外改造内容，考核期以双方后续约定为准，超出考核期，即进行相应考核。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5.2.2 运维项目考核周期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本托管项目内既有运维项目、改造新增运维项目，原则上按月为周期开展考核工作，其中单项运维合同有另行约定考核周期的，以单项运维合同约定为准。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5.2.3 托管服务质量考核周期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托管服务质量考核，原则上按月为周期开展考核工作，包含运维项目考核、节能率考核（超出固定建设期开始考核）、改造项目考核（超出固定建设期开始考核）、智慧能源服务平台考核（超出固定建设期开始考核）等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5.2.4 其余托管内容考核周期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其余托管内容考核周期，按照相关要求或双方约定执行。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5.3托管费用调整报告周期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因托管费用调整，可能涉及到医院费用调整或临床科室成本分摊费用调整，故服务单位应与管理科室或相对应科室，提前签订《调整预确认书》，待明确具体情况后，第一时间签署《调整确认书》。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服务单位按照每3个月为周期，向医院提交一次《托管费用调整报告》。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5.4 托管费用结算及调整周期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服务单位以1年为周期，向医院提交《托管费用年度调整结算报告》，经医院审核后，向医院申请调整费用结算。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服务单位应在每完成1个年度托管服务后，次月向医院提交《托管费用年度调整结算报告》，相关调整费用在医院审核完成后次月结算，在医院应支付月度费用中调整支付。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最后1个年度的托管调整费用，在结束3个月移交保护期后进行调整支付。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6、改造项目验收要求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6.1 本托管服务项目招标要求内改造项目验收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本托管服务项目招标要求内改造项目，由医院委托有资质的监理单位、技术单位、地市专家库内专家验收，相关费用由医院支出。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本托管服务项目改造内容，实行分类、分项、分阶段、分功能板块的验收办法，服务单位同样需按照分类、分项、分阶段、分功能板块的原则提交验收申请书。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6.2 本托管服务项目招标要求外改造项目验收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本托管服务项目招标要求外改造项目，由医院根据项目规模，自主决定委托有资质的监理单位、技术单位、地市专家库内专家验收（相关费用由医院支出），或由医院自行组织验收。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效果评估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7.1  托管年度能源审计及复核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托管服务期内，托管服务单位，参照《</w:t>
      </w:r>
      <w:r>
        <w:rPr>
          <w:rFonts w:hint="eastAsia" w:ascii="宋体" w:hAnsi="宋体" w:eastAsia="宋体" w:cs="宋体"/>
          <w:color w:val="auto"/>
          <w:kern w:val="2"/>
          <w:sz w:val="21"/>
          <w:szCs w:val="21"/>
          <w:highlight w:val="none"/>
          <w:lang w:val="en-US" w:eastAsia="zh-CN" w:bidi="ar-SA"/>
        </w:rPr>
        <w:t>公共机构能源审计技术导则》 GB T 31342—2014及《公共机构能源审计技术导则》DB44 T 2268—2021的主要要求内容和本项目托管服务要求，在医院2023年度能源审计报告</w:t>
      </w:r>
      <w:r>
        <w:rPr>
          <w:rFonts w:hint="eastAsia" w:ascii="宋体" w:hAnsi="宋体" w:eastAsia="宋体" w:cs="宋体"/>
          <w:b w:val="0"/>
          <w:bCs w:val="0"/>
          <w:kern w:val="0"/>
          <w:sz w:val="21"/>
          <w:szCs w:val="21"/>
          <w:highlight w:val="none"/>
          <w:lang w:val="en-US" w:eastAsia="zh-CN" w:bidi="ar-SA"/>
        </w:rPr>
        <w:t>及修订说明</w:t>
      </w:r>
      <w:r>
        <w:rPr>
          <w:rFonts w:hint="eastAsia" w:ascii="宋体" w:hAnsi="宋体" w:eastAsia="宋体" w:cs="宋体"/>
          <w:color w:val="auto"/>
          <w:kern w:val="2"/>
          <w:sz w:val="21"/>
          <w:szCs w:val="21"/>
          <w:highlight w:val="none"/>
          <w:lang w:val="en-US" w:eastAsia="zh-CN" w:bidi="ar-SA"/>
        </w:rPr>
        <w:t>的基础上，包括但不限于年度能耗情况，节能量评估，托管服务单位节能指标、管理效能、运维服务等评价，编制《年度能源审计报告》及《年度托管费用核算报告》。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向医院提交后，由医院委托第三方能源审计单位进行复核，并出具复核报告。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7.2 定期水平衡测试工作</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结合节能管理制度狠抓落实，定期开展水平衡测试自查摸底，不断完善和改进节能减碳运营管理方式，周期频次不少于法规要求。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托管服务考核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 节能降碳指标考核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8.1.1 </w:t>
      </w:r>
      <w:r>
        <w:rPr>
          <w:rFonts w:hint="eastAsia" w:ascii="宋体" w:hAnsi="宋体" w:eastAsia="宋体" w:cs="宋体"/>
          <w:b/>
          <w:bCs/>
          <w:kern w:val="0"/>
          <w:sz w:val="21"/>
          <w:szCs w:val="21"/>
          <w:highlight w:val="none"/>
          <w:u w:val="none"/>
          <w:lang w:val="en-US" w:eastAsia="zh-CN" w:bidi="ar-SA"/>
        </w:rPr>
        <w:t>“单位建筑面积能耗”指标考核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能源托管期内，第2~5个年度</w:t>
      </w:r>
      <w:r>
        <w:rPr>
          <w:rFonts w:hint="eastAsia" w:ascii="宋体" w:hAnsi="宋体" w:eastAsia="宋体" w:cs="宋体"/>
          <w:b w:val="0"/>
          <w:bCs w:val="0"/>
          <w:kern w:val="0"/>
          <w:sz w:val="21"/>
          <w:szCs w:val="21"/>
          <w:highlight w:val="none"/>
          <w:u w:val="none"/>
          <w:lang w:val="en-US" w:eastAsia="zh-CN" w:bidi="ar-SA"/>
        </w:rPr>
        <w:t>“单位建筑面积能耗”指标，未达到140.47*（1-</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b w:val="0"/>
          <w:bCs w:val="0"/>
          <w:kern w:val="0"/>
          <w:sz w:val="21"/>
          <w:szCs w:val="21"/>
          <w:highlight w:val="none"/>
          <w:u w:val="none"/>
          <w:lang w:val="en-US" w:eastAsia="zh-CN" w:bidi="ar-SA"/>
        </w:rPr>
        <w:t>）及以下，则医院对服务单位该年度进行考核，考核扣罚金额为1~3万元/次。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能源托管期内，其余年度</w:t>
      </w:r>
      <w:r>
        <w:rPr>
          <w:rFonts w:hint="eastAsia" w:ascii="宋体" w:hAnsi="宋体" w:eastAsia="宋体" w:cs="宋体"/>
          <w:b w:val="0"/>
          <w:bCs w:val="0"/>
          <w:kern w:val="0"/>
          <w:sz w:val="21"/>
          <w:szCs w:val="21"/>
          <w:highlight w:val="none"/>
          <w:u w:val="none"/>
          <w:lang w:val="en-US" w:eastAsia="zh-CN" w:bidi="ar-SA"/>
        </w:rPr>
        <w:t>“单位建筑面积能耗”指标，未达到[140.47+140.47*（1-</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b w:val="0"/>
          <w:bCs w:val="0"/>
          <w:kern w:val="0"/>
          <w:sz w:val="21"/>
          <w:szCs w:val="21"/>
          <w:highlight w:val="none"/>
          <w:u w:val="none"/>
          <w:lang w:val="en-US" w:eastAsia="zh-CN" w:bidi="ar-SA"/>
        </w:rPr>
        <w:t>）]/2及以下，则医院对服务单位该年度进行考核，考核扣罚金额为1~3万元/次。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b w:val="0"/>
          <w:bCs w:val="0"/>
          <w:kern w:val="0"/>
          <w:sz w:val="21"/>
          <w:szCs w:val="21"/>
          <w:highlight w:val="none"/>
          <w:u w:val="none"/>
          <w:lang w:val="en-US" w:eastAsia="zh-CN" w:bidi="ar-SA"/>
        </w:rPr>
        <w:t>8.1.2  其余指标考核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kern w:val="0"/>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能源托管期内，需求书其余</w:t>
      </w:r>
      <w:r>
        <w:rPr>
          <w:rFonts w:hint="eastAsia" w:ascii="宋体" w:hAnsi="宋体" w:eastAsia="宋体" w:cs="宋体"/>
          <w:b w:val="0"/>
          <w:bCs w:val="0"/>
          <w:kern w:val="0"/>
          <w:sz w:val="21"/>
          <w:szCs w:val="21"/>
          <w:highlight w:val="none"/>
          <w:u w:val="none"/>
          <w:lang w:val="en-US" w:eastAsia="zh-CN" w:bidi="ar-SA"/>
        </w:rPr>
        <w:t>指标未达到要求，则医院对服务单位该年度进行考核，考核扣罚金额为3000~10000元/次。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8.2 改造考核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8.2.1 工期考核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能源托管期内，如改造项目未按要求工期完成（以完工证明日期为准），则医院对服务单位进行连续性考核，按照“1996万元*（1-下浮率）*1</w:t>
      </w:r>
      <w:r>
        <w:rPr>
          <w:rFonts w:hint="default" w:ascii="Arial" w:hAnsi="Arial" w:eastAsia="宋体" w:cs="Arial"/>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*延误天数”的金额标准进行考核</w:t>
      </w:r>
      <w:r>
        <w:rPr>
          <w:rFonts w:hint="eastAsia" w:ascii="宋体" w:hAnsi="宋体" w:eastAsia="宋体" w:cs="宋体"/>
          <w:b w:val="0"/>
          <w:bCs w:val="0"/>
          <w:kern w:val="0"/>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。如考核</w:t>
      </w:r>
      <w:r>
        <w:rPr>
          <w:rFonts w:hint="eastAsia" w:ascii="宋体" w:hAnsi="宋体" w:eastAsia="宋体" w:cs="宋体"/>
          <w:b w:val="0"/>
          <w:bCs w:val="0"/>
          <w:kern w:val="0"/>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金额累计达到“1996万元*（1-下浮率）*1</w:t>
      </w:r>
      <w:r>
        <w:rPr>
          <w:rFonts w:hint="eastAsia" w:ascii="Arial" w:hAnsi="Arial" w:eastAsia="宋体" w:cs="Arial"/>
          <w:b w:val="0"/>
          <w:bCs w:val="0"/>
          <w:color w:val="auto"/>
          <w:kern w:val="2"/>
          <w:sz w:val="21"/>
          <w:szCs w:val="21"/>
          <w:highlight w:val="none"/>
          <w:lang w:val="en-US" w:eastAsia="zh-CN" w:bidi="ar-SA"/>
        </w:rPr>
        <w:t>0%</w:t>
      </w:r>
      <w:r>
        <w:rPr>
          <w:rFonts w:hint="eastAsia" w:ascii="宋体" w:hAnsi="宋体" w:eastAsia="宋体" w:cs="宋体"/>
          <w:b w:val="0"/>
          <w:bCs w:val="0"/>
          <w:color w:val="auto"/>
          <w:kern w:val="2"/>
          <w:sz w:val="21"/>
          <w:szCs w:val="21"/>
          <w:highlight w:val="none"/>
          <w:lang w:val="en-US" w:eastAsia="zh-CN" w:bidi="ar-SA"/>
        </w:rPr>
        <w:t>”，医院有权单方面解除合同，并追究由此引起医院的一切损失。相关金额，从年度调整费用中调整扣除。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8.2.2 改造项不完整考核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服务单位未完成医院招标要求改造项，除不支付相关改造项费用外，医院对服务单位按照“未完成项估算金额*10%”或10万元/项的标准进行考核扣罚。如未完成项≥3项，医院有权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8.2.3 改造施工要求考核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服务单位未严格按照需求书“改造施工要求”实施改造的，并对医院造成影响或导致不良后果的，则医院有权对服务单位进行考核，根据影响严重程度，考核扣罚金额为1000~50000元/次。如情节严重影响院方本项目执行及节能降碳相关工作开展，</w:t>
      </w:r>
      <w:r>
        <w:rPr>
          <w:rFonts w:hint="eastAsia" w:ascii="宋体" w:hAnsi="宋体" w:eastAsia="宋体" w:cs="宋体"/>
          <w:b w:val="0"/>
          <w:bCs w:val="0"/>
          <w:color w:val="auto"/>
          <w:kern w:val="2"/>
          <w:sz w:val="21"/>
          <w:szCs w:val="21"/>
          <w:highlight w:val="none"/>
          <w:lang w:val="en-US" w:eastAsia="zh-CN" w:bidi="ar-SA"/>
        </w:rPr>
        <w:t>医院有权单方面解除合同，并追究由此引起医院的一切损失。相关金额，从年度调整费用中调整扣除。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8.3  智慧能源服务中心建设考核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能源托管期内，如智慧化能源服务中心建设分项内容不符合需求书要求，除不支付相关分项费用外（以估算价或预算审核价为准），医院对服务单位按照“分项金额*10%”或1~3万元/项的标准进行考核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。如不满足要求项≥3项，医院有权不支付智慧能源服务中心费用，直至单方面解除合同，并追究由此引起医院的一切损失。相关金额，从年度调整费用中调整扣除。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8.4 运维考核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8.4.1 既有运维项目考核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既有运维项目考核，原则上参照原招文、合同及相关要求进行考核，如无相关考核约定的违约或需考核情况，医院可视造成影响程度和违约情况，对服务单位按照1000元~30000元的范围，按月进行单次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8.4.2 改造新增运维项目考核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改造新增运维项目考核，相同事项可参照既有运维项目考核条款进行考核，如无相关可参照的考核约定的违约或需考核情况，医院可视造成影响程度和违约情况，对服务单位按照1000元~30000元的范围，按月进行单次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8.5 制度建设及落实考核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8.5.1 制度建设考核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能源托管期内，因服务单位原因未完成相关制度建设的，</w:t>
      </w:r>
      <w:r>
        <w:rPr>
          <w:rFonts w:hint="eastAsia" w:ascii="宋体" w:hAnsi="宋体" w:eastAsia="宋体" w:cs="宋体"/>
          <w:b w:val="0"/>
          <w:bCs w:val="0"/>
          <w:kern w:val="0"/>
          <w:sz w:val="21"/>
          <w:szCs w:val="21"/>
          <w:highlight w:val="none"/>
          <w:u w:val="none"/>
          <w:lang w:val="en-US" w:eastAsia="zh-CN" w:bidi="ar-SA"/>
        </w:rPr>
        <w:t>则医院对服务单位该年度进行考核，考核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金额为1~3万元/次/项。</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8.5.2工作落实考核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能源托管期内，因服务单位原因未定期完成做好包括“工作质量管理”、“节能及降碳管理”、“定额及预算管理”、“能源、碳排统计”等要求的相关工作，未做好实时工作记录和资料定期整理汇总存档的，</w:t>
      </w:r>
      <w:r>
        <w:rPr>
          <w:rFonts w:hint="eastAsia" w:ascii="宋体" w:hAnsi="宋体" w:eastAsia="宋体" w:cs="宋体"/>
          <w:b w:val="0"/>
          <w:bCs w:val="0"/>
          <w:kern w:val="0"/>
          <w:sz w:val="21"/>
          <w:szCs w:val="21"/>
          <w:highlight w:val="none"/>
          <w:u w:val="none"/>
          <w:lang w:val="en-US" w:eastAsia="zh-CN" w:bidi="ar-SA"/>
        </w:rPr>
        <w:t>则医院对服务单位分周期类别进行考核。周期要求为每周的，考核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金额为300元/次/项；周期要求为每月的，考核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金额为1000元/次/项；周期内每季度的，考核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金额为3000元/次/项；周期内每年度的，考核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金额为10000元/次/项。</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8.6 示范创建考核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能源托管期内，服务单位未按时限及要求完成相关示范创建工作3项及以上的</w:t>
      </w:r>
      <w:r>
        <w:rPr>
          <w:rFonts w:hint="eastAsia" w:ascii="宋体" w:hAnsi="宋体" w:eastAsia="宋体" w:cs="宋体"/>
          <w:b w:val="0"/>
          <w:bCs w:val="0"/>
          <w:kern w:val="0"/>
          <w:sz w:val="21"/>
          <w:szCs w:val="21"/>
          <w:highlight w:val="none"/>
          <w:u w:val="none"/>
          <w:lang w:val="en-US" w:eastAsia="zh-CN" w:bidi="ar-SA"/>
        </w:rPr>
        <w:t>，则医院对服务单位按年度进行考核，考核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金额为1~3万元/次。示范创建工作项数量可逐年累计。</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8.7 项目衍生资产考核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能源托管期内，未按时限及要求获得无形资产或政策补贴、奖励等有形资产事项，事项合计少于3项的</w:t>
      </w:r>
      <w:r>
        <w:rPr>
          <w:rFonts w:hint="eastAsia" w:ascii="宋体" w:hAnsi="宋体" w:eastAsia="宋体" w:cs="宋体"/>
          <w:b w:val="0"/>
          <w:bCs w:val="0"/>
          <w:kern w:val="0"/>
          <w:sz w:val="21"/>
          <w:szCs w:val="21"/>
          <w:highlight w:val="none"/>
          <w:u w:val="none"/>
          <w:lang w:val="en-US" w:eastAsia="zh-CN" w:bidi="ar-SA"/>
        </w:rPr>
        <w:t>，则医院对服务单位按年度进行考核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，考核金额为1~3万元/次。事项数量可逐年累计。</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8.8 政策性考核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服务单位不响应因政策性导致医院产生的，与本项目相关节能降碳需求服务内容，则医院有权对服务单位进行考核，根据事项类别，考核扣罚金额为1000~50000元/次。如情节严重影响院方本项目执行及节能降碳相关工作开展，</w:t>
      </w:r>
      <w:r>
        <w:rPr>
          <w:rFonts w:hint="eastAsia" w:ascii="宋体" w:hAnsi="宋体" w:eastAsia="宋体" w:cs="宋体"/>
          <w:b w:val="0"/>
          <w:bCs w:val="0"/>
          <w:color w:val="auto"/>
          <w:kern w:val="2"/>
          <w:sz w:val="21"/>
          <w:szCs w:val="21"/>
          <w:highlight w:val="none"/>
          <w:lang w:val="en-US" w:eastAsia="zh-CN" w:bidi="ar-SA"/>
        </w:rPr>
        <w:t>医院有权单方面解除合同，并追究由此引起医院的一切损失。相关金额，从年度调整费用中调整扣除。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8.9 节能管理规则考核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能源托管期内，如服务单位违背需求书“能源系统节能管理原则”，一味追求节能效益，导致影响医院正常运营秩序，医院有权对服务单位进行考核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，视情况</w:t>
      </w:r>
      <w:r>
        <w:rPr>
          <w:rFonts w:hint="eastAsia" w:ascii="宋体" w:hAnsi="宋体" w:eastAsia="宋体" w:cs="宋体"/>
          <w:b w:val="0"/>
          <w:bCs w:val="0"/>
          <w:color w:val="auto"/>
          <w:kern w:val="2"/>
          <w:sz w:val="21"/>
          <w:szCs w:val="21"/>
          <w:highlight w:val="none"/>
          <w:u w:val="none"/>
          <w:lang w:val="en-US" w:eastAsia="zh-CN" w:bidi="ar-SA"/>
        </w:rPr>
        <w:t>考核金额为1000~50000元/次。如情节影响极为严重，且医院沟通协商无果的，</w:t>
      </w:r>
      <w:r>
        <w:rPr>
          <w:rFonts w:hint="eastAsia" w:ascii="宋体" w:hAnsi="宋体" w:eastAsia="宋体" w:cs="宋体"/>
          <w:b w:val="0"/>
          <w:bCs w:val="0"/>
          <w:color w:val="auto"/>
          <w:kern w:val="2"/>
          <w:sz w:val="21"/>
          <w:szCs w:val="21"/>
          <w:highlight w:val="none"/>
          <w:lang w:val="en-US" w:eastAsia="zh-CN" w:bidi="ar-SA"/>
        </w:rPr>
        <w:t>医院有权单方面解除合同，并追究由此引起医院的一切损失。相关金额，从年度调整费用中调整扣除。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8.10 托管服务质量及评价考核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8.10.1未定期开展托管服务周期性工作考核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未定期开展并按要求完成托管服务周期性工作的，包括制度建设落实、效果评估、满意度调查、资产盘点、能源托管项目几个周期性工作、其余周期性工作的，未做好实时工作记录和资料定期整理汇总存档的，</w:t>
      </w:r>
      <w:r>
        <w:rPr>
          <w:rFonts w:hint="eastAsia" w:ascii="宋体" w:hAnsi="宋体" w:eastAsia="宋体" w:cs="宋体"/>
          <w:b w:val="0"/>
          <w:bCs w:val="0"/>
          <w:kern w:val="0"/>
          <w:sz w:val="21"/>
          <w:szCs w:val="21"/>
          <w:highlight w:val="none"/>
          <w:u w:val="none"/>
          <w:lang w:val="en-US" w:eastAsia="zh-CN" w:bidi="ar-SA"/>
        </w:rPr>
        <w:t>则医院对服务单位分周期类别进行考核。周期要求为每周的，考核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金额为300元/次/项；周期要求为每月的，考核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金额为1000元/次/项；周期内每季度的，考核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金额为3000元/次/项；周期内每年度的，考核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kern w:val="0"/>
          <w:sz w:val="21"/>
          <w:szCs w:val="21"/>
          <w:highlight w:val="none"/>
          <w:u w:val="none"/>
          <w:lang w:val="en-US" w:eastAsia="zh-CN" w:bidi="ar-SA"/>
        </w:rPr>
        <w:t>金额为10000元/次/项。</w:t>
      </w: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8.10.2  满意度调查考核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如服务单位定期开展的服务满意度调查（月度各分项运维满意度调查问卷、月度托管服务满意度评价、日常维修工单评价月度汇总满意度、院方第三方服务满意度调查等），满意度较差的，医院对服务单位对应周期进行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满意度≥95%，不进行考核；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满意度＜95%，考核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金额1000元/次/项；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满意度＜80%，考核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金额3000元/次/项；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满意度＜70%，考核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金额5000元/次/项；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满意度＜60%，考核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金额10000元/次/项。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8.11 能源费用缴纳考核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能源托管期内，服务单位未按月定期向供能公司（供电局、粤海水务等）缴纳能源费用，并导致医院用能受影响的，医院有权对服务单位进行考核，视情况</w:t>
      </w:r>
      <w:r>
        <w:rPr>
          <w:rFonts w:hint="eastAsia" w:ascii="宋体" w:hAnsi="宋体" w:eastAsia="宋体" w:cs="宋体"/>
          <w:b w:val="0"/>
          <w:bCs w:val="0"/>
          <w:color w:val="auto"/>
          <w:kern w:val="2"/>
          <w:sz w:val="21"/>
          <w:szCs w:val="21"/>
          <w:highlight w:val="none"/>
          <w:u w:val="none"/>
          <w:lang w:val="en-US" w:eastAsia="zh-CN" w:bidi="ar-SA"/>
        </w:rPr>
        <w:t>考核扣罚金额为1000~50000元/次。如情节影响极为严重，且医院沟通协商无果的，</w:t>
      </w:r>
      <w:r>
        <w:rPr>
          <w:rFonts w:hint="eastAsia" w:ascii="宋体" w:hAnsi="宋体" w:eastAsia="宋体" w:cs="宋体"/>
          <w:b w:val="0"/>
          <w:bCs w:val="0"/>
          <w:color w:val="auto"/>
          <w:kern w:val="2"/>
          <w:sz w:val="21"/>
          <w:szCs w:val="21"/>
          <w:highlight w:val="none"/>
          <w:lang w:val="en-US" w:eastAsia="zh-CN" w:bidi="ar-SA"/>
        </w:rPr>
        <w:t>医院有权单方面解除合同，并追究由此引起医院的一切损失。相关金额，从年度调整费用中调整扣除。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8.12 供能稳定性考核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能源托管期内，如因运维管理等服务单位原因，出现断水、断电，或水压波动、电压波动影响医院运营秩序、设备损坏、病人人命安全等情况的，医院有权对服务单位进行考核，视情节严重程度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考核扣罚金额为3000~50000元/次，</w:t>
      </w:r>
      <w:r>
        <w:rPr>
          <w:rFonts w:hint="eastAsia" w:ascii="宋体" w:hAnsi="宋体" w:eastAsia="宋体" w:cs="宋体"/>
          <w:b w:val="0"/>
          <w:bCs w:val="0"/>
          <w:color w:val="auto"/>
          <w:kern w:val="2"/>
          <w:sz w:val="21"/>
          <w:szCs w:val="21"/>
          <w:highlight w:val="none"/>
          <w:lang w:val="en-US" w:eastAsia="zh-CN" w:bidi="ar-SA"/>
        </w:rPr>
        <w:t>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8.13 项目资产管理考核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能源托管期内，如因服务单位原因，导致移交管理资产丢失或人为性损坏的，医院有权对服务单位进行考核，视情节严重程度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考核扣罚金额为300~30000元/次，</w:t>
      </w:r>
      <w:r>
        <w:rPr>
          <w:rFonts w:hint="eastAsia" w:ascii="宋体" w:hAnsi="宋体" w:eastAsia="宋体" w:cs="宋体"/>
          <w:b w:val="0"/>
          <w:bCs w:val="0"/>
          <w:color w:val="auto"/>
          <w:kern w:val="2"/>
          <w:sz w:val="21"/>
          <w:szCs w:val="21"/>
          <w:highlight w:val="none"/>
          <w:lang w:val="en-US" w:eastAsia="zh-CN" w:bidi="ar-SA"/>
        </w:rPr>
        <w:t>并追究由此引起医院的一切损失。相关金额，从年度调整费用中调整扣除。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8.14 履约担保考核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能源托管期内，如服务单位未按期提交履约担保、逾期不办理延期手续或逾期未提交新的履约担保，视为严重违约，医院有权按照“保函金额*1%*延误天数”的金额标准进行考核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、暂停月度费用支付甚至单方解除合同。相关考核金额，从年度调整费用中调整扣除。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8.15 项目联合体及分包、转包考核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服务单位不满足项目联合体限制要求，或进行项目分包、转包，则服务单位构成重大违约，医院有权暂停月度费用支付甚至单方面解除本托管项目合同，并对服务单位进行相应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考核扣罚金额为3万~30万元/次</w:t>
      </w:r>
      <w:r>
        <w:rPr>
          <w:rFonts w:hint="eastAsia" w:ascii="宋体" w:hAnsi="宋体" w:eastAsia="宋体" w:cs="宋体"/>
          <w:b w:val="0"/>
          <w:bCs w:val="0"/>
          <w:color w:val="auto"/>
          <w:kern w:val="2"/>
          <w:sz w:val="21"/>
          <w:szCs w:val="21"/>
          <w:highlight w:val="none"/>
          <w:lang w:val="en-US" w:eastAsia="zh-CN" w:bidi="ar-SA"/>
        </w:rPr>
        <w:t>，直至追究由此引起医院的一切损失。相关考核</w:t>
      </w:r>
      <w:r>
        <w:rPr>
          <w:rFonts w:hint="eastAsia" w:ascii="宋体" w:hAnsi="宋体" w:eastAsia="宋体" w:cs="宋体"/>
          <w:b w:val="0"/>
          <w:bCs w:val="0"/>
          <w:color w:val="auto"/>
          <w:kern w:val="2"/>
          <w:sz w:val="21"/>
          <w:szCs w:val="21"/>
          <w:highlight w:val="none"/>
          <w:u w:val="none"/>
          <w:lang w:val="en-US" w:eastAsia="zh-CN" w:bidi="ar-SA"/>
        </w:rPr>
        <w:t>扣罚</w:t>
      </w:r>
      <w:r>
        <w:rPr>
          <w:rFonts w:hint="eastAsia" w:ascii="宋体" w:hAnsi="宋体" w:eastAsia="宋体" w:cs="宋体"/>
          <w:b w:val="0"/>
          <w:bCs w:val="0"/>
          <w:color w:val="auto"/>
          <w:kern w:val="2"/>
          <w:sz w:val="21"/>
          <w:szCs w:val="21"/>
          <w:highlight w:val="none"/>
          <w:lang w:val="en-US" w:eastAsia="zh-CN" w:bidi="ar-SA"/>
        </w:rPr>
        <w:t>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8.16 保密要求考核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能源托管期内，如违反相关保密要求，则服务单位构成重大违约，医院有权对服务单位进行相应考核，视情节严重程度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考核扣罚金额为3000~50000元/次</w:t>
      </w:r>
      <w:r>
        <w:rPr>
          <w:rFonts w:hint="eastAsia" w:ascii="宋体" w:hAnsi="宋体" w:eastAsia="宋体" w:cs="宋体"/>
          <w:b w:val="0"/>
          <w:bCs w:val="0"/>
          <w:color w:val="auto"/>
          <w:kern w:val="2"/>
          <w:sz w:val="21"/>
          <w:szCs w:val="21"/>
          <w:highlight w:val="none"/>
          <w:lang w:val="en-US" w:eastAsia="zh-CN" w:bidi="ar-SA"/>
        </w:rPr>
        <w:t>，直至追究由此引起医院的一切损失，造成严重后果的，医院有权单方面解除本托管项目合同。相关金额，从年度调整费用中调整扣除。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8.17 网络信息安全考核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能源托管期内，如违反相关网络信息安全要求，危机到医院运营秩序及网络信息安全，则服务单位构成重大违约，医院有权对服务单位进行相应考核，视情节严重程度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考核扣罚金额为3000~50000元/次，</w:t>
      </w:r>
      <w:r>
        <w:rPr>
          <w:rFonts w:hint="eastAsia" w:ascii="宋体" w:hAnsi="宋体" w:eastAsia="宋体" w:cs="宋体"/>
          <w:b w:val="0"/>
          <w:bCs w:val="0"/>
          <w:color w:val="auto"/>
          <w:kern w:val="2"/>
          <w:sz w:val="21"/>
          <w:szCs w:val="21"/>
          <w:highlight w:val="none"/>
          <w:lang w:val="en-US" w:eastAsia="zh-CN" w:bidi="ar-SA"/>
        </w:rPr>
        <w:t>直至追究由此引起医院的一切损失，造成严重后果的，医院有权单方面解除本托管项目合同。相关金额，从年度调整费用中调整扣除。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8.18 其余考核事项</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1）服务单位将购买社会保险员工佐证资料的复印件报医院，必须承诺不能发生拖欠员工工资的问题（投标人提供书面承诺），一经发现，</w:t>
      </w:r>
      <w:r>
        <w:rPr>
          <w:rFonts w:hint="eastAsia" w:ascii="宋体" w:hAnsi="宋体" w:eastAsia="宋体" w:cs="宋体"/>
          <w:b w:val="0"/>
          <w:bCs w:val="0"/>
          <w:color w:val="auto"/>
          <w:kern w:val="2"/>
          <w:sz w:val="21"/>
          <w:szCs w:val="21"/>
          <w:highlight w:val="none"/>
          <w:lang w:val="en-US" w:eastAsia="zh-CN" w:bidi="ar-SA"/>
        </w:rPr>
        <w:t>医院有权对服务单位进行相应考核，视情节严重程度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考核扣罚金额为3000~30000元/次</w:t>
      </w:r>
      <w:r>
        <w:rPr>
          <w:rFonts w:hint="eastAsia" w:ascii="宋体" w:hAnsi="宋体" w:eastAsia="宋体" w:cs="宋体"/>
          <w:color w:val="auto"/>
          <w:kern w:val="2"/>
          <w:sz w:val="21"/>
          <w:szCs w:val="21"/>
          <w:highlight w:val="none"/>
          <w:lang w:val="en-US" w:eastAsia="zh-CN" w:bidi="ar-SA"/>
        </w:rPr>
        <w:t>，直至解除合同并扣除违约金。</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服务单位若违反医院消防安全、医疗安全、生产安全、医疗废物管理、污水环境治理、院感和疫情防控等相关规定，影响医院正常运作和声誉的，造成不良影响和严重后果的；发生影响医院声誉形象的投诉或网络舆情；出现严重违纪违规行为包括但不限于员工私自携带或盗窃医院财物出医院，蓄意损坏医院公物、财物等，对医院造成不良影响和严重后果的，视情节轻重，第一次扣罚1万元至3万元；第二次扣罚当月服务费总额的5%-10%；严重事件要承担由此导致一切后果并移交公安机关处置，且医院有权终止合同。</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3）服务单位及其员工，如侵犯患者私隐权或违反相关法律规定，一经查实，视情节严重，每次扣罚2千元至3万元，并承担相应的法律责任。</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4）发生集体罢工（按国家相关法律法规）时的处理：每罢工一次，医院扣除服务单位当月服务费人民币陆拾万元整（600000元）。</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tabs>
          <w:tab w:val="left" w:pos="0"/>
          <w:tab w:val="left" w:pos="360"/>
        </w:tabs>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8.19 光伏年发电量考核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能源托管期内，如如光伏年发电量少于要求电量，医院有权对服务单位进行考核，视情节严重程度</w:t>
      </w:r>
      <w:r>
        <w:rPr>
          <w:rFonts w:hint="eastAsia" w:ascii="宋体" w:hAnsi="宋体" w:eastAsia="宋体" w:cs="宋体"/>
          <w:b w:val="0"/>
          <w:bCs w:val="0"/>
          <w:color w:val="auto"/>
          <w:kern w:val="2"/>
          <w:sz w:val="21"/>
          <w:szCs w:val="21"/>
          <w:highlight w:val="none"/>
          <w:u w:val="none"/>
          <w:lang w:val="en-US" w:eastAsia="zh-CN" w:bidi="ar-SA"/>
        </w:rPr>
        <w:t>考核扣罚金额为1万~3万元/年，并从年度结算费用中扣除差额电量*当年供电局年平均电价的相关费用</w:t>
      </w:r>
      <w:r>
        <w:rPr>
          <w:rFonts w:hint="eastAsia" w:ascii="宋体" w:hAnsi="宋体" w:eastAsia="宋体" w:cs="宋体"/>
          <w:b w:val="0"/>
          <w:bCs w:val="0"/>
          <w:color w:val="auto"/>
          <w:kern w:val="2"/>
          <w:sz w:val="21"/>
          <w:szCs w:val="21"/>
          <w:highlight w:val="none"/>
          <w:lang w:val="en-US" w:eastAsia="zh-CN" w:bidi="ar-SA"/>
        </w:rPr>
        <w:t>。相关金额，从年度调整费用中调整扣除。第一年度按光伏建成后月份数量占全年比例进行计算考核。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8.20 考核豁免期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考虑本项目体量较大，项目类型多样的客观实际，本项目设置3个月的考核豁免期（改造内容相关的豁免期，按照对应规定工期执行），即豁免期内情节不严重的一般考核事项，原则上可不予考核；情节严重的考核事项不可豁免，具体事项以医院决定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8.21 项目实施整体性考核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托管项目所有要求服务内容必须整体实施，如无不可抗力等客观原因，且未经医院书面同意，服务单位未进行及完成项目要求的服务内容，则构成严重违约，医院可视未完成服务内容体量及对医院影响等情况，对服务单位已实施服务内容费用进行1%至20%的扣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 8.22考核金额结算不受限制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相关考核金额结算，不受“托管费用调整触发条件” 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hAnsi="宋体" w:cs="宋体"/>
          <w:b/>
          <w:bCs/>
          <w:color w:val="auto"/>
          <w:kern w:val="2"/>
          <w:sz w:val="21"/>
          <w:szCs w:val="21"/>
          <w:highlight w:val="none"/>
          <w:lang w:val="en-US" w:eastAsia="zh-CN" w:bidi="ar-SA"/>
        </w:rPr>
      </w:pPr>
      <w:r>
        <w:rPr>
          <w:rFonts w:hint="eastAsia" w:hAnsi="宋体" w:cs="宋体"/>
          <w:b/>
          <w:bCs/>
          <w:color w:val="auto"/>
          <w:kern w:val="2"/>
          <w:sz w:val="21"/>
          <w:szCs w:val="21"/>
          <w:highlight w:val="none"/>
          <w:lang w:val="en-US" w:eastAsia="zh-CN" w:bidi="ar-SA"/>
        </w:rPr>
        <w:t>8.23 考核扣罚致合同解除的情况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40" w:firstLineChars="200"/>
        <w:jc w:val="both"/>
        <w:textAlignment w:val="auto"/>
        <w:rPr>
          <w:rFonts w:hint="default" w:hAnsi="宋体" w:cs="宋体"/>
          <w:b w:val="0"/>
          <w:bCs w:val="0"/>
          <w:color w:val="auto"/>
          <w:kern w:val="2"/>
          <w:sz w:val="21"/>
          <w:szCs w:val="21"/>
          <w:highlight w:val="none"/>
          <w:lang w:val="en-US" w:eastAsia="zh-CN" w:bidi="ar-SA"/>
        </w:rPr>
      </w:pPr>
      <w:r>
        <w:rPr>
          <w:rFonts w:hint="eastAsia" w:eastAsia="宋体"/>
          <w:highlight w:val="none"/>
          <w:lang w:eastAsia="zh-CN"/>
        </w:rPr>
        <w:t>协议期内，同</w:t>
      </w:r>
      <w:r>
        <w:rPr>
          <w:rFonts w:hint="eastAsia" w:ascii="宋体" w:eastAsia="宋体"/>
          <w:highlight w:val="none"/>
          <w:lang w:val="en-US" w:eastAsia="zh-CN"/>
        </w:rPr>
        <w:t>1年度内托管服务单位</w:t>
      </w:r>
      <w:r>
        <w:rPr>
          <w:rFonts w:hint="eastAsia" w:eastAsia="宋体"/>
          <w:highlight w:val="none"/>
          <w:lang w:eastAsia="zh-CN"/>
        </w:rPr>
        <w:t>累计被考核扣罚达到</w:t>
      </w:r>
      <w:r>
        <w:rPr>
          <w:rFonts w:hint="eastAsia" w:ascii="宋体" w:eastAsia="宋体"/>
          <w:highlight w:val="none"/>
          <w:lang w:val="en-US" w:eastAsia="zh-CN"/>
        </w:rPr>
        <w:t>6项（以上8.1至8.21所属各类情况各为1项，共21项；如同一项1年度内被多次考核扣罚，则算多项考核扣罚）的，医院有权单方解除合同，服务单位支付年度</w:t>
      </w:r>
      <w:r>
        <w:rPr>
          <w:rFonts w:hint="eastAsia" w:ascii="宋体" w:hAnsi="宋体" w:eastAsia="宋体" w:cs="宋体"/>
          <w:b w:val="0"/>
          <w:bCs/>
          <w:color w:val="auto"/>
          <w:kern w:val="2"/>
          <w:sz w:val="21"/>
          <w:szCs w:val="21"/>
          <w:highlight w:val="none"/>
          <w:lang w:eastAsia="zh-CN"/>
        </w:rPr>
        <w:t>托管基准费用</w:t>
      </w:r>
      <w:r>
        <w:rPr>
          <w:rFonts w:hint="eastAsia" w:hAnsi="宋体" w:cs="宋体"/>
          <w:b w:val="0"/>
          <w:bCs/>
          <w:color w:val="auto"/>
          <w:kern w:val="2"/>
          <w:sz w:val="21"/>
          <w:szCs w:val="21"/>
          <w:highlight w:val="none"/>
          <w:lang w:eastAsia="zh-CN"/>
        </w:rPr>
        <w:t>的</w:t>
      </w:r>
      <w:r>
        <w:rPr>
          <w:rFonts w:hint="eastAsia" w:hAnsi="宋体" w:cs="宋体"/>
          <w:b w:val="0"/>
          <w:bCs/>
          <w:color w:val="auto"/>
          <w:kern w:val="2"/>
          <w:sz w:val="21"/>
          <w:szCs w:val="21"/>
          <w:highlight w:val="none"/>
          <w:lang w:val="en-US" w:eastAsia="zh-CN"/>
        </w:rPr>
        <w:t>10</w:t>
      </w:r>
      <w:r>
        <w:rPr>
          <w:rFonts w:hint="eastAsia" w:ascii="宋体" w:eastAsia="宋体"/>
          <w:highlight w:val="none"/>
          <w:lang w:val="en-US" w:eastAsia="zh-CN"/>
        </w:rPr>
        <w:t>%作为违约金</w:t>
      </w:r>
      <w:r>
        <w:rPr>
          <w:rFonts w:hint="eastAsia" w:eastAsia="宋体"/>
          <w:highlight w:val="none"/>
          <w:lang w:eastAsia="zh-CN"/>
        </w:rPr>
        <w:t>”</w:t>
      </w:r>
      <w:r>
        <w:rPr>
          <w:rFonts w:hint="eastAsia" w:ascii="宋体" w:eastAsia="宋体"/>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托管服务激励机制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9.1 改造项目激励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招标要求改造项目范围以外，服务单位自主投资的，并有利于本项目管理提升、节能降碳相关工作开展和相关示范项目创建的改造项目，开展3项及以上的，服务单位可实施后向医院申请确认项目性质、内容及数量后，由医院实行对服务单位激励机制，激励金额为1万~3万元/3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9.2 智慧能源服务平台激励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招标要求智慧能源服务平台建设以外，服务单位自主投资进行分系统建设，并有利于本项目管理提升、节能降碳相关工作开展和相关示范项目创建的，服务单位可实施后向医院申请确认后，由医院实行对服务单位激励机制，激励金额为每个分系统1万~3万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9.3 托管运维激励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以托管1年度为单位周期，1年度内，服务单位运维项目（含既有运维项目和改造新增运维项目）未被医院执行任一考核，服务单位可向医院申请激励，经医院确认后，激励金额由医院视情况为1万~3万元/年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9.4 制度建设及落实激励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能源托管期内，以托管1年度为单位周期，1年度内，制度建设及落实相关工作未被医院执行任一考核，服务单位可向医院申请激励，经医院确认后，激励金额由医院视情况为1万~3万元/年度。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9.5 示范创建激励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w:t>
      </w:r>
      <w:r>
        <w:rPr>
          <w:rFonts w:hint="eastAsia" w:ascii="宋体" w:hAnsi="宋体" w:eastAsia="宋体" w:cs="宋体"/>
          <w:b w:val="0"/>
          <w:bCs w:val="0"/>
          <w:color w:val="auto"/>
          <w:kern w:val="2"/>
          <w:sz w:val="21"/>
          <w:szCs w:val="21"/>
          <w:highlight w:val="none"/>
          <w:u w:val="none"/>
          <w:lang w:val="en-US" w:eastAsia="zh-CN" w:bidi="ar-SA"/>
        </w:rPr>
        <w:t>服务单位按时限及要求完成相关示范创建工作3项及以上的，</w:t>
      </w:r>
      <w:r>
        <w:rPr>
          <w:rFonts w:hint="eastAsia" w:ascii="宋体" w:hAnsi="宋体" w:eastAsia="宋体" w:cs="宋体"/>
          <w:b w:val="0"/>
          <w:bCs w:val="0"/>
          <w:color w:val="auto"/>
          <w:kern w:val="2"/>
          <w:sz w:val="21"/>
          <w:szCs w:val="21"/>
          <w:highlight w:val="none"/>
          <w:lang w:val="en-US" w:eastAsia="zh-CN" w:bidi="ar-SA"/>
        </w:rPr>
        <w:t>服务单位可向医院申请激励，经医院确认后，激励金额由医院视情况为1万~3万元/3项。</w:t>
      </w:r>
      <w:r>
        <w:rPr>
          <w:rFonts w:hint="eastAsia" w:ascii="宋体" w:hAnsi="宋体" w:eastAsia="宋体" w:cs="宋体"/>
          <w:b w:val="0"/>
          <w:bCs w:val="0"/>
          <w:kern w:val="0"/>
          <w:sz w:val="21"/>
          <w:szCs w:val="21"/>
          <w:highlight w:val="none"/>
          <w:u w:val="none"/>
          <w:lang w:val="en-US" w:eastAsia="zh-CN" w:bidi="ar-SA"/>
        </w:rPr>
        <w:t>示范创建工作项数量可逐年累计。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9.6 项目衍生资产激励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能源托管期内，服务单位按时限及要求获得无形资产或政策补贴、奖励等有形资产事项，事项合计3项及以上的</w:t>
      </w:r>
      <w:r>
        <w:rPr>
          <w:rFonts w:hint="eastAsia" w:ascii="宋体" w:hAnsi="宋体" w:eastAsia="宋体" w:cs="宋体"/>
          <w:b w:val="0"/>
          <w:bCs w:val="0"/>
          <w:kern w:val="0"/>
          <w:sz w:val="21"/>
          <w:szCs w:val="21"/>
          <w:highlight w:val="none"/>
          <w:u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服务单位可向医院申请激励，经医院确认后，激励金额由医院视情况为1万~3万元/3项。</w:t>
      </w:r>
      <w:r>
        <w:rPr>
          <w:rFonts w:hint="eastAsia" w:ascii="宋体" w:hAnsi="宋体" w:eastAsia="宋体" w:cs="宋体"/>
          <w:b w:val="0"/>
          <w:bCs w:val="0"/>
          <w:kern w:val="0"/>
          <w:sz w:val="21"/>
          <w:szCs w:val="21"/>
          <w:highlight w:val="none"/>
          <w:u w:val="none"/>
          <w:lang w:val="en-US" w:eastAsia="zh-CN" w:bidi="ar-SA"/>
        </w:rPr>
        <w:t>事项数量可逐年累计。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9.7 托管服务质量及评价激励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能源托管期内，以托管1年度为单位周期，1年度内，</w:t>
      </w:r>
      <w:r>
        <w:rPr>
          <w:rFonts w:hint="eastAsia" w:ascii="宋体" w:hAnsi="宋体" w:eastAsia="宋体" w:cs="宋体"/>
          <w:b/>
          <w:bCs/>
          <w:color w:val="auto"/>
          <w:kern w:val="2"/>
          <w:sz w:val="21"/>
          <w:szCs w:val="21"/>
          <w:highlight w:val="none"/>
          <w:lang w:val="en-US" w:eastAsia="zh-CN" w:bidi="ar-SA"/>
        </w:rPr>
        <w:t>托管服务质量及评价</w:t>
      </w:r>
      <w:r>
        <w:rPr>
          <w:rFonts w:hint="eastAsia" w:ascii="宋体" w:hAnsi="宋体" w:eastAsia="宋体" w:cs="宋体"/>
          <w:b w:val="0"/>
          <w:bCs w:val="0"/>
          <w:color w:val="auto"/>
          <w:kern w:val="2"/>
          <w:sz w:val="21"/>
          <w:szCs w:val="21"/>
          <w:highlight w:val="none"/>
          <w:lang w:val="en-US" w:eastAsia="zh-CN" w:bidi="ar-SA"/>
        </w:rPr>
        <w:t>相关工作未被医院执行任一考核，服务单位可向医院申请激励，经医院确认后，激励金额由医院视情况为1万~3万元/年度。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9.8 激励申请确认及支付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以上激励申请，须由服务单位提出，并提供详细的佐证资料，经院方确认后，医院对服务单位支付费用，相关费用从年度费用中进行调整结算支出。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9.9 激励金额结算不受限制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相关激励金额结算，不受“托管费用调整触发条件” 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10、项目资产管理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10.1 资产所有权归属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1）本托管项目既有运维系统资产，所有权归属医院。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本托管项目招标要求改造项目新增资产，托管期内所有权归属服务单位；托管期结束且医院支付完托管服务费用后，所有权归属医院；医院及服务单位双方做好相应产权移交工作。光伏发电改造新增资产除外，其所有权始终归属服务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3）本托管项目衍生无形资产，所有权以需求书相关规定为准。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4）本托管项目调整改造项目新增资产，所有权按照出资比例、需求书相关规定或双方约定为准。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10.2 资产移交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1）本托管项目资产移交，主要进行资产管理权移交、资产所有权移交和项目资料移交。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2）本项目涉及既有运维系统资产，仅进行管理权移交，不进行所有权移交；自本项目合同生效日，签署资产管理权移交书，正式移交服务单位；能托管期结束后，签署资产管理权移交书，正式移交医院。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本项目改造新增资产的所有权，待改造项目验收完成进行资产盘点后，正式签署资产确认书由服务单位所有；能托管期结束且医院支付完托管服务费用后后，签署资产所有权移交书，正式移交医院。光伏发电改造新增资产除外，其所有权始终归属服务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4）托管服务期结束后，如有部分资产所有权归属服务单位的，根据双方意愿另行商定该部分资产所有权移交事宜。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10.3 项目资料移交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项目资料移交，随项目资产管理权移交签署移交书时，一并签署资料移交。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10.4 项目改造拆除资产处置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本项目改造拆除的医院原有资产，按照需求书相关条款进行处置。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11、固定资产盘点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为保障项目托管期内医院资产归属，以及固定资产盘点相关要求，本项目由服务单位每1年度进行1次项目托管资产盘点，并出具《年度托管资产盘点表》及相关情况说明，医院进行统筹和监督相关工作。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12、项目资产运行状态移交标准</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项目合同生效后，项目资产运行状态移交，采取现状向服务单位移交的形式（有重大争议事项的除外，由服务单位出具相关移交说明后，双方另行约定对应移交情况）。</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项目托管服务期满后，服务单位向医院移交项目资产运行状态，需满足以下条件：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所有既有运维系统和改造新增运维系统设备设施，在移交时正常运行无故障，否则双方需签署故障移交清单；由服务单位限期对故障清单问题进行维修处理，或服务单位支付相应维修费用，从最后1年度调整费用中调整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所有既有运维系统和改造新增运维系统设备设施，移交后设置3个月移交保护期；如保护期内所有相关设备设施维修费用总和≤项目托管期内3个月维修费用总和（通过年度维修费用综合/4计算得出），则达到移交标准；如保护期内所有相关设备设施维修费用总和＞项目托管期内3个月维修费用总和，则未达到移交标准，维修费用差额由托管服务单位支出，从最后1年度调整费用中调整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w:t>
      </w:r>
      <w:r>
        <w:rPr>
          <w:rFonts w:hint="eastAsia" w:ascii="宋体" w:hAnsi="宋体" w:eastAsia="宋体" w:cs="宋体"/>
          <w:b w:val="0"/>
          <w:bCs w:val="0"/>
          <w:kern w:val="0"/>
          <w:sz w:val="21"/>
          <w:szCs w:val="21"/>
          <w:highlight w:val="none"/>
          <w:u w:val="none"/>
          <w:lang w:val="en-US" w:eastAsia="zh-CN" w:bidi="ar-SA"/>
        </w:rPr>
        <w:t>“单位建筑面积能耗” ≤ [A+A*(1-</w:t>
      </w:r>
      <w:r>
        <w:rPr>
          <w:rFonts w:hint="eastAsia" w:ascii="宋体" w:hAnsi="宋体" w:eastAsia="宋体" w:cs="宋体"/>
          <w:color w:val="auto"/>
          <w:kern w:val="2"/>
          <w:sz w:val="21"/>
          <w:szCs w:val="21"/>
          <w:highlight w:val="none"/>
          <w:u w:val="none"/>
          <w:lang w:val="en-US" w:eastAsia="zh-CN" w:bidi="ar-SA"/>
        </w:rPr>
        <w:t>甲方享受节能率</w:t>
      </w:r>
      <w:r>
        <w:rPr>
          <w:rFonts w:hint="eastAsia" w:ascii="宋体" w:hAnsi="宋体" w:eastAsia="宋体" w:cs="宋体"/>
          <w:b w:val="0"/>
          <w:bCs w:val="0"/>
          <w:kern w:val="0"/>
          <w:sz w:val="21"/>
          <w:szCs w:val="21"/>
          <w:highlight w:val="none"/>
          <w:u w:val="none"/>
          <w:lang w:val="en-US" w:eastAsia="zh-CN" w:bidi="ar-SA"/>
        </w:rPr>
        <w:t>)]/2  ；如不满足，3个月保护期内的费用差额（以2023年基准面积计算），由</w:t>
      </w:r>
      <w:r>
        <w:rPr>
          <w:rFonts w:hint="eastAsia" w:ascii="宋体" w:hAnsi="宋体" w:eastAsia="宋体" w:cs="宋体"/>
          <w:b w:val="0"/>
          <w:bCs w:val="0"/>
          <w:color w:val="auto"/>
          <w:kern w:val="2"/>
          <w:sz w:val="21"/>
          <w:szCs w:val="21"/>
          <w:highlight w:val="none"/>
          <w:lang w:val="en-US" w:eastAsia="zh-CN" w:bidi="ar-SA"/>
        </w:rPr>
        <w:t>托管服务单位支出，从最后1年度调整费用中调整支付。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  </w:t>
      </w:r>
      <w:r>
        <w:rPr>
          <w:rFonts w:hint="eastAsia" w:ascii="宋体" w:hAnsi="宋体" w:eastAsia="宋体" w:cs="宋体"/>
          <w:b w:val="0"/>
          <w:bCs w:val="0"/>
          <w:kern w:val="0"/>
          <w:sz w:val="21"/>
          <w:szCs w:val="21"/>
          <w:highlight w:val="none"/>
          <w:u w:val="none"/>
          <w:lang w:val="en-US" w:eastAsia="zh-CN" w:bidi="ar-SA"/>
        </w:rPr>
        <w:t>注：“单位建筑面积能耗”2023年指标基准为A。</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w:t>
      </w:r>
      <w:r>
        <w:rPr>
          <w:rFonts w:hint="default" w:ascii="宋体" w:hAnsi="宋体" w:eastAsia="宋体" w:cs="宋体"/>
          <w:b/>
          <w:bCs/>
          <w:color w:val="auto"/>
          <w:kern w:val="2"/>
          <w:sz w:val="21"/>
          <w:szCs w:val="21"/>
          <w:highlight w:val="none"/>
          <w:lang w:val="en-US" w:eastAsia="zh-CN" w:bidi="ar-SA"/>
        </w:rPr>
        <w:t>履约担保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13.1 </w:t>
      </w:r>
      <w:r>
        <w:rPr>
          <w:rFonts w:hint="eastAsia" w:ascii="宋体" w:hAnsi="宋体" w:eastAsia="宋体" w:cs="宋体"/>
          <w:b w:val="0"/>
          <w:bCs w:val="0"/>
          <w:color w:val="auto"/>
          <w:kern w:val="2"/>
          <w:sz w:val="21"/>
          <w:szCs w:val="21"/>
          <w:highlight w:val="none"/>
          <w:lang w:val="en-US" w:eastAsia="zh-CN" w:bidi="ar-SA"/>
        </w:rPr>
        <w:t>履约担保形式：见索即付银行履约保函，服务单位必须在广东省属地银行开具履约保函；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13.2 </w:t>
      </w:r>
      <w:r>
        <w:rPr>
          <w:rFonts w:hint="eastAsia" w:ascii="宋体" w:hAnsi="宋体" w:eastAsia="宋体" w:cs="宋体"/>
          <w:b w:val="0"/>
          <w:bCs w:val="0"/>
          <w:color w:val="auto"/>
          <w:kern w:val="2"/>
          <w:sz w:val="21"/>
          <w:szCs w:val="21"/>
          <w:highlight w:val="none"/>
          <w:lang w:val="en-US" w:eastAsia="zh-CN" w:bidi="ar-SA"/>
        </w:rPr>
        <w:t>本合同采取分阶段履约担保的形式，共分两个阶段，不同阶段履约担保金额不同。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13.3</w:t>
      </w:r>
      <w:r>
        <w:rPr>
          <w:rFonts w:hint="eastAsia" w:ascii="宋体" w:hAnsi="宋体" w:eastAsia="宋体" w:cs="宋体"/>
          <w:b w:val="0"/>
          <w:bCs w:val="0"/>
          <w:color w:val="auto"/>
          <w:kern w:val="2"/>
          <w:sz w:val="21"/>
          <w:szCs w:val="21"/>
          <w:highlight w:val="none"/>
          <w:lang w:val="en-US" w:eastAsia="zh-CN" w:bidi="ar-SA"/>
        </w:rPr>
        <w:t xml:space="preserve"> 第一阶段（托管期首年度）履约担保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1）提交时间：中标通知书出具后60天内。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2）履约担保有效期：1年 ；一次性提交。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3）金额：托管项目改造估算基准金额（1996万元）的10%，即199.6万元。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13.4</w:t>
      </w:r>
      <w:r>
        <w:rPr>
          <w:rFonts w:hint="eastAsia" w:ascii="宋体" w:hAnsi="宋体" w:eastAsia="宋体" w:cs="宋体"/>
          <w:b w:val="0"/>
          <w:bCs w:val="0"/>
          <w:color w:val="auto"/>
          <w:kern w:val="2"/>
          <w:sz w:val="21"/>
          <w:szCs w:val="21"/>
          <w:highlight w:val="none"/>
          <w:lang w:val="en-US" w:eastAsia="zh-CN" w:bidi="ar-SA"/>
        </w:rPr>
        <w:t>第二阶段（托管期第2~10年度）履约担保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1）提交时间：托管期第2年度开始前30天内。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2）履约担保有效期：9年 ；可采取分多次提交，保证托管期内履约担保不间断即可。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3）金额：托管运维项目年基准金额（299.58万元）的10%，即30万元。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13.5  履约担保间断违约责任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需保证托管期内履约担保不间断，服务单位应在原提交的履约保函有效期满前30天内，无条件办理履约保函延期手续或提交新的履约担保；逾期不办理延期手续或提交新的履约担保，视为严重违约，医院有权单方解除合同，并向银行申请执行履约保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13.6履约担保保证范围：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服务单位以履约保函无条件并不可撤销地担保，将按招文、合同、需求书及其附件的约定，积极履行相关的全部义务。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13.7 履约担保执行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能源托管期内，如服务单位出现相关违约需进行考核的，相关金额，优先从年度调整费用中调整扣除；如无法实现扣除的，执行履约担保扣除相关金额。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14、★</w:t>
      </w:r>
      <w:r>
        <w:rPr>
          <w:rFonts w:hint="default" w:ascii="宋体" w:hAnsi="宋体" w:eastAsia="宋体" w:cs="宋体"/>
          <w:b/>
          <w:bCs/>
          <w:color w:val="auto"/>
          <w:kern w:val="2"/>
          <w:sz w:val="21"/>
          <w:szCs w:val="21"/>
          <w:highlight w:val="none"/>
          <w:lang w:val="en-US" w:eastAsia="zh-CN" w:bidi="ar-SA"/>
        </w:rPr>
        <w:t>项目联合体及分包、转包限制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14.1  项目联合体限制</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ind w:left="590" w:right="147" w:rightChars="0" w:firstLine="416" w:firstLineChars="200"/>
        <w:jc w:val="both"/>
        <w:textAlignment w:val="auto"/>
        <w:rPr>
          <w:rFonts w:hint="eastAsia" w:ascii="宋体" w:hAnsi="宋体" w:eastAsia="宋体" w:cs="宋体"/>
          <w:color w:val="000000"/>
          <w:spacing w:val="-1"/>
          <w:sz w:val="21"/>
          <w:szCs w:val="21"/>
          <w:highlight w:val="none"/>
          <w:lang w:val="en-US" w:eastAsia="zh-CN" w:bidi="ar-SA"/>
        </w:rPr>
      </w:pPr>
      <w:r>
        <w:rPr>
          <w:rFonts w:hint="eastAsia" w:ascii="宋体" w:hAnsi="宋体" w:eastAsia="宋体" w:cs="Times New Roman"/>
          <w:spacing w:val="-1"/>
          <w:sz w:val="21"/>
          <w:szCs w:val="21"/>
          <w:highlight w:val="none"/>
          <w:lang w:val="en-US" w:eastAsia="zh-CN" w:bidi="ar-SA"/>
        </w:rPr>
        <w:t>本项目属于超过200万元的服务项目，按照2022年9月，国管局 国家发展改革委 财政部关于印发《关于鼓励和支持公共机构采用能源费用托管服务的意见》的通知，“公共机构要在采购文件中，充分考虑项目可行性、经济性和先进性”，项目需求对供应商有较强的技术能力、知识产权、示范创建能力、制度建设能力、管理能力等方面的要求，且项目模式涉及的能源费用约1130万元/年需供应商按时先向供能单位缴纳后，采购人再每月定期向供应商支付，项目模式涉及的改造资金预计1996万元，需供应商投资后，采购人在10年托管期内分期支付；故如项目整体专门面向中小企业采购，存在《政府采购促进中小企业发展管理办法》中“无法确保充分供应，或者存在可能影响政府采购目标实现的情形”，因此本项目不适宜整体专门</w:t>
      </w:r>
      <w:r>
        <w:rPr>
          <w:rFonts w:hint="eastAsia" w:ascii="宋体" w:hAnsi="宋体" w:eastAsia="宋体" w:cs="宋体"/>
          <w:color w:val="000000"/>
          <w:spacing w:val="-1"/>
          <w:sz w:val="21"/>
          <w:szCs w:val="21"/>
          <w:highlight w:val="none"/>
          <w:lang w:val="en-US" w:eastAsia="zh-CN" w:bidi="ar-SA"/>
        </w:rPr>
        <w:t>面向中小企业采购。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16"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spacing w:val="-1"/>
          <w:sz w:val="21"/>
          <w:szCs w:val="21"/>
          <w:highlight w:val="none"/>
          <w:lang w:val="en-US" w:eastAsia="zh-CN"/>
        </w:rPr>
        <w:t>为响应及满足《政府采购促进中小企业发展管理办法》相关政策要求，本项目要求供应商以中小企业与大型企业组成联合体的形式参与投标的，并将项目中适宜由中小企业提供服务的（柴油发电机组维保服务、日常维修材料供应和洁净空调过滤器供应，预算金额合计约272.6万元），预留该部分预算总金额的40%以上（即不低于109.04万元），专门面向中小企业采购。中小企业与大型企业组成联合体参与投标，联合协议需明确该部分中小企业合同金额的比例40%以上（如属于小微企业，比例需不低于70%，即不低于190.82万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综上，因客观存在多种类型服务内容，同时为促进中小企业发展，避免对中小企业限制，综合考量适宜由中小企业服务的内容，</w:t>
      </w:r>
      <w:r>
        <w:rPr>
          <w:rFonts w:hint="eastAsia" w:ascii="宋体" w:hAnsi="宋体" w:eastAsia="宋体" w:cs="Times New Roman"/>
          <w:spacing w:val="-1"/>
          <w:sz w:val="21"/>
          <w:szCs w:val="21"/>
          <w:highlight w:val="none"/>
          <w:lang w:val="en-US" w:eastAsia="zh-CN" w:bidi="ar-SA"/>
        </w:rPr>
        <w:t>本项目要求供应商以大型企业与至少1家中小企业组成联合体的形式参与投标</w:t>
      </w:r>
      <w:r>
        <w:rPr>
          <w:rFonts w:hint="eastAsia" w:ascii="宋体" w:hAnsi="宋体" w:eastAsia="宋体" w:cs="宋体"/>
          <w:b w:val="0"/>
          <w:bCs w:val="0"/>
          <w:color w:val="auto"/>
          <w:kern w:val="2"/>
          <w:sz w:val="21"/>
          <w:szCs w:val="21"/>
          <w:highlight w:val="none"/>
          <w:lang w:val="en-US" w:eastAsia="zh-CN" w:bidi="ar-SA"/>
        </w:rPr>
        <w:t>；但联合体成员单位数量应≤3家，且</w:t>
      </w:r>
      <w:r>
        <w:rPr>
          <w:rFonts w:hint="eastAsia" w:ascii="宋体" w:hAnsi="宋体" w:eastAsia="宋体" w:cs="宋体"/>
          <w:b w:val="0"/>
          <w:bCs w:val="0"/>
          <w:color w:val="auto"/>
          <w:kern w:val="2"/>
          <w:sz w:val="21"/>
          <w:szCs w:val="21"/>
          <w:highlight w:val="none"/>
          <w:u w:val="single"/>
          <w:lang w:val="en-US" w:eastAsia="zh-CN" w:bidi="ar-SA"/>
        </w:rPr>
        <w:t>除联合体内的中小企业外，每家服务单位至少需负责改造项目、智慧能源服务平台系统建设、既有项目运维三个部分中至少一个部分的全部服务内容（中小企业负责的项目内容除外）</w:t>
      </w: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u w:val="single"/>
          <w:lang w:val="en-US" w:eastAsia="zh-CN" w:bidi="ar-SA"/>
        </w:rPr>
        <w:t>本项目所有服务内容所需的资质，供应商联合体中任意一方满足即可</w:t>
      </w:r>
      <w:r>
        <w:rPr>
          <w:rFonts w:hint="eastAsia" w:ascii="宋体" w:hAnsi="宋体" w:eastAsia="宋体" w:cs="宋体"/>
          <w:b w:val="0"/>
          <w:bCs w:val="0"/>
          <w:color w:val="auto"/>
          <w:kern w:val="2"/>
          <w:sz w:val="21"/>
          <w:szCs w:val="21"/>
          <w:highlight w:val="none"/>
          <w:lang w:val="en-US" w:eastAsia="zh-CN" w:bidi="ar-SA"/>
        </w:rPr>
        <w:t>。需按本项目采购文件“格式十四：联合体共同投标协议书”内容填报。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联合体投标必须明确1家成员单位作为牵头单位，统筹本托管服务项目所有相关事宜。医院仅同牵头单位，开展本托管服务项目的一切工作事宜，包括但不限于日常工作对接、账务结算、资金往来等。</w:t>
      </w:r>
      <w:r>
        <w:rPr>
          <w:rFonts w:hint="eastAsia" w:ascii="宋体" w:hAnsi="宋体" w:eastAsia="宋体" w:cs="宋体"/>
          <w:b w:val="0"/>
          <w:bCs w:val="0"/>
          <w:color w:val="auto"/>
          <w:kern w:val="2"/>
          <w:sz w:val="21"/>
          <w:szCs w:val="21"/>
          <w:highlight w:val="none"/>
          <w:u w:val="single"/>
          <w:lang w:val="en-US" w:eastAsia="zh-CN" w:bidi="ar-SA"/>
        </w:rPr>
        <w:t>供应商</w:t>
      </w:r>
      <w:r>
        <w:rPr>
          <w:rFonts w:hint="eastAsia" w:ascii="宋体" w:hAnsi="宋体" w:eastAsia="宋体" w:cs="Times New Roman"/>
          <w:spacing w:val="-1"/>
          <w:sz w:val="21"/>
          <w:szCs w:val="21"/>
          <w:highlight w:val="none"/>
          <w:u w:val="single"/>
          <w:lang w:val="en-US" w:eastAsia="zh-CN" w:bidi="ar-SA"/>
        </w:rPr>
        <w:t>联合协议需明确牵头单位。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Times New Roman"/>
          <w:spacing w:val="-1"/>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如不满足相关要求，则联合体成员单位构成重大违约，医院有权单方面解除本托管项目合同，并对服务单位进行相应考核，直至追究由此引起医院的一切损失。</w:t>
      </w:r>
    </w:p>
    <w:p>
      <w:pPr>
        <w:keepNext w:val="0"/>
        <w:keepLines w:val="0"/>
        <w:pageBreakBefore w:val="0"/>
        <w:widowControl w:val="0"/>
        <w:wordWrap/>
        <w:topLinePunct w:val="0"/>
        <w:bidi w:val="0"/>
        <w:snapToGrid/>
        <w:spacing w:line="240" w:lineRule="auto"/>
        <w:ind w:left="0" w:leftChars="0" w:firstLine="416" w:firstLineChars="200"/>
        <w:jc w:val="both"/>
        <w:textAlignment w:val="auto"/>
        <w:rPr>
          <w:rFonts w:hint="default" w:ascii="宋体" w:hAnsi="宋体" w:eastAsia="宋体" w:cs="Times New Roman"/>
          <w:spacing w:val="-1"/>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14.2 项目分包、转包限制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本项目不允许任何形式的服务内容分包、转包，如存在相关情况，则服务单位构成重大违约，医院有权单方面解除本托管项目合同，并对服务单位进行相应考核，直至追究由此引起医院的一切损失。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left"/>
        <w:textAlignment w:val="auto"/>
        <w:outlineLvl w:val="2"/>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15、保密要求</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15.1服务单位必须严格遵守医院信息安全方面的要求。对于参与项目的人员均需要签订统一的信息保密协议。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outlineLvl w:val="3"/>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15.2服务单位应对以下信息进行保密，具体包括但不限于：</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项目信息：如业务流程、技术方案、业务数据（静态数据、动态数据、历史数据）、报表指标、技术指标、计算机软件、数据库、操作手册、技术资料等。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 保密信息既包括书面认定为保密或专有的，又包括口头给予，随即被书面确认为保密或专有的信息。</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保密信息存储介质包括但不限于纸质文档、电子文档、光盘、U盘、服务器等文档。</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15.3服务单位组建的项目成员在医院履行职责期间，必须遵守医院规定的任何成文或不成文的保密规章、制度，履行与其工作岗位相应的保密职责。不向不承担相应保密义务的任何第三人披露医院的商业秘密。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15.4 如违反相关保密要求，则服务单位构成重大违约，医院有权对服务单位进行相应考核，直至追究由此引起医院的一切损失，造成严重后果的，医院有权单方面解除本托管项目合同。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16、网络</w:t>
      </w:r>
      <w:r>
        <w:rPr>
          <w:rFonts w:hint="default" w:ascii="宋体" w:hAnsi="宋体" w:eastAsia="宋体" w:cs="宋体"/>
          <w:b/>
          <w:bCs/>
          <w:color w:val="auto"/>
          <w:kern w:val="2"/>
          <w:sz w:val="21"/>
          <w:szCs w:val="21"/>
          <w:highlight w:val="none"/>
          <w:lang w:val="en-US" w:eastAsia="zh-CN" w:bidi="ar-SA"/>
        </w:rPr>
        <w:t>信息安全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服务单位在项目托管期内，项目系统如与医院现有网络进行连接或存在相关接口的，需采取各种技术手段和管理手段，保障医院现有网络信息安全。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软件产品需采用自主可控，安全可靠的产品，保障医院网络信息安全和设备安全. 依据《信息安全技术  网络安全等级保护基本要求》GB/T 22239-2019政策要求，根据项目建设内容及使用范围，服务单位提供的产品需满足三级等保要求。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如违反相关网络信息安全要求，则服务单位构成重大违约，医院有权对服务单位进行相应考核，直至追究由此引起医院的一切损失，造成严重后果的，医院有权单方面解除本托管项目合同。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17、不可抗力</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17.1 不可抗力，是指超出了相关方合理控制范围的任何行为、事件或原因，包括但不</w:t>
      </w:r>
      <w:r>
        <w:rPr>
          <w:rFonts w:hint="default" w:ascii="宋体" w:hAnsi="宋体" w:eastAsia="宋体" w:cs="宋体"/>
          <w:b w:val="0"/>
          <w:bCs w:val="0"/>
          <w:color w:val="auto"/>
          <w:kern w:val="2"/>
          <w:sz w:val="21"/>
          <w:szCs w:val="21"/>
          <w:highlight w:val="none"/>
          <w:lang w:val="en-US" w:eastAsia="zh-CN" w:bidi="ar-SA"/>
        </w:rPr>
        <w:t xml:space="preserve">限于：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雷电、洪水、风暴、地震、滑坡、暴雨等自然灾害、海上危险、航行事故、战争、骚乱、暴动、全国紧急状态（无论是实际情况或法律规定的情况）、戒严令、火灾或劳工纠纷（无论是否涉及相关方的雇员）、辐射或放射性污染</w:t>
      </w:r>
      <w:r>
        <w:rPr>
          <w:rFonts w:hint="eastAsia" w:ascii="宋体" w:hAnsi="宋体" w:eastAsia="宋体" w:cs="宋体"/>
          <w:b w:val="0"/>
          <w:bCs w:val="0"/>
          <w:color w:val="auto"/>
          <w:kern w:val="2"/>
          <w:sz w:val="21"/>
          <w:szCs w:val="21"/>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u w:val="none"/>
          <w:lang w:val="en-US" w:eastAsia="zh-CN" w:bidi="ar-SA"/>
        </w:rPr>
        <w:t>流行病、隔离</w:t>
      </w:r>
      <w:r>
        <w:rPr>
          <w:rFonts w:hint="eastAsia" w:ascii="宋体" w:hAnsi="宋体" w:eastAsia="宋体" w:cs="宋体"/>
          <w:b w:val="0"/>
          <w:bCs w:val="0"/>
          <w:color w:val="auto"/>
          <w:kern w:val="2"/>
          <w:sz w:val="21"/>
          <w:szCs w:val="21"/>
          <w:highlight w:val="none"/>
          <w:u w:val="none"/>
          <w:lang w:val="en-US" w:eastAsia="zh-CN" w:bidi="ar-SA"/>
        </w:rPr>
        <w:t>（因医院场所特殊性，流行病和隔离，不属于不可抗力）</w:t>
      </w:r>
      <w:r>
        <w:rPr>
          <w:rFonts w:hint="eastAsia" w:ascii="宋体" w:hAnsi="宋体" w:eastAsia="宋体" w:cs="宋体"/>
          <w:b/>
          <w:bCs/>
          <w:color w:val="auto"/>
          <w:kern w:val="2"/>
          <w:sz w:val="21"/>
          <w:szCs w:val="21"/>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w:t>
      </w:r>
      <w:r>
        <w:rPr>
          <w:rFonts w:hint="default" w:ascii="宋体" w:hAnsi="宋体" w:eastAsia="宋体" w:cs="宋体"/>
          <w:b w:val="0"/>
          <w:bCs w:val="0"/>
          <w:color w:val="auto"/>
          <w:kern w:val="2"/>
          <w:sz w:val="21"/>
          <w:szCs w:val="21"/>
          <w:highlight w:val="none"/>
          <w:lang w:val="en-US" w:eastAsia="zh-CN" w:bidi="ar-SA"/>
        </w:rPr>
        <w:t xml:space="preserve">任何政府单位（包括任何有管辖权的法院或仲裁庭以及国际机构）的行动，包括但不限于法律、法规、规章或其他有法律强制约束力的法案所规定的没收、约束、禁止、干预、征用、要求、指示或禁运。 但不得包括一方资金短缺的事实。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17.2</w:t>
      </w:r>
      <w:r>
        <w:rPr>
          <w:rFonts w:hint="default" w:ascii="宋体" w:hAnsi="宋体" w:eastAsia="宋体" w:cs="宋体"/>
          <w:b w:val="0"/>
          <w:bCs w:val="0"/>
          <w:color w:val="auto"/>
          <w:kern w:val="2"/>
          <w:sz w:val="21"/>
          <w:szCs w:val="21"/>
          <w:highlight w:val="none"/>
          <w:lang w:val="en-US" w:eastAsia="zh-CN" w:bidi="ar-SA"/>
        </w:rPr>
        <w:t xml:space="preserve">如果一方（“受影响方”）由于不可抗力事件的发生，无法或预计无法履行本合同项下的义务，受影响方就必须在知晓不可抗力的有关事件的 5 日内向另一方（“非影响方”）提交书面通知，提供不可抗力事件的细节。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w:t>
      </w:r>
      <w:r>
        <w:rPr>
          <w:rFonts w:hint="default" w:ascii="宋体" w:hAnsi="宋体" w:eastAsia="宋体" w:cs="宋体"/>
          <w:b w:val="0"/>
          <w:bCs w:val="0"/>
          <w:color w:val="auto"/>
          <w:kern w:val="2"/>
          <w:sz w:val="21"/>
          <w:szCs w:val="21"/>
          <w:highlight w:val="none"/>
          <w:lang w:val="en-US" w:eastAsia="zh-CN" w:bidi="ar-SA"/>
        </w:rPr>
        <w:t xml:space="preserve">.3 受影响方必须采取一切合理的措施，以消除或减轻不可抗力事件有关的影响。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17.4</w:t>
      </w:r>
      <w:r>
        <w:rPr>
          <w:rFonts w:hint="default" w:ascii="宋体" w:hAnsi="宋体" w:eastAsia="宋体" w:cs="宋体"/>
          <w:b w:val="0"/>
          <w:bCs w:val="0"/>
          <w:color w:val="auto"/>
          <w:kern w:val="2"/>
          <w:sz w:val="21"/>
          <w:szCs w:val="21"/>
          <w:highlight w:val="none"/>
          <w:lang w:val="en-US" w:eastAsia="zh-CN" w:bidi="ar-SA"/>
        </w:rPr>
        <w:t xml:space="preserve">在不可抗力事件持续期间，受影响方的履行义务暂时中止，相应的义务履行期限相应顺延，并将不会对由此造成的损失或损坏承担责任。在不可抗力事件结束后，受影响方应该尽快恢复履行本合同项下的义务。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17.5</w:t>
      </w:r>
      <w:r>
        <w:rPr>
          <w:rFonts w:hint="default" w:ascii="宋体" w:hAnsi="宋体" w:eastAsia="宋体" w:cs="宋体"/>
          <w:b w:val="0"/>
          <w:bCs w:val="0"/>
          <w:color w:val="auto"/>
          <w:kern w:val="2"/>
          <w:sz w:val="21"/>
          <w:szCs w:val="21"/>
          <w:highlight w:val="none"/>
          <w:lang w:val="en-US" w:eastAsia="zh-CN" w:bidi="ar-SA"/>
        </w:rPr>
        <w:t xml:space="preserve">如果因为不可抗力事件的影响，受影响方不能履行本合同项下的任何义务，而且非影响方在收到不可抗力通知后，受影响方不能履行义务持续时间达 90个连续日，且在此期间，双方没有能够谈判达成一项彼此可以接受的替代方式来执行本合同项下的项目，任何一方可向另一方提供书面通知，解除本合同，而不需承担任何责任。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17.6</w:t>
      </w:r>
      <w:r>
        <w:rPr>
          <w:rFonts w:hint="default"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lang w:val="en-US" w:eastAsia="zh-CN" w:bidi="ar-SA"/>
        </w:rPr>
        <w:t>双方约定的不可抗力情况</w:t>
      </w:r>
      <w:r>
        <w:rPr>
          <w:rFonts w:hint="default" w:ascii="宋体" w:hAnsi="宋体" w:eastAsia="宋体" w:cs="宋体"/>
          <w:b w:val="0"/>
          <w:bCs w:val="0"/>
          <w:color w:val="auto"/>
          <w:kern w:val="2"/>
          <w:sz w:val="21"/>
          <w:szCs w:val="21"/>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17.7 如遇不可抗力，引起实际发生的不可预见的能耗异常，导致实际情况与初始能源基准费用相比变化率&gt;3%，可委托经甲乙双方认可的第三方重新核定能源基准费用，并签订补充协议。</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18、</w:t>
      </w:r>
      <w:r>
        <w:rPr>
          <w:rFonts w:hint="default" w:ascii="宋体" w:hAnsi="宋体" w:eastAsia="宋体" w:cs="宋体"/>
          <w:b/>
          <w:bCs/>
          <w:color w:val="auto"/>
          <w:kern w:val="2"/>
          <w:sz w:val="21"/>
          <w:szCs w:val="21"/>
          <w:highlight w:val="none"/>
          <w:lang w:val="en-US" w:eastAsia="zh-CN" w:bidi="ar-SA"/>
        </w:rPr>
        <w:t>争议解决办法及付款限制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18.1  争议解决办法</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因本</w:t>
      </w:r>
      <w:r>
        <w:rPr>
          <w:rFonts w:hint="eastAsia" w:ascii="宋体" w:hAnsi="宋体" w:eastAsia="宋体" w:cs="宋体"/>
          <w:b w:val="0"/>
          <w:bCs w:val="0"/>
          <w:color w:val="auto"/>
          <w:kern w:val="2"/>
          <w:sz w:val="21"/>
          <w:szCs w:val="21"/>
          <w:highlight w:val="none"/>
          <w:lang w:val="en-US" w:eastAsia="zh-CN" w:bidi="ar-SA"/>
        </w:rPr>
        <w:t>项目</w:t>
      </w:r>
      <w:r>
        <w:rPr>
          <w:rFonts w:hint="default" w:ascii="宋体" w:hAnsi="宋体" w:eastAsia="宋体" w:cs="宋体"/>
          <w:b w:val="0"/>
          <w:bCs w:val="0"/>
          <w:color w:val="auto"/>
          <w:kern w:val="2"/>
          <w:sz w:val="21"/>
          <w:szCs w:val="21"/>
          <w:highlight w:val="none"/>
          <w:lang w:val="en-US" w:eastAsia="zh-CN" w:bidi="ar-SA"/>
        </w:rPr>
        <w:t>合同的履行、解释、违约、终止、中止、效力等引起的任何争议、纠纷，各方应友好协商解决。协商不成的，向</w:t>
      </w:r>
      <w:r>
        <w:rPr>
          <w:rFonts w:hint="eastAsia" w:ascii="宋体" w:hAnsi="宋体" w:eastAsia="宋体" w:cs="宋体"/>
          <w:b w:val="0"/>
          <w:bCs w:val="0"/>
          <w:color w:val="auto"/>
          <w:kern w:val="2"/>
          <w:sz w:val="21"/>
          <w:szCs w:val="21"/>
          <w:highlight w:val="none"/>
          <w:lang w:val="en-US" w:eastAsia="zh-CN" w:bidi="ar-SA"/>
        </w:rPr>
        <w:t>医院所在地</w:t>
      </w:r>
      <w:r>
        <w:rPr>
          <w:rFonts w:hint="default" w:ascii="宋体" w:hAnsi="宋体" w:eastAsia="宋体" w:cs="宋体"/>
          <w:b w:val="0"/>
          <w:bCs w:val="0"/>
          <w:color w:val="auto"/>
          <w:kern w:val="2"/>
          <w:sz w:val="21"/>
          <w:szCs w:val="21"/>
          <w:highlight w:val="none"/>
          <w:lang w:val="en-US" w:eastAsia="zh-CN" w:bidi="ar-SA"/>
        </w:rPr>
        <w:t xml:space="preserve">人民法院提起诉讼。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18.2 </w:t>
      </w:r>
      <w:r>
        <w:rPr>
          <w:rFonts w:hint="default" w:ascii="宋体" w:hAnsi="宋体" w:eastAsia="宋体" w:cs="宋体"/>
          <w:b w:val="0"/>
          <w:bCs w:val="0"/>
          <w:color w:val="auto"/>
          <w:kern w:val="2"/>
          <w:sz w:val="21"/>
          <w:szCs w:val="21"/>
          <w:highlight w:val="none"/>
          <w:lang w:val="en-US" w:eastAsia="zh-CN" w:bidi="ar-SA"/>
        </w:rPr>
        <w:t xml:space="preserve"> </w:t>
      </w:r>
      <w:r>
        <w:rPr>
          <w:rFonts w:hint="eastAsia" w:ascii="宋体" w:hAnsi="宋体" w:eastAsia="宋体" w:cs="宋体"/>
          <w:b w:val="0"/>
          <w:bCs w:val="0"/>
          <w:color w:val="auto"/>
          <w:kern w:val="2"/>
          <w:sz w:val="21"/>
          <w:szCs w:val="21"/>
          <w:highlight w:val="none"/>
          <w:lang w:val="en-US" w:eastAsia="zh-CN" w:bidi="ar-SA"/>
        </w:rPr>
        <w:t>争议违约费用承担</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在违约引发的诉讼程序中，违约方应赔偿守约方因诉讼产生的一切费用，包括但不限于律师费、诉讼费、保全费、鉴定费、差旅费等为维权支出的一切费用。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18.3  争议解决期限及付款限制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本</w:t>
      </w:r>
      <w:r>
        <w:rPr>
          <w:rFonts w:hint="eastAsia" w:ascii="宋体" w:hAnsi="宋体" w:eastAsia="宋体" w:cs="宋体"/>
          <w:b w:val="0"/>
          <w:bCs w:val="0"/>
          <w:color w:val="auto"/>
          <w:kern w:val="2"/>
          <w:sz w:val="21"/>
          <w:szCs w:val="21"/>
          <w:highlight w:val="none"/>
          <w:lang w:val="en-US" w:eastAsia="zh-CN" w:bidi="ar-SA"/>
        </w:rPr>
        <w:t>项目托管期内的</w:t>
      </w:r>
      <w:r>
        <w:rPr>
          <w:rFonts w:hint="default" w:ascii="宋体" w:hAnsi="宋体" w:eastAsia="宋体" w:cs="宋体"/>
          <w:b w:val="0"/>
          <w:bCs w:val="0"/>
          <w:color w:val="auto"/>
          <w:kern w:val="2"/>
          <w:sz w:val="21"/>
          <w:szCs w:val="21"/>
          <w:highlight w:val="none"/>
          <w:lang w:val="en-US" w:eastAsia="zh-CN" w:bidi="ar-SA"/>
        </w:rPr>
        <w:t>任何争议、纠纷</w:t>
      </w:r>
      <w:r>
        <w:rPr>
          <w:rFonts w:hint="eastAsia" w:ascii="宋体" w:hAnsi="宋体" w:eastAsia="宋体" w:cs="宋体"/>
          <w:b w:val="0"/>
          <w:bCs w:val="0"/>
          <w:color w:val="auto"/>
          <w:kern w:val="2"/>
          <w:sz w:val="21"/>
          <w:szCs w:val="21"/>
          <w:highlight w:val="none"/>
          <w:lang w:val="en-US" w:eastAsia="zh-CN" w:bidi="ar-SA"/>
        </w:rPr>
        <w:t>，如涉及支付服务费用争议的，应在争议发生后1个年度内解决相关争议，否则医院有权暂停后续费用支付，直至争议解决。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合同交接期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因本项目客观运维体量大、种类多，为保障运维交接平稳过渡，保障期间医院正常运营秩序，托管服务单位须至少在合同生效前15日，安排项目交接团队驻点医院，积极安排对接各类运维交接事宜。期间所产生一切成本由托管服务单位承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财务账户变更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如双方财务账户发生变更须提前以书面形式告知对方，否则相关责任由过错方承担。</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default" w:ascii="Calibri" w:hAnsi="Calibri" w:eastAsia="宋体" w:cs="Times New Roman"/>
          <w:kern w:val="2"/>
          <w:sz w:val="28"/>
          <w:szCs w:val="28"/>
          <w:highlight w:val="none"/>
          <w:lang w:val="en-US" w:eastAsia="zh-CN" w:bidi="ar-SA"/>
        </w:rPr>
      </w:pPr>
      <w:r>
        <w:rPr>
          <w:rFonts w:hint="eastAsia" w:ascii="宋体" w:hAnsi="宋体" w:eastAsia="宋体" w:cs="宋体"/>
          <w:b/>
          <w:bCs/>
          <w:color w:val="auto"/>
          <w:kern w:val="2"/>
          <w:sz w:val="21"/>
          <w:szCs w:val="21"/>
          <w:highlight w:val="none"/>
          <w:lang w:val="en-US" w:eastAsia="zh-CN" w:bidi="ar-SA"/>
        </w:rPr>
        <w:t>21、演示要求：</w:t>
      </w:r>
      <w:r>
        <w:rPr>
          <w:rFonts w:hint="eastAsia" w:ascii="宋体" w:hAnsi="宋体" w:eastAsia="宋体" w:cs="宋体"/>
          <w:color w:val="auto"/>
          <w:kern w:val="2"/>
          <w:sz w:val="21"/>
          <w:szCs w:val="21"/>
          <w:highlight w:val="none"/>
          <w:lang w:val="en-US" w:eastAsia="zh-CN" w:bidi="ar-SA"/>
        </w:rPr>
        <w:t>投标人需在项目采购评标阶段，对必要性事项进行演示说明，具体事项及要求见“详细评审表”。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22、其余未尽事宜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其余未尽事宜，参照施工相关政策法规及标准执行，无相关参照的，医院和服务单位另行协商约定。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需求书附件清单</w:t>
      </w:r>
    </w:p>
    <w:p>
      <w:pPr>
        <w:keepNext w:val="0"/>
        <w:keepLines w:val="0"/>
        <w:pageBreakBefore w:val="0"/>
        <w:widowControl w:val="0"/>
        <w:numPr>
          <w:ilvl w:val="0"/>
          <w:numId w:val="0"/>
        </w:numPr>
        <w:kinsoku/>
        <w:wordWrap/>
        <w:overflowPunct/>
        <w:topLinePunct w:val="0"/>
        <w:bidi w:val="0"/>
        <w:spacing w:line="240" w:lineRule="auto"/>
        <w:ind w:leftChars="200" w:firstLine="561"/>
        <w:jc w:val="both"/>
        <w:textAlignment w:val="auto"/>
        <w:rPr>
          <w:rFonts w:hint="eastAsia" w:ascii="宋体" w:hAnsi="宋体" w:eastAsia="宋体" w:cs="宋体"/>
          <w:b/>
          <w:bCs/>
          <w:color w:val="auto"/>
          <w:kern w:val="2"/>
          <w:sz w:val="21"/>
          <w:szCs w:val="21"/>
          <w:highlight w:val="none"/>
          <w:lang w:val="en-US" w:eastAsia="zh-CN" w:bidi="ar-SA"/>
        </w:rPr>
      </w:pPr>
    </w:p>
    <w:tbl>
      <w:tblPr>
        <w:tblStyle w:val="23"/>
        <w:tblW w:w="96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5"/>
        <w:gridCol w:w="8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附件名称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广州市第一人民医院南沙医院能源审计报告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《广州市第一人民医院南沙医院能源审计报告》修订情况说明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【节能低碳、运营安全、智慧化运营改造】初略工程量清单参考（市场调研初步预估，仅供参考）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既有维保项目通用服务要求，具体包含以下：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3.1</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高低压维护（维修）保养、检测服务合同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合同--高低压维护（维修）保养、检测服务合同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3.1.2</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招文--广州市第一人民医院南沙医院采购高低压维护（维修）保养、检测服务项目招标文件（2022080202）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3.1.3</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招文附件--电力设备检修试验规程 QCSG1206007-2017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3.1.4</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招标文件附件（高低压维护）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3.2</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发电机完善、维修、维保报价方案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3.3</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后勤物业管理（工程运维）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合同--广州市第一人民医院南沙医院后勤物业管理服务招标项目合同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3.4</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日常维修材料定点供应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合同--广州市第一人民医院南沙医院采购日常维修材料定点供应竞争性磋商项目合同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3.4.2</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合同附件--合同材料主清单价格表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3.4.3</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合同附件--【模板】市一南沙医院五金材料需求、送货清单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3.4.4</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招文--广州市第一人民医院南沙医院采购日常维修材料定点供应竞争性磋商项目竞争性磋商文件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3.5</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广州市第一人民医院空调维护保养服务采购项目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广州市第一人民医院空调维护保养服务采购项目合同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3.5.2</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广州市第一人民医院采购空调维护保养服务采购项目招标文件（2022092001）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3.5.3</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招标公告附件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3.5.3.1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南沙分院太阳能机组、VRV机组、分体空调设备清单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3.5.3.2</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分体空调拆装服务项目表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3.5.3.3</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高值零配件清单（更正版）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3.6</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广州市第一人民医院采购洁净系统及配套设备设施维修保养服务项目合同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3.7</w:t>
            </w:r>
          </w:p>
        </w:tc>
        <w:tc>
          <w:tcPr>
            <w:tcW w:w="8460" w:type="dxa"/>
            <w:tcBorders>
              <w:top w:val="single" w:color="000000" w:sz="4" w:space="0"/>
              <w:left w:val="single" w:color="000000" w:sz="4" w:space="0"/>
              <w:bottom w:val="single" w:color="000000" w:sz="4" w:space="0"/>
              <w:right w:val="single" w:color="000000" w:sz="4" w:space="0"/>
            </w:tcBorders>
            <w:shd w:val="clear" w:color="auto" w:fill="A8EAE4"/>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b/>
                <w:bCs/>
                <w:i w:val="0"/>
                <w:iCs w:val="0"/>
                <w:color w:val="000000"/>
                <w:kern w:val="2"/>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洁净空调过滤器供应及更换项目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3.7.1</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洁净空调过滤器采购及更换合同、中标通知书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autoSpaceDN/>
              <w:adjustRightInd/>
              <w:spacing w:line="240" w:lineRule="auto"/>
              <w:jc w:val="center"/>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3.7.2</w:t>
            </w:r>
          </w:p>
        </w:tc>
        <w:tc>
          <w:tcPr>
            <w:tcW w:w="8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autoSpaceDN/>
              <w:adjustRightInd/>
              <w:spacing w:line="240" w:lineRule="auto"/>
              <w:jc w:val="left"/>
              <w:textAlignment w:val="center"/>
              <w:rPr>
                <w:rFonts w:hint="eastAsia" w:ascii="宋体" w:hAnsi="宋体" w:eastAsia="宋体" w:cs="宋体"/>
                <w:i w:val="0"/>
                <w:iCs w:val="0"/>
                <w:color w:val="000000"/>
                <w:kern w:val="2"/>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广州市第一人民医院洁净空调过滤器采购及更换项目招标文件</w:t>
            </w:r>
          </w:p>
        </w:tc>
      </w:tr>
    </w:tbl>
    <w:p>
      <w:pPr>
        <w:widowControl w:val="0"/>
        <w:kinsoku w:val="0"/>
        <w:overflowPunct w:val="0"/>
        <w:autoSpaceDE w:val="0"/>
        <w:autoSpaceDN w:val="0"/>
        <w:adjustRightInd w:val="0"/>
        <w:spacing w:before="0"/>
        <w:ind w:left="0"/>
        <w:outlineLvl w:val="3"/>
        <w:rPr>
          <w:rFonts w:ascii="等线 Light" w:hAnsi="宋体" w:eastAsia="等线 Light" w:cs="Times New Roman"/>
          <w:b/>
          <w:bCs/>
          <w:sz w:val="21"/>
          <w:szCs w:val="21"/>
          <w:highlight w:val="none"/>
          <w:lang w:val="en-US" w:eastAsia="zh-CN" w:bidi="ar-SA"/>
        </w:rPr>
      </w:pPr>
    </w:p>
    <w:p>
      <w:pPr>
        <w:autoSpaceDE/>
        <w:autoSpaceDN/>
        <w:adjustRightInd/>
        <w:ind w:firstLine="420" w:firstLineChars="200"/>
        <w:jc w:val="both"/>
        <w:rPr>
          <w:rFonts w:hAnsi="宋体"/>
          <w:bCs/>
          <w:color w:val="auto"/>
          <w:kern w:val="2"/>
          <w:sz w:val="21"/>
          <w:szCs w:val="21"/>
          <w:highlight w:val="none"/>
        </w:rPr>
      </w:pPr>
    </w:p>
    <w:p>
      <w:pPr>
        <w:pStyle w:val="31"/>
        <w:rPr>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ascii="宋体" w:hAnsi="宋体"/>
          <w:b/>
          <w:color w:val="auto"/>
          <w:sz w:val="48"/>
          <w:szCs w:val="48"/>
          <w:highlight w:val="none"/>
        </w:rPr>
      </w:pPr>
      <w:r>
        <w:rPr>
          <w:rFonts w:hint="eastAsia" w:ascii="宋体" w:hAnsi="宋体"/>
          <w:b/>
          <w:color w:val="auto"/>
          <w:sz w:val="48"/>
          <w:szCs w:val="48"/>
          <w:highlight w:val="none"/>
          <w:lang w:val="en-US" w:eastAsia="zh-CN"/>
        </w:rPr>
        <w:t>第二部分</w:t>
      </w:r>
      <w:r>
        <w:rPr>
          <w:rFonts w:hint="eastAsia" w:ascii="宋体" w:hAnsi="宋体"/>
          <w:b/>
          <w:color w:val="auto"/>
          <w:sz w:val="48"/>
          <w:szCs w:val="48"/>
          <w:highlight w:val="none"/>
        </w:rPr>
        <w:t>、补充附件</w:t>
      </w:r>
    </w:p>
    <w:p>
      <w:pPr>
        <w:spacing w:line="300" w:lineRule="auto"/>
        <w:jc w:val="center"/>
        <w:rPr>
          <w:rFonts w:ascii="宋体" w:hAnsi="宋体"/>
          <w:b/>
          <w:color w:val="auto"/>
          <w:sz w:val="24"/>
          <w:szCs w:val="24"/>
          <w:highlight w:val="none"/>
        </w:rPr>
      </w:pPr>
      <w:r>
        <w:rPr>
          <w:rFonts w:hint="eastAsia" w:ascii="宋体" w:hAnsi="宋体"/>
          <w:b/>
          <w:color w:val="auto"/>
          <w:sz w:val="24"/>
          <w:szCs w:val="24"/>
          <w:highlight w:val="none"/>
        </w:rPr>
        <w:t>注：以下部分的附件应后附在投标文件中，作为投标文件的一部分。</w:t>
      </w:r>
    </w:p>
    <w:p>
      <w:pPr>
        <w:spacing w:line="300" w:lineRule="auto"/>
        <w:rPr>
          <w:rFonts w:ascii="宋体" w:hAnsi="宋体"/>
          <w:b/>
          <w:color w:val="auto"/>
          <w:sz w:val="24"/>
          <w:szCs w:val="24"/>
          <w:highlight w:val="none"/>
        </w:rPr>
      </w:pPr>
    </w:p>
    <w:p>
      <w:pPr>
        <w:outlineLvl w:val="1"/>
        <w:rPr>
          <w:rFonts w:hint="eastAsia" w:ascii="宋体" w:hAnsi="宋体" w:eastAsia="宋体" w:cs="宋体"/>
          <w:b/>
          <w:color w:val="auto"/>
          <w:sz w:val="28"/>
          <w:szCs w:val="28"/>
          <w:highlight w:val="none"/>
        </w:rPr>
      </w:pPr>
      <w:r>
        <w:rPr>
          <w:rFonts w:ascii="宋体" w:hAnsi="宋体"/>
          <w:b/>
          <w:color w:val="auto"/>
          <w:sz w:val="24"/>
          <w:szCs w:val="24"/>
          <w:highlight w:val="none"/>
        </w:rPr>
        <w:br w:type="page"/>
      </w:r>
      <w:r>
        <w:rPr>
          <w:rFonts w:hint="eastAsia" w:ascii="宋体" w:hAnsi="宋体" w:eastAsia="宋体" w:cs="宋体"/>
          <w:b/>
          <w:bCs/>
          <w:color w:val="auto"/>
          <w:spacing w:val="10"/>
          <w:kern w:val="0"/>
          <w:sz w:val="28"/>
          <w:szCs w:val="28"/>
          <w:highlight w:val="none"/>
        </w:rPr>
        <w:t>附件一、</w:t>
      </w:r>
      <w:bookmarkStart w:id="64" w:name="_Toc435515295"/>
      <w:bookmarkStart w:id="65" w:name="_Toc275865606"/>
      <w:bookmarkStart w:id="66" w:name="_Toc435514855"/>
      <w:r>
        <w:rPr>
          <w:rFonts w:hint="eastAsia" w:ascii="宋体" w:hAnsi="宋体" w:eastAsia="宋体" w:cs="宋体"/>
          <w:b/>
          <w:bCs/>
          <w:color w:val="auto"/>
          <w:spacing w:val="10"/>
          <w:kern w:val="0"/>
          <w:sz w:val="28"/>
          <w:szCs w:val="28"/>
          <w:highlight w:val="none"/>
        </w:rPr>
        <w:t>资格文件</w:t>
      </w:r>
    </w:p>
    <w:p>
      <w:pPr>
        <w:outlineLvl w:val="1"/>
        <w:rPr>
          <w:rFonts w:hint="eastAsia" w:ascii="宋体" w:hAnsi="宋体" w:eastAsia="宋体" w:cs="宋体"/>
          <w:b/>
          <w:color w:val="auto"/>
          <w:szCs w:val="21"/>
          <w:highlight w:val="none"/>
          <w:lang w:val="en-US" w:eastAsia="zh-CN"/>
        </w:rPr>
      </w:pPr>
    </w:p>
    <w:p>
      <w:pPr>
        <w:outlineLvl w:val="1"/>
        <w:rPr>
          <w:rFonts w:hint="eastAsia" w:ascii="宋体" w:hAnsi="宋体" w:eastAsia="宋体" w:cs="宋体"/>
          <w:b/>
          <w:color w:val="auto"/>
          <w:sz w:val="28"/>
          <w:szCs w:val="28"/>
          <w:highlight w:val="none"/>
        </w:rPr>
      </w:pPr>
      <w:r>
        <w:rPr>
          <w:rFonts w:hint="eastAsia" w:ascii="宋体" w:hAnsi="宋体" w:eastAsia="宋体" w:cs="宋体"/>
          <w:b/>
          <w:color w:val="auto"/>
          <w:szCs w:val="21"/>
          <w:highlight w:val="none"/>
          <w:lang w:val="en-US" w:eastAsia="zh-CN"/>
        </w:rPr>
        <w:t>1.1</w:t>
      </w:r>
      <w:r>
        <w:rPr>
          <w:rFonts w:hint="eastAsia" w:ascii="宋体" w:hAnsi="宋体" w:eastAsia="宋体" w:cs="宋体"/>
          <w:b/>
          <w:color w:val="auto"/>
          <w:szCs w:val="21"/>
          <w:highlight w:val="none"/>
        </w:rPr>
        <w:t>投标人资格声明函</w:t>
      </w:r>
      <w:bookmarkEnd w:id="64"/>
      <w:bookmarkEnd w:id="65"/>
      <w:bookmarkEnd w:id="66"/>
    </w:p>
    <w:p>
      <w:pPr>
        <w:adjustRightInd w:val="0"/>
        <w:snapToGrid w:val="0"/>
        <w:spacing w:line="360" w:lineRule="auto"/>
        <w:rPr>
          <w:rFonts w:hint="eastAsia" w:ascii="宋体" w:hAnsi="宋体" w:eastAsia="宋体" w:cs="宋体"/>
          <w:b/>
          <w:color w:val="auto"/>
          <w:szCs w:val="21"/>
          <w:highlight w:val="none"/>
        </w:rPr>
      </w:pPr>
    </w:p>
    <w:p>
      <w:pPr>
        <w:adjustRightInd w:val="0"/>
        <w:snapToGrid w:val="0"/>
        <w:spacing w:line="360" w:lineRule="auto"/>
        <w:rPr>
          <w:rFonts w:hint="eastAsia" w:ascii="宋体" w:hAnsi="宋体" w:eastAsia="宋体" w:cs="宋体"/>
          <w:b/>
          <w:color w:val="auto"/>
          <w:highlight w:val="none"/>
          <w:lang w:eastAsia="zh-CN"/>
        </w:rPr>
      </w:pPr>
      <w:r>
        <w:rPr>
          <w:rFonts w:hint="eastAsia" w:ascii="宋体" w:hAnsi="宋体" w:eastAsia="宋体" w:cs="宋体"/>
          <w:b/>
          <w:color w:val="auto"/>
          <w:szCs w:val="21"/>
          <w:highlight w:val="none"/>
        </w:rPr>
        <w:t>国义招标股份有限公司</w:t>
      </w:r>
      <w:r>
        <w:rPr>
          <w:rFonts w:hint="eastAsia" w:ascii="宋体" w:hAnsi="宋体" w:eastAsia="宋体" w:cs="宋体"/>
          <w:b/>
          <w:color w:val="auto"/>
          <w:szCs w:val="21"/>
          <w:highlight w:val="none"/>
          <w:lang w:eastAsia="zh-CN"/>
        </w:rPr>
        <w:t>：</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关于贵公司</w:t>
      </w:r>
      <w:r>
        <w:rPr>
          <w:rFonts w:hint="eastAsia" w:ascii="宋体" w:hAnsi="宋体" w:eastAsia="宋体" w:cs="宋体"/>
          <w:color w:val="auto"/>
          <w:highlight w:val="none"/>
          <w:u w:val="single"/>
        </w:rPr>
        <w:t>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w:t>
      </w:r>
      <w:r>
        <w:rPr>
          <w:rFonts w:hint="eastAsia" w:ascii="宋体" w:hAnsi="宋体" w:eastAsia="宋体" w:cs="宋体"/>
          <w:color w:val="auto"/>
          <w:highlight w:val="none"/>
        </w:rPr>
        <w:t>日发布</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项目（项目编号：0724-XXXXXXXX）的采购公告，本公司（企业）愿意参加投标，并声明：</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(1)本公司（企业）具备《中华人民共和国政府采购法》第二十二条资格条件，并已清楚招标文件的要求及有关文件规定。</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(2)本公司（企业）具有良好的商业信誉和健全的财务会计制度</w:t>
      </w:r>
      <w:r>
        <w:rPr>
          <w:rFonts w:hint="eastAsia" w:ascii="宋体" w:hAnsi="宋体" w:eastAsia="宋体" w:cs="宋体"/>
          <w:color w:val="auto"/>
          <w:highlight w:val="none"/>
          <w:lang w:val="zh-CN"/>
        </w:rPr>
        <w:t>；</w:t>
      </w:r>
      <w:r>
        <w:rPr>
          <w:rFonts w:hint="eastAsia" w:ascii="宋体" w:hAnsi="宋体" w:eastAsia="宋体" w:cs="宋体"/>
          <w:color w:val="auto"/>
          <w:highlight w:val="none"/>
        </w:rPr>
        <w:t>有依法缴纳税收和社会保障资金的良好记录</w:t>
      </w:r>
      <w:r>
        <w:rPr>
          <w:rFonts w:hint="eastAsia" w:ascii="宋体" w:hAnsi="宋体" w:eastAsia="宋体" w:cs="宋体"/>
          <w:color w:val="auto"/>
          <w:highlight w:val="none"/>
          <w:lang w:val="zh-CN"/>
        </w:rPr>
        <w:t>；</w:t>
      </w:r>
      <w:r>
        <w:rPr>
          <w:rFonts w:hint="eastAsia" w:ascii="宋体" w:hAnsi="宋体" w:eastAsia="宋体" w:cs="宋体"/>
          <w:color w:val="auto"/>
          <w:highlight w:val="none"/>
        </w:rPr>
        <w:t>具有履行合同所必需的设备和专业技术能力，且本公司（企业）参加政府采购活动前3年内在经营活动中没有重大违法记录。否则，由此所造成的损失、不良后果及法律责任，一律由我公司（企业）承担。</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(3)关于本企业信用情况，经对“信用中国”网站（www.creditchina.gov.cn）、“中国政府采购网”（ www.ccgp.gov.cn）信用记录信息的查询，截至规定的投标截止时间，我司没有被列入失信被执行人、税收违法黑名单、政府采购、环境保护、知识产权等领域严重违法失信行为记录名单中。</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(4)经核实，本公司不存在以下情况：单位负责人为同一人或者存在直接控股、管理关系的不同供应商，参加同一合同项下的政府采购活动。</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(5) 经核实，本公司不存在以下情况：为采购项目提供整体设计、规范编制或者项目管理、监理、检测等服务的供应商，再参加该采购项目的其他采购活动。</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（6）本公司不属于联合体投标，承诺如果中标不分包转包。</w:t>
      </w:r>
    </w:p>
    <w:p>
      <w:pPr>
        <w:adjustRightInd w:val="0"/>
        <w:snapToGrid w:val="0"/>
        <w:spacing w:line="360" w:lineRule="auto"/>
        <w:ind w:firstLine="444" w:firstLine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本公司</w:t>
      </w:r>
      <w:r>
        <w:rPr>
          <w:rFonts w:hint="eastAsia" w:ascii="宋体" w:hAnsi="宋体" w:eastAsia="宋体" w:cs="宋体"/>
          <w:color w:val="auto"/>
          <w:highlight w:val="none"/>
          <w:lang w:eastAsia="zh-CN"/>
        </w:rPr>
        <w:t>符合法律、行政法规规定的其他条件。</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本次招标采购活动中，本单位保证全部投标文件和问题的回答是真实和有效的，并对所提供资料的真实性和正确性承担法律责任。</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如有违法、违规、弄虚作假行为，所造成的损失、不良后果及法律责任，一律由我公司（企业）承担。</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b/>
          <w:color w:val="auto"/>
          <w:highlight w:val="none"/>
        </w:rPr>
        <w:t>特此声明！</w:t>
      </w:r>
    </w:p>
    <w:p>
      <w:pPr>
        <w:spacing w:line="360" w:lineRule="auto"/>
        <w:rPr>
          <w:rFonts w:hint="eastAsia" w:ascii="宋体" w:hAnsi="宋体" w:eastAsia="宋体" w:cs="宋体"/>
          <w:color w:val="auto"/>
          <w:highlight w:val="none"/>
        </w:rPr>
      </w:pPr>
      <w:r>
        <w:rPr>
          <w:rFonts w:hint="eastAsia" w:ascii="宋体" w:hAnsi="宋体" w:eastAsia="宋体" w:cs="宋体"/>
          <w:b/>
          <w:color w:val="auto"/>
          <w:highlight w:val="none"/>
        </w:rPr>
        <w:t>附件：</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企业股东构成情况表</w:t>
      </w: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投标人法定代表人（或法定代表人授权代表）签字：</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投标人名称（加盖公章）：</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28"/>
          <w:szCs w:val="28"/>
          <w:highlight w:val="none"/>
        </w:rPr>
        <w:t>企业股东构成情况表</w:t>
      </w:r>
    </w:p>
    <w:p>
      <w:pPr>
        <w:jc w:val="left"/>
        <w:rPr>
          <w:rFonts w:hint="eastAsia" w:ascii="宋体" w:hAnsi="宋体" w:eastAsia="宋体" w:cs="宋体"/>
          <w:b/>
          <w:color w:val="auto"/>
          <w:sz w:val="24"/>
          <w:highlight w:val="none"/>
        </w:rPr>
      </w:pPr>
    </w:p>
    <w:tbl>
      <w:tblPr>
        <w:tblStyle w:val="23"/>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股东类型</w:t>
            </w:r>
          </w:p>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身份证号</w:t>
            </w:r>
          </w:p>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bl>
    <w:p>
      <w:pPr>
        <w:jc w:val="left"/>
        <w:rPr>
          <w:rFonts w:hint="eastAsia" w:ascii="宋体" w:hAnsi="宋体" w:eastAsia="宋体" w:cs="宋体"/>
          <w:color w:val="auto"/>
          <w:szCs w:val="21"/>
          <w:highlight w:val="none"/>
        </w:rPr>
      </w:pP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1.股东或出资人为自然人的，填写自然人姓名及身份证号；股东或出资人为法人的，填写法人企业全称及统一社会信用代码。出资方式填写：货物、实物、工艺产权和非专利技术、土地使用权等。</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 w:val="20"/>
          <w:szCs w:val="18"/>
          <w:highlight w:val="none"/>
        </w:rPr>
        <w:t>投标人必须如实填写股东构成情况</w:t>
      </w:r>
      <w:r>
        <w:rPr>
          <w:rFonts w:hint="eastAsia" w:ascii="宋体" w:hAnsi="宋体" w:eastAsia="宋体" w:cs="宋体"/>
          <w:color w:val="auto"/>
          <w:szCs w:val="21"/>
          <w:highlight w:val="none"/>
        </w:rPr>
        <w:t>，具体信息情况应与“国家企业信用信息公示系统” (网站：</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"http://www.gsxt.gov.cn)查询的信息一致。"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szCs w:val="21"/>
          <w:highlight w:val="none"/>
        </w:rPr>
        <w:t>http://www.gsxt.gov.cn)查询的信息一致。</w:t>
      </w:r>
      <w:r>
        <w:rPr>
          <w:rFonts w:hint="eastAsia" w:ascii="宋体" w:hAnsi="宋体" w:eastAsia="宋体" w:cs="宋体"/>
          <w:color w:val="auto"/>
          <w:szCs w:val="21"/>
          <w:highlight w:val="none"/>
        </w:rPr>
        <w:fldChar w:fldCharType="end"/>
      </w:r>
    </w:p>
    <w:p>
      <w:pPr>
        <w:tabs>
          <w:tab w:val="left" w:pos="654"/>
          <w:tab w:val="left" w:pos="1734"/>
          <w:tab w:val="left" w:pos="2814"/>
          <w:tab w:val="left" w:pos="3894"/>
          <w:tab w:val="left" w:pos="5334"/>
          <w:tab w:val="left" w:pos="6414"/>
          <w:tab w:val="left" w:pos="7254"/>
          <w:tab w:val="left" w:pos="8574"/>
          <w:tab w:val="left" w:pos="9654"/>
        </w:tabs>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.2政府采购活动信用记录自查承诺函</w:t>
      </w:r>
    </w:p>
    <w:p>
      <w:pPr>
        <w:ind w:left="405"/>
        <w:rPr>
          <w:rFonts w:hint="eastAsia" w:ascii="宋体" w:hAnsi="宋体" w:eastAsia="宋体" w:cs="宋体"/>
          <w:color w:val="auto"/>
          <w:sz w:val="24"/>
          <w:highlight w:val="none"/>
        </w:rPr>
      </w:pPr>
    </w:p>
    <w:p>
      <w:pPr>
        <w:adjustRightInd w:val="0"/>
        <w:snapToGrid w:val="0"/>
        <w:spacing w:line="360" w:lineRule="auto"/>
        <w:ind w:firstLine="440" w:firstLineChars="200"/>
        <w:rPr>
          <w:rFonts w:hint="eastAsia" w:ascii="宋体" w:hAnsi="宋体" w:eastAsia="宋体" w:cs="宋体"/>
          <w:color w:val="auto"/>
          <w:szCs w:val="21"/>
          <w:highlight w:val="none"/>
        </w:rPr>
      </w:pPr>
    </w:p>
    <w:p>
      <w:pPr>
        <w:tabs>
          <w:tab w:val="left" w:pos="654"/>
          <w:tab w:val="left" w:pos="1734"/>
          <w:tab w:val="left" w:pos="2814"/>
          <w:tab w:val="left" w:pos="3894"/>
          <w:tab w:val="left" w:pos="5334"/>
          <w:tab w:val="left" w:pos="6414"/>
          <w:tab w:val="left" w:pos="7254"/>
          <w:tab w:val="left" w:pos="8574"/>
          <w:tab w:val="left" w:pos="9654"/>
        </w:tabs>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国义招标股份有限公司：</w:t>
      </w:r>
    </w:p>
    <w:p>
      <w:pPr>
        <w:tabs>
          <w:tab w:val="left" w:pos="654"/>
          <w:tab w:val="left" w:pos="1734"/>
          <w:tab w:val="left" w:pos="2814"/>
          <w:tab w:val="left" w:pos="3894"/>
          <w:tab w:val="left" w:pos="5334"/>
          <w:tab w:val="left" w:pos="6414"/>
          <w:tab w:val="left" w:pos="7254"/>
          <w:tab w:val="left" w:pos="8574"/>
          <w:tab w:val="left" w:pos="9654"/>
        </w:tabs>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  关于本企业信用情况，经对“信用中国”网站（www.creditchina.gov.cn）中企业信用信息、“中国政府采购网”（ www.ccgp.gov.cn）“政府采购严重违法失信行为信息记录”的网上查询，截至规定的投标截止时间，我司没有被列入失信被执行人、税收违法黑名单、政府采购严重违法失信行为记录名单及其他不符合规定条件的供应商名单中。特此承诺！</w:t>
      </w:r>
    </w:p>
    <w:p>
      <w:pPr>
        <w:ind w:left="405"/>
        <w:rPr>
          <w:rFonts w:hint="eastAsia" w:ascii="宋体" w:hAnsi="宋体" w:eastAsia="宋体" w:cs="宋体"/>
          <w:b/>
          <w:color w:val="auto"/>
          <w:szCs w:val="21"/>
          <w:highlight w:val="none"/>
        </w:rPr>
      </w:pPr>
    </w:p>
    <w:p>
      <w:pPr>
        <w:ind w:left="405"/>
        <w:rPr>
          <w:rFonts w:hint="eastAsia" w:ascii="宋体" w:hAnsi="宋体" w:eastAsia="宋体" w:cs="宋体"/>
          <w:b/>
          <w:color w:val="auto"/>
          <w:szCs w:val="21"/>
          <w:highlight w:val="none"/>
        </w:rPr>
      </w:pPr>
    </w:p>
    <w:p>
      <w:pPr>
        <w:ind w:left="405"/>
        <w:rPr>
          <w:rFonts w:hint="eastAsia" w:ascii="宋体" w:hAnsi="宋体" w:eastAsia="宋体" w:cs="宋体"/>
          <w:b/>
          <w:color w:val="auto"/>
          <w:szCs w:val="21"/>
          <w:highlight w:val="none"/>
        </w:rPr>
      </w:pP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投标人法定代表人（或法定代表人授权代表）签字：</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投标人名称（加盖公章）：</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pPr>
        <w:ind w:left="405"/>
        <w:rPr>
          <w:rFonts w:hint="eastAsia" w:ascii="宋体" w:hAnsi="宋体" w:eastAsia="宋体" w:cs="宋体"/>
          <w:b/>
          <w:color w:val="auto"/>
          <w:szCs w:val="21"/>
          <w:highlight w:val="none"/>
        </w:rPr>
      </w:pPr>
    </w:p>
    <w:p>
      <w:pPr>
        <w:ind w:left="405"/>
        <w:rPr>
          <w:rFonts w:hint="eastAsia" w:ascii="宋体" w:hAnsi="宋体" w:eastAsia="宋体" w:cs="宋体"/>
          <w:b/>
          <w:color w:val="auto"/>
          <w:szCs w:val="21"/>
          <w:highlight w:val="none"/>
        </w:rPr>
      </w:pPr>
    </w:p>
    <w:p>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备注：采购方将对函件内容的真实性和有效性进行审查、验证，如有造假或情况不一致，将导致投标无效！</w:t>
      </w:r>
    </w:p>
    <w:p>
      <w:pPr>
        <w:rPr>
          <w:rFonts w:hint="eastAsia" w:ascii="宋体" w:hAnsi="宋体" w:eastAsia="宋体" w:cs="宋体"/>
          <w:b/>
          <w:color w:val="auto"/>
          <w:szCs w:val="21"/>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br w:type="page"/>
      </w:r>
    </w:p>
    <w:p>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1.3法定代表人授权代表声明函</w:t>
      </w:r>
    </w:p>
    <w:p>
      <w:pPr>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Cs w:val="21"/>
          <w:highlight w:val="none"/>
        </w:rPr>
        <w:t>法定代表人授权代表声明函</w:t>
      </w:r>
    </w:p>
    <w:p>
      <w:pPr>
        <w:adjustRightInd w:val="0"/>
        <w:snapToGrid w:val="0"/>
        <w:spacing w:line="360" w:lineRule="auto"/>
        <w:rPr>
          <w:rFonts w:hint="eastAsia" w:ascii="宋体" w:hAnsi="宋体" w:eastAsia="宋体" w:cs="宋体"/>
          <w:b/>
          <w:color w:val="auto"/>
          <w:szCs w:val="21"/>
          <w:highlight w:val="none"/>
        </w:rPr>
      </w:pPr>
    </w:p>
    <w:p>
      <w:pPr>
        <w:adjustRightInd w:val="0"/>
        <w:snapToGrid w:val="0"/>
        <w:spacing w:line="360" w:lineRule="auto"/>
        <w:rPr>
          <w:rFonts w:hint="eastAsia" w:ascii="宋体" w:hAnsi="宋体" w:eastAsia="宋体" w:cs="宋体"/>
          <w:b/>
          <w:color w:val="auto"/>
          <w:highlight w:val="none"/>
          <w:lang w:eastAsia="zh-CN"/>
        </w:rPr>
      </w:pPr>
      <w:r>
        <w:rPr>
          <w:rFonts w:hint="eastAsia" w:ascii="宋体" w:hAnsi="宋体" w:eastAsia="宋体" w:cs="宋体"/>
          <w:b/>
          <w:color w:val="auto"/>
          <w:szCs w:val="21"/>
          <w:highlight w:val="none"/>
          <w:lang w:val="en-US" w:eastAsia="zh-CN"/>
        </w:rPr>
        <w:t>国义招标股份有限公司</w:t>
      </w:r>
      <w:r>
        <w:rPr>
          <w:rFonts w:hint="eastAsia" w:ascii="宋体" w:hAnsi="宋体" w:eastAsia="宋体" w:cs="宋体"/>
          <w:b/>
          <w:color w:val="auto"/>
          <w:szCs w:val="21"/>
          <w:highlight w:val="none"/>
          <w:lang w:eastAsia="zh-CN"/>
        </w:rPr>
        <w:t>：</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关于贵公司</w:t>
      </w:r>
      <w:r>
        <w:rPr>
          <w:rFonts w:hint="eastAsia" w:ascii="宋体" w:hAnsi="宋体" w:eastAsia="宋体" w:cs="宋体"/>
          <w:color w:val="auto"/>
          <w:highlight w:val="none"/>
          <w:u w:val="single"/>
        </w:rPr>
        <w:t>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w:t>
      </w:r>
      <w:r>
        <w:rPr>
          <w:rFonts w:hint="eastAsia" w:ascii="宋体" w:hAnsi="宋体" w:eastAsia="宋体" w:cs="宋体"/>
          <w:color w:val="auto"/>
          <w:highlight w:val="none"/>
        </w:rPr>
        <w:t>日发布</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项目（项目编号：0724-XXXXXXXX）的采购</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，本公司（企业）愿意参加投标，并声明：</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代表</w:t>
      </w:r>
      <w:r>
        <w:rPr>
          <w:rFonts w:hint="eastAsia" w:ascii="宋体" w:hAnsi="宋体" w:eastAsia="宋体" w:cs="宋体"/>
          <w:color w:val="auto"/>
          <w:highlight w:val="none"/>
        </w:rPr>
        <w:t>本公司（企业）</w:t>
      </w:r>
      <w:r>
        <w:rPr>
          <w:rFonts w:hint="eastAsia" w:ascii="宋体" w:hAnsi="宋体" w:eastAsia="宋体" w:cs="宋体"/>
          <w:color w:val="auto"/>
          <w:highlight w:val="none"/>
          <w:lang w:val="en-US" w:eastAsia="zh-CN"/>
        </w:rPr>
        <w:t>参加本项目的</w:t>
      </w:r>
      <w:r>
        <w:rPr>
          <w:rFonts w:ascii="宋体" w:hAnsi="Times New Roman" w:eastAsia="宋体" w:cs="宋体"/>
          <w:color w:val="auto"/>
          <w:highlight w:val="none"/>
        </w:rPr>
        <w:t xml:space="preserve"> </w:t>
      </w:r>
      <w:r>
        <w:rPr>
          <w:rFonts w:ascii="宋体" w:hAnsi="Times New Roman" w:eastAsia="宋体" w:cs="宋体"/>
          <w:color w:val="auto"/>
          <w:highlight w:val="none"/>
          <w:u w:val="single"/>
        </w:rPr>
        <w:t>（姓名、职务）</w:t>
      </w:r>
      <w:r>
        <w:rPr>
          <w:rFonts w:ascii="宋体" w:hAnsi="Times New Roman" w:eastAsia="宋体" w:cs="宋体"/>
          <w:color w:val="auto"/>
          <w:highlight w:val="none"/>
        </w:rPr>
        <w:t xml:space="preserve"> 作为我公司的</w:t>
      </w:r>
      <w:r>
        <w:rPr>
          <w:rFonts w:hint="eastAsia" w:ascii="宋体" w:hAnsi="宋体" w:eastAsia="宋体" w:cs="宋体"/>
          <w:color w:val="auto"/>
          <w:szCs w:val="21"/>
          <w:highlight w:val="none"/>
        </w:rPr>
        <w:t>法定代表人授权代表</w:t>
      </w:r>
      <w:r>
        <w:rPr>
          <w:rFonts w:hint="eastAsia" w:ascii="宋体" w:hAnsi="Times New Roman" w:eastAsia="宋体" w:cs="宋体"/>
          <w:color w:val="auto"/>
          <w:highlight w:val="none"/>
          <w:lang w:eastAsia="zh-CN"/>
        </w:rPr>
        <w:t>，</w:t>
      </w:r>
      <w:r>
        <w:rPr>
          <w:rFonts w:hint="eastAsia" w:ascii="宋体" w:hAnsi="Times New Roman" w:eastAsia="宋体" w:cs="宋体"/>
          <w:color w:val="auto"/>
          <w:highlight w:val="none"/>
          <w:lang w:val="en-US" w:eastAsia="zh-CN"/>
        </w:rPr>
        <w:t>系</w:t>
      </w:r>
      <w:r>
        <w:rPr>
          <w:rFonts w:hint="eastAsia" w:ascii="宋体" w:hAnsi="宋体" w:eastAsia="宋体" w:cs="宋体"/>
          <w:color w:val="auto"/>
          <w:highlight w:val="none"/>
        </w:rPr>
        <w:t>本公司（企业）</w:t>
      </w:r>
      <w:r>
        <w:rPr>
          <w:rFonts w:hint="eastAsia" w:ascii="宋体" w:hAnsi="Times New Roman" w:eastAsia="宋体" w:cs="宋体"/>
          <w:color w:val="auto"/>
          <w:highlight w:val="none"/>
          <w:lang w:val="en-US" w:eastAsia="zh-CN"/>
        </w:rPr>
        <w:t>员工</w:t>
      </w:r>
      <w:r>
        <w:rPr>
          <w:rFonts w:hint="eastAsia" w:ascii="宋体" w:hAnsi="宋体" w:eastAsia="宋体" w:cs="宋体"/>
          <w:color w:val="auto"/>
          <w:highlight w:val="none"/>
        </w:rPr>
        <w:t>。</w:t>
      </w:r>
    </w:p>
    <w:p>
      <w:pPr>
        <w:adjustRightInd w:val="0"/>
        <w:snapToGrid w:val="0"/>
        <w:spacing w:line="360" w:lineRule="auto"/>
        <w:ind w:firstLine="444" w:firstLineChars="202"/>
        <w:rPr>
          <w:rFonts w:hint="eastAsia" w:ascii="宋体" w:hAnsi="宋体" w:eastAsia="宋体" w:cs="宋体"/>
          <w:color w:val="auto"/>
          <w:highlight w:val="none"/>
        </w:rPr>
      </w:pP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b/>
          <w:color w:val="auto"/>
          <w:highlight w:val="none"/>
        </w:rPr>
        <w:t>特此声明！</w:t>
      </w:r>
    </w:p>
    <w:p>
      <w:pPr>
        <w:spacing w:line="360" w:lineRule="auto"/>
        <w:rPr>
          <w:rFonts w:hint="eastAsia" w:ascii="宋体" w:hAnsi="宋体" w:eastAsia="宋体" w:cs="宋体"/>
          <w:color w:val="auto"/>
          <w:highlight w:val="none"/>
        </w:rPr>
      </w:pPr>
      <w:r>
        <w:rPr>
          <w:rFonts w:hint="eastAsia" w:ascii="宋体" w:hAnsi="宋体" w:eastAsia="宋体" w:cs="宋体"/>
          <w:b/>
          <w:color w:val="auto"/>
          <w:highlight w:val="none"/>
        </w:rPr>
        <w:t>附件：</w:t>
      </w:r>
    </w:p>
    <w:p>
      <w:pP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法定代表人授权代表近六个月内任意一个月在投标人单位购买社保的证明材料。</w:t>
      </w: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投标人法定代表人（或法定代表人授权代表）签字：</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投标人名称（加盖公章）：</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pPr>
        <w:rPr>
          <w:rFonts w:hint="default"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其他资格证明文件</w:t>
      </w:r>
    </w:p>
    <w:p>
      <w:pPr>
        <w:rPr>
          <w:rFonts w:hint="eastAsia" w:ascii="宋体" w:hAnsi="宋体" w:eastAsia="宋体" w:cs="宋体"/>
          <w:b/>
          <w:color w:val="auto"/>
          <w:sz w:val="24"/>
          <w:highlight w:val="none"/>
        </w:rPr>
      </w:pPr>
    </w:p>
    <w:p>
      <w:pPr>
        <w:autoSpaceDE w:val="0"/>
        <w:autoSpaceDN w:val="0"/>
        <w:ind w:right="1400"/>
        <w:rPr>
          <w:rFonts w:hint="eastAsia" w:ascii="宋体" w:hAnsi="宋体" w:eastAsia="宋体" w:cs="宋体"/>
          <w:color w:val="auto"/>
          <w:sz w:val="24"/>
          <w:highlight w:val="none"/>
        </w:rPr>
      </w:pPr>
      <w:r>
        <w:rPr>
          <w:rFonts w:hint="eastAsia" w:ascii="宋体" w:hAnsi="宋体" w:eastAsia="宋体" w:cs="宋体"/>
          <w:color w:val="auto"/>
          <w:sz w:val="24"/>
          <w:highlight w:val="none"/>
        </w:rPr>
        <w:t>一、有效的营业执照副本复印件（如非“三证合一”证照，同时提供税务登记证及组织机构代码证副本复印件）（加盖公章）</w:t>
      </w:r>
    </w:p>
    <w:p>
      <w:pPr>
        <w:autoSpaceDE w:val="0"/>
        <w:autoSpaceDN w:val="0"/>
        <w:ind w:right="1400"/>
        <w:rPr>
          <w:rFonts w:hint="eastAsia" w:ascii="宋体" w:hAnsi="宋体" w:eastAsia="宋体" w:cs="宋体"/>
          <w:color w:val="auto"/>
          <w:sz w:val="24"/>
          <w:highlight w:val="none"/>
        </w:rPr>
      </w:pPr>
    </w:p>
    <w:p>
      <w:pPr>
        <w:rPr>
          <w:rFonts w:hint="eastAsia" w:ascii="宋体" w:hAnsi="宋体" w:eastAsia="宋体" w:cs="宋体"/>
          <w:b/>
          <w:color w:val="auto"/>
          <w:sz w:val="36"/>
          <w:szCs w:val="36"/>
          <w:highlight w:val="none"/>
          <w:lang w:val="en-US" w:eastAsia="zh-CN"/>
        </w:rPr>
      </w:pPr>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、详见招标文件第一</w:t>
      </w:r>
      <w:r>
        <w:rPr>
          <w:rFonts w:hint="eastAsia" w:ascii="宋体" w:hAnsi="宋体" w:eastAsia="宋体" w:cs="宋体"/>
          <w:color w:val="auto"/>
          <w:sz w:val="24"/>
          <w:highlight w:val="none"/>
          <w:lang w:val="en-US" w:eastAsia="zh-CN"/>
        </w:rPr>
        <w:t>章</w:t>
      </w:r>
      <w:r>
        <w:rPr>
          <w:rFonts w:hint="eastAsia" w:ascii="宋体" w:hAnsi="宋体" w:eastAsia="宋体" w:cs="宋体"/>
          <w:color w:val="auto"/>
          <w:sz w:val="24"/>
          <w:highlight w:val="none"/>
        </w:rPr>
        <w:t>“投标邀请”中的“投标人资格</w:t>
      </w:r>
      <w:r>
        <w:rPr>
          <w:rFonts w:hint="eastAsia" w:ascii="宋体" w:hAnsi="宋体" w:eastAsia="宋体" w:cs="宋体"/>
          <w:color w:val="auto"/>
          <w:sz w:val="24"/>
          <w:highlight w:val="none"/>
          <w:lang w:val="en-US" w:eastAsia="zh-CN"/>
        </w:rPr>
        <w:t>要求</w:t>
      </w:r>
      <w:r>
        <w:rPr>
          <w:rFonts w:hint="eastAsia" w:ascii="宋体" w:hAnsi="宋体" w:eastAsia="宋体" w:cs="宋体"/>
          <w:color w:val="auto"/>
          <w:sz w:val="24"/>
          <w:highlight w:val="none"/>
        </w:rPr>
        <w:t>”</w:t>
      </w:r>
    </w:p>
    <w:p>
      <w:pPr>
        <w:rPr>
          <w:rFonts w:hint="eastAsia" w:ascii="宋体" w:hAnsi="宋体" w:eastAsia="宋体" w:cs="宋体"/>
          <w:b/>
          <w:color w:val="auto"/>
          <w:szCs w:val="21"/>
          <w:highlight w:val="none"/>
        </w:rPr>
      </w:pPr>
    </w:p>
    <w:p>
      <w:pPr>
        <w:spacing w:before="25" w:after="25"/>
        <w:jc w:val="left"/>
        <w:outlineLvl w:val="0"/>
        <w:rPr>
          <w:rFonts w:hint="eastAsia" w:ascii="宋体" w:hAnsi="宋体" w:eastAsia="宋体" w:cs="宋体"/>
          <w:b/>
          <w:bCs/>
          <w:color w:val="auto"/>
          <w:spacing w:val="10"/>
          <w:kern w:val="0"/>
          <w:sz w:val="28"/>
          <w:szCs w:val="28"/>
          <w:highlight w:val="none"/>
        </w:rPr>
      </w:pPr>
      <w:r>
        <w:rPr>
          <w:rFonts w:hint="eastAsia" w:ascii="宋体" w:hAnsi="宋体" w:eastAsia="宋体" w:cs="宋体"/>
          <w:b/>
          <w:bCs/>
          <w:color w:val="auto"/>
          <w:spacing w:val="10"/>
          <w:kern w:val="0"/>
          <w:sz w:val="24"/>
          <w:szCs w:val="24"/>
          <w:highlight w:val="none"/>
        </w:rPr>
        <w:br w:type="page"/>
      </w:r>
      <w:r>
        <w:rPr>
          <w:rFonts w:hint="eastAsia" w:ascii="宋体" w:hAnsi="宋体" w:eastAsia="宋体" w:cs="宋体"/>
          <w:b/>
          <w:bCs/>
          <w:color w:val="auto"/>
          <w:spacing w:val="10"/>
          <w:kern w:val="0"/>
          <w:sz w:val="28"/>
          <w:szCs w:val="28"/>
          <w:highlight w:val="none"/>
        </w:rPr>
        <w:t>附件二、中标服务费承诺书（格式）</w:t>
      </w:r>
    </w:p>
    <w:p>
      <w:pPr>
        <w:adjustRightInd w:val="0"/>
        <w:snapToGrid w:val="0"/>
        <w:spacing w:line="360" w:lineRule="auto"/>
        <w:rPr>
          <w:rFonts w:hint="eastAsia" w:ascii="宋体" w:hAnsi="宋体" w:eastAsia="宋体" w:cs="宋体"/>
          <w:b/>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本招标文件第六章</w:t>
      </w:r>
      <w:r>
        <w:rPr>
          <w:rFonts w:hint="eastAsia" w:ascii="宋体" w:hAnsi="宋体" w:eastAsia="宋体" w:cs="宋体"/>
          <w:b w:val="0"/>
          <w:bCs/>
          <w:color w:val="auto"/>
          <w:highlight w:val="none"/>
        </w:rPr>
        <w:t>投标文件格式</w:t>
      </w:r>
      <w:r>
        <w:rPr>
          <w:rFonts w:hint="eastAsia" w:ascii="宋体" w:hAnsi="宋体" w:eastAsia="宋体" w:cs="宋体"/>
          <w:b w:val="0"/>
          <w:bCs/>
          <w:color w:val="auto"/>
          <w:highlight w:val="none"/>
          <w:lang w:val="en-US" w:eastAsia="zh-CN"/>
        </w:rPr>
        <w:t>的</w:t>
      </w:r>
      <w:r>
        <w:rPr>
          <w:rFonts w:hint="eastAsia" w:ascii="宋体" w:hAnsi="宋体" w:eastAsia="宋体" w:cs="宋体"/>
          <w:b w:val="0"/>
          <w:bCs/>
          <w:color w:val="auto"/>
          <w:highlight w:val="none"/>
        </w:rPr>
        <w:t>要求</w:t>
      </w:r>
      <w:r>
        <w:rPr>
          <w:rFonts w:hint="eastAsia" w:ascii="宋体" w:hAnsi="宋体" w:eastAsia="宋体" w:cs="宋体"/>
          <w:b w:val="0"/>
          <w:bCs/>
          <w:color w:val="auto"/>
          <w:highlight w:val="none"/>
          <w:lang w:val="en-US" w:eastAsia="zh-CN"/>
        </w:rPr>
        <w:t>中“</w:t>
      </w:r>
      <w:r>
        <w:rPr>
          <w:rFonts w:hint="eastAsia" w:ascii="宋体" w:hAnsi="宋体" w:eastAsia="宋体" w:cs="宋体"/>
          <w:b w:val="0"/>
          <w:bCs/>
          <w:color w:val="auto"/>
          <w:szCs w:val="21"/>
          <w:highlight w:val="none"/>
          <w:lang w:val="en-US" w:eastAsia="zh-CN"/>
        </w:rPr>
        <w:t>格式十八：采购代理服务费支付承诺书</w:t>
      </w:r>
      <w:r>
        <w:rPr>
          <w:rFonts w:hint="eastAsia" w:ascii="宋体" w:hAnsi="宋体" w:eastAsia="宋体" w:cs="宋体"/>
          <w:b w:val="0"/>
          <w:bCs/>
          <w:color w:val="auto"/>
          <w:highlight w:val="none"/>
          <w:lang w:val="en-US" w:eastAsia="zh-CN"/>
        </w:rPr>
        <w:t>”不适用，请根据以下格式填写</w:t>
      </w:r>
      <w:r>
        <w:rPr>
          <w:rFonts w:hint="eastAsia" w:ascii="宋体" w:hAnsi="宋体" w:eastAsia="宋体" w:cs="宋体"/>
          <w:b w:val="0"/>
          <w:bCs/>
          <w:color w:val="auto"/>
          <w:szCs w:val="21"/>
          <w:highlight w:val="none"/>
          <w:lang w:eastAsia="zh-CN"/>
        </w:rPr>
        <w:t>）</w:t>
      </w:r>
    </w:p>
    <w:p>
      <w:pPr>
        <w:adjustRightInd w:val="0"/>
        <w:snapToGrid w:val="0"/>
        <w:spacing w:line="360" w:lineRule="auto"/>
        <w:rPr>
          <w:rFonts w:hint="eastAsia" w:ascii="宋体" w:hAnsi="宋体" w:eastAsia="宋体" w:cs="宋体"/>
          <w:b/>
          <w:color w:val="auto"/>
          <w:szCs w:val="21"/>
          <w:highlight w:val="none"/>
        </w:rPr>
      </w:pPr>
    </w:p>
    <w:p>
      <w:pPr>
        <w:adjustRightInd w:val="0"/>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国义招标股份有限公司：</w:t>
      </w:r>
    </w:p>
    <w:p>
      <w:pPr>
        <w:adjustRightInd w:val="0"/>
        <w:snapToGrid w:val="0"/>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w:t>
      </w:r>
      <w:r>
        <w:rPr>
          <w:rFonts w:hint="eastAsia" w:ascii="宋体" w:hAnsi="宋体" w:eastAsia="宋体" w:cs="宋体"/>
          <w:color w:val="auto"/>
          <w:szCs w:val="21"/>
          <w:highlight w:val="none"/>
          <w:u w:val="single"/>
        </w:rPr>
        <w:t xml:space="preserve">   （投标人名称）   </w:t>
      </w:r>
      <w:r>
        <w:rPr>
          <w:rFonts w:hint="eastAsia" w:ascii="宋体" w:hAnsi="宋体" w:eastAsia="宋体" w:cs="宋体"/>
          <w:color w:val="auto"/>
          <w:szCs w:val="21"/>
          <w:highlight w:val="none"/>
        </w:rPr>
        <w:t>公司在参加在贵司进行的</w:t>
      </w:r>
      <w:r>
        <w:rPr>
          <w:rFonts w:hint="eastAsia" w:ascii="宋体" w:hAnsi="宋体" w:eastAsia="宋体" w:cs="宋体"/>
          <w:color w:val="auto"/>
          <w:szCs w:val="21"/>
          <w:highlight w:val="none"/>
          <w:u w:val="single"/>
        </w:rPr>
        <w:t xml:space="preserve">   （项目名称）  </w:t>
      </w:r>
      <w:r>
        <w:rPr>
          <w:rFonts w:hint="eastAsia" w:ascii="宋体" w:hAnsi="宋体" w:eastAsia="宋体" w:cs="宋体"/>
          <w:color w:val="auto"/>
          <w:szCs w:val="21"/>
          <w:highlight w:val="none"/>
        </w:rPr>
        <w:t>(项目编号：)招标中如获中标，我司保证在领取“中标通知书”前，按本项目投标人须知相关规定向贵司缴纳 “中标服务费”。</w:t>
      </w:r>
    </w:p>
    <w:p>
      <w:pPr>
        <w:adjustRightInd w:val="0"/>
        <w:snapToGrid w:val="0"/>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如我方违约，愿凭贵方开出的违约通知，按上述承付金额的200%由采购人在支付我司的合同款中代为扣付。</w:t>
      </w:r>
    </w:p>
    <w:p>
      <w:pPr>
        <w:adjustRightInd w:val="0"/>
        <w:snapToGrid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另关于我司缴纳中标服务费后开具中标服务费发票的事宜，我司声明如下：</w:t>
      </w:r>
    </w:p>
    <w:p>
      <w:pP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A：</w:t>
      </w:r>
      <w:r>
        <w:rPr>
          <w:rFonts w:hint="eastAsia" w:ascii="宋体" w:hAnsi="宋体" w:eastAsia="宋体" w:cs="宋体"/>
          <w:color w:val="auto"/>
          <w:szCs w:val="21"/>
          <w:highlight w:val="none"/>
        </w:rPr>
        <w:t>如需开具</w:t>
      </w:r>
      <w:r>
        <w:rPr>
          <w:rFonts w:hint="eastAsia" w:ascii="宋体" w:hAnsi="宋体" w:eastAsia="宋体" w:cs="宋体"/>
          <w:b/>
          <w:color w:val="auto"/>
          <w:szCs w:val="21"/>
          <w:highlight w:val="none"/>
          <w:u w:val="single"/>
        </w:rPr>
        <w:t>增值税普通发票</w:t>
      </w:r>
      <w:r>
        <w:rPr>
          <w:rFonts w:hint="eastAsia" w:ascii="宋体" w:hAnsi="宋体" w:eastAsia="宋体" w:cs="宋体"/>
          <w:color w:val="auto"/>
          <w:szCs w:val="21"/>
          <w:highlight w:val="none"/>
        </w:rPr>
        <w:t>，请于下方（ ）打“√”</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）请向我司开具中标费的“</w:t>
      </w:r>
      <w:r>
        <w:rPr>
          <w:rFonts w:hint="eastAsia" w:ascii="宋体" w:hAnsi="宋体" w:eastAsia="宋体" w:cs="宋体"/>
          <w:b/>
          <w:color w:val="auto"/>
          <w:szCs w:val="21"/>
          <w:highlight w:val="none"/>
          <w:u w:val="single"/>
        </w:rPr>
        <w:t>增值税普通发票</w:t>
      </w:r>
      <w:r>
        <w:rPr>
          <w:rFonts w:hint="eastAsia" w:ascii="宋体" w:hAnsi="宋体" w:eastAsia="宋体" w:cs="宋体"/>
          <w:b/>
          <w:color w:val="auto"/>
          <w:szCs w:val="21"/>
          <w:highlight w:val="none"/>
        </w:rPr>
        <w:t>”</w:t>
      </w:r>
      <w:r>
        <w:rPr>
          <w:rFonts w:hint="eastAsia" w:ascii="宋体" w:hAnsi="宋体" w:eastAsia="宋体" w:cs="宋体"/>
          <w:color w:val="auto"/>
          <w:szCs w:val="21"/>
          <w:highlight w:val="none"/>
        </w:rPr>
        <w:t>，开票信息如下：</w:t>
      </w:r>
    </w:p>
    <w:p>
      <w:pP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color w:val="auto"/>
          <w:szCs w:val="21"/>
          <w:highlight w:val="none"/>
        </w:rPr>
        <w:t>我司工商注册名称为：；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2、纳税人识别号（国税）/或统一社会信用代码：</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B：</w:t>
      </w:r>
      <w:r>
        <w:rPr>
          <w:rFonts w:hint="eastAsia" w:ascii="宋体" w:hAnsi="宋体" w:eastAsia="宋体" w:cs="宋体"/>
          <w:color w:val="auto"/>
          <w:szCs w:val="21"/>
          <w:highlight w:val="none"/>
        </w:rPr>
        <w:t>如需开具增值税专用发票，请于下方（ ）打“√”,并提供相关资料</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）请向我司开具中标费的“</w:t>
      </w:r>
      <w:r>
        <w:rPr>
          <w:rFonts w:hint="eastAsia" w:ascii="宋体" w:hAnsi="宋体" w:eastAsia="宋体" w:cs="宋体"/>
          <w:b/>
          <w:color w:val="auto"/>
          <w:szCs w:val="21"/>
          <w:highlight w:val="none"/>
          <w:u w:val="single"/>
        </w:rPr>
        <w:t>增值税专用发票</w:t>
      </w:r>
      <w:r>
        <w:rPr>
          <w:rFonts w:hint="eastAsia" w:ascii="宋体" w:hAnsi="宋体" w:eastAsia="宋体" w:cs="宋体"/>
          <w:b/>
          <w:color w:val="auto"/>
          <w:szCs w:val="21"/>
          <w:highlight w:val="none"/>
        </w:rPr>
        <w:t>”</w:t>
      </w:r>
      <w:r>
        <w:rPr>
          <w:rFonts w:hint="eastAsia" w:ascii="宋体" w:hAnsi="宋体" w:eastAsia="宋体" w:cs="宋体"/>
          <w:color w:val="auto"/>
          <w:szCs w:val="21"/>
          <w:highlight w:val="none"/>
        </w:rPr>
        <w:t>，开票信息为：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1、我司工商注册名称：</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2、纳税人识别号（国税）/或统一社会信用代码：</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3、注册地址：</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4、办公电话（固话）：</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5、开户银行及账号：</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6、一般纳税人资格证书/或加盖了税务局“增值税一般纳税人”条章的国税登记证扫描件/或在所属国税局网站的查询结果截图</w:t>
      </w:r>
      <w:r>
        <w:rPr>
          <w:rFonts w:hint="eastAsia" w:ascii="宋体" w:hAnsi="宋体" w:eastAsia="宋体" w:cs="宋体"/>
          <w:color w:val="auto"/>
          <w:szCs w:val="21"/>
          <w:highlight w:val="none"/>
          <w:u w:val="single"/>
        </w:rPr>
        <w:t>（截图后附）</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中标单位联系人：， 手机</w:t>
      </w:r>
      <w:r>
        <w:rPr>
          <w:rFonts w:hint="eastAsia" w:ascii="宋体" w:hAnsi="宋体" w:eastAsia="宋体" w:cs="宋体"/>
          <w:color w:val="auto"/>
          <w:szCs w:val="21"/>
          <w:highlight w:val="none"/>
          <w:u w:val="single"/>
        </w:rPr>
        <w:t>号：            ;</w:t>
      </w:r>
    </w:p>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单位地址：电话：传真：</w:t>
      </w:r>
      <w:r>
        <w:rPr>
          <w:rFonts w:hint="eastAsia" w:ascii="宋体" w:hAnsi="宋体" w:eastAsia="宋体" w:cs="宋体"/>
          <w:color w:val="auto"/>
          <w:szCs w:val="21"/>
          <w:highlight w:val="none"/>
          <w:u w:val="single"/>
        </w:rPr>
        <w:t xml:space="preserve">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特此声明。</w:t>
      </w: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投标人法定代表人（或法定代表人授权代表）签字：                   </w:t>
      </w:r>
    </w:p>
    <w:p>
      <w:pPr>
        <w:rPr>
          <w:rFonts w:hint="eastAsia" w:ascii="宋体" w:hAnsi="宋体" w:eastAsia="宋体" w:cs="宋体"/>
          <w:color w:val="auto"/>
          <w:szCs w:val="24"/>
          <w:highlight w:val="none"/>
        </w:rPr>
      </w:pPr>
      <w:r>
        <w:rPr>
          <w:rFonts w:hint="eastAsia" w:ascii="宋体" w:hAnsi="宋体" w:eastAsia="宋体" w:cs="宋体"/>
          <w:color w:val="auto"/>
          <w:szCs w:val="21"/>
          <w:highlight w:val="none"/>
        </w:rPr>
        <w:t xml:space="preserve">投标人名称（加盖公章）：                </w:t>
      </w:r>
    </w:p>
    <w:p>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日期：年</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月</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日</w:t>
      </w:r>
    </w:p>
    <w:p>
      <w:pPr>
        <w:pStyle w:val="14"/>
        <w:tabs>
          <w:tab w:val="left" w:pos="2030"/>
          <w:tab w:val="left" w:pos="3323"/>
          <w:tab w:val="left" w:pos="3515"/>
        </w:tabs>
        <w:kinsoku w:val="0"/>
        <w:overflowPunct w:val="0"/>
        <w:ind w:right="104"/>
        <w:jc w:val="right"/>
        <w:rPr>
          <w:rFonts w:hint="eastAsia" w:hAnsi="宋体"/>
          <w:color w:val="auto"/>
          <w:highlight w:val="none"/>
        </w:rPr>
      </w:pPr>
    </w:p>
    <w:sectPr>
      <w:footerReference r:id="rId3" w:type="default"/>
      <w:pgSz w:w="11900" w:h="16840"/>
      <w:pgMar w:top="500" w:right="520" w:bottom="280" w:left="900" w:header="0" w:footer="1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3C004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ind w:left="0"/>
      <w:rPr>
        <w:rFonts w:ascii="Times New Roman" w:eastAsia="等线"/>
        <w:sz w:val="20"/>
      </w:rPr>
    </w:pPr>
    <w:r>
      <mc:AlternateContent>
        <mc:Choice Requires="wps">
          <w:drawing>
            <wp:anchor distT="0" distB="0" distL="114300" distR="114300" simplePos="0" relativeHeight="251659264" behindDoc="1" locked="0" layoutInCell="0" allowOverlap="1">
              <wp:simplePos x="0" y="0"/>
              <wp:positionH relativeFrom="page">
                <wp:posOffset>3459480</wp:posOffset>
              </wp:positionH>
              <wp:positionV relativeFrom="page">
                <wp:posOffset>10494645</wp:posOffset>
              </wp:positionV>
              <wp:extent cx="633095" cy="2032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33095" cy="203200"/>
                      </a:xfrm>
                      <a:prstGeom prst="rect">
                        <a:avLst/>
                      </a:prstGeom>
                      <a:noFill/>
                      <a:ln>
                        <a:noFill/>
                      </a:ln>
                    </wps:spPr>
                    <wps:txbx>
                      <w:txbxContent>
                        <w:p>
                          <w:pPr>
                            <w:pStyle w:val="14"/>
                            <w:kinsoku w:val="0"/>
                            <w:overflowPunct w:val="0"/>
                            <w:spacing w:before="2"/>
                            <w:ind w:left="20"/>
                            <w:rPr>
                              <w:sz w:val="24"/>
                              <w:szCs w:val="24"/>
                            </w:rPr>
                          </w:pPr>
                          <w:r>
                            <w:rPr>
                              <w:sz w:val="24"/>
                              <w:szCs w:val="24"/>
                            </w:rPr>
                            <w:t>-</w:t>
                          </w:r>
                          <w:r>
                            <w:rPr>
                              <w:rFonts w:hint="eastAsia"/>
                              <w:sz w:val="24"/>
                              <w:szCs w:val="24"/>
                            </w:rPr>
                            <w:t>第</w:t>
                          </w:r>
                          <w:r>
                            <w:rPr>
                              <w:sz w:val="24"/>
                              <w:szCs w:val="24"/>
                            </w:rPr>
                            <w:fldChar w:fldCharType="begin"/>
                          </w:r>
                          <w:r>
                            <w:rPr>
                              <w:sz w:val="24"/>
                              <w:szCs w:val="24"/>
                            </w:rPr>
                            <w:instrText xml:space="preserve"> PAGE </w:instrText>
                          </w:r>
                          <w:r>
                            <w:rPr>
                              <w:sz w:val="24"/>
                              <w:szCs w:val="24"/>
                            </w:rPr>
                            <w:fldChar w:fldCharType="separate"/>
                          </w:r>
                          <w:r>
                            <w:rPr>
                              <w:sz w:val="24"/>
                              <w:szCs w:val="24"/>
                            </w:rPr>
                            <w:t>29</w:t>
                          </w:r>
                          <w:r>
                            <w:rPr>
                              <w:sz w:val="24"/>
                              <w:szCs w:val="24"/>
                            </w:rPr>
                            <w:fldChar w:fldCharType="end"/>
                          </w:r>
                          <w:r>
                            <w:rPr>
                              <w:rFonts w:hint="eastAsia"/>
                              <w:sz w:val="24"/>
                              <w:szCs w:val="24"/>
                            </w:rPr>
                            <w:t>页</w:t>
                          </w:r>
                          <w:r>
                            <w:rPr>
                              <w:sz w:val="24"/>
                              <w:szCs w:val="24"/>
                            </w:rPr>
                            <w:t>-</w:t>
                          </w:r>
                        </w:p>
                      </w:txbxContent>
                    </wps:txbx>
                    <wps:bodyPr wrap="square" lIns="0" tIns="0" rIns="0" bIns="0" upright="1"/>
                  </wps:wsp>
                </a:graphicData>
              </a:graphic>
            </wp:anchor>
          </w:drawing>
        </mc:Choice>
        <mc:Fallback>
          <w:pict>
            <v:shape id="文本框 2" o:spid="_x0000_s1026" o:spt="202" type="#_x0000_t202" style="position:absolute;left:0pt;margin-left:272.4pt;margin-top:826.35pt;height:16pt;width:49.85pt;mso-position-horizontal-relative:page;mso-position-vertical-relative:page;z-index:-251657216;mso-width-relative:page;mso-height-relative:page;" filled="f" stroked="f" coordsize="21600,21600" o:allowincell="f" o:gfxdata="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CVD13bAAAADQEAAA8AAAAAAAAAAQAgAAAAIgAAAGRycy9kb3du&#10;cmV2LnhtbFBLAQIUABQAAAAIAIdO4kBbN6CtwwEAAH8DAAAOAAAAAAAAAAEAIAAAACoBAABkcnMv&#10;ZTJvRG9jLnhtbFBLBQYAAAAABgAGAFkBAABfBQAAAAA=&#10;">
              <v:fill on="f" focussize="0,0"/>
              <v:stroke on="f"/>
              <v:imagedata o:title=""/>
              <o:lock v:ext="edit" aspectratio="f"/>
              <v:textbox inset="0mm,0mm,0mm,0mm">
                <w:txbxContent>
                  <w:p>
                    <w:pPr>
                      <w:pStyle w:val="14"/>
                      <w:kinsoku w:val="0"/>
                      <w:overflowPunct w:val="0"/>
                      <w:spacing w:before="2"/>
                      <w:ind w:left="20"/>
                      <w:rPr>
                        <w:sz w:val="24"/>
                        <w:szCs w:val="24"/>
                      </w:rPr>
                    </w:pPr>
                    <w:r>
                      <w:rPr>
                        <w:sz w:val="24"/>
                        <w:szCs w:val="24"/>
                      </w:rPr>
                      <w:t>-</w:t>
                    </w:r>
                    <w:r>
                      <w:rPr>
                        <w:rFonts w:hint="eastAsia"/>
                        <w:sz w:val="24"/>
                        <w:szCs w:val="24"/>
                      </w:rPr>
                      <w:t>第</w:t>
                    </w:r>
                    <w:r>
                      <w:rPr>
                        <w:sz w:val="24"/>
                        <w:szCs w:val="24"/>
                      </w:rPr>
                      <w:fldChar w:fldCharType="begin"/>
                    </w:r>
                    <w:r>
                      <w:rPr>
                        <w:sz w:val="24"/>
                        <w:szCs w:val="24"/>
                      </w:rPr>
                      <w:instrText xml:space="preserve"> PAGE </w:instrText>
                    </w:r>
                    <w:r>
                      <w:rPr>
                        <w:sz w:val="24"/>
                        <w:szCs w:val="24"/>
                      </w:rPr>
                      <w:fldChar w:fldCharType="separate"/>
                    </w:r>
                    <w:r>
                      <w:rPr>
                        <w:sz w:val="24"/>
                        <w:szCs w:val="24"/>
                      </w:rPr>
                      <w:t>29</w:t>
                    </w:r>
                    <w:r>
                      <w:rPr>
                        <w:sz w:val="24"/>
                        <w:szCs w:val="24"/>
                      </w:rPr>
                      <w:fldChar w:fldCharType="end"/>
                    </w:r>
                    <w:r>
                      <w:rPr>
                        <w:rFonts w:hint="eastAsia"/>
                        <w:sz w:val="24"/>
                        <w:szCs w:val="24"/>
                      </w:rPr>
                      <w:t>页</w:t>
                    </w:r>
                    <w:r>
                      <w:rPr>
                        <w:sz w:val="24"/>
                        <w:szCs w:val="24"/>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BB18B"/>
    <w:multiLevelType w:val="singleLevel"/>
    <w:tmpl w:val="8BEBB18B"/>
    <w:lvl w:ilvl="0" w:tentative="0">
      <w:start w:val="1"/>
      <w:numFmt w:val="decimal"/>
      <w:suff w:val="nothing"/>
      <w:lvlText w:val="%1）"/>
      <w:lvlJc w:val="left"/>
    </w:lvl>
  </w:abstractNum>
  <w:abstractNum w:abstractNumId="1">
    <w:nsid w:val="916903C7"/>
    <w:multiLevelType w:val="singleLevel"/>
    <w:tmpl w:val="916903C7"/>
    <w:lvl w:ilvl="0" w:tentative="0">
      <w:start w:val="1"/>
      <w:numFmt w:val="decimal"/>
      <w:suff w:val="nothing"/>
      <w:lvlText w:val="（%1）"/>
      <w:lvlJc w:val="left"/>
      <w:pPr>
        <w:ind w:left="480" w:firstLine="0"/>
      </w:pPr>
    </w:lvl>
  </w:abstractNum>
  <w:abstractNum w:abstractNumId="2">
    <w:nsid w:val="9D5084D2"/>
    <w:multiLevelType w:val="singleLevel"/>
    <w:tmpl w:val="9D5084D2"/>
    <w:lvl w:ilvl="0" w:tentative="0">
      <w:start w:val="1"/>
      <w:numFmt w:val="decimal"/>
      <w:suff w:val="nothing"/>
      <w:lvlText w:val="%1）"/>
      <w:lvlJc w:val="left"/>
    </w:lvl>
  </w:abstractNum>
  <w:abstractNum w:abstractNumId="3">
    <w:nsid w:val="A5417F0E"/>
    <w:multiLevelType w:val="singleLevel"/>
    <w:tmpl w:val="A5417F0E"/>
    <w:lvl w:ilvl="0" w:tentative="0">
      <w:start w:val="1"/>
      <w:numFmt w:val="decimal"/>
      <w:suff w:val="nothing"/>
      <w:lvlText w:val="%1）"/>
      <w:lvlJc w:val="left"/>
    </w:lvl>
  </w:abstractNum>
  <w:abstractNum w:abstractNumId="4">
    <w:nsid w:val="AFB8BF9B"/>
    <w:multiLevelType w:val="singleLevel"/>
    <w:tmpl w:val="AFB8BF9B"/>
    <w:lvl w:ilvl="0" w:tentative="0">
      <w:start w:val="1"/>
      <w:numFmt w:val="decimal"/>
      <w:suff w:val="nothing"/>
      <w:lvlText w:val="%1、"/>
      <w:lvlJc w:val="left"/>
    </w:lvl>
  </w:abstractNum>
  <w:abstractNum w:abstractNumId="5">
    <w:nsid w:val="B49007CB"/>
    <w:multiLevelType w:val="singleLevel"/>
    <w:tmpl w:val="B49007CB"/>
    <w:lvl w:ilvl="0" w:tentative="0">
      <w:start w:val="1"/>
      <w:numFmt w:val="decimal"/>
      <w:suff w:val="nothing"/>
      <w:lvlText w:val="%1）"/>
      <w:lvlJc w:val="left"/>
    </w:lvl>
  </w:abstractNum>
  <w:abstractNum w:abstractNumId="6">
    <w:nsid w:val="BF3DD71E"/>
    <w:multiLevelType w:val="singleLevel"/>
    <w:tmpl w:val="BF3DD71E"/>
    <w:lvl w:ilvl="0" w:tentative="0">
      <w:start w:val="1"/>
      <w:numFmt w:val="decimal"/>
      <w:suff w:val="nothing"/>
      <w:lvlText w:val="%1、"/>
      <w:lvlJc w:val="left"/>
    </w:lvl>
  </w:abstractNum>
  <w:abstractNum w:abstractNumId="7">
    <w:nsid w:val="BF5C795B"/>
    <w:multiLevelType w:val="singleLevel"/>
    <w:tmpl w:val="BF5C795B"/>
    <w:lvl w:ilvl="0" w:tentative="0">
      <w:start w:val="9"/>
      <w:numFmt w:val="decimal"/>
      <w:suff w:val="nothing"/>
      <w:lvlText w:val="%1、"/>
      <w:lvlJc w:val="left"/>
    </w:lvl>
  </w:abstractNum>
  <w:abstractNum w:abstractNumId="8">
    <w:nsid w:val="C8DD1015"/>
    <w:multiLevelType w:val="singleLevel"/>
    <w:tmpl w:val="C8DD1015"/>
    <w:lvl w:ilvl="0" w:tentative="0">
      <w:start w:val="1"/>
      <w:numFmt w:val="decimal"/>
      <w:suff w:val="nothing"/>
      <w:lvlText w:val="%1）"/>
      <w:lvlJc w:val="left"/>
    </w:lvl>
  </w:abstractNum>
  <w:abstractNum w:abstractNumId="9">
    <w:nsid w:val="C962418A"/>
    <w:multiLevelType w:val="singleLevel"/>
    <w:tmpl w:val="C962418A"/>
    <w:lvl w:ilvl="0" w:tentative="0">
      <w:start w:val="1"/>
      <w:numFmt w:val="decimal"/>
      <w:suff w:val="nothing"/>
      <w:lvlText w:val="%1）"/>
      <w:lvlJc w:val="left"/>
    </w:lvl>
  </w:abstractNum>
  <w:abstractNum w:abstractNumId="10">
    <w:nsid w:val="DE82813B"/>
    <w:multiLevelType w:val="singleLevel"/>
    <w:tmpl w:val="DE82813B"/>
    <w:lvl w:ilvl="0" w:tentative="0">
      <w:start w:val="3"/>
      <w:numFmt w:val="upperLetter"/>
      <w:suff w:val="nothing"/>
      <w:lvlText w:val="%1、"/>
      <w:lvlJc w:val="left"/>
    </w:lvl>
  </w:abstractNum>
  <w:abstractNum w:abstractNumId="11">
    <w:nsid w:val="DF694006"/>
    <w:multiLevelType w:val="singleLevel"/>
    <w:tmpl w:val="DF694006"/>
    <w:lvl w:ilvl="0" w:tentative="0">
      <w:start w:val="1"/>
      <w:numFmt w:val="decimal"/>
      <w:suff w:val="nothing"/>
      <w:lvlText w:val="%1）"/>
      <w:lvlJc w:val="left"/>
    </w:lvl>
  </w:abstractNum>
  <w:abstractNum w:abstractNumId="12">
    <w:nsid w:val="F7B3BCCC"/>
    <w:multiLevelType w:val="singleLevel"/>
    <w:tmpl w:val="F7B3BCCC"/>
    <w:lvl w:ilvl="0" w:tentative="0">
      <w:start w:val="1"/>
      <w:numFmt w:val="decimal"/>
      <w:suff w:val="nothing"/>
      <w:lvlText w:val="%1）"/>
      <w:lvlJc w:val="left"/>
    </w:lvl>
  </w:abstractNum>
  <w:abstractNum w:abstractNumId="13">
    <w:nsid w:val="FC99C03E"/>
    <w:multiLevelType w:val="singleLevel"/>
    <w:tmpl w:val="FC99C03E"/>
    <w:lvl w:ilvl="0" w:tentative="0">
      <w:start w:val="1"/>
      <w:numFmt w:val="decimal"/>
      <w:suff w:val="nothing"/>
      <w:lvlText w:val="%1、"/>
      <w:lvlJc w:val="left"/>
    </w:lvl>
  </w:abstractNum>
  <w:abstractNum w:abstractNumId="14">
    <w:nsid w:val="FE3043A3"/>
    <w:multiLevelType w:val="singleLevel"/>
    <w:tmpl w:val="FE3043A3"/>
    <w:lvl w:ilvl="0" w:tentative="0">
      <w:start w:val="1"/>
      <w:numFmt w:val="lowerLetter"/>
      <w:suff w:val="nothing"/>
      <w:lvlText w:val="%1、"/>
      <w:lvlJc w:val="left"/>
    </w:lvl>
  </w:abstractNum>
  <w:abstractNum w:abstractNumId="15">
    <w:nsid w:val="092D9AB7"/>
    <w:multiLevelType w:val="singleLevel"/>
    <w:tmpl w:val="092D9AB7"/>
    <w:lvl w:ilvl="0" w:tentative="0">
      <w:start w:val="1"/>
      <w:numFmt w:val="decimal"/>
      <w:suff w:val="nothing"/>
      <w:lvlText w:val="%1、"/>
      <w:lvlJc w:val="left"/>
    </w:lvl>
  </w:abstractNum>
  <w:abstractNum w:abstractNumId="16">
    <w:nsid w:val="204594D3"/>
    <w:multiLevelType w:val="singleLevel"/>
    <w:tmpl w:val="204594D3"/>
    <w:lvl w:ilvl="0" w:tentative="0">
      <w:start w:val="2"/>
      <w:numFmt w:val="decimal"/>
      <w:suff w:val="nothing"/>
      <w:lvlText w:val="%1、"/>
      <w:lvlJc w:val="left"/>
    </w:lvl>
  </w:abstractNum>
  <w:abstractNum w:abstractNumId="17">
    <w:nsid w:val="2665F12D"/>
    <w:multiLevelType w:val="singleLevel"/>
    <w:tmpl w:val="2665F12D"/>
    <w:lvl w:ilvl="0" w:tentative="0">
      <w:start w:val="1"/>
      <w:numFmt w:val="lowerLetter"/>
      <w:suff w:val="nothing"/>
      <w:lvlText w:val="%1、"/>
      <w:lvlJc w:val="left"/>
    </w:lvl>
  </w:abstractNum>
  <w:abstractNum w:abstractNumId="18">
    <w:nsid w:val="2B0E0747"/>
    <w:multiLevelType w:val="singleLevel"/>
    <w:tmpl w:val="2B0E0747"/>
    <w:lvl w:ilvl="0" w:tentative="0">
      <w:start w:val="8"/>
      <w:numFmt w:val="chineseCounting"/>
      <w:suff w:val="nothing"/>
      <w:lvlText w:val="%1、"/>
      <w:lvlJc w:val="left"/>
      <w:rPr>
        <w:rFonts w:hint="eastAsia"/>
      </w:rPr>
    </w:lvl>
  </w:abstractNum>
  <w:abstractNum w:abstractNumId="19">
    <w:nsid w:val="35241C23"/>
    <w:multiLevelType w:val="singleLevel"/>
    <w:tmpl w:val="35241C23"/>
    <w:lvl w:ilvl="0" w:tentative="0">
      <w:start w:val="7"/>
      <w:numFmt w:val="decimal"/>
      <w:suff w:val="nothing"/>
      <w:lvlText w:val="%1、"/>
      <w:lvlJc w:val="left"/>
    </w:lvl>
  </w:abstractNum>
  <w:abstractNum w:abstractNumId="20">
    <w:nsid w:val="39B750CD"/>
    <w:multiLevelType w:val="singleLevel"/>
    <w:tmpl w:val="39B750CD"/>
    <w:lvl w:ilvl="0" w:tentative="0">
      <w:start w:val="1"/>
      <w:numFmt w:val="decimal"/>
      <w:suff w:val="nothing"/>
      <w:lvlText w:val="%1）"/>
      <w:lvlJc w:val="left"/>
    </w:lvl>
  </w:abstractNum>
  <w:abstractNum w:abstractNumId="21">
    <w:nsid w:val="3EAAFFE6"/>
    <w:multiLevelType w:val="singleLevel"/>
    <w:tmpl w:val="3EAAFFE6"/>
    <w:lvl w:ilvl="0" w:tentative="0">
      <w:start w:val="19"/>
      <w:numFmt w:val="decimal"/>
      <w:suff w:val="nothing"/>
      <w:lvlText w:val="%1、"/>
      <w:lvlJc w:val="left"/>
    </w:lvl>
  </w:abstractNum>
  <w:abstractNum w:abstractNumId="22">
    <w:nsid w:val="406F6CE6"/>
    <w:multiLevelType w:val="singleLevel"/>
    <w:tmpl w:val="406F6CE6"/>
    <w:lvl w:ilvl="0" w:tentative="0">
      <w:start w:val="13"/>
      <w:numFmt w:val="decimal"/>
      <w:suff w:val="nothing"/>
      <w:lvlText w:val="%1）"/>
      <w:lvlJc w:val="left"/>
    </w:lvl>
  </w:abstractNum>
  <w:abstractNum w:abstractNumId="23">
    <w:nsid w:val="5ECDC67B"/>
    <w:multiLevelType w:val="singleLevel"/>
    <w:tmpl w:val="5ECDC67B"/>
    <w:lvl w:ilvl="0" w:tentative="0">
      <w:start w:val="8"/>
      <w:numFmt w:val="decimal"/>
      <w:suff w:val="nothing"/>
      <w:lvlText w:val="%1、"/>
      <w:lvlJc w:val="left"/>
    </w:lvl>
  </w:abstractNum>
  <w:abstractNum w:abstractNumId="24">
    <w:nsid w:val="696424EC"/>
    <w:multiLevelType w:val="singleLevel"/>
    <w:tmpl w:val="696424EC"/>
    <w:lvl w:ilvl="0" w:tentative="0">
      <w:start w:val="1"/>
      <w:numFmt w:val="decimal"/>
      <w:lvlText w:val="%1."/>
      <w:lvlJc w:val="left"/>
      <w:pPr>
        <w:tabs>
          <w:tab w:val="left" w:pos="312"/>
        </w:tabs>
      </w:pPr>
    </w:lvl>
  </w:abstractNum>
  <w:abstractNum w:abstractNumId="25">
    <w:nsid w:val="6B162C09"/>
    <w:multiLevelType w:val="singleLevel"/>
    <w:tmpl w:val="6B162C09"/>
    <w:lvl w:ilvl="0" w:tentative="0">
      <w:start w:val="3"/>
      <w:numFmt w:val="upperLetter"/>
      <w:suff w:val="nothing"/>
      <w:lvlText w:val="%1、"/>
      <w:lvlJc w:val="left"/>
    </w:lvl>
  </w:abstractNum>
  <w:abstractNum w:abstractNumId="26">
    <w:nsid w:val="78978F7B"/>
    <w:multiLevelType w:val="singleLevel"/>
    <w:tmpl w:val="78978F7B"/>
    <w:lvl w:ilvl="0" w:tentative="0">
      <w:start w:val="1"/>
      <w:numFmt w:val="decimal"/>
      <w:suff w:val="nothing"/>
      <w:lvlText w:val="%1）"/>
      <w:lvlJc w:val="left"/>
    </w:lvl>
  </w:abstractNum>
  <w:num w:numId="1">
    <w:abstractNumId w:val="16"/>
  </w:num>
  <w:num w:numId="2">
    <w:abstractNumId w:val="11"/>
  </w:num>
  <w:num w:numId="3">
    <w:abstractNumId w:val="0"/>
  </w:num>
  <w:num w:numId="4">
    <w:abstractNumId w:val="1"/>
  </w:num>
  <w:num w:numId="5">
    <w:abstractNumId w:val="15"/>
  </w:num>
  <w:num w:numId="6">
    <w:abstractNumId w:val="26"/>
  </w:num>
  <w:num w:numId="7">
    <w:abstractNumId w:val="22"/>
  </w:num>
  <w:num w:numId="8">
    <w:abstractNumId w:val="2"/>
  </w:num>
  <w:num w:numId="9">
    <w:abstractNumId w:val="12"/>
  </w:num>
  <w:num w:numId="10">
    <w:abstractNumId w:val="5"/>
  </w:num>
  <w:num w:numId="11">
    <w:abstractNumId w:val="8"/>
  </w:num>
  <w:num w:numId="12">
    <w:abstractNumId w:val="9"/>
  </w:num>
  <w:num w:numId="13">
    <w:abstractNumId w:val="14"/>
  </w:num>
  <w:num w:numId="14">
    <w:abstractNumId w:val="10"/>
  </w:num>
  <w:num w:numId="15">
    <w:abstractNumId w:val="17"/>
  </w:num>
  <w:num w:numId="16">
    <w:abstractNumId w:val="4"/>
  </w:num>
  <w:num w:numId="17">
    <w:abstractNumId w:val="13"/>
  </w:num>
  <w:num w:numId="18">
    <w:abstractNumId w:val="6"/>
  </w:num>
  <w:num w:numId="19">
    <w:abstractNumId w:val="25"/>
  </w:num>
  <w:num w:numId="20">
    <w:abstractNumId w:val="18"/>
  </w:num>
  <w:num w:numId="21">
    <w:abstractNumId w:val="24"/>
  </w:num>
  <w:num w:numId="22">
    <w:abstractNumId w:val="3"/>
  </w:num>
  <w:num w:numId="23">
    <w:abstractNumId w:val="19"/>
  </w:num>
  <w:num w:numId="24">
    <w:abstractNumId w:val="23"/>
  </w:num>
  <w:num w:numId="25">
    <w:abstractNumId w:val="7"/>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doNotCompress"/>
  <w:doNotValidateAgainstSchema/>
  <w:doNotDemarcateInvalidXml/>
  <w:compat>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lMDBlOTM5ZTdlNWYzYWQ0OWUwNTg4M2EwNGNkYjEifQ=="/>
  </w:docVars>
  <w:rsids>
    <w:rsidRoot w:val="00172A27"/>
    <w:rsid w:val="00014475"/>
    <w:rsid w:val="00025C71"/>
    <w:rsid w:val="00042BC5"/>
    <w:rsid w:val="0005686F"/>
    <w:rsid w:val="000743C4"/>
    <w:rsid w:val="00074AC1"/>
    <w:rsid w:val="00075B80"/>
    <w:rsid w:val="00081D64"/>
    <w:rsid w:val="000B241F"/>
    <w:rsid w:val="000C54D7"/>
    <w:rsid w:val="000D768B"/>
    <w:rsid w:val="000E6780"/>
    <w:rsid w:val="00106E3C"/>
    <w:rsid w:val="00145B3D"/>
    <w:rsid w:val="00162D01"/>
    <w:rsid w:val="001655B7"/>
    <w:rsid w:val="00167FCA"/>
    <w:rsid w:val="0017344F"/>
    <w:rsid w:val="00190F8F"/>
    <w:rsid w:val="00192CF9"/>
    <w:rsid w:val="001C097A"/>
    <w:rsid w:val="001C2E41"/>
    <w:rsid w:val="001C72D2"/>
    <w:rsid w:val="001D43F0"/>
    <w:rsid w:val="001F2B68"/>
    <w:rsid w:val="002009B6"/>
    <w:rsid w:val="00235363"/>
    <w:rsid w:val="00240695"/>
    <w:rsid w:val="0024547E"/>
    <w:rsid w:val="00245ECE"/>
    <w:rsid w:val="0027271F"/>
    <w:rsid w:val="00272855"/>
    <w:rsid w:val="0027321D"/>
    <w:rsid w:val="002843ED"/>
    <w:rsid w:val="00286726"/>
    <w:rsid w:val="00286AF7"/>
    <w:rsid w:val="00293061"/>
    <w:rsid w:val="002A768F"/>
    <w:rsid w:val="002B32A7"/>
    <w:rsid w:val="002B3779"/>
    <w:rsid w:val="002C340F"/>
    <w:rsid w:val="002D66AB"/>
    <w:rsid w:val="002D7E03"/>
    <w:rsid w:val="002F4F34"/>
    <w:rsid w:val="002F70BE"/>
    <w:rsid w:val="0032177B"/>
    <w:rsid w:val="00323217"/>
    <w:rsid w:val="003440BE"/>
    <w:rsid w:val="00350D3E"/>
    <w:rsid w:val="00360044"/>
    <w:rsid w:val="003714C9"/>
    <w:rsid w:val="003716AD"/>
    <w:rsid w:val="003825FB"/>
    <w:rsid w:val="00387C9A"/>
    <w:rsid w:val="003A7EBD"/>
    <w:rsid w:val="003B03AD"/>
    <w:rsid w:val="003E3EC7"/>
    <w:rsid w:val="003F25F8"/>
    <w:rsid w:val="00422D21"/>
    <w:rsid w:val="00444BCF"/>
    <w:rsid w:val="00462D22"/>
    <w:rsid w:val="00482839"/>
    <w:rsid w:val="00491FBB"/>
    <w:rsid w:val="00492D24"/>
    <w:rsid w:val="004970B6"/>
    <w:rsid w:val="004A1BCB"/>
    <w:rsid w:val="004A5B59"/>
    <w:rsid w:val="004B0112"/>
    <w:rsid w:val="004B06A8"/>
    <w:rsid w:val="004B2567"/>
    <w:rsid w:val="004B2924"/>
    <w:rsid w:val="004B5D7F"/>
    <w:rsid w:val="004C1B53"/>
    <w:rsid w:val="00512AB0"/>
    <w:rsid w:val="00520EA5"/>
    <w:rsid w:val="005304D2"/>
    <w:rsid w:val="00545CCA"/>
    <w:rsid w:val="005629F8"/>
    <w:rsid w:val="0056575C"/>
    <w:rsid w:val="0057305C"/>
    <w:rsid w:val="005873CC"/>
    <w:rsid w:val="00587754"/>
    <w:rsid w:val="005926B4"/>
    <w:rsid w:val="00596787"/>
    <w:rsid w:val="005B110A"/>
    <w:rsid w:val="005B7191"/>
    <w:rsid w:val="00602EF5"/>
    <w:rsid w:val="006035C6"/>
    <w:rsid w:val="006158F9"/>
    <w:rsid w:val="00615A93"/>
    <w:rsid w:val="00617E56"/>
    <w:rsid w:val="00625AE0"/>
    <w:rsid w:val="0063636D"/>
    <w:rsid w:val="00637E8E"/>
    <w:rsid w:val="0065013D"/>
    <w:rsid w:val="00650B2A"/>
    <w:rsid w:val="00653E89"/>
    <w:rsid w:val="00664DB1"/>
    <w:rsid w:val="006A6610"/>
    <w:rsid w:val="006B6E41"/>
    <w:rsid w:val="006C6D53"/>
    <w:rsid w:val="006F5DEA"/>
    <w:rsid w:val="00700584"/>
    <w:rsid w:val="00704E73"/>
    <w:rsid w:val="00706951"/>
    <w:rsid w:val="007268BA"/>
    <w:rsid w:val="007470FC"/>
    <w:rsid w:val="0075488F"/>
    <w:rsid w:val="00754EB6"/>
    <w:rsid w:val="00784299"/>
    <w:rsid w:val="007950A2"/>
    <w:rsid w:val="007975AF"/>
    <w:rsid w:val="007A2F54"/>
    <w:rsid w:val="007B0DF6"/>
    <w:rsid w:val="007C6E25"/>
    <w:rsid w:val="007D02AB"/>
    <w:rsid w:val="007E2656"/>
    <w:rsid w:val="00820D7C"/>
    <w:rsid w:val="00822ADF"/>
    <w:rsid w:val="0082791B"/>
    <w:rsid w:val="00842506"/>
    <w:rsid w:val="00856924"/>
    <w:rsid w:val="00876613"/>
    <w:rsid w:val="008772CF"/>
    <w:rsid w:val="00883075"/>
    <w:rsid w:val="008844A2"/>
    <w:rsid w:val="00886554"/>
    <w:rsid w:val="00892A7A"/>
    <w:rsid w:val="00894004"/>
    <w:rsid w:val="008D00E6"/>
    <w:rsid w:val="009069B9"/>
    <w:rsid w:val="00921528"/>
    <w:rsid w:val="00924AFB"/>
    <w:rsid w:val="00926A75"/>
    <w:rsid w:val="009322E7"/>
    <w:rsid w:val="00945C7D"/>
    <w:rsid w:val="00946530"/>
    <w:rsid w:val="00965A5F"/>
    <w:rsid w:val="00974E8E"/>
    <w:rsid w:val="00980294"/>
    <w:rsid w:val="00982C40"/>
    <w:rsid w:val="00994B88"/>
    <w:rsid w:val="00996114"/>
    <w:rsid w:val="009A4D3A"/>
    <w:rsid w:val="009B149E"/>
    <w:rsid w:val="009B5D1E"/>
    <w:rsid w:val="009E24E4"/>
    <w:rsid w:val="009E2579"/>
    <w:rsid w:val="009E7145"/>
    <w:rsid w:val="00A00CB3"/>
    <w:rsid w:val="00A045B5"/>
    <w:rsid w:val="00A4272E"/>
    <w:rsid w:val="00A66E7D"/>
    <w:rsid w:val="00A8515C"/>
    <w:rsid w:val="00A865F7"/>
    <w:rsid w:val="00AA3F14"/>
    <w:rsid w:val="00AB0BFE"/>
    <w:rsid w:val="00AB17AC"/>
    <w:rsid w:val="00AB4835"/>
    <w:rsid w:val="00AB6B52"/>
    <w:rsid w:val="00AC74A0"/>
    <w:rsid w:val="00AE171E"/>
    <w:rsid w:val="00B63698"/>
    <w:rsid w:val="00B661C7"/>
    <w:rsid w:val="00B74BA9"/>
    <w:rsid w:val="00B8208E"/>
    <w:rsid w:val="00B82B8A"/>
    <w:rsid w:val="00B82FAE"/>
    <w:rsid w:val="00B915F7"/>
    <w:rsid w:val="00B9438E"/>
    <w:rsid w:val="00BC1C37"/>
    <w:rsid w:val="00BC2B5C"/>
    <w:rsid w:val="00BE2053"/>
    <w:rsid w:val="00BF09DC"/>
    <w:rsid w:val="00BF38FF"/>
    <w:rsid w:val="00BF3C7F"/>
    <w:rsid w:val="00C160EB"/>
    <w:rsid w:val="00C25464"/>
    <w:rsid w:val="00C255D4"/>
    <w:rsid w:val="00C320A0"/>
    <w:rsid w:val="00C341FA"/>
    <w:rsid w:val="00C34FC7"/>
    <w:rsid w:val="00C54EFC"/>
    <w:rsid w:val="00C70ACA"/>
    <w:rsid w:val="00C81383"/>
    <w:rsid w:val="00C82DC9"/>
    <w:rsid w:val="00C863AE"/>
    <w:rsid w:val="00C9557E"/>
    <w:rsid w:val="00CC1DD8"/>
    <w:rsid w:val="00CC3232"/>
    <w:rsid w:val="00D0519B"/>
    <w:rsid w:val="00D05EB4"/>
    <w:rsid w:val="00D11C3D"/>
    <w:rsid w:val="00D25206"/>
    <w:rsid w:val="00D355FB"/>
    <w:rsid w:val="00D41D2C"/>
    <w:rsid w:val="00D4605B"/>
    <w:rsid w:val="00D623AA"/>
    <w:rsid w:val="00D8518F"/>
    <w:rsid w:val="00D96EC7"/>
    <w:rsid w:val="00DA12BF"/>
    <w:rsid w:val="00DA7138"/>
    <w:rsid w:val="00DF248E"/>
    <w:rsid w:val="00DF3222"/>
    <w:rsid w:val="00E07FD2"/>
    <w:rsid w:val="00E31F64"/>
    <w:rsid w:val="00E3728D"/>
    <w:rsid w:val="00E4357B"/>
    <w:rsid w:val="00E47B47"/>
    <w:rsid w:val="00E5166B"/>
    <w:rsid w:val="00E644A0"/>
    <w:rsid w:val="00E87A80"/>
    <w:rsid w:val="00E87CEC"/>
    <w:rsid w:val="00EA1BA6"/>
    <w:rsid w:val="00EA4C58"/>
    <w:rsid w:val="00EB67EC"/>
    <w:rsid w:val="00EE11F9"/>
    <w:rsid w:val="00EE7425"/>
    <w:rsid w:val="00EF6C8D"/>
    <w:rsid w:val="00F00080"/>
    <w:rsid w:val="00F01B03"/>
    <w:rsid w:val="00F03FF4"/>
    <w:rsid w:val="00F06C20"/>
    <w:rsid w:val="00F10699"/>
    <w:rsid w:val="00F1075B"/>
    <w:rsid w:val="00F10E4C"/>
    <w:rsid w:val="00F176CD"/>
    <w:rsid w:val="00F26324"/>
    <w:rsid w:val="00F273C5"/>
    <w:rsid w:val="00F3275E"/>
    <w:rsid w:val="00F4576C"/>
    <w:rsid w:val="00F545AB"/>
    <w:rsid w:val="00F715BA"/>
    <w:rsid w:val="00F8200E"/>
    <w:rsid w:val="00F86DE9"/>
    <w:rsid w:val="00F92A8F"/>
    <w:rsid w:val="00FA6CF1"/>
    <w:rsid w:val="00FC0049"/>
    <w:rsid w:val="00FC376F"/>
    <w:rsid w:val="00FF30E1"/>
    <w:rsid w:val="01506B97"/>
    <w:rsid w:val="01510E60"/>
    <w:rsid w:val="01565C22"/>
    <w:rsid w:val="01DC19EE"/>
    <w:rsid w:val="024610D3"/>
    <w:rsid w:val="0311468D"/>
    <w:rsid w:val="032632FE"/>
    <w:rsid w:val="037606C3"/>
    <w:rsid w:val="04A309AD"/>
    <w:rsid w:val="04E3586E"/>
    <w:rsid w:val="05297156"/>
    <w:rsid w:val="05481259"/>
    <w:rsid w:val="062760CA"/>
    <w:rsid w:val="06367F91"/>
    <w:rsid w:val="063E7CAE"/>
    <w:rsid w:val="064061DE"/>
    <w:rsid w:val="07897C0E"/>
    <w:rsid w:val="082A1395"/>
    <w:rsid w:val="08B60D54"/>
    <w:rsid w:val="094628A0"/>
    <w:rsid w:val="09826815"/>
    <w:rsid w:val="09D91328"/>
    <w:rsid w:val="0ABC2331"/>
    <w:rsid w:val="0B3111FA"/>
    <w:rsid w:val="0B45387B"/>
    <w:rsid w:val="0BB57BA4"/>
    <w:rsid w:val="0C0076B8"/>
    <w:rsid w:val="0C6C37E1"/>
    <w:rsid w:val="0C9615C8"/>
    <w:rsid w:val="0DC3421D"/>
    <w:rsid w:val="0DF76B00"/>
    <w:rsid w:val="0EDA155C"/>
    <w:rsid w:val="0F4F6CEE"/>
    <w:rsid w:val="0F9746D1"/>
    <w:rsid w:val="0F983238"/>
    <w:rsid w:val="0FBD189C"/>
    <w:rsid w:val="0FDE4BDA"/>
    <w:rsid w:val="0FF07241"/>
    <w:rsid w:val="10D97638"/>
    <w:rsid w:val="11655791"/>
    <w:rsid w:val="11B1466E"/>
    <w:rsid w:val="121D4674"/>
    <w:rsid w:val="12954B43"/>
    <w:rsid w:val="12DC670B"/>
    <w:rsid w:val="12F42BA4"/>
    <w:rsid w:val="131D1399"/>
    <w:rsid w:val="15932B49"/>
    <w:rsid w:val="15A5072F"/>
    <w:rsid w:val="15E05662"/>
    <w:rsid w:val="1787048B"/>
    <w:rsid w:val="179C05CE"/>
    <w:rsid w:val="192C7506"/>
    <w:rsid w:val="193548E0"/>
    <w:rsid w:val="19440BD0"/>
    <w:rsid w:val="1A102318"/>
    <w:rsid w:val="1A206039"/>
    <w:rsid w:val="1B6553C6"/>
    <w:rsid w:val="1BBC4C34"/>
    <w:rsid w:val="1C3C11C6"/>
    <w:rsid w:val="1C7520F8"/>
    <w:rsid w:val="1D0B3468"/>
    <w:rsid w:val="1D1E53EE"/>
    <w:rsid w:val="1D506AA7"/>
    <w:rsid w:val="1DC05620"/>
    <w:rsid w:val="1E470BDB"/>
    <w:rsid w:val="1E7B7EAF"/>
    <w:rsid w:val="1FE401B3"/>
    <w:rsid w:val="20C462AC"/>
    <w:rsid w:val="21B73E88"/>
    <w:rsid w:val="21D80A7B"/>
    <w:rsid w:val="222B693C"/>
    <w:rsid w:val="22A64485"/>
    <w:rsid w:val="24667DE3"/>
    <w:rsid w:val="247C0C4C"/>
    <w:rsid w:val="25DC0A00"/>
    <w:rsid w:val="262E3841"/>
    <w:rsid w:val="26AF2198"/>
    <w:rsid w:val="26B75F6B"/>
    <w:rsid w:val="27EC2A9F"/>
    <w:rsid w:val="28203CD5"/>
    <w:rsid w:val="287A337D"/>
    <w:rsid w:val="28800981"/>
    <w:rsid w:val="28A14A68"/>
    <w:rsid w:val="28F00B0D"/>
    <w:rsid w:val="298F4F7D"/>
    <w:rsid w:val="29B80978"/>
    <w:rsid w:val="2AAD6736"/>
    <w:rsid w:val="2AD00E3A"/>
    <w:rsid w:val="2AE05796"/>
    <w:rsid w:val="2B3F6C91"/>
    <w:rsid w:val="2B9F71B1"/>
    <w:rsid w:val="2BD93B03"/>
    <w:rsid w:val="2CAC0E49"/>
    <w:rsid w:val="2CC101CD"/>
    <w:rsid w:val="2D047A30"/>
    <w:rsid w:val="2D9F4E31"/>
    <w:rsid w:val="306B332E"/>
    <w:rsid w:val="308C5F48"/>
    <w:rsid w:val="30CB2D3F"/>
    <w:rsid w:val="311913D0"/>
    <w:rsid w:val="313E75B5"/>
    <w:rsid w:val="31C45AE8"/>
    <w:rsid w:val="31E17C98"/>
    <w:rsid w:val="32326DEE"/>
    <w:rsid w:val="329A66A2"/>
    <w:rsid w:val="32B71199"/>
    <w:rsid w:val="338962BA"/>
    <w:rsid w:val="33D854F6"/>
    <w:rsid w:val="33DE3C29"/>
    <w:rsid w:val="34010037"/>
    <w:rsid w:val="3412744D"/>
    <w:rsid w:val="3431735D"/>
    <w:rsid w:val="345F5981"/>
    <w:rsid w:val="35061741"/>
    <w:rsid w:val="354C01C6"/>
    <w:rsid w:val="355D635D"/>
    <w:rsid w:val="358E4C71"/>
    <w:rsid w:val="360F2EB9"/>
    <w:rsid w:val="36887E00"/>
    <w:rsid w:val="36963DEF"/>
    <w:rsid w:val="36D66C33"/>
    <w:rsid w:val="37021294"/>
    <w:rsid w:val="37096D0D"/>
    <w:rsid w:val="370B211A"/>
    <w:rsid w:val="379D6803"/>
    <w:rsid w:val="38194CD8"/>
    <w:rsid w:val="398C14D9"/>
    <w:rsid w:val="39C15F76"/>
    <w:rsid w:val="3AA01842"/>
    <w:rsid w:val="3ACF286E"/>
    <w:rsid w:val="3B3C7214"/>
    <w:rsid w:val="3C505CA8"/>
    <w:rsid w:val="3C9E7E8F"/>
    <w:rsid w:val="3CE81B00"/>
    <w:rsid w:val="3D5740DE"/>
    <w:rsid w:val="3E5A5EE4"/>
    <w:rsid w:val="3E5F5AA5"/>
    <w:rsid w:val="3E846C23"/>
    <w:rsid w:val="3EBC7BE3"/>
    <w:rsid w:val="401E2B51"/>
    <w:rsid w:val="40F26F47"/>
    <w:rsid w:val="41117688"/>
    <w:rsid w:val="412C237F"/>
    <w:rsid w:val="4155091F"/>
    <w:rsid w:val="41695A0F"/>
    <w:rsid w:val="41BA10CB"/>
    <w:rsid w:val="42303B8B"/>
    <w:rsid w:val="42423FD9"/>
    <w:rsid w:val="43A14604"/>
    <w:rsid w:val="43A33BF5"/>
    <w:rsid w:val="43A538BC"/>
    <w:rsid w:val="447A7099"/>
    <w:rsid w:val="44F7014F"/>
    <w:rsid w:val="453B488F"/>
    <w:rsid w:val="456E692D"/>
    <w:rsid w:val="45F15E70"/>
    <w:rsid w:val="46A64344"/>
    <w:rsid w:val="46D80127"/>
    <w:rsid w:val="489706FC"/>
    <w:rsid w:val="48B733AA"/>
    <w:rsid w:val="48E20A96"/>
    <w:rsid w:val="4A5240A2"/>
    <w:rsid w:val="4AB167DD"/>
    <w:rsid w:val="4B117A90"/>
    <w:rsid w:val="4BB34F51"/>
    <w:rsid w:val="4CFF0216"/>
    <w:rsid w:val="4D4D3AFB"/>
    <w:rsid w:val="4D683864"/>
    <w:rsid w:val="4DC46C4F"/>
    <w:rsid w:val="4E58201F"/>
    <w:rsid w:val="4FD04A87"/>
    <w:rsid w:val="50AE13D1"/>
    <w:rsid w:val="522830D1"/>
    <w:rsid w:val="52D561B8"/>
    <w:rsid w:val="52DC0984"/>
    <w:rsid w:val="548B08B3"/>
    <w:rsid w:val="55242153"/>
    <w:rsid w:val="555F4A28"/>
    <w:rsid w:val="558F57DA"/>
    <w:rsid w:val="55A0038E"/>
    <w:rsid w:val="55DD4A42"/>
    <w:rsid w:val="567F1BCC"/>
    <w:rsid w:val="56D218E5"/>
    <w:rsid w:val="573F39B5"/>
    <w:rsid w:val="57B4119F"/>
    <w:rsid w:val="588A28B9"/>
    <w:rsid w:val="5A9164F8"/>
    <w:rsid w:val="5AFE1DDF"/>
    <w:rsid w:val="5B1C1D31"/>
    <w:rsid w:val="5DD46E27"/>
    <w:rsid w:val="5E193D09"/>
    <w:rsid w:val="5E997C33"/>
    <w:rsid w:val="5EB007B5"/>
    <w:rsid w:val="5EBC779A"/>
    <w:rsid w:val="60712622"/>
    <w:rsid w:val="61903065"/>
    <w:rsid w:val="61C030C6"/>
    <w:rsid w:val="6232236E"/>
    <w:rsid w:val="624C4474"/>
    <w:rsid w:val="62AC3A78"/>
    <w:rsid w:val="63B57AC3"/>
    <w:rsid w:val="64011757"/>
    <w:rsid w:val="6473529E"/>
    <w:rsid w:val="649E1F3D"/>
    <w:rsid w:val="65E0162B"/>
    <w:rsid w:val="65E53E98"/>
    <w:rsid w:val="66424626"/>
    <w:rsid w:val="665971AE"/>
    <w:rsid w:val="667B1BFB"/>
    <w:rsid w:val="67A55BDE"/>
    <w:rsid w:val="68A8667A"/>
    <w:rsid w:val="692E169F"/>
    <w:rsid w:val="69A37C09"/>
    <w:rsid w:val="69AC2E14"/>
    <w:rsid w:val="6A2B3024"/>
    <w:rsid w:val="6A303659"/>
    <w:rsid w:val="6A4B2016"/>
    <w:rsid w:val="6AC344AB"/>
    <w:rsid w:val="6BA008BF"/>
    <w:rsid w:val="6BA1796A"/>
    <w:rsid w:val="6BA472B9"/>
    <w:rsid w:val="6BD77B3D"/>
    <w:rsid w:val="6C240F7A"/>
    <w:rsid w:val="6D185F70"/>
    <w:rsid w:val="6D600186"/>
    <w:rsid w:val="6EA541AD"/>
    <w:rsid w:val="6F835472"/>
    <w:rsid w:val="6F913D15"/>
    <w:rsid w:val="70A45725"/>
    <w:rsid w:val="710812D5"/>
    <w:rsid w:val="71227648"/>
    <w:rsid w:val="71411F9D"/>
    <w:rsid w:val="73BE4E40"/>
    <w:rsid w:val="762A69E2"/>
    <w:rsid w:val="76524E83"/>
    <w:rsid w:val="76AC04E9"/>
    <w:rsid w:val="76C60833"/>
    <w:rsid w:val="77F97A47"/>
    <w:rsid w:val="7A6C1EDF"/>
    <w:rsid w:val="7A711B4A"/>
    <w:rsid w:val="7B16294B"/>
    <w:rsid w:val="7C19011C"/>
    <w:rsid w:val="7C331E4E"/>
    <w:rsid w:val="7C934E7B"/>
    <w:rsid w:val="7C9A5431"/>
    <w:rsid w:val="7CCF5DDE"/>
    <w:rsid w:val="7D5738F9"/>
    <w:rsid w:val="7D5F62B6"/>
    <w:rsid w:val="7D707D52"/>
    <w:rsid w:val="7DC279B4"/>
    <w:rsid w:val="7E8766DE"/>
    <w:rsid w:val="7EB16339"/>
    <w:rsid w:val="7FEC1F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宋体" w:hAnsi="Times New Roman" w:eastAsia="宋体" w:cs="宋体"/>
      <w:sz w:val="22"/>
      <w:szCs w:val="22"/>
      <w:lang w:val="en-US" w:eastAsia="zh-CN" w:bidi="ar-SA"/>
    </w:rPr>
  </w:style>
  <w:style w:type="paragraph" w:styleId="5">
    <w:name w:val="heading 1"/>
    <w:basedOn w:val="1"/>
    <w:next w:val="1"/>
    <w:link w:val="50"/>
    <w:qFormat/>
    <w:uiPriority w:val="9"/>
    <w:pPr>
      <w:ind w:left="3144" w:right="3120"/>
      <w:jc w:val="center"/>
      <w:outlineLvl w:val="0"/>
    </w:pPr>
    <w:rPr>
      <w:rFonts w:cs="Times New Roman"/>
      <w:b/>
      <w:bCs/>
      <w:kern w:val="44"/>
      <w:sz w:val="44"/>
      <w:szCs w:val="44"/>
    </w:rPr>
  </w:style>
  <w:style w:type="paragraph" w:styleId="6">
    <w:name w:val="heading 2"/>
    <w:basedOn w:val="1"/>
    <w:next w:val="1"/>
    <w:link w:val="59"/>
    <w:qFormat/>
    <w:uiPriority w:val="9"/>
    <w:pPr>
      <w:ind w:left="3150" w:right="3120"/>
      <w:jc w:val="center"/>
      <w:outlineLvl w:val="1"/>
    </w:pPr>
    <w:rPr>
      <w:rFonts w:ascii="等线 Light" w:hAnsi="等线 Light" w:eastAsia="等线 Light" w:cs="Times New Roman"/>
      <w:b/>
      <w:bCs/>
      <w:sz w:val="32"/>
      <w:szCs w:val="32"/>
    </w:rPr>
  </w:style>
  <w:style w:type="paragraph" w:styleId="7">
    <w:name w:val="heading 3"/>
    <w:basedOn w:val="1"/>
    <w:next w:val="1"/>
    <w:link w:val="55"/>
    <w:qFormat/>
    <w:uiPriority w:val="9"/>
    <w:pPr>
      <w:spacing w:before="48"/>
      <w:ind w:left="3150" w:right="3120"/>
      <w:jc w:val="center"/>
      <w:outlineLvl w:val="2"/>
    </w:pPr>
    <w:rPr>
      <w:rFonts w:cs="Times New Roman"/>
      <w:b/>
      <w:bCs/>
      <w:sz w:val="32"/>
      <w:szCs w:val="32"/>
    </w:rPr>
  </w:style>
  <w:style w:type="paragraph" w:styleId="8">
    <w:name w:val="heading 4"/>
    <w:basedOn w:val="1"/>
    <w:next w:val="1"/>
    <w:link w:val="53"/>
    <w:qFormat/>
    <w:uiPriority w:val="9"/>
    <w:pPr>
      <w:spacing w:before="62"/>
      <w:ind w:left="200"/>
      <w:outlineLvl w:val="3"/>
    </w:pPr>
    <w:rPr>
      <w:rFonts w:ascii="等线 Light" w:hAnsi="等线 Light" w:eastAsia="等线 Light" w:cs="Times New Roman"/>
      <w:b/>
      <w:bCs/>
      <w:sz w:val="28"/>
      <w:szCs w:val="28"/>
    </w:rPr>
  </w:style>
  <w:style w:type="paragraph" w:styleId="9">
    <w:name w:val="heading 5"/>
    <w:basedOn w:val="1"/>
    <w:next w:val="1"/>
    <w:link w:val="61"/>
    <w:qFormat/>
    <w:uiPriority w:val="9"/>
    <w:pPr>
      <w:ind w:left="412" w:hanging="207"/>
      <w:outlineLvl w:val="4"/>
    </w:pPr>
    <w:rPr>
      <w:rFonts w:cs="Times New Roman"/>
      <w:b/>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pPr>
    <w:rPr>
      <w:rFonts w:ascii="Calibri" w:hAnsi="Calibri"/>
      <w:sz w:val="21"/>
    </w:rPr>
  </w:style>
  <w:style w:type="paragraph" w:styleId="3">
    <w:name w:val="Body Text Indent"/>
    <w:basedOn w:val="1"/>
    <w:next w:val="4"/>
    <w:qFormat/>
    <w:uiPriority w:val="0"/>
    <w:pPr>
      <w:ind w:firstLine="830" w:firstLineChars="352"/>
    </w:pPr>
    <w:rPr>
      <w:rFonts w:ascii="仿宋_GB2312" w:eastAsia="仿宋_GB2312"/>
      <w:sz w:val="32"/>
      <w:szCs w:val="20"/>
    </w:rPr>
  </w:style>
  <w:style w:type="paragraph" w:styleId="4">
    <w:name w:val="envelope return"/>
    <w:basedOn w:val="1"/>
    <w:qFormat/>
    <w:uiPriority w:val="99"/>
    <w:pPr>
      <w:snapToGrid w:val="0"/>
    </w:pPr>
    <w:rPr>
      <w:rFonts w:ascii="Arial" w:hAnsi="Arial"/>
    </w:rPr>
  </w:style>
  <w:style w:type="paragraph" w:styleId="10">
    <w:name w:val="index 8"/>
    <w:next w:val="1"/>
    <w:qFormat/>
    <w:uiPriority w:val="0"/>
    <w:pPr>
      <w:widowControl w:val="0"/>
      <w:ind w:left="2940"/>
      <w:jc w:val="both"/>
    </w:pPr>
    <w:rPr>
      <w:rFonts w:ascii="方正仿宋_GBK" w:hAnsi="Calibri" w:eastAsia="方正仿宋_GBK" w:cs="宋体"/>
      <w:kern w:val="2"/>
      <w:sz w:val="32"/>
      <w:szCs w:val="28"/>
      <w:lang w:val="en-US" w:eastAsia="zh-CN" w:bidi="ar-SA"/>
    </w:rPr>
  </w:style>
  <w:style w:type="paragraph" w:styleId="11">
    <w:name w:val="Normal Indent"/>
    <w:basedOn w:val="1"/>
    <w:next w:val="12"/>
    <w:qFormat/>
    <w:uiPriority w:val="0"/>
    <w:pPr>
      <w:ind w:firstLine="420"/>
    </w:pPr>
    <w:rPr>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3">
    <w:name w:val="annotation text"/>
    <w:basedOn w:val="1"/>
    <w:link w:val="52"/>
    <w:unhideWhenUsed/>
    <w:qFormat/>
    <w:uiPriority w:val="99"/>
    <w:rPr>
      <w:rFonts w:cs="Times New Roman"/>
    </w:rPr>
  </w:style>
  <w:style w:type="paragraph" w:styleId="14">
    <w:name w:val="Body Text"/>
    <w:basedOn w:val="1"/>
    <w:next w:val="1"/>
    <w:link w:val="47"/>
    <w:qFormat/>
    <w:uiPriority w:val="99"/>
    <w:pPr>
      <w:ind w:left="590"/>
    </w:pPr>
    <w:rPr>
      <w:rFonts w:cs="Times New Roman"/>
      <w:szCs w:val="20"/>
    </w:rPr>
  </w:style>
  <w:style w:type="paragraph" w:styleId="15">
    <w:name w:val="Plain Text"/>
    <w:basedOn w:val="1"/>
    <w:qFormat/>
    <w:uiPriority w:val="0"/>
    <w:rPr>
      <w:rFonts w:ascii="宋体" w:hAnsi="Courier New" w:cs="Courier New"/>
      <w:szCs w:val="21"/>
    </w:rPr>
  </w:style>
  <w:style w:type="paragraph" w:styleId="16">
    <w:name w:val="Balloon Text"/>
    <w:basedOn w:val="1"/>
    <w:link w:val="57"/>
    <w:unhideWhenUsed/>
    <w:qFormat/>
    <w:uiPriority w:val="99"/>
    <w:rPr>
      <w:rFonts w:cs="Times New Roman"/>
      <w:sz w:val="18"/>
      <w:szCs w:val="18"/>
    </w:rPr>
  </w:style>
  <w:style w:type="paragraph" w:styleId="17">
    <w:name w:val="footer"/>
    <w:basedOn w:val="1"/>
    <w:link w:val="63"/>
    <w:unhideWhenUsed/>
    <w:qFormat/>
    <w:uiPriority w:val="0"/>
    <w:pPr>
      <w:tabs>
        <w:tab w:val="center" w:pos="4153"/>
        <w:tab w:val="right" w:pos="8306"/>
      </w:tabs>
      <w:snapToGrid w:val="0"/>
    </w:pPr>
    <w:rPr>
      <w:rFonts w:cs="Times New Roman"/>
      <w:sz w:val="18"/>
      <w:szCs w:val="18"/>
    </w:rPr>
  </w:style>
  <w:style w:type="paragraph" w:styleId="18">
    <w:name w:val="header"/>
    <w:basedOn w:val="1"/>
    <w:link w:val="49"/>
    <w:unhideWhenUsed/>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19">
    <w:name w:val="Body Text Indent 3"/>
    <w:basedOn w:val="1"/>
    <w:link w:val="58"/>
    <w:unhideWhenUsed/>
    <w:qFormat/>
    <w:uiPriority w:val="99"/>
    <w:pPr>
      <w:spacing w:after="120"/>
      <w:ind w:left="420" w:leftChars="200"/>
    </w:pPr>
    <w:rPr>
      <w:rFonts w:cs="Times New Roman"/>
      <w:sz w:val="16"/>
      <w:szCs w:val="16"/>
    </w:rPr>
  </w:style>
  <w:style w:type="paragraph" w:styleId="20">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21">
    <w:name w:val="annotation subject"/>
    <w:basedOn w:val="13"/>
    <w:next w:val="13"/>
    <w:link w:val="54"/>
    <w:unhideWhenUsed/>
    <w:qFormat/>
    <w:uiPriority w:val="99"/>
    <w:rPr>
      <w:b/>
      <w:bCs/>
    </w:rPr>
  </w:style>
  <w:style w:type="paragraph" w:styleId="22">
    <w:name w:val="Body Text First Indent"/>
    <w:basedOn w:val="14"/>
    <w:link w:val="51"/>
    <w:unhideWhenUsed/>
    <w:qFormat/>
    <w:uiPriority w:val="99"/>
    <w:pPr>
      <w:spacing w:after="120"/>
      <w:ind w:left="0" w:firstLine="420" w:firstLineChars="100"/>
    </w:pPr>
    <w:rPr>
      <w:szCs w:val="22"/>
    </w:rPr>
  </w:style>
  <w:style w:type="table" w:styleId="24">
    <w:name w:val="Table Grid"/>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bCs/>
    </w:rPr>
  </w:style>
  <w:style w:type="character" w:styleId="27">
    <w:name w:val="page number"/>
    <w:qFormat/>
    <w:uiPriority w:val="0"/>
    <w:rPr>
      <w:rFonts w:cs="Times New Roman"/>
    </w:rPr>
  </w:style>
  <w:style w:type="character" w:styleId="28">
    <w:name w:val="FollowedHyperlink"/>
    <w:basedOn w:val="25"/>
    <w:unhideWhenUsed/>
    <w:qFormat/>
    <w:uiPriority w:val="99"/>
    <w:rPr>
      <w:color w:val="003B70"/>
      <w:u w:val="none"/>
    </w:rPr>
  </w:style>
  <w:style w:type="character" w:styleId="29">
    <w:name w:val="Hyperlink"/>
    <w:basedOn w:val="25"/>
    <w:unhideWhenUsed/>
    <w:qFormat/>
    <w:uiPriority w:val="99"/>
    <w:rPr>
      <w:color w:val="003B70"/>
      <w:u w:val="none"/>
    </w:rPr>
  </w:style>
  <w:style w:type="character" w:styleId="30">
    <w:name w:val="annotation reference"/>
    <w:unhideWhenUsed/>
    <w:qFormat/>
    <w:uiPriority w:val="99"/>
    <w:rPr>
      <w:sz w:val="21"/>
      <w:szCs w:val="21"/>
    </w:rPr>
  </w:style>
  <w:style w:type="paragraph" w:customStyle="1" w:styleId="31">
    <w:name w:val="表格文字"/>
    <w:basedOn w:val="1"/>
    <w:next w:val="1"/>
    <w:qFormat/>
    <w:uiPriority w:val="0"/>
    <w:pPr>
      <w:spacing w:before="25" w:after="25"/>
      <w:jc w:val="left"/>
    </w:pPr>
    <w:rPr>
      <w:bCs/>
      <w:spacing w:val="10"/>
      <w:kern w:val="0"/>
      <w:sz w:val="24"/>
      <w:szCs w:val="20"/>
    </w:rPr>
  </w:style>
  <w:style w:type="paragraph" w:customStyle="1" w:styleId="32">
    <w:name w:val="Heading4"/>
    <w:basedOn w:val="1"/>
    <w:qFormat/>
    <w:uiPriority w:val="0"/>
    <w:pPr>
      <w:keepNext/>
      <w:keepLines/>
      <w:widowControl w:val="0"/>
      <w:suppressLineNumbers w:val="0"/>
      <w:snapToGrid w:val="0"/>
      <w:spacing w:before="200" w:beforeAutospacing="0" w:line="360" w:lineRule="auto"/>
      <w:jc w:val="both"/>
    </w:pPr>
    <w:rPr>
      <w:rFonts w:hint="default" w:ascii="Cambria" w:hAnsi="Cambria" w:eastAsia="宋体" w:cs="Times New Roman"/>
      <w:b/>
      <w:i/>
      <w:color w:val="4F81BD"/>
      <w:kern w:val="0"/>
      <w:sz w:val="20"/>
      <w:szCs w:val="20"/>
      <w:lang w:val="en-US" w:eastAsia="zh-CN" w:bidi="ar"/>
    </w:rPr>
  </w:style>
  <w:style w:type="paragraph" w:customStyle="1" w:styleId="33">
    <w:name w:val="图_0"/>
    <w:basedOn w:val="34"/>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34">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Table Paragraph"/>
    <w:basedOn w:val="1"/>
    <w:qFormat/>
    <w:uiPriority w:val="1"/>
    <w:rPr>
      <w:sz w:val="24"/>
      <w:szCs w:val="24"/>
    </w:rPr>
  </w:style>
  <w:style w:type="paragraph" w:customStyle="1" w:styleId="36">
    <w:name w:val="_Style 3"/>
    <w:basedOn w:val="1"/>
    <w:next w:val="19"/>
    <w:qFormat/>
    <w:uiPriority w:val="0"/>
    <w:pPr>
      <w:autoSpaceDE/>
      <w:autoSpaceDN/>
      <w:adjustRightInd/>
      <w:ind w:firstLine="420" w:firstLineChars="200"/>
      <w:jc w:val="both"/>
    </w:pPr>
    <w:rPr>
      <w:rFonts w:ascii="Calibri" w:hAnsi="Calibri" w:eastAsia="Calibri" w:cs="Times New Roman"/>
      <w:kern w:val="2"/>
      <w:lang w:eastAsia="en-US"/>
    </w:rPr>
  </w:style>
  <w:style w:type="paragraph" w:customStyle="1" w:styleId="37">
    <w:name w:val="Char Char Char"/>
    <w:basedOn w:val="1"/>
    <w:qFormat/>
    <w:uiPriority w:val="0"/>
    <w:rPr>
      <w:rFonts w:ascii="宋体" w:hAnsi="宋体"/>
      <w:b/>
      <w:sz w:val="28"/>
      <w:szCs w:val="28"/>
    </w:rPr>
  </w:style>
  <w:style w:type="paragraph" w:customStyle="1" w:styleId="38">
    <w:name w:val="正文1"/>
    <w:basedOn w:val="1"/>
    <w:next w:val="39"/>
    <w:qFormat/>
    <w:uiPriority w:val="0"/>
    <w:pPr>
      <w:spacing w:line="360" w:lineRule="auto"/>
    </w:pPr>
    <w:rPr>
      <w:rFonts w:ascii="宋体" w:hAnsi="华文宋体"/>
      <w:kern w:val="20"/>
      <w:sz w:val="24"/>
      <w:szCs w:val="20"/>
    </w:rPr>
  </w:style>
  <w:style w:type="paragraph" w:customStyle="1" w:styleId="39">
    <w:name w:val="普通正文"/>
    <w:basedOn w:val="38"/>
    <w:qFormat/>
    <w:uiPriority w:val="0"/>
    <w:pPr>
      <w:widowControl/>
      <w:spacing w:line="360" w:lineRule="atLeast"/>
      <w:ind w:firstLine="425"/>
    </w:pPr>
    <w:rPr>
      <w:kern w:val="21"/>
    </w:rPr>
  </w:style>
  <w:style w:type="paragraph" w:customStyle="1" w:styleId="40">
    <w:name w:val="TOC2"/>
    <w:basedOn w:val="1"/>
    <w:next w:val="1"/>
    <w:qFormat/>
    <w:uiPriority w:val="0"/>
    <w:pPr>
      <w:ind w:left="420" w:leftChars="200"/>
    </w:pPr>
    <w:rPr>
      <w:rFonts w:ascii="Calibri" w:hAnsi="Calibri" w:eastAsia="仿宋"/>
      <w:sz w:val="24"/>
    </w:rPr>
  </w:style>
  <w:style w:type="paragraph" w:styleId="41">
    <w:name w:val="List Paragraph"/>
    <w:basedOn w:val="1"/>
    <w:qFormat/>
    <w:uiPriority w:val="1"/>
    <w:pPr>
      <w:ind w:left="206" w:firstLine="384"/>
    </w:pPr>
    <w:rPr>
      <w:sz w:val="24"/>
      <w:szCs w:val="24"/>
    </w:rPr>
  </w:style>
  <w:style w:type="paragraph" w:customStyle="1" w:styleId="42">
    <w:name w:val="_Style 40"/>
    <w:unhideWhenUsed/>
    <w:qFormat/>
    <w:uiPriority w:val="99"/>
    <w:rPr>
      <w:rFonts w:ascii="宋体" w:hAnsi="Times New Roman" w:eastAsia="宋体" w:cs="宋体"/>
      <w:sz w:val="22"/>
      <w:szCs w:val="22"/>
      <w:lang w:val="en-US" w:eastAsia="zh-CN" w:bidi="ar-SA"/>
    </w:rPr>
  </w:style>
  <w:style w:type="paragraph" w:customStyle="1" w:styleId="43">
    <w:name w:val="纯文本_0"/>
    <w:basedOn w:val="34"/>
    <w:qFormat/>
    <w:uiPriority w:val="0"/>
    <w:rPr>
      <w:rFonts w:ascii="宋体" w:hAnsi="Courier New"/>
      <w:kern w:val="0"/>
      <w:sz w:val="20"/>
      <w:szCs w:val="21"/>
    </w:rPr>
  </w:style>
  <w:style w:type="paragraph" w:customStyle="1" w:styleId="44">
    <w:name w:val="RZ表格"/>
    <w:qFormat/>
    <w:uiPriority w:val="0"/>
    <w:pPr>
      <w:textAlignment w:val="center"/>
    </w:pPr>
    <w:rPr>
      <w:rFonts w:ascii="Times New Roman" w:hAnsi="Times New Roman" w:eastAsia="宋体" w:cs="Times New Roman"/>
      <w:bCs/>
      <w:sz w:val="22"/>
      <w:szCs w:val="24"/>
      <w:lang w:val="en-US" w:eastAsia="zh-CN" w:bidi="ar-SA"/>
    </w:rPr>
  </w:style>
  <w:style w:type="paragraph" w:customStyle="1" w:styleId="45">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6">
    <w:name w:val="font41"/>
    <w:qFormat/>
    <w:uiPriority w:val="0"/>
    <w:rPr>
      <w:rFonts w:ascii="Calibri" w:hAnsi="Calibri" w:cs="Calibri"/>
      <w:color w:val="000000"/>
      <w:sz w:val="21"/>
      <w:szCs w:val="21"/>
      <w:u w:val="none"/>
    </w:rPr>
  </w:style>
  <w:style w:type="character" w:customStyle="1" w:styleId="47">
    <w:name w:val="正文文本 Char"/>
    <w:link w:val="14"/>
    <w:semiHidden/>
    <w:qFormat/>
    <w:uiPriority w:val="99"/>
    <w:rPr>
      <w:rFonts w:ascii="宋体" w:hAnsi="Times New Roman" w:eastAsia="宋体" w:cs="宋体"/>
      <w:kern w:val="0"/>
      <w:sz w:val="22"/>
    </w:rPr>
  </w:style>
  <w:style w:type="character" w:customStyle="1" w:styleId="48">
    <w:name w:val="_Style 0"/>
    <w:qFormat/>
    <w:uiPriority w:val="0"/>
    <w:rPr>
      <w:i/>
      <w:iCs/>
      <w:color w:val="808080"/>
    </w:rPr>
  </w:style>
  <w:style w:type="character" w:customStyle="1" w:styleId="49">
    <w:name w:val="页眉 Char"/>
    <w:link w:val="18"/>
    <w:qFormat/>
    <w:uiPriority w:val="99"/>
    <w:rPr>
      <w:rFonts w:ascii="宋体" w:hAnsi="Times New Roman" w:eastAsia="宋体" w:cs="宋体"/>
      <w:kern w:val="0"/>
      <w:sz w:val="18"/>
      <w:szCs w:val="18"/>
    </w:rPr>
  </w:style>
  <w:style w:type="character" w:customStyle="1" w:styleId="50">
    <w:name w:val="标题 1 Char"/>
    <w:link w:val="5"/>
    <w:qFormat/>
    <w:uiPriority w:val="9"/>
    <w:rPr>
      <w:rFonts w:ascii="宋体" w:hAnsi="Times New Roman" w:eastAsia="宋体" w:cs="宋体"/>
      <w:b/>
      <w:bCs/>
      <w:kern w:val="44"/>
      <w:sz w:val="44"/>
      <w:szCs w:val="44"/>
    </w:rPr>
  </w:style>
  <w:style w:type="character" w:customStyle="1" w:styleId="51">
    <w:name w:val="正文首行缩进 Char"/>
    <w:link w:val="22"/>
    <w:semiHidden/>
    <w:qFormat/>
    <w:uiPriority w:val="99"/>
    <w:rPr>
      <w:rFonts w:ascii="宋体" w:hAnsi="Times New Roman" w:eastAsia="宋体" w:cs="宋体"/>
      <w:kern w:val="0"/>
      <w:sz w:val="22"/>
      <w:szCs w:val="22"/>
    </w:rPr>
  </w:style>
  <w:style w:type="character" w:customStyle="1" w:styleId="52">
    <w:name w:val="批注文字 Char"/>
    <w:link w:val="13"/>
    <w:qFormat/>
    <w:uiPriority w:val="99"/>
    <w:rPr>
      <w:rFonts w:ascii="宋体" w:hAnsi="Times New Roman" w:eastAsia="宋体" w:cs="宋体"/>
      <w:sz w:val="22"/>
      <w:szCs w:val="22"/>
    </w:rPr>
  </w:style>
  <w:style w:type="character" w:customStyle="1" w:styleId="53">
    <w:name w:val="标题 4 Char"/>
    <w:link w:val="8"/>
    <w:semiHidden/>
    <w:qFormat/>
    <w:uiPriority w:val="9"/>
    <w:rPr>
      <w:rFonts w:ascii="等线 Light" w:hAnsi="等线 Light" w:eastAsia="等线 Light" w:cs="Times New Roman"/>
      <w:b/>
      <w:bCs/>
      <w:kern w:val="0"/>
      <w:sz w:val="28"/>
      <w:szCs w:val="28"/>
    </w:rPr>
  </w:style>
  <w:style w:type="character" w:customStyle="1" w:styleId="54">
    <w:name w:val="批注主题 Char"/>
    <w:link w:val="21"/>
    <w:semiHidden/>
    <w:qFormat/>
    <w:uiPriority w:val="99"/>
    <w:rPr>
      <w:rFonts w:ascii="宋体" w:hAnsi="Times New Roman" w:eastAsia="宋体" w:cs="宋体"/>
      <w:b/>
      <w:bCs/>
      <w:sz w:val="22"/>
      <w:szCs w:val="22"/>
    </w:rPr>
  </w:style>
  <w:style w:type="character" w:customStyle="1" w:styleId="55">
    <w:name w:val="标题 3 Char"/>
    <w:link w:val="7"/>
    <w:semiHidden/>
    <w:qFormat/>
    <w:uiPriority w:val="9"/>
    <w:rPr>
      <w:rFonts w:ascii="宋体" w:hAnsi="Times New Roman" w:eastAsia="宋体" w:cs="宋体"/>
      <w:b/>
      <w:bCs/>
      <w:kern w:val="0"/>
      <w:sz w:val="32"/>
      <w:szCs w:val="32"/>
    </w:rPr>
  </w:style>
  <w:style w:type="character" w:customStyle="1" w:styleId="56">
    <w:name w:val="p141_0"/>
    <w:qFormat/>
    <w:uiPriority w:val="0"/>
    <w:rPr>
      <w:rFonts w:ascii="Calibri" w:hAnsi="Calibri"/>
      <w:sz w:val="21"/>
      <w:szCs w:val="21"/>
    </w:rPr>
  </w:style>
  <w:style w:type="character" w:customStyle="1" w:styleId="57">
    <w:name w:val="批注框文本 Char"/>
    <w:link w:val="16"/>
    <w:semiHidden/>
    <w:qFormat/>
    <w:uiPriority w:val="99"/>
    <w:rPr>
      <w:rFonts w:ascii="宋体" w:hAnsi="Times New Roman" w:eastAsia="宋体" w:cs="宋体"/>
      <w:sz w:val="18"/>
      <w:szCs w:val="18"/>
    </w:rPr>
  </w:style>
  <w:style w:type="character" w:customStyle="1" w:styleId="58">
    <w:name w:val="正文文本缩进 3 Char"/>
    <w:link w:val="19"/>
    <w:semiHidden/>
    <w:qFormat/>
    <w:uiPriority w:val="99"/>
    <w:rPr>
      <w:rFonts w:ascii="宋体" w:hAnsi="Times New Roman" w:eastAsia="宋体" w:cs="宋体"/>
      <w:sz w:val="16"/>
      <w:szCs w:val="16"/>
    </w:rPr>
  </w:style>
  <w:style w:type="character" w:customStyle="1" w:styleId="59">
    <w:name w:val="标题 2 Char"/>
    <w:link w:val="6"/>
    <w:semiHidden/>
    <w:qFormat/>
    <w:uiPriority w:val="9"/>
    <w:rPr>
      <w:rFonts w:ascii="等线 Light" w:hAnsi="等线 Light" w:eastAsia="等线 Light" w:cs="Times New Roman"/>
      <w:b/>
      <w:bCs/>
      <w:kern w:val="0"/>
      <w:sz w:val="32"/>
      <w:szCs w:val="32"/>
    </w:rPr>
  </w:style>
  <w:style w:type="character" w:customStyle="1" w:styleId="60">
    <w:name w:val="正文文本 字符1"/>
    <w:semiHidden/>
    <w:qFormat/>
    <w:uiPriority w:val="99"/>
    <w:rPr>
      <w:rFonts w:ascii="宋体" w:hAnsi="Times New Roman" w:eastAsia="宋体" w:cs="宋体"/>
      <w:kern w:val="0"/>
      <w:sz w:val="22"/>
    </w:rPr>
  </w:style>
  <w:style w:type="character" w:customStyle="1" w:styleId="61">
    <w:name w:val="标题 5 Char"/>
    <w:link w:val="9"/>
    <w:semiHidden/>
    <w:qFormat/>
    <w:uiPriority w:val="9"/>
    <w:rPr>
      <w:rFonts w:ascii="宋体" w:hAnsi="Times New Roman" w:eastAsia="宋体" w:cs="宋体"/>
      <w:b/>
      <w:bCs/>
      <w:kern w:val="0"/>
      <w:sz w:val="28"/>
      <w:szCs w:val="28"/>
    </w:rPr>
  </w:style>
  <w:style w:type="character" w:customStyle="1" w:styleId="62">
    <w:name w:val="不明显强调1"/>
    <w:qFormat/>
    <w:uiPriority w:val="0"/>
    <w:rPr>
      <w:i/>
      <w:iCs/>
      <w:color w:val="808080"/>
    </w:rPr>
  </w:style>
  <w:style w:type="character" w:customStyle="1" w:styleId="63">
    <w:name w:val="页脚 Char"/>
    <w:link w:val="17"/>
    <w:qFormat/>
    <w:uiPriority w:val="0"/>
    <w:rPr>
      <w:rFonts w:ascii="宋体" w:hAnsi="Times New Roman" w:eastAsia="宋体" w:cs="宋体"/>
      <w:kern w:val="0"/>
      <w:sz w:val="18"/>
      <w:szCs w:val="18"/>
    </w:rPr>
  </w:style>
  <w:style w:type="paragraph" w:customStyle="1" w:styleId="64">
    <w:name w:val="首行缩进"/>
    <w:basedOn w:val="1"/>
    <w:qFormat/>
    <w:uiPriority w:val="0"/>
    <w:pPr>
      <w:spacing w:line="360" w:lineRule="auto"/>
      <w:ind w:firstLine="420"/>
    </w:pPr>
    <w:rPr>
      <w:rFonts w:ascii="宋体" w:hAnsi="宋体" w:eastAsia="宋体"/>
    </w:rPr>
  </w:style>
  <w:style w:type="character" w:customStyle="1" w:styleId="65">
    <w:name w:val="NormalCharacter"/>
    <w:qFormat/>
    <w:uiPriority w:val="0"/>
  </w:style>
  <w:style w:type="paragraph" w:customStyle="1" w:styleId="66">
    <w:name w:val="null3"/>
    <w:qFormat/>
    <w:uiPriority w:val="0"/>
    <w:rPr>
      <w:rFonts w:hint="eastAsia" w:ascii="Calibri" w:hAnsi="Calibri" w:eastAsia="宋体" w:cs="Times New Roman"/>
      <w:lang w:val="en-US" w:eastAsia="zh-Hans"/>
    </w:rPr>
  </w:style>
  <w:style w:type="character" w:customStyle="1" w:styleId="67">
    <w:name w:val="font101"/>
    <w:qFormat/>
    <w:uiPriority w:val="0"/>
    <w:rPr>
      <w:rFonts w:hint="eastAsia" w:ascii="宋体" w:hAnsi="宋体" w:eastAsia="宋体" w:cs="宋体"/>
      <w:b/>
      <w:bCs/>
      <w:color w:val="000000"/>
      <w:sz w:val="24"/>
      <w:szCs w:val="24"/>
      <w:u w:val="none"/>
    </w:rPr>
  </w:style>
  <w:style w:type="character" w:customStyle="1" w:styleId="68">
    <w:name w:val="font91"/>
    <w:qFormat/>
    <w:uiPriority w:val="0"/>
    <w:rPr>
      <w:rFonts w:hint="eastAsia" w:ascii="宋体" w:hAnsi="宋体" w:eastAsia="宋体" w:cs="宋体"/>
      <w:color w:val="000000"/>
      <w:sz w:val="22"/>
      <w:szCs w:val="22"/>
      <w:u w:val="none"/>
    </w:rPr>
  </w:style>
  <w:style w:type="character" w:customStyle="1" w:styleId="69">
    <w:name w:val="font112"/>
    <w:qFormat/>
    <w:uiPriority w:val="0"/>
    <w:rPr>
      <w:rFonts w:hint="eastAsia" w:ascii="宋体" w:hAnsi="宋体" w:eastAsia="宋体" w:cs="宋体"/>
      <w:color w:val="000000"/>
      <w:sz w:val="24"/>
      <w:szCs w:val="24"/>
      <w:u w:val="none"/>
    </w:rPr>
  </w:style>
  <w:style w:type="character" w:customStyle="1" w:styleId="70">
    <w:name w:val="font61"/>
    <w:qFormat/>
    <w:uiPriority w:val="0"/>
    <w:rPr>
      <w:rFonts w:hint="default" w:ascii="Times New Roman" w:hAnsi="Times New Roman" w:cs="Times New Roman"/>
      <w:color w:val="000000"/>
      <w:sz w:val="24"/>
      <w:szCs w:val="24"/>
      <w:u w:val="none"/>
    </w:rPr>
  </w:style>
  <w:style w:type="character" w:customStyle="1" w:styleId="71">
    <w:name w:val="font51"/>
    <w:qFormat/>
    <w:uiPriority w:val="0"/>
    <w:rPr>
      <w:rFonts w:hint="default" w:ascii="Times New Roman" w:hAnsi="Times New Roman" w:cs="Times New Roman"/>
      <w:color w:val="000000"/>
      <w:sz w:val="22"/>
      <w:szCs w:val="22"/>
      <w:u w:val="none"/>
    </w:rPr>
  </w:style>
  <w:style w:type="character" w:customStyle="1" w:styleId="72">
    <w:name w:val="font121"/>
    <w:qFormat/>
    <w:uiPriority w:val="0"/>
    <w:rPr>
      <w:rFonts w:hint="eastAsia" w:ascii="宋体" w:hAnsi="宋体" w:eastAsia="宋体" w:cs="宋体"/>
      <w:color w:val="000000"/>
      <w:sz w:val="22"/>
      <w:szCs w:val="22"/>
      <w:u w:val="none"/>
    </w:rPr>
  </w:style>
  <w:style w:type="character" w:customStyle="1" w:styleId="73">
    <w:name w:val="font71"/>
    <w:qFormat/>
    <w:uiPriority w:val="0"/>
    <w:rPr>
      <w:rFonts w:hint="default" w:ascii="Times New Roman" w:hAnsi="Times New Roman" w:cs="Times New Roman"/>
      <w:color w:val="000000"/>
      <w:sz w:val="22"/>
      <w:szCs w:val="22"/>
      <w:u w:val="none"/>
    </w:rPr>
  </w:style>
  <w:style w:type="character" w:customStyle="1" w:styleId="74">
    <w:name w:val="font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6134</Words>
  <Characters>6346</Characters>
  <Lines>634</Lines>
  <Paragraphs>178</Paragraphs>
  <TotalTime>0</TotalTime>
  <ScaleCrop>false</ScaleCrop>
  <LinksUpToDate>false</LinksUpToDate>
  <CharactersWithSpaces>6649</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2022-02-21T07:40:00Z</dcterms:created>
  <dc:creator>国义</dc:creator>
  <cp:lastModifiedBy>dell</cp:lastModifiedBy>
  <cp:lastPrinted>2023-10-26T07:49:00Z</cp:lastPrinted>
  <dcterms:modified xsi:type="dcterms:W3CDTF">2025-04-23T09:24:56Z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wkhtmltopdf 0.12.5</vt:lpwstr>
  </property>
  <property fmtid="{D5CDD505-2E9C-101B-9397-08002B2CF9AE}" pid="3" name="KSOProductBuildVer">
    <vt:lpwstr>2052-11.8.6.11020</vt:lpwstr>
  </property>
  <property fmtid="{D5CDD505-2E9C-101B-9397-08002B2CF9AE}" pid="4" name="ICV">
    <vt:lpwstr>A1DC9DB37A4449F9B8DF77012235FC64</vt:lpwstr>
  </property>
</Properties>
</file>