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440101-2026-06790</w:t>
      </w:r>
    </w:p>
    <w:p>
      <w:pPr>
        <w:pStyle w:val="null3"/>
        <w:jc w:val="center"/>
        <w:outlineLvl w:val="3"/>
      </w:pPr>
      <w:r>
        <w:rPr>
          <w:sz w:val="24"/>
          <w:b/>
        </w:rPr>
        <w:t>采购项目编号：</w:t>
      </w:r>
      <w:r>
        <w:rPr>
          <w:sz w:val="24"/>
          <w:b/>
        </w:rPr>
        <w:t>0724-2631Z2631851</w:t>
      </w:r>
    </w:p>
    <w:p>
      <w:pPr>
        <w:pStyle w:val="null3"/>
        <w:jc w:val="center"/>
        <w:outlineLvl w:val="3"/>
      </w:pPr>
      <w:r>
        <w:rPr>
          <w:sz w:val="24"/>
          <w:b/>
        </w:rPr>
        <w:t>项目名称：</w:t>
      </w:r>
      <w:r>
        <w:rPr>
          <w:sz w:val="24"/>
          <w:b/>
        </w:rPr>
        <w:t>广州市第一人民医院南沙医院采购医疗设备维保服务招标项目（2026年第1批）</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广州市第一人民医院南沙医院采购医疗设备维保服务招标项目（2026年第1批）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广州市第一人民医院南沙医院采购医疗设备维保服务招标项目（2026年第1批）</w:t>
      </w:r>
    </w:p>
    <w:p>
      <w:pPr>
        <w:pStyle w:val="null3"/>
        <w:ind w:firstLine="480"/>
      </w:pPr>
      <w:r>
        <w:rPr/>
        <w:t>采购计划编号：</w:t>
      </w:r>
      <w:r>
        <w:rPr/>
        <w:t>440101-2026-06790</w:t>
      </w:r>
    </w:p>
    <w:p>
      <w:pPr>
        <w:pStyle w:val="null3"/>
        <w:ind w:firstLine="480"/>
      </w:pPr>
      <w:r>
        <w:rPr/>
        <w:t>采购项目编号：</w:t>
      </w:r>
      <w:r>
        <w:rPr/>
        <w:t>0724-2631Z2631851</w:t>
      </w:r>
    </w:p>
    <w:p>
      <w:pPr>
        <w:pStyle w:val="null3"/>
        <w:ind w:firstLine="480"/>
      </w:pPr>
      <w:r>
        <w:rPr/>
        <w:t>采购方式：</w:t>
      </w:r>
      <w:r>
        <w:rPr/>
        <w:t>公开招标</w:t>
      </w:r>
    </w:p>
    <w:p>
      <w:pPr>
        <w:pStyle w:val="null3"/>
        <w:ind w:firstLine="480"/>
      </w:pPr>
      <w:r>
        <w:rPr/>
        <w:t>预算金额：</w:t>
      </w:r>
      <w:r>
        <w:rPr/>
        <w:t>1,340,000.00</w:t>
      </w:r>
      <w:r>
        <w:rPr/>
        <w:t>元</w:t>
      </w:r>
    </w:p>
    <w:p>
      <w:pPr>
        <w:pStyle w:val="null3"/>
        <w:outlineLvl w:val="3"/>
      </w:pPr>
      <w:r>
        <w:rPr>
          <w:sz w:val="24"/>
          <w:b/>
        </w:rPr>
        <w:t>2.项目内容及需求情况（采购项目技术规格、参数及要求）</w:t>
      </w:r>
    </w:p>
    <w:p>
      <w:pPr>
        <w:pStyle w:val="null3"/>
      </w:pPr>
      <w:r>
        <w:rPr/>
        <w:t>采购包1(内窥镜维保服务):</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内窥镜维保服务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采购包2(血液透析设备采购维保服务):</w:t>
      </w:r>
    </w:p>
    <w:p>
      <w:pPr>
        <w:pStyle w:val="null3"/>
      </w:pPr>
      <w:r>
        <w:rPr/>
        <w:t>采购包预算金额：340,000.00元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医疗设备维修和保养服务</w:t>
            </w:r>
          </w:p>
        </w:tc>
        <w:tc>
          <w:tcPr>
            <w:tcW w:type="dxa" w:w="2136"/>
          </w:tcPr>
          <w:p>
            <w:pPr>
              <w:pStyle w:val="null3"/>
            </w:pPr>
            <w:r>
              <w:rPr/>
              <w:t>血液透析设备采购维保服务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采购包1（内窥镜维保服务）：</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jc w:val="left"/>
      </w:pPr>
      <w:r>
        <w:rPr/>
        <w:t>采购包2（血液透析设备采购维保服务）：</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outlineLvl w:val="3"/>
      </w:pPr>
      <w:r>
        <w:rPr>
          <w:sz w:val="24"/>
          <w:b/>
        </w:rPr>
        <w:t>3.本项目特定的资格要求：</w:t>
      </w:r>
    </w:p>
    <w:p>
      <w:pPr>
        <w:pStyle w:val="null3"/>
      </w:pPr>
      <w:r>
        <w:rPr/>
        <w:t>采购包1（内窥镜维保服务）：</w:t>
      </w:r>
    </w:p>
    <w:p>
      <w:pPr>
        <w:pStyle w:val="null3"/>
      </w:pPr>
      <w:r>
        <w:rPr/>
        <w:t>1)投标人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采购包2（血液透析设备采购维保服务）：</w:t>
      </w:r>
    </w:p>
    <w:p>
      <w:pPr>
        <w:pStyle w:val="null3"/>
      </w:pPr>
      <w:r>
        <w:rPr/>
        <w:t>1)投标人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020-28693717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854"/>
        <w:gridCol w:w="3703"/>
        <w:gridCol w:w="854"/>
        <w:gridCol w:w="2863"/>
      </w:tblGrid>
      <w:tr>
        <w:tc>
          <w:tcPr>
            <w:tcW w:type="dxa" w:w="854"/>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包号</w:t>
            </w:r>
          </w:p>
        </w:tc>
        <w:tc>
          <w:tcPr>
            <w:tcW w:type="dxa" w:w="370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标的内容</w:t>
            </w:r>
          </w:p>
        </w:tc>
        <w:tc>
          <w:tcPr>
            <w:tcW w:type="dxa" w:w="854"/>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数量</w:t>
            </w:r>
          </w:p>
        </w:tc>
        <w:tc>
          <w:tcPr>
            <w:tcW w:type="dxa" w:w="286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采购预算（人民币）</w:t>
            </w:r>
          </w:p>
        </w:tc>
      </w:tr>
      <w:tr>
        <w:tc>
          <w:tcPr>
            <w:tcW w:type="dxa" w:w="85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37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内窥镜维保服务</w:t>
            </w:r>
          </w:p>
        </w:tc>
        <w:tc>
          <w:tcPr>
            <w:tcW w:type="dxa" w:w="85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r>
              <w:rPr>
                <w:sz w:val="21"/>
                <w:color w:val="000000"/>
              </w:rPr>
              <w:t>项</w:t>
            </w:r>
          </w:p>
        </w:tc>
        <w:tc>
          <w:tcPr>
            <w:tcW w:type="dxa" w:w="28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100</w:t>
            </w:r>
            <w:r>
              <w:rPr>
                <w:sz w:val="21"/>
                <w:color w:val="000000"/>
              </w:rPr>
              <w:t>万元</w:t>
            </w:r>
          </w:p>
        </w:tc>
      </w:tr>
      <w:tr>
        <w:tc>
          <w:tcPr>
            <w:tcW w:type="dxa" w:w="85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37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血液透析设备采购维保服务</w:t>
            </w:r>
          </w:p>
        </w:tc>
        <w:tc>
          <w:tcPr>
            <w:tcW w:type="dxa" w:w="85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r>
              <w:rPr>
                <w:sz w:val="21"/>
                <w:color w:val="000000"/>
              </w:rPr>
              <w:t>项</w:t>
            </w:r>
          </w:p>
        </w:tc>
        <w:tc>
          <w:tcPr>
            <w:tcW w:type="dxa" w:w="28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34</w:t>
            </w:r>
            <w:r>
              <w:rPr>
                <w:sz w:val="21"/>
                <w:color w:val="000000"/>
              </w:rPr>
              <w:t>万元</w:t>
            </w:r>
          </w:p>
        </w:tc>
      </w:tr>
    </w:tbl>
    <w:p>
      <w:pPr>
        <w:pStyle w:val="null3"/>
        <w:jc w:val="both"/>
      </w:pPr>
      <w:r>
        <w:rPr>
          <w:sz w:val="21"/>
          <w:color w:val="000000"/>
        </w:rPr>
        <w:t>详细技术规范请参阅招标文件中的用户需求书。投标人必须对本项目的全部内容进行投标报价，如有缺漏或报价超出本项目的采购预算，将导致投标无效。</w:t>
      </w:r>
    </w:p>
    <w:p>
      <w:pPr>
        <w:pStyle w:val="null3"/>
        <w:jc w:val="both"/>
      </w:pPr>
      <w:r>
        <w:rPr>
          <w:sz w:val="21"/>
          <w:color w:val="000000"/>
        </w:rPr>
        <w:t>本项目采购本国服务。</w:t>
      </w:r>
    </w:p>
    <w:p>
      <w:pPr>
        <w:pStyle w:val="null3"/>
        <w:jc w:val="center"/>
      </w:pPr>
      <w:r>
        <w:rPr>
          <w:sz w:val="21"/>
          <w:b/>
          <w:color w:val="000000"/>
        </w:rPr>
        <w:t>用户需求书</w:t>
      </w:r>
    </w:p>
    <w:p>
      <w:pPr>
        <w:pStyle w:val="null3"/>
        <w:jc w:val="both"/>
      </w:pPr>
      <w:r>
        <w:rPr>
          <w:sz w:val="21"/>
          <w:b/>
          <w:color w:val="000000"/>
        </w:rPr>
        <w:t>说明：打</w:t>
      </w:r>
      <w:r>
        <w:rPr>
          <w:sz w:val="21"/>
          <w:b/>
          <w:color w:val="000000"/>
        </w:rPr>
        <w:t>“★”号条款为实质性条款，若有任何一条负偏离或不满足则导致投标（响应）无效。</w:t>
      </w:r>
    </w:p>
    <w:p>
      <w:pPr>
        <w:pStyle w:val="null3"/>
        <w:jc w:val="both"/>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1"/>
          <w:b/>
          <w:color w:val="000000"/>
        </w:rPr>
        <w:t>包</w:t>
      </w:r>
      <w:r>
        <w:rPr>
          <w:sz w:val="21"/>
          <w:b/>
          <w:color w:val="000000"/>
        </w:rPr>
        <w:t>1</w:t>
      </w:r>
      <w:r>
        <w:rPr>
          <w:sz w:val="21"/>
          <w:b/>
          <w:color w:val="000000"/>
        </w:rPr>
        <w:t>：内窥镜维保服务</w:t>
      </w:r>
    </w:p>
    <w:p>
      <w:pPr>
        <w:pStyle w:val="null3"/>
        <w:jc w:val="both"/>
      </w:pPr>
      <w:r>
        <w:rPr>
          <w:sz w:val="21"/>
          <w:b/>
        </w:rPr>
        <w:t>一、项目基本概况介绍</w:t>
      </w:r>
    </w:p>
    <w:p>
      <w:pPr>
        <w:pStyle w:val="null3"/>
        <w:jc w:val="both"/>
      </w:pPr>
      <w:r>
        <w:rPr>
          <w:sz w:val="21"/>
        </w:rPr>
        <w:t>本项目为医院在用奥林巴斯系列电子胃肠镜系统采购维保服务，项目包含设备所有维修维护、人工以及所需零配件。</w:t>
      </w:r>
    </w:p>
    <w:p>
      <w:pPr>
        <w:pStyle w:val="null3"/>
        <w:ind w:firstLine="420"/>
        <w:jc w:val="left"/>
      </w:pPr>
      <w:r>
        <w:rPr>
          <w:sz w:val="21"/>
          <w:b/>
        </w:rPr>
        <w:t>二、采购内容</w:t>
      </w:r>
    </w:p>
    <w:p>
      <w:pPr>
        <w:pStyle w:val="null3"/>
        <w:jc w:val="both"/>
      </w:pPr>
      <w:r>
        <w:rPr>
          <w:sz w:val="21"/>
        </w:rPr>
        <w:t>（一）采购清单：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标的名称</w:t>
            </w:r>
          </w:p>
        </w:tc>
        <w:tc>
          <w:tcPr>
            <w:tcW w:type="dxa" w:w="207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数量</w:t>
            </w:r>
          </w:p>
        </w:tc>
        <w:tc>
          <w:tcPr>
            <w:tcW w:type="dxa" w:w="207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采购预算</w:t>
            </w:r>
          </w:p>
        </w:tc>
        <w:tc>
          <w:tcPr>
            <w:tcW w:type="dxa" w:w="207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服务期限</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内窥镜维保服务</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1(项)</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100万</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签订合同之日起</w:t>
            </w:r>
            <w:r>
              <w:rPr>
                <w:sz w:val="21"/>
              </w:rPr>
              <w:t>3 年</w:t>
            </w:r>
          </w:p>
        </w:tc>
      </w:tr>
    </w:tbl>
    <w:p>
      <w:pPr>
        <w:pStyle w:val="null3"/>
        <w:jc w:val="both"/>
      </w:pPr>
      <w:r>
        <w:rPr>
          <w:sz w:val="21"/>
        </w:rPr>
        <w:t>（二）</w:t>
      </w:r>
      <w:r>
        <w:rPr>
          <w:sz w:val="21"/>
        </w:rPr>
        <w:t>采购标的需符合的国家相关标准、行业标准、地方标准或者其他标准、规范：</w:t>
      </w:r>
    </w:p>
    <w:p>
      <w:pPr>
        <w:pStyle w:val="null3"/>
        <w:jc w:val="both"/>
      </w:pPr>
      <w:r>
        <w:rPr>
          <w:sz w:val="21"/>
        </w:rPr>
        <w:t>包括且不限于《医疗器械使用质量监督管理办法》《医疗设备预防性维护管理规范》等。</w:t>
      </w:r>
    </w:p>
    <w:p>
      <w:pPr>
        <w:pStyle w:val="null3"/>
        <w:jc w:val="both"/>
      </w:pPr>
      <w:r>
        <w:rPr>
          <w:sz w:val="21"/>
          <w:b/>
        </w:rPr>
        <w:t>三、服务内容</w:t>
      </w:r>
    </w:p>
    <w:tbl>
      <w:tblPr>
        <w:tblW w:w="0" w:type="auto"/>
        <w:tblBorders>
          <w:top w:val="none" w:color="000000" w:sz="4"/>
          <w:left w:val="none" w:color="000000" w:sz="4"/>
          <w:bottom w:val="none" w:color="000000" w:sz="4"/>
          <w:right w:val="none" w:color="000000" w:sz="4"/>
          <w:insideH w:val="none"/>
          <w:insideV w:val="none"/>
        </w:tblBorders>
      </w:tblPr>
      <w:tblGrid>
        <w:gridCol w:w="645"/>
        <w:gridCol w:w="2190"/>
        <w:gridCol w:w="2475"/>
        <w:gridCol w:w="1740"/>
      </w:tblGrid>
      <w:tr>
        <w:tc>
          <w:tcPr>
            <w:tcW w:type="dxa" w:w="64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序号</w:t>
            </w:r>
          </w:p>
        </w:tc>
        <w:tc>
          <w:tcPr>
            <w:tcW w:type="dxa" w:w="219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设备型号</w:t>
            </w:r>
          </w:p>
        </w:tc>
        <w:tc>
          <w:tcPr>
            <w:tcW w:type="dxa" w:w="247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设备名称</w:t>
            </w:r>
          </w:p>
        </w:tc>
        <w:tc>
          <w:tcPr>
            <w:tcW w:type="dxa" w:w="174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机身号码</w:t>
            </w:r>
          </w:p>
        </w:tc>
      </w:tr>
      <w:tr>
        <w:tc>
          <w:tcPr>
            <w:tcW w:type="dxa" w:w="6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center"/>
            </w:pPr>
            <w:r>
              <w:rPr>
                <w:sz w:val="21"/>
              </w:rPr>
              <w:t>1.</w:t>
            </w:r>
          </w:p>
        </w:tc>
        <w:tc>
          <w:tcPr>
            <w:tcW w:type="dxa" w:w="21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CF-HQ290I</w:t>
            </w:r>
          </w:p>
        </w:tc>
        <w:tc>
          <w:tcPr>
            <w:tcW w:type="dxa" w:w="24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电子结肠内窥镜</w:t>
            </w:r>
          </w:p>
        </w:tc>
        <w:tc>
          <w:tcPr>
            <w:tcW w:type="dxa" w:w="17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2612867</w:t>
            </w:r>
          </w:p>
        </w:tc>
      </w:tr>
      <w:tr>
        <w:tc>
          <w:tcPr>
            <w:tcW w:type="dxa" w:w="6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center"/>
            </w:pPr>
            <w:r>
              <w:rPr>
                <w:sz w:val="21"/>
              </w:rPr>
              <w:t>2.</w:t>
            </w:r>
          </w:p>
        </w:tc>
        <w:tc>
          <w:tcPr>
            <w:tcW w:type="dxa" w:w="21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TJF-260V</w:t>
            </w:r>
          </w:p>
        </w:tc>
        <w:tc>
          <w:tcPr>
            <w:tcW w:type="dxa" w:w="24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电子十二指肠内窥镜</w:t>
            </w:r>
          </w:p>
        </w:tc>
        <w:tc>
          <w:tcPr>
            <w:tcW w:type="dxa" w:w="17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2302220</w:t>
            </w:r>
          </w:p>
        </w:tc>
      </w:tr>
      <w:tr>
        <w:tc>
          <w:tcPr>
            <w:tcW w:type="dxa" w:w="6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center"/>
            </w:pPr>
            <w:r>
              <w:rPr>
                <w:sz w:val="21"/>
              </w:rPr>
              <w:t>3.</w:t>
            </w:r>
          </w:p>
        </w:tc>
        <w:tc>
          <w:tcPr>
            <w:tcW w:type="dxa" w:w="21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GIF-HQ290</w:t>
            </w:r>
          </w:p>
        </w:tc>
        <w:tc>
          <w:tcPr>
            <w:tcW w:type="dxa" w:w="24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电子上消化道内窥镜</w:t>
            </w:r>
          </w:p>
        </w:tc>
        <w:tc>
          <w:tcPr>
            <w:tcW w:type="dxa" w:w="17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2402307</w:t>
            </w:r>
          </w:p>
        </w:tc>
      </w:tr>
      <w:tr>
        <w:tc>
          <w:tcPr>
            <w:tcW w:type="dxa" w:w="6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center"/>
            </w:pPr>
            <w:r>
              <w:rPr>
                <w:sz w:val="21"/>
              </w:rPr>
              <w:t>4.</w:t>
            </w:r>
          </w:p>
        </w:tc>
        <w:tc>
          <w:tcPr>
            <w:tcW w:type="dxa" w:w="21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GIF-H290</w:t>
            </w:r>
          </w:p>
        </w:tc>
        <w:tc>
          <w:tcPr>
            <w:tcW w:type="dxa" w:w="24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电子上消化道内窥镜</w:t>
            </w:r>
          </w:p>
        </w:tc>
        <w:tc>
          <w:tcPr>
            <w:tcW w:type="dxa" w:w="17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2402259</w:t>
            </w:r>
          </w:p>
        </w:tc>
      </w:tr>
      <w:tr>
        <w:tc>
          <w:tcPr>
            <w:tcW w:type="dxa" w:w="6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center"/>
            </w:pPr>
            <w:r>
              <w:rPr>
                <w:sz w:val="21"/>
              </w:rPr>
              <w:t>5.</w:t>
            </w:r>
          </w:p>
        </w:tc>
        <w:tc>
          <w:tcPr>
            <w:tcW w:type="dxa" w:w="21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GIF-XP290N</w:t>
            </w:r>
          </w:p>
        </w:tc>
        <w:tc>
          <w:tcPr>
            <w:tcW w:type="dxa" w:w="24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电子上消化道内窥镜</w:t>
            </w:r>
          </w:p>
        </w:tc>
        <w:tc>
          <w:tcPr>
            <w:tcW w:type="dxa" w:w="17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2401961</w:t>
            </w:r>
          </w:p>
        </w:tc>
      </w:tr>
      <w:tr>
        <w:tc>
          <w:tcPr>
            <w:tcW w:type="dxa" w:w="6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center"/>
            </w:pPr>
            <w:r>
              <w:rPr>
                <w:sz w:val="21"/>
              </w:rPr>
              <w:t>6.</w:t>
            </w:r>
          </w:p>
        </w:tc>
        <w:tc>
          <w:tcPr>
            <w:tcW w:type="dxa" w:w="21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CF-HQ290I</w:t>
            </w:r>
          </w:p>
        </w:tc>
        <w:tc>
          <w:tcPr>
            <w:tcW w:type="dxa" w:w="24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电子结肠内窥镜</w:t>
            </w:r>
          </w:p>
        </w:tc>
        <w:tc>
          <w:tcPr>
            <w:tcW w:type="dxa" w:w="17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2401781</w:t>
            </w:r>
          </w:p>
        </w:tc>
      </w:tr>
      <w:tr>
        <w:tc>
          <w:tcPr>
            <w:tcW w:type="dxa" w:w="6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center"/>
            </w:pPr>
            <w:r>
              <w:rPr>
                <w:sz w:val="21"/>
              </w:rPr>
              <w:t>7.</w:t>
            </w:r>
          </w:p>
        </w:tc>
        <w:tc>
          <w:tcPr>
            <w:tcW w:type="dxa" w:w="21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GIF-H290</w:t>
            </w:r>
          </w:p>
        </w:tc>
        <w:tc>
          <w:tcPr>
            <w:tcW w:type="dxa" w:w="24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电子上消化道内窥镜</w:t>
            </w:r>
          </w:p>
        </w:tc>
        <w:tc>
          <w:tcPr>
            <w:tcW w:type="dxa" w:w="17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2523520</w:t>
            </w:r>
          </w:p>
        </w:tc>
      </w:tr>
      <w:tr>
        <w:tc>
          <w:tcPr>
            <w:tcW w:type="dxa" w:w="6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center"/>
            </w:pPr>
            <w:r>
              <w:rPr>
                <w:sz w:val="21"/>
              </w:rPr>
              <w:t>8.</w:t>
            </w:r>
          </w:p>
        </w:tc>
        <w:tc>
          <w:tcPr>
            <w:tcW w:type="dxa" w:w="21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GIF-Q260J</w:t>
            </w:r>
          </w:p>
        </w:tc>
        <w:tc>
          <w:tcPr>
            <w:tcW w:type="dxa" w:w="24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电子上消化道内窥镜</w:t>
            </w:r>
          </w:p>
        </w:tc>
        <w:tc>
          <w:tcPr>
            <w:tcW w:type="dxa" w:w="17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2504474</w:t>
            </w:r>
          </w:p>
        </w:tc>
      </w:tr>
      <w:tr>
        <w:tc>
          <w:tcPr>
            <w:tcW w:type="dxa" w:w="6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center"/>
            </w:pPr>
            <w:r>
              <w:rPr>
                <w:sz w:val="21"/>
              </w:rPr>
              <w:t>9.</w:t>
            </w:r>
          </w:p>
        </w:tc>
        <w:tc>
          <w:tcPr>
            <w:tcW w:type="dxa" w:w="21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GIF-H290</w:t>
            </w:r>
          </w:p>
        </w:tc>
        <w:tc>
          <w:tcPr>
            <w:tcW w:type="dxa" w:w="24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电子上消化道内窥镜</w:t>
            </w:r>
          </w:p>
        </w:tc>
        <w:tc>
          <w:tcPr>
            <w:tcW w:type="dxa" w:w="17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2053986</w:t>
            </w:r>
          </w:p>
        </w:tc>
      </w:tr>
      <w:tr>
        <w:tc>
          <w:tcPr>
            <w:tcW w:type="dxa" w:w="6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center"/>
            </w:pPr>
            <w:r>
              <w:rPr>
                <w:sz w:val="21"/>
              </w:rPr>
              <w:t>10.</w:t>
            </w:r>
          </w:p>
        </w:tc>
        <w:tc>
          <w:tcPr>
            <w:tcW w:type="dxa" w:w="21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GIF-Q260J</w:t>
            </w:r>
          </w:p>
        </w:tc>
        <w:tc>
          <w:tcPr>
            <w:tcW w:type="dxa" w:w="24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电子上消化道内窥镜</w:t>
            </w:r>
          </w:p>
        </w:tc>
        <w:tc>
          <w:tcPr>
            <w:tcW w:type="dxa" w:w="17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2027876</w:t>
            </w:r>
          </w:p>
        </w:tc>
      </w:tr>
      <w:tr>
        <w:tc>
          <w:tcPr>
            <w:tcW w:type="dxa" w:w="6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center"/>
            </w:pPr>
            <w:r>
              <w:rPr>
                <w:sz w:val="21"/>
              </w:rPr>
              <w:t>11.</w:t>
            </w:r>
          </w:p>
        </w:tc>
        <w:tc>
          <w:tcPr>
            <w:tcW w:type="dxa" w:w="21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GIF-H290Z</w:t>
            </w:r>
          </w:p>
        </w:tc>
        <w:tc>
          <w:tcPr>
            <w:tcW w:type="dxa" w:w="24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电子上消化道内窥镜</w:t>
            </w:r>
          </w:p>
        </w:tc>
        <w:tc>
          <w:tcPr>
            <w:tcW w:type="dxa" w:w="17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2035780</w:t>
            </w:r>
          </w:p>
        </w:tc>
      </w:tr>
      <w:tr>
        <w:tc>
          <w:tcPr>
            <w:tcW w:type="dxa" w:w="6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center"/>
            </w:pPr>
            <w:r>
              <w:rPr>
                <w:sz w:val="21"/>
              </w:rPr>
              <w:t>12.</w:t>
            </w:r>
          </w:p>
        </w:tc>
        <w:tc>
          <w:tcPr>
            <w:tcW w:type="dxa" w:w="21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CF-H290I</w:t>
            </w:r>
          </w:p>
        </w:tc>
        <w:tc>
          <w:tcPr>
            <w:tcW w:type="dxa" w:w="24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电子结肠内窥镜</w:t>
            </w:r>
          </w:p>
        </w:tc>
        <w:tc>
          <w:tcPr>
            <w:tcW w:type="dxa" w:w="17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2045709</w:t>
            </w:r>
          </w:p>
        </w:tc>
      </w:tr>
      <w:tr>
        <w:tc>
          <w:tcPr>
            <w:tcW w:type="dxa" w:w="6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21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CF-H290I</w:t>
            </w:r>
          </w:p>
        </w:tc>
        <w:tc>
          <w:tcPr>
            <w:tcW w:type="dxa" w:w="24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电子结肠内窥镜</w:t>
            </w:r>
          </w:p>
        </w:tc>
        <w:tc>
          <w:tcPr>
            <w:tcW w:type="dxa" w:w="17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2045727</w:t>
            </w:r>
          </w:p>
        </w:tc>
      </w:tr>
    </w:tbl>
    <w:p>
      <w:pPr>
        <w:pStyle w:val="null3"/>
        <w:jc w:val="both"/>
      </w:pPr>
      <w:r>
        <w:rPr>
          <w:sz w:val="21"/>
          <w:b/>
        </w:rPr>
        <w:t>四、服务总体要求和具体要求</w:t>
      </w:r>
    </w:p>
    <w:p>
      <w:pPr>
        <w:pStyle w:val="null3"/>
        <w:jc w:val="left"/>
      </w:pPr>
      <w:r>
        <w:rPr>
          <w:sz w:val="21"/>
        </w:rPr>
        <w:t>▲1.投标人应具备厂家授权维修资质。</w:t>
      </w:r>
      <w:r>
        <w:rPr>
          <w:sz w:val="21"/>
        </w:rPr>
        <w:t>（投标人需提供厂家授权函）</w:t>
      </w:r>
    </w:p>
    <w:p>
      <w:pPr>
        <w:pStyle w:val="null3"/>
        <w:jc w:val="left"/>
      </w:pPr>
      <w:r>
        <w:rPr>
          <w:sz w:val="21"/>
        </w:rPr>
        <w:t>▲2.维修过程中使用的零配件为原厂配件，来源合法合规，维修后达到出厂合格标准（需提供配件来源证明材料）。在零件齐备的情况下，中标人保证7个工作日内完成小维修。在零件齐备的情况下，中标人保证15个工作日内完成大维修。如果采购人属于本附件内所列的设备发生故障需要大维修时，采购人享有优先获得备用品的权利，中标人提供同型号备品直至维修完成。（提供承诺函）</w:t>
      </w:r>
    </w:p>
    <w:p>
      <w:pPr>
        <w:pStyle w:val="null3"/>
        <w:jc w:val="left"/>
      </w:pPr>
      <w:r>
        <w:rPr>
          <w:sz w:val="21"/>
        </w:rPr>
        <w:t>3.当设备出现紧急故障时，技术工程师能通过电话方式指导排除问题，响应时间不超过24小时。无法排除处理时，将在3个工作日内到达现场服务；</w:t>
      </w:r>
    </w:p>
    <w:p>
      <w:pPr>
        <w:pStyle w:val="null3"/>
        <w:jc w:val="left"/>
      </w:pPr>
      <w:r>
        <w:rPr>
          <w:sz w:val="21"/>
        </w:rPr>
        <w:t>▲4.在维保服务期内，投标供应商就本维保服务设备清单中所列设备提供远程和现场的应用技术支持。工程师需有经厂家技术培训合格的，或者具有设备厂家对其维保能力认可的其他有效资质证书的工程师负责本项目实施（提供有效期内原厂认证的工程师资格证书）。</w:t>
      </w:r>
    </w:p>
    <w:p>
      <w:pPr>
        <w:pStyle w:val="null3"/>
        <w:jc w:val="left"/>
      </w:pPr>
      <w:r>
        <w:rPr>
          <w:sz w:val="21"/>
        </w:rPr>
        <w:t>5.提供每周24小时×7天的电话支持服务，中标人指定工程师为采购人提供定期3月1次巡回，6月1次点检，并提交检查报告给医院备档。</w:t>
      </w:r>
    </w:p>
    <w:p>
      <w:pPr>
        <w:pStyle w:val="null3"/>
        <w:jc w:val="left"/>
      </w:pPr>
      <w:r>
        <w:rPr>
          <w:sz w:val="21"/>
        </w:rPr>
        <w:t>6.</w:t>
      </w:r>
      <w:r>
        <w:rPr>
          <w:sz w:val="21"/>
        </w:rPr>
        <w:t>中标人为采购人提供</w:t>
      </w:r>
      <w:r>
        <w:rPr>
          <w:sz w:val="21"/>
        </w:rPr>
        <w:t>1年1次的周边仪器免费除尘清洁服务，提供每年4次原厂设备维护（周边仪器是指本维修范围清单内的周边仪器）。在本保修期内，中标人可根据采购人的需求，对维保清单内所列设备的使用、清洗和保养方法为采购人提供院内培训。</w:t>
      </w:r>
    </w:p>
    <w:p>
      <w:pPr>
        <w:pStyle w:val="null3"/>
        <w:jc w:val="left"/>
      </w:pPr>
      <w:r>
        <w:rPr>
          <w:sz w:val="21"/>
        </w:rPr>
        <w:t>7.</w:t>
      </w:r>
      <w:r>
        <w:rPr>
          <w:sz w:val="21"/>
        </w:rPr>
        <w:t>维保清单中所列产品，如果在自然损耗以及按照中标人要求的清洗消毒方法的情况下发生故障，中标人进行无条件维修；设备维修范围只适用于维保合同清单内所列设备，以下情况不属于保修范围：</w:t>
      </w:r>
      <w:r>
        <w:rPr>
          <w:sz w:val="21"/>
        </w:rPr>
        <w:t>1)其他与周边仪器相关的不可维修的设备（如电缆线、超声探头、水瓶、键盘、脚踏等）；2) 消耗品、易损耗件（如清洗用具、治疗附件、光源灯泡、手术器械等）；3)由火灾、洪水等自然灾害引起的产品损坏或故障。4)未按照清洗消毒灭菌手册中提及的已验证的清洗消毒机、消毒液、灭菌器进行清洗、消毒、灭菌引起的故障。5)人为故意损坏</w:t>
      </w:r>
    </w:p>
    <w:p>
      <w:pPr>
        <w:pStyle w:val="null3"/>
        <w:jc w:val="left"/>
      </w:pPr>
      <w:r>
        <w:rPr>
          <w:sz w:val="21"/>
        </w:rPr>
        <w:t>8.</w:t>
      </w:r>
      <w:r>
        <w:rPr>
          <w:sz w:val="21"/>
        </w:rPr>
        <w:t>国内具有维修机构（提供承诺函、维修机构地址及场地图片资料）。</w:t>
      </w:r>
    </w:p>
    <w:p>
      <w:pPr>
        <w:pStyle w:val="null3"/>
        <w:jc w:val="left"/>
      </w:pPr>
      <w:r>
        <w:rPr>
          <w:sz w:val="21"/>
        </w:rPr>
        <w:t>9.</w:t>
      </w:r>
      <w:r>
        <w:rPr>
          <w:sz w:val="21"/>
        </w:rPr>
        <w:t>国内具有培训基地，在维保合同期内提供院方人员</w:t>
      </w:r>
      <w:r>
        <w:rPr>
          <w:sz w:val="21"/>
        </w:rPr>
        <w:t>≥1次的应用培训。（提供承诺函、培训基地地址及场地图片资料）。</w:t>
      </w:r>
    </w:p>
    <w:p>
      <w:pPr>
        <w:pStyle w:val="null3"/>
        <w:jc w:val="left"/>
      </w:pPr>
      <w:r>
        <w:rPr>
          <w:sz w:val="21"/>
        </w:rPr>
        <w:t>10.</w:t>
      </w:r>
      <w:r>
        <w:rPr>
          <w:sz w:val="21"/>
        </w:rPr>
        <w:t>国内设有常用备品库，为所保设备保证备品的存储并优先提供备品备件的发货及维修更换。（提供承诺函、备品库地址及场地图片资料）。</w:t>
      </w:r>
    </w:p>
    <w:p>
      <w:pPr>
        <w:pStyle w:val="null3"/>
        <w:jc w:val="left"/>
      </w:pPr>
      <w:r>
        <w:rPr>
          <w:sz w:val="21"/>
        </w:rPr>
        <w:t>▲11.保证提供设备制造商统一执行的软件优化、补丁升级或其他升级，并保证所有使用软件为最新版本。（提供承诺函）</w:t>
      </w:r>
    </w:p>
    <w:p>
      <w:pPr>
        <w:pStyle w:val="null3"/>
        <w:jc w:val="left"/>
      </w:pPr>
      <w:r>
        <w:rPr>
          <w:sz w:val="21"/>
        </w:rPr>
        <w:t>12.</w:t>
      </w:r>
      <w:r>
        <w:rPr>
          <w:sz w:val="21"/>
        </w:rPr>
        <w:t>提供设备全面的测试和维护保养纪录，每年向采购人提供</w:t>
      </w:r>
      <w:r>
        <w:rPr>
          <w:sz w:val="21"/>
        </w:rPr>
        <w:t>≥</w:t>
      </w:r>
      <w:r>
        <w:rPr>
          <w:sz w:val="21"/>
        </w:rPr>
        <w:t>1</w:t>
      </w:r>
      <w:r>
        <w:rPr>
          <w:sz w:val="21"/>
        </w:rPr>
        <w:t>次</w:t>
      </w:r>
      <w:r>
        <w:rPr>
          <w:sz w:val="21"/>
        </w:rPr>
        <w:t>维护保养工作总结。</w:t>
      </w:r>
    </w:p>
    <w:p>
      <w:pPr>
        <w:pStyle w:val="null3"/>
        <w:jc w:val="left"/>
      </w:pPr>
      <w:r>
        <w:rPr>
          <w:sz w:val="21"/>
        </w:rPr>
        <w:t>13.</w:t>
      </w:r>
      <w:r>
        <w:rPr>
          <w:sz w:val="21"/>
        </w:rPr>
        <w:t>提供设备全面的校准服务</w:t>
      </w:r>
      <w:r>
        <w:rPr>
          <w:sz w:val="21"/>
        </w:rPr>
        <w:t>,每年向采购人提供</w:t>
      </w:r>
      <w:r>
        <w:rPr>
          <w:sz w:val="21"/>
        </w:rPr>
        <w:t>≥</w:t>
      </w:r>
      <w:r>
        <w:rPr>
          <w:sz w:val="21"/>
        </w:rPr>
        <w:t>1</w:t>
      </w:r>
      <w:r>
        <w:rPr>
          <w:sz w:val="21"/>
        </w:rPr>
        <w:t>次</w:t>
      </w:r>
      <w:r>
        <w:rPr>
          <w:sz w:val="21"/>
        </w:rPr>
        <w:t>校准报告。</w:t>
      </w:r>
    </w:p>
    <w:p>
      <w:pPr>
        <w:pStyle w:val="null3"/>
        <w:ind w:firstLine="420"/>
        <w:jc w:val="left"/>
      </w:pPr>
      <w:r>
        <w:rPr>
          <w:sz w:val="21"/>
          <w:b/>
        </w:rPr>
        <w:t>五、服务质量要求</w:t>
      </w:r>
      <w:r>
        <w:rPr>
          <w:sz w:val="21"/>
          <w:b/>
        </w:rPr>
        <w:t>/或技术指标要求</w:t>
      </w:r>
    </w:p>
    <w:p>
      <w:pPr>
        <w:pStyle w:val="null3"/>
      </w:pPr>
      <w:r>
        <w:rPr>
          <w:sz w:val="21"/>
        </w:rPr>
        <w:t>维保考核及扣罚：</w:t>
      </w:r>
    </w:p>
    <w:p>
      <w:pPr>
        <w:pStyle w:val="null3"/>
      </w:pPr>
      <w:r>
        <w:rPr>
          <w:sz w:val="21"/>
        </w:rPr>
        <w:t>按保养维护考核标准考核：满分</w:t>
      </w:r>
      <w:r>
        <w:rPr>
          <w:sz w:val="21"/>
        </w:rPr>
        <w:t>100分，表示服务质量达标，采购人全额支付成交供应商服务费用，每月1次考核。分值低于100分（不含100分）但高于90分（含90分），每分按100元扣减费用（例如当月得分94分，需扣600.00元，如此类推）；分值低于90分（不含90分）但高于85分（含85分），每分按150元扣减费用（例如当月得分88分，需扣1800.00元，如此类推）；分值低于85分但高于75分（含75分），每分按300元扣减费用（例如当月得分84分，需扣4800.00元，如此类推）；考核分值低于75分，每分按600元扣减费用（例如当月得分74分，需扣15600.00元，如此类推）。一年累计2次出现75分以下（不含75分）的，采购人有权终止合同无需承担责任。</w:t>
      </w:r>
    </w:p>
    <w:tbl>
      <w:tblPr>
        <w:tblW w:w="0" w:type="auto"/>
        <w:tblBorders>
          <w:top w:val="none" w:color="000000" w:sz="4"/>
          <w:left w:val="none" w:color="000000" w:sz="4"/>
          <w:bottom w:val="none" w:color="000000" w:sz="4"/>
          <w:right w:val="none" w:color="000000" w:sz="4"/>
          <w:insideH w:val="none"/>
          <w:insideV w:val="none"/>
        </w:tblBorders>
      </w:tblPr>
      <w:tblGrid>
        <w:gridCol w:w="663"/>
        <w:gridCol w:w="6015"/>
        <w:gridCol w:w="1628"/>
      </w:tblGrid>
      <w:tr>
        <w:tc>
          <w:tcPr>
            <w:tcW w:type="dxa" w:w="66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序号</w:t>
            </w:r>
          </w:p>
        </w:tc>
        <w:tc>
          <w:tcPr>
            <w:tcW w:type="dxa" w:w="601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内容</w:t>
            </w:r>
          </w:p>
        </w:tc>
        <w:tc>
          <w:tcPr>
            <w:tcW w:type="dxa" w:w="162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扣分额按每月统计计算</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对不能及时维修的故障未能及时与采购人沟通说明</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每次扣</w:t>
            </w:r>
            <w:r>
              <w:rPr>
                <w:sz w:val="21"/>
              </w:rPr>
              <w:t>2分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中标人接到通知后，未能在</w:t>
            </w:r>
            <w:r>
              <w:rPr>
                <w:sz w:val="21"/>
              </w:rPr>
              <w:t>3个工作日内维修人员到达现场处理。</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每次扣</w:t>
            </w:r>
            <w:r>
              <w:rPr>
                <w:sz w:val="21"/>
              </w:rPr>
              <w:t>2分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需要维保的设备未能</w:t>
            </w:r>
            <w:r>
              <w:rPr>
                <w:sz w:val="21"/>
              </w:rPr>
              <w:t>60天进行一次保养及记录</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每次扣</w:t>
            </w:r>
            <w:r>
              <w:rPr>
                <w:sz w:val="21"/>
              </w:rPr>
              <w:t>10分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未能对故障维修做详细记录和值班记录</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每次扣</w:t>
            </w:r>
            <w:r>
              <w:rPr>
                <w:sz w:val="21"/>
              </w:rPr>
              <w:t>2分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维保过程中，工作不认真，造成设备损坏的</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每次扣</w:t>
            </w:r>
            <w:r>
              <w:rPr>
                <w:sz w:val="21"/>
              </w:rPr>
              <w:t>10分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如在工作过程中，不慎损坏、破坏医院之设施</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每次扣</w:t>
            </w:r>
            <w:r>
              <w:rPr>
                <w:sz w:val="21"/>
              </w:rPr>
              <w:t>2分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着装不整齐，待人不礼貌引起客户投诉</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每次扣</w:t>
            </w:r>
            <w:r>
              <w:rPr>
                <w:sz w:val="21"/>
              </w:rPr>
              <w:t>1分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维保工作完毕后没有及时清理遗留垃圾的</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每次扣</w:t>
            </w:r>
            <w:r>
              <w:rPr>
                <w:sz w:val="21"/>
              </w:rPr>
              <w:t>1分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当其他系统发生故障涉及中标人单位服务范围需要中标人单位提供协助，中标人单位未能及时提供。</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每次扣</w:t>
            </w:r>
            <w:r>
              <w:rPr>
                <w:sz w:val="21"/>
              </w:rPr>
              <w:t>1分</w:t>
            </w:r>
          </w:p>
        </w:tc>
      </w:tr>
    </w:tbl>
    <w:p>
      <w:pPr>
        <w:pStyle w:val="null3"/>
        <w:jc w:val="both"/>
      </w:pPr>
      <w:r>
        <w:rPr>
          <w:sz w:val="21"/>
          <w:b/>
        </w:rPr>
        <w:t>六、交付使用要求</w:t>
      </w:r>
    </w:p>
    <w:p>
      <w:pPr>
        <w:pStyle w:val="null3"/>
      </w:pPr>
      <w:r>
        <w:rPr>
          <w:sz w:val="21"/>
        </w:rPr>
        <w:t>服务期限：签订合同之日起</w:t>
      </w:r>
      <w:r>
        <w:rPr>
          <w:sz w:val="21"/>
        </w:rPr>
        <w:t>3年（与用户需求书相矛盾的，以用户需求书的要求为准）</w:t>
      </w:r>
    </w:p>
    <w:p>
      <w:pPr>
        <w:pStyle w:val="null3"/>
      </w:pPr>
      <w:r>
        <w:rPr>
          <w:sz w:val="21"/>
        </w:rPr>
        <w:t>服务地点：广州市第一人民医院（采购人指定地点）</w:t>
      </w:r>
    </w:p>
    <w:p>
      <w:pPr>
        <w:pStyle w:val="null3"/>
        <w:jc w:val="both"/>
      </w:pPr>
      <w:r>
        <w:rPr>
          <w:sz w:val="21"/>
          <w:b/>
        </w:rPr>
        <w:t>七、人员要求</w:t>
      </w:r>
    </w:p>
    <w:p>
      <w:pPr>
        <w:pStyle w:val="null3"/>
      </w:pPr>
      <w:r>
        <w:rPr>
          <w:sz w:val="21"/>
        </w:rPr>
        <w:t>1.投标人指定至少1名经培训的工程师专门负责采购人的设备使用和维护培训工作。如指定工程师有变更，投标人另行通知采购人相关变更情况。</w:t>
      </w:r>
    </w:p>
    <w:p>
      <w:pPr>
        <w:pStyle w:val="null3"/>
        <w:jc w:val="both"/>
      </w:pPr>
      <w:r>
        <w:rPr>
          <w:sz w:val="21"/>
        </w:rPr>
        <w:t>2.维保服务供应商应指定不少于一名工程师专门负责内窥镜维修和清洗保养培训工作。</w:t>
      </w:r>
    </w:p>
    <w:p>
      <w:pPr>
        <w:pStyle w:val="null3"/>
        <w:ind w:firstLine="420"/>
        <w:jc w:val="left"/>
      </w:pPr>
      <w:r>
        <w:rPr>
          <w:sz w:val="21"/>
          <w:b/>
        </w:rPr>
        <w:t>八、售后服务要求</w:t>
      </w:r>
    </w:p>
    <w:p>
      <w:pPr>
        <w:pStyle w:val="null3"/>
        <w:jc w:val="both"/>
      </w:pPr>
      <w:r>
        <w:rPr>
          <w:sz w:val="21"/>
        </w:rPr>
        <w:t>1.当设备出现紧急故障时，技术工程师能通过电话方式指导排除问题，响应时间不超过24小时。无法排除处理时，将在3个工作日内到达现场服务；</w:t>
      </w:r>
    </w:p>
    <w:p>
      <w:pPr>
        <w:pStyle w:val="null3"/>
        <w:jc w:val="both"/>
      </w:pPr>
      <w:r>
        <w:rPr>
          <w:sz w:val="21"/>
        </w:rPr>
        <w:t>2.必须保证24小时通信畅通以满足故障抢修需要。</w:t>
      </w:r>
    </w:p>
    <w:p>
      <w:pPr>
        <w:pStyle w:val="null3"/>
        <w:jc w:val="both"/>
      </w:pPr>
      <w:r>
        <w:rPr>
          <w:sz w:val="21"/>
          <w:b/>
        </w:rPr>
        <w:t>九、付款方式</w:t>
      </w:r>
    </w:p>
    <w:p>
      <w:pPr>
        <w:pStyle w:val="null3"/>
        <w:jc w:val="both"/>
      </w:pPr>
      <w:r>
        <w:rPr>
          <w:sz w:val="21"/>
        </w:rPr>
        <w:t>1、付款方式：银行转账。</w:t>
      </w:r>
    </w:p>
    <w:p>
      <w:pPr>
        <w:pStyle w:val="null3"/>
        <w:jc w:val="both"/>
      </w:pPr>
      <w:r>
        <w:rPr>
          <w:sz w:val="21"/>
        </w:rPr>
        <w:t>2、付款结算周期：按年度结算。</w:t>
      </w:r>
    </w:p>
    <w:p>
      <w:pPr>
        <w:pStyle w:val="null3"/>
        <w:jc w:val="both"/>
      </w:pPr>
      <w:r>
        <w:rPr>
          <w:sz w:val="21"/>
        </w:rPr>
        <w:t>3、如中标人为非中小企业：（1）合分三期支付，先服务后付款，即服务每满一年后，自收到中标人开具当期维保费用金额发票后一个月内支付当期服务费；（2）支付方式采用银行转账支付。</w:t>
      </w:r>
    </w:p>
    <w:p>
      <w:pPr>
        <w:pStyle w:val="null3"/>
        <w:jc w:val="both"/>
      </w:pPr>
      <w:r>
        <w:rPr>
          <w:sz w:val="21"/>
        </w:rPr>
        <w:t>如中标人为中小企业（需提供中小企业声明函）：（</w:t>
      </w:r>
      <w:r>
        <w:rPr>
          <w:sz w:val="21"/>
        </w:rPr>
        <w:t>1）分三期支付，第一期为预付款支付比例30%，先付款后开始服务，乙方开具合同款的30%等额发票后五个工作日内支付当期服务费。</w:t>
      </w:r>
    </w:p>
    <w:p>
      <w:pPr>
        <w:pStyle w:val="null3"/>
        <w:jc w:val="both"/>
      </w:pPr>
      <w:r>
        <w:rPr>
          <w:sz w:val="21"/>
        </w:rPr>
        <w:t>第二期支付比例</w:t>
      </w:r>
      <w:r>
        <w:rPr>
          <w:sz w:val="21"/>
        </w:rPr>
        <w:t>35%，即服务满第二年后，自收到乙方开具当期维保费用金额等额发票后五个工作日内支付当期服务费。</w:t>
      </w:r>
    </w:p>
    <w:p>
      <w:pPr>
        <w:pStyle w:val="null3"/>
        <w:jc w:val="both"/>
      </w:pPr>
      <w:r>
        <w:rPr>
          <w:sz w:val="21"/>
        </w:rPr>
        <w:t>第三期支付比例</w:t>
      </w:r>
      <w:r>
        <w:rPr>
          <w:sz w:val="21"/>
        </w:rPr>
        <w:t>35%，即服务满第三年后，自收到乙方开具当期维保费用金额等额发票后五个工作日内支付当期服务费。</w:t>
      </w:r>
    </w:p>
    <w:p>
      <w:pPr>
        <w:pStyle w:val="null3"/>
        <w:jc w:val="both"/>
      </w:pPr>
      <w:r>
        <w:rPr>
          <w:sz w:val="21"/>
        </w:rPr>
        <w:t>（</w:t>
      </w:r>
      <w:r>
        <w:rPr>
          <w:sz w:val="21"/>
        </w:rPr>
        <w:t>2）支付方式采用银行转账支付。</w:t>
      </w:r>
    </w:p>
    <w:p>
      <w:pPr>
        <w:pStyle w:val="null3"/>
        <w:jc w:val="both"/>
      </w:pPr>
      <w:r>
        <w:rPr>
          <w:sz w:val="21"/>
          <w:b/>
          <w:color w:val="000000"/>
        </w:rPr>
        <w:t>十、其他要求</w:t>
      </w:r>
    </w:p>
    <w:p>
      <w:pPr>
        <w:pStyle w:val="null3"/>
        <w:jc w:val="left"/>
      </w:pPr>
      <w:r>
        <w:rPr>
          <w:sz w:val="21"/>
          <w:color w:val="000000"/>
        </w:rPr>
        <w:t>投标文件中需提供服务工作目标、内容及方案；工作人员培训及管理方案、拟投入项目人员服务质量考核方案、对突发事件的应急服务预案；机构设立及运作流程、管理计划的方案等。</w:t>
      </w:r>
    </w:p>
    <w:p>
      <w:pPr>
        <w:pStyle w:val="null3"/>
      </w:pPr>
      <w:r>
        <w:rPr/>
        <w:t xml:space="preserve"> </w:t>
      </w:r>
    </w:p>
    <w:p>
      <w:pPr>
        <w:pStyle w:val="null3"/>
        <w:jc w:val="center"/>
      </w:pPr>
      <w:r>
        <w:rPr>
          <w:b/>
        </w:rPr>
        <w:t>包</w:t>
      </w:r>
      <w:r>
        <w:rPr>
          <w:b/>
        </w:rPr>
        <w:t>2</w:t>
      </w:r>
      <w:r>
        <w:rPr>
          <w:b/>
        </w:rPr>
        <w:t>：血液透析设备采购维保服务</w:t>
      </w:r>
    </w:p>
    <w:p>
      <w:pPr>
        <w:pStyle w:val="null3"/>
        <w:jc w:val="both"/>
      </w:pPr>
      <w:r>
        <w:rPr>
          <w:sz w:val="21"/>
          <w:b/>
        </w:rPr>
        <w:t>一、项目基本概况介绍</w:t>
      </w:r>
    </w:p>
    <w:p>
      <w:pPr>
        <w:pStyle w:val="null3"/>
        <w:jc w:val="both"/>
      </w:pPr>
      <w:r>
        <w:rPr>
          <w:sz w:val="21"/>
        </w:rPr>
        <w:t>本项目为医院在用</w:t>
      </w:r>
      <w:r>
        <w:rPr>
          <w:sz w:val="21"/>
        </w:rPr>
        <w:t>17台血液透析设备采购维保服务，项目包含设备所有维修维护、人工以及所需零配件。</w:t>
      </w:r>
    </w:p>
    <w:p>
      <w:pPr>
        <w:pStyle w:val="null3"/>
        <w:ind w:firstLine="420"/>
        <w:jc w:val="left"/>
      </w:pPr>
      <w:r>
        <w:rPr>
          <w:sz w:val="21"/>
          <w:b/>
        </w:rPr>
        <w:t>二、采购内容</w:t>
      </w:r>
    </w:p>
    <w:p>
      <w:pPr>
        <w:pStyle w:val="null3"/>
        <w:jc w:val="both"/>
      </w:pPr>
      <w:r>
        <w:rPr>
          <w:sz w:val="21"/>
        </w:rPr>
        <w:t>（一）采购清单：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标的名称</w:t>
            </w:r>
          </w:p>
        </w:tc>
        <w:tc>
          <w:tcPr>
            <w:tcW w:type="dxa" w:w="207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数量</w:t>
            </w:r>
          </w:p>
        </w:tc>
        <w:tc>
          <w:tcPr>
            <w:tcW w:type="dxa" w:w="207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采购预算</w:t>
            </w:r>
          </w:p>
        </w:tc>
        <w:tc>
          <w:tcPr>
            <w:tcW w:type="dxa" w:w="207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服务期限</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血液透析设备采购维保服务</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1(项)</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34万</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签订合同之日起</w:t>
            </w:r>
            <w:r>
              <w:rPr>
                <w:sz w:val="21"/>
              </w:rPr>
              <w:t>2年</w:t>
            </w:r>
          </w:p>
        </w:tc>
      </w:tr>
    </w:tbl>
    <w:p>
      <w:pPr>
        <w:pStyle w:val="null3"/>
        <w:jc w:val="both"/>
      </w:pPr>
      <w:r>
        <w:rPr>
          <w:sz w:val="21"/>
        </w:rPr>
        <w:t>（二）</w:t>
      </w:r>
      <w:r>
        <w:rPr>
          <w:sz w:val="21"/>
        </w:rPr>
        <w:t>采购标的需符合的国家相关标准、行业标准、地方标准或者其他标准、规范：</w:t>
      </w:r>
    </w:p>
    <w:p>
      <w:pPr>
        <w:pStyle w:val="null3"/>
        <w:jc w:val="both"/>
      </w:pPr>
      <w:r>
        <w:rPr>
          <w:sz w:val="21"/>
        </w:rPr>
        <w:t>包括且不限于《医疗器械使用质量监督管理办法》《医疗设备预防性维护管理规范》等。</w:t>
      </w:r>
    </w:p>
    <w:p>
      <w:pPr>
        <w:pStyle w:val="null3"/>
        <w:jc w:val="both"/>
      </w:pPr>
      <w:r>
        <w:rPr>
          <w:sz w:val="21"/>
          <w:b/>
        </w:rPr>
        <w:t>三、服务内容</w:t>
      </w:r>
    </w:p>
    <w:p>
      <w:pPr>
        <w:pStyle w:val="null3"/>
        <w:jc w:val="both"/>
      </w:pPr>
      <w:r>
        <w:rPr>
          <w:sz w:val="21"/>
        </w:rPr>
        <w:t>1．本项目维保服务项下设备如下：</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17"/>
        <w:gridCol w:w="1132"/>
        <w:gridCol w:w="1827"/>
        <w:gridCol w:w="2069"/>
      </w:tblGrid>
      <w:tr>
        <w:tc>
          <w:tcPr>
            <w:tcW w:type="dxa" w:w="1661"/>
            <w:tcBorders>
              <w:top w:val="single" w:color="000000" w:sz="8"/>
              <w:left w:val="single" w:color="000000" w:sz="8"/>
              <w:bottom w:val="single" w:color="000000" w:sz="8"/>
              <w:right w:val="single" w:color="000000" w:sz="8"/>
            </w:tcBorders>
            <w:tcMar>
              <w:top w:type="dxa" w:w="0"/>
              <w:left w:type="dxa" w:w="0"/>
              <w:bottom w:type="dxa" w:w="0"/>
              <w:right w:type="dxa" w:w="0"/>
            </w:tcMar>
            <w:vAlign w:val="bottom"/>
          </w:tcPr>
          <w:p>
            <w:pPr>
              <w:pStyle w:val="null3"/>
              <w:jc w:val="center"/>
            </w:pPr>
            <w:r>
              <w:rPr>
                <w:sz w:val="21"/>
              </w:rPr>
              <w:t>序号</w:t>
            </w:r>
          </w:p>
        </w:tc>
        <w:tc>
          <w:tcPr>
            <w:tcW w:type="dxa" w:w="1617"/>
            <w:tcBorders>
              <w:top w:val="single" w:color="000000" w:sz="8"/>
              <w:left w:val="single" w:color="000000" w:sz="8"/>
              <w:bottom w:val="single" w:color="000000" w:sz="8"/>
              <w:right w:val="single" w:color="000000" w:sz="8"/>
            </w:tcBorders>
            <w:tcMar>
              <w:top w:type="dxa" w:w="0"/>
              <w:left w:type="dxa" w:w="0"/>
              <w:bottom w:type="dxa" w:w="0"/>
              <w:right w:type="dxa" w:w="0"/>
            </w:tcMar>
            <w:vAlign w:val="bottom"/>
          </w:tcPr>
          <w:p>
            <w:pPr>
              <w:pStyle w:val="null3"/>
              <w:jc w:val="center"/>
            </w:pPr>
            <w:r>
              <w:rPr>
                <w:sz w:val="21"/>
              </w:rPr>
              <w:t>设备名称</w:t>
            </w:r>
          </w:p>
        </w:tc>
        <w:tc>
          <w:tcPr>
            <w:tcW w:type="dxa" w:w="1132"/>
            <w:tcBorders>
              <w:top w:val="single" w:color="000000" w:sz="8"/>
              <w:left w:val="single" w:color="000000" w:sz="8"/>
              <w:bottom w:val="single" w:color="000000" w:sz="8"/>
              <w:right w:val="single" w:color="000000" w:sz="8"/>
            </w:tcBorders>
            <w:tcMar>
              <w:top w:type="dxa" w:w="0"/>
              <w:left w:type="dxa" w:w="0"/>
              <w:bottom w:type="dxa" w:w="0"/>
              <w:right w:type="dxa" w:w="0"/>
            </w:tcMar>
            <w:vAlign w:val="bottom"/>
          </w:tcPr>
          <w:p>
            <w:pPr>
              <w:pStyle w:val="null3"/>
              <w:jc w:val="center"/>
            </w:pPr>
            <w:r>
              <w:rPr>
                <w:sz w:val="21"/>
              </w:rPr>
              <w:t>设备产品号</w:t>
            </w:r>
          </w:p>
        </w:tc>
        <w:tc>
          <w:tcPr>
            <w:tcW w:type="dxa" w:w="1827"/>
            <w:tcBorders>
              <w:top w:val="single" w:color="000000" w:sz="8"/>
              <w:left w:val="single" w:color="000000" w:sz="8"/>
              <w:bottom w:val="single" w:color="000000" w:sz="8"/>
              <w:right w:val="single" w:color="000000" w:sz="8"/>
            </w:tcBorders>
            <w:tcMar>
              <w:top w:type="dxa" w:w="0"/>
              <w:left w:type="dxa" w:w="0"/>
              <w:bottom w:type="dxa" w:w="0"/>
              <w:right w:type="dxa" w:w="0"/>
            </w:tcMar>
            <w:vAlign w:val="bottom"/>
          </w:tcPr>
          <w:p>
            <w:pPr>
              <w:pStyle w:val="null3"/>
              <w:jc w:val="center"/>
            </w:pPr>
            <w:r>
              <w:rPr>
                <w:sz w:val="21"/>
              </w:rPr>
              <w:t>设备系列号</w:t>
            </w:r>
          </w:p>
        </w:tc>
        <w:tc>
          <w:tcPr>
            <w:tcW w:type="dxa" w:w="2069"/>
            <w:tcBorders>
              <w:top w:val="single" w:color="000000" w:sz="8"/>
              <w:left w:val="single" w:color="000000" w:sz="8"/>
              <w:bottom w:val="single" w:color="000000" w:sz="8"/>
              <w:right w:val="single" w:color="000000" w:sz="8"/>
            </w:tcBorders>
            <w:tcMar>
              <w:top w:type="dxa" w:w="0"/>
              <w:left w:type="dxa" w:w="0"/>
              <w:bottom w:type="dxa" w:w="0"/>
              <w:right w:type="dxa" w:w="0"/>
            </w:tcMar>
            <w:vAlign w:val="bottom"/>
          </w:tcPr>
          <w:p>
            <w:pPr>
              <w:pStyle w:val="null3"/>
              <w:jc w:val="center"/>
            </w:pPr>
            <w:r>
              <w:rPr>
                <w:sz w:val="21"/>
              </w:rPr>
              <w:t>备注</w:t>
            </w:r>
          </w:p>
        </w:tc>
      </w:tr>
      <w:tr>
        <w:tc>
          <w:tcPr>
            <w:tcW w:type="dxa" w:w="16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1号</w:t>
            </w:r>
          </w:p>
        </w:tc>
        <w:tc>
          <w:tcPr>
            <w:tcW w:type="dxa" w:w="161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贝朗爱敦</w:t>
            </w:r>
          </w:p>
        </w:tc>
        <w:tc>
          <w:tcPr>
            <w:tcW w:type="dxa" w:w="113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710200T</w:t>
            </w:r>
          </w:p>
        </w:tc>
        <w:tc>
          <w:tcPr>
            <w:tcW w:type="dxa" w:w="182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226166</w:t>
            </w:r>
          </w:p>
        </w:tc>
        <w:tc>
          <w:tcPr>
            <w:tcW w:type="dxa" w:w="206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已使用</w:t>
            </w:r>
            <w:r>
              <w:rPr>
                <w:sz w:val="21"/>
              </w:rPr>
              <w:t>7 年</w:t>
            </w:r>
          </w:p>
        </w:tc>
      </w:tr>
      <w:tr>
        <w:tc>
          <w:tcPr>
            <w:tcW w:type="dxa" w:w="16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2号</w:t>
            </w:r>
          </w:p>
        </w:tc>
        <w:tc>
          <w:tcPr>
            <w:tcW w:type="dxa" w:w="161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贝朗爱敦</w:t>
            </w:r>
          </w:p>
        </w:tc>
        <w:tc>
          <w:tcPr>
            <w:tcW w:type="dxa" w:w="113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710200T</w:t>
            </w:r>
          </w:p>
        </w:tc>
        <w:tc>
          <w:tcPr>
            <w:tcW w:type="dxa" w:w="182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226167</w:t>
            </w:r>
          </w:p>
        </w:tc>
        <w:tc>
          <w:tcPr>
            <w:tcW w:type="dxa" w:w="206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已使用</w:t>
            </w:r>
            <w:r>
              <w:rPr>
                <w:sz w:val="21"/>
              </w:rPr>
              <w:t>7 年</w:t>
            </w:r>
          </w:p>
        </w:tc>
      </w:tr>
      <w:tr>
        <w:tc>
          <w:tcPr>
            <w:tcW w:type="dxa" w:w="16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3号</w:t>
            </w:r>
          </w:p>
        </w:tc>
        <w:tc>
          <w:tcPr>
            <w:tcW w:type="dxa" w:w="161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贝朗爱敦</w:t>
            </w:r>
          </w:p>
        </w:tc>
        <w:tc>
          <w:tcPr>
            <w:tcW w:type="dxa" w:w="113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710200T</w:t>
            </w:r>
          </w:p>
        </w:tc>
        <w:tc>
          <w:tcPr>
            <w:tcW w:type="dxa" w:w="182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226168</w:t>
            </w:r>
          </w:p>
        </w:tc>
        <w:tc>
          <w:tcPr>
            <w:tcW w:type="dxa" w:w="206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已使用</w:t>
            </w:r>
            <w:r>
              <w:rPr>
                <w:sz w:val="21"/>
              </w:rPr>
              <w:t>7 年</w:t>
            </w:r>
          </w:p>
        </w:tc>
      </w:tr>
      <w:tr>
        <w:tc>
          <w:tcPr>
            <w:tcW w:type="dxa" w:w="16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4号</w:t>
            </w:r>
          </w:p>
        </w:tc>
        <w:tc>
          <w:tcPr>
            <w:tcW w:type="dxa" w:w="161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贝朗爱敦</w:t>
            </w:r>
          </w:p>
        </w:tc>
        <w:tc>
          <w:tcPr>
            <w:tcW w:type="dxa" w:w="113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710200T</w:t>
            </w:r>
          </w:p>
        </w:tc>
        <w:tc>
          <w:tcPr>
            <w:tcW w:type="dxa" w:w="182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226172</w:t>
            </w:r>
          </w:p>
        </w:tc>
        <w:tc>
          <w:tcPr>
            <w:tcW w:type="dxa" w:w="206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已使用</w:t>
            </w:r>
            <w:r>
              <w:rPr>
                <w:sz w:val="21"/>
              </w:rPr>
              <w:t>7 年</w:t>
            </w:r>
          </w:p>
        </w:tc>
      </w:tr>
      <w:tr>
        <w:tc>
          <w:tcPr>
            <w:tcW w:type="dxa" w:w="16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5号</w:t>
            </w:r>
          </w:p>
        </w:tc>
        <w:tc>
          <w:tcPr>
            <w:tcW w:type="dxa" w:w="161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贝朗爱敦</w:t>
            </w:r>
          </w:p>
        </w:tc>
        <w:tc>
          <w:tcPr>
            <w:tcW w:type="dxa" w:w="113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710200T</w:t>
            </w:r>
          </w:p>
        </w:tc>
        <w:tc>
          <w:tcPr>
            <w:tcW w:type="dxa" w:w="182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226175</w:t>
            </w:r>
          </w:p>
        </w:tc>
        <w:tc>
          <w:tcPr>
            <w:tcW w:type="dxa" w:w="206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已使用</w:t>
            </w:r>
            <w:r>
              <w:rPr>
                <w:sz w:val="21"/>
              </w:rPr>
              <w:t>7 年</w:t>
            </w:r>
          </w:p>
        </w:tc>
      </w:tr>
      <w:tr>
        <w:tc>
          <w:tcPr>
            <w:tcW w:type="dxa" w:w="16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6号</w:t>
            </w:r>
          </w:p>
        </w:tc>
        <w:tc>
          <w:tcPr>
            <w:tcW w:type="dxa" w:w="161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贝朗爱敦</w:t>
            </w:r>
          </w:p>
        </w:tc>
        <w:tc>
          <w:tcPr>
            <w:tcW w:type="dxa" w:w="113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710200T</w:t>
            </w:r>
          </w:p>
        </w:tc>
        <w:tc>
          <w:tcPr>
            <w:tcW w:type="dxa" w:w="182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306520</w:t>
            </w:r>
          </w:p>
        </w:tc>
        <w:tc>
          <w:tcPr>
            <w:tcW w:type="dxa" w:w="206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已使用</w:t>
            </w:r>
            <w:r>
              <w:rPr>
                <w:sz w:val="21"/>
              </w:rPr>
              <w:t>7 年</w:t>
            </w:r>
          </w:p>
        </w:tc>
      </w:tr>
      <w:tr>
        <w:tc>
          <w:tcPr>
            <w:tcW w:type="dxa" w:w="16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7号</w:t>
            </w:r>
          </w:p>
        </w:tc>
        <w:tc>
          <w:tcPr>
            <w:tcW w:type="dxa" w:w="161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费森尤斯</w:t>
            </w:r>
          </w:p>
        </w:tc>
        <w:tc>
          <w:tcPr>
            <w:tcW w:type="dxa" w:w="113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4008S V10</w:t>
            </w:r>
          </w:p>
        </w:tc>
        <w:tc>
          <w:tcPr>
            <w:tcW w:type="dxa" w:w="182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7SXAXB38</w:t>
            </w:r>
          </w:p>
        </w:tc>
        <w:tc>
          <w:tcPr>
            <w:tcW w:type="dxa" w:w="206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已使用</w:t>
            </w:r>
            <w:r>
              <w:rPr>
                <w:sz w:val="21"/>
              </w:rPr>
              <w:t>7 年</w:t>
            </w:r>
          </w:p>
        </w:tc>
      </w:tr>
      <w:tr>
        <w:tc>
          <w:tcPr>
            <w:tcW w:type="dxa" w:w="16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8号</w:t>
            </w:r>
          </w:p>
        </w:tc>
        <w:tc>
          <w:tcPr>
            <w:tcW w:type="dxa" w:w="161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费森尤斯</w:t>
            </w:r>
          </w:p>
        </w:tc>
        <w:tc>
          <w:tcPr>
            <w:tcW w:type="dxa" w:w="113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4008S V10</w:t>
            </w:r>
          </w:p>
        </w:tc>
        <w:tc>
          <w:tcPr>
            <w:tcW w:type="dxa" w:w="182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7SXATM70</w:t>
            </w:r>
          </w:p>
        </w:tc>
        <w:tc>
          <w:tcPr>
            <w:tcW w:type="dxa" w:w="206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已使用</w:t>
            </w:r>
            <w:r>
              <w:rPr>
                <w:sz w:val="21"/>
              </w:rPr>
              <w:t>7 年</w:t>
            </w:r>
          </w:p>
        </w:tc>
      </w:tr>
      <w:tr>
        <w:tc>
          <w:tcPr>
            <w:tcW w:type="dxa" w:w="16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9号</w:t>
            </w:r>
          </w:p>
        </w:tc>
        <w:tc>
          <w:tcPr>
            <w:tcW w:type="dxa" w:w="161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威高日机装</w:t>
            </w:r>
          </w:p>
        </w:tc>
        <w:tc>
          <w:tcPr>
            <w:tcW w:type="dxa" w:w="113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DBB-27</w:t>
            </w:r>
          </w:p>
        </w:tc>
        <w:tc>
          <w:tcPr>
            <w:tcW w:type="dxa" w:w="182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68420-01</w:t>
            </w:r>
          </w:p>
        </w:tc>
        <w:tc>
          <w:tcPr>
            <w:tcW w:type="dxa" w:w="206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已使用</w:t>
            </w:r>
            <w:r>
              <w:rPr>
                <w:sz w:val="21"/>
              </w:rPr>
              <w:t>13～16 年</w:t>
            </w:r>
          </w:p>
        </w:tc>
      </w:tr>
      <w:tr>
        <w:tc>
          <w:tcPr>
            <w:tcW w:type="dxa" w:w="16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10号</w:t>
            </w:r>
          </w:p>
        </w:tc>
        <w:tc>
          <w:tcPr>
            <w:tcW w:type="dxa" w:w="161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威高日机装</w:t>
            </w:r>
          </w:p>
        </w:tc>
        <w:tc>
          <w:tcPr>
            <w:tcW w:type="dxa" w:w="113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DBB-27</w:t>
            </w:r>
          </w:p>
        </w:tc>
        <w:tc>
          <w:tcPr>
            <w:tcW w:type="dxa" w:w="182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72176-05</w:t>
            </w:r>
          </w:p>
        </w:tc>
        <w:tc>
          <w:tcPr>
            <w:tcW w:type="dxa" w:w="206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已使用</w:t>
            </w:r>
            <w:r>
              <w:rPr>
                <w:sz w:val="21"/>
              </w:rPr>
              <w:t>13～16 年</w:t>
            </w:r>
          </w:p>
        </w:tc>
      </w:tr>
      <w:tr>
        <w:tc>
          <w:tcPr>
            <w:tcW w:type="dxa" w:w="16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11号</w:t>
            </w:r>
          </w:p>
        </w:tc>
        <w:tc>
          <w:tcPr>
            <w:tcW w:type="dxa" w:w="161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威高日机装</w:t>
            </w:r>
          </w:p>
        </w:tc>
        <w:tc>
          <w:tcPr>
            <w:tcW w:type="dxa" w:w="113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DBB-27</w:t>
            </w:r>
          </w:p>
        </w:tc>
        <w:tc>
          <w:tcPr>
            <w:tcW w:type="dxa" w:w="182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72134-01</w:t>
            </w:r>
          </w:p>
        </w:tc>
        <w:tc>
          <w:tcPr>
            <w:tcW w:type="dxa" w:w="206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已使用</w:t>
            </w:r>
            <w:r>
              <w:rPr>
                <w:sz w:val="21"/>
              </w:rPr>
              <w:t>13～16 年</w:t>
            </w:r>
          </w:p>
        </w:tc>
      </w:tr>
      <w:tr>
        <w:tc>
          <w:tcPr>
            <w:tcW w:type="dxa" w:w="16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12号</w:t>
            </w:r>
          </w:p>
        </w:tc>
        <w:tc>
          <w:tcPr>
            <w:tcW w:type="dxa" w:w="161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威高日机装</w:t>
            </w:r>
          </w:p>
        </w:tc>
        <w:tc>
          <w:tcPr>
            <w:tcW w:type="dxa" w:w="113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DBB-27</w:t>
            </w:r>
          </w:p>
        </w:tc>
        <w:tc>
          <w:tcPr>
            <w:tcW w:type="dxa" w:w="182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72141-05</w:t>
            </w:r>
          </w:p>
        </w:tc>
        <w:tc>
          <w:tcPr>
            <w:tcW w:type="dxa" w:w="206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已使用</w:t>
            </w:r>
            <w:r>
              <w:rPr>
                <w:sz w:val="21"/>
              </w:rPr>
              <w:t>13～16 年</w:t>
            </w:r>
          </w:p>
        </w:tc>
      </w:tr>
      <w:tr>
        <w:tc>
          <w:tcPr>
            <w:tcW w:type="dxa" w:w="16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13号</w:t>
            </w:r>
          </w:p>
        </w:tc>
        <w:tc>
          <w:tcPr>
            <w:tcW w:type="dxa" w:w="161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威高日机装</w:t>
            </w:r>
          </w:p>
        </w:tc>
        <w:tc>
          <w:tcPr>
            <w:tcW w:type="dxa" w:w="113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DBB-27</w:t>
            </w:r>
          </w:p>
        </w:tc>
        <w:tc>
          <w:tcPr>
            <w:tcW w:type="dxa" w:w="182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70573-05</w:t>
            </w:r>
          </w:p>
        </w:tc>
        <w:tc>
          <w:tcPr>
            <w:tcW w:type="dxa" w:w="206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已使用</w:t>
            </w:r>
            <w:r>
              <w:rPr>
                <w:sz w:val="21"/>
              </w:rPr>
              <w:t>13～16 年</w:t>
            </w:r>
          </w:p>
        </w:tc>
      </w:tr>
      <w:tr>
        <w:tc>
          <w:tcPr>
            <w:tcW w:type="dxa" w:w="16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14号</w:t>
            </w:r>
          </w:p>
        </w:tc>
        <w:tc>
          <w:tcPr>
            <w:tcW w:type="dxa" w:w="161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贝朗爱敦</w:t>
            </w:r>
          </w:p>
        </w:tc>
        <w:tc>
          <w:tcPr>
            <w:tcW w:type="dxa" w:w="113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710200T</w:t>
            </w:r>
          </w:p>
        </w:tc>
        <w:tc>
          <w:tcPr>
            <w:tcW w:type="dxa" w:w="182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226176</w:t>
            </w:r>
          </w:p>
        </w:tc>
        <w:tc>
          <w:tcPr>
            <w:tcW w:type="dxa" w:w="206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已使用</w:t>
            </w:r>
            <w:r>
              <w:rPr>
                <w:sz w:val="21"/>
              </w:rPr>
              <w:t>7 年</w:t>
            </w:r>
          </w:p>
        </w:tc>
      </w:tr>
      <w:tr>
        <w:tc>
          <w:tcPr>
            <w:tcW w:type="dxa" w:w="16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15号</w:t>
            </w:r>
          </w:p>
        </w:tc>
        <w:tc>
          <w:tcPr>
            <w:tcW w:type="dxa" w:w="161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贝朗爱敦</w:t>
            </w:r>
          </w:p>
        </w:tc>
        <w:tc>
          <w:tcPr>
            <w:tcW w:type="dxa" w:w="113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710200T</w:t>
            </w:r>
          </w:p>
        </w:tc>
        <w:tc>
          <w:tcPr>
            <w:tcW w:type="dxa" w:w="182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226506</w:t>
            </w:r>
          </w:p>
        </w:tc>
        <w:tc>
          <w:tcPr>
            <w:tcW w:type="dxa" w:w="206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已使用</w:t>
            </w:r>
            <w:r>
              <w:rPr>
                <w:sz w:val="21"/>
              </w:rPr>
              <w:t>7 年</w:t>
            </w:r>
          </w:p>
        </w:tc>
      </w:tr>
      <w:tr>
        <w:tc>
          <w:tcPr>
            <w:tcW w:type="dxa" w:w="16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16号</w:t>
            </w:r>
          </w:p>
        </w:tc>
        <w:tc>
          <w:tcPr>
            <w:tcW w:type="dxa" w:w="161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贝朗爱敦</w:t>
            </w:r>
          </w:p>
        </w:tc>
        <w:tc>
          <w:tcPr>
            <w:tcW w:type="dxa" w:w="113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710200T</w:t>
            </w:r>
          </w:p>
        </w:tc>
        <w:tc>
          <w:tcPr>
            <w:tcW w:type="dxa" w:w="182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306474</w:t>
            </w:r>
          </w:p>
        </w:tc>
        <w:tc>
          <w:tcPr>
            <w:tcW w:type="dxa" w:w="206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已使用</w:t>
            </w:r>
            <w:r>
              <w:rPr>
                <w:sz w:val="21"/>
              </w:rPr>
              <w:t>7 年</w:t>
            </w:r>
          </w:p>
        </w:tc>
      </w:tr>
      <w:tr>
        <w:tc>
          <w:tcPr>
            <w:tcW w:type="dxa" w:w="16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17号</w:t>
            </w:r>
          </w:p>
        </w:tc>
        <w:tc>
          <w:tcPr>
            <w:tcW w:type="dxa" w:w="161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贝朗爱敦</w:t>
            </w:r>
          </w:p>
        </w:tc>
        <w:tc>
          <w:tcPr>
            <w:tcW w:type="dxa" w:w="113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710200T</w:t>
            </w:r>
          </w:p>
        </w:tc>
        <w:tc>
          <w:tcPr>
            <w:tcW w:type="dxa" w:w="182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226170</w:t>
            </w:r>
          </w:p>
        </w:tc>
        <w:tc>
          <w:tcPr>
            <w:tcW w:type="dxa" w:w="2069"/>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已使用</w:t>
            </w:r>
            <w:r>
              <w:rPr>
                <w:sz w:val="21"/>
              </w:rPr>
              <w:t>7 年</w:t>
            </w:r>
          </w:p>
        </w:tc>
      </w:tr>
    </w:tbl>
    <w:p>
      <w:pPr>
        <w:pStyle w:val="null3"/>
        <w:jc w:val="center"/>
      </w:pPr>
      <w:r>
        <w:rPr>
          <w:sz w:val="21"/>
          <w:b/>
        </w:rPr>
        <w:t>四、服务总体要求和具体要求</w:t>
      </w:r>
    </w:p>
    <w:p>
      <w:pPr>
        <w:pStyle w:val="null3"/>
        <w:ind w:right="375"/>
      </w:pPr>
      <w:r>
        <w:rPr>
          <w:sz w:val="21"/>
        </w:rPr>
        <w:t>1.中标人提供专职维修技术支持工程师，协助科室工作，及时高效响应，保障机器高效运行。</w:t>
      </w:r>
    </w:p>
    <w:p>
      <w:pPr>
        <w:pStyle w:val="null3"/>
        <w:ind w:left="225" w:right="375"/>
        <w:jc w:val="left"/>
      </w:pPr>
      <w:r>
        <w:rPr>
          <w:sz w:val="21"/>
        </w:rPr>
        <w:t>▲</w:t>
      </w:r>
      <w:r>
        <w:rPr>
          <w:sz w:val="21"/>
        </w:rPr>
        <w:t>2.</w:t>
      </w:r>
      <w:r>
        <w:rPr>
          <w:sz w:val="21"/>
        </w:rPr>
        <w:t>维保服务期内</w:t>
      </w:r>
      <w:r>
        <w:rPr>
          <w:sz w:val="21"/>
        </w:rPr>
        <w:t>中标人提供不限次数采购人的免费维修设备并且因需免费提供所需的零配件，使得设备达到正常使用要求的性能指标，解决因设备本身原因导致设备无法正常使用的故障或损坏，如维修服务需要更换零配件，则更换下的零配件的所有权归中标人所有。</w:t>
      </w:r>
    </w:p>
    <w:p>
      <w:pPr>
        <w:pStyle w:val="null3"/>
        <w:jc w:val="both"/>
      </w:pPr>
      <w:r>
        <w:rPr>
          <w:sz w:val="21"/>
        </w:rPr>
        <w:t>3.</w:t>
      </w:r>
      <w:r>
        <w:rPr>
          <w:sz w:val="21"/>
        </w:rPr>
        <w:t>维保服务期内</w:t>
      </w:r>
      <w:r>
        <w:rPr>
          <w:sz w:val="21"/>
        </w:rPr>
        <w:t>，中标人保证科室本协议维保机器</w:t>
      </w:r>
      <w:r>
        <w:rPr>
          <w:sz w:val="21"/>
        </w:rPr>
        <w:t>95%以上开机率（按 365 日计算， 停机时间不能超过 10 天）。开机率低于 95%的，每超过一天则保修期顺延两天。达不到开机率，严重影响临床工作，采购人有权终止合同并要求投标人赔偿损失。</w:t>
      </w:r>
    </w:p>
    <w:p>
      <w:pPr>
        <w:pStyle w:val="null3"/>
        <w:ind w:right="375"/>
        <w:jc w:val="left"/>
      </w:pPr>
      <w:r>
        <w:rPr>
          <w:sz w:val="21"/>
        </w:rPr>
        <w:t>4.</w:t>
      </w:r>
      <w:r>
        <w:rPr>
          <w:sz w:val="21"/>
        </w:rPr>
        <w:t>维保服务期内</w:t>
      </w:r>
      <w:r>
        <w:rPr>
          <w:sz w:val="21"/>
        </w:rPr>
        <w:t>，中标人提供维保血透设备适配的细菌过滤器，每年</w:t>
      </w:r>
      <w:r>
        <w:rPr>
          <w:sz w:val="21"/>
        </w:rPr>
        <w:t>70支。</w:t>
      </w:r>
    </w:p>
    <w:p>
      <w:pPr>
        <w:pStyle w:val="null3"/>
        <w:ind w:right="375"/>
        <w:jc w:val="left"/>
      </w:pPr>
      <w:r>
        <w:rPr>
          <w:sz w:val="21"/>
        </w:rPr>
        <w:t>5.</w:t>
      </w:r>
      <w:r>
        <w:rPr>
          <w:sz w:val="21"/>
        </w:rPr>
        <w:t>维保服务期内</w:t>
      </w:r>
      <w:r>
        <w:rPr>
          <w:sz w:val="21"/>
        </w:rPr>
        <w:t>，中标人提供每季度一次的水处理系统及全科室反渗水供水管道过氧乙酸消毒服务，并更换保安过滤器和精密过滤器滤芯</w:t>
      </w:r>
      <w:r>
        <w:rPr>
          <w:sz w:val="21"/>
        </w:rPr>
        <w:t>,；过氧乙酸消毒液、过滤器滤芯、检测过氧乙酸残留试纸，由中标人提供。</w:t>
      </w:r>
    </w:p>
    <w:p>
      <w:pPr>
        <w:pStyle w:val="null3"/>
        <w:jc w:val="left"/>
      </w:pPr>
      <w:r>
        <w:rPr>
          <w:sz w:val="21"/>
        </w:rPr>
        <w:t>6.</w:t>
      </w:r>
      <w:r>
        <w:rPr>
          <w:sz w:val="21"/>
        </w:rPr>
        <w:t>维保服务期内</w:t>
      </w:r>
      <w:r>
        <w:rPr>
          <w:sz w:val="21"/>
        </w:rPr>
        <w:t>，中标人提供科室水处理系统预处理部分，总氯和硬度检测试纸。</w:t>
      </w:r>
    </w:p>
    <w:p>
      <w:pPr>
        <w:pStyle w:val="null3"/>
        <w:ind w:right="375"/>
        <w:jc w:val="left"/>
      </w:pPr>
      <w:r>
        <w:rPr>
          <w:sz w:val="21"/>
        </w:rPr>
        <w:t>7.中标人维修服务时间为周一至周六上午七时至下午六时 （“服务时间”），服务时间内中标人收到电话报修后1小时内电话响应，如电话响应无法解决则24小时内现场响应。</w:t>
      </w:r>
    </w:p>
    <w:p>
      <w:pPr>
        <w:pStyle w:val="null3"/>
        <w:jc w:val="left"/>
      </w:pPr>
      <w:r>
        <w:rPr>
          <w:sz w:val="21"/>
        </w:rPr>
        <w:t>▲8</w:t>
      </w:r>
      <w:r>
        <w:rPr>
          <w:sz w:val="21"/>
        </w:rPr>
        <w:t>.保养服务：维保期内每六个月做一次在保机器的日常维护保养。合同期间按照</w:t>
      </w:r>
      <w:r>
        <w:rPr>
          <w:sz w:val="21"/>
        </w:rPr>
        <w:t>血液净化标准操作规程</w:t>
      </w:r>
      <w:r>
        <w:rPr>
          <w:sz w:val="21"/>
        </w:rPr>
        <w:t>完成科室血透机的保养以及校准工作并出具证明工单作为上级部门检查的资料存档。</w:t>
      </w:r>
    </w:p>
    <w:p>
      <w:pPr>
        <w:pStyle w:val="null3"/>
        <w:jc w:val="both"/>
      </w:pPr>
      <w:r>
        <w:rPr>
          <w:sz w:val="21"/>
          <w:b/>
        </w:rPr>
        <w:t>五、服务质量要求</w:t>
      </w:r>
      <w:r>
        <w:rPr>
          <w:sz w:val="21"/>
          <w:b/>
        </w:rPr>
        <w:t>/或技术指标要求</w:t>
      </w:r>
    </w:p>
    <w:p>
      <w:pPr>
        <w:pStyle w:val="null3"/>
      </w:pPr>
      <w:r>
        <w:rPr>
          <w:sz w:val="21"/>
        </w:rPr>
        <w:t>维保考核及扣罚：</w:t>
      </w:r>
    </w:p>
    <w:p>
      <w:pPr>
        <w:pStyle w:val="null3"/>
      </w:pPr>
      <w:r>
        <w:rPr>
          <w:sz w:val="21"/>
        </w:rPr>
        <w:t>按保养维护考核标准考核：满分</w:t>
      </w:r>
      <w:r>
        <w:rPr>
          <w:sz w:val="21"/>
        </w:rPr>
        <w:t>100分，表示服务质量达标，采购人全额支付成交供应商服务费用，每月1次考核。分值低于100分（不含100分）但高于90分（含90分），每分按100元扣减费用（例如当月得分94分，需扣600.00元，如此类推）；分值低于90分（不含90分）但高于85分（含85分），每分按150元扣减费用（例如当月得分88分，需扣1800.00元，如此类推）；分值低于85分但高于75分（含75分），每分按300元扣减费用（例如当月得分84分，需扣4800.00元，如此类推）；考核分值低于75分，每分按600元扣减费用（例如当月得分74分，需扣15600.00元，如此类推）。一年累计2次出现75分以下（不含75分）的，采购人有权终止合同无需承担责任。</w:t>
      </w:r>
    </w:p>
    <w:tbl>
      <w:tblPr>
        <w:tblW w:w="0" w:type="auto"/>
        <w:tblBorders>
          <w:top w:val="none" w:color="000000" w:sz="4"/>
          <w:left w:val="none" w:color="000000" w:sz="4"/>
          <w:bottom w:val="none" w:color="000000" w:sz="4"/>
          <w:right w:val="none" w:color="000000" w:sz="4"/>
          <w:insideH w:val="none"/>
          <w:insideV w:val="none"/>
        </w:tblBorders>
      </w:tblPr>
      <w:tblGrid>
        <w:gridCol w:w="663"/>
        <w:gridCol w:w="6015"/>
        <w:gridCol w:w="1628"/>
      </w:tblGrid>
      <w:tr>
        <w:tc>
          <w:tcPr>
            <w:tcW w:type="dxa" w:w="66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序号</w:t>
            </w:r>
          </w:p>
        </w:tc>
        <w:tc>
          <w:tcPr>
            <w:tcW w:type="dxa" w:w="601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内容</w:t>
            </w:r>
          </w:p>
        </w:tc>
        <w:tc>
          <w:tcPr>
            <w:tcW w:type="dxa" w:w="162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扣分额按每月统计计算</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1</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对不能及时维修的故障未能及时与采购人沟通说明</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2分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2</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中标人接到通知后，未能在</w:t>
            </w:r>
            <w:r>
              <w:rPr>
                <w:sz w:val="21"/>
              </w:rPr>
              <w:t>24小时内维修人员到达现场处理。</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2分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3</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需要维保的设备未能半年进行一次保养及记录</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10分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4</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未能对故障维修做详细记录和值班记录</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2分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5</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维保过程中，工作不认真，造成设备损坏的</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10分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6</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如在工作过程中，不慎损坏、破坏医院之设施</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2分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7</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着装不整齐，待人不礼貌引起客户投诉</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1分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8</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维保工作完毕后没有及时清理遗留垃圾的</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1分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9</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当其他系统发生故障涉及中标人单位服务范围需要中标人单位提供协助，中标人单位未能及时提供。</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1分</w:t>
            </w:r>
          </w:p>
        </w:tc>
      </w:tr>
    </w:tbl>
    <w:p>
      <w:pPr>
        <w:pStyle w:val="null3"/>
        <w:jc w:val="left"/>
      </w:pPr>
      <w:r>
        <w:rPr>
          <w:sz w:val="21"/>
          <w:b/>
        </w:rPr>
        <w:t>六、交付使用要求</w:t>
      </w:r>
    </w:p>
    <w:p>
      <w:pPr>
        <w:pStyle w:val="null3"/>
      </w:pPr>
      <w:r>
        <w:rPr>
          <w:sz w:val="21"/>
        </w:rPr>
        <w:t>服务期限：签订合同服务期（与用户需求书相矛盾的，以用户需求书的要求为准）</w:t>
      </w:r>
    </w:p>
    <w:p>
      <w:pPr>
        <w:pStyle w:val="null3"/>
      </w:pPr>
      <w:r>
        <w:rPr>
          <w:sz w:val="21"/>
        </w:rPr>
        <w:t>服务地点：广州市第一人民医院（采购人指定地点）</w:t>
      </w:r>
    </w:p>
    <w:p>
      <w:pPr>
        <w:pStyle w:val="null3"/>
        <w:jc w:val="both"/>
      </w:pPr>
      <w:r>
        <w:rPr>
          <w:sz w:val="21"/>
          <w:b/>
        </w:rPr>
        <w:t>七、人员要求</w:t>
      </w:r>
    </w:p>
    <w:p>
      <w:pPr>
        <w:pStyle w:val="null3"/>
        <w:jc w:val="left"/>
      </w:pPr>
      <w:r>
        <w:rPr>
          <w:sz w:val="21"/>
        </w:rPr>
        <w:t>▲</w:t>
      </w:r>
      <w:r>
        <w:rPr>
          <w:sz w:val="21"/>
        </w:rPr>
        <w:t>1.</w:t>
      </w:r>
      <w:r>
        <w:rPr>
          <w:sz w:val="21"/>
        </w:rPr>
        <w:t>团队服务人员中提供至少</w:t>
      </w:r>
      <w:r>
        <w:rPr>
          <w:sz w:val="21"/>
        </w:rPr>
        <w:t>1名项目经理，需持有管理类中级证书；团队服务人员中提供至少1名医疗器械中级工程师作为技术顾问；团队服务人员中需提供至少2 名工程师，其中1名需是全职参与本项目的医疗设备维修工程师，需持有本项目主要设备</w:t>
      </w:r>
      <w:r>
        <w:rPr>
          <w:sz w:val="21"/>
        </w:rPr>
        <w:t>（所维保设备品牌其中之一）</w:t>
      </w:r>
      <w:r>
        <w:rPr>
          <w:sz w:val="21"/>
        </w:rPr>
        <w:t>品牌原厂培训认证；另外</w:t>
      </w:r>
      <w:r>
        <w:rPr>
          <w:sz w:val="21"/>
        </w:rPr>
        <w:t>1 名需具备同种设备3 年以上维修经验的作为应急工程师（提供业绩合同作为工作经验证明）（项目经理、技术顾问不得兼任工程师岗位）。</w:t>
      </w:r>
    </w:p>
    <w:p>
      <w:pPr>
        <w:pStyle w:val="null3"/>
        <w:jc w:val="left"/>
      </w:pPr>
      <w:r>
        <w:rPr>
          <w:sz w:val="21"/>
        </w:rPr>
        <w:t>2.投标人指定至少1名经培训的工程师专门负责采购人的设备维修保养培训工作（可以由上面工程师兼任）。如指定工程师有变更，投标人另行通知采购人相关变更情况。</w:t>
      </w:r>
    </w:p>
    <w:p>
      <w:pPr>
        <w:pStyle w:val="null3"/>
        <w:ind w:firstLine="420"/>
        <w:jc w:val="left"/>
      </w:pPr>
      <w:r>
        <w:rPr>
          <w:sz w:val="21"/>
          <w:b/>
        </w:rPr>
        <w:t>八、售后服务要求</w:t>
      </w:r>
    </w:p>
    <w:p>
      <w:pPr>
        <w:pStyle w:val="null3"/>
        <w:jc w:val="both"/>
      </w:pPr>
      <w:r>
        <w:rPr>
          <w:sz w:val="21"/>
        </w:rPr>
        <w:t>1.当设备出现紧急故障时，技术工程师能通过电话方式指导排除问题，响应时间不超过2小时。无法排除处理时，将在24小时内到达现场服务；</w:t>
      </w:r>
    </w:p>
    <w:p>
      <w:pPr>
        <w:pStyle w:val="null3"/>
        <w:jc w:val="both"/>
      </w:pPr>
      <w:r>
        <w:rPr>
          <w:sz w:val="21"/>
        </w:rPr>
        <w:t>2.必须保证24小时通信畅通以满足故障抢修需要。</w:t>
      </w:r>
    </w:p>
    <w:p>
      <w:pPr>
        <w:pStyle w:val="null3"/>
        <w:jc w:val="both"/>
      </w:pPr>
      <w:r>
        <w:rPr>
          <w:sz w:val="21"/>
          <w:b/>
        </w:rPr>
        <w:t>九、付款方式</w:t>
      </w:r>
    </w:p>
    <w:p>
      <w:pPr>
        <w:pStyle w:val="null3"/>
        <w:jc w:val="both"/>
      </w:pPr>
      <w:r>
        <w:rPr>
          <w:sz w:val="21"/>
        </w:rPr>
        <w:t>1、付款方式：银行转账。</w:t>
      </w:r>
    </w:p>
    <w:p>
      <w:pPr>
        <w:pStyle w:val="null3"/>
        <w:jc w:val="both"/>
      </w:pPr>
      <w:r>
        <w:rPr>
          <w:sz w:val="21"/>
        </w:rPr>
        <w:t>2、如中标人为非中小企业：（1）合分四期支付，先服务后付款，即服务每满半年后，自收到中标人开具当期维保费用金额发票后3个月内支付当期服务费；（2）支付方式采用银行转账支付。</w:t>
      </w:r>
    </w:p>
    <w:p>
      <w:pPr>
        <w:pStyle w:val="null3"/>
        <w:jc w:val="both"/>
      </w:pPr>
      <w:r>
        <w:rPr>
          <w:sz w:val="21"/>
        </w:rPr>
        <w:t>如中标人为中小企业（需提供中小企业声明函）：（</w:t>
      </w:r>
      <w:r>
        <w:rPr>
          <w:sz w:val="21"/>
        </w:rPr>
        <w:t>1）分三期支付，第一期为预付款支付比例30%，先付款后开始服务，中标人开具合同款的30%等额发票后五个工作日内支付当期服务费。</w:t>
      </w:r>
    </w:p>
    <w:p>
      <w:pPr>
        <w:pStyle w:val="null3"/>
        <w:jc w:val="both"/>
      </w:pPr>
      <w:r>
        <w:rPr>
          <w:sz w:val="21"/>
        </w:rPr>
        <w:t>第二期支付比例</w:t>
      </w:r>
      <w:r>
        <w:rPr>
          <w:sz w:val="21"/>
        </w:rPr>
        <w:t>35%，即服务满第1年后，自收到中标人开具当期维保费用金额等额发票后五个工作日内支付当期服务费。</w:t>
      </w:r>
    </w:p>
    <w:p>
      <w:pPr>
        <w:pStyle w:val="null3"/>
        <w:jc w:val="both"/>
      </w:pPr>
      <w:r>
        <w:rPr>
          <w:sz w:val="21"/>
        </w:rPr>
        <w:t>第三期支付比例</w:t>
      </w:r>
      <w:r>
        <w:rPr>
          <w:sz w:val="21"/>
        </w:rPr>
        <w:t>35%，即服务满第2年后，自收到中标人开具当期维保费用金额等额发票后五个工作日内支付当期服务费。</w:t>
      </w:r>
    </w:p>
    <w:p>
      <w:pPr>
        <w:pStyle w:val="null3"/>
        <w:jc w:val="both"/>
      </w:pPr>
      <w:r>
        <w:rPr>
          <w:sz w:val="21"/>
        </w:rPr>
        <w:t>（</w:t>
      </w:r>
      <w:r>
        <w:rPr>
          <w:sz w:val="21"/>
        </w:rPr>
        <w:t>2）支付方式采用银行转账支付。</w:t>
      </w:r>
    </w:p>
    <w:p>
      <w:pPr>
        <w:pStyle w:val="null3"/>
        <w:jc w:val="both"/>
      </w:pPr>
      <w:r>
        <w:rPr>
          <w:sz w:val="21"/>
          <w:b/>
          <w:color w:val="000000"/>
        </w:rPr>
        <w:t>十、其他要求</w:t>
      </w:r>
    </w:p>
    <w:p>
      <w:pPr>
        <w:pStyle w:val="null3"/>
        <w:jc w:val="both"/>
      </w:pPr>
      <w:r>
        <w:rPr>
          <w:sz w:val="21"/>
          <w:color w:val="000000"/>
        </w:rPr>
        <w:t>投标文件中需提供服务工作目标、内容及方案；工作人员培训及管理方案、拟投入项目人员服务质量考核方案、对突发事件的应急服务预案；机构设立及运作流程、管理计划的方案等。</w:t>
      </w:r>
    </w:p>
    <w:p>
      <w:pPr>
        <w:pStyle w:val="null3"/>
      </w:pPr>
      <w:r>
        <w:rPr/>
        <w:t>采购包1（内窥镜维保服务）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见用户需求书。</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1期：支付比例100%,见用户需求书。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其他，1、真实性和有效性：同意采购人以任何形式对投标文件内容及采购人认为有必要的相关资料的真实性和有效性进行审查、验证。 2、招标文件需求书：投标人应将招标公告的招标文件需求书中“补充附件”内容填写好相关信息后附在投标文件中。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内窥镜维保服务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1,000,000.00</w:t>
            </w:r>
          </w:p>
        </w:tc>
        <w:tc>
          <w:tcPr>
            <w:tcW w:type="dxa" w:w="933"/>
          </w:tcPr>
          <w:p>
            <w:pPr>
              <w:pStyle w:val="null3"/>
              <w:jc w:val="right"/>
            </w:pPr>
            <w:r>
              <w:rPr/>
              <w:t>1,000,000.00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内窥镜维保服务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详见招标文件中</w:t>
            </w:r>
            <w:r>
              <w:rPr>
                <w:sz w:val="21"/>
                <w:b/>
              </w:rPr>
              <w:t>“</w:t>
            </w:r>
            <w:r>
              <w:rPr>
                <w:sz w:val="21"/>
                <w:b/>
              </w:rPr>
              <w:t>项目概况</w:t>
            </w:r>
            <w:r>
              <w:rPr>
                <w:sz w:val="21"/>
                <w:b/>
              </w:rPr>
              <w:t>”</w:t>
            </w:r>
            <w:r>
              <w:rPr>
                <w:sz w:val="21"/>
                <w:b/>
              </w:rPr>
              <w:t>的</w:t>
            </w:r>
            <w:r>
              <w:rPr>
                <w:sz w:val="21"/>
                <w:b/>
              </w:rPr>
              <w:t>“</w:t>
            </w:r>
            <w:r>
              <w:rPr>
                <w:sz w:val="21"/>
                <w:b/>
              </w:rPr>
              <w:t>用户需求：</w:t>
            </w:r>
            <w:r>
              <w:rPr>
                <w:sz w:val="21"/>
                <w:b/>
              </w:rPr>
              <w:t>”</w:t>
            </w:r>
            <w:r>
              <w:rPr>
                <w:sz w:val="21"/>
                <w:b/>
              </w:rPr>
              <w:t>或附件</w:t>
            </w:r>
            <w:r>
              <w:rPr>
                <w:sz w:val="21"/>
                <w:b/>
              </w:rPr>
              <w:t>“</w:t>
            </w:r>
            <w:r>
              <w:rPr>
                <w:sz w:val="21"/>
                <w:b/>
              </w:rPr>
              <w:t>第一部分、招标文件补充说明</w:t>
            </w:r>
            <w:r>
              <w:rPr>
                <w:sz w:val="21"/>
                <w:b/>
              </w:rPr>
              <w:t>”</w:t>
            </w:r>
            <w:r>
              <w:rPr>
                <w:sz w:val="21"/>
                <w:b/>
              </w:rPr>
              <w:t>的</w:t>
            </w:r>
            <w:r>
              <w:rPr>
                <w:sz w:val="21"/>
                <w:b/>
              </w:rPr>
              <w:t>“</w:t>
            </w:r>
            <w:r>
              <w:rPr>
                <w:sz w:val="21"/>
                <w:b/>
              </w:rPr>
              <w:t>用户需求书</w:t>
            </w:r>
            <w:r>
              <w:rPr>
                <w:sz w:val="21"/>
                <w:b/>
              </w:rPr>
              <w:t>”</w:t>
            </w:r>
            <w:r>
              <w:rPr>
                <w:sz w:val="21"/>
                <w:b/>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采购包2（血液透析设备采购维保服务）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见用户需求书。</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1期：支付比例100%,见用户需求书。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其他，1、真实性和有效性：同意采购人以任何形式对投标文件内容及采购人认为有必要的相关资料的真实性和有效性进行审查、验证。 2、招标文件需求书：投标人应将招标公告的招标文件需求书中“补充附件”内容填写好相关信息后附在投标文件中。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血液透析设备采购维保服务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340,000.00</w:t>
            </w:r>
          </w:p>
        </w:tc>
        <w:tc>
          <w:tcPr>
            <w:tcW w:type="dxa" w:w="933"/>
          </w:tcPr>
          <w:p>
            <w:pPr>
              <w:pStyle w:val="null3"/>
              <w:jc w:val="right"/>
            </w:pPr>
            <w:r>
              <w:rPr/>
              <w:t>340,000.00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血液透析设备采购维保服务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详见招标文件中</w:t>
            </w:r>
            <w:r>
              <w:rPr>
                <w:sz w:val="21"/>
                <w:b/>
              </w:rPr>
              <w:t>“</w:t>
            </w:r>
            <w:r>
              <w:rPr>
                <w:sz w:val="21"/>
                <w:b/>
              </w:rPr>
              <w:t>项目概况</w:t>
            </w:r>
            <w:r>
              <w:rPr>
                <w:sz w:val="21"/>
                <w:b/>
              </w:rPr>
              <w:t>”</w:t>
            </w:r>
            <w:r>
              <w:rPr>
                <w:sz w:val="21"/>
                <w:b/>
              </w:rPr>
              <w:t>的</w:t>
            </w:r>
            <w:r>
              <w:rPr>
                <w:sz w:val="21"/>
                <w:b/>
              </w:rPr>
              <w:t>“</w:t>
            </w:r>
            <w:r>
              <w:rPr>
                <w:sz w:val="21"/>
                <w:b/>
              </w:rPr>
              <w:t>用户需求：</w:t>
            </w:r>
            <w:r>
              <w:rPr>
                <w:sz w:val="21"/>
                <w:b/>
              </w:rPr>
              <w:t>”</w:t>
            </w:r>
            <w:r>
              <w:rPr>
                <w:sz w:val="21"/>
                <w:b/>
              </w:rPr>
              <w:t>或附件</w:t>
            </w:r>
            <w:r>
              <w:rPr>
                <w:sz w:val="21"/>
                <w:b/>
              </w:rPr>
              <w:t>“</w:t>
            </w:r>
            <w:r>
              <w:rPr>
                <w:sz w:val="21"/>
                <w:b/>
              </w:rPr>
              <w:t>第一部分、招标文件补充说明</w:t>
            </w:r>
            <w:r>
              <w:rPr>
                <w:sz w:val="21"/>
                <w:b/>
              </w:rPr>
              <w:t>”</w:t>
            </w:r>
            <w:r>
              <w:rPr>
                <w:sz w:val="21"/>
                <w:b/>
              </w:rPr>
              <w:t>的</w:t>
            </w:r>
            <w:r>
              <w:rPr>
                <w:sz w:val="21"/>
                <w:b/>
              </w:rPr>
              <w:t>“</w:t>
            </w:r>
            <w:r>
              <w:rPr>
                <w:sz w:val="21"/>
                <w:b/>
              </w:rPr>
              <w:t>用户需求书</w:t>
            </w:r>
            <w:r>
              <w:rPr>
                <w:sz w:val="21"/>
                <w:b/>
              </w:rPr>
              <w:t>”</w:t>
            </w:r>
            <w:r>
              <w:rPr>
                <w:sz w:val="21"/>
                <w:b/>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各包中标总金额为计费基数，根据服务类型按差额定率累进法下浮20%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其他，1，本项目（采购包）采用招标方式进行采购，第二中标候选人报价高于第一中标候选人报价20％以上的，只推荐1名中标候选人。 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 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采购包1(内窥镜维保服务)：综合评分法,是指投标文件满足招标文件全部实质性要求，且按照评审因素的量化指标评审得分最高的投标人为中标候选人的评标方法。（最低报价不是中标的唯一依据。）</w:t>
      </w:r>
    </w:p>
    <w:p>
      <w:pPr>
        <w:pStyle w:val="null3"/>
      </w:pPr>
      <w:r>
        <w:rPr/>
        <w:t>采购包2(血液透析设备采购维保服务)：综合评分法,是指投标文件满足招标文件全部实质性要求，且按照评审因素的量化指标评审得分最高的投标人为中标候选人的评标方法。（最低报价不是中标的唯一依据。）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采购包1（内窥镜维保服务）：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采购包2（血液透析设备采购维保服务）：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采购包1（内窥镜维保服务）：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投标人必须符合法律、行政法规规定的其他条件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本项目的特定资格要求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本项目的特定资格要求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pPr>
      <w:r>
        <w:rPr/>
        <w:t>采购包2（血液透析设备采购维保服务）：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投标人必须符合法律、行政法规规定的其他条件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本项目的特定资格要求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本项目的特定资格要求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ind w:firstLine="480"/>
      </w:pPr>
      <w:r>
        <w:rPr/>
        <w:t>表二符合性审查表：</w:t>
      </w:r>
    </w:p>
    <w:p>
      <w:pPr>
        <w:pStyle w:val="null3"/>
      </w:pPr>
      <w:r>
        <w:rPr/>
        <w:t>采购包1（内窥镜维保服务）：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采购包2（血液透析设备采购维保服务）：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采购包1(内窥镜维保服务):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对用户需求书中带▲号的重要条款的符合性 (20.0分)</w:t>
            </w:r>
          </w:p>
        </w:tc>
        <w:tc>
          <w:tcPr>
            <w:tcW w:type="dxa" w:w="5076"/>
          </w:tcPr>
          <w:p>
            <w:pPr>
              <w:pStyle w:val="null3"/>
              <w:jc w:val="left"/>
            </w:pPr>
            <w:r>
              <w:rPr/>
              <w:t>完全满足或优于采购需求 “用户需求书”中（一、项目基本概况介绍、二、采购内容、三、服务内容、四、服务总体要求和具体要求、五、服务质量要求/或技术指标要求、六、交付使用要求、七、人员要求）的带“▲”号的重要服务参数得:20分； 有1条带“▲”号的重要服务参数负偏离，得15分； 有2条带“▲”号的重要服务参数负偏离，得10分；有3条带“▲”号的重要服务参数负偏离，得5分；有4条带“▲”号的重要服务参数负偏离，得0分。</w:t>
            </w:r>
          </w:p>
        </w:tc>
      </w:tr>
      <w:tr>
        <w:tc>
          <w:tcPr>
            <w:tcW w:type="dxa" w:w="922"/>
            <w:gridSpan w:val="2"/>
            <w:vMerge/>
          </w:tcPr>
          <w:p/>
        </w:tc>
        <w:tc>
          <w:tcPr>
            <w:tcW w:type="dxa" w:w="2307"/>
          </w:tcPr>
          <w:p>
            <w:pPr>
              <w:pStyle w:val="null3"/>
              <w:jc w:val="left"/>
            </w:pPr>
            <w:r>
              <w:rPr/>
              <w:t>所投产品对采购需求 “用户需求书”中不带“★”或“▲”号的一般条款的符合性 (22.0分)</w:t>
            </w:r>
          </w:p>
        </w:tc>
        <w:tc>
          <w:tcPr>
            <w:tcW w:type="dxa" w:w="5076"/>
          </w:tcPr>
          <w:p>
            <w:pPr>
              <w:pStyle w:val="null3"/>
              <w:jc w:val="left"/>
            </w:pPr>
            <w:r>
              <w:rPr/>
              <w:t>根据投标人所投产品对采购需求中“用户需求书”中（一、项目基本概况介绍、二、采购内容、三、服务内容、四、服务总体要求和具体要求、五、服务质量要求/或技术指标要求、六、交付使用要求、七、人员要求）的一般服务参数（标注★”或“▲”服务参数的条款除外；按最小序号计算为一条，一整个表格算作一条）对应响应情况进行评审： 完全满足一般服务参数22分； 有1条一般服务参数负偏离，得20分； 有2条一般服务参数负偏离，得18分； 有3条一般服务参数负偏离，得16分； 有4条一般服务参数负偏离，得14分； 有5条一般服务参数负偏离，得12分； 有6条一般服务参数负偏离，得10分； 有7条一般服务参数负偏离，得8分； 有8条一般服务参数负偏离，得6分；有9条一般服务参数负偏离，得4分；有10条一般服务参数负偏离，得2分；有11条及以上一般服务参数负偏离，得1分。</w:t>
            </w:r>
          </w:p>
        </w:tc>
      </w:tr>
      <w:tr>
        <w:tc>
          <w:tcPr>
            <w:tcW w:type="dxa" w:w="922"/>
            <w:gridSpan w:val="2"/>
            <w:vMerge/>
          </w:tcPr>
          <w:p/>
        </w:tc>
        <w:tc>
          <w:tcPr>
            <w:tcW w:type="dxa" w:w="2307"/>
          </w:tcPr>
          <w:p>
            <w:pPr>
              <w:pStyle w:val="null3"/>
              <w:jc w:val="left"/>
            </w:pPr>
            <w:r>
              <w:rPr/>
              <w:t>服务工作目标、内容及方案 (6.0分)</w:t>
            </w:r>
            <w:r>
              <w:rPr/>
              <w:t>）</w:t>
            </w:r>
          </w:p>
        </w:tc>
        <w:tc>
          <w:tcPr>
            <w:tcW w:type="dxa" w:w="5076"/>
          </w:tcPr>
          <w:p>
            <w:pPr>
              <w:pStyle w:val="null3"/>
              <w:jc w:val="left"/>
            </w:pPr>
            <w:r>
              <w:rPr/>
              <w:t>目标明确、内容详细、方案合理可行的，得6分； 目标比较明确、内容详细、方案满足标书的需求的，得3分； 目标不明确、内容不够完整或缺失的、方案基本满足标书的需求的，得1分； 目标不明确、内容不够完整或缺失的、方案不满足标书的需求或没有提供的，得0分。</w:t>
            </w:r>
          </w:p>
        </w:tc>
      </w:tr>
      <w:tr>
        <w:tc>
          <w:tcPr>
            <w:tcW w:type="dxa" w:w="922"/>
            <w:gridSpan w:val="2"/>
            <w:vMerge/>
          </w:tcPr>
          <w:p/>
        </w:tc>
        <w:tc>
          <w:tcPr>
            <w:tcW w:type="dxa" w:w="2307"/>
          </w:tcPr>
          <w:p>
            <w:pPr>
              <w:pStyle w:val="null3"/>
              <w:jc w:val="left"/>
            </w:pPr>
            <w:r>
              <w:rPr/>
              <w:t>团队人员资质 (10.0分)</w:t>
            </w:r>
          </w:p>
        </w:tc>
        <w:tc>
          <w:tcPr>
            <w:tcW w:type="dxa" w:w="5076"/>
          </w:tcPr>
          <w:p>
            <w:pPr>
              <w:pStyle w:val="null3"/>
              <w:jc w:val="left"/>
            </w:pPr>
            <w:r>
              <w:rPr/>
              <w:t>在用户需求书要求的基础上（团队人员要求至少有1名原厂培训证书的工程师）： 每增加一名具有同类设备维修资质工程师的得2分。本项合计最多得10分。 （需提供人员培训合格的相关证明资料，如维护资格证及近六个月内任意一个月的该人员在投标人单位缴纳社保作为证明文件，不提供不得分）</w:t>
            </w:r>
          </w:p>
        </w:tc>
      </w:tr>
      <w:tr>
        <w:tc>
          <w:tcPr>
            <w:tcW w:type="dxa" w:w="922"/>
            <w:gridSpan w:val="2"/>
            <w:vMerge/>
          </w:tcPr>
          <w:p/>
        </w:tc>
        <w:tc>
          <w:tcPr>
            <w:tcW w:type="dxa" w:w="2307"/>
          </w:tcPr>
          <w:p>
            <w:pPr>
              <w:pStyle w:val="null3"/>
              <w:jc w:val="left"/>
            </w:pPr>
            <w:r>
              <w:rPr/>
              <w:t>拟投入项目人员服务质量考核方案 (9.0分)</w:t>
            </w:r>
            <w:r>
              <w:rPr/>
              <w:t>）</w:t>
            </w:r>
          </w:p>
        </w:tc>
        <w:tc>
          <w:tcPr>
            <w:tcW w:type="dxa" w:w="5076"/>
          </w:tcPr>
          <w:p>
            <w:pPr>
              <w:pStyle w:val="null3"/>
              <w:jc w:val="left"/>
            </w:pPr>
            <w:r>
              <w:rPr/>
              <w:t>拟投入人员考核方案： 1.考核方案科学合理、内容完整、详细、切实可行，得9分； 2.考核方案科学基本合理或内容部分完整或基本可行性，得5分； 3.考核方案一般合理、内容不够完整或基本可行，得2分； 4.考核方案不合理或内容不完整或方案不可行得0分。 （提供拟投入人员考核方案文件，未提供的不得分）</w:t>
            </w:r>
          </w:p>
        </w:tc>
      </w:tr>
      <w:tr>
        <w:tc>
          <w:tcPr>
            <w:tcW w:type="dxa" w:w="922"/>
            <w:gridSpan w:val="2"/>
            <w:vMerge/>
          </w:tcPr>
          <w:p/>
        </w:tc>
        <w:tc>
          <w:tcPr>
            <w:tcW w:type="dxa" w:w="2307"/>
          </w:tcPr>
          <w:p>
            <w:pPr>
              <w:pStyle w:val="null3"/>
              <w:jc w:val="left"/>
            </w:pPr>
            <w:r>
              <w:rPr/>
              <w:t>对突发事件的应急服务预案 (3.0分)</w:t>
            </w:r>
            <w:r>
              <w:rPr/>
              <w:t>）</w:t>
            </w:r>
          </w:p>
        </w:tc>
        <w:tc>
          <w:tcPr>
            <w:tcW w:type="dxa" w:w="5076"/>
          </w:tcPr>
          <w:p>
            <w:pPr>
              <w:pStyle w:val="null3"/>
              <w:jc w:val="left"/>
            </w:pPr>
            <w:r>
              <w:rPr/>
              <w:t>方案科学合理、内容完整、详细、切实可行，得3分； 方案一般，基本满足项目要求的，得2分； 方案一般、不够合理、不明确的，得1分； 方案不合理，缺失的，或未提供的，得0分。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对采购需求中的商务条款（“八、售后服务要求、九、付款方式”）的响应情况 (2.0分)</w:t>
            </w:r>
          </w:p>
        </w:tc>
        <w:tc>
          <w:tcPr>
            <w:tcW w:type="dxa" w:w="5076"/>
          </w:tcPr>
          <w:p>
            <w:pPr>
              <w:pStyle w:val="null3"/>
              <w:jc w:val="left"/>
            </w:pPr>
            <w:r>
              <w:rPr/>
              <w:t>投标人必须对采购需求中的商务条款“八、售后服务要求、九、付款方式”逐条响应： 优于或完全满足得2分； 每出现一条负偏离，扣1分，负偏离为2条的得0分。</w:t>
            </w:r>
          </w:p>
        </w:tc>
      </w:tr>
      <w:tr>
        <w:tc>
          <w:tcPr>
            <w:tcW w:type="dxa" w:w="922"/>
            <w:gridSpan w:val="2"/>
            <w:vMerge/>
          </w:tcPr>
          <w:p/>
        </w:tc>
        <w:tc>
          <w:tcPr>
            <w:tcW w:type="dxa" w:w="2307"/>
          </w:tcPr>
          <w:p>
            <w:pPr>
              <w:pStyle w:val="null3"/>
              <w:jc w:val="left"/>
            </w:pPr>
            <w:r>
              <w:rPr/>
              <w:t>机构设立及运作流程、管理计划的方案 (5.0分)</w:t>
            </w:r>
            <w:r>
              <w:rPr/>
              <w:t>）</w:t>
            </w:r>
          </w:p>
        </w:tc>
        <w:tc>
          <w:tcPr>
            <w:tcW w:type="dxa" w:w="5076"/>
          </w:tcPr>
          <w:p>
            <w:pPr>
              <w:pStyle w:val="null3"/>
              <w:jc w:val="left"/>
            </w:pPr>
            <w:r>
              <w:rPr/>
              <w:t>根据投标人对机构设立、运作流程、管理计划的响应情况进行比较。 机构设立、运作流程有合理性和可行性，管理计划具有完整性的，得5分; 机构设立、运作流程有合理性，可行性一般，管理计划不够完整的，得3分; 机构设立、运作流程的合理性一般，可行性差，管理计划不够完整或缺失的，得1分; 机构设立、运作流程的合理性差，可行性差，管理计划不完整或没有提供的，得0分。</w:t>
            </w:r>
          </w:p>
        </w:tc>
      </w:tr>
      <w:tr>
        <w:tc>
          <w:tcPr>
            <w:tcW w:type="dxa" w:w="922"/>
            <w:gridSpan w:val="2"/>
            <w:vMerge/>
          </w:tcPr>
          <w:p/>
        </w:tc>
        <w:tc>
          <w:tcPr>
            <w:tcW w:type="dxa" w:w="2307"/>
          </w:tcPr>
          <w:p>
            <w:pPr>
              <w:pStyle w:val="null3"/>
              <w:jc w:val="left"/>
            </w:pPr>
            <w:r>
              <w:rPr/>
              <w:t>投标人资质 (3.0分)</w:t>
            </w:r>
          </w:p>
        </w:tc>
        <w:tc>
          <w:tcPr>
            <w:tcW w:type="dxa" w:w="5076"/>
          </w:tcPr>
          <w:p>
            <w:pPr>
              <w:pStyle w:val="null3"/>
              <w:jc w:val="left"/>
            </w:pPr>
            <w:r>
              <w:rPr/>
              <w:t>投标人具备有效的管理体系认证证书，每提供一项得1分，本项满分3分。 （注：需提供证书复印件/扫描件，未提供不得分。）</w:t>
            </w:r>
          </w:p>
        </w:tc>
      </w:tr>
      <w:tr>
        <w:tc>
          <w:tcPr>
            <w:tcW w:type="dxa" w:w="922"/>
            <w:gridSpan w:val="2"/>
            <w:vMerge/>
          </w:tcPr>
          <w:p/>
        </w:tc>
        <w:tc>
          <w:tcPr>
            <w:tcW w:type="dxa" w:w="2307"/>
          </w:tcPr>
          <w:p>
            <w:pPr>
              <w:pStyle w:val="null3"/>
              <w:jc w:val="left"/>
            </w:pPr>
            <w:r>
              <w:rPr/>
              <w:t>投标人业绩 (5.0分)</w:t>
            </w:r>
          </w:p>
        </w:tc>
        <w:tc>
          <w:tcPr>
            <w:tcW w:type="dxa" w:w="5076"/>
          </w:tcPr>
          <w:p>
            <w:pPr>
              <w:pStyle w:val="null3"/>
              <w:jc w:val="left"/>
            </w:pPr>
            <w:r>
              <w:rPr/>
              <w:t>合同期内的同品牌设备全保项目业绩数量情况进行评分，每提供一个业绩得1分，本项最高得5分。 （同类业绩证明文件是中标通知书或合同的复印件或扫描件，合同可以是提供关键页面，无提供或提供证明文件不全的不得分。中标通知书是指组织招标投标活动的机构依据《招投标法》或《政府采购法》的规定向中标的投标人发出的告知其中标的书面通知文件。时间以合同服务时间为准。无提供证明文件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采购包2(血液透析设备采购维保服务):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对用户需求书中带▲号的重要条款的符合性 (15.0分)</w:t>
            </w:r>
          </w:p>
        </w:tc>
        <w:tc>
          <w:tcPr>
            <w:tcW w:type="dxa" w:w="5076"/>
          </w:tcPr>
          <w:p>
            <w:pPr>
              <w:pStyle w:val="null3"/>
              <w:jc w:val="left"/>
            </w:pPr>
            <w:r>
              <w:rPr/>
              <w:t>完全满足或优于采购需求 “用户需求书”中（一、项目基本概况介绍、二、采购内容、三、服务内容、四、服务总体要求和具体要求、五、服务质量要求/或技术指标要求、六、交付使用要求、七、人员要求）的带“▲”号的重要服务参数得:15分； 有1条带“▲”号的重要服务参数负偏离，得10分； 有2条带“▲”号的重要服务参数负偏离，得5分；有3条带“▲”号的重要服务参数负偏离，得0分。</w:t>
            </w:r>
          </w:p>
        </w:tc>
      </w:tr>
      <w:tr>
        <w:tc>
          <w:tcPr>
            <w:tcW w:type="dxa" w:w="922"/>
            <w:gridSpan w:val="2"/>
            <w:vMerge/>
          </w:tcPr>
          <w:p/>
        </w:tc>
        <w:tc>
          <w:tcPr>
            <w:tcW w:type="dxa" w:w="2307"/>
          </w:tcPr>
          <w:p>
            <w:pPr>
              <w:pStyle w:val="null3"/>
              <w:jc w:val="left"/>
            </w:pPr>
            <w:r>
              <w:rPr/>
              <w:t>所投产品对采购需求 “用户需求书”中不带“★”或“▲”号的一般条款的符合性 (28.0分)</w:t>
            </w:r>
          </w:p>
        </w:tc>
        <w:tc>
          <w:tcPr>
            <w:tcW w:type="dxa" w:w="5076"/>
          </w:tcPr>
          <w:p>
            <w:pPr>
              <w:pStyle w:val="null3"/>
              <w:jc w:val="left"/>
            </w:pPr>
            <w:r>
              <w:rPr/>
              <w:t>根据投标人所投产品对采购需求中“用户需求书”中（一、项目基本概况介绍、二、采购内容、三、服务内容、四、服务总体要求和具体要求、五、服务质量要求/或技术指标要求、六、交付使用要求、七、人员要求）的一般服务参数（标注★”或“▲”服务参数的条款除外；按最小序号计算为一条，一整个表格算作一条）对应响应情况进行评审： 完全满足一般服务参数28分； 有1条一般服务参数负偏离，得26分； 有2条一般服务参数负偏离，得24分； 有3条一般服务参数负偏离，得22分； 有4条一般服务参数负偏离，得20分； 有5条一般服务参数负偏离，得18分； 有6条一般服务参数负偏离，得16分； 有7条一般服务参数负偏离，得14分； 有8条一般服务参数负偏离，得12分； ···以此类推有13条一般服务参数负偏离，得2分；有14条及以上一般服务参数负偏离，得1分。</w:t>
            </w:r>
          </w:p>
        </w:tc>
      </w:tr>
      <w:tr>
        <w:tc>
          <w:tcPr>
            <w:tcW w:type="dxa" w:w="922"/>
            <w:gridSpan w:val="2"/>
            <w:vMerge/>
          </w:tcPr>
          <w:p/>
        </w:tc>
        <w:tc>
          <w:tcPr>
            <w:tcW w:type="dxa" w:w="2307"/>
          </w:tcPr>
          <w:p>
            <w:pPr>
              <w:pStyle w:val="null3"/>
              <w:jc w:val="left"/>
            </w:pPr>
            <w:r>
              <w:rPr/>
              <w:t>服务工作目标、内容及方案 (5.0分)</w:t>
            </w:r>
            <w:r>
              <w:rPr/>
              <w:t>）</w:t>
            </w:r>
          </w:p>
        </w:tc>
        <w:tc>
          <w:tcPr>
            <w:tcW w:type="dxa" w:w="5076"/>
          </w:tcPr>
          <w:p>
            <w:pPr>
              <w:pStyle w:val="null3"/>
              <w:jc w:val="left"/>
            </w:pPr>
            <w:r>
              <w:rPr/>
              <w:t>目标明确、内容详细、方案合理可行的，得5分； 目标比较明确、内容详细、方案满足标书的需求的，得3分； 目标不明确、内容不够完整或缺失的、方案基本满足标书的需求的，得1分； 目标不明确、内容不够完整或缺失的、方案不满足标书的需求或没有提供的，得0分。</w:t>
            </w:r>
          </w:p>
        </w:tc>
      </w:tr>
      <w:tr>
        <w:tc>
          <w:tcPr>
            <w:tcW w:type="dxa" w:w="922"/>
            <w:gridSpan w:val="2"/>
            <w:vMerge/>
          </w:tcPr>
          <w:p/>
        </w:tc>
        <w:tc>
          <w:tcPr>
            <w:tcW w:type="dxa" w:w="2307"/>
          </w:tcPr>
          <w:p>
            <w:pPr>
              <w:pStyle w:val="null3"/>
              <w:jc w:val="left"/>
            </w:pPr>
            <w:r>
              <w:rPr/>
              <w:t>团队人员资质 (10.0分)</w:t>
            </w:r>
          </w:p>
        </w:tc>
        <w:tc>
          <w:tcPr>
            <w:tcW w:type="dxa" w:w="5076"/>
          </w:tcPr>
          <w:p>
            <w:pPr>
              <w:pStyle w:val="null3"/>
              <w:jc w:val="left"/>
            </w:pPr>
            <w:r>
              <w:rPr/>
              <w:t>在用户需求书要求的基础上（团队人员要求至少有1名原厂（本包所维保设备品牌其中之一）培训证书的工程师）： 每增加一名具有同类设备维修资质工程师的得2分。本项合计最多得10分。 （需提供人员培训合格的相关证明资料，如维护资格证及近六个月内任意一个月的该人员在投标人单位缴纳社保作为证明文件，不提供不得分）</w:t>
            </w:r>
          </w:p>
        </w:tc>
      </w:tr>
      <w:tr>
        <w:tc>
          <w:tcPr>
            <w:tcW w:type="dxa" w:w="922"/>
            <w:gridSpan w:val="2"/>
            <w:vMerge/>
          </w:tcPr>
          <w:p/>
        </w:tc>
        <w:tc>
          <w:tcPr>
            <w:tcW w:type="dxa" w:w="2307"/>
          </w:tcPr>
          <w:p>
            <w:pPr>
              <w:pStyle w:val="null3"/>
              <w:jc w:val="left"/>
            </w:pPr>
            <w:r>
              <w:rPr/>
              <w:t>拟投入项目人员服务质量考核方案 (9.0分)</w:t>
            </w:r>
            <w:r>
              <w:rPr/>
              <w:t>）</w:t>
            </w:r>
          </w:p>
        </w:tc>
        <w:tc>
          <w:tcPr>
            <w:tcW w:type="dxa" w:w="5076"/>
          </w:tcPr>
          <w:p>
            <w:pPr>
              <w:pStyle w:val="null3"/>
              <w:jc w:val="left"/>
            </w:pPr>
            <w:r>
              <w:rPr/>
              <w:t>拟投入人员考核方案： 1.考核方案科学合理、内容完整、详细、切实可行，得9分； 2.考核方案科学基本合理或内容部分完整或基本可行性，得5分； 3.考核方案一般合理、内容不够完整或基本可行，得2分； 4.考核方案不合理或内容不完整或方案不可行得0分。 （提供拟投入人员考核方案文件，未提供的不得分）</w:t>
            </w:r>
          </w:p>
        </w:tc>
      </w:tr>
      <w:tr>
        <w:tc>
          <w:tcPr>
            <w:tcW w:type="dxa" w:w="922"/>
            <w:gridSpan w:val="2"/>
            <w:vMerge/>
          </w:tcPr>
          <w:p/>
        </w:tc>
        <w:tc>
          <w:tcPr>
            <w:tcW w:type="dxa" w:w="2307"/>
          </w:tcPr>
          <w:p>
            <w:pPr>
              <w:pStyle w:val="null3"/>
              <w:jc w:val="left"/>
            </w:pPr>
            <w:r>
              <w:rPr/>
              <w:t>对突发事件的应急服务预案 (3.0分)</w:t>
            </w:r>
            <w:r>
              <w:rPr/>
              <w:t>）</w:t>
            </w:r>
          </w:p>
        </w:tc>
        <w:tc>
          <w:tcPr>
            <w:tcW w:type="dxa" w:w="5076"/>
          </w:tcPr>
          <w:p>
            <w:pPr>
              <w:pStyle w:val="null3"/>
              <w:jc w:val="left"/>
            </w:pPr>
            <w:r>
              <w:rPr/>
              <w:t>方案科学合理、内容完整、详细、切实可行，得3分； 方案一般，基本满足项目要求的，得2分； 方案一般、不够合理、不明确的，得1分； 方案不合理，缺失的，或未提供的，得0分。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对采购需求中的商务条款（“八、售后服务要求、九、付款方式”）的响应情况 (2.0分)</w:t>
            </w:r>
          </w:p>
        </w:tc>
        <w:tc>
          <w:tcPr>
            <w:tcW w:type="dxa" w:w="5076"/>
          </w:tcPr>
          <w:p>
            <w:pPr>
              <w:pStyle w:val="null3"/>
              <w:jc w:val="left"/>
            </w:pPr>
            <w:r>
              <w:rPr/>
              <w:t>投标人必须对采购需求中的商务条款“八、售后服务要求、九、付款方式”逐条响应： 优于或完全满足得2分； 每出现一条负偏离，扣1分，负偏离为2条的得0分。</w:t>
            </w:r>
          </w:p>
        </w:tc>
      </w:tr>
      <w:tr>
        <w:tc>
          <w:tcPr>
            <w:tcW w:type="dxa" w:w="922"/>
            <w:gridSpan w:val="2"/>
            <w:vMerge/>
          </w:tcPr>
          <w:p/>
        </w:tc>
        <w:tc>
          <w:tcPr>
            <w:tcW w:type="dxa" w:w="2307"/>
          </w:tcPr>
          <w:p>
            <w:pPr>
              <w:pStyle w:val="null3"/>
              <w:jc w:val="left"/>
            </w:pPr>
            <w:r>
              <w:rPr/>
              <w:t>机构设立及运作流程、管理计划的方案 (8.0分)</w:t>
            </w:r>
            <w:r>
              <w:rPr/>
              <w:t>）</w:t>
            </w:r>
          </w:p>
        </w:tc>
        <w:tc>
          <w:tcPr>
            <w:tcW w:type="dxa" w:w="5076"/>
          </w:tcPr>
          <w:p>
            <w:pPr>
              <w:pStyle w:val="null3"/>
              <w:jc w:val="left"/>
            </w:pPr>
            <w:r>
              <w:rPr/>
              <w:t>根据投标人对机构设立、运作流程、管理计划的响应情况进行比较。 机构设立、运作流程有合理性和可行性，管理计划具有完整性的，得8分; 机构设立、运作流程有合理性，可行性一般，管理计划不够完整的，得4分; 机构设立、运作流程的合理性一般，可行性差，管理计划不够完整或缺失的，得1分; 机构设立、运作流程的合理性差，可行性差，管理计划不完整或没有提供的，得0分。</w:t>
            </w:r>
          </w:p>
        </w:tc>
      </w:tr>
      <w:tr>
        <w:tc>
          <w:tcPr>
            <w:tcW w:type="dxa" w:w="922"/>
            <w:gridSpan w:val="2"/>
            <w:vMerge/>
          </w:tcPr>
          <w:p/>
        </w:tc>
        <w:tc>
          <w:tcPr>
            <w:tcW w:type="dxa" w:w="2307"/>
          </w:tcPr>
          <w:p>
            <w:pPr>
              <w:pStyle w:val="null3"/>
              <w:jc w:val="left"/>
            </w:pPr>
            <w:r>
              <w:rPr/>
              <w:t>投标人业绩 (5.0分)</w:t>
            </w:r>
          </w:p>
        </w:tc>
        <w:tc>
          <w:tcPr>
            <w:tcW w:type="dxa" w:w="5076"/>
          </w:tcPr>
          <w:p>
            <w:pPr>
              <w:pStyle w:val="null3"/>
              <w:jc w:val="left"/>
            </w:pPr>
            <w:r>
              <w:rPr/>
              <w:t>合同期内的同品牌设备全保项目业绩数量情况进行评分，每提供一个业绩得1分，本项最高得5分。 （同类业绩证明文件是中标通知书或合同的复印件或扫描件，合同可以是提供关键页面，无提供或提供证明文件不全的不得分。中标通知书是指组织招标投标活动的机构依据《招投标法》或《政府采购法》的规定向中标的投标人发出的告知其中标的书面通知文件。时间以合同服务时间为准。无提供证明文件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采购合同</w:t>
      </w:r>
    </w:p>
    <w:p>
      <w:pPr>
        <w:pStyle w:val="null3"/>
        <w:jc w:val="left"/>
      </w:pPr>
      <w:r>
        <w:rPr>
          <w:sz w:val="21"/>
          <w:b/>
          <w:color w:val="000000"/>
        </w:rPr>
        <w:t>（注：本合同仅为合同的参考文本，合同签订双方可根据项目的具体要求进行修订，但不得偏离实质性条款。适用所有采购包）</w:t>
      </w:r>
    </w:p>
    <w:p>
      <w:pPr>
        <w:pStyle w:val="null3"/>
        <w:jc w:val="left"/>
      </w:pPr>
      <w:r>
        <w:rPr>
          <w:sz w:val="24"/>
        </w:rPr>
        <w:t>甲方：广州市第一人民医院</w:t>
      </w:r>
    </w:p>
    <w:p>
      <w:pPr>
        <w:pStyle w:val="null3"/>
        <w:jc w:val="left"/>
      </w:pPr>
      <w:r>
        <w:rPr>
          <w:sz w:val="24"/>
        </w:rPr>
        <w:t>联系地址：广州市南沙区丰泽东路</w:t>
      </w:r>
      <w:r>
        <w:rPr>
          <w:sz w:val="24"/>
        </w:rPr>
        <w:t xml:space="preserve">105号                      </w:t>
      </w:r>
    </w:p>
    <w:p>
      <w:pPr>
        <w:pStyle w:val="null3"/>
        <w:jc w:val="left"/>
      </w:pPr>
      <w:r>
        <w:rPr>
          <w:sz w:val="24"/>
        </w:rPr>
        <w:t>联系电话：刘工，</w:t>
      </w:r>
      <w:r>
        <w:rPr>
          <w:sz w:val="24"/>
        </w:rPr>
        <w:t>020-28693717</w:t>
      </w:r>
    </w:p>
    <w:p>
      <w:pPr>
        <w:pStyle w:val="null3"/>
        <w:jc w:val="left"/>
      </w:pPr>
      <w:r>
        <w:rPr>
          <w:sz w:val="24"/>
        </w:rPr>
        <w:t>传真：</w:t>
      </w:r>
      <w:r>
        <w:rPr>
          <w:sz w:val="24"/>
        </w:rPr>
        <w:t>/</w:t>
      </w:r>
    </w:p>
    <w:p>
      <w:pPr>
        <w:pStyle w:val="null3"/>
        <w:jc w:val="left"/>
      </w:pPr>
      <w:r>
        <w:rPr>
          <w:sz w:val="24"/>
        </w:rPr>
        <w:t>乙方：</w:t>
      </w:r>
    </w:p>
    <w:p>
      <w:pPr>
        <w:pStyle w:val="null3"/>
        <w:jc w:val="left"/>
      </w:pPr>
      <w:r>
        <w:rPr>
          <w:sz w:val="24"/>
        </w:rPr>
        <w:t>联系地址：</w:t>
      </w:r>
      <w:r>
        <w:rPr>
          <w:sz w:val="24"/>
        </w:rPr>
        <w:t xml:space="preserve">                      </w:t>
      </w:r>
    </w:p>
    <w:p>
      <w:pPr>
        <w:pStyle w:val="null3"/>
        <w:jc w:val="left"/>
      </w:pPr>
      <w:r>
        <w:rPr>
          <w:sz w:val="24"/>
        </w:rPr>
        <w:t>联系电话：</w:t>
      </w:r>
      <w:r>
        <w:rPr>
          <w:sz w:val="24"/>
        </w:rPr>
        <w:t>姓名</w:t>
      </w:r>
      <w:r>
        <w:rPr>
          <w:sz w:val="24"/>
        </w:rPr>
        <w:t>+电话</w:t>
      </w:r>
    </w:p>
    <w:p>
      <w:pPr>
        <w:pStyle w:val="null3"/>
        <w:jc w:val="left"/>
      </w:pPr>
      <w:r>
        <w:rPr>
          <w:sz w:val="24"/>
        </w:rPr>
        <w:t>传真：</w:t>
      </w:r>
    </w:p>
    <w:p>
      <w:pPr>
        <w:pStyle w:val="null3"/>
        <w:jc w:val="left"/>
      </w:pPr>
      <w:r>
        <w:rPr>
          <w:sz w:val="24"/>
        </w:rPr>
        <w:t>根据《中华人民共和国政府采购法》等相关法规规定及国义招标股份有限公司</w:t>
      </w:r>
      <w:r>
        <w:rPr>
          <w:sz w:val="24"/>
          <w:u w:val="single"/>
        </w:rPr>
        <w:t>广州市第一人民医院南沙医院采购医疗设备维保服务招标项目（</w:t>
      </w:r>
      <w:r>
        <w:rPr>
          <w:sz w:val="24"/>
          <w:u w:val="single"/>
        </w:rPr>
        <w:t>2026年第1批）</w:t>
      </w:r>
      <w:r>
        <w:rPr>
          <w:sz w:val="24"/>
        </w:rPr>
        <w:t>包招标编号</w:t>
      </w:r>
      <w:r>
        <w:rPr>
          <w:sz w:val="24"/>
          <w:u w:val="single"/>
        </w:rPr>
        <w:t>：</w:t>
      </w:r>
      <w:r>
        <w:rPr>
          <w:sz w:val="24"/>
          <w:u w:val="single"/>
        </w:rPr>
        <w:t>0724-2631Z2631851</w:t>
      </w:r>
      <w:r>
        <w:rPr>
          <w:sz w:val="24"/>
        </w:rPr>
        <w:t>的招标结果和招标文件的要求，甲、乙双方经协商确定，甲方向乙方订购以下服务，为明确双方责任和权利，特签订本合同，共同遵守。具体条款如下：</w:t>
      </w:r>
    </w:p>
    <w:p>
      <w:pPr>
        <w:pStyle w:val="null3"/>
        <w:jc w:val="left"/>
      </w:pPr>
      <w:r>
        <w:rPr>
          <w:sz w:val="24"/>
          <w:b/>
        </w:rPr>
        <w:t>一、采购内容</w:t>
      </w:r>
    </w:p>
    <w:tbl>
      <w:tblPr>
        <w:tblW w:w="0" w:type="auto"/>
        <w:tblBorders>
          <w:top w:val="none" w:color="000000" w:sz="4"/>
          <w:left w:val="none" w:color="000000" w:sz="4"/>
          <w:bottom w:val="none" w:color="000000" w:sz="4"/>
          <w:right w:val="none" w:color="000000" w:sz="4"/>
          <w:insideH w:val="none"/>
          <w:insideV w:val="none"/>
        </w:tblBorders>
      </w:tblPr>
      <w:tblGrid>
        <w:gridCol w:w="609"/>
        <w:gridCol w:w="1813"/>
        <w:gridCol w:w="793"/>
        <w:gridCol w:w="791"/>
        <w:gridCol w:w="1428"/>
        <w:gridCol w:w="1745"/>
        <w:gridCol w:w="1108"/>
      </w:tblGrid>
      <w:tr>
        <w:tc>
          <w:tcPr>
            <w:tcW w:type="dxa" w:w="609"/>
            <w:tcBorders>
              <w:top w:val="single" w:color="000000" w:sz="8"/>
              <w:left w:val="single" w:color="000000" w:sz="8"/>
              <w:bottom w:val="single" w:color="000000" w:sz="8"/>
              <w:right w:val="single" w:color="000000" w:sz="8"/>
            </w:tcBorders>
            <w:shd w:fill="D0CECE"/>
            <w:tcMar>
              <w:top w:type="dxa" w:w="15"/>
              <w:left w:type="dxa" w:w="15"/>
              <w:bottom w:type="dxa" w:w="0"/>
              <w:right w:type="dxa" w:w="15"/>
            </w:tcMar>
            <w:vAlign w:val="top"/>
          </w:tcPr>
          <w:p>
            <w:pPr>
              <w:pStyle w:val="null3"/>
              <w:jc w:val="center"/>
            </w:pPr>
            <w:r>
              <w:rPr>
                <w:sz w:val="24"/>
                <w:b/>
                <w:color w:val="000000"/>
              </w:rPr>
              <w:t>序号</w:t>
            </w:r>
          </w:p>
        </w:tc>
        <w:tc>
          <w:tcPr>
            <w:tcW w:type="dxa" w:w="1813"/>
            <w:tcBorders>
              <w:top w:val="single" w:color="000000" w:sz="8"/>
              <w:left w:val="none" w:color="000000" w:sz="4"/>
              <w:bottom w:val="single" w:color="000000" w:sz="8"/>
              <w:right w:val="single" w:color="000000" w:sz="8"/>
            </w:tcBorders>
            <w:shd w:fill="D0CECE"/>
            <w:tcMar>
              <w:top w:type="dxa" w:w="15"/>
              <w:left w:type="dxa" w:w="15"/>
              <w:bottom w:type="dxa" w:w="0"/>
              <w:right w:type="dxa" w:w="15"/>
            </w:tcMar>
            <w:vAlign w:val="top"/>
          </w:tcPr>
          <w:p>
            <w:pPr>
              <w:pStyle w:val="null3"/>
              <w:jc w:val="center"/>
            </w:pPr>
            <w:r>
              <w:rPr>
                <w:sz w:val="24"/>
                <w:b/>
                <w:color w:val="000000"/>
              </w:rPr>
              <w:t>名称</w:t>
            </w:r>
          </w:p>
        </w:tc>
        <w:tc>
          <w:tcPr>
            <w:tcW w:type="dxa" w:w="793"/>
            <w:tcBorders>
              <w:top w:val="single" w:color="000000" w:sz="8"/>
              <w:left w:val="none" w:color="000000" w:sz="4"/>
              <w:bottom w:val="single" w:color="000000" w:sz="8"/>
              <w:right w:val="single" w:color="000000" w:sz="8"/>
            </w:tcBorders>
            <w:shd w:fill="D0CECE"/>
            <w:tcMar>
              <w:top w:type="dxa" w:w="15"/>
              <w:left w:type="dxa" w:w="15"/>
              <w:bottom w:type="dxa" w:w="0"/>
              <w:right w:type="dxa" w:w="15"/>
            </w:tcMar>
            <w:vAlign w:val="top"/>
          </w:tcPr>
          <w:p>
            <w:pPr>
              <w:pStyle w:val="null3"/>
              <w:jc w:val="center"/>
            </w:pPr>
            <w:r>
              <w:rPr>
                <w:sz w:val="24"/>
                <w:b/>
                <w:color w:val="000000"/>
              </w:rPr>
              <w:t>数量</w:t>
            </w:r>
          </w:p>
        </w:tc>
        <w:tc>
          <w:tcPr>
            <w:tcW w:type="dxa" w:w="791"/>
            <w:tcBorders>
              <w:top w:val="single" w:color="000000" w:sz="8"/>
              <w:left w:val="none" w:color="000000" w:sz="4"/>
              <w:bottom w:val="single" w:color="000000" w:sz="8"/>
              <w:right w:val="single" w:color="000000" w:sz="8"/>
            </w:tcBorders>
            <w:shd w:fill="D0CECE"/>
            <w:tcMar>
              <w:top w:type="dxa" w:w="15"/>
              <w:left w:type="dxa" w:w="15"/>
              <w:bottom w:type="dxa" w:w="0"/>
              <w:right w:type="dxa" w:w="15"/>
            </w:tcMar>
            <w:vAlign w:val="top"/>
          </w:tcPr>
          <w:p>
            <w:pPr>
              <w:pStyle w:val="null3"/>
              <w:jc w:val="center"/>
            </w:pPr>
            <w:r>
              <w:rPr>
                <w:sz w:val="24"/>
                <w:b/>
                <w:color w:val="000000"/>
              </w:rPr>
              <w:t>单位</w:t>
            </w:r>
          </w:p>
        </w:tc>
        <w:tc>
          <w:tcPr>
            <w:tcW w:type="dxa" w:w="1428"/>
            <w:tcBorders>
              <w:top w:val="single" w:color="000000" w:sz="8"/>
              <w:left w:val="none" w:color="000000" w:sz="4"/>
              <w:bottom w:val="single" w:color="000000" w:sz="8"/>
              <w:right w:val="single" w:color="000000" w:sz="8"/>
            </w:tcBorders>
            <w:shd w:fill="D0CECE"/>
            <w:tcMar>
              <w:top w:type="dxa" w:w="15"/>
              <w:left w:type="dxa" w:w="15"/>
              <w:bottom w:type="dxa" w:w="0"/>
              <w:right w:type="dxa" w:w="15"/>
            </w:tcMar>
            <w:vAlign w:val="top"/>
          </w:tcPr>
          <w:p>
            <w:pPr>
              <w:pStyle w:val="null3"/>
              <w:jc w:val="center"/>
            </w:pPr>
            <w:r>
              <w:rPr>
                <w:sz w:val="24"/>
                <w:b/>
                <w:color w:val="000000"/>
              </w:rPr>
              <w:t>单价</w:t>
            </w:r>
            <w:r>
              <w:rPr>
                <w:sz w:val="24"/>
                <w:b/>
                <w:color w:val="000000"/>
              </w:rPr>
              <w:t>/元</w:t>
            </w:r>
          </w:p>
        </w:tc>
        <w:tc>
          <w:tcPr>
            <w:tcW w:type="dxa" w:w="1745"/>
            <w:tcBorders>
              <w:top w:val="single" w:color="000000" w:sz="8"/>
              <w:left w:val="none" w:color="000000" w:sz="4"/>
              <w:bottom w:val="single" w:color="000000" w:sz="8"/>
              <w:right w:val="single" w:color="000000" w:sz="8"/>
            </w:tcBorders>
            <w:shd w:fill="D0CECE"/>
            <w:tcMar>
              <w:top w:type="dxa" w:w="15"/>
              <w:left w:type="dxa" w:w="15"/>
              <w:bottom w:type="dxa" w:w="0"/>
              <w:right w:type="dxa" w:w="15"/>
            </w:tcMar>
            <w:vAlign w:val="top"/>
          </w:tcPr>
          <w:p>
            <w:pPr>
              <w:pStyle w:val="null3"/>
              <w:jc w:val="center"/>
            </w:pPr>
            <w:r>
              <w:rPr>
                <w:sz w:val="24"/>
                <w:b/>
                <w:color w:val="000000"/>
              </w:rPr>
              <w:t>单项总价</w:t>
            </w:r>
            <w:r>
              <w:rPr>
                <w:sz w:val="24"/>
                <w:b/>
                <w:color w:val="000000"/>
              </w:rPr>
              <w:t>/元</w:t>
            </w:r>
          </w:p>
        </w:tc>
        <w:tc>
          <w:tcPr>
            <w:tcW w:type="dxa" w:w="1108"/>
            <w:tcBorders>
              <w:top w:val="single" w:color="000000" w:sz="8"/>
              <w:left w:val="none" w:color="000000" w:sz="4"/>
              <w:bottom w:val="single" w:color="000000" w:sz="8"/>
              <w:right w:val="single" w:color="000000" w:sz="8"/>
            </w:tcBorders>
            <w:shd w:fill="D0CECE"/>
            <w:tcMar>
              <w:top w:type="dxa" w:w="15"/>
              <w:left w:type="dxa" w:w="15"/>
              <w:bottom w:type="dxa" w:w="0"/>
              <w:right w:type="dxa" w:w="15"/>
            </w:tcMar>
            <w:vAlign w:val="top"/>
          </w:tcPr>
          <w:p>
            <w:pPr>
              <w:pStyle w:val="null3"/>
              <w:jc w:val="center"/>
            </w:pPr>
            <w:r>
              <w:rPr>
                <w:sz w:val="24"/>
                <w:b/>
                <w:color w:val="000000"/>
              </w:rPr>
              <w:t>备注</w:t>
            </w:r>
          </w:p>
        </w:tc>
      </w:tr>
      <w:tr>
        <w:tc>
          <w:tcPr>
            <w:tcW w:type="dxa" w:w="609"/>
            <w:tcBorders>
              <w:top w:val="none" w:color="000000" w:sz="4"/>
              <w:left w:val="single" w:color="000000" w:sz="8"/>
              <w:bottom w:val="single" w:color="000000" w:sz="8"/>
              <w:right w:val="single" w:color="000000" w:sz="8"/>
            </w:tcBorders>
            <w:tcMar>
              <w:top w:type="dxa" w:w="15"/>
              <w:left w:type="dxa" w:w="15"/>
              <w:bottom w:type="dxa" w:w="0"/>
              <w:right w:type="dxa" w:w="15"/>
            </w:tcMar>
            <w:vAlign w:val="top"/>
          </w:tcPr>
          <w:p>
            <w:pPr>
              <w:pStyle w:val="null3"/>
              <w:jc w:val="center"/>
            </w:pPr>
            <w:r>
              <w:rPr>
                <w:sz w:val="24"/>
                <w:color w:val="000000"/>
              </w:rPr>
              <w:t>1</w:t>
            </w:r>
          </w:p>
        </w:tc>
        <w:tc>
          <w:tcPr>
            <w:tcW w:type="dxa" w:w="1813"/>
            <w:tcBorders>
              <w:top w:val="none" w:color="000000" w:sz="4"/>
              <w:left w:val="none" w:color="000000" w:sz="4"/>
              <w:bottom w:val="single" w:color="000000" w:sz="8"/>
              <w:right w:val="single" w:color="000000" w:sz="8"/>
            </w:tcBorders>
            <w:tcMar>
              <w:top w:type="dxa" w:w="15"/>
              <w:left w:type="dxa" w:w="15"/>
              <w:bottom w:type="dxa" w:w="0"/>
              <w:right w:type="dxa" w:w="15"/>
            </w:tcMar>
            <w:vAlign w:val="top"/>
          </w:tcPr>
          <w:p>
            <w:pPr>
              <w:pStyle w:val="null3"/>
              <w:jc w:val="center"/>
            </w:pPr>
          </w:p>
        </w:tc>
        <w:tc>
          <w:tcPr>
            <w:tcW w:type="dxa" w:w="793"/>
            <w:tcBorders>
              <w:top w:val="none" w:color="000000" w:sz="4"/>
              <w:left w:val="none" w:color="000000" w:sz="4"/>
              <w:bottom w:val="single" w:color="000000" w:sz="8"/>
              <w:right w:val="single" w:color="000000" w:sz="8"/>
            </w:tcBorders>
            <w:tcMar>
              <w:top w:type="dxa" w:w="15"/>
              <w:left w:type="dxa" w:w="15"/>
              <w:bottom w:type="dxa" w:w="0"/>
              <w:right w:type="dxa" w:w="15"/>
            </w:tcMar>
            <w:vAlign w:val="top"/>
          </w:tcPr>
          <w:p/>
        </w:tc>
        <w:tc>
          <w:tcPr>
            <w:tcW w:type="dxa" w:w="791"/>
            <w:tcBorders>
              <w:top w:val="none" w:color="000000" w:sz="4"/>
              <w:left w:val="none" w:color="000000" w:sz="4"/>
              <w:bottom w:val="single" w:color="000000" w:sz="8"/>
              <w:right w:val="single" w:color="000000" w:sz="8"/>
            </w:tcBorders>
            <w:tcMar>
              <w:top w:type="dxa" w:w="15"/>
              <w:left w:type="dxa" w:w="15"/>
              <w:bottom w:type="dxa" w:w="0"/>
              <w:right w:type="dxa" w:w="15"/>
            </w:tcMar>
            <w:vAlign w:val="top"/>
          </w:tcPr>
          <w:p/>
        </w:tc>
        <w:tc>
          <w:tcPr>
            <w:tcW w:type="dxa" w:w="1428"/>
            <w:tcBorders>
              <w:top w:val="none" w:color="000000" w:sz="4"/>
              <w:left w:val="none" w:color="000000" w:sz="4"/>
              <w:bottom w:val="single" w:color="000000" w:sz="8"/>
              <w:right w:val="single" w:color="000000" w:sz="8"/>
            </w:tcBorders>
            <w:tcMar>
              <w:top w:type="dxa" w:w="15"/>
              <w:left w:type="dxa" w:w="15"/>
              <w:bottom w:type="dxa" w:w="0"/>
              <w:right w:type="dxa" w:w="15"/>
            </w:tcMar>
            <w:vAlign w:val="top"/>
          </w:tcPr>
          <w:p/>
        </w:tc>
        <w:tc>
          <w:tcPr>
            <w:tcW w:type="dxa" w:w="1745"/>
            <w:tcBorders>
              <w:top w:val="none" w:color="000000" w:sz="4"/>
              <w:left w:val="none" w:color="000000" w:sz="4"/>
              <w:bottom w:val="single" w:color="000000" w:sz="8"/>
              <w:right w:val="single" w:color="000000" w:sz="8"/>
            </w:tcBorders>
            <w:tcMar>
              <w:top w:type="dxa" w:w="15"/>
              <w:left w:type="dxa" w:w="15"/>
              <w:bottom w:type="dxa" w:w="0"/>
              <w:right w:type="dxa" w:w="15"/>
            </w:tcMar>
            <w:vAlign w:val="top"/>
          </w:tcPr>
          <w:p/>
        </w:tc>
        <w:tc>
          <w:tcPr>
            <w:tcW w:type="dxa" w:w="1108"/>
            <w:tcBorders>
              <w:top w:val="none" w:color="000000" w:sz="4"/>
              <w:left w:val="none" w:color="000000" w:sz="4"/>
              <w:bottom w:val="single" w:color="000000" w:sz="8"/>
              <w:right w:val="single" w:color="000000" w:sz="8"/>
            </w:tcBorders>
            <w:tcMar>
              <w:top w:type="dxa" w:w="15"/>
              <w:left w:type="dxa" w:w="15"/>
              <w:bottom w:type="dxa" w:w="0"/>
              <w:right w:type="dxa" w:w="15"/>
            </w:tcMar>
            <w:vAlign w:val="top"/>
          </w:tcPr>
          <w:p/>
        </w:tc>
      </w:tr>
      <w:tr>
        <w:tc>
          <w:tcPr>
            <w:tcW w:type="dxa" w:w="3215"/>
            <w:gridSpan w:val="3"/>
            <w:tcBorders>
              <w:top w:val="none" w:color="000000" w:sz="4"/>
              <w:left w:val="single" w:color="000000" w:sz="8"/>
              <w:bottom w:val="single" w:color="000000" w:sz="8"/>
              <w:right w:val="single" w:color="000000" w:sz="8"/>
            </w:tcBorders>
            <w:tcMar>
              <w:top w:type="dxa" w:w="15"/>
              <w:left w:type="dxa" w:w="15"/>
              <w:bottom w:type="dxa" w:w="0"/>
              <w:right w:type="dxa" w:w="15"/>
            </w:tcMar>
            <w:vAlign w:val="top"/>
          </w:tcPr>
          <w:p>
            <w:pPr>
              <w:pStyle w:val="null3"/>
              <w:jc w:val="center"/>
            </w:pPr>
            <w:r>
              <w:rPr>
                <w:sz w:val="24"/>
                <w:color w:val="000000"/>
              </w:rPr>
              <w:t>含税总价</w:t>
            </w:r>
          </w:p>
        </w:tc>
        <w:tc>
          <w:tcPr>
            <w:tcW w:type="dxa" w:w="5072"/>
            <w:gridSpan w:val="4"/>
            <w:tcBorders>
              <w:top w:val="none" w:color="000000" w:sz="4"/>
              <w:left w:val="none" w:color="000000" w:sz="4"/>
              <w:bottom w:val="single" w:color="000000" w:sz="8"/>
              <w:right w:val="single" w:color="000000" w:sz="8"/>
            </w:tcBorders>
            <w:tcMar>
              <w:top w:type="dxa" w:w="15"/>
              <w:left w:type="dxa" w:w="15"/>
              <w:bottom w:type="dxa" w:w="0"/>
              <w:right w:type="dxa" w:w="15"/>
            </w:tcMar>
            <w:vAlign w:val="top"/>
          </w:tcPr>
          <w:p>
            <w:pPr>
              <w:pStyle w:val="null3"/>
              <w:jc w:val="center"/>
            </w:pPr>
            <w:r>
              <w:rPr>
                <w:sz w:val="24"/>
                <w:color w:val="000000"/>
              </w:rPr>
              <w:t>¥ 元         大写：   元整。</w:t>
            </w:r>
          </w:p>
        </w:tc>
      </w:tr>
    </w:tbl>
    <w:p>
      <w:pPr>
        <w:pStyle w:val="null3"/>
        <w:jc w:val="left"/>
      </w:pPr>
      <w:r>
        <w:rPr>
          <w:sz w:val="24"/>
          <w:b/>
        </w:rPr>
        <w:t>二、合同总额</w:t>
      </w:r>
    </w:p>
    <w:p>
      <w:pPr>
        <w:pStyle w:val="null3"/>
        <w:ind w:firstLine="435"/>
        <w:jc w:val="left"/>
      </w:pPr>
      <w:r>
        <w:rPr>
          <w:sz w:val="24"/>
        </w:rPr>
        <w:t>合同总额为人民币（大写）：元整，即</w:t>
      </w:r>
      <w:r>
        <w:rPr>
          <w:sz w:val="24"/>
          <w:color w:val="000000"/>
        </w:rPr>
        <w:t>元</w:t>
      </w:r>
      <w:r>
        <w:rPr>
          <w:sz w:val="24"/>
        </w:rPr>
        <w:t>。合同总额包括但不限于</w:t>
      </w:r>
      <w:r>
        <w:rPr>
          <w:sz w:val="24"/>
          <w:u w:val="single"/>
        </w:rPr>
        <w:t>xxx</w:t>
      </w:r>
      <w:r>
        <w:rPr>
          <w:sz w:val="24"/>
        </w:rPr>
        <w:t>的所有含税费用。</w:t>
      </w:r>
    </w:p>
    <w:p>
      <w:pPr>
        <w:pStyle w:val="null3"/>
        <w:jc w:val="left"/>
      </w:pPr>
      <w:r>
        <w:rPr>
          <w:sz w:val="24"/>
          <w:b/>
        </w:rPr>
        <w:t>三、服务要求</w:t>
      </w:r>
    </w:p>
    <w:p>
      <w:pPr>
        <w:pStyle w:val="null3"/>
        <w:ind w:firstLine="480"/>
        <w:jc w:val="both"/>
      </w:pPr>
      <w:r>
        <w:rPr>
          <w:sz w:val="24"/>
        </w:rPr>
        <w:t>服务：</w:t>
      </w:r>
    </w:p>
    <w:p>
      <w:pPr>
        <w:pStyle w:val="null3"/>
        <w:ind w:firstLine="480"/>
        <w:jc w:val="both"/>
      </w:pPr>
      <w:r>
        <w:rPr>
          <w:sz w:val="24"/>
        </w:rPr>
        <w:t>维保：</w:t>
      </w:r>
    </w:p>
    <w:p>
      <w:pPr>
        <w:pStyle w:val="null3"/>
        <w:ind w:firstLine="480"/>
        <w:jc w:val="both"/>
      </w:pPr>
      <w:r>
        <w:rPr>
          <w:sz w:val="24"/>
          <w:b/>
        </w:rPr>
        <w:t>四、付款方式</w:t>
      </w:r>
    </w:p>
    <w:p>
      <w:pPr>
        <w:pStyle w:val="null3"/>
        <w:ind w:firstLine="480"/>
        <w:jc w:val="both"/>
      </w:pPr>
      <w:r>
        <w:rPr>
          <w:sz w:val="24"/>
        </w:rPr>
        <w:t>1、先服务后付款，分期付款，每期支付维保费为合同维保费总额的        ，即：元（大写）。</w:t>
      </w:r>
    </w:p>
    <w:p>
      <w:pPr>
        <w:pStyle w:val="null3"/>
        <w:ind w:firstLine="480"/>
        <w:jc w:val="both"/>
      </w:pPr>
      <w:r>
        <w:rPr>
          <w:sz w:val="24"/>
        </w:rPr>
        <w:t>每年维保服务期满后，凭乙方开具当期维保费用金额发票后的</w:t>
      </w:r>
      <w:r>
        <w:rPr>
          <w:sz w:val="24"/>
        </w:rPr>
        <w:t>5个工作日内，由甲方向乙方支付当期维保费用。服务费按采购需求书中“</w:t>
      </w:r>
      <w:r>
        <w:rPr>
          <w:sz w:val="24"/>
          <w:b/>
        </w:rPr>
        <w:t>服务质量要求</w:t>
      </w:r>
      <w:r>
        <w:rPr>
          <w:sz w:val="24"/>
          <w:b/>
        </w:rPr>
        <w:t>/或技术指标要求</w:t>
      </w:r>
      <w:r>
        <w:rPr>
          <w:sz w:val="24"/>
        </w:rPr>
        <w:t>”相应要求进行核算，经扣除考核及扣罚款项后按实支付。</w:t>
      </w:r>
    </w:p>
    <w:p>
      <w:pPr>
        <w:pStyle w:val="null3"/>
        <w:ind w:firstLine="480"/>
        <w:jc w:val="both"/>
      </w:pPr>
      <w:r>
        <w:rPr>
          <w:sz w:val="24"/>
        </w:rPr>
        <w:t>以上款项的支付，乙方需凭以下有效的文件进行支付申请：合同、甲方验收报告、乙方开具的正式发票。</w:t>
      </w:r>
    </w:p>
    <w:p>
      <w:pPr>
        <w:pStyle w:val="null3"/>
        <w:ind w:firstLine="480"/>
        <w:jc w:val="both"/>
      </w:pPr>
      <w:r>
        <w:rPr>
          <w:sz w:val="24"/>
        </w:rPr>
        <w:t>2、乙方不得委托第三方开具发票办理结算事宜，否则甲方有权拒付。支付前，乙方应向甲方开具等额有效的增值税发票，并承担由此产生的税费，否则甲方有权拒绝付款，且不承担违约责任。</w:t>
      </w:r>
    </w:p>
    <w:p>
      <w:pPr>
        <w:pStyle w:val="null3"/>
        <w:ind w:firstLine="480"/>
        <w:jc w:val="both"/>
      </w:pPr>
      <w:r>
        <w:rPr>
          <w:sz w:val="24"/>
        </w:rPr>
        <w:t>3、甲方以银行转账的方式支付。</w:t>
      </w:r>
    </w:p>
    <w:p>
      <w:pPr>
        <w:pStyle w:val="null3"/>
        <w:ind w:firstLine="480"/>
        <w:jc w:val="both"/>
      </w:pPr>
      <w:r>
        <w:rPr>
          <w:sz w:val="24"/>
        </w:rPr>
        <w:t>4、如遇节假日或不可抗因素，则甲方付款日期顺延。</w:t>
      </w:r>
    </w:p>
    <w:p>
      <w:pPr>
        <w:pStyle w:val="null3"/>
        <w:ind w:firstLine="480"/>
        <w:jc w:val="both"/>
      </w:pPr>
      <w:r>
        <w:rPr>
          <w:sz w:val="24"/>
        </w:rPr>
        <w:t>5、乙方凭以下资料与甲方结算：</w:t>
      </w:r>
    </w:p>
    <w:p>
      <w:pPr>
        <w:pStyle w:val="null3"/>
        <w:ind w:firstLine="480"/>
        <w:jc w:val="both"/>
      </w:pPr>
      <w:r>
        <w:rPr>
          <w:sz w:val="24"/>
        </w:rPr>
        <w:t>（</w:t>
      </w:r>
      <w:r>
        <w:rPr>
          <w:sz w:val="24"/>
        </w:rPr>
        <w:t>1）采购合同；</w:t>
      </w:r>
    </w:p>
    <w:p>
      <w:pPr>
        <w:pStyle w:val="null3"/>
        <w:ind w:firstLine="480"/>
        <w:jc w:val="both"/>
      </w:pPr>
      <w:r>
        <w:rPr>
          <w:sz w:val="24"/>
        </w:rPr>
        <w:t>（</w:t>
      </w:r>
      <w:r>
        <w:rPr>
          <w:sz w:val="24"/>
        </w:rPr>
        <w:t>2）甲方签字确认的验收报告；</w:t>
      </w:r>
    </w:p>
    <w:p>
      <w:pPr>
        <w:pStyle w:val="null3"/>
        <w:ind w:firstLine="480"/>
        <w:jc w:val="both"/>
      </w:pPr>
      <w:r>
        <w:rPr>
          <w:sz w:val="24"/>
        </w:rPr>
        <w:t>（</w:t>
      </w:r>
      <w:r>
        <w:rPr>
          <w:sz w:val="24"/>
        </w:rPr>
        <w:t>3）乙方开具的正式发票；</w:t>
      </w:r>
    </w:p>
    <w:p>
      <w:pPr>
        <w:pStyle w:val="null3"/>
        <w:ind w:firstLine="480"/>
        <w:jc w:val="both"/>
      </w:pPr>
      <w:r>
        <w:rPr>
          <w:sz w:val="24"/>
        </w:rPr>
        <w:t>（</w:t>
      </w:r>
      <w:r>
        <w:rPr>
          <w:sz w:val="24"/>
        </w:rPr>
        <w:t>4）甲方财务部门要求的其他资料。</w:t>
      </w:r>
    </w:p>
    <w:p>
      <w:pPr>
        <w:pStyle w:val="null3"/>
        <w:ind w:firstLine="480"/>
        <w:jc w:val="both"/>
      </w:pPr>
      <w:r>
        <w:rPr>
          <w:sz w:val="24"/>
        </w:rPr>
        <w:t>6、乙方银行账户信息如下：</w:t>
      </w:r>
    </w:p>
    <w:p>
      <w:pPr>
        <w:pStyle w:val="null3"/>
        <w:ind w:firstLine="480"/>
        <w:jc w:val="both"/>
      </w:pPr>
      <w:r>
        <w:rPr>
          <w:sz w:val="24"/>
        </w:rPr>
        <w:t>开户名称：</w:t>
      </w:r>
    </w:p>
    <w:p>
      <w:pPr>
        <w:pStyle w:val="null3"/>
        <w:ind w:firstLine="480"/>
        <w:jc w:val="both"/>
      </w:pPr>
      <w:r>
        <w:rPr>
          <w:sz w:val="24"/>
        </w:rPr>
        <w:t>银行账号：</w:t>
      </w:r>
    </w:p>
    <w:p>
      <w:pPr>
        <w:pStyle w:val="null3"/>
        <w:ind w:firstLine="480"/>
        <w:jc w:val="both"/>
      </w:pPr>
      <w:r>
        <w:rPr>
          <w:sz w:val="24"/>
        </w:rPr>
        <w:t>纳税人识别号：</w:t>
      </w:r>
    </w:p>
    <w:p>
      <w:pPr>
        <w:pStyle w:val="null3"/>
        <w:ind w:firstLine="480"/>
        <w:jc w:val="both"/>
      </w:pPr>
      <w:r>
        <w:rPr>
          <w:sz w:val="24"/>
        </w:rPr>
        <w:t>开</w:t>
      </w:r>
      <w:r>
        <w:rPr>
          <w:sz w:val="24"/>
        </w:rPr>
        <w:t>户</w:t>
      </w:r>
      <w:r>
        <w:rPr>
          <w:sz w:val="24"/>
        </w:rPr>
        <w:t>行：</w:t>
      </w:r>
    </w:p>
    <w:p>
      <w:pPr>
        <w:pStyle w:val="null3"/>
        <w:jc w:val="left"/>
      </w:pPr>
      <w:r>
        <w:rPr>
          <w:sz w:val="24"/>
          <w:b/>
        </w:rPr>
        <w:t>五、</w:t>
      </w:r>
      <w:r>
        <w:rPr>
          <w:sz w:val="24"/>
          <w:b/>
        </w:rPr>
        <w:t>服务时间及服务地点</w:t>
      </w:r>
    </w:p>
    <w:p>
      <w:pPr>
        <w:pStyle w:val="null3"/>
        <w:ind w:firstLine="480"/>
        <w:jc w:val="both"/>
      </w:pPr>
      <w:r>
        <w:rPr>
          <w:sz w:val="24"/>
        </w:rPr>
        <w:t>1、服务时间：签订合同后</w:t>
      </w:r>
      <w:r>
        <w:rPr>
          <w:sz w:val="24"/>
        </w:rPr>
        <w:t>x天</w:t>
      </w:r>
      <w:r>
        <w:rPr>
          <w:sz w:val="24"/>
        </w:rPr>
        <w:t>内。</w:t>
      </w:r>
    </w:p>
    <w:p>
      <w:pPr>
        <w:pStyle w:val="null3"/>
        <w:ind w:firstLine="480"/>
        <w:jc w:val="both"/>
      </w:pPr>
      <w:r>
        <w:rPr>
          <w:sz w:val="24"/>
        </w:rPr>
        <w:t>2、服务地点：广州市第一人民医院总院，甲方指定地点。</w:t>
      </w:r>
    </w:p>
    <w:p>
      <w:pPr>
        <w:pStyle w:val="null3"/>
        <w:jc w:val="left"/>
      </w:pPr>
      <w:r>
        <w:rPr>
          <w:sz w:val="24"/>
          <w:b/>
        </w:rPr>
        <w:t>六、</w:t>
      </w:r>
      <w:r>
        <w:rPr>
          <w:sz w:val="24"/>
          <w:b/>
        </w:rPr>
        <w:t>违约责任</w:t>
      </w:r>
    </w:p>
    <w:p>
      <w:pPr>
        <w:pStyle w:val="null3"/>
        <w:ind w:firstLine="480"/>
        <w:jc w:val="both"/>
      </w:pPr>
      <w:r>
        <w:rPr>
          <w:sz w:val="24"/>
        </w:rPr>
        <w:t>1、乙方交付的服务不符合本合同规定的，甲方有权拒收，并且乙方须向甲方支付本合同总价5%的违约金，并且给甲方造成的经济损失由乙方承担赔偿责任。</w:t>
      </w:r>
    </w:p>
    <w:p>
      <w:pPr>
        <w:pStyle w:val="null3"/>
        <w:ind w:firstLine="480"/>
        <w:jc w:val="both"/>
      </w:pPr>
      <w:r>
        <w:rPr>
          <w:sz w:val="24"/>
        </w:rPr>
        <w:t>2、乙方未能按本合同规定的交货时间完成服务，从逾期之日起每日按本合同总价3‰的标准向甲方支付违约金；逾期15天以上（含15天）的，甲方有权终止合同，要求乙方支付本合同总价20%违约金，并且给甲方造成的经济损失由乙方承担赔偿责任。</w:t>
      </w:r>
    </w:p>
    <w:p>
      <w:pPr>
        <w:pStyle w:val="null3"/>
        <w:ind w:firstLine="480"/>
        <w:jc w:val="both"/>
      </w:pPr>
      <w:r>
        <w:rPr>
          <w:sz w:val="24"/>
        </w:rPr>
        <w:t>3、甲方无正当理由拒绝乙方服务，到期拒付货款的，甲方向乙方偿付本合同总价的5%的违约金。甲方逾期付款，则每日按本合同总价的3‰向乙方偿付违约金。但累计违约金总额不得超过本合同总额的10%。</w:t>
      </w:r>
    </w:p>
    <w:p>
      <w:pPr>
        <w:pStyle w:val="null3"/>
        <w:ind w:firstLine="480"/>
        <w:jc w:val="both"/>
      </w:pPr>
      <w:r>
        <w:rPr>
          <w:sz w:val="24"/>
        </w:rPr>
        <w:t>4、其它违约责任按合同约定的违约条款及《中华人民共和国民法典》合同编处理。</w:t>
      </w:r>
    </w:p>
    <w:p>
      <w:pPr>
        <w:pStyle w:val="null3"/>
        <w:jc w:val="left"/>
      </w:pPr>
      <w:r>
        <w:rPr>
          <w:sz w:val="24"/>
          <w:b/>
        </w:rPr>
        <w:t>七、</w:t>
      </w:r>
      <w:r>
        <w:rPr>
          <w:sz w:val="24"/>
          <w:b/>
        </w:rPr>
        <w:t>争议的解决方式</w:t>
      </w:r>
    </w:p>
    <w:p>
      <w:pPr>
        <w:pStyle w:val="null3"/>
        <w:ind w:firstLine="480"/>
        <w:jc w:val="left"/>
      </w:pPr>
      <w:r>
        <w:rPr>
          <w:sz w:val="24"/>
        </w:rPr>
        <w:t>1、</w:t>
      </w:r>
      <w:r>
        <w:rPr>
          <w:sz w:val="24"/>
        </w:rPr>
        <w:t>合同执行过程中发生的任何争议，如双方不能通过友好协商解决，甲、乙双方一致同意向甲方所在地人民法院提起诉讼。诉讼过程中，除双方有争议的部分外，本合同其他部分仍然有效，双方应继续履行。</w:t>
      </w:r>
    </w:p>
    <w:p>
      <w:pPr>
        <w:pStyle w:val="null3"/>
        <w:ind w:firstLine="480"/>
        <w:jc w:val="left"/>
      </w:pPr>
      <w:r>
        <w:rPr>
          <w:sz w:val="24"/>
        </w:rPr>
        <w:t>2、</w:t>
      </w:r>
      <w:r>
        <w:rPr>
          <w:sz w:val="24"/>
        </w:rPr>
        <w:t>下列文件被认为是组成本合同的一部分，并互为补充和解释，如各部分文件内容存在不一致的，其效力和解释按下列排列次序，排列在先者优先适用：</w:t>
      </w:r>
    </w:p>
    <w:p>
      <w:pPr>
        <w:pStyle w:val="null3"/>
        <w:ind w:firstLine="480"/>
        <w:jc w:val="left"/>
      </w:pPr>
      <w:r>
        <w:rPr>
          <w:sz w:val="24"/>
        </w:rPr>
        <w:t>（</w:t>
      </w:r>
      <w:r>
        <w:rPr>
          <w:sz w:val="24"/>
        </w:rPr>
        <w:t>1）合同实施后的补充协议、纪要、备忘录；</w:t>
      </w:r>
    </w:p>
    <w:p>
      <w:pPr>
        <w:pStyle w:val="null3"/>
        <w:ind w:firstLine="480"/>
        <w:jc w:val="left"/>
      </w:pPr>
      <w:r>
        <w:rPr>
          <w:sz w:val="24"/>
        </w:rPr>
        <w:t>（</w:t>
      </w:r>
      <w:r>
        <w:rPr>
          <w:sz w:val="24"/>
        </w:rPr>
        <w:t>2）中标通知书；</w:t>
      </w:r>
    </w:p>
    <w:p>
      <w:pPr>
        <w:pStyle w:val="null3"/>
        <w:ind w:firstLine="480"/>
        <w:jc w:val="left"/>
      </w:pPr>
      <w:r>
        <w:rPr>
          <w:sz w:val="24"/>
        </w:rPr>
        <w:t>（</w:t>
      </w:r>
      <w:r>
        <w:rPr>
          <w:sz w:val="24"/>
        </w:rPr>
        <w:t>3）本合同及本合同附件；</w:t>
      </w:r>
    </w:p>
    <w:p>
      <w:pPr>
        <w:pStyle w:val="null3"/>
        <w:ind w:firstLine="480"/>
        <w:jc w:val="left"/>
      </w:pPr>
      <w:r>
        <w:rPr>
          <w:sz w:val="24"/>
        </w:rPr>
        <w:t>（</w:t>
      </w:r>
      <w:r>
        <w:rPr>
          <w:sz w:val="24"/>
        </w:rPr>
        <w:t>4）招标文件及其澄清、补充文件；</w:t>
      </w:r>
    </w:p>
    <w:p>
      <w:pPr>
        <w:pStyle w:val="null3"/>
        <w:ind w:firstLine="480"/>
        <w:jc w:val="left"/>
      </w:pPr>
      <w:r>
        <w:rPr>
          <w:sz w:val="24"/>
        </w:rPr>
        <w:t>（</w:t>
      </w:r>
      <w:r>
        <w:rPr>
          <w:sz w:val="24"/>
        </w:rPr>
        <w:t>5）投标文件及其澄清、补充文件；</w:t>
      </w:r>
    </w:p>
    <w:p>
      <w:pPr>
        <w:pStyle w:val="null3"/>
        <w:ind w:firstLine="480"/>
        <w:jc w:val="left"/>
      </w:pPr>
      <w:r>
        <w:rPr>
          <w:sz w:val="24"/>
        </w:rPr>
        <w:t>（</w:t>
      </w:r>
      <w:r>
        <w:rPr>
          <w:sz w:val="24"/>
        </w:rPr>
        <w:t>6）标准、规范和其他有关技术文件；</w:t>
      </w:r>
    </w:p>
    <w:p>
      <w:pPr>
        <w:pStyle w:val="null3"/>
        <w:ind w:firstLine="480"/>
        <w:jc w:val="left"/>
      </w:pPr>
      <w:r>
        <w:rPr>
          <w:sz w:val="24"/>
        </w:rPr>
        <w:t>3、</w:t>
      </w:r>
      <w:r>
        <w:rPr>
          <w:sz w:val="24"/>
        </w:rPr>
        <w:t>当合同文件出现含糊不清或不相一致，按以上排序仍不能解决的，在不影响项目合同履行进度的情况下，双方可协商解决。</w:t>
      </w:r>
    </w:p>
    <w:p>
      <w:pPr>
        <w:pStyle w:val="null3"/>
        <w:jc w:val="left"/>
      </w:pPr>
      <w:r>
        <w:rPr>
          <w:sz w:val="24"/>
          <w:b/>
        </w:rPr>
        <w:t>八、</w:t>
      </w:r>
      <w:r>
        <w:rPr>
          <w:sz w:val="24"/>
          <w:b/>
        </w:rPr>
        <w:t>不可抗力</w:t>
      </w:r>
    </w:p>
    <w:p>
      <w:pPr>
        <w:pStyle w:val="null3"/>
        <w:ind w:firstLine="480"/>
        <w:jc w:val="both"/>
      </w:pPr>
      <w:r>
        <w:rPr>
          <w:sz w:val="24"/>
        </w:rPr>
        <w:t>1、不可抗力指战争、洪水、台风、地震等或其它双方认定的不可抗力事件。</w:t>
      </w:r>
    </w:p>
    <w:p>
      <w:pPr>
        <w:pStyle w:val="null3"/>
        <w:ind w:firstLine="480"/>
        <w:jc w:val="both"/>
      </w:pPr>
      <w:r>
        <w:rPr>
          <w:sz w:val="24"/>
        </w:rPr>
        <w:t>2、任何一方由于不可抗力影响合同执行时，发生不可抗力一方应尽快将事故通知另一方。在此情况下，乙方仍然有责任采取必要的措施完成服务，双方应通过友好协商解决本合同的执行问题。</w:t>
      </w:r>
    </w:p>
    <w:p>
      <w:pPr>
        <w:pStyle w:val="null3"/>
        <w:jc w:val="left"/>
      </w:pPr>
      <w:r>
        <w:rPr>
          <w:sz w:val="24"/>
          <w:b/>
        </w:rPr>
        <w:t>九、</w:t>
      </w:r>
      <w:r>
        <w:rPr>
          <w:sz w:val="24"/>
          <w:b/>
        </w:rPr>
        <w:t>合同解除与终止</w:t>
      </w:r>
    </w:p>
    <w:p>
      <w:pPr>
        <w:pStyle w:val="null3"/>
        <w:ind w:firstLine="480"/>
        <w:jc w:val="both"/>
      </w:pPr>
      <w:r>
        <w:rPr>
          <w:sz w:val="24"/>
        </w:rPr>
        <w:t>1、如果一方违反合同，并在收到对方违约通知书后7天内仍未能改正违约情形的，另一方可立即终止本合同。</w:t>
      </w:r>
    </w:p>
    <w:p>
      <w:pPr>
        <w:pStyle w:val="null3"/>
        <w:ind w:firstLine="480"/>
        <w:jc w:val="both"/>
      </w:pPr>
      <w:r>
        <w:rPr>
          <w:sz w:val="24"/>
        </w:rPr>
        <w:t>2、如因法律法规或监管政策变化致使本合同无法继续履行，双方均可解除合同且无需因此向对方负赔偿责任。</w:t>
      </w:r>
    </w:p>
    <w:p>
      <w:pPr>
        <w:pStyle w:val="null3"/>
        <w:jc w:val="left"/>
      </w:pPr>
      <w:r>
        <w:rPr>
          <w:sz w:val="24"/>
          <w:b/>
        </w:rPr>
        <w:t>十、</w:t>
      </w:r>
      <w:r>
        <w:rPr>
          <w:sz w:val="24"/>
          <w:b/>
        </w:rPr>
        <w:t>检查与审计</w:t>
      </w:r>
    </w:p>
    <w:p>
      <w:pPr>
        <w:pStyle w:val="null3"/>
        <w:ind w:firstLine="240"/>
        <w:jc w:val="left"/>
      </w:pPr>
      <w:r>
        <w:rPr>
          <w:sz w:val="24"/>
        </w:rPr>
        <w:t>为配合监督管理部门的检查及评估合规风险的需要，甲方有权对乙方与本合同项下有关的经营情况进行调查或审计，乙方应当积极予以配合。</w:t>
      </w:r>
    </w:p>
    <w:p>
      <w:pPr>
        <w:pStyle w:val="null3"/>
        <w:jc w:val="left"/>
      </w:pPr>
      <w:r>
        <w:rPr>
          <w:sz w:val="24"/>
          <w:b/>
        </w:rPr>
        <w:t>十一、</w:t>
      </w:r>
      <w:r>
        <w:rPr>
          <w:sz w:val="24"/>
          <w:b/>
        </w:rPr>
        <w:t>其他事项</w:t>
      </w:r>
    </w:p>
    <w:p>
      <w:pPr>
        <w:pStyle w:val="null3"/>
        <w:ind w:firstLine="480"/>
        <w:jc w:val="both"/>
      </w:pPr>
      <w:r>
        <w:rPr>
          <w:sz w:val="24"/>
        </w:rPr>
        <w:t>1、本合同所有附件及乙方报价文件均为合同的有效组成部分，与本合同具有同等法律效力。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3、如一方地址、电话、传真号码有变更，应在变更之日起7天内书面通知对方，否则，应承担相应责任。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firstLine="480"/>
        <w:jc w:val="both"/>
      </w:pPr>
      <w:r>
        <w:rPr>
          <w:sz w:val="24"/>
        </w:rPr>
        <w:t>5、乙方对本合同履行过程中所知悉的甲方全部文件、资料、信息等负有保密义务，未经甲方书面同意，乙方不得擅自披露、泄露、使用或用于本合同约定之外的目的。</w:t>
      </w:r>
    </w:p>
    <w:p>
      <w:pPr>
        <w:pStyle w:val="null3"/>
        <w:jc w:val="left"/>
      </w:pPr>
      <w:r>
        <w:rPr>
          <w:sz w:val="24"/>
          <w:b/>
        </w:rPr>
        <w:t>十二、</w:t>
      </w:r>
      <w:r>
        <w:rPr>
          <w:sz w:val="24"/>
          <w:b/>
        </w:rPr>
        <w:t>合同生效</w:t>
      </w:r>
    </w:p>
    <w:p>
      <w:pPr>
        <w:pStyle w:val="null3"/>
        <w:ind w:firstLine="480"/>
        <w:jc w:val="both"/>
      </w:pPr>
      <w:r>
        <w:rPr>
          <w:sz w:val="24"/>
        </w:rPr>
        <w:t>1、本合同自甲乙双方法定代表人或其签约代表签字且单位盖章之日起生效。</w:t>
      </w:r>
    </w:p>
    <w:p>
      <w:pPr>
        <w:pStyle w:val="null3"/>
        <w:ind w:firstLine="480"/>
        <w:jc w:val="both"/>
      </w:pPr>
      <w:r>
        <w:rPr>
          <w:sz w:val="24"/>
        </w:rPr>
        <w:t>2、</w:t>
      </w:r>
      <w:r>
        <w:rPr>
          <w:sz w:val="24"/>
          <w:color w:val="000000"/>
        </w:rPr>
        <w:t>本合同正本壹式</w:t>
      </w:r>
      <w:r>
        <w:rPr>
          <w:sz w:val="24"/>
          <w:color w:val="000000"/>
          <w:u w:val="single"/>
        </w:rPr>
        <w:t xml:space="preserve"> </w:t>
      </w:r>
      <w:r>
        <w:rPr>
          <w:sz w:val="24"/>
          <w:color w:val="000000"/>
          <w:u w:val="single"/>
        </w:rPr>
        <w:t>肆</w:t>
      </w:r>
      <w:r>
        <w:rPr>
          <w:sz w:val="24"/>
          <w:color w:val="000000"/>
        </w:rPr>
        <w:t>份，其中甲方执</w:t>
      </w:r>
      <w:r>
        <w:rPr>
          <w:sz w:val="24"/>
          <w:color w:val="000000"/>
          <w:u w:val="single"/>
        </w:rPr>
        <w:t xml:space="preserve"> </w:t>
      </w:r>
      <w:r>
        <w:rPr>
          <w:sz w:val="24"/>
          <w:color w:val="000000"/>
          <w:u w:val="single"/>
        </w:rPr>
        <w:t>叁</w:t>
      </w:r>
      <w:r>
        <w:rPr>
          <w:sz w:val="24"/>
          <w:color w:val="000000"/>
        </w:rPr>
        <w:t>份，乙方执</w:t>
      </w:r>
      <w:r>
        <w:rPr>
          <w:sz w:val="24"/>
          <w:color w:val="000000"/>
          <w:u w:val="single"/>
        </w:rPr>
        <w:t xml:space="preserve"> </w:t>
      </w:r>
      <w:r>
        <w:rPr>
          <w:sz w:val="24"/>
          <w:color w:val="000000"/>
          <w:u w:val="single"/>
        </w:rPr>
        <w:t>壹</w:t>
      </w:r>
      <w:r>
        <w:rPr>
          <w:sz w:val="24"/>
          <w:color w:val="000000"/>
        </w:rPr>
        <w:t>份。</w:t>
      </w:r>
    </w:p>
    <w:p>
      <w:pPr>
        <w:pStyle w:val="null3"/>
        <w:jc w:val="left"/>
      </w:pPr>
      <w:r>
        <w:rPr>
          <w:sz w:val="24"/>
        </w:rPr>
        <w:t>（以下无正文，为签字盖章内容）</w:t>
      </w:r>
    </w:p>
    <w:p>
      <w:pPr>
        <w:pStyle w:val="null3"/>
        <w:ind w:firstLine="240"/>
        <w:jc w:val="center"/>
      </w:pPr>
      <w:r>
        <w:rPr>
          <w:sz w:val="24"/>
        </w:rPr>
        <w:t>甲方：广州市第一人民医院</w:t>
      </w:r>
      <w:r>
        <w:rPr>
          <w:sz w:val="24"/>
        </w:rPr>
        <w:t xml:space="preserve">               </w:t>
      </w:r>
      <w:r>
        <w:rPr>
          <w:sz w:val="24"/>
        </w:rPr>
        <w:t>乙方：</w:t>
      </w:r>
    </w:p>
    <w:p>
      <w:pPr>
        <w:pStyle w:val="null3"/>
        <w:jc w:val="both"/>
      </w:pPr>
      <w:r>
        <w:rPr>
          <w:sz w:val="24"/>
        </w:rPr>
        <w:t>法定代表人或签约代表：</w:t>
      </w:r>
      <w:r>
        <w:rPr>
          <w:sz w:val="24"/>
        </w:rPr>
        <w:t xml:space="preserve">                 </w:t>
      </w:r>
      <w:r>
        <w:rPr>
          <w:sz w:val="24"/>
        </w:rPr>
        <w:t>法定代表人或签约代表：</w:t>
      </w:r>
    </w:p>
    <w:p>
      <w:pPr>
        <w:pStyle w:val="null3"/>
        <w:jc w:val="both"/>
      </w:pPr>
      <w:r>
        <w:rPr>
          <w:sz w:val="24"/>
        </w:rPr>
        <w:t xml:space="preserve"> </w:t>
      </w:r>
      <w:r>
        <w:rPr>
          <w:sz w:val="24"/>
        </w:rPr>
        <w:t>经办人签名：</w:t>
      </w:r>
      <w:r>
        <w:rPr>
          <w:sz w:val="24"/>
        </w:rPr>
        <w:t xml:space="preserve">                      </w:t>
      </w:r>
      <w:r>
        <w:rPr>
          <w:sz w:val="24"/>
        </w:rPr>
        <w:t>经办人签名：</w:t>
      </w:r>
      <w:r>
        <w:rPr>
          <w:sz w:val="24"/>
        </w:rPr>
        <w:t xml:space="preserve">        </w:t>
      </w:r>
    </w:p>
    <w:p>
      <w:pPr>
        <w:pStyle w:val="null3"/>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jc w:val="both"/>
      </w:pPr>
      <w:r>
        <w:rPr>
          <w:sz w:val="24"/>
          <w:b/>
        </w:rPr>
        <w:t>十三、</w:t>
      </w:r>
      <w:r>
        <w:rPr>
          <w:sz w:val="24"/>
          <w:b/>
        </w:rPr>
        <w:t>附件一</w:t>
      </w:r>
      <w:r>
        <w:rPr>
          <w:sz w:val="24"/>
          <w:b/>
        </w:rPr>
        <w:t>.服务质量要求/或技术指标要求</w:t>
      </w:r>
    </w:p>
    <w:p>
      <w:pPr>
        <w:pStyle w:val="null3"/>
        <w:jc w:val="both"/>
      </w:pPr>
      <w:r>
        <w:rPr>
          <w:sz w:val="24"/>
        </w:rPr>
        <w:t>维保考核及扣罚：按保养维护考核标准考核：满分</w:t>
      </w:r>
      <w:r>
        <w:rPr>
          <w:sz w:val="24"/>
        </w:rPr>
        <w:t>100分，表示服务质量达标，采购人全额支付中标人服务费用，每月1次考核。分值低于100分（不含100分）但高于90分（含90分），每分按100元扣减费用（例如当月得分94分，需扣600.00元，如此类推）；分值低于90分（不含90分）但高于85分（含85分），每分按150元扣减费用（例如当月得分88分，需扣1800.00元，如此类推）；分值低于85分但高于75分（含75分），每分按300元扣减费用（例如当月得分84分，需扣4800.00元，如此类推）；考核分值低于75分，每分按600元扣减费用（例如当月得分74分，需扣15600.00元，如此类推）。一年累计2次出现75分以下（不含75分）的，采购人有权终止合同无需承担责任。</w:t>
      </w:r>
    </w:p>
    <w:p>
      <w:pPr>
        <w:pStyle w:val="null3"/>
        <w:ind w:firstLine="480"/>
        <w:jc w:val="both"/>
      </w:pPr>
      <w:r>
        <w:rPr>
          <w:sz w:val="24"/>
        </w:rPr>
        <w:t>下表适用于包</w:t>
      </w:r>
      <w:r>
        <w:rPr>
          <w:sz w:val="24"/>
        </w:rPr>
        <w:t>1</w:t>
      </w:r>
    </w:p>
    <w:tbl>
      <w:tblPr>
        <w:tblW w:w="0" w:type="auto"/>
        <w:tblBorders>
          <w:top w:val="none" w:color="000000" w:sz="4"/>
          <w:left w:val="none" w:color="000000" w:sz="4"/>
          <w:bottom w:val="none" w:color="000000" w:sz="4"/>
          <w:right w:val="none" w:color="000000" w:sz="4"/>
          <w:insideH w:val="none"/>
          <w:insideV w:val="none"/>
        </w:tblBorders>
      </w:tblPr>
      <w:tblGrid>
        <w:gridCol w:w="663"/>
        <w:gridCol w:w="6015"/>
        <w:gridCol w:w="1628"/>
      </w:tblGrid>
      <w:tr>
        <w:tc>
          <w:tcPr>
            <w:tcW w:type="dxa" w:w="66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序号</w:t>
            </w:r>
          </w:p>
        </w:tc>
        <w:tc>
          <w:tcPr>
            <w:tcW w:type="dxa" w:w="601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内容</w:t>
            </w:r>
          </w:p>
        </w:tc>
        <w:tc>
          <w:tcPr>
            <w:tcW w:type="dxa" w:w="162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扣分额按每月统计计算</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1</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对不能及时维修的故障未能及时与采购人沟通说明</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2分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2</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中标人接到通知后，未能在</w:t>
            </w:r>
            <w:r>
              <w:rPr>
                <w:sz w:val="21"/>
              </w:rPr>
              <w:t>3个工作日内维修人员到达现场处理。</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2分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3</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需要维保的设备未能</w:t>
            </w:r>
            <w:r>
              <w:rPr>
                <w:sz w:val="21"/>
              </w:rPr>
              <w:t>60天进行一次保养及记录</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10分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4</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未能对故障维修做详细记录和值班记录</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2分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5</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维保过程中，工作不认真，造成设备损坏的</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10分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6</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如在工作过程中，不慎损坏、破坏医院之设施</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2分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7</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着装不整齐，待人不礼貌引起客户投诉</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1分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8</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维保工作完毕后没有及时清理遗留垃圾的</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1分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9</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当其他系统发生故障涉及中标人单位服务范围需要中标人单位提供协助，中标人单位未能及时提供。</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1分</w:t>
            </w:r>
          </w:p>
        </w:tc>
      </w:tr>
    </w:tbl>
    <w:p>
      <w:pPr>
        <w:pStyle w:val="null3"/>
        <w:jc w:val="both"/>
      </w:pPr>
      <w:r>
        <w:rPr>
          <w:sz w:val="24"/>
        </w:rPr>
        <w:t>下表适用于包</w:t>
      </w:r>
      <w:r>
        <w:rPr>
          <w:sz w:val="24"/>
        </w:rPr>
        <w:t>2</w:t>
      </w:r>
    </w:p>
    <w:tbl>
      <w:tblPr>
        <w:tblW w:w="0" w:type="auto"/>
        <w:tblBorders>
          <w:top w:val="none" w:color="000000" w:sz="4"/>
          <w:left w:val="none" w:color="000000" w:sz="4"/>
          <w:bottom w:val="none" w:color="000000" w:sz="4"/>
          <w:right w:val="none" w:color="000000" w:sz="4"/>
          <w:insideH w:val="none"/>
          <w:insideV w:val="none"/>
        </w:tblBorders>
      </w:tblPr>
      <w:tblGrid>
        <w:gridCol w:w="663"/>
        <w:gridCol w:w="6015"/>
        <w:gridCol w:w="1628"/>
      </w:tblGrid>
      <w:tr>
        <w:tc>
          <w:tcPr>
            <w:tcW w:type="dxa" w:w="66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序号</w:t>
            </w:r>
          </w:p>
        </w:tc>
        <w:tc>
          <w:tcPr>
            <w:tcW w:type="dxa" w:w="601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内容</w:t>
            </w:r>
          </w:p>
        </w:tc>
        <w:tc>
          <w:tcPr>
            <w:tcW w:type="dxa" w:w="162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扣分额按每月统计计算</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1</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对不能及时维修的故障未能及时与采购人沟通说明</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2分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2</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中标人接到通知后，未能在</w:t>
            </w:r>
            <w:r>
              <w:rPr>
                <w:sz w:val="21"/>
              </w:rPr>
              <w:t>24小时</w:t>
            </w:r>
            <w:r>
              <w:rPr>
                <w:sz w:val="21"/>
              </w:rPr>
              <w:t>内</w:t>
            </w:r>
            <w:r>
              <w:rPr>
                <w:sz w:val="21"/>
              </w:rPr>
              <w:t>维修人员到达现场处理。</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2分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3</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需要维保的设备未能半年进行一次保养及记录</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10分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4</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未能对故障维修做详细记录和值班记录</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2分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5</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维保过程中，工作不认真，造成设备损坏的</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10分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6</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如在工作过程中，不慎损坏、破坏医院之设施</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2分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7</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着装不整齐，待人不礼貌引起客户投诉</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1分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8</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维保工作完毕后没有及时清理遗留垃圾的</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1分</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9</w:t>
            </w:r>
          </w:p>
        </w:tc>
        <w:tc>
          <w:tcPr>
            <w:tcW w:type="dxa" w:w="601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当其他系统发生故障涉及中标人单位服务范围需要中标人单位提供协助，中标人单位未能及时提供。</w:t>
            </w:r>
          </w:p>
        </w:tc>
        <w:tc>
          <w:tcPr>
            <w:tcW w:type="dxa" w:w="16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每次扣</w:t>
            </w:r>
            <w:r>
              <w:rPr>
                <w:sz w:val="21"/>
              </w:rPr>
              <w:t>1分</w:t>
            </w:r>
          </w:p>
        </w:tc>
      </w:tr>
    </w:tbl>
    <w:p>
      <w:pPr>
        <w:pStyle w:val="null3"/>
        <w:jc w:val="both"/>
      </w:pPr>
      <w:r>
        <w:rPr>
          <w:sz w:val="44"/>
          <w:b/>
        </w:rPr>
        <w:t>廉</w:t>
      </w:r>
      <w:r>
        <w:rPr>
          <w:sz w:val="44"/>
          <w:b/>
        </w:rPr>
        <w:t>洁</w:t>
      </w:r>
      <w:r>
        <w:rPr>
          <w:sz w:val="44"/>
          <w:b/>
        </w:rPr>
        <w:t>购</w:t>
      </w:r>
      <w:r>
        <w:rPr>
          <w:sz w:val="44"/>
          <w:b/>
        </w:rPr>
        <w:t>销</w:t>
      </w:r>
      <w:r>
        <w:rPr>
          <w:sz w:val="44"/>
          <w:b/>
        </w:rPr>
        <w:t>合</w:t>
      </w:r>
      <w:r>
        <w:rPr>
          <w:sz w:val="44"/>
          <w:b/>
        </w:rPr>
        <w:t>同</w:t>
      </w:r>
    </w:p>
    <w:p>
      <w:pPr>
        <w:pStyle w:val="null3"/>
        <w:jc w:val="both"/>
      </w:pPr>
      <w:r>
        <w:rPr>
          <w:sz w:val="21"/>
          <w:b/>
        </w:rPr>
        <w:t>甲方</w:t>
      </w:r>
      <w:r>
        <w:rPr>
          <w:sz w:val="21"/>
        </w:rPr>
        <w:t>：广州市第一人民医院</w:t>
      </w:r>
    </w:p>
    <w:p>
      <w:pPr>
        <w:pStyle w:val="null3"/>
        <w:jc w:val="both"/>
      </w:pPr>
      <w:r>
        <w:rPr>
          <w:sz w:val="21"/>
          <w:b/>
        </w:rPr>
        <w:t>乙方</w:t>
      </w:r>
      <w:r>
        <w:rPr>
          <w:sz w:val="21"/>
        </w:rPr>
        <w:t>：</w:t>
      </w:r>
    </w:p>
    <w:p>
      <w:pPr>
        <w:pStyle w:val="null3"/>
        <w:jc w:val="both"/>
      </w:pPr>
      <w:r>
        <w:rPr>
          <w:sz w:val="21"/>
        </w:rPr>
        <w:t xml:space="preserve"> </w:t>
      </w:r>
      <w:r>
        <w:rPr>
          <w:sz w:val="21"/>
        </w:rPr>
        <w:t>为进一步加强医疗卫生行风建设，规范医疗卫生机构物资、服务等购销行为，有效防范商业贿赂行为，营造公平交易、诚实守信的购销环境，经甲、乙双方协商，同意签订本合同，并共同遵守：</w:t>
      </w:r>
    </w:p>
    <w:p>
      <w:pPr>
        <w:pStyle w:val="null3"/>
        <w:ind w:firstLine="420"/>
        <w:jc w:val="both"/>
      </w:pPr>
      <w:r>
        <w:rPr>
          <w:sz w:val="21"/>
        </w:rPr>
        <w:t>一、甲乙双方按照《中华人民共和国民法典》及购销合同约定购销物资、服务、信息等产品。</w:t>
      </w:r>
    </w:p>
    <w:p>
      <w:pPr>
        <w:pStyle w:val="null3"/>
        <w:ind w:firstLine="420"/>
        <w:jc w:val="both"/>
      </w:pPr>
      <w:r>
        <w:rPr>
          <w:sz w:val="21"/>
        </w:rPr>
        <w:t>二、甲方应当严格执行购销合同验收、入库制度，对采购的产品及发票进行查验，不得违反有关规定合同外采购、违价采购或从非规定渠道采购。</w:t>
      </w:r>
    </w:p>
    <w:p>
      <w:pPr>
        <w:pStyle w:val="null3"/>
        <w:ind w:firstLine="420"/>
        <w:jc w:val="both"/>
      </w:pPr>
      <w:r>
        <w:rPr>
          <w:sz w:val="21"/>
        </w:rPr>
        <w:t>三、甲方严禁接受乙方以任何名义、形式给予的回</w:t>
      </w:r>
      <w:r>
        <w:rPr>
          <w:sz w:val="21"/>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rPr>
        <w:t>四、乙方不得以回</w:t>
      </w:r>
      <w:r>
        <w:rPr>
          <w:sz w:val="21"/>
        </w:rPr>
        <w:t>.扣、宴请等方式影响甲方工作人员采购或使用产品的选择权，不得在经济活动中提供旅游、超标准支付食宿费用。</w:t>
      </w:r>
    </w:p>
    <w:p>
      <w:pPr>
        <w:pStyle w:val="null3"/>
        <w:ind w:firstLine="420"/>
        <w:jc w:val="both"/>
      </w:pPr>
      <w:r>
        <w:rPr>
          <w:sz w:val="21"/>
        </w:rPr>
        <w:t>五、乙方指定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20"/>
        <w:jc w:val="both"/>
      </w:pPr>
      <w:r>
        <w:rPr>
          <w:sz w:val="21"/>
        </w:rPr>
        <w:t>六、乙方如违反本合同，一经发现，甲方有权终止购销合同，并向有关卫生计生行政部门报告。如乙方被列入商业贿赂不良记录，则严格按照《国家</w:t>
      </w:r>
      <w:r>
        <w:rPr>
          <w:sz w:val="21"/>
        </w:rPr>
        <w:t>卫生计生委关于建立医药购销领域商业贿赂不良记录的规定</w:t>
      </w:r>
      <w:r>
        <w:rPr>
          <w:sz w:val="21"/>
        </w:rPr>
        <w:t>》</w:t>
      </w:r>
      <w:r>
        <w:rPr>
          <w:sz w:val="21"/>
          <w:color w:val="000000"/>
          <w:shd w:fill="FFFFFF" w:val="clear"/>
        </w:rPr>
        <w:t>（国卫法制发〔</w:t>
      </w:r>
      <w:r>
        <w:rPr>
          <w:sz w:val="21"/>
          <w:color w:val="000000"/>
          <w:shd w:fill="FFFFFF" w:val="clear"/>
        </w:rPr>
        <w:t>2013〕50号）</w:t>
      </w:r>
      <w:r>
        <w:rPr>
          <w:sz w:val="21"/>
        </w:rPr>
        <w:t>相关规定处理。</w:t>
      </w:r>
    </w:p>
    <w:p>
      <w:pPr>
        <w:pStyle w:val="null3"/>
        <w:ind w:firstLine="420"/>
        <w:jc w:val="both"/>
      </w:pPr>
      <w:r>
        <w:rPr>
          <w:sz w:val="21"/>
        </w:rPr>
        <w:t>七、本合同作为购销合同的重要组成部分，与购销合同一并执行，具有同等的法律效力。</w:t>
      </w:r>
    </w:p>
    <w:p>
      <w:pPr>
        <w:pStyle w:val="null3"/>
        <w:ind w:firstLine="420"/>
        <w:jc w:val="both"/>
      </w:pPr>
      <w:r>
        <w:rPr>
          <w:sz w:val="21"/>
        </w:rPr>
        <w:t>八、本合同一式伍份，其中甲方执叁份，乙方执壹份，甲方纪检监察部门执壹份，并从签订之日起生效。</w:t>
      </w:r>
    </w:p>
    <w:p>
      <w:pPr>
        <w:pStyle w:val="null3"/>
        <w:jc w:val="both"/>
      </w:pPr>
      <w:r>
        <w:rPr>
          <w:sz w:val="21"/>
          <w:b/>
        </w:rPr>
        <w:t>甲方（盖章）：</w:t>
      </w:r>
      <w:r>
        <w:rPr>
          <w:sz w:val="21"/>
          <w:b/>
        </w:rPr>
        <w:t xml:space="preserve">                                 </w:t>
      </w:r>
      <w:r>
        <w:rPr>
          <w:sz w:val="21"/>
          <w:b/>
        </w:rPr>
        <w:t>乙方（盖章）：</w:t>
      </w:r>
    </w:p>
    <w:p>
      <w:pPr>
        <w:pStyle w:val="null3"/>
        <w:jc w:val="both"/>
      </w:pPr>
      <w:r>
        <w:rPr>
          <w:sz w:val="21"/>
          <w:b/>
        </w:rPr>
        <w:t>单位负责人：</w:t>
      </w:r>
      <w:r>
        <w:rPr>
          <w:sz w:val="21"/>
          <w:b/>
        </w:rPr>
        <w:t xml:space="preserve">                         </w:t>
      </w:r>
      <w:r>
        <w:rPr>
          <w:sz w:val="21"/>
          <w:b/>
        </w:rPr>
        <w:t>单位负责人：</w:t>
      </w:r>
    </w:p>
    <w:p>
      <w:pPr>
        <w:pStyle w:val="null3"/>
        <w:jc w:val="both"/>
      </w:pPr>
      <w:r>
        <w:rPr>
          <w:sz w:val="21"/>
          <w:b/>
        </w:rPr>
        <w:t>经办人签名：</w:t>
      </w:r>
      <w:r>
        <w:rPr>
          <w:sz w:val="21"/>
          <w:b/>
        </w:rPr>
        <w:t xml:space="preserve">                                  </w:t>
      </w:r>
      <w:r>
        <w:rPr>
          <w:sz w:val="21"/>
          <w:b/>
        </w:rPr>
        <w:t>经办人签名：</w:t>
      </w:r>
    </w:p>
    <w:p>
      <w:pPr>
        <w:pStyle w:val="null3"/>
        <w:jc w:val="both"/>
      </w:pPr>
      <w:r>
        <w:rPr/>
        <w:t>年</w:t>
      </w:r>
      <w:r>
        <w:rPr/>
        <w:t xml:space="preserve">    </w:t>
      </w:r>
      <w:r>
        <w:rPr/>
        <w:t>月</w:t>
      </w:r>
      <w:r>
        <w:rPr/>
        <w:t xml:space="preserve">    </w:t>
      </w:r>
      <w:r>
        <w:rPr/>
        <w:t>日</w:t>
      </w:r>
      <w:r>
        <w:rPr/>
        <w:t xml:space="preserve">                                 </w:t>
      </w:r>
      <w:r>
        <w:rPr/>
        <w:t>年</w:t>
      </w:r>
      <w:r>
        <w:rPr/>
        <w:t xml:space="preserve">    </w:t>
      </w:r>
      <w:r>
        <w:rPr/>
        <w:t>月</w:t>
      </w:r>
      <w:r>
        <w:rPr/>
        <w:t xml:space="preserve">    </w:t>
      </w:r>
      <w:r>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440101-2026-06790</w:t>
      </w:r>
    </w:p>
    <w:p>
      <w:pPr>
        <w:pStyle w:val="null3"/>
        <w:jc w:val="center"/>
        <w:outlineLvl w:val="3"/>
      </w:pPr>
      <w:r>
        <w:rPr>
          <w:sz w:val="24"/>
          <w:b/>
        </w:rPr>
        <w:t>采购项目编号：</w:t>
      </w:r>
      <w:r>
        <w:rPr>
          <w:sz w:val="24"/>
          <w:b/>
        </w:rPr>
        <w:t>0724-2631Z2631851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广州市第一人民医院南沙医院采购医疗设备维保服务招标项目（2026年第1批）</w:t>
      </w:r>
      <w:r>
        <w:rPr>
          <w:u w:val="single"/>
        </w:rPr>
        <w:t>”</w:t>
      </w:r>
      <w:r>
        <w:rPr/>
        <w:t>项目的招标[采购项目编号为：</w:t>
      </w:r>
      <w:r>
        <w:rPr>
          <w:u w:val="single"/>
        </w:rPr>
        <w:t>0724-2631Z2631851</w:t>
      </w:r>
      <w:r>
        <w:rPr/>
        <w:t>]，我方愿参与投标。</w:t>
      </w:r>
    </w:p>
    <w:p>
      <w:pPr>
        <w:pStyle w:val="null3"/>
        <w:ind w:firstLine="480"/>
      </w:pPr>
      <w:r>
        <w:rPr/>
        <w:t>我方确认收到贵方提供的</w:t>
      </w:r>
      <w:r>
        <w:rPr>
          <w:u w:val="single"/>
        </w:rPr>
        <w:t>“</w:t>
      </w:r>
      <w:r>
        <w:rPr>
          <w:u w:val="single"/>
        </w:rPr>
        <w:t>广州市第一人民医院南沙医院采购医疗设备维保服务招标项目（2026年第1批）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广州市第一人民医院南沙医院采购医疗设备维保服务招标项目（2026年第1批）</w:t>
      </w:r>
      <w:r>
        <w:rPr/>
        <w:t>”项目采购[采购项目编号为</w:t>
      </w:r>
      <w:r>
        <w:rPr/>
        <w:t>0724-2631Z2631851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广州市第一人民医院南沙医院采购医疗设备维保服务招标项目（2026年第1批）</w:t>
      </w:r>
      <w:r>
        <w:rPr/>
        <w:t>招标中获中标（采购项目编号：</w:t>
      </w:r>
      <w:r>
        <w:rPr/>
        <w:t>0724-2631Z2631851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